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A452B4" w14:textId="2836886E" w:rsidR="00B95552" w:rsidRPr="005825FA" w:rsidRDefault="005825FA" w:rsidP="005825FA">
      <w:pPr>
        <w:autoSpaceDE w:val="0"/>
        <w:autoSpaceDN w:val="0"/>
        <w:adjustRightInd w:val="0"/>
        <w:spacing w:after="0" w:line="240" w:lineRule="auto"/>
        <w:jc w:val="center"/>
        <w:rPr>
          <w:rFonts w:ascii="Helvetica Neue" w:hAnsi="Helvetica Neue" w:cs="Helvetica Neue"/>
          <w:color w:val="auto"/>
          <w:sz w:val="26"/>
          <w:szCs w:val="26"/>
        </w:rPr>
      </w:pPr>
      <w:r>
        <w:rPr>
          <w:rFonts w:ascii="Helvetica Neue" w:hAnsi="Helvetica Neue" w:cs="Helvetica Neue"/>
          <w:noProof/>
          <w:color w:val="auto"/>
          <w:sz w:val="26"/>
          <w:szCs w:val="26"/>
        </w:rPr>
        <w:drawing>
          <wp:inline distT="0" distB="0" distL="0" distR="0" wp14:anchorId="02270A77" wp14:editId="39A45C24">
            <wp:extent cx="3499974" cy="1463040"/>
            <wp:effectExtent l="0" t="0" r="5715" b="0"/>
            <wp:docPr id="16188875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71521" cy="1492948"/>
                    </a:xfrm>
                    <a:prstGeom prst="rect">
                      <a:avLst/>
                    </a:prstGeom>
                    <a:noFill/>
                    <a:ln>
                      <a:noFill/>
                    </a:ln>
                  </pic:spPr>
                </pic:pic>
              </a:graphicData>
            </a:graphic>
          </wp:inline>
        </w:drawing>
      </w:r>
    </w:p>
    <w:p w14:paraId="6305A4A5" w14:textId="77777777" w:rsidR="00B95552" w:rsidRDefault="00B95552">
      <w:pPr>
        <w:pBdr>
          <w:bottom w:val="single" w:sz="6" w:space="0" w:color="C9C8C3"/>
        </w:pBdr>
        <w:spacing w:before="220" w:after="0"/>
      </w:pPr>
    </w:p>
    <w:p w14:paraId="6A8A454D" w14:textId="77777777" w:rsidR="00B95552" w:rsidRDefault="00000000">
      <w:pPr>
        <w:spacing w:before="170" w:after="460"/>
        <w:jc w:val="center"/>
      </w:pPr>
      <w:r>
        <w:rPr>
          <w:color w:val="52514E"/>
          <w:sz w:val="17"/>
          <w:szCs w:val="17"/>
        </w:rPr>
        <w:t>L E V E L   7   A S S E S S M E N T</w:t>
      </w:r>
    </w:p>
    <w:p w14:paraId="5591825F" w14:textId="77777777" w:rsidR="00B95552" w:rsidRDefault="00000000">
      <w:pPr>
        <w:spacing w:after="0" w:line="300" w:lineRule="auto"/>
        <w:jc w:val="center"/>
      </w:pPr>
      <w:r>
        <w:rPr>
          <w:b/>
          <w:bCs/>
          <w:color w:val="1A4E8A"/>
          <w:sz w:val="52"/>
          <w:szCs w:val="52"/>
        </w:rPr>
        <w:t>Type 2 diabetes</w:t>
      </w:r>
    </w:p>
    <w:p w14:paraId="4A4369D3" w14:textId="77777777" w:rsidR="00B95552" w:rsidRDefault="00000000">
      <w:pPr>
        <w:spacing w:after="240" w:line="300" w:lineRule="auto"/>
        <w:jc w:val="center"/>
      </w:pPr>
      <w:r>
        <w:rPr>
          <w:b/>
          <w:bCs/>
          <w:color w:val="1A4E8A"/>
          <w:sz w:val="52"/>
          <w:szCs w:val="52"/>
        </w:rPr>
        <w:t>in the United Kingdom</w:t>
      </w:r>
    </w:p>
    <w:p w14:paraId="173FB266" w14:textId="77777777" w:rsidR="00B95552" w:rsidRDefault="00000000">
      <w:pPr>
        <w:spacing w:after="420" w:line="320" w:lineRule="auto"/>
        <w:jc w:val="center"/>
      </w:pPr>
      <w:r>
        <w:rPr>
          <w:sz w:val="26"/>
          <w:szCs w:val="26"/>
        </w:rPr>
        <w:t>A practitioner’s guide to whole-person care</w:t>
      </w:r>
    </w:p>
    <w:tbl>
      <w:tblPr>
        <w:tblW w:w="9026"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4A0" w:firstRow="1" w:lastRow="0" w:firstColumn="1" w:lastColumn="0" w:noHBand="0" w:noVBand="1"/>
      </w:tblPr>
      <w:tblGrid>
        <w:gridCol w:w="9026"/>
      </w:tblGrid>
      <w:tr w:rsidR="00B95552" w14:paraId="33CCA24D" w14:textId="77777777">
        <w:trPr>
          <w:cantSplit/>
        </w:trPr>
        <w:tc>
          <w:tcPr>
            <w:tcW w:w="9026" w:type="dxa"/>
            <w:shd w:val="clear" w:color="auto" w:fill="1A4E8A"/>
            <w:tcMar>
              <w:top w:w="170" w:type="dxa"/>
              <w:left w:w="240" w:type="dxa"/>
              <w:bottom w:w="170" w:type="dxa"/>
              <w:right w:w="240" w:type="dxa"/>
            </w:tcMar>
          </w:tcPr>
          <w:p w14:paraId="01ABB85E" w14:textId="77777777" w:rsidR="00B95552" w:rsidRDefault="00000000">
            <w:pPr>
              <w:spacing w:after="0" w:line="300" w:lineRule="auto"/>
              <w:jc w:val="center"/>
            </w:pPr>
            <w:r>
              <w:rPr>
                <w:color w:val="FFFFFF"/>
                <w:sz w:val="20"/>
                <w:szCs w:val="20"/>
              </w:rPr>
              <w:t>An information booklet for health and social care practitioners</w:t>
            </w:r>
          </w:p>
        </w:tc>
      </w:tr>
    </w:tbl>
    <w:p w14:paraId="4C7B27A3" w14:textId="77777777" w:rsidR="00B95552" w:rsidRDefault="00B95552">
      <w:pPr>
        <w:spacing w:after="460"/>
      </w:pPr>
    </w:p>
    <w:tbl>
      <w:tblPr>
        <w:tblW w:w="9026" w:type="dxa"/>
        <w:tblBorders>
          <w:top w:val="none" w:sz="0" w:space="0" w:color="FFFFFF"/>
          <w:left w:val="none" w:sz="0" w:space="0" w:color="FFFFFF"/>
          <w:bottom w:val="none" w:sz="0" w:space="0" w:color="FFFFFF"/>
          <w:right w:val="none" w:sz="0" w:space="0" w:color="FFFFFF"/>
          <w:insideH w:val="single" w:sz="2" w:space="0" w:color="E6E5E0"/>
          <w:insideV w:val="none" w:sz="0" w:space="0" w:color="FFFFFF"/>
        </w:tblBorders>
        <w:tblCellMar>
          <w:left w:w="10" w:type="dxa"/>
          <w:right w:w="10" w:type="dxa"/>
        </w:tblCellMar>
        <w:tblLook w:val="04A0" w:firstRow="1" w:lastRow="0" w:firstColumn="1" w:lastColumn="0" w:noHBand="0" w:noVBand="1"/>
      </w:tblPr>
      <w:tblGrid>
        <w:gridCol w:w="2850"/>
        <w:gridCol w:w="6176"/>
      </w:tblGrid>
      <w:tr w:rsidR="00B95552" w14:paraId="3D843114" w14:textId="77777777">
        <w:tc>
          <w:tcPr>
            <w:tcW w:w="2850" w:type="dxa"/>
            <w:tcMar>
              <w:top w:w="90" w:type="dxa"/>
              <w:bottom w:w="90" w:type="dxa"/>
              <w:right w:w="140" w:type="dxa"/>
            </w:tcMar>
          </w:tcPr>
          <w:p w14:paraId="2BAC6385" w14:textId="77777777" w:rsidR="00B95552" w:rsidRDefault="00000000">
            <w:pPr>
              <w:spacing w:after="0" w:line="260" w:lineRule="auto"/>
              <w:jc w:val="left"/>
            </w:pPr>
            <w:r>
              <w:rPr>
                <w:b/>
                <w:bCs/>
                <w:color w:val="52514E"/>
                <w:sz w:val="19"/>
                <w:szCs w:val="19"/>
              </w:rPr>
              <w:t>Student name</w:t>
            </w:r>
          </w:p>
        </w:tc>
        <w:tc>
          <w:tcPr>
            <w:tcW w:w="6176" w:type="dxa"/>
            <w:tcMar>
              <w:top w:w="90" w:type="dxa"/>
              <w:bottom w:w="90" w:type="dxa"/>
            </w:tcMar>
          </w:tcPr>
          <w:p w14:paraId="0F72ADDA" w14:textId="77777777" w:rsidR="00B95552" w:rsidRDefault="00000000">
            <w:pPr>
              <w:spacing w:after="0" w:line="260" w:lineRule="auto"/>
              <w:jc w:val="left"/>
            </w:pPr>
            <w:r>
              <w:rPr>
                <w:sz w:val="19"/>
                <w:szCs w:val="19"/>
              </w:rPr>
              <w:t>Aratiben Rameshbhai Bosiya</w:t>
            </w:r>
          </w:p>
        </w:tc>
      </w:tr>
      <w:tr w:rsidR="00B95552" w14:paraId="25C9201E" w14:textId="77777777">
        <w:tc>
          <w:tcPr>
            <w:tcW w:w="2850" w:type="dxa"/>
            <w:tcMar>
              <w:top w:w="90" w:type="dxa"/>
              <w:bottom w:w="90" w:type="dxa"/>
              <w:right w:w="140" w:type="dxa"/>
            </w:tcMar>
          </w:tcPr>
          <w:p w14:paraId="135B9E8A" w14:textId="77777777" w:rsidR="00B95552" w:rsidRDefault="00000000">
            <w:pPr>
              <w:spacing w:after="0" w:line="260" w:lineRule="auto"/>
              <w:jc w:val="left"/>
            </w:pPr>
            <w:r>
              <w:rPr>
                <w:b/>
                <w:bCs/>
                <w:color w:val="52514E"/>
                <w:sz w:val="19"/>
                <w:szCs w:val="19"/>
              </w:rPr>
              <w:t>Student ID number</w:t>
            </w:r>
          </w:p>
        </w:tc>
        <w:tc>
          <w:tcPr>
            <w:tcW w:w="6176" w:type="dxa"/>
            <w:tcMar>
              <w:top w:w="90" w:type="dxa"/>
              <w:bottom w:w="90" w:type="dxa"/>
            </w:tcMar>
          </w:tcPr>
          <w:p w14:paraId="3CDDD88B" w14:textId="77777777" w:rsidR="00B95552" w:rsidRDefault="00000000">
            <w:pPr>
              <w:spacing w:after="0" w:line="260" w:lineRule="auto"/>
              <w:jc w:val="left"/>
            </w:pPr>
            <w:r>
              <w:rPr>
                <w:sz w:val="19"/>
                <w:szCs w:val="19"/>
              </w:rPr>
              <w:t>2605792</w:t>
            </w:r>
          </w:p>
        </w:tc>
      </w:tr>
      <w:tr w:rsidR="00B95552" w14:paraId="48322A73" w14:textId="77777777">
        <w:tc>
          <w:tcPr>
            <w:tcW w:w="2850" w:type="dxa"/>
            <w:tcMar>
              <w:top w:w="90" w:type="dxa"/>
              <w:bottom w:w="90" w:type="dxa"/>
              <w:right w:w="140" w:type="dxa"/>
            </w:tcMar>
          </w:tcPr>
          <w:p w14:paraId="2FE1EDA6" w14:textId="77777777" w:rsidR="00B95552" w:rsidRDefault="00000000">
            <w:pPr>
              <w:spacing w:after="0" w:line="260" w:lineRule="auto"/>
              <w:jc w:val="left"/>
            </w:pPr>
            <w:r>
              <w:rPr>
                <w:b/>
                <w:bCs/>
                <w:color w:val="52514E"/>
                <w:sz w:val="19"/>
                <w:szCs w:val="19"/>
              </w:rPr>
              <w:t>Programme</w:t>
            </w:r>
          </w:p>
        </w:tc>
        <w:tc>
          <w:tcPr>
            <w:tcW w:w="6176" w:type="dxa"/>
            <w:tcMar>
              <w:top w:w="90" w:type="dxa"/>
              <w:bottom w:w="90" w:type="dxa"/>
            </w:tcMar>
          </w:tcPr>
          <w:p w14:paraId="0966CF7A" w14:textId="77777777" w:rsidR="00B95552" w:rsidRDefault="00000000">
            <w:pPr>
              <w:spacing w:after="0" w:line="260" w:lineRule="auto"/>
              <w:jc w:val="left"/>
            </w:pPr>
            <w:r>
              <w:rPr>
                <w:sz w:val="19"/>
                <w:szCs w:val="19"/>
              </w:rPr>
              <w:t>MSc Public Health and Social Care in Practice</w:t>
            </w:r>
          </w:p>
        </w:tc>
      </w:tr>
      <w:tr w:rsidR="00B95552" w14:paraId="569159D3" w14:textId="77777777">
        <w:tc>
          <w:tcPr>
            <w:tcW w:w="2850" w:type="dxa"/>
            <w:tcMar>
              <w:top w:w="90" w:type="dxa"/>
              <w:bottom w:w="90" w:type="dxa"/>
              <w:right w:w="140" w:type="dxa"/>
            </w:tcMar>
          </w:tcPr>
          <w:p w14:paraId="47936148" w14:textId="77777777" w:rsidR="00B95552" w:rsidRDefault="00000000">
            <w:pPr>
              <w:spacing w:after="0" w:line="260" w:lineRule="auto"/>
              <w:jc w:val="left"/>
            </w:pPr>
            <w:r>
              <w:rPr>
                <w:b/>
                <w:bCs/>
                <w:color w:val="52514E"/>
                <w:sz w:val="19"/>
                <w:szCs w:val="19"/>
              </w:rPr>
              <w:t>Module</w:t>
            </w:r>
          </w:p>
        </w:tc>
        <w:tc>
          <w:tcPr>
            <w:tcW w:w="6176" w:type="dxa"/>
            <w:tcMar>
              <w:top w:w="90" w:type="dxa"/>
              <w:bottom w:w="90" w:type="dxa"/>
            </w:tcMar>
          </w:tcPr>
          <w:p w14:paraId="7C07E962" w14:textId="77777777" w:rsidR="00B95552" w:rsidRDefault="00000000">
            <w:pPr>
              <w:spacing w:after="0" w:line="260" w:lineRule="auto"/>
              <w:jc w:val="left"/>
            </w:pPr>
            <w:r>
              <w:rPr>
                <w:sz w:val="19"/>
                <w:szCs w:val="19"/>
              </w:rPr>
              <w:t>Community Care and Management of Longer-term Conditions</w:t>
            </w:r>
          </w:p>
        </w:tc>
      </w:tr>
      <w:tr w:rsidR="00B95552" w14:paraId="7C07D135" w14:textId="77777777">
        <w:tc>
          <w:tcPr>
            <w:tcW w:w="2850" w:type="dxa"/>
            <w:tcMar>
              <w:top w:w="90" w:type="dxa"/>
              <w:bottom w:w="90" w:type="dxa"/>
              <w:right w:w="140" w:type="dxa"/>
            </w:tcMar>
          </w:tcPr>
          <w:p w14:paraId="212FCBD8" w14:textId="77777777" w:rsidR="00B95552" w:rsidRDefault="00000000">
            <w:pPr>
              <w:spacing w:after="0" w:line="260" w:lineRule="auto"/>
              <w:jc w:val="left"/>
            </w:pPr>
            <w:r>
              <w:rPr>
                <w:b/>
                <w:bCs/>
                <w:color w:val="52514E"/>
                <w:sz w:val="19"/>
                <w:szCs w:val="19"/>
              </w:rPr>
              <w:t>Module code</w:t>
            </w:r>
          </w:p>
        </w:tc>
        <w:tc>
          <w:tcPr>
            <w:tcW w:w="6176" w:type="dxa"/>
            <w:tcMar>
              <w:top w:w="90" w:type="dxa"/>
              <w:bottom w:w="90" w:type="dxa"/>
            </w:tcMar>
          </w:tcPr>
          <w:p w14:paraId="41ABEF4A" w14:textId="77777777" w:rsidR="00B95552" w:rsidRDefault="00000000">
            <w:pPr>
              <w:spacing w:after="0" w:line="260" w:lineRule="auto"/>
              <w:jc w:val="left"/>
            </w:pPr>
            <w:r>
              <w:rPr>
                <w:sz w:val="19"/>
                <w:szCs w:val="19"/>
              </w:rPr>
              <w:t>LCHS7003</w:t>
            </w:r>
          </w:p>
        </w:tc>
      </w:tr>
      <w:tr w:rsidR="00B95552" w14:paraId="225FFAB7" w14:textId="77777777">
        <w:tc>
          <w:tcPr>
            <w:tcW w:w="2850" w:type="dxa"/>
            <w:tcMar>
              <w:top w:w="90" w:type="dxa"/>
              <w:bottom w:w="90" w:type="dxa"/>
              <w:right w:w="140" w:type="dxa"/>
            </w:tcMar>
          </w:tcPr>
          <w:p w14:paraId="52F1CA99" w14:textId="77777777" w:rsidR="00B95552" w:rsidRDefault="00000000">
            <w:pPr>
              <w:spacing w:after="0" w:line="260" w:lineRule="auto"/>
              <w:jc w:val="left"/>
            </w:pPr>
            <w:r>
              <w:rPr>
                <w:b/>
                <w:bCs/>
                <w:color w:val="52514E"/>
                <w:sz w:val="19"/>
                <w:szCs w:val="19"/>
              </w:rPr>
              <w:t>Assessment</w:t>
            </w:r>
          </w:p>
        </w:tc>
        <w:tc>
          <w:tcPr>
            <w:tcW w:w="6176" w:type="dxa"/>
            <w:tcMar>
              <w:top w:w="90" w:type="dxa"/>
              <w:bottom w:w="90" w:type="dxa"/>
            </w:tcMar>
          </w:tcPr>
          <w:p w14:paraId="20F64273" w14:textId="77777777" w:rsidR="00B95552" w:rsidRDefault="00000000">
            <w:pPr>
              <w:spacing w:after="0" w:line="260" w:lineRule="auto"/>
              <w:jc w:val="left"/>
            </w:pPr>
            <w:r>
              <w:rPr>
                <w:sz w:val="19"/>
                <w:szCs w:val="19"/>
              </w:rPr>
              <w:t>Component 1, weighted 50% of the module</w:t>
            </w:r>
          </w:p>
        </w:tc>
      </w:tr>
      <w:tr w:rsidR="00B95552" w14:paraId="3D4F911D" w14:textId="77777777">
        <w:tc>
          <w:tcPr>
            <w:tcW w:w="2850" w:type="dxa"/>
            <w:tcMar>
              <w:top w:w="90" w:type="dxa"/>
              <w:bottom w:w="90" w:type="dxa"/>
              <w:right w:w="140" w:type="dxa"/>
            </w:tcMar>
          </w:tcPr>
          <w:p w14:paraId="5721F627" w14:textId="77777777" w:rsidR="00B95552" w:rsidRDefault="00000000">
            <w:pPr>
              <w:spacing w:after="0" w:line="260" w:lineRule="auto"/>
              <w:jc w:val="left"/>
            </w:pPr>
            <w:r>
              <w:rPr>
                <w:b/>
                <w:bCs/>
                <w:color w:val="52514E"/>
                <w:sz w:val="19"/>
                <w:szCs w:val="19"/>
              </w:rPr>
              <w:t>Lecturer</w:t>
            </w:r>
          </w:p>
        </w:tc>
        <w:tc>
          <w:tcPr>
            <w:tcW w:w="6176" w:type="dxa"/>
            <w:tcMar>
              <w:top w:w="90" w:type="dxa"/>
              <w:bottom w:w="90" w:type="dxa"/>
            </w:tcMar>
          </w:tcPr>
          <w:p w14:paraId="4CED0E6F" w14:textId="77777777" w:rsidR="00B95552" w:rsidRDefault="00000000">
            <w:pPr>
              <w:spacing w:after="0" w:line="260" w:lineRule="auto"/>
              <w:jc w:val="left"/>
            </w:pPr>
            <w:r>
              <w:rPr>
                <w:sz w:val="19"/>
                <w:szCs w:val="19"/>
              </w:rPr>
              <w:t>Dr Aishat Bakre</w:t>
            </w:r>
          </w:p>
        </w:tc>
      </w:tr>
      <w:tr w:rsidR="00B95552" w14:paraId="755D8394" w14:textId="77777777">
        <w:tc>
          <w:tcPr>
            <w:tcW w:w="2850" w:type="dxa"/>
            <w:tcMar>
              <w:top w:w="90" w:type="dxa"/>
              <w:bottom w:w="90" w:type="dxa"/>
              <w:right w:w="140" w:type="dxa"/>
            </w:tcMar>
          </w:tcPr>
          <w:p w14:paraId="307EE8BE" w14:textId="77777777" w:rsidR="00B95552" w:rsidRDefault="00000000">
            <w:pPr>
              <w:spacing w:after="0" w:line="260" w:lineRule="auto"/>
              <w:jc w:val="left"/>
            </w:pPr>
            <w:r>
              <w:rPr>
                <w:b/>
                <w:bCs/>
                <w:color w:val="52514E"/>
                <w:sz w:val="19"/>
                <w:szCs w:val="19"/>
              </w:rPr>
              <w:t>Internal verifier</w:t>
            </w:r>
          </w:p>
        </w:tc>
        <w:tc>
          <w:tcPr>
            <w:tcW w:w="6176" w:type="dxa"/>
            <w:tcMar>
              <w:top w:w="90" w:type="dxa"/>
              <w:bottom w:w="90" w:type="dxa"/>
            </w:tcMar>
          </w:tcPr>
          <w:p w14:paraId="0FB38762" w14:textId="77777777" w:rsidR="00B95552" w:rsidRDefault="00000000">
            <w:pPr>
              <w:spacing w:after="0" w:line="260" w:lineRule="auto"/>
              <w:jc w:val="left"/>
            </w:pPr>
            <w:r>
              <w:rPr>
                <w:sz w:val="19"/>
                <w:szCs w:val="19"/>
              </w:rPr>
              <w:t>Dr Hamdi Hussain</w:t>
            </w:r>
          </w:p>
        </w:tc>
      </w:tr>
      <w:tr w:rsidR="00B95552" w14:paraId="7C0CCC0D" w14:textId="77777777">
        <w:tc>
          <w:tcPr>
            <w:tcW w:w="2850" w:type="dxa"/>
            <w:tcMar>
              <w:top w:w="90" w:type="dxa"/>
              <w:bottom w:w="90" w:type="dxa"/>
              <w:right w:w="140" w:type="dxa"/>
            </w:tcMar>
          </w:tcPr>
          <w:p w14:paraId="1F8DC1D3" w14:textId="77777777" w:rsidR="00B95552" w:rsidRDefault="00000000">
            <w:pPr>
              <w:spacing w:after="0" w:line="260" w:lineRule="auto"/>
              <w:jc w:val="left"/>
            </w:pPr>
            <w:r>
              <w:rPr>
                <w:b/>
                <w:bCs/>
                <w:color w:val="52514E"/>
                <w:sz w:val="19"/>
                <w:szCs w:val="19"/>
              </w:rPr>
              <w:t>Submission deadline</w:t>
            </w:r>
          </w:p>
        </w:tc>
        <w:tc>
          <w:tcPr>
            <w:tcW w:w="6176" w:type="dxa"/>
            <w:tcMar>
              <w:top w:w="90" w:type="dxa"/>
              <w:bottom w:w="90" w:type="dxa"/>
            </w:tcMar>
          </w:tcPr>
          <w:p w14:paraId="1C517546" w14:textId="77777777" w:rsidR="00B95552" w:rsidRDefault="00000000">
            <w:pPr>
              <w:spacing w:after="0" w:line="260" w:lineRule="auto"/>
              <w:jc w:val="left"/>
            </w:pPr>
            <w:r>
              <w:rPr>
                <w:sz w:val="19"/>
                <w:szCs w:val="19"/>
              </w:rPr>
              <w:t>23 October 2026, 14:00</w:t>
            </w:r>
          </w:p>
        </w:tc>
      </w:tr>
      <w:tr w:rsidR="00B95552" w14:paraId="2EAE2BC5" w14:textId="77777777">
        <w:tc>
          <w:tcPr>
            <w:tcW w:w="2850" w:type="dxa"/>
            <w:tcMar>
              <w:top w:w="90" w:type="dxa"/>
              <w:bottom w:w="90" w:type="dxa"/>
              <w:right w:w="140" w:type="dxa"/>
            </w:tcMar>
          </w:tcPr>
          <w:p w14:paraId="11FD15D2" w14:textId="77777777" w:rsidR="00B95552" w:rsidRDefault="00000000">
            <w:pPr>
              <w:spacing w:after="0" w:line="260" w:lineRule="auto"/>
              <w:jc w:val="left"/>
            </w:pPr>
            <w:r>
              <w:rPr>
                <w:b/>
                <w:bCs/>
                <w:color w:val="52514E"/>
                <w:sz w:val="19"/>
                <w:szCs w:val="19"/>
              </w:rPr>
              <w:t>Referencing style</w:t>
            </w:r>
          </w:p>
        </w:tc>
        <w:tc>
          <w:tcPr>
            <w:tcW w:w="6176" w:type="dxa"/>
            <w:tcMar>
              <w:top w:w="90" w:type="dxa"/>
              <w:bottom w:w="90" w:type="dxa"/>
            </w:tcMar>
          </w:tcPr>
          <w:p w14:paraId="353ADFF3" w14:textId="77777777" w:rsidR="00B95552" w:rsidRDefault="00000000">
            <w:pPr>
              <w:spacing w:after="0" w:line="260" w:lineRule="auto"/>
              <w:jc w:val="left"/>
            </w:pPr>
            <w:r>
              <w:rPr>
                <w:sz w:val="19"/>
                <w:szCs w:val="19"/>
              </w:rPr>
              <w:t>Harvard (Cite Them Right)</w:t>
            </w:r>
          </w:p>
        </w:tc>
      </w:tr>
    </w:tbl>
    <w:p w14:paraId="6AD1EAC6" w14:textId="77777777" w:rsidR="00B95552" w:rsidRDefault="00000000">
      <w:r>
        <w:br w:type="page"/>
      </w:r>
    </w:p>
    <w:p w14:paraId="12288F57" w14:textId="77777777" w:rsidR="00B95552" w:rsidRDefault="00000000">
      <w:pPr>
        <w:spacing w:before="320"/>
      </w:pPr>
      <w:r>
        <w:rPr>
          <w:b/>
          <w:bCs/>
          <w:color w:val="1A4E8A"/>
          <w:sz w:val="26"/>
          <w:szCs w:val="26"/>
        </w:rPr>
        <w:lastRenderedPageBreak/>
        <w:t>Contents</w:t>
      </w:r>
    </w:p>
    <w:sdt>
      <w:sdtPr>
        <w:alias w:val="Right-click and choose Update Field to refresh the contents."/>
        <w:id w:val="-320427613"/>
      </w:sdtPr>
      <w:sdtContent>
        <w:p w14:paraId="7AC4DF09" w14:textId="1C6C7EC6" w:rsidR="00EA1C42" w:rsidRDefault="00000000">
          <w:pPr>
            <w:pStyle w:val="TOC1"/>
            <w:tabs>
              <w:tab w:val="right" w:leader="dot" w:pos="9016"/>
            </w:tabs>
            <w:rPr>
              <w:rFonts w:asciiTheme="minorHAnsi" w:eastAsiaTheme="minorEastAsia" w:hAnsiTheme="minorHAnsi" w:cstheme="minorBidi"/>
              <w:noProof/>
              <w:color w:val="auto"/>
              <w:kern w:val="2"/>
              <w:sz w:val="24"/>
              <w:szCs w:val="24"/>
              <w:lang w:val="en-IN"/>
              <w14:ligatures w14:val="standardContextual"/>
            </w:rPr>
          </w:pPr>
          <w:r>
            <w:fldChar w:fldCharType="begin"/>
          </w:r>
          <w:r>
            <w:instrText>TOC \h \o "1-2"</w:instrText>
          </w:r>
          <w:r>
            <w:fldChar w:fldCharType="separate"/>
          </w:r>
          <w:hyperlink w:anchor="_Toc243557637" w:history="1">
            <w:r w:rsidR="00EA1C42" w:rsidRPr="006E4B6C">
              <w:rPr>
                <w:rStyle w:val="Hyperlink"/>
                <w:b/>
                <w:bCs/>
                <w:noProof/>
              </w:rPr>
              <w:t>About this booklet</w:t>
            </w:r>
            <w:r w:rsidR="00EA1C42">
              <w:rPr>
                <w:noProof/>
              </w:rPr>
              <w:tab/>
            </w:r>
            <w:r w:rsidR="00EA1C42">
              <w:rPr>
                <w:noProof/>
              </w:rPr>
              <w:fldChar w:fldCharType="begin"/>
            </w:r>
            <w:r w:rsidR="00EA1C42">
              <w:rPr>
                <w:noProof/>
              </w:rPr>
              <w:instrText xml:space="preserve"> PAGEREF _Toc243557637 \h </w:instrText>
            </w:r>
            <w:r w:rsidR="00EA1C42">
              <w:rPr>
                <w:noProof/>
              </w:rPr>
            </w:r>
            <w:r w:rsidR="00EA1C42">
              <w:rPr>
                <w:noProof/>
              </w:rPr>
              <w:fldChar w:fldCharType="separate"/>
            </w:r>
            <w:r w:rsidR="00F42425">
              <w:rPr>
                <w:noProof/>
              </w:rPr>
              <w:t>4</w:t>
            </w:r>
            <w:r w:rsidR="00EA1C42">
              <w:rPr>
                <w:noProof/>
              </w:rPr>
              <w:fldChar w:fldCharType="end"/>
            </w:r>
          </w:hyperlink>
        </w:p>
        <w:p w14:paraId="6DAD5F3E" w14:textId="771DFD4E" w:rsidR="00EA1C42" w:rsidRDefault="00EA1C42">
          <w:pPr>
            <w:pStyle w:val="TOC1"/>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38" w:history="1">
            <w:r w:rsidRPr="006E4B6C">
              <w:rPr>
                <w:rStyle w:val="Hyperlink"/>
                <w:b/>
                <w:bCs/>
                <w:noProof/>
              </w:rPr>
              <w:t>1. The condition, its burden and its causes</w:t>
            </w:r>
            <w:r>
              <w:rPr>
                <w:noProof/>
              </w:rPr>
              <w:tab/>
            </w:r>
            <w:r>
              <w:rPr>
                <w:noProof/>
              </w:rPr>
              <w:fldChar w:fldCharType="begin"/>
            </w:r>
            <w:r>
              <w:rPr>
                <w:noProof/>
              </w:rPr>
              <w:instrText xml:space="preserve"> PAGEREF _Toc243557638 \h </w:instrText>
            </w:r>
            <w:r>
              <w:rPr>
                <w:noProof/>
              </w:rPr>
            </w:r>
            <w:r>
              <w:rPr>
                <w:noProof/>
              </w:rPr>
              <w:fldChar w:fldCharType="separate"/>
            </w:r>
            <w:r w:rsidR="00F42425">
              <w:rPr>
                <w:noProof/>
              </w:rPr>
              <w:t>4</w:t>
            </w:r>
            <w:r>
              <w:rPr>
                <w:noProof/>
              </w:rPr>
              <w:fldChar w:fldCharType="end"/>
            </w:r>
          </w:hyperlink>
        </w:p>
        <w:p w14:paraId="2F2BBAD8" w14:textId="0BB6277D"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39" w:history="1">
            <w:r w:rsidRPr="006E4B6C">
              <w:rPr>
                <w:rStyle w:val="Hyperlink"/>
                <w:b/>
                <w:bCs/>
                <w:noProof/>
              </w:rPr>
              <w:t>What type 2 diabetes is</w:t>
            </w:r>
            <w:r>
              <w:rPr>
                <w:noProof/>
              </w:rPr>
              <w:tab/>
            </w:r>
            <w:r>
              <w:rPr>
                <w:noProof/>
              </w:rPr>
              <w:fldChar w:fldCharType="begin"/>
            </w:r>
            <w:r>
              <w:rPr>
                <w:noProof/>
              </w:rPr>
              <w:instrText xml:space="preserve"> PAGEREF _Toc243557639 \h </w:instrText>
            </w:r>
            <w:r>
              <w:rPr>
                <w:noProof/>
              </w:rPr>
            </w:r>
            <w:r>
              <w:rPr>
                <w:noProof/>
              </w:rPr>
              <w:fldChar w:fldCharType="separate"/>
            </w:r>
            <w:r w:rsidR="00F42425">
              <w:rPr>
                <w:noProof/>
              </w:rPr>
              <w:t>4</w:t>
            </w:r>
            <w:r>
              <w:rPr>
                <w:noProof/>
              </w:rPr>
              <w:fldChar w:fldCharType="end"/>
            </w:r>
          </w:hyperlink>
        </w:p>
        <w:p w14:paraId="3BABCAE8" w14:textId="654D502E"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40" w:history="1">
            <w:r w:rsidRPr="006E4B6C">
              <w:rPr>
                <w:rStyle w:val="Hyperlink"/>
                <w:b/>
                <w:bCs/>
                <w:noProof/>
              </w:rPr>
              <w:t>How common it is, and why global estimates disagree</w:t>
            </w:r>
            <w:r>
              <w:rPr>
                <w:noProof/>
              </w:rPr>
              <w:tab/>
            </w:r>
            <w:r>
              <w:rPr>
                <w:noProof/>
              </w:rPr>
              <w:fldChar w:fldCharType="begin"/>
            </w:r>
            <w:r>
              <w:rPr>
                <w:noProof/>
              </w:rPr>
              <w:instrText xml:space="preserve"> PAGEREF _Toc243557640 \h </w:instrText>
            </w:r>
            <w:r>
              <w:rPr>
                <w:noProof/>
              </w:rPr>
            </w:r>
            <w:r>
              <w:rPr>
                <w:noProof/>
              </w:rPr>
              <w:fldChar w:fldCharType="separate"/>
            </w:r>
            <w:r w:rsidR="00F42425">
              <w:rPr>
                <w:noProof/>
              </w:rPr>
              <w:t>4</w:t>
            </w:r>
            <w:r>
              <w:rPr>
                <w:noProof/>
              </w:rPr>
              <w:fldChar w:fldCharType="end"/>
            </w:r>
          </w:hyperlink>
        </w:p>
        <w:p w14:paraId="48940956" w14:textId="2E4B5D21"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41" w:history="1">
            <w:r w:rsidRPr="006E4B6C">
              <w:rPr>
                <w:rStyle w:val="Hyperlink"/>
                <w:b/>
                <w:bCs/>
                <w:noProof/>
              </w:rPr>
              <w:t>The UK picture and risk factors</w:t>
            </w:r>
            <w:r>
              <w:rPr>
                <w:noProof/>
              </w:rPr>
              <w:tab/>
            </w:r>
            <w:r>
              <w:rPr>
                <w:noProof/>
              </w:rPr>
              <w:fldChar w:fldCharType="begin"/>
            </w:r>
            <w:r>
              <w:rPr>
                <w:noProof/>
              </w:rPr>
              <w:instrText xml:space="preserve"> PAGEREF _Toc243557641 \h </w:instrText>
            </w:r>
            <w:r>
              <w:rPr>
                <w:noProof/>
              </w:rPr>
            </w:r>
            <w:r>
              <w:rPr>
                <w:noProof/>
              </w:rPr>
              <w:fldChar w:fldCharType="separate"/>
            </w:r>
            <w:r w:rsidR="00F42425">
              <w:rPr>
                <w:noProof/>
              </w:rPr>
              <w:t>4</w:t>
            </w:r>
            <w:r>
              <w:rPr>
                <w:noProof/>
              </w:rPr>
              <w:fldChar w:fldCharType="end"/>
            </w:r>
          </w:hyperlink>
        </w:p>
        <w:p w14:paraId="72370706" w14:textId="7013EECE"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42" w:history="1">
            <w:r w:rsidRPr="006E4B6C">
              <w:rPr>
                <w:rStyle w:val="Hyperlink"/>
                <w:b/>
                <w:bCs/>
                <w:noProof/>
              </w:rPr>
              <w:t>Physical consequences</w:t>
            </w:r>
            <w:r>
              <w:rPr>
                <w:noProof/>
              </w:rPr>
              <w:tab/>
            </w:r>
            <w:r>
              <w:rPr>
                <w:noProof/>
              </w:rPr>
              <w:fldChar w:fldCharType="begin"/>
            </w:r>
            <w:r>
              <w:rPr>
                <w:noProof/>
              </w:rPr>
              <w:instrText xml:space="preserve"> PAGEREF _Toc243557642 \h </w:instrText>
            </w:r>
            <w:r>
              <w:rPr>
                <w:noProof/>
              </w:rPr>
            </w:r>
            <w:r>
              <w:rPr>
                <w:noProof/>
              </w:rPr>
              <w:fldChar w:fldCharType="separate"/>
            </w:r>
            <w:r w:rsidR="00F42425">
              <w:rPr>
                <w:noProof/>
              </w:rPr>
              <w:t>5</w:t>
            </w:r>
            <w:r>
              <w:rPr>
                <w:noProof/>
              </w:rPr>
              <w:fldChar w:fldCharType="end"/>
            </w:r>
          </w:hyperlink>
        </w:p>
        <w:p w14:paraId="441568C4" w14:textId="414F8207"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43" w:history="1">
            <w:r w:rsidRPr="006E4B6C">
              <w:rPr>
                <w:rStyle w:val="Hyperlink"/>
                <w:b/>
                <w:bCs/>
                <w:noProof/>
              </w:rPr>
              <w:t>Psychological consequences</w:t>
            </w:r>
            <w:r>
              <w:rPr>
                <w:noProof/>
              </w:rPr>
              <w:tab/>
            </w:r>
            <w:r>
              <w:rPr>
                <w:noProof/>
              </w:rPr>
              <w:fldChar w:fldCharType="begin"/>
            </w:r>
            <w:r>
              <w:rPr>
                <w:noProof/>
              </w:rPr>
              <w:instrText xml:space="preserve"> PAGEREF _Toc243557643 \h </w:instrText>
            </w:r>
            <w:r>
              <w:rPr>
                <w:noProof/>
              </w:rPr>
            </w:r>
            <w:r>
              <w:rPr>
                <w:noProof/>
              </w:rPr>
              <w:fldChar w:fldCharType="separate"/>
            </w:r>
            <w:r w:rsidR="00F42425">
              <w:rPr>
                <w:noProof/>
              </w:rPr>
              <w:t>5</w:t>
            </w:r>
            <w:r>
              <w:rPr>
                <w:noProof/>
              </w:rPr>
              <w:fldChar w:fldCharType="end"/>
            </w:r>
          </w:hyperlink>
        </w:p>
        <w:p w14:paraId="0460FD26" w14:textId="758E19F9"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44" w:history="1">
            <w:r w:rsidRPr="006E4B6C">
              <w:rPr>
                <w:rStyle w:val="Hyperlink"/>
                <w:b/>
                <w:bCs/>
                <w:noProof/>
              </w:rPr>
              <w:t>Social consequences and families</w:t>
            </w:r>
            <w:r>
              <w:rPr>
                <w:noProof/>
              </w:rPr>
              <w:tab/>
            </w:r>
            <w:r>
              <w:rPr>
                <w:noProof/>
              </w:rPr>
              <w:fldChar w:fldCharType="begin"/>
            </w:r>
            <w:r>
              <w:rPr>
                <w:noProof/>
              </w:rPr>
              <w:instrText xml:space="preserve"> PAGEREF _Toc243557644 \h </w:instrText>
            </w:r>
            <w:r>
              <w:rPr>
                <w:noProof/>
              </w:rPr>
            </w:r>
            <w:r>
              <w:rPr>
                <w:noProof/>
              </w:rPr>
              <w:fldChar w:fldCharType="separate"/>
            </w:r>
            <w:r w:rsidR="00F42425">
              <w:rPr>
                <w:noProof/>
              </w:rPr>
              <w:t>6</w:t>
            </w:r>
            <w:r>
              <w:rPr>
                <w:noProof/>
              </w:rPr>
              <w:fldChar w:fldCharType="end"/>
            </w:r>
          </w:hyperlink>
        </w:p>
        <w:p w14:paraId="17DC5B65" w14:textId="4D7C96C9"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45" w:history="1">
            <w:r w:rsidRPr="006E4B6C">
              <w:rPr>
                <w:rStyle w:val="Hyperlink"/>
                <w:b/>
                <w:bCs/>
                <w:noProof/>
              </w:rPr>
              <w:t>Evidence-based NHS treatment</w:t>
            </w:r>
            <w:r>
              <w:rPr>
                <w:noProof/>
              </w:rPr>
              <w:tab/>
            </w:r>
            <w:r>
              <w:rPr>
                <w:noProof/>
              </w:rPr>
              <w:fldChar w:fldCharType="begin"/>
            </w:r>
            <w:r>
              <w:rPr>
                <w:noProof/>
              </w:rPr>
              <w:instrText xml:space="preserve"> PAGEREF _Toc243557645 \h </w:instrText>
            </w:r>
            <w:r>
              <w:rPr>
                <w:noProof/>
              </w:rPr>
            </w:r>
            <w:r>
              <w:rPr>
                <w:noProof/>
              </w:rPr>
              <w:fldChar w:fldCharType="separate"/>
            </w:r>
            <w:r w:rsidR="00F42425">
              <w:rPr>
                <w:noProof/>
              </w:rPr>
              <w:t>6</w:t>
            </w:r>
            <w:r>
              <w:rPr>
                <w:noProof/>
              </w:rPr>
              <w:fldChar w:fldCharType="end"/>
            </w:r>
          </w:hyperlink>
        </w:p>
        <w:p w14:paraId="7BAAFB31" w14:textId="171DFC9B"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46" w:history="1">
            <w:r w:rsidRPr="006E4B6C">
              <w:rPr>
                <w:rStyle w:val="Hyperlink"/>
                <w:b/>
                <w:bCs/>
                <w:noProof/>
              </w:rPr>
              <w:t>The Chronic Care Model</w:t>
            </w:r>
            <w:r>
              <w:rPr>
                <w:noProof/>
              </w:rPr>
              <w:tab/>
            </w:r>
            <w:r>
              <w:rPr>
                <w:noProof/>
              </w:rPr>
              <w:fldChar w:fldCharType="begin"/>
            </w:r>
            <w:r>
              <w:rPr>
                <w:noProof/>
              </w:rPr>
              <w:instrText xml:space="preserve"> PAGEREF _Toc243557646 \h </w:instrText>
            </w:r>
            <w:r>
              <w:rPr>
                <w:noProof/>
              </w:rPr>
            </w:r>
            <w:r>
              <w:rPr>
                <w:noProof/>
              </w:rPr>
              <w:fldChar w:fldCharType="separate"/>
            </w:r>
            <w:r w:rsidR="00F42425">
              <w:rPr>
                <w:noProof/>
              </w:rPr>
              <w:t>7</w:t>
            </w:r>
            <w:r>
              <w:rPr>
                <w:noProof/>
              </w:rPr>
              <w:fldChar w:fldCharType="end"/>
            </w:r>
          </w:hyperlink>
        </w:p>
        <w:p w14:paraId="69738E45" w14:textId="192B0F23"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47" w:history="1">
            <w:r w:rsidRPr="006E4B6C">
              <w:rPr>
                <w:rStyle w:val="Hyperlink"/>
                <w:b/>
                <w:bCs/>
                <w:noProof/>
              </w:rPr>
              <w:t>The House of Care</w:t>
            </w:r>
            <w:r>
              <w:rPr>
                <w:noProof/>
              </w:rPr>
              <w:tab/>
            </w:r>
            <w:r>
              <w:rPr>
                <w:noProof/>
              </w:rPr>
              <w:fldChar w:fldCharType="begin"/>
            </w:r>
            <w:r>
              <w:rPr>
                <w:noProof/>
              </w:rPr>
              <w:instrText xml:space="preserve"> PAGEREF _Toc243557647 \h </w:instrText>
            </w:r>
            <w:r>
              <w:rPr>
                <w:noProof/>
              </w:rPr>
            </w:r>
            <w:r>
              <w:rPr>
                <w:noProof/>
              </w:rPr>
              <w:fldChar w:fldCharType="separate"/>
            </w:r>
            <w:r w:rsidR="00F42425">
              <w:rPr>
                <w:noProof/>
              </w:rPr>
              <w:t>7</w:t>
            </w:r>
            <w:r>
              <w:rPr>
                <w:noProof/>
              </w:rPr>
              <w:fldChar w:fldCharType="end"/>
            </w:r>
          </w:hyperlink>
        </w:p>
        <w:p w14:paraId="1125D67E" w14:textId="576FA598"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48" w:history="1">
            <w:r w:rsidRPr="006E4B6C">
              <w:rPr>
                <w:rStyle w:val="Hyperlink"/>
                <w:b/>
                <w:bCs/>
                <w:noProof/>
              </w:rPr>
              <w:t>Weighing the evidence</w:t>
            </w:r>
            <w:r>
              <w:rPr>
                <w:noProof/>
              </w:rPr>
              <w:tab/>
            </w:r>
            <w:r>
              <w:rPr>
                <w:noProof/>
              </w:rPr>
              <w:fldChar w:fldCharType="begin"/>
            </w:r>
            <w:r>
              <w:rPr>
                <w:noProof/>
              </w:rPr>
              <w:instrText xml:space="preserve"> PAGEREF _Toc243557648 \h </w:instrText>
            </w:r>
            <w:r>
              <w:rPr>
                <w:noProof/>
              </w:rPr>
            </w:r>
            <w:r>
              <w:rPr>
                <w:noProof/>
              </w:rPr>
              <w:fldChar w:fldCharType="separate"/>
            </w:r>
            <w:r w:rsidR="00F42425">
              <w:rPr>
                <w:noProof/>
              </w:rPr>
              <w:t>8</w:t>
            </w:r>
            <w:r>
              <w:rPr>
                <w:noProof/>
              </w:rPr>
              <w:fldChar w:fldCharType="end"/>
            </w:r>
          </w:hyperlink>
        </w:p>
        <w:p w14:paraId="73A2690D" w14:textId="70AD8C1E"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49" w:history="1">
            <w:r w:rsidRPr="006E4B6C">
              <w:rPr>
                <w:rStyle w:val="Hyperlink"/>
                <w:b/>
                <w:bCs/>
                <w:noProof/>
              </w:rPr>
              <w:t>Statutory structures</w:t>
            </w:r>
            <w:r>
              <w:rPr>
                <w:noProof/>
              </w:rPr>
              <w:tab/>
            </w:r>
            <w:r>
              <w:rPr>
                <w:noProof/>
              </w:rPr>
              <w:fldChar w:fldCharType="begin"/>
            </w:r>
            <w:r>
              <w:rPr>
                <w:noProof/>
              </w:rPr>
              <w:instrText xml:space="preserve"> PAGEREF _Toc243557649 \h </w:instrText>
            </w:r>
            <w:r>
              <w:rPr>
                <w:noProof/>
              </w:rPr>
            </w:r>
            <w:r>
              <w:rPr>
                <w:noProof/>
              </w:rPr>
              <w:fldChar w:fldCharType="separate"/>
            </w:r>
            <w:r w:rsidR="00F42425">
              <w:rPr>
                <w:noProof/>
              </w:rPr>
              <w:t>9</w:t>
            </w:r>
            <w:r>
              <w:rPr>
                <w:noProof/>
              </w:rPr>
              <w:fldChar w:fldCharType="end"/>
            </w:r>
          </w:hyperlink>
        </w:p>
        <w:p w14:paraId="38A50A4A" w14:textId="132D257E"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50" w:history="1">
            <w:r w:rsidRPr="006E4B6C">
              <w:rPr>
                <w:rStyle w:val="Hyperlink"/>
                <w:b/>
                <w:bCs/>
                <w:noProof/>
              </w:rPr>
              <w:t>Core20PLUS5</w:t>
            </w:r>
            <w:r>
              <w:rPr>
                <w:noProof/>
              </w:rPr>
              <w:tab/>
            </w:r>
            <w:r>
              <w:rPr>
                <w:noProof/>
              </w:rPr>
              <w:fldChar w:fldCharType="begin"/>
            </w:r>
            <w:r>
              <w:rPr>
                <w:noProof/>
              </w:rPr>
              <w:instrText xml:space="preserve"> PAGEREF _Toc243557650 \h </w:instrText>
            </w:r>
            <w:r>
              <w:rPr>
                <w:noProof/>
              </w:rPr>
            </w:r>
            <w:r>
              <w:rPr>
                <w:noProof/>
              </w:rPr>
              <w:fldChar w:fldCharType="separate"/>
            </w:r>
            <w:r w:rsidR="00F42425">
              <w:rPr>
                <w:noProof/>
              </w:rPr>
              <w:t>10</w:t>
            </w:r>
            <w:r>
              <w:rPr>
                <w:noProof/>
              </w:rPr>
              <w:fldChar w:fldCharType="end"/>
            </w:r>
          </w:hyperlink>
        </w:p>
        <w:p w14:paraId="2E888862" w14:textId="2464EBEE"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51" w:history="1">
            <w:r w:rsidRPr="006E4B6C">
              <w:rPr>
                <w:rStyle w:val="Hyperlink"/>
                <w:b/>
                <w:bCs/>
                <w:noProof/>
              </w:rPr>
              <w:t>The gap between policy and delivery</w:t>
            </w:r>
            <w:r>
              <w:rPr>
                <w:noProof/>
              </w:rPr>
              <w:tab/>
            </w:r>
            <w:r>
              <w:rPr>
                <w:noProof/>
              </w:rPr>
              <w:fldChar w:fldCharType="begin"/>
            </w:r>
            <w:r>
              <w:rPr>
                <w:noProof/>
              </w:rPr>
              <w:instrText xml:space="preserve"> PAGEREF _Toc243557651 \h </w:instrText>
            </w:r>
            <w:r>
              <w:rPr>
                <w:noProof/>
              </w:rPr>
            </w:r>
            <w:r>
              <w:rPr>
                <w:noProof/>
              </w:rPr>
              <w:fldChar w:fldCharType="separate"/>
            </w:r>
            <w:r w:rsidR="00F42425">
              <w:rPr>
                <w:noProof/>
              </w:rPr>
              <w:t>10</w:t>
            </w:r>
            <w:r>
              <w:rPr>
                <w:noProof/>
              </w:rPr>
              <w:fldChar w:fldCharType="end"/>
            </w:r>
          </w:hyperlink>
        </w:p>
        <w:p w14:paraId="46E4E6BA" w14:textId="1839FC17" w:rsidR="00EA1C42" w:rsidRDefault="00EA1C42">
          <w:pPr>
            <w:pStyle w:val="TOC1"/>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52" w:history="1">
            <w:r w:rsidRPr="006E4B6C">
              <w:rPr>
                <w:rStyle w:val="Hyperlink"/>
                <w:b/>
                <w:bCs/>
                <w:noProof/>
              </w:rPr>
              <w:t>5. Recommendations</w:t>
            </w:r>
            <w:r>
              <w:rPr>
                <w:noProof/>
              </w:rPr>
              <w:tab/>
            </w:r>
            <w:r>
              <w:rPr>
                <w:noProof/>
              </w:rPr>
              <w:fldChar w:fldCharType="begin"/>
            </w:r>
            <w:r>
              <w:rPr>
                <w:noProof/>
              </w:rPr>
              <w:instrText xml:space="preserve"> PAGEREF _Toc243557652 \h </w:instrText>
            </w:r>
            <w:r>
              <w:rPr>
                <w:noProof/>
              </w:rPr>
            </w:r>
            <w:r>
              <w:rPr>
                <w:noProof/>
              </w:rPr>
              <w:fldChar w:fldCharType="separate"/>
            </w:r>
            <w:r w:rsidR="00F42425">
              <w:rPr>
                <w:noProof/>
              </w:rPr>
              <w:t>11</w:t>
            </w:r>
            <w:r>
              <w:rPr>
                <w:noProof/>
              </w:rPr>
              <w:fldChar w:fldCharType="end"/>
            </w:r>
          </w:hyperlink>
        </w:p>
        <w:p w14:paraId="56744037" w14:textId="2D20F54E"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53" w:history="1">
            <w:r w:rsidRPr="006E4B6C">
              <w:rPr>
                <w:rStyle w:val="Hyperlink"/>
                <w:b/>
                <w:bCs/>
                <w:noProof/>
              </w:rPr>
              <w:t>Person-centred care and self-management</w:t>
            </w:r>
            <w:r>
              <w:rPr>
                <w:noProof/>
              </w:rPr>
              <w:tab/>
            </w:r>
            <w:r>
              <w:rPr>
                <w:noProof/>
              </w:rPr>
              <w:fldChar w:fldCharType="begin"/>
            </w:r>
            <w:r>
              <w:rPr>
                <w:noProof/>
              </w:rPr>
              <w:instrText xml:space="preserve"> PAGEREF _Toc243557653 \h </w:instrText>
            </w:r>
            <w:r>
              <w:rPr>
                <w:noProof/>
              </w:rPr>
            </w:r>
            <w:r>
              <w:rPr>
                <w:noProof/>
              </w:rPr>
              <w:fldChar w:fldCharType="separate"/>
            </w:r>
            <w:r w:rsidR="00F42425">
              <w:rPr>
                <w:noProof/>
              </w:rPr>
              <w:t>11</w:t>
            </w:r>
            <w:r>
              <w:rPr>
                <w:noProof/>
              </w:rPr>
              <w:fldChar w:fldCharType="end"/>
            </w:r>
          </w:hyperlink>
        </w:p>
        <w:p w14:paraId="44D0653B" w14:textId="2266DB1F" w:rsidR="00EA1C42" w:rsidRDefault="00EA1C42">
          <w:pPr>
            <w:pStyle w:val="TOC2"/>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54" w:history="1">
            <w:r w:rsidRPr="006E4B6C">
              <w:rPr>
                <w:rStyle w:val="Hyperlink"/>
                <w:b/>
                <w:bCs/>
                <w:noProof/>
              </w:rPr>
              <w:t>Care at the end of life</w:t>
            </w:r>
            <w:r>
              <w:rPr>
                <w:noProof/>
              </w:rPr>
              <w:tab/>
            </w:r>
            <w:r>
              <w:rPr>
                <w:noProof/>
              </w:rPr>
              <w:fldChar w:fldCharType="begin"/>
            </w:r>
            <w:r>
              <w:rPr>
                <w:noProof/>
              </w:rPr>
              <w:instrText xml:space="preserve"> PAGEREF _Toc243557654 \h </w:instrText>
            </w:r>
            <w:r>
              <w:rPr>
                <w:noProof/>
              </w:rPr>
            </w:r>
            <w:r>
              <w:rPr>
                <w:noProof/>
              </w:rPr>
              <w:fldChar w:fldCharType="separate"/>
            </w:r>
            <w:r w:rsidR="00F42425">
              <w:rPr>
                <w:noProof/>
              </w:rPr>
              <w:t>12</w:t>
            </w:r>
            <w:r>
              <w:rPr>
                <w:noProof/>
              </w:rPr>
              <w:fldChar w:fldCharType="end"/>
            </w:r>
          </w:hyperlink>
        </w:p>
        <w:p w14:paraId="09C86DD1" w14:textId="5E864656" w:rsidR="00EA1C42" w:rsidRDefault="00EA1C42">
          <w:pPr>
            <w:pStyle w:val="TOC1"/>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55" w:history="1">
            <w:r w:rsidRPr="006E4B6C">
              <w:rPr>
                <w:rStyle w:val="Hyperlink"/>
                <w:b/>
                <w:bCs/>
                <w:noProof/>
              </w:rPr>
              <w:t>6. Conclusion</w:t>
            </w:r>
            <w:r>
              <w:rPr>
                <w:noProof/>
              </w:rPr>
              <w:tab/>
            </w:r>
            <w:r>
              <w:rPr>
                <w:noProof/>
              </w:rPr>
              <w:fldChar w:fldCharType="begin"/>
            </w:r>
            <w:r>
              <w:rPr>
                <w:noProof/>
              </w:rPr>
              <w:instrText xml:space="preserve"> PAGEREF _Toc243557655 \h </w:instrText>
            </w:r>
            <w:r>
              <w:rPr>
                <w:noProof/>
              </w:rPr>
            </w:r>
            <w:r>
              <w:rPr>
                <w:noProof/>
              </w:rPr>
              <w:fldChar w:fldCharType="separate"/>
            </w:r>
            <w:r w:rsidR="00F42425">
              <w:rPr>
                <w:noProof/>
              </w:rPr>
              <w:t>13</w:t>
            </w:r>
            <w:r>
              <w:rPr>
                <w:noProof/>
              </w:rPr>
              <w:fldChar w:fldCharType="end"/>
            </w:r>
          </w:hyperlink>
        </w:p>
        <w:p w14:paraId="6929952F" w14:textId="5833BA91" w:rsidR="00EA1C42" w:rsidRDefault="00EA1C42">
          <w:pPr>
            <w:pStyle w:val="TOC1"/>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56" w:history="1">
            <w:r w:rsidRPr="006E4B6C">
              <w:rPr>
                <w:rStyle w:val="Hyperlink"/>
                <w:b/>
                <w:bCs/>
                <w:noProof/>
              </w:rPr>
              <w:t>7. Reference list</w:t>
            </w:r>
            <w:r>
              <w:rPr>
                <w:noProof/>
              </w:rPr>
              <w:tab/>
            </w:r>
            <w:r>
              <w:rPr>
                <w:noProof/>
              </w:rPr>
              <w:fldChar w:fldCharType="begin"/>
            </w:r>
            <w:r>
              <w:rPr>
                <w:noProof/>
              </w:rPr>
              <w:instrText xml:space="preserve"> PAGEREF _Toc243557656 \h </w:instrText>
            </w:r>
            <w:r>
              <w:rPr>
                <w:noProof/>
              </w:rPr>
            </w:r>
            <w:r>
              <w:rPr>
                <w:noProof/>
              </w:rPr>
              <w:fldChar w:fldCharType="separate"/>
            </w:r>
            <w:r w:rsidR="00F42425">
              <w:rPr>
                <w:noProof/>
              </w:rPr>
              <w:t>14</w:t>
            </w:r>
            <w:r>
              <w:rPr>
                <w:noProof/>
              </w:rPr>
              <w:fldChar w:fldCharType="end"/>
            </w:r>
          </w:hyperlink>
        </w:p>
        <w:p w14:paraId="22F7FC5E" w14:textId="7B4D16FE" w:rsidR="00B95552" w:rsidRDefault="00000000">
          <w:r>
            <w:fldChar w:fldCharType="end"/>
          </w:r>
        </w:p>
      </w:sdtContent>
    </w:sdt>
    <w:p w14:paraId="1E995FF7" w14:textId="77777777" w:rsidR="00B95552" w:rsidRDefault="00000000">
      <w:r>
        <w:br w:type="page"/>
      </w:r>
    </w:p>
    <w:p w14:paraId="7D035AF2" w14:textId="77777777" w:rsidR="00B95552" w:rsidRDefault="00000000">
      <w:pPr>
        <w:spacing w:before="320"/>
      </w:pPr>
      <w:r>
        <w:rPr>
          <w:b/>
          <w:bCs/>
          <w:color w:val="1A4E8A"/>
          <w:sz w:val="26"/>
          <w:szCs w:val="26"/>
        </w:rPr>
        <w:lastRenderedPageBreak/>
        <w:t>List of figures</w:t>
      </w:r>
    </w:p>
    <w:sdt>
      <w:sdtPr>
        <w:alias w:val="No table of figures entries found."/>
        <w:id w:val="598135776"/>
      </w:sdtPr>
      <w:sdtContent>
        <w:p w14:paraId="7F2FC43F" w14:textId="1E7C656B" w:rsidR="00EA1C42" w:rsidRDefault="00000000">
          <w:pPr>
            <w:pStyle w:val="TableofFigures"/>
            <w:tabs>
              <w:tab w:val="right" w:leader="dot" w:pos="9016"/>
            </w:tabs>
            <w:rPr>
              <w:rFonts w:asciiTheme="minorHAnsi" w:eastAsiaTheme="minorEastAsia" w:hAnsiTheme="minorHAnsi" w:cstheme="minorBidi"/>
              <w:noProof/>
              <w:color w:val="auto"/>
              <w:kern w:val="2"/>
              <w:sz w:val="24"/>
              <w:szCs w:val="24"/>
              <w:lang w:val="en-IN"/>
              <w14:ligatures w14:val="standardContextual"/>
            </w:rPr>
          </w:pPr>
          <w:r>
            <w:fldChar w:fldCharType="begin"/>
          </w:r>
          <w:r>
            <w:instrText>TOC \c "Figure" \h</w:instrText>
          </w:r>
          <w:r>
            <w:fldChar w:fldCharType="separate"/>
          </w:r>
          <w:hyperlink w:anchor="_Toc243557657" w:history="1">
            <w:r w:rsidR="00EA1C42" w:rsidRPr="007D10EF">
              <w:rPr>
                <w:rStyle w:val="Hyperlink"/>
                <w:noProof/>
              </w:rPr>
              <w:t>Figure 1. The House of Care (Coulter, Roberts and Dixon, 2013; Coulter et al., 2016).</w:t>
            </w:r>
            <w:r w:rsidR="00EA1C42">
              <w:rPr>
                <w:noProof/>
              </w:rPr>
              <w:tab/>
            </w:r>
            <w:r w:rsidR="00EA1C42">
              <w:rPr>
                <w:noProof/>
              </w:rPr>
              <w:fldChar w:fldCharType="begin"/>
            </w:r>
            <w:r w:rsidR="00EA1C42">
              <w:rPr>
                <w:noProof/>
              </w:rPr>
              <w:instrText xml:space="preserve"> PAGEREF _Toc243557657 \h </w:instrText>
            </w:r>
            <w:r w:rsidR="00EA1C42">
              <w:rPr>
                <w:noProof/>
              </w:rPr>
            </w:r>
            <w:r w:rsidR="00EA1C42">
              <w:rPr>
                <w:noProof/>
              </w:rPr>
              <w:fldChar w:fldCharType="separate"/>
            </w:r>
            <w:r w:rsidR="00F42425">
              <w:rPr>
                <w:noProof/>
              </w:rPr>
              <w:t>8</w:t>
            </w:r>
            <w:r w:rsidR="00EA1C42">
              <w:rPr>
                <w:noProof/>
              </w:rPr>
              <w:fldChar w:fldCharType="end"/>
            </w:r>
          </w:hyperlink>
        </w:p>
        <w:p w14:paraId="66889102" w14:textId="5C3583E7" w:rsidR="00EA1C42" w:rsidRDefault="00EA1C42">
          <w:pPr>
            <w:pStyle w:val="TableofFigures"/>
            <w:tabs>
              <w:tab w:val="right" w:leader="dot" w:pos="9016"/>
            </w:tabs>
            <w:rPr>
              <w:rFonts w:asciiTheme="minorHAnsi" w:eastAsiaTheme="minorEastAsia" w:hAnsiTheme="minorHAnsi" w:cstheme="minorBidi"/>
              <w:noProof/>
              <w:color w:val="auto"/>
              <w:kern w:val="2"/>
              <w:sz w:val="24"/>
              <w:szCs w:val="24"/>
              <w:lang w:val="en-IN"/>
              <w14:ligatures w14:val="standardContextual"/>
            </w:rPr>
          </w:pPr>
          <w:hyperlink w:anchor="_Toc243557658" w:history="1">
            <w:r w:rsidRPr="007D10EF">
              <w:rPr>
                <w:rStyle w:val="Hyperlink"/>
                <w:noProof/>
              </w:rPr>
              <w:t>Figure 2. Completion of all eight care processes, 2021/22 (NHS England, 2022).</w:t>
            </w:r>
            <w:r>
              <w:rPr>
                <w:noProof/>
              </w:rPr>
              <w:tab/>
            </w:r>
            <w:r>
              <w:rPr>
                <w:noProof/>
              </w:rPr>
              <w:fldChar w:fldCharType="begin"/>
            </w:r>
            <w:r>
              <w:rPr>
                <w:noProof/>
              </w:rPr>
              <w:instrText xml:space="preserve"> PAGEREF _Toc243557658 \h </w:instrText>
            </w:r>
            <w:r>
              <w:rPr>
                <w:noProof/>
              </w:rPr>
            </w:r>
            <w:r>
              <w:rPr>
                <w:noProof/>
              </w:rPr>
              <w:fldChar w:fldCharType="separate"/>
            </w:r>
            <w:r w:rsidR="00F42425">
              <w:rPr>
                <w:noProof/>
              </w:rPr>
              <w:t>10</w:t>
            </w:r>
            <w:r>
              <w:rPr>
                <w:noProof/>
              </w:rPr>
              <w:fldChar w:fldCharType="end"/>
            </w:r>
          </w:hyperlink>
        </w:p>
        <w:p w14:paraId="63AD8F1D" w14:textId="202FD7C4" w:rsidR="00B95552" w:rsidRDefault="00000000">
          <w:r>
            <w:fldChar w:fldCharType="end"/>
          </w:r>
        </w:p>
      </w:sdtContent>
    </w:sdt>
    <w:p w14:paraId="1458351D" w14:textId="77777777" w:rsidR="00B95552" w:rsidRDefault="00000000">
      <w:pPr>
        <w:spacing w:before="320"/>
      </w:pPr>
      <w:r>
        <w:rPr>
          <w:b/>
          <w:bCs/>
          <w:color w:val="1A4E8A"/>
          <w:sz w:val="26"/>
          <w:szCs w:val="26"/>
        </w:rPr>
        <w:t>List of tables</w:t>
      </w:r>
    </w:p>
    <w:sdt>
      <w:sdtPr>
        <w:alias w:val="No table of figures entries found."/>
        <w:id w:val="-1382559229"/>
      </w:sdtPr>
      <w:sdtContent>
        <w:p w14:paraId="772EEE57" w14:textId="28E5E8F8" w:rsidR="00EA1C42" w:rsidRDefault="00000000">
          <w:pPr>
            <w:pStyle w:val="TableofFigures"/>
            <w:tabs>
              <w:tab w:val="right" w:leader="dot" w:pos="9016"/>
            </w:tabs>
            <w:rPr>
              <w:rFonts w:asciiTheme="minorHAnsi" w:eastAsiaTheme="minorEastAsia" w:hAnsiTheme="minorHAnsi" w:cstheme="minorBidi"/>
              <w:noProof/>
              <w:color w:val="auto"/>
              <w:kern w:val="2"/>
              <w:sz w:val="24"/>
              <w:szCs w:val="24"/>
              <w:lang w:val="en-IN"/>
              <w14:ligatures w14:val="standardContextual"/>
            </w:rPr>
          </w:pPr>
          <w:r>
            <w:fldChar w:fldCharType="begin"/>
          </w:r>
          <w:r>
            <w:instrText>TOC \c "Table" \h</w:instrText>
          </w:r>
          <w:r>
            <w:fldChar w:fldCharType="separate"/>
          </w:r>
          <w:hyperlink w:anchor="_Toc243557659" w:history="1">
            <w:r w:rsidR="00EA1C42" w:rsidRPr="002502F2">
              <w:rPr>
                <w:rStyle w:val="Hyperlink"/>
                <w:noProof/>
              </w:rPr>
              <w:t>Table 1. The Chronic Care Model and the House of Care compared.</w:t>
            </w:r>
            <w:r w:rsidR="00EA1C42">
              <w:rPr>
                <w:noProof/>
              </w:rPr>
              <w:tab/>
            </w:r>
            <w:r w:rsidR="00EA1C42">
              <w:rPr>
                <w:noProof/>
              </w:rPr>
              <w:fldChar w:fldCharType="begin"/>
            </w:r>
            <w:r w:rsidR="00EA1C42">
              <w:rPr>
                <w:noProof/>
              </w:rPr>
              <w:instrText xml:space="preserve"> PAGEREF _Toc243557659 \h </w:instrText>
            </w:r>
            <w:r w:rsidR="00EA1C42">
              <w:rPr>
                <w:noProof/>
              </w:rPr>
            </w:r>
            <w:r w:rsidR="00EA1C42">
              <w:rPr>
                <w:noProof/>
              </w:rPr>
              <w:fldChar w:fldCharType="separate"/>
            </w:r>
            <w:r w:rsidR="00F42425">
              <w:rPr>
                <w:noProof/>
              </w:rPr>
              <w:t>8</w:t>
            </w:r>
            <w:r w:rsidR="00EA1C42">
              <w:rPr>
                <w:noProof/>
              </w:rPr>
              <w:fldChar w:fldCharType="end"/>
            </w:r>
          </w:hyperlink>
        </w:p>
        <w:p w14:paraId="1B04A24A" w14:textId="5E7A73D1" w:rsidR="00B95552" w:rsidRDefault="00000000">
          <w:r>
            <w:fldChar w:fldCharType="end"/>
          </w:r>
        </w:p>
      </w:sdtContent>
    </w:sdt>
    <w:p w14:paraId="1BD2C10F" w14:textId="77777777" w:rsidR="00B95552" w:rsidRDefault="00000000">
      <w:r>
        <w:br w:type="page"/>
      </w:r>
    </w:p>
    <w:p w14:paraId="7F451D8F" w14:textId="77777777" w:rsidR="00B95552" w:rsidRDefault="00000000">
      <w:pPr>
        <w:pStyle w:val="Heading1"/>
        <w:spacing w:before="320"/>
      </w:pPr>
      <w:bookmarkStart w:id="0" w:name="_Toc243557637"/>
      <w:r>
        <w:rPr>
          <w:b/>
          <w:bCs/>
          <w:color w:val="1A4E8A"/>
          <w:sz w:val="26"/>
          <w:szCs w:val="26"/>
        </w:rPr>
        <w:lastRenderedPageBreak/>
        <w:t>About this booklet</w:t>
      </w:r>
      <w:bookmarkEnd w:id="0"/>
    </w:p>
    <w:p w14:paraId="198BF13C" w14:textId="4340A2FE" w:rsidR="00B95552" w:rsidRDefault="005E34B3">
      <w:r>
        <w:t>This booklet is intended for nurses, GPs, members of allied health professions, social care practitioners and commissioners in primary and community services in the UK</w:t>
      </w:r>
      <w:r w:rsidR="00000000">
        <w:t>. It covers what type 2 diabetes does to people and their families, what the NHS offers, which models of care have evidence behind them, and where policy falls short. Type 2 diabetes is roughly 90% of UK diagnoses (Diabetes UK, 2025), so it is the focus; type 1 appears where the safety guidance differs.</w:t>
      </w:r>
    </w:p>
    <w:p w14:paraId="28B24F0F" w14:textId="77777777" w:rsidR="00B95552" w:rsidRDefault="00000000">
      <w:pPr>
        <w:pStyle w:val="Heading1"/>
        <w:spacing w:before="320"/>
      </w:pPr>
      <w:bookmarkStart w:id="1" w:name="_Toc243557638"/>
      <w:r>
        <w:rPr>
          <w:b/>
          <w:bCs/>
          <w:color w:val="1A4E8A"/>
          <w:sz w:val="26"/>
          <w:szCs w:val="26"/>
        </w:rPr>
        <w:t>1. The condition, its burden and its causes</w:t>
      </w:r>
      <w:bookmarkEnd w:id="1"/>
    </w:p>
    <w:p w14:paraId="5B8FB822" w14:textId="77777777" w:rsidR="00B95552" w:rsidRDefault="00000000">
      <w:pPr>
        <w:pStyle w:val="Heading2"/>
        <w:spacing w:before="220" w:after="110"/>
      </w:pPr>
      <w:bookmarkStart w:id="2" w:name="_Toc243557639"/>
      <w:r>
        <w:rPr>
          <w:b/>
          <w:bCs/>
          <w:color w:val="0B0B0B"/>
          <w:sz w:val="23"/>
          <w:szCs w:val="23"/>
        </w:rPr>
        <w:t>What type 2 diabetes is</w:t>
      </w:r>
      <w:bookmarkEnd w:id="2"/>
    </w:p>
    <w:p w14:paraId="3397C758" w14:textId="77777777" w:rsidR="00B95552" w:rsidRDefault="00000000">
      <w:r>
        <w:t>Type 2 diabetes is a chronic metabolic disorder in which persistent hyperglycaemia arises from insulin resistance in muscle, liver and adipose tissue together with progressive loss of pancreatic beta-cell function (National Institute for Health and Care Excellence [NICE], 2026). It begins gradually: non-diabetic hyperglycaemia, an HbA1c of 42 to 47 mmol/mol, already carries raised risk below the diagnostic threshold of 48 mmol/mol.</w:t>
      </w:r>
    </w:p>
    <w:p w14:paraId="60C75063" w14:textId="77777777" w:rsidR="00B95552" w:rsidRDefault="00000000">
      <w:pPr>
        <w:pStyle w:val="Heading2"/>
        <w:spacing w:before="220" w:after="110"/>
      </w:pPr>
      <w:bookmarkStart w:id="3" w:name="_Toc243557640"/>
      <w:r>
        <w:rPr>
          <w:b/>
          <w:bCs/>
          <w:color w:val="0B0B0B"/>
          <w:sz w:val="23"/>
          <w:szCs w:val="23"/>
        </w:rPr>
        <w:t>How common it is, and why global estimates disagree</w:t>
      </w:r>
      <w:bookmarkEnd w:id="3"/>
    </w:p>
    <w:p w14:paraId="5963C280" w14:textId="77777777" w:rsidR="00B95552" w:rsidRDefault="00000000">
      <w:r>
        <w:t>The International Diabetes Federation (IDF) estimates in its eleventh Diabetes Atlas that 589 million adults aged 20 to 79 were living with diabetes in 2024, one in nine, of whom 43% are undiagnosed. Four in five live in low- and middle-income countries, and the 2050 projection is 853 million (IDF, 2025). A second authoritative estimate is far higher: the NCD Risk Factor Collaboration pooled 1,108 studies covering 141 million participants and put the figure at 828 million adults aged 18 and over in 2022, prevalence having doubled since 1990 from about 7% to 14% (NCD Risk Factor Collaboration, 2024). The World Health Organization uses a comparable 830 million (World Health Organization, 2024).</w:t>
      </w:r>
    </w:p>
    <w:p w14:paraId="63298EDA" w14:textId="77777777" w:rsidR="00B95552" w:rsidRDefault="00000000">
      <w:r>
        <w:t>Two choices explain most of the gap. NCD-RisC counts adults from 18 with no upper limit, while the IDF headline covers ages 20 to 79, and NCD-RisC defines diabetes by fasting plasma glucose at or above 7.0 mmol/L, or HbA1c at or above 6.5%, or current medication. Its authors argue that fasting glucose alone understates prevalence, particularly in South Asian populations, so UK case-finding on a single test will miss people, concentrated in the highest-risk groups.</w:t>
      </w:r>
    </w:p>
    <w:p w14:paraId="4C5A1FAE" w14:textId="77777777" w:rsidR="00B95552" w:rsidRDefault="00000000">
      <w:pPr>
        <w:pStyle w:val="Heading2"/>
        <w:spacing w:before="220" w:after="110"/>
      </w:pPr>
      <w:bookmarkStart w:id="4" w:name="_Toc243557641"/>
      <w:r>
        <w:rPr>
          <w:b/>
          <w:bCs/>
          <w:color w:val="0B0B0B"/>
          <w:sz w:val="23"/>
          <w:szCs w:val="23"/>
        </w:rPr>
        <w:t>The UK picture and risk factors</w:t>
      </w:r>
      <w:bookmarkEnd w:id="4"/>
    </w:p>
    <w:p w14:paraId="387E31ED" w14:textId="77777777" w:rsidR="00B95552" w:rsidRDefault="00000000">
      <w:r>
        <w:lastRenderedPageBreak/>
        <w:t>Almost 6 million people in the UK were living with diabetes in 2023/24, the highest recorded, and more than 12 million, one in five adults, have diabetes or prediabetes (Diabetes UK, 2025).</w:t>
      </w:r>
    </w:p>
    <w:p w14:paraId="683CAD58" w14:textId="367AFC1C" w:rsidR="005E34B3" w:rsidRDefault="00000000" w:rsidP="005E34B3">
      <w:r>
        <w:t xml:space="preserve">Excess visceral and ectopic fat is the main modifiable driver: fat in liver and pancreas impairs insulin signalling and accelerates beta-cell decline, which is why weight change can alter the course of the disease (Lean et al., 2024). People of South Asian, Black African and African-Caribbean family origin develop insulin resistance at lower body mass index values than White European populations, so NICE applies lower thresholds (NICE, 2026). </w:t>
      </w:r>
      <w:r w:rsidR="005E34B3">
        <w:t>Deprivation also plays a part type 2 diabetes prevalence of adults under 40 in England increased by 51% from 2016/17 to 2023/24 and prevalence in the most deprived fifth of the population is 40% higher than in the least deprived fifth (Diabetes UK, 2025).</w:t>
      </w:r>
    </w:p>
    <w:p w14:paraId="7AD30259" w14:textId="77777777" w:rsidR="005E34B3" w:rsidRDefault="005E34B3" w:rsidP="005E34B3">
      <w:r>
        <w:t>Both counts require attention: registered counts are increasing due to the process of case-finding as well as due to population ageing; undiagnosed estimates are modelled (Wandsworth Council, 2025). The deprivation gradient is more difficult to account for, as it shows up in both register and audit data.</w:t>
      </w:r>
    </w:p>
    <w:p w14:paraId="0F5928ED" w14:textId="0C0E1A6E" w:rsidR="00B95552" w:rsidRDefault="00000000" w:rsidP="005E34B3">
      <w:r>
        <w:rPr>
          <w:b/>
          <w:bCs/>
          <w:color w:val="1A4E8A"/>
          <w:sz w:val="26"/>
          <w:szCs w:val="26"/>
        </w:rPr>
        <w:t>2. Impact on individuals and families, and NHS treatment</w:t>
      </w:r>
    </w:p>
    <w:p w14:paraId="6A83CC89" w14:textId="77777777" w:rsidR="00B95552" w:rsidRDefault="00000000">
      <w:pPr>
        <w:pStyle w:val="Heading2"/>
        <w:spacing w:before="220" w:after="110"/>
      </w:pPr>
      <w:bookmarkStart w:id="5" w:name="_Toc243557642"/>
      <w:r>
        <w:rPr>
          <w:b/>
          <w:bCs/>
          <w:color w:val="0B0B0B"/>
          <w:sz w:val="23"/>
          <w:szCs w:val="23"/>
        </w:rPr>
        <w:t>Physical consequences</w:t>
      </w:r>
      <w:bookmarkEnd w:id="5"/>
    </w:p>
    <w:p w14:paraId="1D932E13" w14:textId="77777777" w:rsidR="005E34B3" w:rsidRDefault="005E34B3" w:rsidP="005E34B3">
      <w:r>
        <w:t>Long-term hyperglycaemia can cause damage to large and small blood vessels, increasing the risk of having a heart attack, stroke and heart failure, as well as the risk of retinopathy, nephropathy (kidney disease) and neuropathy (nerve damage) (NICE, 2026). Diabetic foot disease is the result of peripheral arterial disease and neuropathy, which leads to loss of sensation and allows for minor trauma to develop into necrosis and ulceration and ultimately amputation (Edmonds, Manu and Vas, 2021). Hypoglycaemia (less than 4.0 mmol/L), ketoacidosis and hyperosmolar hyperglycaemic state are three acute emergencies that should be recognised at the hospital front door. However, ketone testing is indicated for all patients who are acutely ill regardless of their glucose level, because ketoacidosis can occur at near normal glucose levels in these patients using SGLT2 inhibitors (Joint British Diabetes Societies for Inpatient Care [JBDS-IP], 2023). In older adults, diabetes is also a factor of “Frailty” (Strain et al., 2021).</w:t>
      </w:r>
    </w:p>
    <w:p w14:paraId="0EF80D61" w14:textId="77777777" w:rsidR="00B95552" w:rsidRDefault="00000000">
      <w:pPr>
        <w:pStyle w:val="Heading2"/>
        <w:spacing w:before="220" w:after="110"/>
      </w:pPr>
      <w:bookmarkStart w:id="6" w:name="_Toc243557643"/>
      <w:r>
        <w:rPr>
          <w:b/>
          <w:bCs/>
          <w:color w:val="0B0B0B"/>
          <w:sz w:val="23"/>
          <w:szCs w:val="23"/>
        </w:rPr>
        <w:t>Psychological consequences</w:t>
      </w:r>
      <w:bookmarkEnd w:id="6"/>
    </w:p>
    <w:p w14:paraId="5D26048C" w14:textId="77777777" w:rsidR="00B95552" w:rsidRDefault="00000000">
      <w:r>
        <w:t xml:space="preserve">Depression and diabetes distress are related but separate: distress arises from the demands of self-management and needs different interventions. Perrin et al. (2017) pooled 55 studies of 36,998 people with type 2 diabetes, finding a prevalence of 36%. Two validated instruments </w:t>
      </w:r>
      <w:r>
        <w:lastRenderedPageBreak/>
        <w:t>are in routine use: the Problem Areas in Diabetes scale and the 17-item Diabetes Distress Scale (Dennick, Sturt and Speight, 2017).</w:t>
      </w:r>
    </w:p>
    <w:p w14:paraId="1689658C" w14:textId="20D786C7" w:rsidR="00B95552" w:rsidRDefault="00000000">
      <w:r>
        <w:t xml:space="preserve">Kelly et al. (2023) surveyed 478 adults in the UK and United States, 78% with type 1 diabetes: 69% reported anxiety, 65% depression, 62% fear of low blood glucose and 68% a negative effect on self-esteem. </w:t>
      </w:r>
      <w:r w:rsidR="005E34B3">
        <w:t>This sample was self-selected and was also skewed towards type 1 diabetes, rather than prevalence of UK type 2 diabetes. With Perrin et al. (2017), it is plausible that a significant minority of people with type 2 diabetes are distressed and a majority of those who seek support are distressed.</w:t>
      </w:r>
    </w:p>
    <w:p w14:paraId="30097AE9" w14:textId="77777777" w:rsidR="00B95552" w:rsidRDefault="00000000">
      <w:pPr>
        <w:pStyle w:val="Heading2"/>
        <w:spacing w:before="220" w:after="110"/>
      </w:pPr>
      <w:bookmarkStart w:id="7" w:name="_Toc243557644"/>
      <w:r>
        <w:rPr>
          <w:b/>
          <w:bCs/>
          <w:color w:val="0B0B0B"/>
          <w:sz w:val="23"/>
          <w:szCs w:val="23"/>
        </w:rPr>
        <w:t>Social consequences and families</w:t>
      </w:r>
      <w:bookmarkEnd w:id="7"/>
    </w:p>
    <w:p w14:paraId="2BDCAE97" w14:textId="77777777" w:rsidR="005E34B3" w:rsidRDefault="005E34B3" w:rsidP="005E34B3">
      <w:r>
        <w:t>Sixty-two percent of those respondents reported feelings of loneliness or isolation, 68% of those who had type 1 but 44% of those who had type 2 (p&lt;0.001), and some believe that stigma associated with diet and weight prevents them from seeking support that they may need ( Kelly et al., 2023).</w:t>
      </w:r>
    </w:p>
    <w:p w14:paraId="4CF51D29" w14:textId="77777777" w:rsidR="00B95552" w:rsidRDefault="00000000">
      <w:r>
        <w:t>Families carry a measurable share. Shah et al. (2025) assessed 261 UK family members with the Family Reported Outcome Measure: mean score 10.47 (SD 7.8), 24.5% reporting a very large or extremely large effect on their own quality of life, and 58.6% disrupted family activities, with burden higher in type 1 families (12.61) than type 2 (9.15). DAWN2, of 2,057 family members across several countries, found 61.3% worried about hypoglycaemia and 37.1% not knowing how to help (Kovacs Burns et al., 2013).</w:t>
      </w:r>
    </w:p>
    <w:p w14:paraId="726C92F8" w14:textId="77777777" w:rsidR="00B95552" w:rsidRDefault="00000000">
      <w:r>
        <w:t>Both have limits. Shah et al. (2025) is cross-sectional, so cannot show direction of causation, and DAWN2 found variation between countries from 31.5% to 86.4% for worry about hypoglycaemia, suggesting health system design shapes caregiver burden as much as the condition. Either way, a service assessing only the patient misses a modifiable source of harm.</w:t>
      </w:r>
    </w:p>
    <w:p w14:paraId="4A4F3592" w14:textId="77777777" w:rsidR="00B95552" w:rsidRDefault="00000000">
      <w:pPr>
        <w:pStyle w:val="Heading2"/>
        <w:spacing w:before="220" w:after="110"/>
      </w:pPr>
      <w:bookmarkStart w:id="8" w:name="_Toc243557645"/>
      <w:r>
        <w:rPr>
          <w:b/>
          <w:bCs/>
          <w:color w:val="0B0B0B"/>
          <w:sz w:val="23"/>
          <w:szCs w:val="23"/>
        </w:rPr>
        <w:t>Evidence-based NHS treatment</w:t>
      </w:r>
      <w:bookmarkEnd w:id="8"/>
    </w:p>
    <w:p w14:paraId="5ED263C9" w14:textId="77777777" w:rsidR="005E34B3" w:rsidRDefault="00000000" w:rsidP="005E34B3">
      <w:r>
        <w:t xml:space="preserve">NICE guideline NG28, updated in February 2026, moved from stepwise glucose lowering towards early organ protection. Modified-release metformin with an SGLT2 inhibitor is now first-line dual therapy for adults generally, not only those with established cardiovascular disease; in atherosclerotic disease triple therapy adds subcutaneous semaglutide first-line, and a GLP-1 receptor agonist or tirzepatide may be considered first-line under 40. </w:t>
      </w:r>
      <w:r w:rsidR="005E34B3">
        <w:t>SGLT2 inhibitors are used beyond glycaemic target and are highlighted as inequities by the guideline as not being used amongst women, older people, some minority ethnic groups and deprived populations (NICE, 2026). There is a need for structured education on diagnosis and annually (NICE, 2023).</w:t>
      </w:r>
    </w:p>
    <w:p w14:paraId="484AF0AF" w14:textId="77777777" w:rsidR="005E34B3" w:rsidRDefault="005E34B3" w:rsidP="005E34B3">
      <w:r>
        <w:lastRenderedPageBreak/>
        <w:t>More than 28,000 people have been supported by the NHS Type 2 Diabetes Path to Remission programme, which is based on DiRECT, and 32% of those who took part in the programme with two HbA1c readings achieved remission, achieving an average weight loss of nearly 16 kg (Diabetes UK, 2025). That 32% excludes dropouts. The sobering numbers for the five-year extension are 13% of the extension group were still in remission at five years compared to 5% of the original controls, and only 26% of those in remission at two years were still in remission at five years (Lean et al., 2024). Remission can happen and is important and valuable, but it is fragile. when it ends, it is a disappointment one that can be avoided by keeping it.</w:t>
      </w:r>
    </w:p>
    <w:p w14:paraId="0D49F489" w14:textId="7E003B2B" w:rsidR="00B95552" w:rsidRDefault="00000000" w:rsidP="005E34B3">
      <w:r>
        <w:rPr>
          <w:b/>
          <w:bCs/>
          <w:color w:val="1A4E8A"/>
          <w:sz w:val="26"/>
          <w:szCs w:val="26"/>
        </w:rPr>
        <w:t>3. Models for improving outcomes</w:t>
      </w:r>
    </w:p>
    <w:p w14:paraId="6936E217" w14:textId="77777777" w:rsidR="00B95552" w:rsidRDefault="00000000">
      <w:pPr>
        <w:pStyle w:val="Heading2"/>
        <w:spacing w:before="220" w:after="110"/>
      </w:pPr>
      <w:bookmarkStart w:id="9" w:name="_Toc243557646"/>
      <w:r>
        <w:rPr>
          <w:b/>
          <w:bCs/>
          <w:color w:val="0B0B0B"/>
          <w:sz w:val="23"/>
          <w:szCs w:val="23"/>
        </w:rPr>
        <w:t>The Chronic Care Model</w:t>
      </w:r>
      <w:bookmarkEnd w:id="9"/>
    </w:p>
    <w:p w14:paraId="6C34D56C" w14:textId="13BC5C17" w:rsidR="006C27AF" w:rsidRDefault="006C27AF" w:rsidP="006C27AF">
      <w:r>
        <w:t>Continuity and a consultation in which the patient's priorities are considered are important needs of long-term conditions which are treated in general practice. The Chronic Care Model (CCM) was developed in the U.S. by Wagner et al. based on the concept that effective outcomes occur when the patient is educated and engaged, and the health care team is prepared and proactive. Wagner et al. (2001) identified six components a system would have to provide: organisational leadership, self-management support, delivery system redesign, decision support, clinical information systems (including registries and recall) and community links.</w:t>
      </w:r>
    </w:p>
    <w:p w14:paraId="41EC75EA" w14:textId="77777777" w:rsidR="006C27AF" w:rsidRDefault="006C27AF" w:rsidP="006C27AF">
      <w:r>
        <w:t>The lack-luster areas are work-related. It was developed within an American managed care environment (with other contracting and incentive structures), it is general and unclear to the UK practices as to what to change, and it was first used in single disease registries. When interpreted on a parochial basis it can become a 'recall' exercise with no change of the consultation (Coulter, Roberts and Dixon, 2013).</w:t>
      </w:r>
    </w:p>
    <w:p w14:paraId="34E9B79D" w14:textId="77777777" w:rsidR="00B95552" w:rsidRDefault="00000000">
      <w:pPr>
        <w:pStyle w:val="Heading2"/>
        <w:spacing w:before="220" w:after="110"/>
      </w:pPr>
      <w:bookmarkStart w:id="10" w:name="_Toc243557647"/>
      <w:r>
        <w:rPr>
          <w:b/>
          <w:bCs/>
          <w:color w:val="0B0B0B"/>
          <w:sz w:val="23"/>
          <w:szCs w:val="23"/>
        </w:rPr>
        <w:t>The House of Care</w:t>
      </w:r>
      <w:bookmarkEnd w:id="10"/>
    </w:p>
    <w:p w14:paraId="0535C207" w14:textId="77777777" w:rsidR="00B95552" w:rsidRDefault="00000000">
      <w:pPr>
        <w:keepNext/>
        <w:keepLines/>
        <w:spacing w:before="240" w:after="90" w:line="240" w:lineRule="auto"/>
        <w:jc w:val="center"/>
      </w:pPr>
      <w:r>
        <w:rPr>
          <w:noProof/>
        </w:rPr>
        <w:lastRenderedPageBreak/>
        <w:drawing>
          <wp:inline distT="0" distB="0" distL="0" distR="0" wp14:anchorId="1DD8A946" wp14:editId="1BE2A8B7">
            <wp:extent cx="5210175" cy="2438400"/>
            <wp:effectExtent l="0" t="0" r="0" b="0"/>
            <wp:docPr id="1985334262" name="Picture 1985334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210175" cy="2438400"/>
                    </a:xfrm>
                    <a:prstGeom prst="rect">
                      <a:avLst/>
                    </a:prstGeom>
                  </pic:spPr>
                </pic:pic>
              </a:graphicData>
            </a:graphic>
          </wp:inline>
        </w:drawing>
      </w:r>
    </w:p>
    <w:p w14:paraId="7A613EA9" w14:textId="1954E0CA" w:rsidR="00B95552" w:rsidRDefault="00000000">
      <w:pPr>
        <w:pStyle w:val="Caption"/>
        <w:spacing w:after="280"/>
      </w:pPr>
      <w:bookmarkStart w:id="11" w:name="_Toc243557657"/>
      <w:r>
        <w:t xml:space="preserve">Figure </w:t>
      </w:r>
      <w:r>
        <w:fldChar w:fldCharType="begin"/>
      </w:r>
      <w:r>
        <w:instrText>SEQ Figure</w:instrText>
      </w:r>
      <w:r>
        <w:fldChar w:fldCharType="separate"/>
      </w:r>
      <w:r w:rsidR="00F42425">
        <w:rPr>
          <w:noProof/>
        </w:rPr>
        <w:t>1</w:t>
      </w:r>
      <w:r>
        <w:fldChar w:fldCharType="end"/>
      </w:r>
      <w:r>
        <w:t>. The House of Care (Coulter, Roberts and Dixon, 2013; Coulter et al., 2016).</w:t>
      </w:r>
      <w:bookmarkEnd w:id="11"/>
    </w:p>
    <w:p w14:paraId="46544933" w14:textId="69E0722A" w:rsidR="006C27AF" w:rsidRDefault="00000000" w:rsidP="006C27AF">
      <w:r>
        <w:t xml:space="preserve">The King's Fund and the Year of Care Partnership adapted Wagner's work for UK general practice as the House of Care (Coulter, Roberts and Dixon, 2013). The care planning conversation sits at the centre, held up by engaged people, committed professionals, </w:t>
      </w:r>
      <w:r w:rsidR="006C27AF">
        <w:t>there</w:t>
      </w:r>
      <w:r w:rsidR="006C27AF">
        <w:t xml:space="preserve"> are several systems in place to support the organisation and responsive commissioning (Figure 1; Coulter et al, 2016). The structure's premise is that removing any element causes the structure to collapse.</w:t>
      </w:r>
    </w:p>
    <w:p w14:paraId="4BC97105" w14:textId="639E4DB3" w:rsidR="00B95552" w:rsidRDefault="006C27AF" w:rsidP="006C27AF">
      <w:r>
        <w:t>This is turned into a sequence a practice can use to prepare, have a conversation, record, agreed action(s), review (Roberts et al., 2019).</w:t>
      </w:r>
      <w:r>
        <w:t xml:space="preserve"> </w:t>
      </w:r>
      <w:r w:rsidR="00000000">
        <w:t>The preparation step carries most of the change: measurements are taken at a first appointment, then results and agenda prompts go to the person over a week ahead, so the clinician no longer holds information the patient has not seen.</w:t>
      </w:r>
    </w:p>
    <w:p w14:paraId="0A01B259" w14:textId="561043C9" w:rsidR="00B95552" w:rsidRDefault="00000000">
      <w:pPr>
        <w:pStyle w:val="Caption"/>
        <w:keepNext/>
        <w:spacing w:before="200" w:after="90"/>
      </w:pPr>
      <w:bookmarkStart w:id="12" w:name="_Toc243557659"/>
      <w:r>
        <w:t xml:space="preserve">Table </w:t>
      </w:r>
      <w:r>
        <w:fldChar w:fldCharType="begin"/>
      </w:r>
      <w:r>
        <w:instrText>SEQ Table</w:instrText>
      </w:r>
      <w:r>
        <w:fldChar w:fldCharType="separate"/>
      </w:r>
      <w:r w:rsidR="00F42425">
        <w:rPr>
          <w:noProof/>
        </w:rPr>
        <w:t>1</w:t>
      </w:r>
      <w:r>
        <w:fldChar w:fldCharType="end"/>
      </w:r>
      <w:r>
        <w:t>. The Chronic Care Model and the House of Care compared.</w:t>
      </w:r>
      <w:bookmarkEnd w:id="12"/>
    </w:p>
    <w:p w14:paraId="1763CDD0" w14:textId="6A0E603D" w:rsidR="00B95552" w:rsidRDefault="006F4E68" w:rsidP="006F4E68">
      <w:pPr>
        <w:spacing w:after="200"/>
        <w:jc w:val="center"/>
      </w:pPr>
      <w:r w:rsidRPr="006F4E68">
        <w:drawing>
          <wp:inline distT="0" distB="0" distL="0" distR="0" wp14:anchorId="448EEEC8" wp14:editId="2676F44F">
            <wp:extent cx="5645428" cy="2196000"/>
            <wp:effectExtent l="0" t="0" r="0" b="1270"/>
            <wp:docPr id="557928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28095" name=""/>
                    <pic:cNvPicPr/>
                  </pic:nvPicPr>
                  <pic:blipFill>
                    <a:blip r:embed="rId9"/>
                    <a:stretch>
                      <a:fillRect/>
                    </a:stretch>
                  </pic:blipFill>
                  <pic:spPr>
                    <a:xfrm>
                      <a:off x="0" y="0"/>
                      <a:ext cx="5645428" cy="2196000"/>
                    </a:xfrm>
                    <a:prstGeom prst="rect">
                      <a:avLst/>
                    </a:prstGeom>
                  </pic:spPr>
                </pic:pic>
              </a:graphicData>
            </a:graphic>
          </wp:inline>
        </w:drawing>
      </w:r>
    </w:p>
    <w:p w14:paraId="6ADB527E" w14:textId="77777777" w:rsidR="00B95552" w:rsidRDefault="00000000">
      <w:pPr>
        <w:pStyle w:val="Heading2"/>
        <w:spacing w:before="220" w:after="110"/>
      </w:pPr>
      <w:bookmarkStart w:id="13" w:name="_Toc243557648"/>
      <w:r>
        <w:rPr>
          <w:b/>
          <w:bCs/>
          <w:color w:val="0B0B0B"/>
          <w:sz w:val="23"/>
          <w:szCs w:val="23"/>
        </w:rPr>
        <w:t>Weighing the evidence</w:t>
      </w:r>
      <w:bookmarkEnd w:id="13"/>
    </w:p>
    <w:p w14:paraId="7AF892DF" w14:textId="77777777" w:rsidR="00B95552" w:rsidRDefault="00000000">
      <w:r>
        <w:lastRenderedPageBreak/>
        <w:t>The strongest evidence for the mechanism both rely on is Coulter et al. (2015), a Cochrane review of 19 randomised trials and 10,856 participants. Personalised care planning produced a mean HbA1c reduction of 0.24% (95% CI -0.35 to -0.14) and systolic blood pressure reduction of 2.64 mmHg (95% CI -4.47 to -0.82), with no effect on diastolic pressure or cholesterol. Effects on mental health and capability were larger: depression improved by a standardised mean difference of -0.36 (95% CI -0.52 to -0.20), self-efficacy by 0.25 (95% CI 0.07 to 0.43). The reviewers judged it promising but the effects not large, on moderate-quality evidence, with greater benefit where the process was comprehensive and built into routine care.</w:t>
      </w:r>
    </w:p>
    <w:p w14:paraId="2D2772D1" w14:textId="0A99FB05" w:rsidR="00B95552" w:rsidRDefault="00000000">
      <w:r>
        <w:t xml:space="preserve">The House of Care's own evidence is weaker than its adoption suggests. </w:t>
      </w:r>
      <w:r w:rsidR="006C27AF">
        <w:t>Roberts et al (2019) found that over 40 health communities saw a better patient experience, staff satisfaction and care process completion</w:t>
      </w:r>
      <w:r w:rsidR="00484411">
        <w:t xml:space="preserve"> </w:t>
      </w:r>
      <w:r w:rsidR="006C27AF">
        <w:t>one of which jumped from the bottom 10% of all health communities to the top of the nation's list.</w:t>
      </w:r>
      <w:r w:rsidR="006C27AF">
        <w:t xml:space="preserve"> </w:t>
      </w:r>
      <w:r>
        <w:t>They also state that this was a feasibility study rather than a controlled comparison, that behaviour change was self-reported, that improvements could not be separated from wider system changes, and that several authors developed the approach being evaluated. The independent evaluation of the British Heart Foundation programme was positive, but rested on site self-evaluations and interviews rather than biomedical outcomes (ICF International, 2018). One barrier recurred: practices dropped the preparation step for convenience.</w:t>
      </w:r>
    </w:p>
    <w:p w14:paraId="5A044F58" w14:textId="77777777" w:rsidR="006C27AF" w:rsidRDefault="00000000" w:rsidP="006C27AF">
      <w:r>
        <w:t xml:space="preserve">Care planning therefore works modestly, its largest benefit is psychological, and that benefit depends on running the whole sequence. </w:t>
      </w:r>
      <w:r w:rsidR="006C27AF">
        <w:t>This reaffirms the House of Care's emphasis on all four: the Cochrane evidence points to the one step practices that drop first as having the effect.</w:t>
      </w:r>
    </w:p>
    <w:p w14:paraId="2997D36E" w14:textId="7264CC77" w:rsidR="00B95552" w:rsidRDefault="00000000" w:rsidP="006C27AF">
      <w:r>
        <w:rPr>
          <w:b/>
          <w:bCs/>
          <w:color w:val="1A4E8A"/>
          <w:sz w:val="26"/>
          <w:szCs w:val="26"/>
        </w:rPr>
        <w:t>4. National and local policy</w:t>
      </w:r>
    </w:p>
    <w:p w14:paraId="4096E114" w14:textId="77777777" w:rsidR="00B95552" w:rsidRDefault="00000000">
      <w:pPr>
        <w:pStyle w:val="Heading2"/>
        <w:spacing w:before="220" w:after="110"/>
      </w:pPr>
      <w:bookmarkStart w:id="14" w:name="_Toc243557649"/>
      <w:r>
        <w:rPr>
          <w:b/>
          <w:bCs/>
          <w:color w:val="0B0B0B"/>
          <w:sz w:val="23"/>
          <w:szCs w:val="23"/>
        </w:rPr>
        <w:t>Statutory structures</w:t>
      </w:r>
      <w:bookmarkEnd w:id="14"/>
    </w:p>
    <w:p w14:paraId="774585FE" w14:textId="775FBB1A" w:rsidR="00B95552" w:rsidRDefault="006C27AF">
      <w:r>
        <w:t>In England Integrated Care Systems are given a statutory basis by the Health and Care Act 2022, are managed by Integrated Care Boards and are judged by the Care Quality Commission.</w:t>
      </w:r>
      <w:r>
        <w:t xml:space="preserve"> </w:t>
      </w:r>
      <w:r w:rsidR="00000000">
        <w:t>Diabetes care runs through Primary Care Networks, and ICBs turn national guidance into local prescribing pathways.</w:t>
      </w:r>
    </w:p>
    <w:p w14:paraId="41325749" w14:textId="77777777" w:rsidR="00B95552" w:rsidRDefault="00000000">
      <w:r>
        <w:t>The House of Commons Health and Social Care Committee (2023) reached conclusions bearing directly on diabetes. It found it unclear what ICSs must deliver or how they will be held to account, warned that central bodies could revert to top-down performance management, and noted that pressures on elective care risk crowding out prevention. Finding no mandated public health representation on boards, it warned that ICSs could become a sickness service. Prevention and community capacity are what diabetes management runs on.</w:t>
      </w:r>
    </w:p>
    <w:p w14:paraId="434B68A8" w14:textId="77777777" w:rsidR="00B95552" w:rsidRDefault="00000000">
      <w:pPr>
        <w:pStyle w:val="Heading2"/>
        <w:spacing w:before="220" w:after="110"/>
      </w:pPr>
      <w:bookmarkStart w:id="15" w:name="_Toc243557650"/>
      <w:r>
        <w:rPr>
          <w:b/>
          <w:bCs/>
          <w:color w:val="0B0B0B"/>
          <w:sz w:val="23"/>
          <w:szCs w:val="23"/>
        </w:rPr>
        <w:lastRenderedPageBreak/>
        <w:t>Core20PLUS5</w:t>
      </w:r>
      <w:bookmarkEnd w:id="15"/>
    </w:p>
    <w:p w14:paraId="3EFAC667" w14:textId="77777777" w:rsidR="00B95552" w:rsidRDefault="00000000">
      <w:r>
        <w:t>Core20PLUS5 directs systems to the most deprived 20% by Index of Multiple Deprivation, plus locally identified groups with worse outcomes. The five adult clinical priorities are maternity, severe mental illness, chronic respiratory disease, early cancer diagnosis, and hypertension case-finding with lipid optimisation (NHS England, 2023).</w:t>
      </w:r>
    </w:p>
    <w:p w14:paraId="359A414C" w14:textId="77777777" w:rsidR="00B95552" w:rsidRDefault="00000000">
      <w:r>
        <w:t>Diabetes is not among them; it appears only in the children and young people framework. Against the deprivation gradient described earlier (Diabetes UK, 2025), its absence is a real gap between national inequality policy and disease burden. Two qualifications soften it: hypertension case-finding and lipid optimisation capture much of the cardiovascular risk driving excess mortality in diabetes, and systems can name diabetes a local PLUS priority. A local priority, though, does not attract the national reporting, funding or improvement infrastructure that one of the five does.</w:t>
      </w:r>
    </w:p>
    <w:p w14:paraId="79C7DF51" w14:textId="77777777" w:rsidR="00B95552" w:rsidRDefault="00000000">
      <w:pPr>
        <w:pStyle w:val="Heading2"/>
        <w:spacing w:before="220" w:after="110"/>
      </w:pPr>
      <w:bookmarkStart w:id="16" w:name="_Toc243557651"/>
      <w:r>
        <w:rPr>
          <w:b/>
          <w:bCs/>
          <w:color w:val="0B0B0B"/>
          <w:sz w:val="23"/>
          <w:szCs w:val="23"/>
        </w:rPr>
        <w:t>The gap between policy and delivery</w:t>
      </w:r>
      <w:bookmarkEnd w:id="16"/>
    </w:p>
    <w:p w14:paraId="03CF170C" w14:textId="77777777" w:rsidR="00B95552" w:rsidRDefault="00000000">
      <w:pPr>
        <w:keepNext/>
        <w:keepLines/>
        <w:spacing w:before="240" w:after="90" w:line="240" w:lineRule="auto"/>
        <w:jc w:val="center"/>
      </w:pPr>
      <w:r>
        <w:rPr>
          <w:noProof/>
        </w:rPr>
        <w:drawing>
          <wp:inline distT="0" distB="0" distL="0" distR="0" wp14:anchorId="616F367E" wp14:editId="028A5A97">
            <wp:extent cx="5391150" cy="1838325"/>
            <wp:effectExtent l="0" t="0" r="0" b="0"/>
            <wp:docPr id="1546066939" name="Picture 1546066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91150" cy="1838325"/>
                    </a:xfrm>
                    <a:prstGeom prst="rect">
                      <a:avLst/>
                    </a:prstGeom>
                  </pic:spPr>
                </pic:pic>
              </a:graphicData>
            </a:graphic>
          </wp:inline>
        </w:drawing>
      </w:r>
    </w:p>
    <w:p w14:paraId="3AB3DB23" w14:textId="1EA50D93" w:rsidR="00B95552" w:rsidRDefault="00000000">
      <w:pPr>
        <w:pStyle w:val="Caption"/>
        <w:spacing w:after="280"/>
      </w:pPr>
      <w:bookmarkStart w:id="17" w:name="_Toc243557658"/>
      <w:r>
        <w:t xml:space="preserve">Figure </w:t>
      </w:r>
      <w:r>
        <w:fldChar w:fldCharType="begin"/>
      </w:r>
      <w:r>
        <w:instrText>SEQ Figure</w:instrText>
      </w:r>
      <w:r>
        <w:fldChar w:fldCharType="separate"/>
      </w:r>
      <w:r w:rsidR="00F42425">
        <w:rPr>
          <w:noProof/>
        </w:rPr>
        <w:t>2</w:t>
      </w:r>
      <w:r>
        <w:fldChar w:fldCharType="end"/>
      </w:r>
      <w:r>
        <w:t>. Completion of all eight care processes, 2021/22 (NHS England, 2022).</w:t>
      </w:r>
      <w:bookmarkEnd w:id="17"/>
    </w:p>
    <w:p w14:paraId="20EA94E6" w14:textId="77777777" w:rsidR="00B95552" w:rsidRDefault="00000000">
      <w:r>
        <w:t>NICE specifies nine annual care processes and three treatment targets: HbA1c at or below 58 mmol/mol, blood pressure at or below 140/80 mmHg, and a statin where cardiovascular risk is high (NICE, 2023). National Diabetes Audit data for 2021/22 show uneven achievement. Among people with type 2 diabetes, 44.7% in the most deprived quintile completed all eight recorded care processes against 51.1% in the least deprived, but the widest variation was between organisations: 16.3% to 56.3% across ICBs for type 1, and 26.1% to 63.0% for type 2 (NHS England, 2022).</w:t>
      </w:r>
    </w:p>
    <w:p w14:paraId="644C513D" w14:textId="3B55D45F" w:rsidR="006C27AF" w:rsidRDefault="006C27AF" w:rsidP="006C27AF">
      <w:r>
        <w:t xml:space="preserve">The disparity between systems is several </w:t>
      </w:r>
      <w:r w:rsidR="00357B97">
        <w:t>folds</w:t>
      </w:r>
      <w:r>
        <w:t xml:space="preserve"> greater than that between deprivation groups, challenging the problem even further: capacity of the systems, staffing, administrative process, are more likely to account for the shortfall than deprivation of the patients. From another perspective, Khunti et al. (2018) found it was more than one year between above-target HbA1c </w:t>
      </w:r>
      <w:r>
        <w:lastRenderedPageBreak/>
        <w:t>and treatment intensification (0.3 to &gt;7.2 years the median was more than a year). This won't close a gap of this shape with policy which targets patient behaviour mostly.</w:t>
      </w:r>
    </w:p>
    <w:p w14:paraId="5ED56F7E" w14:textId="77777777" w:rsidR="006C27AF" w:rsidRDefault="006C27AF" w:rsidP="006C27AF">
      <w:r>
        <w:t>But another twist is within the targets. In individuals aged &gt;75 years with moderate-severe frailty, strain et al (2021) recommend a low HbA1c (&lt;53 mmol/mol) is associated with a high hypoglycaemia risk so a re-check is justified if it is below 48 mmol/mol, and stopping glucose-lowering treatment is reasonable. The measure of the uniform 58 mmol/mol can be a carrot for overtreatment in the group most likely to be harmed by overtreatment. The relationship of audit measures and individualised care are not at ease.</w:t>
      </w:r>
    </w:p>
    <w:p w14:paraId="3D2328EA" w14:textId="77777777" w:rsidR="006C27AF" w:rsidRDefault="006C27AF" w:rsidP="006C27AF">
      <w:r>
        <w:t>This is also reflected in local intelligence. The Wandsworth Joint Strategic Needs Assessment (JSNA) shows that there are 16,749 people registered with a GP for diabetes and 4.8% of them are living with diabetes (Wandsworth Council 2025). It is estimated that there are 10,753 people in the borough with undiagnosed diabetes and 18,650 with non-diabetic hyperglycaemia who are not aware of their risk (Wandsworth Council 2025). The numbers in these modelled figures are indicative, but represent a borough that is not being monitored or prevented. It is limited elsewhere: bariatric surgery is effective in attaining remission of type 2 diabetes in 30-62% of people, but the NHS does fewer than 5,000 bariatrics surgery per year, while there are approximately 3.2 million adults who could take advantage of it (Diabetes UK, 2025).</w:t>
      </w:r>
    </w:p>
    <w:p w14:paraId="7F9FC0D2" w14:textId="77777777" w:rsidR="00B95552" w:rsidRDefault="00000000">
      <w:pPr>
        <w:pStyle w:val="Heading1"/>
        <w:spacing w:before="320"/>
      </w:pPr>
      <w:bookmarkStart w:id="18" w:name="_Toc243557652"/>
      <w:r>
        <w:rPr>
          <w:b/>
          <w:bCs/>
          <w:color w:val="1A4E8A"/>
          <w:sz w:val="26"/>
          <w:szCs w:val="26"/>
        </w:rPr>
        <w:t>5. Recommendations</w:t>
      </w:r>
      <w:bookmarkEnd w:id="18"/>
    </w:p>
    <w:p w14:paraId="2EB527A2" w14:textId="77777777" w:rsidR="00B95552" w:rsidRDefault="00000000">
      <w:pPr>
        <w:pStyle w:val="Heading2"/>
        <w:spacing w:before="220" w:after="110"/>
      </w:pPr>
      <w:bookmarkStart w:id="19" w:name="_Toc243557653"/>
      <w:r>
        <w:rPr>
          <w:b/>
          <w:bCs/>
          <w:color w:val="0B0B0B"/>
          <w:sz w:val="23"/>
          <w:szCs w:val="23"/>
        </w:rPr>
        <w:t>Person-centred care and self-management</w:t>
      </w:r>
      <w:bookmarkEnd w:id="19"/>
    </w:p>
    <w:p w14:paraId="69179C9D" w14:textId="62469FD0" w:rsidR="006C27AF" w:rsidRDefault="006C27AF" w:rsidP="006C27AF">
      <w:r>
        <w:t>Include distress screening within rather than alongside the care planning process. Practices should include the Problem Areas in Diabetes scale or the Diabetes Distress Scale in the pre-consultation pack, otherwise emotional burden will not be brought to the agenda by the patient, but will be left to the clinician's mind to pick up. Indeed, the evidence backs it up: the greatest impact that Coulter et al. (2015) could gauge was on depression a subject that is not addressed by a biomedical review. Following, diabetes UK (2019) leads the conversations.</w:t>
      </w:r>
    </w:p>
    <w:p w14:paraId="7CF1DC67" w14:textId="77777777" w:rsidR="00B95552" w:rsidRDefault="00000000">
      <w:r>
        <w:t>Treat the household as the unit of care where a family member shares daily management. Offer the Family Reported Outcome Measure to partners and parents at annual review, and support both where glucose monitoring data are shared. Nearly a quarter of UK family members report a very large or extremely large effect on their own quality of life (Shah et al., 2025), and over a third of DAWN2 families did not know how to help (Kovacs Burns et al., 2013).</w:t>
      </w:r>
    </w:p>
    <w:p w14:paraId="289EE2BC" w14:textId="77777777" w:rsidR="006C27AF" w:rsidRDefault="006C27AF" w:rsidP="006C27AF">
      <w:r>
        <w:lastRenderedPageBreak/>
        <w:t>Focus on gaps that are identified, not average. ICBs should include diabetes in their local Core20PLUS5 priority lists, include case-finding in local needs assessments at both undiagnosed and non-diabetic hyperglycaemia populations and ensure that they publish the completion of care processes for their network as it will be possible to compare with other networks in a range of 26.1% to 63.0%. More than just relying on individuals' enthusiasm, supported self-management should be commissioned with the support of trained staff and community linkages (Health Foundation, 2015).</w:t>
      </w:r>
    </w:p>
    <w:p w14:paraId="726D1771" w14:textId="77777777" w:rsidR="006C27AF" w:rsidRDefault="006C27AF" w:rsidP="006C27AF">
      <w:r>
        <w:t>Set realistic goals, and discuss treatment, both ways. If you are providing the Path to Remission programme, explain the 5-year number in addition to the 1-year number, as this makes it more of a pattern to follow, rather than being seen as a personal failure. Questions should be asked at annual review about the need for reduction in the treatment as well as intensification, especially for frailty (Strain et al., 2021).</w:t>
      </w:r>
    </w:p>
    <w:p w14:paraId="7263DB92" w14:textId="77777777" w:rsidR="00B95552" w:rsidRDefault="00000000">
      <w:pPr>
        <w:pStyle w:val="Heading2"/>
        <w:spacing w:before="220" w:after="110"/>
      </w:pPr>
      <w:bookmarkStart w:id="20" w:name="_Toc243557654"/>
      <w:r>
        <w:rPr>
          <w:b/>
          <w:bCs/>
          <w:color w:val="0B0B0B"/>
          <w:sz w:val="23"/>
          <w:szCs w:val="23"/>
        </w:rPr>
        <w:t>Care at the end of life</w:t>
      </w:r>
      <w:bookmarkEnd w:id="20"/>
    </w:p>
    <w:p w14:paraId="4D966AE5" w14:textId="776A9969" w:rsidR="006C27AF" w:rsidRDefault="006C27AF" w:rsidP="006C27AF">
      <w:r>
        <w:t xml:space="preserve">The </w:t>
      </w:r>
      <w:r>
        <w:t>end-of-life</w:t>
      </w:r>
      <w:r>
        <w:t xml:space="preserve"> component of the pathway is the least designed aspect of services. The most recent (2024) version of the Trend Diabetes guidance is the UK reference standard. When death is imminent (within the next 12 months), the person is near the end of life. The disease is staged in colours which mirror the colours used in the Gold Standards Framework: blue (stable disease with a prognosis of 1 year or more); green and yellow (the last days of life).</w:t>
      </w:r>
    </w:p>
    <w:p w14:paraId="1E8FAD08" w14:textId="77777777" w:rsidR="006C27AF" w:rsidRDefault="006C27AF" w:rsidP="006C27AF">
      <w:r>
        <w:t>There are 2 aims rather than the target and they are: keeping the glucose level below 4.0 mmol/L (hypoglycaemia threshold) and keeping it above 6 mmol/L; and keeping the level below 15 mmol/L (hypoglycaemia limit) to limit the risk of osmotic symptoms. It also claims there is no published evidence in support of a specific range and that this is a pragmatic consensus is a misrepresentation of the evidence that they base their actions upon.</w:t>
      </w:r>
    </w:p>
    <w:p w14:paraId="08EDDD95" w14:textId="77777777" w:rsidR="006C27AF" w:rsidRDefault="006C27AF" w:rsidP="006C27AF">
      <w:r>
        <w:t>The review of all medicines should then take place. Various medications, such as ACE inhibitors, angiotensin receptor blockers, antihypertensives, aspirin and statins may be reduced or discontinued with the person and their family as well as GLP-1 receptor agonists which affect appetite, and SGLT2 inhibitors which affect fluid balance and risk of infection. Handling of insulin is related to the type of diabetes. Insulin may be stopped if there is no deterioration in control in type 2 diabetes; be aware of hyperosmolar hyperglycaemic state (HHS) when people use corticosteroid drugs. In type 1, it may not be stopped as it may lead to ketoacidosis so the regimen is made simpler, typically with once-daily basal insulin (Trend Diabetes, 2024).</w:t>
      </w:r>
    </w:p>
    <w:p w14:paraId="5AF5F437" w14:textId="479232C3" w:rsidR="006C27AF" w:rsidRDefault="006C27AF" w:rsidP="006C27AF">
      <w:r w:rsidRPr="00847816">
        <w:t xml:space="preserve">The guidance recognizes this as a “clinical and ethical dilemma” of deprescribing. The clinicians involved, the person and their family should be consulted and this should be </w:t>
      </w:r>
      <w:r w:rsidRPr="00847816">
        <w:lastRenderedPageBreak/>
        <w:t xml:space="preserve">documented in the notes, within the General Medical Council (2024) guidelines. That is a discussion that needs to take place not at the </w:t>
      </w:r>
      <w:r w:rsidRPr="00847816">
        <w:t>bedside</w:t>
      </w:r>
      <w:r w:rsidRPr="00847816">
        <w:t>, but in the care plan.</w:t>
      </w:r>
    </w:p>
    <w:p w14:paraId="1EED5062" w14:textId="77777777" w:rsidR="00B95552" w:rsidRDefault="00000000">
      <w:pPr>
        <w:pStyle w:val="Heading1"/>
        <w:spacing w:before="320"/>
      </w:pPr>
      <w:bookmarkStart w:id="21" w:name="_Toc243557655"/>
      <w:r>
        <w:rPr>
          <w:b/>
          <w:bCs/>
          <w:color w:val="1A4E8A"/>
          <w:sz w:val="26"/>
          <w:szCs w:val="26"/>
        </w:rPr>
        <w:t>6. Conclusion</w:t>
      </w:r>
      <w:bookmarkEnd w:id="21"/>
    </w:p>
    <w:p w14:paraId="113193AD" w14:textId="1717795D" w:rsidR="00B95552" w:rsidRDefault="00000000">
      <w:r>
        <w:t xml:space="preserve">Type 2 diabetes in the UK now affects almost 6 million people, concentrated in the most deprived communities and increasingly in adults under 40. The February 2026 revision of NG28 brings organ protection forward to diagnosis, but the limiting factor is no longer mainly pharmacological. Care process completion ranges from a quarter to under two-thirds depending on the system a person belongs to, intensification is typically delayed over a year, and adult diabetes sits outside the national inequalities priorities. The care planning evidence </w:t>
      </w:r>
      <w:r w:rsidR="005825FA">
        <w:t>agrees</w:t>
      </w:r>
      <w:r>
        <w:t xml:space="preserve"> gains are modest, largest in psychological health, and dependent on running the whole process. Four changes follow: prepare people before consultations, screen for distress and caregiver strain as routinely as for albuminuria, review treatment downwards as well as upwards, and plan for the last year of life before it arrives.</w:t>
      </w:r>
    </w:p>
    <w:p w14:paraId="35FAFFAF" w14:textId="77777777" w:rsidR="00B95552" w:rsidRDefault="00000000">
      <w:r>
        <w:br w:type="page"/>
      </w:r>
    </w:p>
    <w:p w14:paraId="792F9A03" w14:textId="77777777" w:rsidR="00B95552" w:rsidRDefault="00000000">
      <w:pPr>
        <w:pStyle w:val="Heading1"/>
        <w:spacing w:before="320"/>
      </w:pPr>
      <w:bookmarkStart w:id="22" w:name="_Toc243557656"/>
      <w:r>
        <w:rPr>
          <w:b/>
          <w:bCs/>
          <w:color w:val="1A4E8A"/>
          <w:sz w:val="26"/>
          <w:szCs w:val="26"/>
        </w:rPr>
        <w:lastRenderedPageBreak/>
        <w:t>7. Reference list</w:t>
      </w:r>
      <w:bookmarkEnd w:id="22"/>
    </w:p>
    <w:p w14:paraId="32346332" w14:textId="77777777" w:rsidR="00B95552" w:rsidRDefault="00000000">
      <w:pPr>
        <w:spacing w:after="200"/>
        <w:ind w:left="720" w:hanging="720"/>
        <w:jc w:val="left"/>
      </w:pPr>
      <w:r>
        <w:t xml:space="preserve">Coulter, A., Entwistle, V.A., Eccles, A., Ryan, S., Shepperd, S. and Perera, R. (2015) 'Personalised care planning for adults with chronic or long-term health conditions', </w:t>
      </w:r>
      <w:r>
        <w:rPr>
          <w:i/>
          <w:iCs/>
        </w:rPr>
        <w:t>Cochrane Database of Systematic Reviews</w:t>
      </w:r>
      <w:r>
        <w:t>, (3), CD010523. doi: 10.1002/14651858.CD010523.pub2.</w:t>
      </w:r>
    </w:p>
    <w:p w14:paraId="1ECE439E" w14:textId="77777777" w:rsidR="00B95552" w:rsidRDefault="00000000">
      <w:pPr>
        <w:spacing w:after="200"/>
        <w:ind w:left="720" w:hanging="720"/>
        <w:jc w:val="left"/>
      </w:pPr>
      <w:r>
        <w:t xml:space="preserve">Coulter, A., Kramer, G., Warren, T. and Salisbury, C. (2016) 'Building the house of care for people with long-term conditions: the foundation of the house of care framework', </w:t>
      </w:r>
      <w:r>
        <w:rPr>
          <w:i/>
          <w:iCs/>
        </w:rPr>
        <w:t>British Journal of General Practice</w:t>
      </w:r>
      <w:r>
        <w:t>, 66(645), pp. e288–e290. doi: 10.3399/bjgp16X684745.</w:t>
      </w:r>
    </w:p>
    <w:p w14:paraId="6A04BEB1" w14:textId="77777777" w:rsidR="00B95552" w:rsidRDefault="00000000">
      <w:pPr>
        <w:spacing w:after="200"/>
        <w:ind w:left="720" w:hanging="720"/>
        <w:jc w:val="left"/>
      </w:pPr>
      <w:r>
        <w:t xml:space="preserve">Coulter, A., Roberts, S. and Dixon, A. (2013) </w:t>
      </w:r>
      <w:r>
        <w:rPr>
          <w:i/>
          <w:iCs/>
        </w:rPr>
        <w:t>Delivering better services for people with long-term conditions: building the house of care</w:t>
      </w:r>
      <w:r>
        <w:t>. London: The King's Fund.</w:t>
      </w:r>
    </w:p>
    <w:p w14:paraId="53147247" w14:textId="77777777" w:rsidR="00B95552" w:rsidRDefault="00000000">
      <w:pPr>
        <w:spacing w:after="200"/>
        <w:ind w:left="720" w:hanging="720"/>
        <w:jc w:val="left"/>
      </w:pPr>
      <w:r>
        <w:t xml:space="preserve">Dennick, K., Sturt, J. and Speight, J. (2017) 'What is diabetes distress and how can we measure it? A narrative review and conceptual model', </w:t>
      </w:r>
      <w:r>
        <w:rPr>
          <w:i/>
          <w:iCs/>
        </w:rPr>
        <w:t>Journal of Diabetes and its Complications</w:t>
      </w:r>
      <w:r>
        <w:t>, 31(5), pp. 898–911. doi: 10.1016/j.jdiacomp.2016.12.018.</w:t>
      </w:r>
    </w:p>
    <w:p w14:paraId="5270EFCC" w14:textId="77777777" w:rsidR="00B95552" w:rsidRDefault="00000000">
      <w:pPr>
        <w:spacing w:after="200"/>
        <w:ind w:left="720" w:hanging="720"/>
        <w:jc w:val="left"/>
      </w:pPr>
      <w:r>
        <w:t xml:space="preserve">Diabetes UK (2019) </w:t>
      </w:r>
      <w:r>
        <w:rPr>
          <w:i/>
          <w:iCs/>
        </w:rPr>
        <w:t>Diabetes and emotional health: a practical guide for healthcare professionals supporting adults with type 1 and type 2 diabetes</w:t>
      </w:r>
      <w:r>
        <w:t>. UK edn. London: Diabetes UK.</w:t>
      </w:r>
    </w:p>
    <w:p w14:paraId="51AC556D" w14:textId="385A1B08" w:rsidR="00B95552" w:rsidRDefault="00000000">
      <w:pPr>
        <w:spacing w:after="200"/>
        <w:ind w:left="720" w:hanging="720"/>
        <w:jc w:val="left"/>
      </w:pPr>
      <w:r>
        <w:t xml:space="preserve">Diabetes UK (2025) </w:t>
      </w:r>
      <w:r>
        <w:rPr>
          <w:i/>
          <w:iCs/>
        </w:rPr>
        <w:t>Written evidence submitted by Diabetes UK (FWM0122) to the House of Commons Health and Social Care Committee inquiry into food and weight management</w:t>
      </w:r>
      <w:r>
        <w:t xml:space="preserve">. London: House of Commons. Available at: </w:t>
      </w:r>
      <w:hyperlink r:id="rId11" w:history="1">
        <w:r w:rsidR="00086948" w:rsidRPr="00AE31C8">
          <w:rPr>
            <w:rStyle w:val="Hyperlink"/>
          </w:rPr>
          <w:t>https://committees.parliament.uk/writtenevidence/147728/pdf/</w:t>
        </w:r>
      </w:hyperlink>
      <w:r>
        <w:t>.</w:t>
      </w:r>
      <w:r w:rsidR="00086948">
        <w:t xml:space="preserve"> </w:t>
      </w:r>
    </w:p>
    <w:p w14:paraId="5B561B26" w14:textId="77777777" w:rsidR="00B95552" w:rsidRDefault="00000000">
      <w:pPr>
        <w:spacing w:after="200"/>
        <w:ind w:left="720" w:hanging="720"/>
        <w:jc w:val="left"/>
      </w:pPr>
      <w:r>
        <w:t xml:space="preserve">Edmonds, M., Manu, C. and Vas, P. (2021) 'The current burden of diabetic foot disease', </w:t>
      </w:r>
      <w:r>
        <w:rPr>
          <w:i/>
          <w:iCs/>
        </w:rPr>
        <w:t>Journal of Clinical Orthopaedics and Trauma</w:t>
      </w:r>
      <w:r>
        <w:t>, 17, pp. 88–93. doi: 10.1016/j.jcot.2021.01.017.</w:t>
      </w:r>
    </w:p>
    <w:p w14:paraId="115C77DE" w14:textId="77777777" w:rsidR="00B95552" w:rsidRDefault="00000000">
      <w:pPr>
        <w:spacing w:after="200"/>
        <w:ind w:left="720" w:hanging="720"/>
        <w:jc w:val="left"/>
      </w:pPr>
      <w:r>
        <w:t xml:space="preserve">General Medical Council (2024) </w:t>
      </w:r>
      <w:r>
        <w:rPr>
          <w:i/>
          <w:iCs/>
        </w:rPr>
        <w:t>Treatment and care towards the end of life: good practice in decision making</w:t>
      </w:r>
      <w:r>
        <w:t>. Manchester: General Medical Council.</w:t>
      </w:r>
    </w:p>
    <w:p w14:paraId="236F4B2E" w14:textId="313F804C" w:rsidR="00B95552" w:rsidRDefault="00000000">
      <w:pPr>
        <w:spacing w:after="200"/>
        <w:ind w:left="720" w:hanging="720"/>
        <w:jc w:val="left"/>
      </w:pPr>
      <w:r>
        <w:t xml:space="preserve">Health and Care Act 2022, c. 31. Available at: </w:t>
      </w:r>
      <w:hyperlink r:id="rId12" w:history="1">
        <w:r w:rsidR="00086948" w:rsidRPr="00AE31C8">
          <w:rPr>
            <w:rStyle w:val="Hyperlink"/>
          </w:rPr>
          <w:t>https://www.legislation.gov.uk/ukpga/2022/31</w:t>
        </w:r>
      </w:hyperlink>
      <w:r>
        <w:t>.</w:t>
      </w:r>
      <w:r w:rsidR="00086948">
        <w:t xml:space="preserve"> </w:t>
      </w:r>
    </w:p>
    <w:p w14:paraId="7FA3DAC8" w14:textId="65AA1EE7" w:rsidR="00B95552" w:rsidRDefault="00000000">
      <w:pPr>
        <w:spacing w:after="200"/>
        <w:ind w:left="720" w:hanging="720"/>
        <w:jc w:val="left"/>
      </w:pPr>
      <w:r>
        <w:t xml:space="preserve">Health Foundation (2015) </w:t>
      </w:r>
      <w:r>
        <w:rPr>
          <w:i/>
          <w:iCs/>
        </w:rPr>
        <w:t>A practical guide to self-management support</w:t>
      </w:r>
      <w:r>
        <w:t xml:space="preserve">. London: The Health Foundation. Available at: </w:t>
      </w:r>
      <w:hyperlink r:id="rId13" w:history="1">
        <w:r w:rsidR="00086948" w:rsidRPr="00AE31C8">
          <w:rPr>
            <w:rStyle w:val="Hyperlink"/>
          </w:rPr>
          <w:t>https://www.health.org.uk/publication/practical-guide-self-management-support</w:t>
        </w:r>
      </w:hyperlink>
      <w:r>
        <w:t>.</w:t>
      </w:r>
      <w:r w:rsidR="00086948">
        <w:t xml:space="preserve"> </w:t>
      </w:r>
    </w:p>
    <w:p w14:paraId="4C0D17E7" w14:textId="3EE75DA2" w:rsidR="00B95552" w:rsidRDefault="00000000">
      <w:pPr>
        <w:spacing w:after="200"/>
        <w:ind w:left="720" w:hanging="720"/>
        <w:jc w:val="left"/>
      </w:pPr>
      <w:r>
        <w:lastRenderedPageBreak/>
        <w:t xml:space="preserve">House of Commons Health and Social Care Committee (2023) </w:t>
      </w:r>
      <w:r>
        <w:rPr>
          <w:i/>
          <w:iCs/>
        </w:rPr>
        <w:t>Integrated care systems: autonomy and accountability. Seventh report of session 2022–23</w:t>
      </w:r>
      <w:r>
        <w:t xml:space="preserve">. London: House of Commons. Available at: </w:t>
      </w:r>
      <w:hyperlink r:id="rId14" w:history="1">
        <w:r w:rsidR="00086948" w:rsidRPr="00AE31C8">
          <w:rPr>
            <w:rStyle w:val="Hyperlink"/>
          </w:rPr>
          <w:t>https://publications.parliament.uk/pa/cm5803/cmselect/cmhealth/587/report.html</w:t>
        </w:r>
      </w:hyperlink>
      <w:r>
        <w:t>.</w:t>
      </w:r>
      <w:r w:rsidR="00086948">
        <w:t xml:space="preserve"> </w:t>
      </w:r>
    </w:p>
    <w:p w14:paraId="2D5ACC51" w14:textId="77777777" w:rsidR="00B95552" w:rsidRDefault="00000000">
      <w:pPr>
        <w:spacing w:after="200"/>
        <w:ind w:left="720" w:hanging="720"/>
        <w:jc w:val="left"/>
      </w:pPr>
      <w:r>
        <w:t xml:space="preserve">ICF International (2018) </w:t>
      </w:r>
      <w:r>
        <w:rPr>
          <w:i/>
          <w:iCs/>
        </w:rPr>
        <w:t>House of care evaluation: final report</w:t>
      </w:r>
      <w:r>
        <w:t>. London: British Heart Foundation.</w:t>
      </w:r>
    </w:p>
    <w:p w14:paraId="0F5CF946" w14:textId="673BB913" w:rsidR="00B95552" w:rsidRDefault="00000000">
      <w:pPr>
        <w:spacing w:after="200"/>
        <w:ind w:left="720" w:hanging="720"/>
        <w:jc w:val="left"/>
      </w:pPr>
      <w:r>
        <w:t xml:space="preserve">International Diabetes Federation (IDF) (2025) </w:t>
      </w:r>
      <w:r>
        <w:rPr>
          <w:i/>
          <w:iCs/>
        </w:rPr>
        <w:t>IDF diabetes atlas</w:t>
      </w:r>
      <w:r>
        <w:t xml:space="preserve">. 11th edn. Brussels: International Diabetes Federation. Available at: </w:t>
      </w:r>
      <w:hyperlink r:id="rId15" w:history="1">
        <w:r w:rsidR="00086948" w:rsidRPr="00AE31C8">
          <w:rPr>
            <w:rStyle w:val="Hyperlink"/>
          </w:rPr>
          <w:t>https://diabetesatlas.org/</w:t>
        </w:r>
      </w:hyperlink>
      <w:r>
        <w:t>.</w:t>
      </w:r>
      <w:r w:rsidR="00086948">
        <w:t xml:space="preserve"> </w:t>
      </w:r>
    </w:p>
    <w:p w14:paraId="7CD3AE98" w14:textId="77777777" w:rsidR="00B95552" w:rsidRDefault="00000000">
      <w:pPr>
        <w:spacing w:after="200"/>
        <w:ind w:left="720" w:hanging="720"/>
        <w:jc w:val="left"/>
      </w:pPr>
      <w:r>
        <w:t xml:space="preserve">Joint British Diabetes Societies for Inpatient Care (JBDS-IP) (2023) </w:t>
      </w:r>
      <w:r>
        <w:rPr>
          <w:i/>
          <w:iCs/>
        </w:rPr>
        <w:t>Diabetes at the front door: a guideline for dealing with glucose related emergencies at the time of acute hospital admission</w:t>
      </w:r>
      <w:r>
        <w:t>. 2nd edn. JBDS 16. London: Association of British Clinical Diabetologists and Diabetes UK.</w:t>
      </w:r>
    </w:p>
    <w:p w14:paraId="5FDDF7F3" w14:textId="77777777" w:rsidR="00B95552" w:rsidRDefault="00000000">
      <w:pPr>
        <w:spacing w:after="200"/>
        <w:ind w:left="720" w:hanging="720"/>
        <w:jc w:val="left"/>
      </w:pPr>
      <w:r>
        <w:t xml:space="preserve">Kelly, R.C., Holt, R.I.G., Desborough, L., Majidi, S., Town, M., Naranjo, D., Messer, L., Barnard, E., Soderberg, J. and Barnard-Kelly, K. (2023) 'The psychosocial burdens of living with diabetes', </w:t>
      </w:r>
      <w:r>
        <w:rPr>
          <w:i/>
          <w:iCs/>
        </w:rPr>
        <w:t>Diabetic Medicine</w:t>
      </w:r>
      <w:r>
        <w:t>, e15219. doi: 10.1111/dme.15219.</w:t>
      </w:r>
    </w:p>
    <w:p w14:paraId="617E1358" w14:textId="77777777" w:rsidR="00B95552" w:rsidRDefault="00000000">
      <w:pPr>
        <w:spacing w:after="200"/>
        <w:ind w:left="720" w:hanging="720"/>
        <w:jc w:val="left"/>
      </w:pPr>
      <w:r>
        <w:t xml:space="preserve">Khunti, K., Gomes, M.B., Pocock, S., Shestakova, M.V., Pintat, S., Fenici, P., Hammar, N. and Medina, J. (2018) 'Therapeutic inertia in the treatment of hyperglycaemia in patients with type 2 diabetes: a systematic review', </w:t>
      </w:r>
      <w:r>
        <w:rPr>
          <w:i/>
          <w:iCs/>
        </w:rPr>
        <w:t>Diabetes, Obesity and Metabolism</w:t>
      </w:r>
      <w:r>
        <w:t>, 20(2), pp. 427–437. doi: 10.1111/dom.13088.</w:t>
      </w:r>
    </w:p>
    <w:p w14:paraId="3CB910A7" w14:textId="77777777" w:rsidR="00B95552" w:rsidRDefault="00000000">
      <w:pPr>
        <w:spacing w:after="200"/>
        <w:ind w:left="720" w:hanging="720"/>
        <w:jc w:val="left"/>
      </w:pPr>
      <w:r>
        <w:t xml:space="preserve">Kovacs Burns, K., Nicolucci, A., Holt, R.I.G., Willaing, I., Hermanns, N., Kalra, S., Wens, J., Pouwer, F., Skovlund, S.E. and Peyrot, M. (2013) 'Diabetes attitudes, wishes and needs second study (DAWN2): cross-national benchmarking indicators for family members living with people with diabetes', </w:t>
      </w:r>
      <w:r>
        <w:rPr>
          <w:i/>
          <w:iCs/>
        </w:rPr>
        <w:t>Diabetic Medicine</w:t>
      </w:r>
      <w:r>
        <w:t>, 30(7), pp. 778–788. doi: 10.1111/dme.12239.</w:t>
      </w:r>
    </w:p>
    <w:p w14:paraId="22C0AFE9" w14:textId="77777777" w:rsidR="00B95552" w:rsidRDefault="00000000">
      <w:pPr>
        <w:spacing w:after="200"/>
        <w:ind w:left="720" w:hanging="720"/>
        <w:jc w:val="left"/>
      </w:pPr>
      <w:r>
        <w:t xml:space="preserve">Lean, M.E.J., Leslie, W.S., Barnes, A.C., Brosnahan, N., Thom, G., McCombie, L., Peters, C., Zhyzhneuskaya, S., Al-Mrabeh, A., Hollingsworth, K.G., Sattar, N. and Taylor, R. (2024) '5-year follow-up of the randomised Diabetes Remission Clinical Trial (DiRECT) of continued support for weight loss maintenance in the UK: an extension study', </w:t>
      </w:r>
      <w:r>
        <w:rPr>
          <w:i/>
          <w:iCs/>
        </w:rPr>
        <w:t>The Lancet Diabetes &amp; Endocrinology</w:t>
      </w:r>
      <w:r>
        <w:t>, 12(4), pp. 233–246. doi: 10.1016/S2213-8587(23)00385-6.</w:t>
      </w:r>
    </w:p>
    <w:p w14:paraId="55293DEF" w14:textId="174527B1" w:rsidR="00B95552" w:rsidRDefault="00000000">
      <w:pPr>
        <w:spacing w:after="200"/>
        <w:ind w:left="720" w:hanging="720"/>
        <w:jc w:val="left"/>
      </w:pPr>
      <w:r>
        <w:lastRenderedPageBreak/>
        <w:t xml:space="preserve">National Institute for Health and Care Excellence (NICE) (2023) </w:t>
      </w:r>
      <w:r>
        <w:rPr>
          <w:i/>
          <w:iCs/>
        </w:rPr>
        <w:t>Type 2 diabetes in adults</w:t>
      </w:r>
      <w:r>
        <w:t xml:space="preserve">. Quality standard QS209. London: NICE. Available at: </w:t>
      </w:r>
      <w:hyperlink r:id="rId16" w:history="1">
        <w:r w:rsidR="00086948" w:rsidRPr="00AE31C8">
          <w:rPr>
            <w:rStyle w:val="Hyperlink"/>
          </w:rPr>
          <w:t>https://www.nice.org.uk/guidance/qs209</w:t>
        </w:r>
      </w:hyperlink>
      <w:r>
        <w:t>.</w:t>
      </w:r>
      <w:r w:rsidR="00086948">
        <w:t xml:space="preserve"> </w:t>
      </w:r>
    </w:p>
    <w:p w14:paraId="2A39CDD2" w14:textId="29F52D8A" w:rsidR="00B95552" w:rsidRDefault="00000000">
      <w:pPr>
        <w:spacing w:after="200"/>
        <w:ind w:left="720" w:hanging="720"/>
        <w:jc w:val="left"/>
      </w:pPr>
      <w:r>
        <w:t xml:space="preserve">National Institute for Health and Care Excellence (NICE) (2026) </w:t>
      </w:r>
      <w:r>
        <w:rPr>
          <w:i/>
          <w:iCs/>
        </w:rPr>
        <w:t>Type 2 diabetes in adults: management</w:t>
      </w:r>
      <w:r>
        <w:t xml:space="preserve">. NICE guideline NG28. Updated February 2026. London: NICE. Available at: </w:t>
      </w:r>
      <w:hyperlink r:id="rId17" w:history="1">
        <w:r w:rsidR="00086948" w:rsidRPr="00AE31C8">
          <w:rPr>
            <w:rStyle w:val="Hyperlink"/>
          </w:rPr>
          <w:t>https://www.nice.org.uk/guidance/ng28</w:t>
        </w:r>
      </w:hyperlink>
      <w:r>
        <w:t>.</w:t>
      </w:r>
      <w:r w:rsidR="00086948">
        <w:t xml:space="preserve"> </w:t>
      </w:r>
    </w:p>
    <w:p w14:paraId="0699BC85" w14:textId="77777777" w:rsidR="00B95552" w:rsidRDefault="00000000">
      <w:pPr>
        <w:spacing w:after="200"/>
        <w:ind w:left="720" w:hanging="720"/>
        <w:jc w:val="left"/>
      </w:pPr>
      <w:r>
        <w:t xml:space="preserve">NCD Risk Factor Collaboration (2024) 'Worldwide trends in diabetes prevalence and treatment from 1990 to 2022: a pooled analysis of 1108 population-representative studies with 141 million participants', </w:t>
      </w:r>
      <w:r>
        <w:rPr>
          <w:i/>
          <w:iCs/>
        </w:rPr>
        <w:t>The Lancet</w:t>
      </w:r>
      <w:r>
        <w:t>, 404(10467), pp. 2077–2093. doi: 10.1016/S0140-6736(24)02317-1.</w:t>
      </w:r>
    </w:p>
    <w:p w14:paraId="52E1FBE1" w14:textId="0A92C65C" w:rsidR="00B95552" w:rsidRDefault="00000000">
      <w:pPr>
        <w:spacing w:after="200"/>
        <w:ind w:left="720" w:hanging="720"/>
        <w:jc w:val="left"/>
      </w:pPr>
      <w:r>
        <w:t xml:space="preserve">NHS England (2022) </w:t>
      </w:r>
      <w:r>
        <w:rPr>
          <w:i/>
          <w:iCs/>
        </w:rPr>
        <w:t>National diabetes audit 2021-22, report 1: care processes and treatment targets, overview</w:t>
      </w:r>
      <w:r>
        <w:t xml:space="preserve">. Leeds: NHS England. Available at: </w:t>
      </w:r>
      <w:hyperlink r:id="rId18" w:history="1">
        <w:r w:rsidR="00086948" w:rsidRPr="00AE31C8">
          <w:rPr>
            <w:rStyle w:val="Hyperlink"/>
          </w:rPr>
          <w:t>https://digital.nhs.uk/data-and-information/publications/statistical/national-diabetes-audit/core-1-2021-22-overview</w:t>
        </w:r>
      </w:hyperlink>
      <w:r>
        <w:t>.</w:t>
      </w:r>
      <w:r w:rsidR="00086948">
        <w:t xml:space="preserve"> </w:t>
      </w:r>
    </w:p>
    <w:p w14:paraId="4288BE1B" w14:textId="14350022" w:rsidR="00B95552" w:rsidRDefault="00000000">
      <w:pPr>
        <w:spacing w:after="200"/>
        <w:ind w:left="720" w:hanging="720"/>
        <w:jc w:val="left"/>
      </w:pPr>
      <w:r>
        <w:t xml:space="preserve">NHS England (2023) </w:t>
      </w:r>
      <w:r>
        <w:rPr>
          <w:i/>
          <w:iCs/>
        </w:rPr>
        <w:t>Core20PLUS5 (adults): an approach to reducing healthcare inequalities</w:t>
      </w:r>
      <w:r>
        <w:t xml:space="preserve">. Leeds: NHS England. Available at: </w:t>
      </w:r>
      <w:hyperlink r:id="rId19" w:history="1">
        <w:r w:rsidR="00086948" w:rsidRPr="00AE31C8">
          <w:rPr>
            <w:rStyle w:val="Hyperlink"/>
          </w:rPr>
          <w:t>https://www.england.nhs.uk/about/equality/equality-hub/national-healthcare-inequalities-improvement-programme/core20plus5/</w:t>
        </w:r>
      </w:hyperlink>
      <w:r>
        <w:t>.</w:t>
      </w:r>
      <w:r w:rsidR="00086948">
        <w:t xml:space="preserve"> </w:t>
      </w:r>
    </w:p>
    <w:p w14:paraId="12F1E3B5" w14:textId="22C847E8" w:rsidR="00B95552" w:rsidRDefault="00000000">
      <w:pPr>
        <w:spacing w:after="200"/>
        <w:ind w:left="720" w:hanging="720"/>
        <w:jc w:val="left"/>
      </w:pPr>
      <w:r>
        <w:t xml:space="preserve">Perrin, N.E., Davies, M.J., Robertson, N., Snoek, F.J. and Khunti, K. (2017) 'The prevalence of diabetes-specific emotional distress in people with type 2 diabetes: a systematic review and meta-analysis', </w:t>
      </w:r>
      <w:r>
        <w:rPr>
          <w:i/>
          <w:iCs/>
        </w:rPr>
        <w:t>Diabetic Medicine</w:t>
      </w:r>
      <w:r>
        <w:t>, 34(11), pp. 1508–1520. doi: 10.1111/dme.13448.</w:t>
      </w:r>
      <w:r w:rsidR="00086948">
        <w:t xml:space="preserve"> </w:t>
      </w:r>
    </w:p>
    <w:p w14:paraId="64B95EAF" w14:textId="787B5B1B" w:rsidR="00B95552" w:rsidRDefault="00000000">
      <w:pPr>
        <w:spacing w:after="200"/>
        <w:ind w:left="720" w:hanging="720"/>
        <w:jc w:val="left"/>
      </w:pPr>
      <w:r>
        <w:t xml:space="preserve">Roberts, S., Eaton, S., Finch, T., Lewis-Barned, N., Lhussier, M., Oliver, L., Rapley, T. and Temple-Scott, D. (2019) 'The year of care approach: developing a model and delivery programme for care and support planning in long term conditions within general practice', </w:t>
      </w:r>
      <w:r>
        <w:rPr>
          <w:i/>
          <w:iCs/>
        </w:rPr>
        <w:t>BMC Family Practice</w:t>
      </w:r>
      <w:r>
        <w:t>, 20, article 153. doi: 10.1186/s12875-019-1042-4.</w:t>
      </w:r>
      <w:r w:rsidR="00086948">
        <w:t xml:space="preserve"> </w:t>
      </w:r>
    </w:p>
    <w:p w14:paraId="367247CD" w14:textId="2F63141E" w:rsidR="00B95552" w:rsidRDefault="00000000">
      <w:pPr>
        <w:spacing w:after="200"/>
        <w:ind w:left="720" w:hanging="720"/>
        <w:jc w:val="left"/>
      </w:pPr>
      <w:r>
        <w:t xml:space="preserve">Shah, R., Finlay, A.Y., Ali, F.M., Otwombe, K., Nixon, S.J., George, L., Evans, M., Ingram, J.R. and Salek, S. (2025) 'Comparison of the impact of type 1 and type 2 diabetes on quality of life of families of patients: a UK cross-sectional study', </w:t>
      </w:r>
      <w:r>
        <w:rPr>
          <w:i/>
          <w:iCs/>
        </w:rPr>
        <w:t>Diabetes, Obesity and Metabolism</w:t>
      </w:r>
      <w:r>
        <w:t>, 27(2), pp. 652–662. doi: 10.1111/dom.16058.</w:t>
      </w:r>
      <w:r w:rsidR="00086948">
        <w:t xml:space="preserve"> </w:t>
      </w:r>
    </w:p>
    <w:p w14:paraId="59395059" w14:textId="2D80B8CA" w:rsidR="00B95552" w:rsidRDefault="00000000">
      <w:pPr>
        <w:spacing w:after="200"/>
        <w:ind w:left="720" w:hanging="720"/>
        <w:jc w:val="left"/>
      </w:pPr>
      <w:r>
        <w:lastRenderedPageBreak/>
        <w:t xml:space="preserve">Strain, W.D., Down, S., Brown, P., Puttanna, A. and Sinclair, A. (2021) 'Diabetes and frailty: an expert consensus statement on the management of older adults with type 2 diabetes', </w:t>
      </w:r>
      <w:r>
        <w:rPr>
          <w:i/>
          <w:iCs/>
        </w:rPr>
        <w:t>Diabetes Therapy</w:t>
      </w:r>
      <w:r>
        <w:t>, 12(5), pp. 1227–1247. doi: 10.1007/s13300-021-01035-9.</w:t>
      </w:r>
      <w:r w:rsidR="00086948">
        <w:t xml:space="preserve"> </w:t>
      </w:r>
    </w:p>
    <w:p w14:paraId="06CC4E1D" w14:textId="02041DAD" w:rsidR="00B95552" w:rsidRDefault="00000000">
      <w:pPr>
        <w:spacing w:after="200"/>
        <w:ind w:left="720" w:hanging="720"/>
        <w:jc w:val="left"/>
      </w:pPr>
      <w:r>
        <w:t xml:space="preserve">Trend Diabetes (2024) </w:t>
      </w:r>
      <w:r>
        <w:rPr>
          <w:i/>
          <w:iCs/>
        </w:rPr>
        <w:t>End of life guidance for diabetes care</w:t>
      </w:r>
      <w:r>
        <w:t xml:space="preserve">. 5th edn. London: Trend Diabetes and Diabetes UK. Available at: </w:t>
      </w:r>
      <w:hyperlink r:id="rId20" w:history="1">
        <w:r w:rsidR="00086948" w:rsidRPr="00AE31C8">
          <w:rPr>
            <w:rStyle w:val="Hyperlink"/>
          </w:rPr>
          <w:t>https://www.diabetes.org.uk/sites/default/files/2025-03/EoL_TREND_2024_v11-1.pdf</w:t>
        </w:r>
      </w:hyperlink>
      <w:r>
        <w:t>.</w:t>
      </w:r>
      <w:r w:rsidR="00086948">
        <w:t xml:space="preserve"> </w:t>
      </w:r>
    </w:p>
    <w:p w14:paraId="66DD5199" w14:textId="052C1593" w:rsidR="00B95552" w:rsidRDefault="00000000">
      <w:pPr>
        <w:spacing w:after="200"/>
        <w:ind w:left="720" w:hanging="720"/>
        <w:jc w:val="left"/>
      </w:pPr>
      <w:r>
        <w:t xml:space="preserve">Wagner, E.H., Austin, B.T., Davis, C., Hindmarsh, M., Schaefer, J. and Bonomi, A. (2001) 'Improving chronic illness care: translating evidence into action', </w:t>
      </w:r>
      <w:r>
        <w:rPr>
          <w:i/>
          <w:iCs/>
        </w:rPr>
        <w:t>Health Affairs</w:t>
      </w:r>
      <w:r>
        <w:t>, 20(6), pp. 64–78. doi: 10.1377/hlthaff.20.6.64.</w:t>
      </w:r>
      <w:r w:rsidR="00086948">
        <w:t xml:space="preserve"> </w:t>
      </w:r>
    </w:p>
    <w:p w14:paraId="53905B15" w14:textId="4A6DE519" w:rsidR="00B95552" w:rsidRDefault="00000000">
      <w:pPr>
        <w:spacing w:after="200"/>
        <w:ind w:left="720" w:hanging="720"/>
        <w:jc w:val="left"/>
      </w:pPr>
      <w:r>
        <w:t xml:space="preserve">Wandsworth Council (2025) </w:t>
      </w:r>
      <w:r>
        <w:rPr>
          <w:i/>
          <w:iCs/>
        </w:rPr>
        <w:t>Joint strategic needs assessment: live well long-term conditions</w:t>
      </w:r>
      <w:r>
        <w:t xml:space="preserve">. London: London Borough of Wandsworth Public Health. Available at: </w:t>
      </w:r>
      <w:hyperlink r:id="rId21" w:history="1">
        <w:r w:rsidR="00086948" w:rsidRPr="00AE31C8">
          <w:rPr>
            <w:rStyle w:val="Hyperlink"/>
          </w:rPr>
          <w:t>https://www.wandsworth.gov.uk/health-and-social-care/public-health/public-health-publications/jsna/jsna-live-well-long-term-conditions/</w:t>
        </w:r>
      </w:hyperlink>
      <w:r>
        <w:t>.</w:t>
      </w:r>
      <w:r w:rsidR="00086948">
        <w:t xml:space="preserve"> </w:t>
      </w:r>
    </w:p>
    <w:p w14:paraId="6403222C" w14:textId="4CA5F8C8" w:rsidR="00B95552" w:rsidRDefault="00000000">
      <w:pPr>
        <w:spacing w:after="200"/>
        <w:ind w:left="720" w:hanging="720"/>
        <w:jc w:val="left"/>
      </w:pPr>
      <w:r>
        <w:t xml:space="preserve">World Health Organization (2024) </w:t>
      </w:r>
      <w:r>
        <w:rPr>
          <w:i/>
          <w:iCs/>
        </w:rPr>
        <w:t>Diabetes</w:t>
      </w:r>
      <w:r>
        <w:t xml:space="preserve">. Fact sheet, 14 November. Geneva: World Health Organization. Available at: </w:t>
      </w:r>
      <w:hyperlink r:id="rId22" w:history="1">
        <w:r w:rsidR="00086948" w:rsidRPr="00AE31C8">
          <w:rPr>
            <w:rStyle w:val="Hyperlink"/>
          </w:rPr>
          <w:t>https://www.who.int/news-room/fact-sheets/detail/diabetes</w:t>
        </w:r>
      </w:hyperlink>
      <w:r>
        <w:t>.</w:t>
      </w:r>
      <w:r w:rsidR="00086948">
        <w:t xml:space="preserve"> </w:t>
      </w:r>
    </w:p>
    <w:sectPr w:rsidR="00B95552" w:rsidSect="005825FA">
      <w:footerReference w:type="default" r:id="rId23"/>
      <w:footerReference w:type="firs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EF771C1" w14:textId="77777777" w:rsidR="00851887" w:rsidRDefault="00851887">
      <w:pPr>
        <w:spacing w:after="0" w:line="240" w:lineRule="auto"/>
      </w:pPr>
      <w:r>
        <w:separator/>
      </w:r>
    </w:p>
  </w:endnote>
  <w:endnote w:type="continuationSeparator" w:id="0">
    <w:p w14:paraId="194DF7F4" w14:textId="77777777" w:rsidR="00851887" w:rsidRDefault="00851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A82F436" w14:textId="77777777" w:rsidR="00B95552" w:rsidRDefault="00000000">
    <w:pPr>
      <w:jc w:val="center"/>
    </w:pPr>
    <w:r>
      <w:rPr>
        <w:color w:val="52514E"/>
        <w:sz w:val="18"/>
        <w:szCs w:val="18"/>
      </w:rPr>
      <w:fldChar w:fldCharType="begin"/>
    </w:r>
    <w:r>
      <w:rPr>
        <w:color w:val="52514E"/>
        <w:sz w:val="18"/>
        <w:szCs w:val="18"/>
      </w:rPr>
      <w:instrText>PAGE</w:instrText>
    </w:r>
    <w:r>
      <w:rPr>
        <w:color w:val="52514E"/>
        <w:sz w:val="18"/>
        <w:szCs w:val="18"/>
      </w:rPr>
      <w:fldChar w:fldCharType="separate"/>
    </w:r>
    <w:r w:rsidR="005825FA">
      <w:rPr>
        <w:noProof/>
        <w:color w:val="52514E"/>
        <w:sz w:val="18"/>
        <w:szCs w:val="18"/>
      </w:rPr>
      <w:t>2</w:t>
    </w:r>
    <w:r>
      <w:rPr>
        <w:color w:val="52514E"/>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A38C6DF" w14:textId="77777777" w:rsidR="00B95552" w:rsidRDefault="00B9555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2B413F" w14:textId="77777777" w:rsidR="00851887" w:rsidRDefault="00851887">
      <w:pPr>
        <w:spacing w:after="0" w:line="240" w:lineRule="auto"/>
      </w:pPr>
      <w:r>
        <w:separator/>
      </w:r>
    </w:p>
  </w:footnote>
  <w:footnote w:type="continuationSeparator" w:id="0">
    <w:p w14:paraId="339E855E" w14:textId="77777777" w:rsidR="00851887" w:rsidRDefault="00851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F806BB3"/>
    <w:multiLevelType w:val="hybridMultilevel"/>
    <w:tmpl w:val="DF4E33E6"/>
    <w:lvl w:ilvl="0" w:tplc="705CDA60">
      <w:start w:val="1"/>
      <w:numFmt w:val="bullet"/>
      <w:lvlText w:val="●"/>
      <w:lvlJc w:val="left"/>
      <w:pPr>
        <w:ind w:left="720" w:hanging="360"/>
      </w:pPr>
    </w:lvl>
    <w:lvl w:ilvl="1" w:tplc="5854227E">
      <w:start w:val="1"/>
      <w:numFmt w:val="bullet"/>
      <w:lvlText w:val="○"/>
      <w:lvlJc w:val="left"/>
      <w:pPr>
        <w:ind w:left="1440" w:hanging="360"/>
      </w:pPr>
    </w:lvl>
    <w:lvl w:ilvl="2" w:tplc="C3CE6F1E">
      <w:start w:val="1"/>
      <w:numFmt w:val="bullet"/>
      <w:lvlText w:val="■"/>
      <w:lvlJc w:val="left"/>
      <w:pPr>
        <w:ind w:left="2160" w:hanging="360"/>
      </w:pPr>
    </w:lvl>
    <w:lvl w:ilvl="3" w:tplc="69BCABFA">
      <w:start w:val="1"/>
      <w:numFmt w:val="bullet"/>
      <w:lvlText w:val="●"/>
      <w:lvlJc w:val="left"/>
      <w:pPr>
        <w:ind w:left="2880" w:hanging="360"/>
      </w:pPr>
    </w:lvl>
    <w:lvl w:ilvl="4" w:tplc="3C32CB38">
      <w:start w:val="1"/>
      <w:numFmt w:val="bullet"/>
      <w:lvlText w:val="○"/>
      <w:lvlJc w:val="left"/>
      <w:pPr>
        <w:ind w:left="3600" w:hanging="360"/>
      </w:pPr>
    </w:lvl>
    <w:lvl w:ilvl="5" w:tplc="BB1A54BA">
      <w:start w:val="1"/>
      <w:numFmt w:val="bullet"/>
      <w:lvlText w:val="■"/>
      <w:lvlJc w:val="left"/>
      <w:pPr>
        <w:ind w:left="4320" w:hanging="360"/>
      </w:pPr>
    </w:lvl>
    <w:lvl w:ilvl="6" w:tplc="B6A43ECC">
      <w:start w:val="1"/>
      <w:numFmt w:val="bullet"/>
      <w:lvlText w:val="●"/>
      <w:lvlJc w:val="left"/>
      <w:pPr>
        <w:ind w:left="5040" w:hanging="360"/>
      </w:pPr>
    </w:lvl>
    <w:lvl w:ilvl="7" w:tplc="8A9E4CDC">
      <w:start w:val="1"/>
      <w:numFmt w:val="bullet"/>
      <w:lvlText w:val="●"/>
      <w:lvlJc w:val="left"/>
      <w:pPr>
        <w:ind w:left="5760" w:hanging="360"/>
      </w:pPr>
    </w:lvl>
    <w:lvl w:ilvl="8" w:tplc="EF5C4806">
      <w:start w:val="1"/>
      <w:numFmt w:val="bullet"/>
      <w:lvlText w:val="●"/>
      <w:lvlJc w:val="left"/>
      <w:pPr>
        <w:ind w:left="6480" w:hanging="360"/>
      </w:pPr>
    </w:lvl>
  </w:abstractNum>
  <w:num w:numId="1" w16cid:durableId="1269893957">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5"/>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5552"/>
    <w:rsid w:val="00086948"/>
    <w:rsid w:val="0024007E"/>
    <w:rsid w:val="00357B97"/>
    <w:rsid w:val="003C6D36"/>
    <w:rsid w:val="00484411"/>
    <w:rsid w:val="005825FA"/>
    <w:rsid w:val="005E34B3"/>
    <w:rsid w:val="006B6E3D"/>
    <w:rsid w:val="006C27AF"/>
    <w:rsid w:val="006F4E68"/>
    <w:rsid w:val="00787E74"/>
    <w:rsid w:val="007D0DF2"/>
    <w:rsid w:val="00851887"/>
    <w:rsid w:val="00896DAC"/>
    <w:rsid w:val="00A427E3"/>
    <w:rsid w:val="00A547FD"/>
    <w:rsid w:val="00B44FBF"/>
    <w:rsid w:val="00B95552"/>
    <w:rsid w:val="00D75374"/>
    <w:rsid w:val="00EA1C42"/>
    <w:rsid w:val="00F216B7"/>
    <w:rsid w:val="00F23FFD"/>
    <w:rsid w:val="00F424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397EE"/>
  <w15:docId w15:val="{1CC91DA6-D625-5840-8178-539BBB247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color w:val="0B0B0B"/>
        <w:sz w:val="22"/>
        <w:szCs w:val="22"/>
        <w:lang w:val="en-I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Caption">
    <w:name w:val="caption"/>
    <w:qFormat/>
    <w:pPr>
      <w:spacing w:after="240" w:line="260" w:lineRule="auto"/>
      <w:jc w:val="left"/>
    </w:pPr>
    <w:rPr>
      <w:i/>
      <w:iCs/>
      <w:color w:val="52514E"/>
      <w:sz w:val="18"/>
      <w:szCs w:val="18"/>
    </w:rPr>
  </w:style>
  <w:style w:type="paragraph" w:styleId="TOC1">
    <w:name w:val="toc 1"/>
    <w:basedOn w:val="Normal"/>
    <w:next w:val="Normal"/>
    <w:autoRedefine/>
    <w:uiPriority w:val="39"/>
    <w:unhideWhenUsed/>
    <w:rsid w:val="005825FA"/>
    <w:pPr>
      <w:spacing w:after="100"/>
    </w:pPr>
  </w:style>
  <w:style w:type="paragraph" w:styleId="TOC2">
    <w:name w:val="toc 2"/>
    <w:basedOn w:val="Normal"/>
    <w:next w:val="Normal"/>
    <w:autoRedefine/>
    <w:uiPriority w:val="39"/>
    <w:unhideWhenUsed/>
    <w:rsid w:val="005825FA"/>
    <w:pPr>
      <w:spacing w:after="100"/>
      <w:ind w:left="220"/>
    </w:pPr>
  </w:style>
  <w:style w:type="paragraph" w:styleId="TableofFigures">
    <w:name w:val="table of figures"/>
    <w:basedOn w:val="Normal"/>
    <w:next w:val="Normal"/>
    <w:uiPriority w:val="99"/>
    <w:unhideWhenUsed/>
    <w:rsid w:val="005825FA"/>
    <w:pPr>
      <w:spacing w:after="0"/>
    </w:pPr>
  </w:style>
  <w:style w:type="character" w:styleId="UnresolvedMention">
    <w:name w:val="Unresolved Mention"/>
    <w:basedOn w:val="DefaultParagraphFont"/>
    <w:uiPriority w:val="99"/>
    <w:semiHidden/>
    <w:unhideWhenUsed/>
    <w:rsid w:val="00086948"/>
    <w:rPr>
      <w:color w:val="605E5C"/>
      <w:shd w:val="clear" w:color="auto" w:fill="E1DFDD"/>
    </w:rPr>
  </w:style>
  <w:style w:type="character" w:styleId="FollowedHyperlink">
    <w:name w:val="FollowedHyperlink"/>
    <w:basedOn w:val="DefaultParagraphFont"/>
    <w:uiPriority w:val="99"/>
    <w:semiHidden/>
    <w:unhideWhenUsed/>
    <w:rsid w:val="0008694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ealth.org.uk/publication/practical-guide-self-management-support" TargetMode="External"/><Relationship Id="rId18" Type="http://schemas.openxmlformats.org/officeDocument/2006/relationships/hyperlink" Target="https://digital.nhs.uk/data-and-information/publications/statistical/national-diabetes-audit/core-1-2021-22-overview"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andsworth.gov.uk/health-and-social-care/public-health/public-health-publications/jsna/jsna-live-well-long-term-conditions/" TargetMode="External"/><Relationship Id="rId7" Type="http://schemas.openxmlformats.org/officeDocument/2006/relationships/image" Target="media/image1.png"/><Relationship Id="rId12" Type="http://schemas.openxmlformats.org/officeDocument/2006/relationships/hyperlink" Target="https://www.legislation.gov.uk/ukpga/2022/31" TargetMode="External"/><Relationship Id="rId17" Type="http://schemas.openxmlformats.org/officeDocument/2006/relationships/hyperlink" Target="https://www.nice.org.uk/guidance/ng28"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ice.org.uk/guidance/qs209" TargetMode="External"/><Relationship Id="rId20" Type="http://schemas.openxmlformats.org/officeDocument/2006/relationships/hyperlink" Target="https://www.diabetes.org.uk/sites/default/files/2025-03/EoL_TREND_2024_v11-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ittees.parliament.uk/writtenevidence/147728/pdf/"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iabetesatlas.org/"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england.nhs.uk/about/equality/equality-hub/national-healthcare-inequalities-improvement-programme/core20plus5/"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publications.parliament.uk/pa/cm5803/cmselect/cmhealth/587/report.html" TargetMode="External"/><Relationship Id="rId22"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4942</Words>
  <Characters>28174</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Type 2 diabetes in the United Kingdom: a practitioner’s guide to whole-person care</vt:lpstr>
    </vt:vector>
  </TitlesOfParts>
  <Company>University of Wales Trinity Saint David</Company>
  <LinksUpToDate>false</LinksUpToDate>
  <CharactersWithSpaces>33050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Type 2 diabetes in the United Kingdom: a practitioner’s guide to whole-person care</dc:title>
  <dc:subject>LCHS7003 Community Care and Management of Longer-term Conditions, Component 1</dc:subject>
  <dc:creator>Aratiben Rameshbhai Bosiya</dc:creator>
  <cp:keywords>type 2 diabetes; long-term conditions; House of Care; Chronic Care Model; Core20PLUS5; end of life care; public health</cp:keywords>
  <dc:description>Level 7 information booklet on the management of type 2 diabetes as a long-term condition in the United Kingdom.</dc:description>
  <cp:lastModifiedBy>Nisarg Kaushikbhai Chasmawala</cp:lastModifiedBy>
  <cp:revision>4</cp:revision>
  <cp:lastPrinted>2026-10-22T09:34:00Z</cp:lastPrinted>
  <dcterms:created xsi:type="dcterms:W3CDTF">2026-10-22T09:34:00Z</dcterms:created>
  <dcterms:modified xsi:type="dcterms:W3CDTF">2026-10-22T09:34:00Z</dcterms:modified>
</cp:coreProperties>
</file>