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7D889217" w:rsidR="005A1BA3"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00DC08B3">
        <w:rPr>
          <w:b/>
          <w:color w:val="auto"/>
          <w:sz w:val="40"/>
        </w:rPr>
        <w:t>/DET</w:t>
      </w:r>
      <w:r w:rsidRPr="00E676F7">
        <w:rPr>
          <w:b/>
          <w:color w:val="auto"/>
          <w:sz w:val="40"/>
        </w:rPr>
        <w:t>)</w:t>
      </w:r>
    </w:p>
    <w:p w14:paraId="7B597789" w14:textId="324BB449" w:rsidR="00DC08B3" w:rsidRDefault="00DC08B3" w:rsidP="00340E9A">
      <w:pPr>
        <w:overflowPunct/>
        <w:autoSpaceDE/>
        <w:autoSpaceDN/>
        <w:adjustRightInd/>
        <w:ind w:right="237"/>
        <w:textAlignment w:val="auto"/>
        <w:rPr>
          <w:b/>
          <w:color w:val="auto"/>
          <w:sz w:val="40"/>
        </w:rPr>
      </w:pPr>
    </w:p>
    <w:p w14:paraId="1D50358E" w14:textId="6E616362" w:rsidR="00DC08B3" w:rsidRPr="00DC08B3" w:rsidRDefault="00DC08B3" w:rsidP="00340E9A">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51700B49" w:rsidR="7908378C" w:rsidRDefault="7908378C" w:rsidP="33572C6E">
            <w:pPr>
              <w:ind w:right="237"/>
              <w:rPr>
                <w:b/>
                <w:bCs/>
                <w:color w:val="auto"/>
                <w:sz w:val="32"/>
                <w:szCs w:val="32"/>
              </w:rPr>
            </w:pPr>
            <w:r w:rsidRPr="33572C6E">
              <w:rPr>
                <w:b/>
                <w:bCs/>
                <w:color w:val="auto"/>
                <w:sz w:val="32"/>
                <w:szCs w:val="32"/>
              </w:rPr>
              <w:t>Learner name: ___</w:t>
            </w:r>
            <w:r w:rsidR="00D23123">
              <w:rPr>
                <w:b/>
                <w:bCs/>
                <w:color w:val="auto"/>
                <w:sz w:val="32"/>
                <w:szCs w:val="32"/>
              </w:rPr>
              <w:t>Bethan Evans</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038C3347" w:rsidR="7908378C" w:rsidRDefault="7908378C" w:rsidP="33572C6E">
            <w:pPr>
              <w:ind w:right="237"/>
              <w:rPr>
                <w:b/>
                <w:bCs/>
                <w:color w:val="auto"/>
                <w:sz w:val="32"/>
                <w:szCs w:val="32"/>
              </w:rPr>
            </w:pPr>
            <w:r w:rsidRPr="33572C6E">
              <w:rPr>
                <w:b/>
                <w:bCs/>
                <w:color w:val="auto"/>
                <w:sz w:val="32"/>
                <w:szCs w:val="32"/>
              </w:rPr>
              <w:t>___</w:t>
            </w:r>
            <w:r w:rsidR="00095BA7">
              <w:rPr>
                <w:b/>
                <w:bCs/>
                <w:color w:val="auto"/>
                <w:sz w:val="32"/>
                <w:szCs w:val="32"/>
              </w:rPr>
              <w:t>2222256</w:t>
            </w:r>
            <w:r w:rsidRPr="33572C6E">
              <w:rPr>
                <w:b/>
                <w:bCs/>
                <w:color w:val="auto"/>
                <w:sz w:val="32"/>
                <w:szCs w:val="32"/>
              </w:rPr>
              <w:t>___</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502641F" w14:textId="2CB1A479" w:rsidR="00190913" w:rsidRPr="00DC08B3" w:rsidRDefault="00190913" w:rsidP="00340E9A">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3B4532"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1D95DB0" w:rsidR="00446F80" w:rsidRPr="00E676F7" w:rsidRDefault="00DC08B3" w:rsidP="45B99DA0">
            <w:pPr>
              <w:ind w:right="237"/>
              <w:jc w:val="both"/>
              <w:rPr>
                <w:b/>
                <w:bCs/>
                <w:color w:val="auto"/>
                <w:sz w:val="24"/>
                <w:szCs w:val="24"/>
              </w:rPr>
            </w:pPr>
            <w:r>
              <w:rPr>
                <w:b/>
                <w:bCs/>
                <w:color w:val="auto"/>
                <w:sz w:val="24"/>
                <w:szCs w:val="24"/>
              </w:rPr>
              <w:t>Task</w:t>
            </w:r>
          </w:p>
          <w:p w14:paraId="0C25BFEF" w14:textId="37D8F8CB" w:rsidR="00446F80" w:rsidRPr="00E676F7" w:rsidRDefault="00446F80" w:rsidP="45B99DA0">
            <w:pPr>
              <w:ind w:right="237"/>
              <w:jc w:val="both"/>
              <w:rPr>
                <w:b/>
                <w:bCs/>
                <w:color w:val="auto"/>
                <w:sz w:val="24"/>
                <w:szCs w:val="24"/>
              </w:rPr>
            </w:pP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32933C98" w14:textId="452719C6" w:rsidR="00AA666E" w:rsidRDefault="00AA666E" w:rsidP="00340E9A">
      <w:pPr>
        <w:ind w:right="237"/>
        <w:rPr>
          <w:sz w:val="24"/>
          <w:szCs w:val="24"/>
        </w:rPr>
      </w:pPr>
    </w:p>
    <w:p w14:paraId="08149048" w14:textId="77777777" w:rsidR="006C3F19" w:rsidRPr="00E676F7" w:rsidRDefault="006C3F19" w:rsidP="00340E9A">
      <w:pPr>
        <w:ind w:right="237"/>
      </w:pP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49A0D391"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002D25E7" w:rsidRPr="003901EE">
        <w:rPr>
          <w:b/>
          <w:bCs/>
          <w:color w:val="FF0000"/>
          <w:sz w:val="24"/>
          <w:szCs w:val="24"/>
          <w:u w:val="single"/>
        </w:rPr>
        <w:t>serious and complex investigation</w:t>
      </w:r>
      <w:r w:rsidRPr="002D25E7">
        <w:rPr>
          <w:rFonts w:eastAsia="Arial"/>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2D686BCB"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w:t>
            </w:r>
            <w:r w:rsidRPr="00211695">
              <w:rPr>
                <w:rFonts w:eastAsia="Arial"/>
                <w:color w:val="000000" w:themeColor="text1"/>
                <w:sz w:val="24"/>
                <w:szCs w:val="24"/>
                <w:highlight w:val="yellow"/>
              </w:rPr>
              <w:t>in</w:t>
            </w:r>
            <w:r w:rsidR="00211695" w:rsidRPr="00211695">
              <w:rPr>
                <w:rFonts w:eastAsia="Arial"/>
                <w:color w:val="000000" w:themeColor="text1"/>
                <w:sz w:val="24"/>
                <w:szCs w:val="24"/>
                <w:highlight w:val="yellow"/>
              </w:rPr>
              <w:t>vestigation</w:t>
            </w:r>
            <w:r w:rsidR="00211695">
              <w:rPr>
                <w:rFonts w:eastAsia="Arial"/>
                <w:color w:val="000000" w:themeColor="text1"/>
                <w:sz w:val="24"/>
                <w:szCs w:val="24"/>
              </w:rPr>
              <w:t xml:space="preserve"> </w:t>
            </w:r>
            <w:r w:rsidRPr="5CE196A1">
              <w:rPr>
                <w:rFonts w:eastAsia="Arial"/>
                <w:color w:val="000000" w:themeColor="text1"/>
                <w:sz w:val="24"/>
                <w:szCs w:val="24"/>
              </w:rPr>
              <w:t xml:space="preserve">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267561BA"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the appropriateness of different approaches (by professionals and the police) in supporting or managing vulnerable people or people at risk of harm</w:t>
            </w:r>
            <w:r w:rsidR="00211695">
              <w:rPr>
                <w:rFonts w:eastAsia="Arial"/>
                <w:color w:val="000000" w:themeColor="text1"/>
                <w:sz w:val="24"/>
                <w:szCs w:val="24"/>
                <w:lang w:val="en-US"/>
              </w:rPr>
              <w:t xml:space="preserve"> during the </w:t>
            </w:r>
            <w:r w:rsidR="00211695" w:rsidRPr="00211695">
              <w:rPr>
                <w:rFonts w:eastAsia="Arial"/>
                <w:color w:val="000000" w:themeColor="text1"/>
                <w:sz w:val="24"/>
                <w:szCs w:val="24"/>
                <w:highlight w:val="yellow"/>
                <w:lang w:val="en-US"/>
              </w:rPr>
              <w:t>investigative process</w:t>
            </w:r>
          </w:p>
          <w:p w14:paraId="24937DFC" w14:textId="77777777" w:rsidR="00E676F7" w:rsidRPr="00E676F7" w:rsidRDefault="00E676F7" w:rsidP="00E676F7">
            <w:pPr>
              <w:rPr>
                <w:rFonts w:eastAsia="Arial"/>
                <w:color w:val="000000" w:themeColor="text1"/>
                <w:sz w:val="24"/>
                <w:szCs w:val="24"/>
              </w:rPr>
            </w:pPr>
          </w:p>
          <w:p w14:paraId="4954E81D" w14:textId="382C6D35"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what work</w:t>
            </w:r>
            <w:r w:rsidR="00211695">
              <w:rPr>
                <w:rFonts w:eastAsia="Arial"/>
                <w:color w:val="000000" w:themeColor="text1"/>
                <w:sz w:val="24"/>
                <w:szCs w:val="24"/>
              </w:rPr>
              <w:t>s</w:t>
            </w:r>
            <w:r w:rsidRPr="5CE196A1">
              <w:rPr>
                <w:rFonts w:eastAsia="Arial"/>
                <w:color w:val="000000" w:themeColor="text1"/>
                <w:sz w:val="24"/>
                <w:szCs w:val="24"/>
              </w:rPr>
              <w:t xml:space="preserve"> in relation to tackling repeat victimisation and repeat offending</w:t>
            </w:r>
            <w:r w:rsidR="00211695">
              <w:rPr>
                <w:rFonts w:eastAsia="Arial"/>
                <w:color w:val="000000" w:themeColor="text1"/>
                <w:sz w:val="24"/>
                <w:szCs w:val="24"/>
              </w:rPr>
              <w:t xml:space="preserve"> during this </w:t>
            </w:r>
            <w:r w:rsidR="00211695" w:rsidRPr="00211695">
              <w:rPr>
                <w:rFonts w:eastAsia="Arial"/>
                <w:color w:val="000000" w:themeColor="text1"/>
                <w:sz w:val="24"/>
                <w:szCs w:val="24"/>
                <w:highlight w:val="yellow"/>
              </w:rPr>
              <w:t>investigation</w:t>
            </w:r>
            <w:r w:rsidRPr="5CE196A1">
              <w:rPr>
                <w:rFonts w:eastAsia="Arial"/>
                <w:color w:val="000000" w:themeColor="text1"/>
                <w:sz w:val="24"/>
                <w:szCs w:val="24"/>
              </w:rPr>
              <w:t xml:space="preserve">.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Default="5B843AF0" w:rsidP="5B843AF0">
      <w:pPr>
        <w:ind w:right="237"/>
        <w:jc w:val="both"/>
        <w:rPr>
          <w:rFonts w:eastAsia="Arial"/>
          <w:b/>
          <w:bCs/>
          <w:color w:val="000000" w:themeColor="text1"/>
          <w:sz w:val="24"/>
          <w:szCs w:val="24"/>
        </w:rPr>
      </w:pPr>
      <w:r w:rsidRPr="5CE196A1">
        <w:rPr>
          <w:rFonts w:eastAsia="Arial"/>
          <w:b/>
          <w:bCs/>
          <w:color w:val="000000" w:themeColor="text1"/>
          <w:sz w:val="24"/>
          <w:szCs w:val="24"/>
        </w:rPr>
        <w:t>ANSWER:</w:t>
      </w:r>
    </w:p>
    <w:p w14:paraId="37C79E26" w14:textId="77777777" w:rsidR="002C341C" w:rsidRDefault="002C341C" w:rsidP="5B843AF0">
      <w:pPr>
        <w:ind w:right="237"/>
        <w:jc w:val="both"/>
        <w:rPr>
          <w:rFonts w:eastAsia="Arial"/>
          <w:b/>
          <w:bCs/>
          <w:color w:val="000000" w:themeColor="text1"/>
          <w:sz w:val="24"/>
          <w:szCs w:val="24"/>
        </w:rPr>
      </w:pPr>
    </w:p>
    <w:p w14:paraId="0903CE6D" w14:textId="77777777" w:rsidR="002C341C" w:rsidRPr="002C341C" w:rsidRDefault="002C341C" w:rsidP="002C341C">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2C341C">
        <w:rPr>
          <w:rFonts w:asciiTheme="minorHAnsi" w:eastAsiaTheme="minorHAnsi" w:hAnsiTheme="minorHAnsi" w:cstheme="minorBidi"/>
          <w:color w:val="auto"/>
          <w:kern w:val="2"/>
          <w:sz w:val="22"/>
          <w:szCs w:val="22"/>
          <w:lang w:eastAsia="en-US"/>
          <w14:ligatures w14:val="standardContextual"/>
        </w:rPr>
        <w:t xml:space="preserve">Investigating serious and complex incidents reported by members of public are very important. When you include vulnerabilities and cultural, ethnical or language issues then they become even more sensitive and complex. </w:t>
      </w:r>
    </w:p>
    <w:p w14:paraId="7212E417" w14:textId="77777777" w:rsidR="002C341C" w:rsidRPr="002C341C" w:rsidRDefault="002C341C" w:rsidP="002C341C">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2C341C">
        <w:rPr>
          <w:rFonts w:asciiTheme="minorHAnsi" w:eastAsiaTheme="minorHAnsi" w:hAnsiTheme="minorHAnsi" w:cstheme="minorBidi"/>
          <w:color w:val="auto"/>
          <w:kern w:val="2"/>
          <w:sz w:val="22"/>
          <w:szCs w:val="22"/>
          <w:lang w:eastAsia="en-US"/>
          <w14:ligatures w14:val="standardContextual"/>
        </w:rPr>
        <w:t xml:space="preserve">An investigation where I played a significant role was a report of a Rape. The female reported that she had met an older black male outside of a corner shop in her village, and she had been in contact with him via text messages and phone calls. The male had expressed interest in her sexually and suggesting a relationship between them both. The male had advised the female that he lived in the Birmingham area and that he was assisting in renovating a property in the village that his father owned. Over the course of a few weeks the male and female had met up in a village pub with the female’s friends coming along for safety and company whereby her friends had told her they did not like the way he was personal and touching her so much. On one occasion the female decided she would meet the male at the address that he was renovating. On attendance the male and female drunk two alcohol beverages and the female stated she had become quite intoxicated which was quite strange from only two alcoholic beverages. The female stated that she remembered being in a bath and not knowing how she got there and then being in a bed. After returning home that evening, the female contacted the male asking what had happened the night before and he stated we had sexual intercourse. When the female expressed concerns over this the male stated that he knew that she wanted sexual intercourse but was too shy to say yes and that he wanted to get the female pregnant. Due to this the female reported the incident to police. </w:t>
      </w:r>
    </w:p>
    <w:p w14:paraId="59C544E8" w14:textId="77777777" w:rsidR="002C341C" w:rsidRPr="002C341C" w:rsidRDefault="002C341C" w:rsidP="002C341C">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2C341C">
        <w:rPr>
          <w:rFonts w:asciiTheme="minorHAnsi" w:eastAsiaTheme="minorHAnsi" w:hAnsiTheme="minorHAnsi" w:cstheme="minorBidi"/>
          <w:color w:val="auto"/>
          <w:kern w:val="2"/>
          <w:sz w:val="22"/>
          <w:szCs w:val="22"/>
          <w:lang w:eastAsia="en-US"/>
          <w14:ligatures w14:val="standardContextual"/>
        </w:rPr>
        <w:t xml:space="preserve">The incident happening in a small close nit town I knew would cause interest from the community and it was brought to my attention early in the investigation that the suspect being a black male was described as having a foreign accent and the female had additional learning needs. Due to this I </w:t>
      </w:r>
      <w:r w:rsidRPr="002C341C">
        <w:rPr>
          <w:rFonts w:asciiTheme="minorHAnsi" w:eastAsiaTheme="minorHAnsi" w:hAnsiTheme="minorHAnsi" w:cstheme="minorBidi"/>
          <w:color w:val="auto"/>
          <w:kern w:val="2"/>
          <w:sz w:val="22"/>
          <w:szCs w:val="22"/>
          <w:lang w:eastAsia="en-US"/>
          <w14:ligatures w14:val="standardContextual"/>
        </w:rPr>
        <w:lastRenderedPageBreak/>
        <w:t xml:space="preserve">knew we would have to put steps in place to consider the sensitivity around the cultural issues in the community and additional support for the complainant due to her vulnerabilities. </w:t>
      </w:r>
    </w:p>
    <w:p w14:paraId="7FF1708A" w14:textId="7479CB58" w:rsidR="002C341C" w:rsidRPr="002C341C" w:rsidRDefault="002C341C" w:rsidP="002C341C">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2C341C">
        <w:rPr>
          <w:rFonts w:asciiTheme="minorHAnsi" w:eastAsiaTheme="minorHAnsi" w:hAnsiTheme="minorHAnsi" w:cstheme="minorBidi"/>
          <w:color w:val="auto"/>
          <w:kern w:val="2"/>
          <w:sz w:val="22"/>
          <w:szCs w:val="22"/>
          <w:lang w:eastAsia="en-US"/>
          <w14:ligatures w14:val="standardContextual"/>
        </w:rPr>
        <w:t xml:space="preserve">Supporting vulnerable persons through a protracted investigation is crucial and early recognition and intervention is vital to their support throughout the investigation. It is also vital to ensure that their safety and well-being sits at the forefront of our investigation. The multi-agency approach is one tool which is used. The most used is MASH (Multi-agency safeguarding hub). Their aim is to improve the safeguarding response to vulnerable adults through efficient and focused action to suit individuals. (Home office, 2024). This is an effective tool to use as it enables information sharing between agencies and allows the police to gather information on the individual and to discuss in strategy meetings with different agencies what is the correct support this individual should be receiving based on their needs. This information sharing continues throughout the investigation and after to ensure the support is there. Vulnerable persons in our community are more likely to be victims of crime repeatedly and need information sharing between agencies in order to support and reduce their risk to harm. (David Kenyon, 2015). Using the multi-agency approach will benefit the vulnerable person as the agencies are able to put safeguarding in place to reduce the risk to them and this is able to continue after police contact. The agencies that become involved are very important as they can offer support in all aspects of the </w:t>
      </w:r>
      <w:r w:rsidR="00095BA7" w:rsidRPr="002C341C">
        <w:rPr>
          <w:rFonts w:asciiTheme="minorHAnsi" w:eastAsiaTheme="minorHAnsi" w:hAnsiTheme="minorHAnsi" w:cstheme="minorBidi"/>
          <w:color w:val="auto"/>
          <w:kern w:val="2"/>
          <w:sz w:val="22"/>
          <w:szCs w:val="22"/>
          <w:lang w:eastAsia="en-US"/>
          <w14:ligatures w14:val="standardContextual"/>
        </w:rPr>
        <w:t>person’s</w:t>
      </w:r>
      <w:r w:rsidRPr="002C341C">
        <w:rPr>
          <w:rFonts w:asciiTheme="minorHAnsi" w:eastAsiaTheme="minorHAnsi" w:hAnsiTheme="minorHAnsi" w:cstheme="minorBidi"/>
          <w:color w:val="auto"/>
          <w:kern w:val="2"/>
          <w:sz w:val="22"/>
          <w:szCs w:val="22"/>
          <w:lang w:eastAsia="en-US"/>
          <w14:ligatures w14:val="standardContextual"/>
        </w:rPr>
        <w:t xml:space="preserve"> life, such as social services, schools or colleges, GP surgeries, housing associations and agencies such as Samaritans and MIND. Using the multi-agency approach in supporting vulnerable persons is very successful and beneficial to all involved.</w:t>
      </w:r>
    </w:p>
    <w:p w14:paraId="6C774C6D" w14:textId="77777777" w:rsidR="002C341C" w:rsidRPr="002C341C" w:rsidRDefault="002C341C" w:rsidP="002C341C">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2C341C">
        <w:rPr>
          <w:rFonts w:asciiTheme="minorHAnsi" w:eastAsiaTheme="minorHAnsi" w:hAnsiTheme="minorHAnsi" w:cstheme="minorBidi"/>
          <w:color w:val="auto"/>
          <w:kern w:val="2"/>
          <w:sz w:val="22"/>
          <w:szCs w:val="22"/>
          <w:lang w:eastAsia="en-US"/>
          <w14:ligatures w14:val="standardContextual"/>
        </w:rPr>
        <w:t xml:space="preserve">However, considering that MASH and third-party sharing is a popular tool to use within policing and supporting vulnerable persons you do have to consider there being some potential negative aspects of this. You need to consider the persons data protection rights and how sharing information can impact the use of their personal data. Personal data is a sensitive topic and there are persons who would feel uncomfortable with this. This would need to be discussed with the vulnerable person and an appropriate adult for them to understand what information is being shared and what will be done with it. There is also a concern of who is governing and monitoring the information being shared to ensure that it is up to date, reliable and accurate. (Department for Education, 2023). </w:t>
      </w:r>
    </w:p>
    <w:p w14:paraId="37BBD9D3" w14:textId="77777777" w:rsidR="002C341C" w:rsidRPr="002C341C" w:rsidRDefault="002C341C" w:rsidP="002C341C">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2C341C">
        <w:rPr>
          <w:rFonts w:asciiTheme="minorHAnsi" w:eastAsiaTheme="minorHAnsi" w:hAnsiTheme="minorHAnsi" w:cstheme="minorBidi"/>
          <w:color w:val="auto"/>
          <w:kern w:val="2"/>
          <w:sz w:val="22"/>
          <w:szCs w:val="22"/>
          <w:lang w:eastAsia="en-US"/>
          <w14:ligatures w14:val="standardContextual"/>
        </w:rPr>
        <w:t>In the case I described MASH and third-party sharing was used as the female was happy for this. We were able to share information with other agencies and by doing so, recognised that the female was of CSE risk and had reported concerning issues with older men to her social worker previously. This gave me more of an understanding of how the female risk assessed encounters and then being able to advise and support her through this.</w:t>
      </w:r>
    </w:p>
    <w:p w14:paraId="3CA0409B" w14:textId="77777777" w:rsidR="002C341C" w:rsidRPr="002C341C" w:rsidRDefault="002C341C" w:rsidP="002C341C">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2C341C">
        <w:rPr>
          <w:rFonts w:asciiTheme="minorHAnsi" w:eastAsiaTheme="minorHAnsi" w:hAnsiTheme="minorHAnsi" w:cstheme="minorBidi"/>
          <w:color w:val="auto"/>
          <w:kern w:val="2"/>
          <w:sz w:val="22"/>
          <w:szCs w:val="22"/>
          <w:lang w:eastAsia="en-US"/>
          <w14:ligatures w14:val="standardContextual"/>
        </w:rPr>
        <w:t>Another tool we can use is organising an intermediary to assist the vulnerable person in the investigation. An intermediary is a specialised role which has been designated in supporting children and vulnerable persons through a police investigation. They liaise with the person to ensure that they are understanding what is happening, to support them through the investigation, communicate and gather information, planning and assisting interviews, planning for court trials and assisting the person and the courts to ensure full understanding and attendance at court. (Intermediaries for Justice, 2023). An intermediary is an independent role from the police or other agencies. They are there simply to support the vulnerable person throughout an investigation and to assist with communicating the persons needs and concerns, and do not offer advice on the investigation.</w:t>
      </w:r>
    </w:p>
    <w:p w14:paraId="6ADB42B0" w14:textId="77777777" w:rsidR="002C341C" w:rsidRPr="002C341C" w:rsidRDefault="002C341C" w:rsidP="002C341C">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2C341C">
        <w:rPr>
          <w:rFonts w:asciiTheme="minorHAnsi" w:eastAsiaTheme="minorHAnsi" w:hAnsiTheme="minorHAnsi" w:cstheme="minorBidi"/>
          <w:color w:val="auto"/>
          <w:kern w:val="2"/>
          <w:sz w:val="22"/>
          <w:szCs w:val="22"/>
          <w:lang w:eastAsia="en-US"/>
          <w14:ligatures w14:val="standardContextual"/>
        </w:rPr>
        <w:t xml:space="preserve">The usage of intermediaries to support vulnerable persons in policing has grown throughout the years as they are very beneficial. There has been a substantial increase in applications for receiving an intermediary in England and Wales and a large number of applications have been for a vulnerable person who has been involved in a sexual offence. (Penny Cooper, et al, 2017). </w:t>
      </w:r>
    </w:p>
    <w:p w14:paraId="789A459B" w14:textId="77777777" w:rsidR="002C341C" w:rsidRPr="002C341C" w:rsidRDefault="002C341C" w:rsidP="002C341C">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2C341C">
        <w:rPr>
          <w:rFonts w:asciiTheme="minorHAnsi" w:eastAsiaTheme="minorHAnsi" w:hAnsiTheme="minorHAnsi" w:cstheme="minorBidi"/>
          <w:color w:val="auto"/>
          <w:kern w:val="2"/>
          <w:sz w:val="22"/>
          <w:szCs w:val="22"/>
          <w:lang w:eastAsia="en-US"/>
          <w14:ligatures w14:val="standardContextual"/>
        </w:rPr>
        <w:lastRenderedPageBreak/>
        <w:t xml:space="preserve">To fully evaluate intermediaries and their uses it would need to be further widely researched. However, as stated by Penny Cooper 2017 “The role is designed to facilitate more effective police investigations and enhanced communication at trial but how and whether the role achieves this has been subjected to limited scientific study”. As stated there has been limited studies to research the assistance an intermediary provides, however, in my own experience I have found them to be very successful in guiding vulnerable persons. I applied for an intermediary in the above case, and I was able to communicate effectively with the female and was able to assure that she was understanding the information being provided to her. I also felt the extra layer of support she was having helped her attend court and helped her confidence in such a distressing time for her. The only drawback I experienced using an intermediary was the timing issues. Waiting for an intermediary to be assigned to conduct an ABE interview with the female and then having to organise dates and times which suited not just myself and the complainant but the intermediary as well. This was time consuming and often hard to relay to the complainant that the delay in progressing was to ensure attendance by all was quite difficult. </w:t>
      </w:r>
    </w:p>
    <w:p w14:paraId="516D4C42" w14:textId="77777777" w:rsidR="002C341C" w:rsidRPr="002C341C" w:rsidRDefault="002C341C" w:rsidP="002C341C">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2C341C">
        <w:rPr>
          <w:rFonts w:asciiTheme="minorHAnsi" w:eastAsiaTheme="minorHAnsi" w:hAnsiTheme="minorHAnsi" w:cstheme="minorBidi"/>
          <w:color w:val="auto"/>
          <w:kern w:val="2"/>
          <w:sz w:val="22"/>
          <w:szCs w:val="22"/>
          <w:lang w:eastAsia="en-US"/>
          <w14:ligatures w14:val="standardContextual"/>
        </w:rPr>
        <w:t xml:space="preserve">During the investigation I liaised with West Midlands Police whereby it was brought to my attention that the male was wanted in another area for a similar offence. This showing that the male was a repeat offender and there was a risk to the public. I also realised due to information sharing that the female was also at risk as she had previous for putting herself into vulnerable situations. I now had to think about tackling repeat offending and victimisation. </w:t>
      </w:r>
    </w:p>
    <w:p w14:paraId="6913710B" w14:textId="77777777" w:rsidR="002C341C" w:rsidRPr="002C341C" w:rsidRDefault="002C341C" w:rsidP="002C341C">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2C341C">
        <w:rPr>
          <w:rFonts w:asciiTheme="minorHAnsi" w:eastAsiaTheme="minorHAnsi" w:hAnsiTheme="minorHAnsi" w:cstheme="minorBidi"/>
          <w:color w:val="auto"/>
          <w:kern w:val="2"/>
          <w:sz w:val="22"/>
          <w:szCs w:val="22"/>
          <w:lang w:eastAsia="en-US"/>
          <w14:ligatures w14:val="standardContextual"/>
        </w:rPr>
        <w:t xml:space="preserve">Evidence-based policing during an investigation is paramount for its success as it helps to tackle both repeat offending and victimisation. Evidence-based policing involves creating data, researching data, reviewing findings and use the best available evidence and outcome to use on your decision-making, practices, and to challenge policies. (College of Policing, 2020). You can use the evidence-based approach to develop patterns in offending behaviour. </w:t>
      </w:r>
    </w:p>
    <w:p w14:paraId="29E49082" w14:textId="77777777" w:rsidR="002C341C" w:rsidRPr="002C341C" w:rsidRDefault="002C341C" w:rsidP="002C341C">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2C341C">
        <w:rPr>
          <w:rFonts w:asciiTheme="minorHAnsi" w:eastAsiaTheme="minorHAnsi" w:hAnsiTheme="minorHAnsi" w:cstheme="minorBidi"/>
          <w:color w:val="auto"/>
          <w:kern w:val="2"/>
          <w:sz w:val="22"/>
          <w:szCs w:val="22"/>
          <w:lang w:eastAsia="en-US"/>
          <w14:ligatures w14:val="standardContextual"/>
        </w:rPr>
        <w:t xml:space="preserve">I contacted the BCU of the home address of the male the female had attended and advised the response and neighbourhood teams of the circumstances to patrol the area and speak to the community on safety and to show a police presence. The male’s pattern was to use the rail lines to travel across England and Wales to meet vulnerable women. Due to me gathering this evidence and reviewing this information I was able to use this to locate and arrest the male. I sent a bulletin package to British Transport Police with the route that would be taken and the male’s details and circumstances. The male was using this route as a hot spot for crime which I was able to focus on. Usually, a crime hot spot would be a specific area in our community, however this fit his technique by using a specific means to commit crime. I also used intelligence led policing in the disruption of this male. As I had gathered all intelligence and information to be able to review and conduct a plan based on the evidence. (Jason Potts, 2019). Due to the male living in another area, there were limited strategies that could be put in place for his repeat offending. The bail conditions were put in place to not attend the South Wales area to protect the vulnerable victim. I believe the policies I followed in order to tackle the males repeat offending were successful using evidence-based policing as I was able to prevent the male from targeting any further vulnerable people, prevented the male from using his hot spot of rail travel in order to offend and he was subsequently arrested and charged for his offending. </w:t>
      </w:r>
    </w:p>
    <w:p w14:paraId="40889914" w14:textId="77777777" w:rsidR="002C341C" w:rsidRPr="002C341C" w:rsidRDefault="002C341C" w:rsidP="002C341C">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2C341C">
        <w:rPr>
          <w:rFonts w:asciiTheme="minorHAnsi" w:eastAsiaTheme="minorHAnsi" w:hAnsiTheme="minorHAnsi" w:cstheme="minorBidi"/>
          <w:color w:val="auto"/>
          <w:kern w:val="2"/>
          <w:sz w:val="22"/>
          <w:szCs w:val="22"/>
          <w:lang w:eastAsia="en-US"/>
          <w14:ligatures w14:val="standardContextual"/>
        </w:rPr>
        <w:t xml:space="preserve">In order to tackle the repeat victimisation to our vulnerable female there were several techniques we were able to put into place using evidence-based policing. First, I explained target hardening to the female whereby we added several security measures to her home that can assist in keeping her safe. These included domestic alarms on windows and doors, an application for her phone, surveillance and improved lighting. These techniques have been studied as good evidence-based crime </w:t>
      </w:r>
      <w:r w:rsidRPr="002C341C">
        <w:rPr>
          <w:rFonts w:asciiTheme="minorHAnsi" w:eastAsiaTheme="minorHAnsi" w:hAnsiTheme="minorHAnsi" w:cstheme="minorBidi"/>
          <w:color w:val="auto"/>
          <w:kern w:val="2"/>
          <w:sz w:val="22"/>
          <w:szCs w:val="22"/>
          <w:lang w:eastAsia="en-US"/>
          <w14:ligatures w14:val="standardContextual"/>
        </w:rPr>
        <w:lastRenderedPageBreak/>
        <w:t xml:space="preserve">prevention due to their success in preventing further crime. (West Yorkshire Police, 2024). I forwarded the female to early intervention strategy meetings whereby she was able to discuss with professionals about her behaviours and the risks to herself. Techniques she can put in place to be able to recognise behaviours from other people and support networks where she can meet like-minded people who have been through similar experiences who can offer advice and support.  (College of policing, 2022). </w:t>
      </w:r>
    </w:p>
    <w:p w14:paraId="5365638A" w14:textId="77777777" w:rsidR="002C341C" w:rsidRPr="002C341C" w:rsidRDefault="002C341C" w:rsidP="002C341C">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2C341C">
        <w:rPr>
          <w:rFonts w:asciiTheme="minorHAnsi" w:eastAsiaTheme="minorHAnsi" w:hAnsiTheme="minorHAnsi" w:cstheme="minorBidi"/>
          <w:color w:val="auto"/>
          <w:kern w:val="2"/>
          <w:sz w:val="22"/>
          <w:szCs w:val="22"/>
          <w:lang w:eastAsia="en-US"/>
          <w14:ligatures w14:val="standardContextual"/>
        </w:rPr>
        <w:t xml:space="preserve">Also using what I discussed previously, sharing information with MASH and Multi-agency information sharing. I shared the information with third party agencies so they were able to offer and tailor support and intervention to the female to ensure that she is well informed and by using evidence-based techniques which can address why the victim is subjected to repeat victimisation. By maintaining the support and gathering information on why the female is subjected to this then it can give agencies a clear understanding of the route of the problem and be able to address this and tailor a better range of support to reduce and preventing any further repeat victimisation. </w:t>
      </w:r>
    </w:p>
    <w:p w14:paraId="73A885B6" w14:textId="77777777" w:rsidR="002C341C" w:rsidRPr="002C341C" w:rsidRDefault="002C341C" w:rsidP="002C341C">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2C341C">
        <w:rPr>
          <w:rFonts w:asciiTheme="minorHAnsi" w:eastAsiaTheme="minorHAnsi" w:hAnsiTheme="minorHAnsi" w:cstheme="minorBidi"/>
          <w:color w:val="auto"/>
          <w:kern w:val="2"/>
          <w:sz w:val="22"/>
          <w:szCs w:val="22"/>
          <w:lang w:eastAsia="en-US"/>
          <w14:ligatures w14:val="standardContextual"/>
        </w:rPr>
        <w:t xml:space="preserve">The use of different approaches to support and manage our vulnerable people in society, who have been at risk for repeat victimisation, and techniques and strategies that we can put in place to prevent repeat offending are very important during an investigation. Exploring and evaluating the best techniques and discussing what works for each individual is paramount to the success of an investigation throughout. After each contact it is always best practice to review and consider what worked well and what did not and use this as a tool to conduct the next investigation. </w:t>
      </w:r>
    </w:p>
    <w:p w14:paraId="3B16A475" w14:textId="77777777" w:rsidR="002C341C" w:rsidRDefault="002C341C" w:rsidP="5B843AF0">
      <w:pPr>
        <w:ind w:right="237"/>
        <w:jc w:val="both"/>
        <w:rPr>
          <w:rFonts w:eastAsia="Arial"/>
          <w:color w:val="000000" w:themeColor="text1"/>
          <w:sz w:val="24"/>
          <w:szCs w:val="24"/>
        </w:rPr>
      </w:pPr>
    </w:p>
    <w:p w14:paraId="7837FF6C" w14:textId="0C7B5D6A" w:rsidR="002C341C" w:rsidRPr="00E676F7" w:rsidRDefault="002C341C" w:rsidP="5B843AF0">
      <w:pPr>
        <w:ind w:right="237"/>
        <w:jc w:val="both"/>
        <w:rPr>
          <w:rFonts w:eastAsia="Arial"/>
          <w:color w:val="000000" w:themeColor="text1"/>
          <w:sz w:val="24"/>
          <w:szCs w:val="24"/>
        </w:rPr>
      </w:pPr>
      <w:r>
        <w:rPr>
          <w:rFonts w:eastAsia="Arial"/>
          <w:color w:val="000000" w:themeColor="text1"/>
          <w:sz w:val="24"/>
          <w:szCs w:val="24"/>
        </w:rPr>
        <w:t xml:space="preserve">(Word count – 2050) </w:t>
      </w:r>
    </w:p>
    <w:p w14:paraId="4BBC525A" w14:textId="2C62A870" w:rsidR="5B843AF0" w:rsidRPr="00E676F7" w:rsidRDefault="5B843AF0"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06491356" w14:textId="3815DDF0" w:rsidR="00A221AB" w:rsidRDefault="00A221AB" w:rsidP="00211695">
      <w:pPr>
        <w:overflowPunct/>
        <w:autoSpaceDE/>
        <w:autoSpaceDN/>
        <w:adjustRightInd/>
        <w:textAlignment w:val="auto"/>
        <w:rPr>
          <w:b/>
          <w:bCs/>
          <w:sz w:val="24"/>
          <w:szCs w:val="24"/>
        </w:rPr>
      </w:pPr>
    </w:p>
    <w:p w14:paraId="39F004BF" w14:textId="47F2F4F1" w:rsidR="00211695" w:rsidRDefault="00211695" w:rsidP="00211695">
      <w:pPr>
        <w:overflowPunct/>
        <w:autoSpaceDE/>
        <w:autoSpaceDN/>
        <w:adjustRightInd/>
        <w:textAlignment w:val="auto"/>
        <w:rPr>
          <w:b/>
          <w:bCs/>
          <w:sz w:val="24"/>
          <w:szCs w:val="24"/>
        </w:rPr>
      </w:pPr>
    </w:p>
    <w:p w14:paraId="4EABAE6C" w14:textId="2B4F3C27" w:rsidR="00211695" w:rsidRDefault="00211695" w:rsidP="00211695">
      <w:pPr>
        <w:overflowPunct/>
        <w:autoSpaceDE/>
        <w:autoSpaceDN/>
        <w:adjustRightInd/>
        <w:textAlignment w:val="auto"/>
        <w:rPr>
          <w:b/>
          <w:bCs/>
          <w:sz w:val="24"/>
          <w:szCs w:val="24"/>
        </w:rPr>
      </w:pPr>
    </w:p>
    <w:p w14:paraId="19C3729F" w14:textId="7A10F80D" w:rsidR="00211695" w:rsidRDefault="00211695" w:rsidP="00211695">
      <w:pPr>
        <w:overflowPunct/>
        <w:autoSpaceDE/>
        <w:autoSpaceDN/>
        <w:adjustRightInd/>
        <w:textAlignment w:val="auto"/>
        <w:rPr>
          <w:b/>
          <w:bCs/>
          <w:sz w:val="24"/>
          <w:szCs w:val="24"/>
        </w:rPr>
      </w:pPr>
    </w:p>
    <w:p w14:paraId="7809170F" w14:textId="0FC6A2E6" w:rsidR="00211695" w:rsidRDefault="00211695" w:rsidP="00211695">
      <w:pPr>
        <w:overflowPunct/>
        <w:autoSpaceDE/>
        <w:autoSpaceDN/>
        <w:adjustRightInd/>
        <w:textAlignment w:val="auto"/>
        <w:rPr>
          <w:b/>
          <w:bCs/>
          <w:sz w:val="24"/>
          <w:szCs w:val="24"/>
        </w:rPr>
      </w:pPr>
    </w:p>
    <w:p w14:paraId="5263FC30" w14:textId="60CEA4D6" w:rsidR="00211695" w:rsidRDefault="00211695" w:rsidP="00211695">
      <w:pPr>
        <w:overflowPunct/>
        <w:autoSpaceDE/>
        <w:autoSpaceDN/>
        <w:adjustRightInd/>
        <w:textAlignment w:val="auto"/>
        <w:rPr>
          <w:b/>
          <w:bCs/>
          <w:sz w:val="24"/>
          <w:szCs w:val="24"/>
        </w:rPr>
      </w:pPr>
    </w:p>
    <w:p w14:paraId="7296990E" w14:textId="167A9CD5" w:rsidR="00211695" w:rsidRDefault="00211695" w:rsidP="00211695">
      <w:pPr>
        <w:overflowPunct/>
        <w:autoSpaceDE/>
        <w:autoSpaceDN/>
        <w:adjustRightInd/>
        <w:textAlignment w:val="auto"/>
        <w:rPr>
          <w:b/>
          <w:bCs/>
          <w:sz w:val="24"/>
          <w:szCs w:val="24"/>
        </w:rPr>
      </w:pPr>
    </w:p>
    <w:p w14:paraId="78DF5CD6" w14:textId="2BF96632" w:rsidR="00211695" w:rsidRDefault="00211695" w:rsidP="00211695">
      <w:pPr>
        <w:overflowPunct/>
        <w:autoSpaceDE/>
        <w:autoSpaceDN/>
        <w:adjustRightInd/>
        <w:textAlignment w:val="auto"/>
        <w:rPr>
          <w:b/>
          <w:bCs/>
          <w:sz w:val="24"/>
          <w:szCs w:val="24"/>
        </w:rPr>
      </w:pPr>
    </w:p>
    <w:p w14:paraId="19D247BC" w14:textId="3316BA49" w:rsidR="00211695" w:rsidRDefault="00211695" w:rsidP="00211695">
      <w:pPr>
        <w:overflowPunct/>
        <w:autoSpaceDE/>
        <w:autoSpaceDN/>
        <w:adjustRightInd/>
        <w:textAlignment w:val="auto"/>
        <w:rPr>
          <w:b/>
          <w:bCs/>
          <w:sz w:val="24"/>
          <w:szCs w:val="24"/>
        </w:rPr>
      </w:pPr>
    </w:p>
    <w:p w14:paraId="09F544D6" w14:textId="215E6FB4" w:rsidR="00211695" w:rsidRDefault="00211695" w:rsidP="00211695">
      <w:pPr>
        <w:overflowPunct/>
        <w:autoSpaceDE/>
        <w:autoSpaceDN/>
        <w:adjustRightInd/>
        <w:textAlignment w:val="auto"/>
        <w:rPr>
          <w:b/>
          <w:bCs/>
          <w:sz w:val="24"/>
          <w:szCs w:val="24"/>
        </w:rPr>
      </w:pPr>
    </w:p>
    <w:p w14:paraId="3EF01B71" w14:textId="1C5989BB" w:rsidR="00211695" w:rsidRDefault="00211695" w:rsidP="00211695">
      <w:pPr>
        <w:overflowPunct/>
        <w:autoSpaceDE/>
        <w:autoSpaceDN/>
        <w:adjustRightInd/>
        <w:textAlignment w:val="auto"/>
        <w:rPr>
          <w:b/>
          <w:bCs/>
          <w:sz w:val="24"/>
          <w:szCs w:val="24"/>
        </w:rPr>
      </w:pPr>
    </w:p>
    <w:p w14:paraId="32058FF2" w14:textId="1A6FF58F" w:rsidR="00211695" w:rsidRDefault="00211695" w:rsidP="00211695">
      <w:pPr>
        <w:overflowPunct/>
        <w:autoSpaceDE/>
        <w:autoSpaceDN/>
        <w:adjustRightInd/>
        <w:textAlignment w:val="auto"/>
        <w:rPr>
          <w:b/>
          <w:bCs/>
          <w:sz w:val="24"/>
          <w:szCs w:val="24"/>
        </w:rPr>
      </w:pPr>
    </w:p>
    <w:p w14:paraId="542C1CBB" w14:textId="3B570B19" w:rsidR="00211695" w:rsidRDefault="00211695" w:rsidP="00211695">
      <w:pPr>
        <w:overflowPunct/>
        <w:autoSpaceDE/>
        <w:autoSpaceDN/>
        <w:adjustRightInd/>
        <w:textAlignment w:val="auto"/>
        <w:rPr>
          <w:b/>
          <w:bCs/>
          <w:sz w:val="24"/>
          <w:szCs w:val="24"/>
        </w:rPr>
      </w:pPr>
    </w:p>
    <w:p w14:paraId="15519DC5" w14:textId="771E4051" w:rsidR="00211695" w:rsidRDefault="00211695" w:rsidP="00211695">
      <w:pPr>
        <w:overflowPunct/>
        <w:autoSpaceDE/>
        <w:autoSpaceDN/>
        <w:adjustRightInd/>
        <w:textAlignment w:val="auto"/>
        <w:rPr>
          <w:b/>
          <w:bCs/>
          <w:sz w:val="24"/>
          <w:szCs w:val="24"/>
        </w:rPr>
      </w:pPr>
    </w:p>
    <w:p w14:paraId="5E9654A4" w14:textId="483A031A" w:rsidR="00211695" w:rsidRDefault="00211695" w:rsidP="00211695">
      <w:pPr>
        <w:overflowPunct/>
        <w:autoSpaceDE/>
        <w:autoSpaceDN/>
        <w:adjustRightInd/>
        <w:textAlignment w:val="auto"/>
        <w:rPr>
          <w:b/>
          <w:bCs/>
          <w:sz w:val="24"/>
          <w:szCs w:val="24"/>
        </w:rPr>
      </w:pPr>
    </w:p>
    <w:p w14:paraId="7495C905" w14:textId="314DB715" w:rsidR="00211695" w:rsidRDefault="00211695" w:rsidP="00211695">
      <w:pPr>
        <w:overflowPunct/>
        <w:autoSpaceDE/>
        <w:autoSpaceDN/>
        <w:adjustRightInd/>
        <w:textAlignment w:val="auto"/>
        <w:rPr>
          <w:b/>
          <w:bCs/>
          <w:sz w:val="24"/>
          <w:szCs w:val="24"/>
        </w:rPr>
      </w:pPr>
    </w:p>
    <w:p w14:paraId="0D757A9F" w14:textId="6EEDDF01" w:rsidR="00211695" w:rsidRDefault="00211695" w:rsidP="00211695">
      <w:pPr>
        <w:overflowPunct/>
        <w:autoSpaceDE/>
        <w:autoSpaceDN/>
        <w:adjustRightInd/>
        <w:textAlignment w:val="auto"/>
        <w:rPr>
          <w:b/>
          <w:bCs/>
          <w:sz w:val="24"/>
          <w:szCs w:val="24"/>
        </w:rPr>
      </w:pPr>
    </w:p>
    <w:p w14:paraId="369120E0" w14:textId="78A7006C" w:rsidR="00211695" w:rsidRDefault="00211695" w:rsidP="00211695">
      <w:pPr>
        <w:overflowPunct/>
        <w:autoSpaceDE/>
        <w:autoSpaceDN/>
        <w:adjustRightInd/>
        <w:textAlignment w:val="auto"/>
        <w:rPr>
          <w:b/>
          <w:bCs/>
          <w:sz w:val="24"/>
          <w:szCs w:val="24"/>
        </w:rPr>
      </w:pPr>
    </w:p>
    <w:p w14:paraId="39C82147" w14:textId="4DB165F4" w:rsidR="00211695" w:rsidRDefault="00211695" w:rsidP="00211695">
      <w:pPr>
        <w:overflowPunct/>
        <w:autoSpaceDE/>
        <w:autoSpaceDN/>
        <w:adjustRightInd/>
        <w:textAlignment w:val="auto"/>
        <w:rPr>
          <w:b/>
          <w:bCs/>
          <w:sz w:val="24"/>
          <w:szCs w:val="24"/>
        </w:rPr>
      </w:pPr>
    </w:p>
    <w:p w14:paraId="29A10E38" w14:textId="77777777" w:rsidR="00211695" w:rsidRPr="00211695" w:rsidRDefault="00211695" w:rsidP="00211695">
      <w:pPr>
        <w:overflowPunct/>
        <w:autoSpaceDE/>
        <w:autoSpaceDN/>
        <w:adjustRightInd/>
        <w:textAlignment w:val="auto"/>
        <w:rPr>
          <w:b/>
          <w:bCs/>
          <w:sz w:val="24"/>
          <w:szCs w:val="24"/>
        </w:rPr>
      </w:pP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386B9E52" w14:textId="71D07E3F" w:rsidR="02D63252" w:rsidRDefault="02D63252" w:rsidP="5CE196A1">
      <w:pPr>
        <w:ind w:right="237"/>
        <w:jc w:val="both"/>
        <w:rPr>
          <w:b/>
          <w:bCs/>
          <w:color w:val="000000" w:themeColor="text1"/>
          <w:sz w:val="24"/>
          <w:szCs w:val="24"/>
        </w:rPr>
      </w:pPr>
    </w:p>
    <w:p w14:paraId="58751063" w14:textId="56C51CE5" w:rsidR="13AD8C62" w:rsidRDefault="13AD8C62" w:rsidP="00211695">
      <w:pPr>
        <w:ind w:right="237"/>
        <w:jc w:val="center"/>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62F25455" w:rsidR="0FF883D4" w:rsidRDefault="0FF883D4" w:rsidP="0FF883D4">
      <w:pPr>
        <w:ind w:right="237"/>
        <w:jc w:val="both"/>
        <w:rPr>
          <w:rFonts w:eastAsia="Arial"/>
          <w:color w:val="000000" w:themeColor="text1"/>
          <w:sz w:val="24"/>
          <w:szCs w:val="24"/>
          <w:u w:val="single"/>
        </w:rPr>
      </w:pPr>
    </w:p>
    <w:p w14:paraId="059A243D" w14:textId="77777777" w:rsidR="00211695" w:rsidRDefault="00211695"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08F405AF"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w:t>
      </w:r>
      <w:r w:rsidR="00756425">
        <w:rPr>
          <w:rFonts w:eastAsia="Arial"/>
          <w:color w:val="000000" w:themeColor="text1"/>
          <w:sz w:val="24"/>
          <w:szCs w:val="24"/>
        </w:rPr>
        <w:t xml:space="preserve"> </w:t>
      </w:r>
      <w:r w:rsidR="002D25E7" w:rsidRPr="003901EE">
        <w:rPr>
          <w:b/>
          <w:bCs/>
          <w:color w:val="FF0000"/>
          <w:sz w:val="24"/>
          <w:szCs w:val="24"/>
          <w:u w:val="single"/>
        </w:rPr>
        <w:t xml:space="preserve">serious and complex investigation </w:t>
      </w:r>
      <w:r w:rsidRPr="0FF883D4">
        <w:rPr>
          <w:rFonts w:eastAsia="Arial"/>
          <w:color w:val="000000" w:themeColor="text1"/>
          <w:sz w:val="24"/>
          <w:szCs w:val="24"/>
        </w:rPr>
        <w:t>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Evaluate the support you have provided to victims, witnesses, and offenders (where appropriate) during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76B6FAAC" w14:textId="10D53C5C" w:rsidR="0FF883D4" w:rsidRDefault="13AD8C62" w:rsidP="009370AE">
      <w:pPr>
        <w:ind w:right="237"/>
        <w:jc w:val="both"/>
        <w:rPr>
          <w:b/>
          <w:bCs/>
          <w:color w:val="000000" w:themeColor="text1"/>
          <w:sz w:val="28"/>
          <w:szCs w:val="28"/>
        </w:rPr>
      </w:pPr>
      <w:r w:rsidRPr="0FF883D4">
        <w:rPr>
          <w:b/>
          <w:bCs/>
          <w:color w:val="000000" w:themeColor="text1"/>
          <w:sz w:val="28"/>
          <w:szCs w:val="28"/>
        </w:rPr>
        <w:t xml:space="preserve">Answer: </w:t>
      </w:r>
    </w:p>
    <w:p w14:paraId="2AE2B4F9" w14:textId="77777777" w:rsidR="00095BA7" w:rsidRDefault="00095BA7" w:rsidP="009370AE">
      <w:pPr>
        <w:ind w:right="237"/>
        <w:jc w:val="both"/>
        <w:rPr>
          <w:b/>
          <w:bCs/>
          <w:color w:val="000000" w:themeColor="text1"/>
          <w:sz w:val="28"/>
          <w:szCs w:val="28"/>
        </w:rPr>
      </w:pPr>
    </w:p>
    <w:p w14:paraId="634E367B" w14:textId="77777777" w:rsidR="00901D64" w:rsidRPr="00901D64" w:rsidRDefault="00901D64" w:rsidP="00901D6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901D64">
        <w:rPr>
          <w:rFonts w:asciiTheme="minorHAnsi" w:eastAsiaTheme="minorHAnsi" w:hAnsiTheme="minorHAnsi" w:cstheme="minorBidi"/>
          <w:color w:val="auto"/>
          <w:kern w:val="2"/>
          <w:sz w:val="22"/>
          <w:szCs w:val="22"/>
          <w:lang w:eastAsia="en-US"/>
          <w14:ligatures w14:val="standardContextual"/>
        </w:rPr>
        <w:t xml:space="preserve">Being involved and taking charge of a complex investigation is an important task. Ensuring you are following the policies and processes and keeping in mind the support for the persons involved is paramount. Investigations are usually a lengthy process which can take its toll on the persons involved which demands constant support for all involved. Needing to ensure that when the incident has been reported and handed over to yourself that you gather all necessary information and intelligence and that ‘golden hour’ enquiries, and ‘fast track’ actions are completed immediately in order for a successful investigation. </w:t>
      </w:r>
    </w:p>
    <w:p w14:paraId="4A8D00AC" w14:textId="77777777" w:rsidR="00901D64" w:rsidRPr="00901D64" w:rsidRDefault="00901D64" w:rsidP="00901D6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901D64">
        <w:rPr>
          <w:rFonts w:asciiTheme="minorHAnsi" w:eastAsiaTheme="minorHAnsi" w:hAnsiTheme="minorHAnsi" w:cstheme="minorBidi"/>
          <w:color w:val="auto"/>
          <w:kern w:val="2"/>
          <w:sz w:val="22"/>
          <w:szCs w:val="22"/>
          <w:lang w:eastAsia="en-US"/>
          <w14:ligatures w14:val="standardContextual"/>
        </w:rPr>
        <w:t xml:space="preserve">The incident I will discuss involves Rape and Non-Fatal Strangulation. The incident was reported by a female to her school counsellor whereby she stated that she had been in a relationship with a male for a period of months. During these months the male had become quite aggressive with her by assaulting and strangling her and forceful in making her have sexual intercourse with him. She did not provide further information to the counsellor and refused to give details on who the male was. </w:t>
      </w:r>
    </w:p>
    <w:p w14:paraId="1E5FA738" w14:textId="77777777" w:rsidR="00901D64" w:rsidRPr="00901D64" w:rsidRDefault="00901D64" w:rsidP="00901D6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901D64">
        <w:rPr>
          <w:rFonts w:asciiTheme="minorHAnsi" w:eastAsiaTheme="minorHAnsi" w:hAnsiTheme="minorHAnsi" w:cstheme="minorBidi"/>
          <w:color w:val="auto"/>
          <w:kern w:val="2"/>
          <w:sz w:val="22"/>
          <w:szCs w:val="22"/>
          <w:lang w:eastAsia="en-US"/>
          <w14:ligatures w14:val="standardContextual"/>
        </w:rPr>
        <w:t xml:space="preserve">This incident was passed to me, and I went through my investigative process. I needed to safeguard the female as we had such limited information passed and we were not aware if the female was still in contact with the male and what had happened between them in detail. My first fast track action was to attend the victims home address and speak to her to gather information. I believe this is the most important fast track action to conduct as without the full information and details we would be unable to ascertain important details of who the perpetrator is and where they are, where the incident or incidents took place, what has happened, preserve any evidence and make any necessary </w:t>
      </w:r>
      <w:r w:rsidRPr="00901D64">
        <w:rPr>
          <w:rFonts w:asciiTheme="minorHAnsi" w:eastAsiaTheme="minorHAnsi" w:hAnsiTheme="minorHAnsi" w:cstheme="minorBidi"/>
          <w:color w:val="auto"/>
          <w:kern w:val="2"/>
          <w:sz w:val="22"/>
          <w:szCs w:val="22"/>
          <w:lang w:eastAsia="en-US"/>
          <w14:ligatures w14:val="standardContextual"/>
        </w:rPr>
        <w:lastRenderedPageBreak/>
        <w:t>arrests. (College of Policing, 2023). The speaking to a victim is a very important step in an investigation as you need to empower them and to allow them to feel trust and comfortable in offering such sensitive information to you. Remembering that they are vulnerable is vital and how you communicate with them throughout is critical to a successful investigation. The victim is where the investigation begins, and it is an important step in building the building blocks of an investigation. (RSACC, 2024). Ensuring the support of a victim throughout an investigation can help them support the investigation throughout its entirety as there is a substantial number of victims who retire their support and will not proceed with an investigation. According to CPS 2024 stated “non-convictions due to the victim attrition increased by 1.4 percent from 46.5% in 22/23 to 47.9% in 23/24”. Also, stated by Victims Commissioner 2021 “43% of rape victims pulling out of cases”. This can be due to a number of issues such as lack of trust in the police, low conviction rates, fear of not being believed or a fear of consequences from the perpetrator. Statistics such as the above can paint a picture how important the support and communication between the investigator and the victim is throughout the investigative process.</w:t>
      </w:r>
    </w:p>
    <w:p w14:paraId="569ED5ED" w14:textId="77777777" w:rsidR="00901D64" w:rsidRPr="00901D64" w:rsidRDefault="00901D64" w:rsidP="00901D6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901D64">
        <w:rPr>
          <w:rFonts w:asciiTheme="minorHAnsi" w:eastAsiaTheme="minorHAnsi" w:hAnsiTheme="minorHAnsi" w:cstheme="minorBidi"/>
          <w:color w:val="auto"/>
          <w:kern w:val="2"/>
          <w:sz w:val="22"/>
          <w:szCs w:val="22"/>
          <w:lang w:eastAsia="en-US"/>
          <w14:ligatures w14:val="standardContextual"/>
        </w:rPr>
        <w:t xml:space="preserve">On identifying the perpetrator from the female, I conducted police checks on our database to gather intelligence on the male. On researching I found that the male had a lengthy criminal record for violence and there were intelligence markers whereby he was a member of a predominant gang in the area. Due to the markers involving assault police I decided the best process to follow would be for specially trained officers to attend to arrest the male for the safety of all involved. Urgent arrest enquiries were carried out by specialised officers whereby the male, as suspected, was aggressive and violent on arrest. The male was then further arrested for assault police. Due to the aggressive nature of the report and that the female advised there had been abusive messages passed since the events a Section 32 search was conducted on the male on arrest whereby no mobile phone was recovered. Determining that the best evidence would be on this mobile phone and reasonable believing that the premises may contain the mobile phone we decided to conduct a Section 32 address of the male’s home address for his electronic devices. (College of Policing, 2024). The importance of an early arrest to an investigation can solidify the trust in the investigation by the community and victim. It can also assist in deterring non-compliant behaviour by perpetrators of crime. (MILLS, Freya et al, 2021). During the Section 32 search of the premises there were a number of electronic devices belonging to the male which were seized. These were packaged and chain of custody signed and booked in to the property stores. The Digital Media Investigator (DMI) was then tasked to view the phones once the correct documentation was sent through including key words to search for. The DMI role in an investigation is to assist in investigations whereby the gather evidence from electronic devices which can be used to support or negate investigations. </w:t>
      </w:r>
    </w:p>
    <w:p w14:paraId="2681C2FC" w14:textId="77777777" w:rsidR="00901D64" w:rsidRPr="00901D64" w:rsidRDefault="00901D64" w:rsidP="00901D6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901D64">
        <w:rPr>
          <w:rFonts w:asciiTheme="minorHAnsi" w:eastAsiaTheme="minorHAnsi" w:hAnsiTheme="minorHAnsi" w:cstheme="minorBidi"/>
          <w:color w:val="auto"/>
          <w:kern w:val="2"/>
          <w:sz w:val="22"/>
          <w:szCs w:val="22"/>
          <w:lang w:eastAsia="en-US"/>
          <w14:ligatures w14:val="standardContextual"/>
        </w:rPr>
        <w:t xml:space="preserve">Due to the information provided by the victim, the previous convictions of the male and his behaviour on arrest it was decided to follow the process of a remand to court. This decision was made due to the violent nature of the crimes, the possibility of repercussions due to the gang member affiliations and the violent nature of the offender. Therefore, a case was built to the CPS to be reviewed to keep the offender in custody until he could attend court the next day. This process can be a difficult decision to make as you need to assess if this is a proportionate action as you are taking the persons liberty by being detained longer. Due to the male being under 18 this decision was checked with via the Sergeant and Inspector on duty as he is classed as a child. Considering the violence that was expressed by the male and the fear of the victim it was decided that this would be the best course of action. The file was built which included having to complete several fast-track actions to be completed. </w:t>
      </w:r>
    </w:p>
    <w:p w14:paraId="5B2207E0" w14:textId="77777777" w:rsidR="00901D64" w:rsidRPr="00901D64" w:rsidRDefault="00901D64" w:rsidP="00901D6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901D64">
        <w:rPr>
          <w:rFonts w:asciiTheme="minorHAnsi" w:eastAsiaTheme="minorHAnsi" w:hAnsiTheme="minorHAnsi" w:cstheme="minorBidi"/>
          <w:color w:val="auto"/>
          <w:kern w:val="2"/>
          <w:sz w:val="22"/>
          <w:szCs w:val="22"/>
          <w:lang w:eastAsia="en-US"/>
          <w14:ligatures w14:val="standardContextual"/>
        </w:rPr>
        <w:lastRenderedPageBreak/>
        <w:t xml:space="preserve">An ABE interview was booked and completed with the female as this includes her best evidence. This is a technique that is used in order to assist the investigation to gather information and details. The appropriate timing for an ABE can be different person-by-person. The trauma that victims go through can alter their memory recall and their memory can differ at different periods of their processing of the incident. It is important to remember in an investigation that although us as investigators want the full information in detail as soon as possible the trauma that a victim is going through that it is not possible. Taking a trauma-based approach on this and continuing a good rapport and effective communication strategy with a victim to enable trauma management through the investigation is vital. (Ministry of Justice, 2023). For this incident the female was very understanding and supportive on doing an ABE immediately as she was proactive in getting herself justice. However it is important to understand this is not always the case. </w:t>
      </w:r>
    </w:p>
    <w:p w14:paraId="4394FD68" w14:textId="77777777" w:rsidR="00901D64" w:rsidRPr="00901D64" w:rsidRDefault="00901D64" w:rsidP="00901D6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901D64">
        <w:rPr>
          <w:rFonts w:asciiTheme="minorHAnsi" w:eastAsiaTheme="minorHAnsi" w:hAnsiTheme="minorHAnsi" w:cstheme="minorBidi"/>
          <w:color w:val="auto"/>
          <w:kern w:val="2"/>
          <w:sz w:val="22"/>
          <w:szCs w:val="22"/>
          <w:lang w:eastAsia="en-US"/>
          <w14:ligatures w14:val="standardContextual"/>
        </w:rPr>
        <w:t xml:space="preserve">In this ABE we found that there were several witnesses to the aggressive behaviour conducted by the male. This was helpful as we were able to speak to the witnesses about providing statements to assist in the investigation. Due to the issues regarding the male being involved in a predominant gang this was quite difficult as all that were involved were particularly concerned for their safety and any repercussions not just from the perpetrator but of the other gang members also. This was another important step in building our case to have the male remanded on the stance that there were a number of witnesses who were unsure if they would want to provide their support out of fear. The ability to be able to remand the male and then offer their reassurances and support would be vital to the investigation. </w:t>
      </w:r>
    </w:p>
    <w:p w14:paraId="45CA613D" w14:textId="77777777" w:rsidR="00901D64" w:rsidRPr="00901D64" w:rsidRDefault="00901D64" w:rsidP="00901D6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901D64">
        <w:rPr>
          <w:rFonts w:asciiTheme="minorHAnsi" w:eastAsiaTheme="minorHAnsi" w:hAnsiTheme="minorHAnsi" w:cstheme="minorBidi"/>
          <w:color w:val="auto"/>
          <w:kern w:val="2"/>
          <w:sz w:val="22"/>
          <w:szCs w:val="22"/>
          <w:lang w:eastAsia="en-US"/>
          <w14:ligatures w14:val="standardContextual"/>
        </w:rPr>
        <w:t xml:space="preserve">Another fast-track action was to view the victim’s phone, with her permission, to download and gather evidence of messages she had received from the male and photographs she had taken of bruising to her neck which she stated were due to the strangulation she had been victim to. This evidence was important as a fast-track action to enable us to build the picture for the CPS to make an informed decision on the remand of the perpetrator. The extraction of this evidence was completed under The Police, Crime and Sentencing Courts Act 2022. This policy is used to ensure that correct techniques are used to ensure accurate and consistent extractions, that the information being extracted is necessary and disclosure purposes. Extracting evidence from a victim’s phone as a fast-track action can assist in bringing an offender to justice through an investigation. Extractions from victim’s phones can be a concerning factor to a victim as they want to know the information stored on their phone is going to be treated sensitively and appropriately. This is a major factor in supporting a victim and allowing transparency on how their information is going to be used and that their rights to privacy are still protected. (College of Policing, 2024). </w:t>
      </w:r>
    </w:p>
    <w:p w14:paraId="00012E91" w14:textId="77777777" w:rsidR="00901D64" w:rsidRPr="00901D64" w:rsidRDefault="00901D64" w:rsidP="00901D6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901D64">
        <w:rPr>
          <w:rFonts w:asciiTheme="minorHAnsi" w:eastAsiaTheme="minorHAnsi" w:hAnsiTheme="minorHAnsi" w:cstheme="minorBidi"/>
          <w:color w:val="auto"/>
          <w:kern w:val="2"/>
          <w:sz w:val="22"/>
          <w:szCs w:val="22"/>
          <w:lang w:eastAsia="en-US"/>
          <w14:ligatures w14:val="standardContextual"/>
        </w:rPr>
        <w:t xml:space="preserve">The case file was sent to the CPS and the male was remanded until the court date. The male was found guilty of Rape and Non-Fatal Strangulation and was sentenced. </w:t>
      </w:r>
    </w:p>
    <w:p w14:paraId="48641624" w14:textId="77777777" w:rsidR="00901D64" w:rsidRPr="00901D64" w:rsidRDefault="00901D64" w:rsidP="00901D6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901D64">
        <w:rPr>
          <w:rFonts w:asciiTheme="minorHAnsi" w:eastAsiaTheme="minorHAnsi" w:hAnsiTheme="minorHAnsi" w:cstheme="minorBidi"/>
          <w:color w:val="auto"/>
          <w:kern w:val="2"/>
          <w:sz w:val="22"/>
          <w:szCs w:val="22"/>
          <w:lang w:eastAsia="en-US"/>
          <w14:ligatures w14:val="standardContextual"/>
        </w:rPr>
        <w:t xml:space="preserve">Throughout the investigation it was apparent to me that the victim, witnesses and the offender needed support. The victim being under the age of 18 would automatically be eligible as a vulnerable witness and have access to special measures. Due to the female being a victim of Rape and being frightened to give evidence she would be eligible for special measures as an intimidated witness also. This was discussed with the female at length which helped ease her anxieties of court. The female’s information was passed to Victim care where she was provided support by their agency and was passed her own ISVA (Independent Sexual Violence Advisor). I updated the female every week on what was happening with the case and made visits to her home address as often as requested to discuss any issues or fears she was having. I also discussed the court process and scheduled a visit to the court so she would be able to understand what it looked like and where she would need to be at different parts so she could picture it in her mind to alleviate the fear of attending. On court days I </w:t>
      </w:r>
      <w:r w:rsidRPr="00901D64">
        <w:rPr>
          <w:rFonts w:asciiTheme="minorHAnsi" w:eastAsiaTheme="minorHAnsi" w:hAnsiTheme="minorHAnsi" w:cstheme="minorBidi"/>
          <w:color w:val="auto"/>
          <w:kern w:val="2"/>
          <w:sz w:val="22"/>
          <w:szCs w:val="22"/>
          <w:lang w:eastAsia="en-US"/>
          <w14:ligatures w14:val="standardContextual"/>
        </w:rPr>
        <w:lastRenderedPageBreak/>
        <w:t>would go into the family room and reassure her and her family and update them on what was happening that day and throughout. I added critical markers also to the victims address and organised the community outreach team to attend to assist with CCTV cameras and ring doorbells, panic alarms and safety advice.</w:t>
      </w:r>
    </w:p>
    <w:p w14:paraId="42B23606" w14:textId="77777777" w:rsidR="00901D64" w:rsidRPr="00901D64" w:rsidRDefault="00901D64" w:rsidP="00901D6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901D64">
        <w:rPr>
          <w:rFonts w:asciiTheme="minorHAnsi" w:eastAsiaTheme="minorHAnsi" w:hAnsiTheme="minorHAnsi" w:cstheme="minorBidi"/>
          <w:color w:val="auto"/>
          <w:kern w:val="2"/>
          <w:sz w:val="22"/>
          <w:szCs w:val="22"/>
          <w:lang w:eastAsia="en-US"/>
          <w14:ligatures w14:val="standardContextual"/>
        </w:rPr>
        <w:t xml:space="preserve"> The support I gave the victim was very similar to the witnesses. Due to the involvement of a gang member, I knew this would be a terrifying experience for the witnesses to be involved and that they would have similar concerns as the victim. I kept in contact with them and updated them appropriately and special measures were applied for during their age and fear. As I am from the same area as this gang, I understood the fear and concerns that the victim and witnesses were expressing and was able to gain a rapport with them due to my understanding and being apart of a community where their actions have affected. However, this did not alter my view on being an unbiased investigator.</w:t>
      </w:r>
    </w:p>
    <w:p w14:paraId="49CF6ECD" w14:textId="77777777" w:rsidR="00901D64" w:rsidRPr="00901D64" w:rsidRDefault="00901D64" w:rsidP="00901D6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901D64">
        <w:rPr>
          <w:rFonts w:asciiTheme="minorHAnsi" w:eastAsiaTheme="minorHAnsi" w:hAnsiTheme="minorHAnsi" w:cstheme="minorBidi"/>
          <w:color w:val="auto"/>
          <w:kern w:val="2"/>
          <w:sz w:val="22"/>
          <w:szCs w:val="22"/>
          <w:lang w:eastAsia="en-US"/>
          <w14:ligatures w14:val="standardContextual"/>
        </w:rPr>
        <w:t xml:space="preserve">From the arrest of the male, it was brought to my attention early on that he had stated he had reacted so badly to the arrest as he had a family member who was on their end-of-life care in hospital. This was obviously a traumatic experience for the male, and I completely understood his concerns. I spoke to the nurse practitioner in custody and the custody sergeant about this in order to assist in getting the male support as he was clearly distressed about this. Being from the same area where I have seen the impact this male and his gang have had was difficult, however I strongly believe in being unbiased and that my role is to collect said evidence and bring it to CPS. Therefore, I was able to put my knowledge of the violent crimes to the side and focus on the task in hand. </w:t>
      </w:r>
    </w:p>
    <w:p w14:paraId="35DA9A85" w14:textId="5E028EB5" w:rsidR="00901D64" w:rsidRDefault="00901D64" w:rsidP="00901D6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901D64">
        <w:rPr>
          <w:rFonts w:asciiTheme="minorHAnsi" w:eastAsiaTheme="minorHAnsi" w:hAnsiTheme="minorHAnsi" w:cstheme="minorBidi"/>
          <w:color w:val="auto"/>
          <w:kern w:val="2"/>
          <w:sz w:val="22"/>
          <w:szCs w:val="22"/>
          <w:lang w:eastAsia="en-US"/>
          <w14:ligatures w14:val="standardContextual"/>
        </w:rPr>
        <w:t xml:space="preserve">Ensuring that processes are followed whilst conducting an investigation is very important and that the golden hour and fast-track enquiries are completed efficiently and effectively in order to gather the best evidence for a successful investigation. </w:t>
      </w:r>
      <w:r w:rsidR="00F20270" w:rsidRPr="00901D64">
        <w:rPr>
          <w:rFonts w:asciiTheme="minorHAnsi" w:eastAsiaTheme="minorHAnsi" w:hAnsiTheme="minorHAnsi" w:cstheme="minorBidi"/>
          <w:color w:val="auto"/>
          <w:kern w:val="2"/>
          <w:sz w:val="22"/>
          <w:szCs w:val="22"/>
          <w:lang w:eastAsia="en-US"/>
          <w14:ligatures w14:val="standardContextual"/>
        </w:rPr>
        <w:t>Also,</w:t>
      </w:r>
      <w:r w:rsidRPr="00901D64">
        <w:rPr>
          <w:rFonts w:asciiTheme="minorHAnsi" w:eastAsiaTheme="minorHAnsi" w:hAnsiTheme="minorHAnsi" w:cstheme="minorBidi"/>
          <w:color w:val="auto"/>
          <w:kern w:val="2"/>
          <w:sz w:val="22"/>
          <w:szCs w:val="22"/>
          <w:lang w:eastAsia="en-US"/>
          <w14:ligatures w14:val="standardContextual"/>
        </w:rPr>
        <w:t xml:space="preserve"> an important role of an investigator during complex investigations is to manage the support to the persons involved as this can help towards a successful investigation. </w:t>
      </w:r>
    </w:p>
    <w:p w14:paraId="66645B9C" w14:textId="77777777" w:rsidR="00FC145D" w:rsidRDefault="00FC145D" w:rsidP="00901D6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3DAE40E9" w14:textId="3CD246C8" w:rsidR="00FC145D" w:rsidRPr="00901D64" w:rsidRDefault="00FC145D" w:rsidP="00901D6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Pr>
          <w:rFonts w:asciiTheme="minorHAnsi" w:eastAsiaTheme="minorHAnsi" w:hAnsiTheme="minorHAnsi" w:cstheme="minorBidi"/>
          <w:color w:val="auto"/>
          <w:kern w:val="2"/>
          <w:sz w:val="22"/>
          <w:szCs w:val="22"/>
          <w:lang w:eastAsia="en-US"/>
          <w14:ligatures w14:val="standardContextual"/>
        </w:rPr>
        <w:t xml:space="preserve">(Word count – 2150) </w:t>
      </w:r>
    </w:p>
    <w:p w14:paraId="7BDC15A8" w14:textId="77777777" w:rsidR="00901D64" w:rsidRDefault="00901D64" w:rsidP="009370AE">
      <w:pPr>
        <w:ind w:right="237"/>
        <w:jc w:val="both"/>
        <w:rPr>
          <w:b/>
          <w:bCs/>
          <w:color w:val="000000" w:themeColor="text1"/>
          <w:sz w:val="28"/>
          <w:szCs w:val="28"/>
        </w:rPr>
      </w:pPr>
    </w:p>
    <w:p w14:paraId="418833C1" w14:textId="1A4843F7" w:rsidR="00901D64" w:rsidRDefault="00901D64" w:rsidP="009370AE">
      <w:pPr>
        <w:ind w:right="237"/>
        <w:jc w:val="both"/>
        <w:rPr>
          <w:b/>
          <w:bCs/>
          <w:color w:val="000000" w:themeColor="text1"/>
          <w:sz w:val="28"/>
          <w:szCs w:val="28"/>
        </w:rPr>
      </w:pPr>
    </w:p>
    <w:p w14:paraId="5F79612C" w14:textId="4E91C753" w:rsidR="009370AE" w:rsidRDefault="009370AE" w:rsidP="009370AE">
      <w:pPr>
        <w:ind w:right="237"/>
        <w:jc w:val="both"/>
        <w:rPr>
          <w:b/>
          <w:bCs/>
          <w:color w:val="000000" w:themeColor="text1"/>
          <w:sz w:val="28"/>
          <w:szCs w:val="28"/>
        </w:rPr>
      </w:pPr>
    </w:p>
    <w:p w14:paraId="49989C09" w14:textId="77777777" w:rsidR="009370AE" w:rsidRPr="009370AE" w:rsidRDefault="009370AE" w:rsidP="009370AE">
      <w:pPr>
        <w:ind w:right="237"/>
        <w:jc w:val="both"/>
        <w:rPr>
          <w:b/>
          <w:bCs/>
          <w:color w:val="000000" w:themeColor="text1"/>
          <w:sz w:val="28"/>
          <w:szCs w:val="28"/>
        </w:rPr>
      </w:pPr>
    </w:p>
    <w:p w14:paraId="1ADEFAE5" w14:textId="76C698C0" w:rsidR="0FF883D4" w:rsidRDefault="5CE196A1" w:rsidP="5CE196A1">
      <w:r w:rsidRPr="5CE196A1">
        <w:rPr>
          <w:rFonts w:eastAsia="Arial"/>
          <w:b/>
          <w:bCs/>
          <w:color w:val="000000" w:themeColor="text1"/>
          <w:sz w:val="24"/>
          <w:szCs w:val="24"/>
        </w:rPr>
        <w:t xml:space="preserve">Authentication signature: </w:t>
      </w:r>
      <w:r w:rsidR="00095BA7">
        <w:rPr>
          <w:rFonts w:eastAsia="Arial"/>
          <w:b/>
          <w:bCs/>
          <w:color w:val="000000" w:themeColor="text1"/>
          <w:sz w:val="24"/>
          <w:szCs w:val="24"/>
        </w:rPr>
        <w:t>B EVANS</w:t>
      </w:r>
    </w:p>
    <w:p w14:paraId="3E37DF86" w14:textId="687D12EF" w:rsidR="0FF883D4" w:rsidRDefault="5CE196A1" w:rsidP="5CE196A1">
      <w:r w:rsidRPr="5CE196A1">
        <w:rPr>
          <w:rFonts w:eastAsia="Arial"/>
          <w:b/>
          <w:bCs/>
          <w:color w:val="000000" w:themeColor="text1"/>
          <w:sz w:val="24"/>
          <w:szCs w:val="24"/>
        </w:rPr>
        <w:t xml:space="preserve"> </w:t>
      </w:r>
    </w:p>
    <w:p w14:paraId="543EE689" w14:textId="1D68F82A"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r w:rsidR="00095BA7">
        <w:rPr>
          <w:rFonts w:eastAsia="Arial"/>
          <w:b/>
          <w:bCs/>
          <w:color w:val="000000" w:themeColor="text1"/>
          <w:sz w:val="24"/>
          <w:szCs w:val="24"/>
        </w:rPr>
        <w:t>B EVANS</w:t>
      </w:r>
    </w:p>
    <w:p w14:paraId="09D0056A" w14:textId="12CDB5C7" w:rsidR="0FF883D4" w:rsidRDefault="5CE196A1" w:rsidP="5CE196A1">
      <w:r w:rsidRPr="5CE196A1">
        <w:rPr>
          <w:rFonts w:eastAsia="Arial"/>
          <w:b/>
          <w:bCs/>
          <w:color w:val="000000" w:themeColor="text1"/>
          <w:sz w:val="24"/>
          <w:szCs w:val="24"/>
        </w:rPr>
        <w:t xml:space="preserve"> </w:t>
      </w:r>
    </w:p>
    <w:p w14:paraId="6CBAEEA0" w14:textId="3D86B644" w:rsidR="0FF883D4" w:rsidRDefault="5CE196A1" w:rsidP="5CE196A1">
      <w:r w:rsidRPr="5CE196A1">
        <w:rPr>
          <w:rFonts w:eastAsia="Arial"/>
          <w:b/>
          <w:bCs/>
          <w:color w:val="000000" w:themeColor="text1"/>
          <w:sz w:val="24"/>
          <w:szCs w:val="24"/>
        </w:rPr>
        <w:t xml:space="preserve">Signed: </w:t>
      </w:r>
      <w:r w:rsidR="00095BA7">
        <w:rPr>
          <w:rFonts w:eastAsia="Arial"/>
          <w:b/>
          <w:bCs/>
          <w:color w:val="000000" w:themeColor="text1"/>
          <w:sz w:val="24"/>
          <w:szCs w:val="24"/>
        </w:rPr>
        <w:t>B EVANS</w:t>
      </w:r>
      <w:r w:rsidR="00095BA7">
        <w:rPr>
          <w:rFonts w:eastAsia="Arial"/>
          <w:b/>
          <w:bCs/>
          <w:color w:val="000000" w:themeColor="text1"/>
          <w:sz w:val="24"/>
          <w:szCs w:val="24"/>
        </w:rPr>
        <w:tab/>
      </w:r>
    </w:p>
    <w:p w14:paraId="563192E7" w14:textId="7A83C86F" w:rsidR="0FF883D4" w:rsidRDefault="5CE196A1" w:rsidP="5CE196A1">
      <w:r w:rsidRPr="5CE196A1">
        <w:rPr>
          <w:rFonts w:eastAsia="Arial"/>
          <w:b/>
          <w:bCs/>
          <w:color w:val="000000" w:themeColor="text1"/>
          <w:sz w:val="24"/>
          <w:szCs w:val="24"/>
        </w:rPr>
        <w:t xml:space="preserve"> </w:t>
      </w:r>
    </w:p>
    <w:p w14:paraId="22DBB0E5" w14:textId="43985F4F" w:rsidR="0FF883D4" w:rsidRDefault="5CE196A1" w:rsidP="5CE196A1">
      <w:r w:rsidRPr="5CE196A1">
        <w:rPr>
          <w:rFonts w:eastAsia="Arial"/>
          <w:b/>
          <w:bCs/>
          <w:color w:val="000000" w:themeColor="text1"/>
          <w:sz w:val="24"/>
          <w:szCs w:val="24"/>
        </w:rPr>
        <w:t>Date:</w:t>
      </w:r>
    </w:p>
    <w:p w14:paraId="482B2B3A" w14:textId="54251D7C" w:rsidR="0FF883D4" w:rsidRDefault="00095BA7" w:rsidP="5CE196A1">
      <w:pPr>
        <w:ind w:left="2880" w:right="225" w:firstLine="720"/>
        <w:rPr>
          <w:b/>
          <w:bCs/>
          <w:sz w:val="24"/>
          <w:szCs w:val="24"/>
          <w:lang w:eastAsia="zh-TW"/>
        </w:rPr>
        <w:sectPr w:rsidR="0FF883D4"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r>
        <w:rPr>
          <w:b/>
          <w:bCs/>
          <w:sz w:val="24"/>
          <w:szCs w:val="24"/>
          <w:lang w:eastAsia="zh-TW"/>
        </w:rPr>
        <w:t>28/04/2024</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73D73507" w14:textId="77777777" w:rsidR="00816750" w:rsidRDefault="00816750" w:rsidP="00EA28F1">
      <w:pPr>
        <w:keepNext/>
        <w:spacing w:before="240" w:after="60"/>
        <w:ind w:right="237"/>
        <w:jc w:val="both"/>
        <w:rPr>
          <w:sz w:val="24"/>
          <w:szCs w:val="24"/>
        </w:rPr>
      </w:pPr>
    </w:p>
    <w:p w14:paraId="1CA57F8A" w14:textId="77777777" w:rsidR="00816750" w:rsidRDefault="00816750" w:rsidP="00816750">
      <w:pPr>
        <w:widowControl w:val="0"/>
        <w:spacing w:after="240" w:line="360" w:lineRule="auto"/>
        <w:rPr>
          <w:rFonts w:ascii="Times New Roman" w:hAnsi="Times New Roman" w:cs="Times New Roman"/>
          <w:color w:val="auto"/>
          <w:lang w:val="en-US"/>
        </w:rPr>
      </w:pPr>
      <w:r>
        <w:rPr>
          <w:rFonts w:ascii="Times New Roman" w:hAnsi="Times New Roman" w:cs="Times New Roman"/>
          <w:sz w:val="36"/>
          <w:szCs w:val="36"/>
          <w:lang w:val="en-US"/>
        </w:rPr>
        <w:t>Reference list</w:t>
      </w:r>
    </w:p>
    <w:p w14:paraId="141A94F2" w14:textId="77777777" w:rsidR="00816750" w:rsidRDefault="00816750" w:rsidP="00816750">
      <w:pPr>
        <w:widowControl w:val="0"/>
        <w:spacing w:after="240" w:line="360" w:lineRule="auto"/>
        <w:rPr>
          <w:rFonts w:ascii="Times New Roman" w:hAnsi="Times New Roman" w:cs="Times New Roman"/>
          <w:lang w:val="en-US"/>
        </w:rPr>
      </w:pPr>
      <w:r>
        <w:rPr>
          <w:rFonts w:ascii="Times New Roman" w:hAnsi="Times New Roman" w:cs="Times New Roman"/>
          <w:lang w:val="en-US"/>
        </w:rPr>
        <w:t xml:space="preserve">Bullock, K., Erol, R. and Tilley, N. (2006). </w:t>
      </w:r>
      <w:r>
        <w:rPr>
          <w:rFonts w:ascii="Times New Roman" w:hAnsi="Times New Roman" w:cs="Times New Roman"/>
          <w:i/>
          <w:iCs/>
          <w:lang w:val="en-US"/>
        </w:rPr>
        <w:t>Problem-oriented policing and partnerships : implementing an evidence-based approach to crime reduction</w:t>
      </w:r>
      <w:r>
        <w:rPr>
          <w:rFonts w:ascii="Times New Roman" w:hAnsi="Times New Roman" w:cs="Times New Roman"/>
          <w:lang w:val="en-US"/>
        </w:rPr>
        <w:t>. London: Routledge.</w:t>
      </w:r>
    </w:p>
    <w:p w14:paraId="5AD0CA26" w14:textId="77777777" w:rsidR="00816750" w:rsidRDefault="00816750" w:rsidP="00816750">
      <w:pPr>
        <w:widowControl w:val="0"/>
        <w:spacing w:after="240" w:line="360" w:lineRule="auto"/>
        <w:rPr>
          <w:rFonts w:ascii="Times New Roman" w:hAnsi="Times New Roman" w:cs="Times New Roman"/>
          <w:lang w:val="en-US"/>
        </w:rPr>
      </w:pPr>
      <w:r>
        <w:rPr>
          <w:rFonts w:ascii="Times New Roman" w:hAnsi="Times New Roman" w:cs="Times New Roman"/>
          <w:lang w:val="en-US"/>
        </w:rPr>
        <w:t xml:space="preserve">Bullock, K. and Tilley, N. (2009). Evidence-Based Policing and Crime Reduction. </w:t>
      </w:r>
      <w:r>
        <w:rPr>
          <w:rFonts w:ascii="Times New Roman" w:hAnsi="Times New Roman" w:cs="Times New Roman"/>
          <w:i/>
          <w:iCs/>
          <w:lang w:val="en-US"/>
        </w:rPr>
        <w:t>Policing</w:t>
      </w:r>
      <w:r>
        <w:rPr>
          <w:rFonts w:ascii="Times New Roman" w:hAnsi="Times New Roman" w:cs="Times New Roman"/>
          <w:lang w:val="en-US"/>
        </w:rPr>
        <w:t>, [online] 3(4), pp.381–387. doi:</w:t>
      </w:r>
      <w:hyperlink r:id="rId21" w:history="1">
        <w:r>
          <w:rPr>
            <w:rStyle w:val="Hyperlink"/>
            <w:rFonts w:ascii="Times New Roman" w:hAnsi="Times New Roman" w:cs="Times New Roman"/>
            <w:color w:val="auto"/>
            <w:lang w:val="en-US"/>
          </w:rPr>
          <w:t>https://doi.org/10.1093/police/pap032</w:t>
        </w:r>
      </w:hyperlink>
      <w:r>
        <w:rPr>
          <w:rFonts w:ascii="Times New Roman" w:hAnsi="Times New Roman" w:cs="Times New Roman"/>
          <w:lang w:val="en-US"/>
        </w:rPr>
        <w:t>.</w:t>
      </w:r>
    </w:p>
    <w:p w14:paraId="16E80387" w14:textId="77777777" w:rsidR="00816750" w:rsidRDefault="00816750" w:rsidP="00816750">
      <w:pPr>
        <w:widowControl w:val="0"/>
        <w:spacing w:after="240" w:line="360" w:lineRule="auto"/>
        <w:rPr>
          <w:rFonts w:ascii="Times New Roman" w:hAnsi="Times New Roman" w:cs="Times New Roman"/>
          <w:lang w:val="en-US"/>
        </w:rPr>
      </w:pPr>
      <w:r>
        <w:rPr>
          <w:rFonts w:ascii="Times New Roman" w:hAnsi="Times New Roman" w:cs="Times New Roman"/>
          <w:lang w:val="en-US"/>
        </w:rPr>
        <w:t xml:space="preserve">College of Policing (2013a). </w:t>
      </w:r>
      <w:r>
        <w:rPr>
          <w:rFonts w:ascii="Times New Roman" w:hAnsi="Times New Roman" w:cs="Times New Roman"/>
          <w:i/>
          <w:iCs/>
          <w:lang w:val="en-US"/>
        </w:rPr>
        <w:t>Investigation process</w:t>
      </w:r>
      <w:r>
        <w:rPr>
          <w:rFonts w:ascii="Times New Roman" w:hAnsi="Times New Roman" w:cs="Times New Roman"/>
          <w:lang w:val="en-US"/>
        </w:rPr>
        <w:t xml:space="preserve">. [online] College of Policing. Available at: </w:t>
      </w:r>
      <w:hyperlink r:id="rId22" w:anchor="fast-track-actions-a5764d22-8e36-4585-be1c-c6e4b1f256ae" w:history="1">
        <w:r>
          <w:rPr>
            <w:rStyle w:val="Hyperlink"/>
            <w:rFonts w:ascii="Times New Roman" w:hAnsi="Times New Roman" w:cs="Times New Roman"/>
            <w:color w:val="auto"/>
            <w:lang w:val="en-US"/>
          </w:rPr>
          <w:t>https://www.college.police.uk/app/investigation/investigation-process#fast-track-actions-a5764d22-8e36-4585-be1c-c6e4b1f256ae</w:t>
        </w:r>
      </w:hyperlink>
      <w:r>
        <w:rPr>
          <w:rFonts w:ascii="Times New Roman" w:hAnsi="Times New Roman" w:cs="Times New Roman"/>
          <w:lang w:val="en-US"/>
        </w:rPr>
        <w:t>.</w:t>
      </w:r>
    </w:p>
    <w:p w14:paraId="5DDBFED9" w14:textId="77777777" w:rsidR="00816750" w:rsidRDefault="00816750" w:rsidP="00816750">
      <w:pPr>
        <w:widowControl w:val="0"/>
        <w:spacing w:after="240" w:line="360" w:lineRule="auto"/>
        <w:rPr>
          <w:rFonts w:ascii="Times New Roman" w:hAnsi="Times New Roman" w:cs="Times New Roman"/>
          <w:lang w:val="en-US"/>
        </w:rPr>
      </w:pPr>
      <w:r>
        <w:rPr>
          <w:rFonts w:ascii="Times New Roman" w:hAnsi="Times New Roman" w:cs="Times New Roman"/>
          <w:lang w:val="en-US"/>
        </w:rPr>
        <w:t xml:space="preserve">College of Policing (2013b). </w:t>
      </w:r>
      <w:r>
        <w:rPr>
          <w:rFonts w:ascii="Times New Roman" w:hAnsi="Times New Roman" w:cs="Times New Roman"/>
          <w:i/>
          <w:iCs/>
          <w:lang w:val="en-US"/>
        </w:rPr>
        <w:t>Search powers, and obtaining and executing search warrants</w:t>
      </w:r>
      <w:r>
        <w:rPr>
          <w:rFonts w:ascii="Times New Roman" w:hAnsi="Times New Roman" w:cs="Times New Roman"/>
          <w:lang w:val="en-US"/>
        </w:rPr>
        <w:t xml:space="preserve">. [online] College of Policing. Available at: </w:t>
      </w:r>
      <w:hyperlink r:id="rId23" w:history="1">
        <w:r>
          <w:rPr>
            <w:rStyle w:val="Hyperlink"/>
            <w:rFonts w:ascii="Times New Roman" w:hAnsi="Times New Roman" w:cs="Times New Roman"/>
            <w:color w:val="auto"/>
            <w:lang w:val="en-US"/>
          </w:rPr>
          <w:t>https://www.college.police.uk/app/investigation/investigative-strategies/search-powers-and-obtaining-and-executing-search-warrants</w:t>
        </w:r>
      </w:hyperlink>
      <w:r>
        <w:rPr>
          <w:rFonts w:ascii="Times New Roman" w:hAnsi="Times New Roman" w:cs="Times New Roman"/>
          <w:lang w:val="en-US"/>
        </w:rPr>
        <w:t>.</w:t>
      </w:r>
    </w:p>
    <w:p w14:paraId="5BCCBC7F" w14:textId="77777777" w:rsidR="00816750" w:rsidRDefault="00816750" w:rsidP="00816750">
      <w:pPr>
        <w:widowControl w:val="0"/>
        <w:spacing w:after="240" w:line="360" w:lineRule="auto"/>
        <w:rPr>
          <w:rFonts w:ascii="Times New Roman" w:hAnsi="Times New Roman" w:cs="Times New Roman"/>
          <w:lang w:val="en-US"/>
        </w:rPr>
      </w:pPr>
      <w:r>
        <w:rPr>
          <w:rFonts w:ascii="Times New Roman" w:hAnsi="Times New Roman" w:cs="Times New Roman"/>
          <w:lang w:val="en-US"/>
        </w:rPr>
        <w:t xml:space="preserve">College of Policing (2022). </w:t>
      </w:r>
      <w:r>
        <w:rPr>
          <w:rFonts w:ascii="Times New Roman" w:hAnsi="Times New Roman" w:cs="Times New Roman"/>
          <w:i/>
          <w:iCs/>
          <w:lang w:val="en-US"/>
        </w:rPr>
        <w:t>Extraction of Material from Digital Devices</w:t>
      </w:r>
      <w:r>
        <w:rPr>
          <w:rFonts w:ascii="Times New Roman" w:hAnsi="Times New Roman" w:cs="Times New Roman"/>
          <w:lang w:val="en-US"/>
        </w:rPr>
        <w:t xml:space="preserve">. [online] College of Policing. Available at: </w:t>
      </w:r>
      <w:hyperlink r:id="rId24" w:history="1">
        <w:r>
          <w:rPr>
            <w:rStyle w:val="Hyperlink"/>
            <w:rFonts w:ascii="Times New Roman" w:hAnsi="Times New Roman" w:cs="Times New Roman"/>
            <w:color w:val="auto"/>
            <w:lang w:val="en-US"/>
          </w:rPr>
          <w:t>https://www.college.police.uk/app/extraction-material-digital-devices</w:t>
        </w:r>
      </w:hyperlink>
      <w:r>
        <w:rPr>
          <w:rFonts w:ascii="Times New Roman" w:hAnsi="Times New Roman" w:cs="Times New Roman"/>
          <w:lang w:val="en-US"/>
        </w:rPr>
        <w:t>.</w:t>
      </w:r>
    </w:p>
    <w:p w14:paraId="58684308" w14:textId="77777777" w:rsidR="00816750" w:rsidRDefault="00816750" w:rsidP="00816750">
      <w:pPr>
        <w:widowControl w:val="0"/>
        <w:spacing w:after="240" w:line="360" w:lineRule="auto"/>
        <w:rPr>
          <w:rFonts w:ascii="Times New Roman" w:hAnsi="Times New Roman" w:cs="Times New Roman"/>
          <w:lang w:val="en-US"/>
        </w:rPr>
      </w:pPr>
      <w:r>
        <w:rPr>
          <w:rFonts w:ascii="Times New Roman" w:hAnsi="Times New Roman" w:cs="Times New Roman"/>
          <w:lang w:val="en-US"/>
        </w:rPr>
        <w:t xml:space="preserve">Cooper, P. and Mattison, M. (2017). Intermediaries, vulnerable people and the quality of evidence. </w:t>
      </w:r>
      <w:r>
        <w:rPr>
          <w:rFonts w:ascii="Times New Roman" w:hAnsi="Times New Roman" w:cs="Times New Roman"/>
          <w:i/>
          <w:iCs/>
          <w:lang w:val="en-US"/>
        </w:rPr>
        <w:t>The International Journal of Evidence &amp; Proof</w:t>
      </w:r>
      <w:r>
        <w:rPr>
          <w:rFonts w:ascii="Times New Roman" w:hAnsi="Times New Roman" w:cs="Times New Roman"/>
          <w:lang w:val="en-US"/>
        </w:rPr>
        <w:t>, 21(4), pp.351–370. doi:</w:t>
      </w:r>
      <w:hyperlink r:id="rId25" w:history="1">
        <w:r>
          <w:rPr>
            <w:rStyle w:val="Hyperlink"/>
            <w:rFonts w:ascii="Times New Roman" w:hAnsi="Times New Roman" w:cs="Times New Roman"/>
            <w:color w:val="auto"/>
            <w:lang w:val="en-US"/>
          </w:rPr>
          <w:t>https://doi.org/10.1177/1365712717725534</w:t>
        </w:r>
      </w:hyperlink>
      <w:r>
        <w:rPr>
          <w:rFonts w:ascii="Times New Roman" w:hAnsi="Times New Roman" w:cs="Times New Roman"/>
          <w:lang w:val="en-US"/>
        </w:rPr>
        <w:t>.</w:t>
      </w:r>
    </w:p>
    <w:p w14:paraId="32E05D27" w14:textId="77777777" w:rsidR="00816750" w:rsidRDefault="00816750" w:rsidP="00816750">
      <w:pPr>
        <w:widowControl w:val="0"/>
        <w:spacing w:after="240" w:line="360" w:lineRule="auto"/>
        <w:rPr>
          <w:rFonts w:ascii="Times New Roman" w:hAnsi="Times New Roman" w:cs="Times New Roman"/>
          <w:lang w:val="en-US"/>
        </w:rPr>
      </w:pPr>
      <w:r>
        <w:rPr>
          <w:rFonts w:ascii="Times New Roman" w:hAnsi="Times New Roman" w:cs="Times New Roman"/>
          <w:lang w:val="en-US"/>
        </w:rPr>
        <w:t xml:space="preserve">CPS (2022). </w:t>
      </w:r>
      <w:r>
        <w:rPr>
          <w:rFonts w:ascii="Times New Roman" w:hAnsi="Times New Roman" w:cs="Times New Roman"/>
          <w:i/>
          <w:iCs/>
          <w:lang w:val="en-US"/>
        </w:rPr>
        <w:t>Support to give your evidence - ‘special measures’ | The Crown Prosecution Service</w:t>
      </w:r>
      <w:r>
        <w:rPr>
          <w:rFonts w:ascii="Times New Roman" w:hAnsi="Times New Roman" w:cs="Times New Roman"/>
          <w:lang w:val="en-US"/>
        </w:rPr>
        <w:t xml:space="preserve">. [online] www.cps.gov.uk. Available at: </w:t>
      </w:r>
      <w:hyperlink r:id="rId26" w:anchor=":~:text=The%20police%20will%20talk%20to" w:history="1">
        <w:r>
          <w:rPr>
            <w:rStyle w:val="Hyperlink"/>
            <w:rFonts w:ascii="Times New Roman" w:hAnsi="Times New Roman" w:cs="Times New Roman"/>
            <w:color w:val="auto"/>
            <w:lang w:val="en-US"/>
          </w:rPr>
          <w:t>https://www.cps.gov.uk/support-give-your-evidence-special-measures#:~:text=The%20police%20will%20talk%20to</w:t>
        </w:r>
      </w:hyperlink>
      <w:r>
        <w:rPr>
          <w:rFonts w:ascii="Times New Roman" w:hAnsi="Times New Roman" w:cs="Times New Roman"/>
          <w:lang w:val="en-US"/>
        </w:rPr>
        <w:t>.</w:t>
      </w:r>
    </w:p>
    <w:p w14:paraId="64627370" w14:textId="77777777" w:rsidR="00816750" w:rsidRDefault="00816750" w:rsidP="00816750">
      <w:pPr>
        <w:widowControl w:val="0"/>
        <w:spacing w:after="240" w:line="360" w:lineRule="auto"/>
        <w:rPr>
          <w:rFonts w:ascii="Times New Roman" w:hAnsi="Times New Roman" w:cs="Times New Roman"/>
          <w:lang w:val="en-US"/>
        </w:rPr>
      </w:pPr>
      <w:r>
        <w:rPr>
          <w:rFonts w:ascii="Times New Roman" w:hAnsi="Times New Roman" w:cs="Times New Roman"/>
          <w:lang w:val="en-US"/>
        </w:rPr>
        <w:t xml:space="preserve">Crown Prosecution Service (2024). </w:t>
      </w:r>
      <w:r>
        <w:rPr>
          <w:rFonts w:ascii="Times New Roman" w:hAnsi="Times New Roman" w:cs="Times New Roman"/>
          <w:i/>
          <w:iCs/>
          <w:lang w:val="en-US"/>
        </w:rPr>
        <w:t>CPS data summary Quarter 1 2023-2024 | The Crown Prosecution Service</w:t>
      </w:r>
      <w:r>
        <w:rPr>
          <w:rFonts w:ascii="Times New Roman" w:hAnsi="Times New Roman" w:cs="Times New Roman"/>
          <w:lang w:val="en-US"/>
        </w:rPr>
        <w:t xml:space="preserve">. [online] www.cps.gov.uk. Available at: </w:t>
      </w:r>
      <w:hyperlink r:id="rId27" w:anchor=":~:text=Non%2Dconvictions%20due%20to%20victim%20attrition%20increased%20by%201.4%20percentage" w:history="1">
        <w:r>
          <w:rPr>
            <w:rStyle w:val="Hyperlink"/>
            <w:rFonts w:ascii="Times New Roman" w:hAnsi="Times New Roman" w:cs="Times New Roman"/>
            <w:color w:val="auto"/>
            <w:lang w:val="en-US"/>
          </w:rPr>
          <w:t>https://www.cps.gov.uk/publication/cps-data-summary-quarter-1-2023-2024#:~:text=Non%2Dconvictions%20due%20to%20victim%20attrition%20increased%20by%201.4%20percentage</w:t>
        </w:r>
      </w:hyperlink>
      <w:r>
        <w:rPr>
          <w:rFonts w:ascii="Times New Roman" w:hAnsi="Times New Roman" w:cs="Times New Roman"/>
          <w:lang w:val="en-US"/>
        </w:rPr>
        <w:t xml:space="preserve"> [Accessed 28 Apr. 2024].</w:t>
      </w:r>
    </w:p>
    <w:p w14:paraId="2FF37A76" w14:textId="77777777" w:rsidR="00816750" w:rsidRDefault="00816750" w:rsidP="00816750">
      <w:pPr>
        <w:widowControl w:val="0"/>
        <w:spacing w:after="240" w:line="360" w:lineRule="auto"/>
        <w:rPr>
          <w:rFonts w:ascii="Times New Roman" w:hAnsi="Times New Roman" w:cs="Times New Roman"/>
          <w:lang w:val="en-US"/>
        </w:rPr>
      </w:pPr>
      <w:r>
        <w:rPr>
          <w:rFonts w:ascii="Times New Roman" w:hAnsi="Times New Roman" w:cs="Times New Roman"/>
          <w:lang w:val="en-US"/>
        </w:rPr>
        <w:t xml:space="preserve">Dalton, C.T., Barrett, S., Horvath, M.A.H. and Davies, K. (2022). A Systematic Literature Review of Specialist Policing of Rape and Serious Sexual Offences. </w:t>
      </w:r>
      <w:r>
        <w:rPr>
          <w:rFonts w:ascii="Times New Roman" w:hAnsi="Times New Roman" w:cs="Times New Roman"/>
          <w:i/>
          <w:iCs/>
          <w:lang w:val="en-US"/>
        </w:rPr>
        <w:t>International Criminology</w:t>
      </w:r>
      <w:r>
        <w:rPr>
          <w:rFonts w:ascii="Times New Roman" w:hAnsi="Times New Roman" w:cs="Times New Roman"/>
          <w:lang w:val="en-US"/>
        </w:rPr>
        <w:t>, 1(1). doi:</w:t>
      </w:r>
      <w:hyperlink r:id="rId28" w:history="1">
        <w:r>
          <w:rPr>
            <w:rStyle w:val="Hyperlink"/>
            <w:rFonts w:ascii="Times New Roman" w:hAnsi="Times New Roman" w:cs="Times New Roman"/>
            <w:color w:val="auto"/>
            <w:lang w:val="en-US"/>
          </w:rPr>
          <w:t>https://doi.org/10.1007/s43576-022-00062-1</w:t>
        </w:r>
      </w:hyperlink>
      <w:r>
        <w:rPr>
          <w:rFonts w:ascii="Times New Roman" w:hAnsi="Times New Roman" w:cs="Times New Roman"/>
          <w:lang w:val="en-US"/>
        </w:rPr>
        <w:t>.</w:t>
      </w:r>
    </w:p>
    <w:p w14:paraId="2AADD47D" w14:textId="77777777" w:rsidR="00816750" w:rsidRDefault="00816750" w:rsidP="00816750">
      <w:pPr>
        <w:widowControl w:val="0"/>
        <w:spacing w:after="240" w:line="360" w:lineRule="auto"/>
        <w:rPr>
          <w:rFonts w:ascii="Times New Roman" w:hAnsi="Times New Roman" w:cs="Times New Roman"/>
          <w:lang w:val="en-US"/>
        </w:rPr>
      </w:pPr>
      <w:r>
        <w:rPr>
          <w:rFonts w:ascii="Times New Roman" w:hAnsi="Times New Roman" w:cs="Times New Roman"/>
          <w:lang w:val="en-US"/>
        </w:rPr>
        <w:lastRenderedPageBreak/>
        <w:t xml:space="preserve">Davies, P., Rowe, M., Brown, D.M., Biddle, P. and Fielding, N. (2020). Understanding the status of evidence in policing research: reflections from a study of policing domestic abuse. </w:t>
      </w:r>
      <w:r>
        <w:rPr>
          <w:rFonts w:ascii="Times New Roman" w:hAnsi="Times New Roman" w:cs="Times New Roman"/>
          <w:i/>
          <w:iCs/>
          <w:lang w:val="en-US"/>
        </w:rPr>
        <w:t>Policing and Society</w:t>
      </w:r>
      <w:r>
        <w:rPr>
          <w:rFonts w:ascii="Times New Roman" w:hAnsi="Times New Roman" w:cs="Times New Roman"/>
          <w:lang w:val="en-US"/>
        </w:rPr>
        <w:t>, 31(6), pp.1–15. doi:</w:t>
      </w:r>
      <w:hyperlink r:id="rId29" w:history="1">
        <w:r>
          <w:rPr>
            <w:rStyle w:val="Hyperlink"/>
            <w:rFonts w:ascii="Times New Roman" w:hAnsi="Times New Roman" w:cs="Times New Roman"/>
            <w:color w:val="auto"/>
            <w:lang w:val="en-US"/>
          </w:rPr>
          <w:t>https://doi.org/10.1080/10439463.2020.1762598</w:t>
        </w:r>
      </w:hyperlink>
      <w:r>
        <w:rPr>
          <w:rFonts w:ascii="Times New Roman" w:hAnsi="Times New Roman" w:cs="Times New Roman"/>
          <w:lang w:val="en-US"/>
        </w:rPr>
        <w:t>.</w:t>
      </w:r>
    </w:p>
    <w:p w14:paraId="69BD8E28" w14:textId="77777777" w:rsidR="00816750" w:rsidRDefault="00816750" w:rsidP="00816750">
      <w:pPr>
        <w:widowControl w:val="0"/>
        <w:spacing w:after="240" w:line="360" w:lineRule="auto"/>
        <w:rPr>
          <w:rFonts w:ascii="Times New Roman" w:hAnsi="Times New Roman" w:cs="Times New Roman"/>
          <w:lang w:val="en-US"/>
        </w:rPr>
      </w:pPr>
      <w:r>
        <w:rPr>
          <w:rFonts w:ascii="Times New Roman" w:hAnsi="Times New Roman" w:cs="Times New Roman"/>
          <w:lang w:val="en-US"/>
        </w:rPr>
        <w:t xml:space="preserve">Department for Education (2023). </w:t>
      </w:r>
      <w:r>
        <w:rPr>
          <w:rFonts w:ascii="Times New Roman" w:hAnsi="Times New Roman" w:cs="Times New Roman"/>
          <w:i/>
          <w:iCs/>
          <w:lang w:val="en-US"/>
        </w:rPr>
        <w:t>Improving multi- Agency Information Sharing Government Policy on Information Sharing and the Use of a Consistent Child Identifier</w:t>
      </w:r>
      <w:r>
        <w:rPr>
          <w:rFonts w:ascii="Times New Roman" w:hAnsi="Times New Roman" w:cs="Times New Roman"/>
          <w:lang w:val="en-US"/>
        </w:rPr>
        <w:t xml:space="preserve">. [online] Available at: </w:t>
      </w:r>
      <w:hyperlink r:id="rId30" w:history="1">
        <w:r>
          <w:rPr>
            <w:rStyle w:val="Hyperlink"/>
            <w:rFonts w:ascii="Times New Roman" w:hAnsi="Times New Roman" w:cs="Times New Roman"/>
            <w:color w:val="auto"/>
            <w:lang w:val="en-US"/>
          </w:rPr>
          <w:t>https://assets.publishing.service.gov.uk/media/64d500285cac65000dc2dd91/Improving_multi-agency_information_sharing_2023.pdf</w:t>
        </w:r>
      </w:hyperlink>
      <w:r>
        <w:rPr>
          <w:rFonts w:ascii="Times New Roman" w:hAnsi="Times New Roman" w:cs="Times New Roman"/>
          <w:lang w:val="en-US"/>
        </w:rPr>
        <w:t>.</w:t>
      </w:r>
    </w:p>
    <w:p w14:paraId="28039110" w14:textId="77777777" w:rsidR="00816750" w:rsidRDefault="00816750" w:rsidP="00816750">
      <w:pPr>
        <w:widowControl w:val="0"/>
        <w:spacing w:after="240" w:line="360" w:lineRule="auto"/>
        <w:rPr>
          <w:rFonts w:ascii="Times New Roman" w:hAnsi="Times New Roman" w:cs="Times New Roman"/>
          <w:lang w:val="en-US"/>
        </w:rPr>
      </w:pPr>
      <w:r>
        <w:rPr>
          <w:rFonts w:ascii="Times New Roman" w:hAnsi="Times New Roman" w:cs="Times New Roman"/>
          <w:lang w:val="en-US"/>
        </w:rPr>
        <w:t xml:space="preserve">Fielding, N., Bullock, K. and Holdaway, S. (2021). </w:t>
      </w:r>
      <w:r>
        <w:rPr>
          <w:rFonts w:ascii="Times New Roman" w:hAnsi="Times New Roman" w:cs="Times New Roman"/>
          <w:i/>
          <w:iCs/>
          <w:lang w:val="en-US"/>
        </w:rPr>
        <w:t>Critical Reflections On Evidence-Based Policing.</w:t>
      </w:r>
      <w:r>
        <w:rPr>
          <w:rFonts w:ascii="Times New Roman" w:hAnsi="Times New Roman" w:cs="Times New Roman"/>
          <w:lang w:val="en-US"/>
        </w:rPr>
        <w:t xml:space="preserve"> S.L.: Routledge.</w:t>
      </w:r>
    </w:p>
    <w:p w14:paraId="2BE0E84F" w14:textId="77777777" w:rsidR="00816750" w:rsidRDefault="00816750" w:rsidP="00816750">
      <w:pPr>
        <w:widowControl w:val="0"/>
        <w:spacing w:after="240" w:line="360" w:lineRule="auto"/>
        <w:rPr>
          <w:rFonts w:ascii="Times New Roman" w:hAnsi="Times New Roman" w:cs="Times New Roman"/>
          <w:lang w:val="en-US"/>
        </w:rPr>
      </w:pPr>
      <w:r>
        <w:rPr>
          <w:rFonts w:ascii="Times New Roman" w:hAnsi="Times New Roman" w:cs="Times New Roman"/>
          <w:lang w:val="en-US"/>
        </w:rPr>
        <w:t xml:space="preserve">Hanmer, J., Griffiths, S. and Jerwood, D. (1999). </w:t>
      </w:r>
      <w:r>
        <w:rPr>
          <w:rFonts w:ascii="Times New Roman" w:hAnsi="Times New Roman" w:cs="Times New Roman"/>
          <w:i/>
          <w:iCs/>
          <w:lang w:val="en-US"/>
        </w:rPr>
        <w:t>Police Research Series Paper 104 Arresting Evidence: Domestic Violence and Repeat Victimisation</w:t>
      </w:r>
      <w:r>
        <w:rPr>
          <w:rFonts w:ascii="Times New Roman" w:hAnsi="Times New Roman" w:cs="Times New Roman"/>
          <w:lang w:val="en-US"/>
        </w:rPr>
        <w:t xml:space="preserve">. [online] Available at: </w:t>
      </w:r>
      <w:hyperlink r:id="rId31" w:history="1">
        <w:r>
          <w:rPr>
            <w:rStyle w:val="Hyperlink"/>
            <w:rFonts w:ascii="Times New Roman" w:hAnsi="Times New Roman" w:cs="Times New Roman"/>
            <w:color w:val="auto"/>
            <w:lang w:val="en-US"/>
          </w:rPr>
          <w:t>https://www.popcenter.org/sites/default/files/problems/domestic_violence/PDFs/Hanmer_etal_1999.pdf</w:t>
        </w:r>
      </w:hyperlink>
      <w:r>
        <w:rPr>
          <w:rFonts w:ascii="Times New Roman" w:hAnsi="Times New Roman" w:cs="Times New Roman"/>
          <w:lang w:val="en-US"/>
        </w:rPr>
        <w:t>.</w:t>
      </w:r>
    </w:p>
    <w:p w14:paraId="6E3CDBD7" w14:textId="77777777" w:rsidR="00816750" w:rsidRDefault="00816750" w:rsidP="00816750">
      <w:pPr>
        <w:widowControl w:val="0"/>
        <w:spacing w:after="240" w:line="360" w:lineRule="auto"/>
        <w:rPr>
          <w:rFonts w:ascii="Times New Roman" w:hAnsi="Times New Roman" w:cs="Times New Roman"/>
          <w:lang w:val="en-US"/>
        </w:rPr>
      </w:pPr>
      <w:r>
        <w:rPr>
          <w:rFonts w:ascii="Times New Roman" w:hAnsi="Times New Roman" w:cs="Times New Roman"/>
          <w:lang w:val="en-US"/>
        </w:rPr>
        <w:t xml:space="preserve">Health and Safety Executive (2023). </w:t>
      </w:r>
      <w:r>
        <w:rPr>
          <w:rFonts w:ascii="Times New Roman" w:hAnsi="Times New Roman" w:cs="Times New Roman"/>
          <w:i/>
          <w:iCs/>
          <w:lang w:val="en-US"/>
        </w:rPr>
        <w:t>Order of collecting evidence - Investigation - Enforcement Guide (England &amp; Wales)</w:t>
      </w:r>
      <w:r>
        <w:rPr>
          <w:rFonts w:ascii="Times New Roman" w:hAnsi="Times New Roman" w:cs="Times New Roman"/>
          <w:lang w:val="en-US"/>
        </w:rPr>
        <w:t xml:space="preserve">. [online] www.hse.gov.uk. Available at: </w:t>
      </w:r>
      <w:hyperlink r:id="rId32" w:history="1">
        <w:r>
          <w:rPr>
            <w:rStyle w:val="Hyperlink"/>
            <w:rFonts w:ascii="Times New Roman" w:hAnsi="Times New Roman" w:cs="Times New Roman"/>
            <w:color w:val="auto"/>
            <w:lang w:val="en-US"/>
          </w:rPr>
          <w:t>https://www.hse.gov.uk/enforce/enforcementguide/investigation/witness-order.htm</w:t>
        </w:r>
      </w:hyperlink>
      <w:r>
        <w:rPr>
          <w:rFonts w:ascii="Times New Roman" w:hAnsi="Times New Roman" w:cs="Times New Roman"/>
          <w:lang w:val="en-US"/>
        </w:rPr>
        <w:t>.</w:t>
      </w:r>
    </w:p>
    <w:p w14:paraId="2FCAA956" w14:textId="77777777" w:rsidR="00816750" w:rsidRDefault="00816750" w:rsidP="00816750">
      <w:pPr>
        <w:widowControl w:val="0"/>
        <w:spacing w:after="240" w:line="360" w:lineRule="auto"/>
        <w:rPr>
          <w:rFonts w:ascii="Times New Roman" w:hAnsi="Times New Roman" w:cs="Times New Roman"/>
          <w:lang w:val="en-US"/>
        </w:rPr>
      </w:pPr>
      <w:r>
        <w:rPr>
          <w:rFonts w:ascii="Times New Roman" w:hAnsi="Times New Roman" w:cs="Times New Roman"/>
          <w:lang w:val="en-US"/>
        </w:rPr>
        <w:t xml:space="preserve">Henry, N., McGlynn, C., Flynn, A., Johnson, K., Powell, A. and Scott, A.J. (2020). </w:t>
      </w:r>
      <w:r>
        <w:rPr>
          <w:rFonts w:ascii="Times New Roman" w:hAnsi="Times New Roman" w:cs="Times New Roman"/>
          <w:i/>
          <w:iCs/>
          <w:lang w:val="en-US"/>
        </w:rPr>
        <w:t>Image-based Sexual Abuse</w:t>
      </w:r>
      <w:r>
        <w:rPr>
          <w:rFonts w:ascii="Times New Roman" w:hAnsi="Times New Roman" w:cs="Times New Roman"/>
          <w:lang w:val="en-US"/>
        </w:rPr>
        <w:t>. Routledge.</w:t>
      </w:r>
    </w:p>
    <w:p w14:paraId="0CCF272E" w14:textId="77777777" w:rsidR="00816750" w:rsidRDefault="00816750" w:rsidP="00816750">
      <w:pPr>
        <w:widowControl w:val="0"/>
        <w:spacing w:after="240" w:line="360" w:lineRule="auto"/>
        <w:rPr>
          <w:rFonts w:ascii="Times New Roman" w:hAnsi="Times New Roman" w:cs="Times New Roman"/>
          <w:lang w:val="en-US"/>
        </w:rPr>
      </w:pPr>
      <w:r>
        <w:rPr>
          <w:rFonts w:ascii="Times New Roman" w:hAnsi="Times New Roman" w:cs="Times New Roman"/>
          <w:lang w:val="en-US"/>
        </w:rPr>
        <w:t xml:space="preserve">Home Office (2013). </w:t>
      </w:r>
      <w:r>
        <w:rPr>
          <w:rFonts w:ascii="Times New Roman" w:hAnsi="Times New Roman" w:cs="Times New Roman"/>
          <w:i/>
          <w:iCs/>
          <w:lang w:val="en-US"/>
        </w:rPr>
        <w:t>Supporting Vulnerable People Who Encounter the police: A Strategic Guide for Police Forces and Their Partners the Issues</w:t>
      </w:r>
      <w:r>
        <w:rPr>
          <w:rFonts w:ascii="Times New Roman" w:hAnsi="Times New Roman" w:cs="Times New Roman"/>
          <w:lang w:val="en-US"/>
        </w:rPr>
        <w:t xml:space="preserve">. [online] Available at: </w:t>
      </w:r>
      <w:hyperlink r:id="rId33" w:history="1">
        <w:r>
          <w:rPr>
            <w:rStyle w:val="Hyperlink"/>
            <w:rFonts w:ascii="Times New Roman" w:hAnsi="Times New Roman" w:cs="Times New Roman"/>
            <w:color w:val="auto"/>
            <w:lang w:val="en-US"/>
          </w:rPr>
          <w:t>https://assets.publishing.service.gov.uk/media/5a81597440f0b62302696d33/6.379_Supporting_guidance_web_doc_v3.pdf</w:t>
        </w:r>
      </w:hyperlink>
      <w:r>
        <w:rPr>
          <w:rFonts w:ascii="Times New Roman" w:hAnsi="Times New Roman" w:cs="Times New Roman"/>
          <w:lang w:val="en-US"/>
        </w:rPr>
        <w:t>.</w:t>
      </w:r>
    </w:p>
    <w:p w14:paraId="021EC883" w14:textId="77777777" w:rsidR="00816750" w:rsidRDefault="00816750" w:rsidP="00816750">
      <w:pPr>
        <w:widowControl w:val="0"/>
        <w:spacing w:after="240" w:line="360" w:lineRule="auto"/>
        <w:rPr>
          <w:rFonts w:ascii="Times New Roman" w:hAnsi="Times New Roman" w:cs="Times New Roman"/>
          <w:lang w:val="en-US"/>
        </w:rPr>
      </w:pPr>
      <w:r>
        <w:rPr>
          <w:rFonts w:ascii="Times New Roman" w:hAnsi="Times New Roman" w:cs="Times New Roman"/>
          <w:lang w:val="en-US"/>
        </w:rPr>
        <w:t xml:space="preserve">Intermediaries (2024). </w:t>
      </w:r>
      <w:r>
        <w:rPr>
          <w:rFonts w:ascii="Times New Roman" w:hAnsi="Times New Roman" w:cs="Times New Roman"/>
          <w:i/>
          <w:iCs/>
          <w:lang w:val="en-US"/>
        </w:rPr>
        <w:t>Intermediaries: A Voice for the Voiceless</w:t>
      </w:r>
      <w:r>
        <w:rPr>
          <w:rFonts w:ascii="Times New Roman" w:hAnsi="Times New Roman" w:cs="Times New Roman"/>
          <w:lang w:val="en-US"/>
        </w:rPr>
        <w:t xml:space="preserve">. [online] Available at: </w:t>
      </w:r>
      <w:hyperlink r:id="rId34" w:history="1">
        <w:r>
          <w:rPr>
            <w:rStyle w:val="Hyperlink"/>
            <w:rFonts w:ascii="Times New Roman" w:hAnsi="Times New Roman" w:cs="Times New Roman"/>
            <w:color w:val="auto"/>
            <w:lang w:val="en-US"/>
          </w:rPr>
          <w:t>https://www.intermediaries-for-justice.org/sites/default/files/all_about_intermediaries.pdf</w:t>
        </w:r>
      </w:hyperlink>
      <w:r>
        <w:rPr>
          <w:rFonts w:ascii="Times New Roman" w:hAnsi="Times New Roman" w:cs="Times New Roman"/>
          <w:lang w:val="en-US"/>
        </w:rPr>
        <w:t>.</w:t>
      </w:r>
    </w:p>
    <w:p w14:paraId="71FEF0ED" w14:textId="77777777" w:rsidR="00816750" w:rsidRDefault="00816750" w:rsidP="00816750">
      <w:pPr>
        <w:widowControl w:val="0"/>
        <w:spacing w:after="240" w:line="360" w:lineRule="auto"/>
        <w:rPr>
          <w:rFonts w:ascii="Times New Roman" w:hAnsi="Times New Roman" w:cs="Times New Roman"/>
          <w:lang w:val="en-US"/>
        </w:rPr>
      </w:pPr>
      <w:r>
        <w:rPr>
          <w:rFonts w:ascii="Times New Roman" w:hAnsi="Times New Roman" w:cs="Times New Roman"/>
          <w:lang w:val="en-US"/>
        </w:rPr>
        <w:t xml:space="preserve">Kenyon, D. (2015). </w:t>
      </w:r>
      <w:r>
        <w:rPr>
          <w:rFonts w:ascii="Times New Roman" w:hAnsi="Times New Roman" w:cs="Times New Roman"/>
          <w:i/>
          <w:iCs/>
          <w:lang w:val="en-US"/>
        </w:rPr>
        <w:t>Vulnerable victims: we still haven’t got it right. - Supporting Justice</w:t>
      </w:r>
      <w:r>
        <w:rPr>
          <w:rFonts w:ascii="Times New Roman" w:hAnsi="Times New Roman" w:cs="Times New Roman"/>
          <w:lang w:val="en-US"/>
        </w:rPr>
        <w:t xml:space="preserve">. [online] Supporting Justice. Available at: </w:t>
      </w:r>
      <w:hyperlink r:id="rId35" w:anchor=":~:text=Victims%20of%20crime%20who%20are" w:history="1">
        <w:r>
          <w:rPr>
            <w:rStyle w:val="Hyperlink"/>
            <w:rFonts w:ascii="Times New Roman" w:hAnsi="Times New Roman" w:cs="Times New Roman"/>
            <w:color w:val="auto"/>
            <w:lang w:val="en-US"/>
          </w:rPr>
          <w:t>https://supportingjustice.org.uk/vulnerable-victims-we-still-havent-got-it-right/#:~:text=Victims%20of%20crime%20who%20are</w:t>
        </w:r>
      </w:hyperlink>
      <w:r>
        <w:rPr>
          <w:rFonts w:ascii="Times New Roman" w:hAnsi="Times New Roman" w:cs="Times New Roman"/>
          <w:lang w:val="en-US"/>
        </w:rPr>
        <w:t xml:space="preserve"> [Accessed 28 Apr. 2024].</w:t>
      </w:r>
    </w:p>
    <w:p w14:paraId="5C6D9BCD" w14:textId="77777777" w:rsidR="00816750" w:rsidRDefault="00816750" w:rsidP="00816750">
      <w:pPr>
        <w:widowControl w:val="0"/>
        <w:spacing w:after="240" w:line="360" w:lineRule="auto"/>
        <w:rPr>
          <w:rFonts w:ascii="Times New Roman" w:hAnsi="Times New Roman" w:cs="Times New Roman"/>
          <w:lang w:val="en-US"/>
        </w:rPr>
      </w:pPr>
      <w:r>
        <w:rPr>
          <w:rFonts w:ascii="Times New Roman" w:hAnsi="Times New Roman" w:cs="Times New Roman"/>
          <w:lang w:val="en-US"/>
        </w:rPr>
        <w:t xml:space="preserve">Leech, K. (2022). </w:t>
      </w:r>
      <w:r>
        <w:rPr>
          <w:rFonts w:ascii="Times New Roman" w:hAnsi="Times New Roman" w:cs="Times New Roman"/>
          <w:i/>
          <w:iCs/>
          <w:lang w:val="en-US"/>
        </w:rPr>
        <w:t>Victim? Survivor? The importance of the language we use to talk about people who have experienced sexual violence</w:t>
      </w:r>
      <w:r>
        <w:rPr>
          <w:rFonts w:ascii="Times New Roman" w:hAnsi="Times New Roman" w:cs="Times New Roman"/>
          <w:lang w:val="en-US"/>
        </w:rPr>
        <w:t xml:space="preserve">. [online] RSACC. Available at: </w:t>
      </w:r>
      <w:hyperlink r:id="rId36" w:history="1">
        <w:r>
          <w:rPr>
            <w:rStyle w:val="Hyperlink"/>
            <w:rFonts w:ascii="Times New Roman" w:hAnsi="Times New Roman" w:cs="Times New Roman"/>
            <w:color w:val="auto"/>
            <w:lang w:val="en-US"/>
          </w:rPr>
          <w:t>https://www.rsacc-thecentre.org.uk/guest-blogs/victim-survivor-the-importance-of-the-language-we-use-to-talk-about-people-who-have-experienced-sexual-violence/</w:t>
        </w:r>
      </w:hyperlink>
      <w:r>
        <w:rPr>
          <w:rFonts w:ascii="Times New Roman" w:hAnsi="Times New Roman" w:cs="Times New Roman"/>
          <w:lang w:val="en-US"/>
        </w:rPr>
        <w:t>.</w:t>
      </w:r>
    </w:p>
    <w:p w14:paraId="73FEE102" w14:textId="77777777" w:rsidR="00816750" w:rsidRDefault="00816750" w:rsidP="00816750">
      <w:pPr>
        <w:widowControl w:val="0"/>
        <w:spacing w:after="240" w:line="360" w:lineRule="auto"/>
        <w:rPr>
          <w:rFonts w:ascii="Times New Roman" w:hAnsi="Times New Roman" w:cs="Times New Roman"/>
          <w:lang w:val="en-US"/>
        </w:rPr>
      </w:pPr>
      <w:r>
        <w:rPr>
          <w:rFonts w:ascii="Times New Roman" w:hAnsi="Times New Roman" w:cs="Times New Roman"/>
          <w:lang w:val="en-US"/>
        </w:rPr>
        <w:t xml:space="preserve">Legislation Gov (2013). </w:t>
      </w:r>
      <w:r>
        <w:rPr>
          <w:rFonts w:ascii="Times New Roman" w:hAnsi="Times New Roman" w:cs="Times New Roman"/>
          <w:i/>
          <w:iCs/>
          <w:lang w:val="en-US"/>
        </w:rPr>
        <w:t>Police and Criminal Evidence Act 1984</w:t>
      </w:r>
      <w:r>
        <w:rPr>
          <w:rFonts w:ascii="Times New Roman" w:hAnsi="Times New Roman" w:cs="Times New Roman"/>
          <w:lang w:val="en-US"/>
        </w:rPr>
        <w:t xml:space="preserve">. [online] Legislation.gov.uk. Available at: </w:t>
      </w:r>
      <w:hyperlink r:id="rId37" w:anchor=":~:text=32%20Search%20upon%20arrest.&amp;text=%5BF1(b)if%20the" w:history="1">
        <w:r>
          <w:rPr>
            <w:rStyle w:val="Hyperlink"/>
            <w:rFonts w:ascii="Times New Roman" w:hAnsi="Times New Roman" w:cs="Times New Roman"/>
            <w:color w:val="auto"/>
            <w:lang w:val="en-US"/>
          </w:rPr>
          <w:t>https://www.legislation.gov.uk/ukpga/1984/60/section/32#:~:text=32%20Search%20upon%20arrest.&amp;text=%5BF1(b)if%20the</w:t>
        </w:r>
      </w:hyperlink>
      <w:r>
        <w:rPr>
          <w:rFonts w:ascii="Times New Roman" w:hAnsi="Times New Roman" w:cs="Times New Roman"/>
          <w:lang w:val="en-US"/>
        </w:rPr>
        <w:t>.</w:t>
      </w:r>
    </w:p>
    <w:p w14:paraId="140B0C41" w14:textId="77777777" w:rsidR="00816750" w:rsidRDefault="00816750" w:rsidP="00816750">
      <w:pPr>
        <w:widowControl w:val="0"/>
        <w:spacing w:after="240" w:line="360" w:lineRule="auto"/>
        <w:rPr>
          <w:rFonts w:ascii="Times New Roman" w:hAnsi="Times New Roman" w:cs="Times New Roman"/>
          <w:lang w:val="en-US"/>
        </w:rPr>
      </w:pPr>
      <w:r>
        <w:rPr>
          <w:rFonts w:ascii="Times New Roman" w:hAnsi="Times New Roman" w:cs="Times New Roman"/>
          <w:lang w:val="en-US"/>
        </w:rPr>
        <w:lastRenderedPageBreak/>
        <w:t xml:space="preserve">librarysearch.uwtsd.ac.uk. (n.d.). </w:t>
      </w:r>
      <w:r>
        <w:rPr>
          <w:rFonts w:ascii="Times New Roman" w:hAnsi="Times New Roman" w:cs="Times New Roman"/>
          <w:i/>
          <w:iCs/>
          <w:lang w:val="en-US"/>
        </w:rPr>
        <w:t>https://librarysearch.uwtsd.ac.uk/discovery/fulldisplay?docid=cdi_springer_journals_10_1007_s43576_022_00062_1&amp;context=PC&amp;vid=44WHELF_UWTSD:44WHELF_UWTSD_VU1&amp;lang=en&amp;search_scope=MyInst_and_CI&amp;adaptor=Primo%2520Central&amp;tab=Everything&amp;query=any</w:t>
      </w:r>
      <w:r>
        <w:rPr>
          <w:rFonts w:ascii="Times New Roman" w:hAnsi="Times New Roman" w:cs="Times New Roman"/>
          <w:lang w:val="en-US"/>
        </w:rPr>
        <w:t xml:space="preserve">. [online] Available at: </w:t>
      </w:r>
      <w:hyperlink r:id="rId38" w:history="1">
        <w:r>
          <w:rPr>
            <w:rStyle w:val="Hyperlink"/>
            <w:rFonts w:ascii="Times New Roman" w:hAnsi="Times New Roman" w:cs="Times New Roman"/>
            <w:color w:val="auto"/>
            <w:lang w:val="en-US"/>
          </w:rPr>
          <w:t>https://librarysearch.uwtsd.ac.uk/discovery/fulldisplay?docid=cdi_springer_journals_10_1007_s43576_022_00062_1&amp;context=PC&amp;vid=44WHELF_UWTSD:44WHELF_UWTSD_VU1&amp;lang=en&amp;search_scope=MyInst_and_CI&amp;adaptor=Primo%20Central&amp;tab=Everything&amp;query=any</w:t>
        </w:r>
      </w:hyperlink>
      <w:r>
        <w:rPr>
          <w:rFonts w:ascii="Times New Roman" w:hAnsi="Times New Roman" w:cs="Times New Roman"/>
          <w:lang w:val="en-US"/>
        </w:rPr>
        <w:t xml:space="preserve"> [Accessed 28 Apr. 2024].</w:t>
      </w:r>
    </w:p>
    <w:p w14:paraId="06E1DD47" w14:textId="77777777" w:rsidR="00816750" w:rsidRDefault="00816750" w:rsidP="00816750">
      <w:pPr>
        <w:widowControl w:val="0"/>
        <w:spacing w:after="240" w:line="360" w:lineRule="auto"/>
        <w:rPr>
          <w:rFonts w:ascii="Times New Roman" w:hAnsi="Times New Roman" w:cs="Times New Roman"/>
          <w:lang w:val="en-US"/>
        </w:rPr>
      </w:pPr>
      <w:r>
        <w:rPr>
          <w:rFonts w:ascii="Times New Roman" w:hAnsi="Times New Roman" w:cs="Times New Roman"/>
          <w:lang w:val="en-US"/>
        </w:rPr>
        <w:t xml:space="preserve">Mills, F., Symons, C. and Carter, H. (2021). Exploring the Role of Enforcement in Promoting Adherence with Protective Behaviours during COVID-19. </w:t>
      </w:r>
      <w:r>
        <w:rPr>
          <w:rFonts w:ascii="Times New Roman" w:hAnsi="Times New Roman" w:cs="Times New Roman"/>
          <w:i/>
          <w:iCs/>
          <w:lang w:val="en-US"/>
        </w:rPr>
        <w:t>Policing: A Journal of Policy and Practice</w:t>
      </w:r>
      <w:r>
        <w:rPr>
          <w:rFonts w:ascii="Times New Roman" w:hAnsi="Times New Roman" w:cs="Times New Roman"/>
          <w:lang w:val="en-US"/>
        </w:rPr>
        <w:t>. doi:</w:t>
      </w:r>
      <w:hyperlink r:id="rId39" w:history="1">
        <w:r>
          <w:rPr>
            <w:rStyle w:val="Hyperlink"/>
            <w:rFonts w:ascii="Times New Roman" w:hAnsi="Times New Roman" w:cs="Times New Roman"/>
            <w:color w:val="auto"/>
            <w:lang w:val="en-US"/>
          </w:rPr>
          <w:t>https://doi.org/10.1093/police/paab079</w:t>
        </w:r>
      </w:hyperlink>
      <w:r>
        <w:rPr>
          <w:rFonts w:ascii="Times New Roman" w:hAnsi="Times New Roman" w:cs="Times New Roman"/>
          <w:lang w:val="en-US"/>
        </w:rPr>
        <w:t>.</w:t>
      </w:r>
    </w:p>
    <w:p w14:paraId="21F2A118" w14:textId="77777777" w:rsidR="00816750" w:rsidRDefault="00816750" w:rsidP="00816750">
      <w:pPr>
        <w:widowControl w:val="0"/>
        <w:spacing w:after="240" w:line="360" w:lineRule="auto"/>
        <w:rPr>
          <w:rFonts w:ascii="Times New Roman" w:hAnsi="Times New Roman" w:cs="Times New Roman"/>
          <w:lang w:val="en-US"/>
        </w:rPr>
      </w:pPr>
      <w:r>
        <w:rPr>
          <w:rFonts w:ascii="Times New Roman" w:hAnsi="Times New Roman" w:cs="Times New Roman"/>
          <w:lang w:val="en-US"/>
        </w:rPr>
        <w:t xml:space="preserve">Ministry of Justice (2022). </w:t>
      </w:r>
      <w:r>
        <w:rPr>
          <w:rFonts w:ascii="Times New Roman" w:hAnsi="Times New Roman" w:cs="Times New Roman"/>
          <w:i/>
          <w:iCs/>
          <w:lang w:val="en-US"/>
        </w:rPr>
        <w:t>Achieving best evidence in criminal proceedings</w:t>
      </w:r>
      <w:r>
        <w:rPr>
          <w:rFonts w:ascii="Times New Roman" w:hAnsi="Times New Roman" w:cs="Times New Roman"/>
          <w:lang w:val="en-US"/>
        </w:rPr>
        <w:t xml:space="preserve">. [online] GOV.UK. Available at: </w:t>
      </w:r>
      <w:hyperlink r:id="rId40" w:history="1">
        <w:r>
          <w:rPr>
            <w:rStyle w:val="Hyperlink"/>
            <w:rFonts w:ascii="Times New Roman" w:hAnsi="Times New Roman" w:cs="Times New Roman"/>
            <w:color w:val="auto"/>
            <w:lang w:val="en-US"/>
          </w:rPr>
          <w:t>https://www.gov.uk/government/publications/achieving-best-evidence-in-criminal-proceedings</w:t>
        </w:r>
      </w:hyperlink>
      <w:r>
        <w:rPr>
          <w:rFonts w:ascii="Times New Roman" w:hAnsi="Times New Roman" w:cs="Times New Roman"/>
          <w:lang w:val="en-US"/>
        </w:rPr>
        <w:t>.</w:t>
      </w:r>
    </w:p>
    <w:p w14:paraId="741AE750" w14:textId="77777777" w:rsidR="00816750" w:rsidRDefault="00816750" w:rsidP="00816750">
      <w:pPr>
        <w:widowControl w:val="0"/>
        <w:spacing w:after="240" w:line="360" w:lineRule="auto"/>
        <w:rPr>
          <w:rFonts w:ascii="Times New Roman" w:hAnsi="Times New Roman" w:cs="Times New Roman"/>
          <w:lang w:val="en-US"/>
        </w:rPr>
      </w:pPr>
      <w:r>
        <w:rPr>
          <w:rFonts w:ascii="Times New Roman" w:hAnsi="Times New Roman" w:cs="Times New Roman"/>
          <w:lang w:val="en-US"/>
        </w:rPr>
        <w:t xml:space="preserve">Potts, J. (2019). </w:t>
      </w:r>
      <w:r>
        <w:rPr>
          <w:rFonts w:ascii="Times New Roman" w:hAnsi="Times New Roman" w:cs="Times New Roman"/>
          <w:i/>
          <w:iCs/>
          <w:lang w:val="en-US"/>
        </w:rPr>
        <w:t>5 examples of how evidence-based policing enhances law enforcement</w:t>
      </w:r>
      <w:r>
        <w:rPr>
          <w:rFonts w:ascii="Times New Roman" w:hAnsi="Times New Roman" w:cs="Times New Roman"/>
          <w:lang w:val="en-US"/>
        </w:rPr>
        <w:t xml:space="preserve">. [online] Police1. Available at: </w:t>
      </w:r>
      <w:hyperlink r:id="rId41" w:history="1">
        <w:r>
          <w:rPr>
            <w:rStyle w:val="Hyperlink"/>
            <w:rFonts w:ascii="Times New Roman" w:hAnsi="Times New Roman" w:cs="Times New Roman"/>
            <w:color w:val="auto"/>
            <w:lang w:val="en-US"/>
          </w:rPr>
          <w:t>https://www.police1.com/police-training/articles/5-examples-of-how-evidence-based-policing-enhances-law-enforcement-wYCdSM1IqXq58xUN/</w:t>
        </w:r>
      </w:hyperlink>
      <w:r>
        <w:rPr>
          <w:rFonts w:ascii="Times New Roman" w:hAnsi="Times New Roman" w:cs="Times New Roman"/>
          <w:lang w:val="en-US"/>
        </w:rPr>
        <w:t>.</w:t>
      </w:r>
    </w:p>
    <w:p w14:paraId="4728E0D9" w14:textId="77777777" w:rsidR="00816750" w:rsidRDefault="00816750" w:rsidP="00816750">
      <w:pPr>
        <w:widowControl w:val="0"/>
        <w:spacing w:after="240" w:line="360" w:lineRule="auto"/>
        <w:rPr>
          <w:rFonts w:ascii="Times New Roman" w:hAnsi="Times New Roman" w:cs="Times New Roman"/>
          <w:lang w:val="en-US"/>
        </w:rPr>
      </w:pPr>
      <w:r>
        <w:rPr>
          <w:rFonts w:ascii="Times New Roman" w:hAnsi="Times New Roman" w:cs="Times New Roman"/>
          <w:lang w:val="en-US"/>
        </w:rPr>
        <w:t xml:space="preserve">Rackley, E., McGlynn, C., Johnson, K., Henry, N., Gavey, N., Flynn, A., Powell, A. and Huber, antoinette (2021). Seeking Justice and Redress for Victim-Survivors of Image-Based Sexual Abuse. </w:t>
      </w:r>
      <w:r>
        <w:rPr>
          <w:rFonts w:ascii="Times New Roman" w:hAnsi="Times New Roman" w:cs="Times New Roman"/>
          <w:i/>
          <w:iCs/>
          <w:lang w:val="en-US"/>
        </w:rPr>
        <w:t>Feminist Legal Studies</w:t>
      </w:r>
      <w:r>
        <w:rPr>
          <w:rFonts w:ascii="Times New Roman" w:hAnsi="Times New Roman" w:cs="Times New Roman"/>
          <w:lang w:val="en-US"/>
        </w:rPr>
        <w:t>, 29. doi:</w:t>
      </w:r>
      <w:hyperlink r:id="rId42" w:history="1">
        <w:r>
          <w:rPr>
            <w:rStyle w:val="Hyperlink"/>
            <w:rFonts w:ascii="Times New Roman" w:hAnsi="Times New Roman" w:cs="Times New Roman"/>
            <w:color w:val="auto"/>
            <w:lang w:val="en-US"/>
          </w:rPr>
          <w:t>https://doi.org/10.1007/s10691-021-09460-8</w:t>
        </w:r>
      </w:hyperlink>
      <w:r>
        <w:rPr>
          <w:rFonts w:ascii="Times New Roman" w:hAnsi="Times New Roman" w:cs="Times New Roman"/>
          <w:lang w:val="en-US"/>
        </w:rPr>
        <w:t>.</w:t>
      </w:r>
    </w:p>
    <w:p w14:paraId="0646B72F" w14:textId="77777777" w:rsidR="00816750" w:rsidRDefault="00816750" w:rsidP="00816750">
      <w:pPr>
        <w:widowControl w:val="0"/>
        <w:spacing w:after="240" w:line="360" w:lineRule="auto"/>
        <w:rPr>
          <w:rFonts w:ascii="Times New Roman" w:hAnsi="Times New Roman" w:cs="Times New Roman"/>
          <w:lang w:val="en-US"/>
        </w:rPr>
      </w:pPr>
      <w:r>
        <w:rPr>
          <w:rFonts w:ascii="Times New Roman" w:hAnsi="Times New Roman" w:cs="Times New Roman"/>
          <w:lang w:val="en-US"/>
        </w:rPr>
        <w:t xml:space="preserve">The Open University (n.d.). </w:t>
      </w:r>
      <w:r>
        <w:rPr>
          <w:rFonts w:ascii="Times New Roman" w:hAnsi="Times New Roman" w:cs="Times New Roman"/>
          <w:i/>
          <w:iCs/>
          <w:lang w:val="en-US"/>
        </w:rPr>
        <w:t>Exploring evidence-based Policing</w:t>
      </w:r>
      <w:r>
        <w:rPr>
          <w:rFonts w:ascii="Times New Roman" w:hAnsi="Times New Roman" w:cs="Times New Roman"/>
          <w:lang w:val="en-US"/>
        </w:rPr>
        <w:t xml:space="preserve">. [online] OpenLearn. Available at: </w:t>
      </w:r>
      <w:hyperlink r:id="rId43" w:history="1">
        <w:r>
          <w:rPr>
            <w:rStyle w:val="Hyperlink"/>
            <w:rFonts w:ascii="Times New Roman" w:hAnsi="Times New Roman" w:cs="Times New Roman"/>
            <w:color w:val="auto"/>
            <w:lang w:val="en-US"/>
          </w:rPr>
          <w:t>https://www.open.edu/openlearn/money-business/leadership-management/exploring-evidence-based-policing/content-section-2</w:t>
        </w:r>
      </w:hyperlink>
      <w:r>
        <w:rPr>
          <w:rFonts w:ascii="Times New Roman" w:hAnsi="Times New Roman" w:cs="Times New Roman"/>
          <w:lang w:val="en-US"/>
        </w:rPr>
        <w:t>.</w:t>
      </w:r>
    </w:p>
    <w:p w14:paraId="61EE2B16" w14:textId="77777777" w:rsidR="00816750" w:rsidRDefault="00816750" w:rsidP="00816750">
      <w:pPr>
        <w:widowControl w:val="0"/>
        <w:spacing w:after="240" w:line="360" w:lineRule="auto"/>
        <w:rPr>
          <w:rFonts w:ascii="Times New Roman" w:hAnsi="Times New Roman" w:cs="Times New Roman"/>
          <w:lang w:val="en-US"/>
        </w:rPr>
      </w:pPr>
      <w:r>
        <w:rPr>
          <w:rFonts w:ascii="Times New Roman" w:hAnsi="Times New Roman" w:cs="Times New Roman"/>
          <w:lang w:val="en-US"/>
        </w:rPr>
        <w:t xml:space="preserve">Thompson, A.K. (2019). </w:t>
      </w:r>
      <w:r>
        <w:rPr>
          <w:rFonts w:ascii="Times New Roman" w:hAnsi="Times New Roman" w:cs="Times New Roman"/>
          <w:i/>
          <w:iCs/>
          <w:lang w:val="en-US"/>
        </w:rPr>
        <w:t>Why do some victims not report their crimes?</w:t>
      </w:r>
      <w:r>
        <w:rPr>
          <w:rFonts w:ascii="Times New Roman" w:hAnsi="Times New Roman" w:cs="Times New Roman"/>
          <w:lang w:val="en-US"/>
        </w:rPr>
        <w:t xml:space="preserve"> [online] ReviseSociology. Available at: </w:t>
      </w:r>
      <w:hyperlink r:id="rId44" w:history="1">
        <w:r>
          <w:rPr>
            <w:rStyle w:val="Hyperlink"/>
            <w:rFonts w:ascii="Times New Roman" w:hAnsi="Times New Roman" w:cs="Times New Roman"/>
            <w:color w:val="auto"/>
            <w:lang w:val="en-US"/>
          </w:rPr>
          <w:t>https://revisesociology.com/2019/07/01/why-do-some-victims-not-report-their-crimes/</w:t>
        </w:r>
      </w:hyperlink>
      <w:r>
        <w:rPr>
          <w:rFonts w:ascii="Times New Roman" w:hAnsi="Times New Roman" w:cs="Times New Roman"/>
          <w:lang w:val="en-US"/>
        </w:rPr>
        <w:t>.</w:t>
      </w:r>
    </w:p>
    <w:p w14:paraId="08F7E0DC" w14:textId="77777777" w:rsidR="00816750" w:rsidRDefault="00816750" w:rsidP="00816750">
      <w:pPr>
        <w:widowControl w:val="0"/>
        <w:spacing w:after="240" w:line="360" w:lineRule="auto"/>
        <w:rPr>
          <w:rFonts w:ascii="Times New Roman" w:hAnsi="Times New Roman" w:cs="Times New Roman"/>
          <w:lang w:val="en-US"/>
        </w:rPr>
      </w:pPr>
      <w:r>
        <w:rPr>
          <w:rFonts w:ascii="Times New Roman" w:hAnsi="Times New Roman" w:cs="Times New Roman"/>
          <w:lang w:val="en-US"/>
        </w:rPr>
        <w:t xml:space="preserve">Victims Commisioner (2023). </w:t>
      </w:r>
      <w:r>
        <w:rPr>
          <w:rFonts w:ascii="Times New Roman" w:hAnsi="Times New Roman" w:cs="Times New Roman"/>
          <w:i/>
          <w:iCs/>
          <w:lang w:val="en-US"/>
        </w:rPr>
        <w:t>Record number of people – including 43 per cent of rape victims – pulling out of cases.</w:t>
      </w:r>
      <w:r>
        <w:rPr>
          <w:rFonts w:ascii="Times New Roman" w:hAnsi="Times New Roman" w:cs="Times New Roman"/>
          <w:lang w:val="en-US"/>
        </w:rPr>
        <w:t xml:space="preserve"> [online] Victims Commissioner. Available at: </w:t>
      </w:r>
      <w:hyperlink r:id="rId45" w:history="1">
        <w:r>
          <w:rPr>
            <w:rStyle w:val="Hyperlink"/>
            <w:rFonts w:ascii="Times New Roman" w:hAnsi="Times New Roman" w:cs="Times New Roman"/>
            <w:color w:val="auto"/>
            <w:lang w:val="en-US"/>
          </w:rPr>
          <w:t>https://victimscommissioner.org.uk/news/record-number-of-people-including-43-per-cent-of-rape-victims-pulling-out-of-cases/</w:t>
        </w:r>
      </w:hyperlink>
      <w:r>
        <w:rPr>
          <w:rFonts w:ascii="Times New Roman" w:hAnsi="Times New Roman" w:cs="Times New Roman"/>
          <w:lang w:val="en-US"/>
        </w:rPr>
        <w:t>.</w:t>
      </w:r>
    </w:p>
    <w:p w14:paraId="287A00AF" w14:textId="77777777" w:rsidR="00816750" w:rsidRDefault="00816750" w:rsidP="00816750">
      <w:pPr>
        <w:widowControl w:val="0"/>
        <w:spacing w:after="240" w:line="360" w:lineRule="auto"/>
        <w:rPr>
          <w:rFonts w:ascii="Times New Roman" w:hAnsi="Times New Roman" w:cs="Times New Roman"/>
          <w:lang w:val="en-US"/>
        </w:rPr>
      </w:pPr>
      <w:r>
        <w:rPr>
          <w:rFonts w:ascii="Times New Roman" w:hAnsi="Times New Roman" w:cs="Times New Roman"/>
          <w:lang w:val="en-US"/>
        </w:rPr>
        <w:t xml:space="preserve">West Yorkshire Police (n.d.). </w:t>
      </w:r>
      <w:r>
        <w:rPr>
          <w:rFonts w:ascii="Times New Roman" w:hAnsi="Times New Roman" w:cs="Times New Roman"/>
          <w:i/>
          <w:iCs/>
          <w:lang w:val="en-US"/>
        </w:rPr>
        <w:t>The 10 Principles of Crime Prevention | West Yorkshire Police</w:t>
      </w:r>
      <w:r>
        <w:rPr>
          <w:rFonts w:ascii="Times New Roman" w:hAnsi="Times New Roman" w:cs="Times New Roman"/>
          <w:lang w:val="en-US"/>
        </w:rPr>
        <w:t xml:space="preserve">. [online] Police.uk. Available at: </w:t>
      </w:r>
      <w:hyperlink r:id="rId46" w:history="1">
        <w:r>
          <w:rPr>
            <w:rStyle w:val="Hyperlink"/>
            <w:rFonts w:ascii="Times New Roman" w:hAnsi="Times New Roman" w:cs="Times New Roman"/>
            <w:color w:val="auto"/>
            <w:lang w:val="en-US"/>
          </w:rPr>
          <w:t>https://www.westyorkshire.police.uk/advice/10-principles-crime-prevention/10-principles-crime-prevention/10-principles-crime-prevention</w:t>
        </w:r>
      </w:hyperlink>
      <w:r>
        <w:rPr>
          <w:rFonts w:ascii="Times New Roman" w:hAnsi="Times New Roman" w:cs="Times New Roman"/>
          <w:lang w:val="en-US"/>
        </w:rPr>
        <w:t>.</w:t>
      </w:r>
    </w:p>
    <w:p w14:paraId="6387A857" w14:textId="77777777" w:rsidR="00816750" w:rsidRDefault="00816750" w:rsidP="00EA28F1">
      <w:pPr>
        <w:keepNext/>
        <w:spacing w:before="240" w:after="60"/>
        <w:ind w:right="237"/>
        <w:jc w:val="both"/>
      </w:pPr>
    </w:p>
    <w:sectPr w:rsidR="00816750"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D746FD" w14:textId="77777777" w:rsidR="0009784E" w:rsidRDefault="0009784E">
      <w:r>
        <w:separator/>
      </w:r>
    </w:p>
  </w:endnote>
  <w:endnote w:type="continuationSeparator" w:id="0">
    <w:p w14:paraId="4D3EB51F" w14:textId="77777777" w:rsidR="0009784E" w:rsidRDefault="000978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12E32A" w14:textId="77777777" w:rsidR="002D25E7" w:rsidRDefault="002D25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AD281" w14:textId="77777777" w:rsidR="002D25E7" w:rsidRDefault="002D25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20980D" w14:textId="77777777" w:rsidR="0009784E" w:rsidRDefault="0009784E">
      <w:r>
        <w:separator/>
      </w:r>
    </w:p>
  </w:footnote>
  <w:footnote w:type="continuationSeparator" w:id="0">
    <w:p w14:paraId="086C8A19" w14:textId="77777777" w:rsidR="0009784E" w:rsidRDefault="000978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6B49C" w14:textId="77777777" w:rsidR="002D25E7" w:rsidRDefault="002D25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95B0AF" w14:textId="77777777" w:rsidR="002D25E7" w:rsidRDefault="002D25E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DA56B" w14:textId="77777777" w:rsidR="002D25E7" w:rsidRDefault="002D25E7">
    <w:pPr>
      <w:pStyle w:val="Header"/>
    </w:pPr>
  </w:p>
</w:hdr>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837CD4D8"/>
    <w:lvl w:ilvl="0" w:tplc="1630A4CE">
      <w:start w:val="1"/>
      <w:numFmt w:val="decimal"/>
      <w:lvlText w:val="%1."/>
      <w:lvlJc w:val="left"/>
      <w:pPr>
        <w:ind w:left="720" w:hanging="360"/>
      </w:pPr>
    </w:lvl>
    <w:lvl w:ilvl="1" w:tplc="152ECA9A">
      <w:start w:val="1"/>
      <w:numFmt w:val="lowerLetter"/>
      <w:lvlText w:val="%2."/>
      <w:lvlJc w:val="left"/>
      <w:pPr>
        <w:ind w:left="1440" w:hanging="360"/>
      </w:pPr>
    </w:lvl>
    <w:lvl w:ilvl="2" w:tplc="EE667680">
      <w:start w:val="1"/>
      <w:numFmt w:val="lowerRoman"/>
      <w:lvlText w:val="%3."/>
      <w:lvlJc w:val="right"/>
      <w:pPr>
        <w:ind w:left="2160" w:hanging="180"/>
      </w:pPr>
    </w:lvl>
    <w:lvl w:ilvl="3" w:tplc="81E2500E">
      <w:start w:val="1"/>
      <w:numFmt w:val="decimal"/>
      <w:lvlText w:val="%4."/>
      <w:lvlJc w:val="left"/>
      <w:pPr>
        <w:ind w:left="2880" w:hanging="360"/>
      </w:pPr>
    </w:lvl>
    <w:lvl w:ilvl="4" w:tplc="7F2E7434">
      <w:start w:val="1"/>
      <w:numFmt w:val="lowerLetter"/>
      <w:lvlText w:val="%5."/>
      <w:lvlJc w:val="left"/>
      <w:pPr>
        <w:ind w:left="3600" w:hanging="360"/>
      </w:pPr>
    </w:lvl>
    <w:lvl w:ilvl="5" w:tplc="59CEB08A">
      <w:start w:val="1"/>
      <w:numFmt w:val="lowerRoman"/>
      <w:lvlText w:val="%6."/>
      <w:lvlJc w:val="right"/>
      <w:pPr>
        <w:ind w:left="4320" w:hanging="180"/>
      </w:pPr>
    </w:lvl>
    <w:lvl w:ilvl="6" w:tplc="37AC5234">
      <w:start w:val="1"/>
      <w:numFmt w:val="decimal"/>
      <w:lvlText w:val="%7."/>
      <w:lvlJc w:val="left"/>
      <w:pPr>
        <w:ind w:left="5040" w:hanging="360"/>
      </w:pPr>
    </w:lvl>
    <w:lvl w:ilvl="7" w:tplc="0CA8F422">
      <w:start w:val="1"/>
      <w:numFmt w:val="lowerLetter"/>
      <w:lvlText w:val="%8."/>
      <w:lvlJc w:val="left"/>
      <w:pPr>
        <w:ind w:left="5760" w:hanging="360"/>
      </w:pPr>
    </w:lvl>
    <w:lvl w:ilvl="8" w:tplc="868072E4">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2496F49C"/>
    <w:lvl w:ilvl="0" w:tplc="CD224C08">
      <w:start w:val="1"/>
      <w:numFmt w:val="decimal"/>
      <w:lvlText w:val="%1."/>
      <w:lvlJc w:val="left"/>
      <w:pPr>
        <w:ind w:left="720" w:hanging="360"/>
      </w:pPr>
    </w:lvl>
    <w:lvl w:ilvl="1" w:tplc="1EAADA86">
      <w:start w:val="1"/>
      <w:numFmt w:val="decimal"/>
      <w:lvlText w:val="%2."/>
      <w:lvlJc w:val="left"/>
      <w:pPr>
        <w:ind w:left="1440" w:hanging="360"/>
      </w:pPr>
    </w:lvl>
    <w:lvl w:ilvl="2" w:tplc="F1BC38F8">
      <w:start w:val="1"/>
      <w:numFmt w:val="lowerRoman"/>
      <w:lvlText w:val="%3."/>
      <w:lvlJc w:val="right"/>
      <w:pPr>
        <w:ind w:left="2160" w:hanging="180"/>
      </w:pPr>
    </w:lvl>
    <w:lvl w:ilvl="3" w:tplc="12F220B0">
      <w:start w:val="1"/>
      <w:numFmt w:val="decimal"/>
      <w:lvlText w:val="%4."/>
      <w:lvlJc w:val="left"/>
      <w:pPr>
        <w:ind w:left="2880" w:hanging="360"/>
      </w:pPr>
    </w:lvl>
    <w:lvl w:ilvl="4" w:tplc="73E249F6">
      <w:start w:val="1"/>
      <w:numFmt w:val="lowerLetter"/>
      <w:lvlText w:val="%5."/>
      <w:lvlJc w:val="left"/>
      <w:pPr>
        <w:ind w:left="3600" w:hanging="360"/>
      </w:pPr>
    </w:lvl>
    <w:lvl w:ilvl="5" w:tplc="DCECCD7E">
      <w:start w:val="1"/>
      <w:numFmt w:val="lowerRoman"/>
      <w:lvlText w:val="%6."/>
      <w:lvlJc w:val="right"/>
      <w:pPr>
        <w:ind w:left="4320" w:hanging="180"/>
      </w:pPr>
    </w:lvl>
    <w:lvl w:ilvl="6" w:tplc="EC8A02A8">
      <w:start w:val="1"/>
      <w:numFmt w:val="decimal"/>
      <w:lvlText w:val="%7."/>
      <w:lvlJc w:val="left"/>
      <w:pPr>
        <w:ind w:left="5040" w:hanging="360"/>
      </w:pPr>
    </w:lvl>
    <w:lvl w:ilvl="7" w:tplc="33D2666A">
      <w:start w:val="1"/>
      <w:numFmt w:val="lowerLetter"/>
      <w:lvlText w:val="%8."/>
      <w:lvlJc w:val="left"/>
      <w:pPr>
        <w:ind w:left="5760" w:hanging="360"/>
      </w:pPr>
    </w:lvl>
    <w:lvl w:ilvl="8" w:tplc="5DD07144">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46740758">
    <w:abstractNumId w:val="47"/>
  </w:num>
  <w:num w:numId="2" w16cid:durableId="417675724">
    <w:abstractNumId w:val="10"/>
  </w:num>
  <w:num w:numId="3" w16cid:durableId="1512835332">
    <w:abstractNumId w:val="1"/>
    <w:lvlOverride w:ilvl="0">
      <w:lvl w:ilvl="0">
        <w:start w:val="1"/>
        <w:numFmt w:val="bullet"/>
        <w:lvlText w:val=""/>
        <w:lvlJc w:val="left"/>
        <w:pPr>
          <w:ind w:left="720" w:hanging="360"/>
        </w:pPr>
        <w:rPr>
          <w:rFonts w:ascii="Symbol" w:hAnsi="Symbol" w:hint="default"/>
        </w:rPr>
      </w:lvl>
    </w:lvlOverride>
  </w:num>
  <w:num w:numId="4" w16cid:durableId="38629978">
    <w:abstractNumId w:val="22"/>
  </w:num>
  <w:num w:numId="5" w16cid:durableId="292910358">
    <w:abstractNumId w:val="44"/>
  </w:num>
  <w:num w:numId="6" w16cid:durableId="1535117422">
    <w:abstractNumId w:val="46"/>
  </w:num>
  <w:num w:numId="7" w16cid:durableId="497159976">
    <w:abstractNumId w:val="34"/>
  </w:num>
  <w:num w:numId="8" w16cid:durableId="1969892037">
    <w:abstractNumId w:val="32"/>
  </w:num>
  <w:num w:numId="9" w16cid:durableId="1373725377">
    <w:abstractNumId w:val="29"/>
  </w:num>
  <w:num w:numId="10" w16cid:durableId="825324590">
    <w:abstractNumId w:val="30"/>
  </w:num>
  <w:num w:numId="11" w16cid:durableId="813445957">
    <w:abstractNumId w:val="9"/>
  </w:num>
  <w:num w:numId="12" w16cid:durableId="232394586">
    <w:abstractNumId w:val="33"/>
  </w:num>
  <w:num w:numId="13" w16cid:durableId="1039740215">
    <w:abstractNumId w:val="17"/>
  </w:num>
  <w:num w:numId="14" w16cid:durableId="1170288507">
    <w:abstractNumId w:val="16"/>
  </w:num>
  <w:num w:numId="15" w16cid:durableId="456804283">
    <w:abstractNumId w:val="26"/>
  </w:num>
  <w:num w:numId="16" w16cid:durableId="647825036">
    <w:abstractNumId w:val="7"/>
  </w:num>
  <w:num w:numId="17" w16cid:durableId="431701502">
    <w:abstractNumId w:val="25"/>
  </w:num>
  <w:num w:numId="18" w16cid:durableId="55593141">
    <w:abstractNumId w:val="15"/>
  </w:num>
  <w:num w:numId="19" w16cid:durableId="514465446">
    <w:abstractNumId w:val="13"/>
  </w:num>
  <w:num w:numId="20" w16cid:durableId="49160329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27761350">
    <w:abstractNumId w:val="23"/>
  </w:num>
  <w:num w:numId="22" w16cid:durableId="2142264046">
    <w:abstractNumId w:val="18"/>
  </w:num>
  <w:num w:numId="23" w16cid:durableId="137846151">
    <w:abstractNumId w:val="14"/>
  </w:num>
  <w:num w:numId="24" w16cid:durableId="1914271120">
    <w:abstractNumId w:val="11"/>
  </w:num>
  <w:num w:numId="25" w16cid:durableId="885063891">
    <w:abstractNumId w:val="27"/>
  </w:num>
  <w:num w:numId="26" w16cid:durableId="236403065">
    <w:abstractNumId w:val="19"/>
  </w:num>
  <w:num w:numId="27" w16cid:durableId="1573000687">
    <w:abstractNumId w:val="40"/>
  </w:num>
  <w:num w:numId="28" w16cid:durableId="66197777">
    <w:abstractNumId w:val="35"/>
  </w:num>
  <w:num w:numId="29" w16cid:durableId="1127815727">
    <w:abstractNumId w:val="39"/>
  </w:num>
  <w:num w:numId="30" w16cid:durableId="1139540040">
    <w:abstractNumId w:val="20"/>
  </w:num>
  <w:num w:numId="31" w16cid:durableId="34090301">
    <w:abstractNumId w:val="42"/>
  </w:num>
  <w:num w:numId="32" w16cid:durableId="222646112">
    <w:abstractNumId w:val="31"/>
  </w:num>
  <w:num w:numId="33" w16cid:durableId="2043940194">
    <w:abstractNumId w:val="12"/>
  </w:num>
  <w:num w:numId="34" w16cid:durableId="1879196244">
    <w:abstractNumId w:val="43"/>
  </w:num>
  <w:num w:numId="35" w16cid:durableId="682361466">
    <w:abstractNumId w:val="38"/>
  </w:num>
  <w:num w:numId="36" w16cid:durableId="1977442909">
    <w:abstractNumId w:val="4"/>
  </w:num>
  <w:num w:numId="37" w16cid:durableId="1583488633">
    <w:abstractNumId w:val="45"/>
  </w:num>
  <w:num w:numId="38" w16cid:durableId="440271129">
    <w:abstractNumId w:val="41"/>
  </w:num>
  <w:num w:numId="39" w16cid:durableId="738553744">
    <w:abstractNumId w:val="36"/>
  </w:num>
  <w:num w:numId="40" w16cid:durableId="1665820156">
    <w:abstractNumId w:val="37"/>
  </w:num>
  <w:num w:numId="41" w16cid:durableId="180051086">
    <w:abstractNumId w:val="3"/>
  </w:num>
  <w:num w:numId="42" w16cid:durableId="659695053">
    <w:abstractNumId w:val="5"/>
  </w:num>
  <w:num w:numId="43" w16cid:durableId="799807383">
    <w:abstractNumId w:val="24"/>
  </w:num>
  <w:num w:numId="44" w16cid:durableId="1438983801">
    <w:abstractNumId w:val="6"/>
  </w:num>
  <w:num w:numId="45" w16cid:durableId="3284368">
    <w:abstractNumId w:val="2"/>
  </w:num>
  <w:num w:numId="46" w16cid:durableId="397748815">
    <w:abstractNumId w:val="0"/>
  </w:num>
  <w:num w:numId="47" w16cid:durableId="220332332">
    <w:abstractNumId w:val="21"/>
  </w:num>
  <w:num w:numId="48" w16cid:durableId="504830301">
    <w:abstractNumId w:val="28"/>
  </w:num>
  <w:num w:numId="49" w16cid:durableId="54592622">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BA7"/>
    <w:rsid w:val="00095C1B"/>
    <w:rsid w:val="00096DEA"/>
    <w:rsid w:val="0009784E"/>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695"/>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03D3"/>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341C"/>
    <w:rsid w:val="002C496D"/>
    <w:rsid w:val="002D05EB"/>
    <w:rsid w:val="002D25E7"/>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31EF"/>
    <w:rsid w:val="006B5E67"/>
    <w:rsid w:val="006C2EB5"/>
    <w:rsid w:val="006C3F19"/>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6425"/>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6750"/>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00EC"/>
    <w:rsid w:val="008C14C7"/>
    <w:rsid w:val="008C2FFB"/>
    <w:rsid w:val="008C6EEA"/>
    <w:rsid w:val="008D5813"/>
    <w:rsid w:val="008D634E"/>
    <w:rsid w:val="008D778A"/>
    <w:rsid w:val="008F22BD"/>
    <w:rsid w:val="00901D64"/>
    <w:rsid w:val="009079BD"/>
    <w:rsid w:val="00912BD9"/>
    <w:rsid w:val="00916CFB"/>
    <w:rsid w:val="00920E5B"/>
    <w:rsid w:val="009249F8"/>
    <w:rsid w:val="00926436"/>
    <w:rsid w:val="0093018C"/>
    <w:rsid w:val="00932CCA"/>
    <w:rsid w:val="009370AE"/>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0AC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23123"/>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08B3"/>
    <w:rsid w:val="00DC4729"/>
    <w:rsid w:val="00DE556F"/>
    <w:rsid w:val="00E03B6D"/>
    <w:rsid w:val="00E0649E"/>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0270"/>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145D"/>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7892961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openxmlformats.org/officeDocument/2006/relationships/hyperlink" Target="https://www.cps.gov.uk/support-give-your-evidence-special-measures" TargetMode="External"/><Relationship Id="rId39" Type="http://schemas.openxmlformats.org/officeDocument/2006/relationships/hyperlink" Target="https://doi.org/10.1093/police/paab079" TargetMode="External"/><Relationship Id="rId21" Type="http://schemas.openxmlformats.org/officeDocument/2006/relationships/hyperlink" Target="https://doi.org/10.1093/police/pap032" TargetMode="External"/><Relationship Id="rId34" Type="http://schemas.openxmlformats.org/officeDocument/2006/relationships/hyperlink" Target="https://www.intermediaries-for-justice.org/sites/default/files/all_about_intermediaries.pdf" TargetMode="External"/><Relationship Id="rId42" Type="http://schemas.openxmlformats.org/officeDocument/2006/relationships/hyperlink" Target="https://doi.org/10.1007/s10691-021-09460-8" TargetMode="External"/><Relationship Id="rId47"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doi.org/10.1080/10439463.2020.1762598" TargetMode="External"/><Relationship Id="rId11" Type="http://schemas.openxmlformats.org/officeDocument/2006/relationships/image" Target="media/image1.png"/><Relationship Id="rId24" Type="http://schemas.openxmlformats.org/officeDocument/2006/relationships/hyperlink" Target="https://www.college.police.uk/app/extraction-material-digital-devices" TargetMode="External"/><Relationship Id="rId32" Type="http://schemas.openxmlformats.org/officeDocument/2006/relationships/hyperlink" Target="https://www.hse.gov.uk/enforce/enforcementguide/investigation/witness-order.htm" TargetMode="External"/><Relationship Id="rId37" Type="http://schemas.openxmlformats.org/officeDocument/2006/relationships/hyperlink" Target="https://www.legislation.gov.uk/ukpga/1984/60/section/32" TargetMode="External"/><Relationship Id="rId40" Type="http://schemas.openxmlformats.org/officeDocument/2006/relationships/hyperlink" Target="https://www.gov.uk/government/publications/achieving-best-evidence-in-criminal-proceedings" TargetMode="External"/><Relationship Id="rId45" Type="http://schemas.openxmlformats.org/officeDocument/2006/relationships/hyperlink" Target="https://victimscommissioner.org.uk/news/record-number-of-people-including-43-per-cent-of-rape-victims-pulling-out-of-cases/" TargetMode="Externa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www.college.police.uk/app/investigation/investigative-strategies/search-powers-and-obtaining-and-executing-search-warrants" TargetMode="External"/><Relationship Id="rId28" Type="http://schemas.openxmlformats.org/officeDocument/2006/relationships/hyperlink" Target="https://doi.org/10.1007/s43576-022-00062-1" TargetMode="External"/><Relationship Id="rId36" Type="http://schemas.openxmlformats.org/officeDocument/2006/relationships/hyperlink" Target="https://www.rsacc-thecentre.org.uk/guest-blogs/victim-survivor-the-importance-of-the-language-we-use-to-talk-about-people-who-have-experienced-sexual-violence/" TargetMode="External"/><Relationship Id="rId49"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yperlink" Target="https://www.popcenter.org/sites/default/files/problems/domestic_violence/PDFs/Hanmer_etal_1999.pdf" TargetMode="External"/><Relationship Id="rId44" Type="http://schemas.openxmlformats.org/officeDocument/2006/relationships/hyperlink" Target="https://revisesociology.com/2019/07/01/why-do-some-victims-not-report-their-crim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college.police.uk/app/investigation/investigation-process" TargetMode="External"/><Relationship Id="rId27" Type="http://schemas.openxmlformats.org/officeDocument/2006/relationships/hyperlink" Target="https://www.cps.gov.uk/publication/cps-data-summary-quarter-1-2023-2024" TargetMode="External"/><Relationship Id="rId30" Type="http://schemas.openxmlformats.org/officeDocument/2006/relationships/hyperlink" Target="https://assets.publishing.service.gov.uk/media/64d500285cac65000dc2dd91/Improving_multi-agency_information_sharing_2023.pdf" TargetMode="External"/><Relationship Id="rId35" Type="http://schemas.openxmlformats.org/officeDocument/2006/relationships/hyperlink" Target="https://supportingjustice.org.uk/vulnerable-victims-we-still-havent-got-it-right/" TargetMode="External"/><Relationship Id="rId43" Type="http://schemas.openxmlformats.org/officeDocument/2006/relationships/hyperlink" Target="https://www.open.edu/openlearn/money-business/leadership-management/exploring-evidence-based-policing/content-section-2" TargetMode="External"/><Relationship Id="rId48"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hyperlink" Target="https://doi.org/10.1177/1365712717725534" TargetMode="External"/><Relationship Id="rId33" Type="http://schemas.openxmlformats.org/officeDocument/2006/relationships/hyperlink" Target="https://assets.publishing.service.gov.uk/media/5a81597440f0b62302696d33/6.379_Supporting_guidance_web_doc_v3.pdf" TargetMode="External"/><Relationship Id="rId38" Type="http://schemas.openxmlformats.org/officeDocument/2006/relationships/hyperlink" Target="https://librarysearch.uwtsd.ac.uk/discovery/fulldisplay?docid=cdi_springer_journals_10_1007_s43576_022_00062_1&amp;context=PC&amp;vid=44WHELF_UWTSD:44WHELF_UWTSD_VU1&amp;lang=en&amp;search_scope=MyInst_and_CI&amp;adaptor=Primo%20Central&amp;tab=Everything&amp;query=any" TargetMode="External"/><Relationship Id="rId46" Type="http://schemas.openxmlformats.org/officeDocument/2006/relationships/hyperlink" Target="https://www.westyorkshire.police.uk/advice/10-principles-crime-prevention/10-principles-crime-prevention/10-principles-crime-prevention" TargetMode="External"/><Relationship Id="rId20" Type="http://schemas.openxmlformats.org/officeDocument/2006/relationships/footer" Target="footer3.xml"/><Relationship Id="rId41" Type="http://schemas.openxmlformats.org/officeDocument/2006/relationships/hyperlink" Target="https://www.police1.com/police-training/articles/5-examples-of-how-evidence-based-policing-enhances-law-enforcement-wYCdSM1IqXq58xUN/"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16</Pages>
  <Words>5918</Words>
  <Characters>37697</Characters>
  <Application>Microsoft Office Word</Application>
  <DocSecurity>0</DocSecurity>
  <Lines>314</Lines>
  <Paragraphs>87</Paragraphs>
  <ScaleCrop>false</ScaleCrop>
  <Company>Powys County Council</Company>
  <LinksUpToDate>false</LinksUpToDate>
  <CharactersWithSpaces>43528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bethan evans</cp:lastModifiedBy>
  <cp:revision>13</cp:revision>
  <cp:lastPrinted>2014-08-26T08:55:00Z</cp:lastPrinted>
  <dcterms:created xsi:type="dcterms:W3CDTF">2024-01-21T11:28:00Z</dcterms:created>
  <dcterms:modified xsi:type="dcterms:W3CDTF">2024-04-28T15:55:00Z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2022-12-07T13:24:29Z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4a6e23d7-9131-4902-b50f-5eff6479e690</vt:lpwstr>
  </property>
  <property fmtid="{D5CDD505-2E9C-101B-9397-08002B2CF9AE}" pid="9" name="MSIP_Label_66cf8fe5-b7b7-4df7-b38d-1c61ac2f6639_ContentBits">
    <vt:lpwstr>0</vt:lpwstr>
  </property>
</Properties>
</file>