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88CD5D" w14:textId="00BF9875" w:rsidR="00C65677" w:rsidRPr="002E220B" w:rsidRDefault="00C65677" w:rsidP="002E220B">
      <w:pPr>
        <w:jc w:val="center"/>
        <w:rPr>
          <w:rFonts w:cs="Arial"/>
          <w:b/>
          <w:bCs/>
          <w:sz w:val="44"/>
          <w:szCs w:val="44"/>
        </w:rPr>
      </w:pPr>
      <w:r w:rsidRPr="002E220B">
        <w:rPr>
          <w:rFonts w:cs="Arial"/>
          <w:b/>
          <w:bCs/>
          <w:noProof/>
          <w:sz w:val="44"/>
          <w:szCs w:val="44"/>
        </w:rPr>
        <w:drawing>
          <wp:inline distT="0" distB="0" distL="0" distR="0" wp14:anchorId="6C7A0F5F" wp14:editId="572C710C">
            <wp:extent cx="3518535" cy="1470433"/>
            <wp:effectExtent l="0" t="0" r="5715" b="0"/>
            <wp:docPr id="10270109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010971" name=""/>
                    <pic:cNvPicPr/>
                  </pic:nvPicPr>
                  <pic:blipFill>
                    <a:blip r:embed="rId8"/>
                    <a:stretch>
                      <a:fillRect/>
                    </a:stretch>
                  </pic:blipFill>
                  <pic:spPr>
                    <a:xfrm>
                      <a:off x="0" y="0"/>
                      <a:ext cx="3524564" cy="1472953"/>
                    </a:xfrm>
                    <a:prstGeom prst="rect">
                      <a:avLst/>
                    </a:prstGeom>
                  </pic:spPr>
                </pic:pic>
              </a:graphicData>
            </a:graphic>
          </wp:inline>
        </w:drawing>
      </w:r>
    </w:p>
    <w:p w14:paraId="21587B85" w14:textId="5111E8F7" w:rsidR="00C65677" w:rsidRPr="002E220B" w:rsidRDefault="00C65677" w:rsidP="00C65677">
      <w:pPr>
        <w:jc w:val="center"/>
        <w:rPr>
          <w:rFonts w:cs="Arial"/>
          <w:b/>
          <w:bCs/>
          <w:sz w:val="36"/>
          <w:szCs w:val="36"/>
        </w:rPr>
      </w:pPr>
      <w:r w:rsidRPr="002E220B">
        <w:rPr>
          <w:rFonts w:cs="Arial"/>
          <w:b/>
          <w:bCs/>
          <w:sz w:val="36"/>
          <w:szCs w:val="36"/>
        </w:rPr>
        <w:t>Master of Business Administration</w:t>
      </w:r>
    </w:p>
    <w:p w14:paraId="462102CA" w14:textId="77777777" w:rsidR="00C65677" w:rsidRPr="002E220B" w:rsidRDefault="00C65677" w:rsidP="00C65677">
      <w:pPr>
        <w:jc w:val="center"/>
        <w:rPr>
          <w:rFonts w:cs="Arial"/>
          <w:b/>
          <w:bCs/>
          <w:sz w:val="36"/>
          <w:szCs w:val="36"/>
        </w:rPr>
      </w:pPr>
    </w:p>
    <w:p w14:paraId="7C8E57AE" w14:textId="7B74E25C" w:rsidR="00C65677" w:rsidRPr="002E220B" w:rsidRDefault="00C65677" w:rsidP="00C65677">
      <w:pPr>
        <w:jc w:val="center"/>
        <w:rPr>
          <w:rFonts w:cs="Arial"/>
          <w:b/>
          <w:bCs/>
          <w:sz w:val="36"/>
          <w:szCs w:val="36"/>
        </w:rPr>
      </w:pPr>
      <w:r w:rsidRPr="002E220B">
        <w:rPr>
          <w:rFonts w:cs="Arial"/>
          <w:b/>
          <w:bCs/>
          <w:sz w:val="36"/>
          <w:szCs w:val="36"/>
        </w:rPr>
        <w:t>Module: Financial Management</w:t>
      </w:r>
    </w:p>
    <w:p w14:paraId="39760519" w14:textId="7FAE511E" w:rsidR="00C65677" w:rsidRPr="002E220B" w:rsidRDefault="00C65677" w:rsidP="00C65677">
      <w:pPr>
        <w:jc w:val="center"/>
        <w:rPr>
          <w:rFonts w:cs="Arial"/>
          <w:b/>
          <w:bCs/>
          <w:sz w:val="36"/>
          <w:szCs w:val="36"/>
        </w:rPr>
      </w:pPr>
      <w:r w:rsidRPr="002E220B">
        <w:rPr>
          <w:rFonts w:cs="Arial"/>
          <w:b/>
          <w:bCs/>
          <w:sz w:val="36"/>
          <w:szCs w:val="36"/>
        </w:rPr>
        <w:t>Module code: LCMB7002</w:t>
      </w:r>
    </w:p>
    <w:p w14:paraId="5C2F43A1" w14:textId="77777777" w:rsidR="00C65677" w:rsidRPr="002E220B" w:rsidRDefault="00C65677" w:rsidP="00C65677">
      <w:pPr>
        <w:jc w:val="center"/>
        <w:rPr>
          <w:rFonts w:cs="Arial"/>
          <w:b/>
          <w:bCs/>
          <w:sz w:val="36"/>
          <w:szCs w:val="36"/>
        </w:rPr>
      </w:pPr>
    </w:p>
    <w:p w14:paraId="19CA37FF" w14:textId="5881652A" w:rsidR="00C65677" w:rsidRPr="002E220B" w:rsidRDefault="00C65677" w:rsidP="00C65677">
      <w:pPr>
        <w:jc w:val="center"/>
        <w:rPr>
          <w:rFonts w:cs="Arial"/>
          <w:b/>
          <w:bCs/>
          <w:sz w:val="36"/>
          <w:szCs w:val="36"/>
        </w:rPr>
      </w:pPr>
      <w:r w:rsidRPr="002E220B">
        <w:rPr>
          <w:rFonts w:cs="Arial"/>
          <w:b/>
          <w:bCs/>
          <w:sz w:val="36"/>
          <w:szCs w:val="36"/>
        </w:rPr>
        <w:t>Assessment component:  Financial performance and management</w:t>
      </w:r>
    </w:p>
    <w:p w14:paraId="2B5E2FB8" w14:textId="77777777" w:rsidR="00C65677" w:rsidRPr="002E220B" w:rsidRDefault="00C65677" w:rsidP="00C65677">
      <w:pPr>
        <w:jc w:val="center"/>
        <w:rPr>
          <w:rFonts w:cs="Arial"/>
          <w:b/>
          <w:bCs/>
          <w:sz w:val="36"/>
          <w:szCs w:val="36"/>
        </w:rPr>
      </w:pPr>
    </w:p>
    <w:p w14:paraId="1AFAE27F" w14:textId="4A4B8529" w:rsidR="00C65677" w:rsidRPr="002E220B" w:rsidRDefault="00C65677" w:rsidP="00C65677">
      <w:pPr>
        <w:jc w:val="center"/>
        <w:rPr>
          <w:rFonts w:cs="Arial"/>
          <w:b/>
          <w:bCs/>
          <w:sz w:val="36"/>
          <w:szCs w:val="36"/>
        </w:rPr>
      </w:pPr>
      <w:r w:rsidRPr="002E220B">
        <w:rPr>
          <w:rFonts w:cs="Arial"/>
          <w:b/>
          <w:bCs/>
          <w:sz w:val="36"/>
          <w:szCs w:val="36"/>
        </w:rPr>
        <w:t xml:space="preserve">Student Name: </w:t>
      </w:r>
      <w:r w:rsidR="00112B86">
        <w:rPr>
          <w:rFonts w:cs="Arial"/>
          <w:b/>
          <w:bCs/>
          <w:sz w:val="36"/>
          <w:szCs w:val="36"/>
        </w:rPr>
        <w:t>Patel Shubham Rakesh</w:t>
      </w:r>
    </w:p>
    <w:p w14:paraId="451C1CBB" w14:textId="12AD96D4" w:rsidR="00C65677" w:rsidRPr="002E220B" w:rsidRDefault="00C65677" w:rsidP="00C65677">
      <w:pPr>
        <w:jc w:val="center"/>
        <w:rPr>
          <w:rFonts w:cs="Arial"/>
          <w:b/>
          <w:bCs/>
          <w:sz w:val="36"/>
          <w:szCs w:val="36"/>
        </w:rPr>
      </w:pPr>
      <w:r w:rsidRPr="002E220B">
        <w:rPr>
          <w:rFonts w:cs="Arial"/>
          <w:b/>
          <w:bCs/>
          <w:sz w:val="36"/>
          <w:szCs w:val="36"/>
        </w:rPr>
        <w:t>Student ID:</w:t>
      </w:r>
      <w:r w:rsidR="00B255C9">
        <w:rPr>
          <w:rFonts w:cs="Arial"/>
          <w:b/>
          <w:bCs/>
          <w:sz w:val="36"/>
          <w:szCs w:val="36"/>
        </w:rPr>
        <w:t xml:space="preserve"> 2531460</w:t>
      </w:r>
    </w:p>
    <w:p w14:paraId="14BB90F1" w14:textId="26C433D9" w:rsidR="00C65677" w:rsidRPr="002E220B" w:rsidRDefault="00C65677" w:rsidP="00C65677">
      <w:pPr>
        <w:jc w:val="center"/>
        <w:rPr>
          <w:rFonts w:cs="Arial"/>
          <w:b/>
          <w:bCs/>
          <w:sz w:val="36"/>
          <w:szCs w:val="36"/>
        </w:rPr>
      </w:pPr>
      <w:r w:rsidRPr="002E220B">
        <w:rPr>
          <w:rFonts w:cs="Arial"/>
          <w:b/>
          <w:bCs/>
          <w:sz w:val="36"/>
          <w:szCs w:val="36"/>
        </w:rPr>
        <w:t>Word Count: 50</w:t>
      </w:r>
      <w:r w:rsidR="00A2187E" w:rsidRPr="002E220B">
        <w:rPr>
          <w:rFonts w:cs="Arial"/>
          <w:b/>
          <w:bCs/>
          <w:sz w:val="36"/>
          <w:szCs w:val="36"/>
        </w:rPr>
        <w:t>90</w:t>
      </w:r>
    </w:p>
    <w:p w14:paraId="6464A30F" w14:textId="77777777" w:rsidR="00C65677" w:rsidRPr="002E220B" w:rsidRDefault="00C65677">
      <w:pPr>
        <w:spacing w:line="259" w:lineRule="auto"/>
        <w:jc w:val="left"/>
        <w:rPr>
          <w:rFonts w:cs="Arial"/>
          <w:b/>
          <w:bCs/>
          <w:sz w:val="36"/>
          <w:szCs w:val="36"/>
        </w:rPr>
      </w:pPr>
      <w:r w:rsidRPr="002E220B">
        <w:rPr>
          <w:rFonts w:cs="Arial"/>
          <w:b/>
          <w:bCs/>
          <w:sz w:val="36"/>
          <w:szCs w:val="36"/>
        </w:rPr>
        <w:br w:type="page"/>
      </w:r>
    </w:p>
    <w:sdt>
      <w:sdtPr>
        <w:rPr>
          <w:rFonts w:cs="Arial"/>
          <w:b/>
          <w:bCs/>
          <w:sz w:val="28"/>
          <w:szCs w:val="28"/>
        </w:rPr>
        <w:id w:val="93601398"/>
        <w:docPartObj>
          <w:docPartGallery w:val="Table of Contents"/>
          <w:docPartUnique/>
        </w:docPartObj>
      </w:sdtPr>
      <w:sdtEndPr>
        <w:rPr>
          <w:noProof/>
          <w:sz w:val="24"/>
          <w:szCs w:val="24"/>
        </w:rPr>
      </w:sdtEndPr>
      <w:sdtContent>
        <w:p w14:paraId="409B936F" w14:textId="5E81B71E" w:rsidR="00C65677" w:rsidRPr="002E220B" w:rsidRDefault="00C65677" w:rsidP="00C65677">
          <w:pPr>
            <w:jc w:val="center"/>
            <w:rPr>
              <w:rFonts w:cs="Arial"/>
              <w:b/>
              <w:bCs/>
              <w:sz w:val="28"/>
              <w:szCs w:val="28"/>
            </w:rPr>
          </w:pPr>
          <w:r w:rsidRPr="002E220B">
            <w:rPr>
              <w:rFonts w:cs="Arial"/>
              <w:b/>
              <w:bCs/>
              <w:sz w:val="28"/>
              <w:szCs w:val="28"/>
            </w:rPr>
            <w:t>Table of Contents</w:t>
          </w:r>
        </w:p>
        <w:p w14:paraId="72BA2207" w14:textId="566EE39B" w:rsidR="002E220B" w:rsidRPr="002E220B" w:rsidRDefault="00C65677">
          <w:pPr>
            <w:pStyle w:val="TOC1"/>
            <w:tabs>
              <w:tab w:val="right" w:leader="dot" w:pos="9350"/>
            </w:tabs>
            <w:rPr>
              <w:rFonts w:eastAsiaTheme="minorEastAsia" w:cs="Arial"/>
              <w:noProof/>
              <w:lang w:val="en-IN" w:eastAsia="en-IN"/>
            </w:rPr>
          </w:pPr>
          <w:r w:rsidRPr="002E220B">
            <w:rPr>
              <w:rFonts w:cs="Arial"/>
            </w:rPr>
            <w:fldChar w:fldCharType="begin"/>
          </w:r>
          <w:r w:rsidRPr="002E220B">
            <w:rPr>
              <w:rFonts w:cs="Arial"/>
            </w:rPr>
            <w:instrText xml:space="preserve"> TOC \o "1-3" \h \z \u </w:instrText>
          </w:r>
          <w:r w:rsidRPr="002E220B">
            <w:rPr>
              <w:rFonts w:cs="Arial"/>
            </w:rPr>
            <w:fldChar w:fldCharType="separate"/>
          </w:r>
          <w:hyperlink w:anchor="_Toc227579187" w:history="1">
            <w:r w:rsidR="002E220B" w:rsidRPr="002E220B">
              <w:rPr>
                <w:rStyle w:val="Hyperlink"/>
                <w:rFonts w:cs="Arial"/>
                <w:noProof/>
              </w:rPr>
              <w:t>1. Financial Health Check</w:t>
            </w:r>
            <w:r w:rsidR="002E220B" w:rsidRPr="002E220B">
              <w:rPr>
                <w:rFonts w:cs="Arial"/>
                <w:noProof/>
                <w:webHidden/>
              </w:rPr>
              <w:tab/>
            </w:r>
            <w:r w:rsidR="002E220B" w:rsidRPr="002E220B">
              <w:rPr>
                <w:rFonts w:cs="Arial"/>
                <w:noProof/>
                <w:webHidden/>
              </w:rPr>
              <w:fldChar w:fldCharType="begin"/>
            </w:r>
            <w:r w:rsidR="002E220B" w:rsidRPr="002E220B">
              <w:rPr>
                <w:rFonts w:cs="Arial"/>
                <w:noProof/>
                <w:webHidden/>
              </w:rPr>
              <w:instrText xml:space="preserve"> PAGEREF _Toc227579187 \h </w:instrText>
            </w:r>
            <w:r w:rsidR="002E220B" w:rsidRPr="002E220B">
              <w:rPr>
                <w:rFonts w:cs="Arial"/>
                <w:noProof/>
                <w:webHidden/>
              </w:rPr>
            </w:r>
            <w:r w:rsidR="002E220B" w:rsidRPr="002E220B">
              <w:rPr>
                <w:rFonts w:cs="Arial"/>
                <w:noProof/>
                <w:webHidden/>
              </w:rPr>
              <w:fldChar w:fldCharType="separate"/>
            </w:r>
            <w:r w:rsidR="002E220B" w:rsidRPr="002E220B">
              <w:rPr>
                <w:rFonts w:cs="Arial"/>
                <w:noProof/>
                <w:webHidden/>
              </w:rPr>
              <w:t>5</w:t>
            </w:r>
            <w:r w:rsidR="002E220B" w:rsidRPr="002E220B">
              <w:rPr>
                <w:rFonts w:cs="Arial"/>
                <w:noProof/>
                <w:webHidden/>
              </w:rPr>
              <w:fldChar w:fldCharType="end"/>
            </w:r>
          </w:hyperlink>
        </w:p>
        <w:p w14:paraId="69B84E9E" w14:textId="6DCF344E" w:rsidR="002E220B" w:rsidRPr="002E220B" w:rsidRDefault="002E220B">
          <w:pPr>
            <w:pStyle w:val="TOC2"/>
            <w:tabs>
              <w:tab w:val="right" w:leader="dot" w:pos="9350"/>
            </w:tabs>
            <w:rPr>
              <w:rFonts w:eastAsiaTheme="minorEastAsia" w:cs="Arial"/>
              <w:noProof/>
              <w:lang w:val="en-IN" w:eastAsia="en-IN"/>
            </w:rPr>
          </w:pPr>
          <w:hyperlink w:anchor="_Toc227579188" w:history="1">
            <w:r w:rsidRPr="002E220B">
              <w:rPr>
                <w:rStyle w:val="Hyperlink"/>
                <w:rFonts w:cs="Arial"/>
                <w:noProof/>
              </w:rPr>
              <w:t>1.1 Overview of financial statement</w:t>
            </w:r>
            <w:r w:rsidRPr="002E220B">
              <w:rPr>
                <w:rFonts w:cs="Arial"/>
                <w:noProof/>
                <w:webHidden/>
              </w:rPr>
              <w:tab/>
            </w:r>
            <w:r w:rsidRPr="002E220B">
              <w:rPr>
                <w:rFonts w:cs="Arial"/>
                <w:noProof/>
                <w:webHidden/>
              </w:rPr>
              <w:fldChar w:fldCharType="begin"/>
            </w:r>
            <w:r w:rsidRPr="002E220B">
              <w:rPr>
                <w:rFonts w:cs="Arial"/>
                <w:noProof/>
                <w:webHidden/>
              </w:rPr>
              <w:instrText xml:space="preserve"> PAGEREF _Toc227579188 \h </w:instrText>
            </w:r>
            <w:r w:rsidRPr="002E220B">
              <w:rPr>
                <w:rFonts w:cs="Arial"/>
                <w:noProof/>
                <w:webHidden/>
              </w:rPr>
            </w:r>
            <w:r w:rsidRPr="002E220B">
              <w:rPr>
                <w:rFonts w:cs="Arial"/>
                <w:noProof/>
                <w:webHidden/>
              </w:rPr>
              <w:fldChar w:fldCharType="separate"/>
            </w:r>
            <w:r w:rsidRPr="002E220B">
              <w:rPr>
                <w:rFonts w:cs="Arial"/>
                <w:noProof/>
                <w:webHidden/>
              </w:rPr>
              <w:t>5</w:t>
            </w:r>
            <w:r w:rsidRPr="002E220B">
              <w:rPr>
                <w:rFonts w:cs="Arial"/>
                <w:noProof/>
                <w:webHidden/>
              </w:rPr>
              <w:fldChar w:fldCharType="end"/>
            </w:r>
          </w:hyperlink>
        </w:p>
        <w:p w14:paraId="5EACE8C6" w14:textId="183C5BAE" w:rsidR="002E220B" w:rsidRPr="002E220B" w:rsidRDefault="002E220B">
          <w:pPr>
            <w:pStyle w:val="TOC2"/>
            <w:tabs>
              <w:tab w:val="right" w:leader="dot" w:pos="9350"/>
            </w:tabs>
            <w:rPr>
              <w:rFonts w:eastAsiaTheme="minorEastAsia" w:cs="Arial"/>
              <w:noProof/>
              <w:lang w:val="en-IN" w:eastAsia="en-IN"/>
            </w:rPr>
          </w:pPr>
          <w:hyperlink w:anchor="_Toc227579189" w:history="1">
            <w:r w:rsidRPr="002E220B">
              <w:rPr>
                <w:rStyle w:val="Hyperlink"/>
                <w:rFonts w:cs="Arial"/>
                <w:noProof/>
              </w:rPr>
              <w:t>1.2 Ratio Analysis</w:t>
            </w:r>
            <w:r w:rsidRPr="002E220B">
              <w:rPr>
                <w:rFonts w:cs="Arial"/>
                <w:noProof/>
                <w:webHidden/>
              </w:rPr>
              <w:tab/>
            </w:r>
            <w:r w:rsidRPr="002E220B">
              <w:rPr>
                <w:rFonts w:cs="Arial"/>
                <w:noProof/>
                <w:webHidden/>
              </w:rPr>
              <w:fldChar w:fldCharType="begin"/>
            </w:r>
            <w:r w:rsidRPr="002E220B">
              <w:rPr>
                <w:rFonts w:cs="Arial"/>
                <w:noProof/>
                <w:webHidden/>
              </w:rPr>
              <w:instrText xml:space="preserve"> PAGEREF _Toc227579189 \h </w:instrText>
            </w:r>
            <w:r w:rsidRPr="002E220B">
              <w:rPr>
                <w:rFonts w:cs="Arial"/>
                <w:noProof/>
                <w:webHidden/>
              </w:rPr>
            </w:r>
            <w:r w:rsidRPr="002E220B">
              <w:rPr>
                <w:rFonts w:cs="Arial"/>
                <w:noProof/>
                <w:webHidden/>
              </w:rPr>
              <w:fldChar w:fldCharType="separate"/>
            </w:r>
            <w:r w:rsidRPr="002E220B">
              <w:rPr>
                <w:rFonts w:cs="Arial"/>
                <w:noProof/>
                <w:webHidden/>
              </w:rPr>
              <w:t>8</w:t>
            </w:r>
            <w:r w:rsidRPr="002E220B">
              <w:rPr>
                <w:rFonts w:cs="Arial"/>
                <w:noProof/>
                <w:webHidden/>
              </w:rPr>
              <w:fldChar w:fldCharType="end"/>
            </w:r>
          </w:hyperlink>
        </w:p>
        <w:p w14:paraId="2A6AEAEB" w14:textId="34D4B6E1" w:rsidR="002E220B" w:rsidRPr="002E220B" w:rsidRDefault="002E220B">
          <w:pPr>
            <w:pStyle w:val="TOC3"/>
            <w:tabs>
              <w:tab w:val="right" w:leader="dot" w:pos="9350"/>
            </w:tabs>
            <w:rPr>
              <w:rFonts w:eastAsiaTheme="minorEastAsia" w:cs="Arial"/>
              <w:noProof/>
              <w:lang w:val="en-IN" w:eastAsia="en-IN"/>
            </w:rPr>
          </w:pPr>
          <w:hyperlink w:anchor="_Toc227579190" w:history="1">
            <w:r w:rsidRPr="002E220B">
              <w:rPr>
                <w:rStyle w:val="Hyperlink"/>
                <w:rFonts w:cs="Arial"/>
                <w:noProof/>
              </w:rPr>
              <w:t>1.2.1 Profitability Analysis</w:t>
            </w:r>
            <w:r w:rsidRPr="002E220B">
              <w:rPr>
                <w:rFonts w:cs="Arial"/>
                <w:noProof/>
                <w:webHidden/>
              </w:rPr>
              <w:tab/>
            </w:r>
            <w:r w:rsidRPr="002E220B">
              <w:rPr>
                <w:rFonts w:cs="Arial"/>
                <w:noProof/>
                <w:webHidden/>
              </w:rPr>
              <w:fldChar w:fldCharType="begin"/>
            </w:r>
            <w:r w:rsidRPr="002E220B">
              <w:rPr>
                <w:rFonts w:cs="Arial"/>
                <w:noProof/>
                <w:webHidden/>
              </w:rPr>
              <w:instrText xml:space="preserve"> PAGEREF _Toc227579190 \h </w:instrText>
            </w:r>
            <w:r w:rsidRPr="002E220B">
              <w:rPr>
                <w:rFonts w:cs="Arial"/>
                <w:noProof/>
                <w:webHidden/>
              </w:rPr>
            </w:r>
            <w:r w:rsidRPr="002E220B">
              <w:rPr>
                <w:rFonts w:cs="Arial"/>
                <w:noProof/>
                <w:webHidden/>
              </w:rPr>
              <w:fldChar w:fldCharType="separate"/>
            </w:r>
            <w:r w:rsidRPr="002E220B">
              <w:rPr>
                <w:rFonts w:cs="Arial"/>
                <w:noProof/>
                <w:webHidden/>
              </w:rPr>
              <w:t>8</w:t>
            </w:r>
            <w:r w:rsidRPr="002E220B">
              <w:rPr>
                <w:rFonts w:cs="Arial"/>
                <w:noProof/>
                <w:webHidden/>
              </w:rPr>
              <w:fldChar w:fldCharType="end"/>
            </w:r>
          </w:hyperlink>
        </w:p>
        <w:p w14:paraId="62C2FDEE" w14:textId="31459159" w:rsidR="002E220B" w:rsidRPr="002E220B" w:rsidRDefault="002E220B">
          <w:pPr>
            <w:pStyle w:val="TOC3"/>
            <w:tabs>
              <w:tab w:val="right" w:leader="dot" w:pos="9350"/>
            </w:tabs>
            <w:rPr>
              <w:rFonts w:eastAsiaTheme="minorEastAsia" w:cs="Arial"/>
              <w:noProof/>
              <w:lang w:val="en-IN" w:eastAsia="en-IN"/>
            </w:rPr>
          </w:pPr>
          <w:hyperlink w:anchor="_Toc227579191" w:history="1">
            <w:r w:rsidRPr="002E220B">
              <w:rPr>
                <w:rStyle w:val="Hyperlink"/>
                <w:rFonts w:cs="Arial"/>
                <w:noProof/>
              </w:rPr>
              <w:t>1.2.2 Liquidity Analysis</w:t>
            </w:r>
            <w:r w:rsidRPr="002E220B">
              <w:rPr>
                <w:rFonts w:cs="Arial"/>
                <w:noProof/>
                <w:webHidden/>
              </w:rPr>
              <w:tab/>
            </w:r>
            <w:r w:rsidRPr="002E220B">
              <w:rPr>
                <w:rFonts w:cs="Arial"/>
                <w:noProof/>
                <w:webHidden/>
              </w:rPr>
              <w:fldChar w:fldCharType="begin"/>
            </w:r>
            <w:r w:rsidRPr="002E220B">
              <w:rPr>
                <w:rFonts w:cs="Arial"/>
                <w:noProof/>
                <w:webHidden/>
              </w:rPr>
              <w:instrText xml:space="preserve"> PAGEREF _Toc227579191 \h </w:instrText>
            </w:r>
            <w:r w:rsidRPr="002E220B">
              <w:rPr>
                <w:rFonts w:cs="Arial"/>
                <w:noProof/>
                <w:webHidden/>
              </w:rPr>
            </w:r>
            <w:r w:rsidRPr="002E220B">
              <w:rPr>
                <w:rFonts w:cs="Arial"/>
                <w:noProof/>
                <w:webHidden/>
              </w:rPr>
              <w:fldChar w:fldCharType="separate"/>
            </w:r>
            <w:r w:rsidRPr="002E220B">
              <w:rPr>
                <w:rFonts w:cs="Arial"/>
                <w:noProof/>
                <w:webHidden/>
              </w:rPr>
              <w:t>10</w:t>
            </w:r>
            <w:r w:rsidRPr="002E220B">
              <w:rPr>
                <w:rFonts w:cs="Arial"/>
                <w:noProof/>
                <w:webHidden/>
              </w:rPr>
              <w:fldChar w:fldCharType="end"/>
            </w:r>
          </w:hyperlink>
        </w:p>
        <w:p w14:paraId="6D947504" w14:textId="0F716908" w:rsidR="002E220B" w:rsidRPr="002E220B" w:rsidRDefault="002E220B">
          <w:pPr>
            <w:pStyle w:val="TOC3"/>
            <w:tabs>
              <w:tab w:val="right" w:leader="dot" w:pos="9350"/>
            </w:tabs>
            <w:rPr>
              <w:rFonts w:eastAsiaTheme="minorEastAsia" w:cs="Arial"/>
              <w:noProof/>
              <w:lang w:val="en-IN" w:eastAsia="en-IN"/>
            </w:rPr>
          </w:pPr>
          <w:hyperlink w:anchor="_Toc227579192" w:history="1">
            <w:r w:rsidRPr="002E220B">
              <w:rPr>
                <w:rStyle w:val="Hyperlink"/>
                <w:rFonts w:cs="Arial"/>
                <w:noProof/>
              </w:rPr>
              <w:t>1.2.3 Efficiency Analysis</w:t>
            </w:r>
            <w:r w:rsidRPr="002E220B">
              <w:rPr>
                <w:rFonts w:cs="Arial"/>
                <w:noProof/>
                <w:webHidden/>
              </w:rPr>
              <w:tab/>
            </w:r>
            <w:r w:rsidRPr="002E220B">
              <w:rPr>
                <w:rFonts w:cs="Arial"/>
                <w:noProof/>
                <w:webHidden/>
              </w:rPr>
              <w:fldChar w:fldCharType="begin"/>
            </w:r>
            <w:r w:rsidRPr="002E220B">
              <w:rPr>
                <w:rFonts w:cs="Arial"/>
                <w:noProof/>
                <w:webHidden/>
              </w:rPr>
              <w:instrText xml:space="preserve"> PAGEREF _Toc227579192 \h </w:instrText>
            </w:r>
            <w:r w:rsidRPr="002E220B">
              <w:rPr>
                <w:rFonts w:cs="Arial"/>
                <w:noProof/>
                <w:webHidden/>
              </w:rPr>
            </w:r>
            <w:r w:rsidRPr="002E220B">
              <w:rPr>
                <w:rFonts w:cs="Arial"/>
                <w:noProof/>
                <w:webHidden/>
              </w:rPr>
              <w:fldChar w:fldCharType="separate"/>
            </w:r>
            <w:r w:rsidRPr="002E220B">
              <w:rPr>
                <w:rFonts w:cs="Arial"/>
                <w:noProof/>
                <w:webHidden/>
              </w:rPr>
              <w:t>11</w:t>
            </w:r>
            <w:r w:rsidRPr="002E220B">
              <w:rPr>
                <w:rFonts w:cs="Arial"/>
                <w:noProof/>
                <w:webHidden/>
              </w:rPr>
              <w:fldChar w:fldCharType="end"/>
            </w:r>
          </w:hyperlink>
        </w:p>
        <w:p w14:paraId="735A0752" w14:textId="3426BA62" w:rsidR="002E220B" w:rsidRPr="002E220B" w:rsidRDefault="002E220B">
          <w:pPr>
            <w:pStyle w:val="TOC3"/>
            <w:tabs>
              <w:tab w:val="right" w:leader="dot" w:pos="9350"/>
            </w:tabs>
            <w:rPr>
              <w:rFonts w:eastAsiaTheme="minorEastAsia" w:cs="Arial"/>
              <w:noProof/>
              <w:lang w:val="en-IN" w:eastAsia="en-IN"/>
            </w:rPr>
          </w:pPr>
          <w:hyperlink w:anchor="_Toc227579193" w:history="1">
            <w:r w:rsidRPr="002E220B">
              <w:rPr>
                <w:rStyle w:val="Hyperlink"/>
                <w:rFonts w:cs="Arial"/>
                <w:noProof/>
              </w:rPr>
              <w:t>1.2.4 Gearing (Leverage) Analysis</w:t>
            </w:r>
            <w:r w:rsidRPr="002E220B">
              <w:rPr>
                <w:rFonts w:cs="Arial"/>
                <w:noProof/>
                <w:webHidden/>
              </w:rPr>
              <w:tab/>
            </w:r>
            <w:r w:rsidRPr="002E220B">
              <w:rPr>
                <w:rFonts w:cs="Arial"/>
                <w:noProof/>
                <w:webHidden/>
              </w:rPr>
              <w:fldChar w:fldCharType="begin"/>
            </w:r>
            <w:r w:rsidRPr="002E220B">
              <w:rPr>
                <w:rFonts w:cs="Arial"/>
                <w:noProof/>
                <w:webHidden/>
              </w:rPr>
              <w:instrText xml:space="preserve"> PAGEREF _Toc227579193 \h </w:instrText>
            </w:r>
            <w:r w:rsidRPr="002E220B">
              <w:rPr>
                <w:rFonts w:cs="Arial"/>
                <w:noProof/>
                <w:webHidden/>
              </w:rPr>
            </w:r>
            <w:r w:rsidRPr="002E220B">
              <w:rPr>
                <w:rFonts w:cs="Arial"/>
                <w:noProof/>
                <w:webHidden/>
              </w:rPr>
              <w:fldChar w:fldCharType="separate"/>
            </w:r>
            <w:r w:rsidRPr="002E220B">
              <w:rPr>
                <w:rFonts w:cs="Arial"/>
                <w:noProof/>
                <w:webHidden/>
              </w:rPr>
              <w:t>12</w:t>
            </w:r>
            <w:r w:rsidRPr="002E220B">
              <w:rPr>
                <w:rFonts w:cs="Arial"/>
                <w:noProof/>
                <w:webHidden/>
              </w:rPr>
              <w:fldChar w:fldCharType="end"/>
            </w:r>
          </w:hyperlink>
        </w:p>
        <w:p w14:paraId="5FD7D224" w14:textId="5762CFEC" w:rsidR="002E220B" w:rsidRPr="002E220B" w:rsidRDefault="002E220B">
          <w:pPr>
            <w:pStyle w:val="TOC3"/>
            <w:tabs>
              <w:tab w:val="right" w:leader="dot" w:pos="9350"/>
            </w:tabs>
            <w:rPr>
              <w:rFonts w:eastAsiaTheme="minorEastAsia" w:cs="Arial"/>
              <w:noProof/>
              <w:lang w:val="en-IN" w:eastAsia="en-IN"/>
            </w:rPr>
          </w:pPr>
          <w:hyperlink w:anchor="_Toc227579194" w:history="1">
            <w:r w:rsidRPr="002E220B">
              <w:rPr>
                <w:rStyle w:val="Hyperlink"/>
                <w:rFonts w:cs="Arial"/>
                <w:noProof/>
              </w:rPr>
              <w:t>1.2.5 Investment and Cash Flow Analysis</w:t>
            </w:r>
            <w:r w:rsidRPr="002E220B">
              <w:rPr>
                <w:rFonts w:cs="Arial"/>
                <w:noProof/>
                <w:webHidden/>
              </w:rPr>
              <w:tab/>
            </w:r>
            <w:r w:rsidRPr="002E220B">
              <w:rPr>
                <w:rFonts w:cs="Arial"/>
                <w:noProof/>
                <w:webHidden/>
              </w:rPr>
              <w:fldChar w:fldCharType="begin"/>
            </w:r>
            <w:r w:rsidRPr="002E220B">
              <w:rPr>
                <w:rFonts w:cs="Arial"/>
                <w:noProof/>
                <w:webHidden/>
              </w:rPr>
              <w:instrText xml:space="preserve"> PAGEREF _Toc227579194 \h </w:instrText>
            </w:r>
            <w:r w:rsidRPr="002E220B">
              <w:rPr>
                <w:rFonts w:cs="Arial"/>
                <w:noProof/>
                <w:webHidden/>
              </w:rPr>
            </w:r>
            <w:r w:rsidRPr="002E220B">
              <w:rPr>
                <w:rFonts w:cs="Arial"/>
                <w:noProof/>
                <w:webHidden/>
              </w:rPr>
              <w:fldChar w:fldCharType="separate"/>
            </w:r>
            <w:r w:rsidRPr="002E220B">
              <w:rPr>
                <w:rFonts w:cs="Arial"/>
                <w:noProof/>
                <w:webHidden/>
              </w:rPr>
              <w:t>13</w:t>
            </w:r>
            <w:r w:rsidRPr="002E220B">
              <w:rPr>
                <w:rFonts w:cs="Arial"/>
                <w:noProof/>
                <w:webHidden/>
              </w:rPr>
              <w:fldChar w:fldCharType="end"/>
            </w:r>
          </w:hyperlink>
        </w:p>
        <w:p w14:paraId="75A5AAEE" w14:textId="28740A52" w:rsidR="002E220B" w:rsidRPr="002E220B" w:rsidRDefault="002E220B">
          <w:pPr>
            <w:pStyle w:val="TOC2"/>
            <w:tabs>
              <w:tab w:val="right" w:leader="dot" w:pos="9350"/>
            </w:tabs>
            <w:rPr>
              <w:rFonts w:eastAsiaTheme="minorEastAsia" w:cs="Arial"/>
              <w:noProof/>
              <w:lang w:val="en-IN" w:eastAsia="en-IN"/>
            </w:rPr>
          </w:pPr>
          <w:hyperlink w:anchor="_Toc227579195" w:history="1">
            <w:r w:rsidRPr="002E220B">
              <w:rPr>
                <w:rStyle w:val="Hyperlink"/>
                <w:rFonts w:cs="Arial"/>
                <w:noProof/>
              </w:rPr>
              <w:t>1.3 Identification of trends, strengths and threats</w:t>
            </w:r>
            <w:r w:rsidRPr="002E220B">
              <w:rPr>
                <w:rFonts w:cs="Arial"/>
                <w:noProof/>
                <w:webHidden/>
              </w:rPr>
              <w:tab/>
            </w:r>
            <w:r w:rsidRPr="002E220B">
              <w:rPr>
                <w:rFonts w:cs="Arial"/>
                <w:noProof/>
                <w:webHidden/>
              </w:rPr>
              <w:fldChar w:fldCharType="begin"/>
            </w:r>
            <w:r w:rsidRPr="002E220B">
              <w:rPr>
                <w:rFonts w:cs="Arial"/>
                <w:noProof/>
                <w:webHidden/>
              </w:rPr>
              <w:instrText xml:space="preserve"> PAGEREF _Toc227579195 \h </w:instrText>
            </w:r>
            <w:r w:rsidRPr="002E220B">
              <w:rPr>
                <w:rFonts w:cs="Arial"/>
                <w:noProof/>
                <w:webHidden/>
              </w:rPr>
            </w:r>
            <w:r w:rsidRPr="002E220B">
              <w:rPr>
                <w:rFonts w:cs="Arial"/>
                <w:noProof/>
                <w:webHidden/>
              </w:rPr>
              <w:fldChar w:fldCharType="separate"/>
            </w:r>
            <w:r w:rsidRPr="002E220B">
              <w:rPr>
                <w:rFonts w:cs="Arial"/>
                <w:noProof/>
                <w:webHidden/>
              </w:rPr>
              <w:t>15</w:t>
            </w:r>
            <w:r w:rsidRPr="002E220B">
              <w:rPr>
                <w:rFonts w:cs="Arial"/>
                <w:noProof/>
                <w:webHidden/>
              </w:rPr>
              <w:fldChar w:fldCharType="end"/>
            </w:r>
          </w:hyperlink>
        </w:p>
        <w:p w14:paraId="6F9B7654" w14:textId="100844EB" w:rsidR="002E220B" w:rsidRPr="002E220B" w:rsidRDefault="002E220B">
          <w:pPr>
            <w:pStyle w:val="TOC1"/>
            <w:tabs>
              <w:tab w:val="right" w:leader="dot" w:pos="9350"/>
            </w:tabs>
            <w:rPr>
              <w:rFonts w:eastAsiaTheme="minorEastAsia" w:cs="Arial"/>
              <w:noProof/>
              <w:lang w:val="en-IN" w:eastAsia="en-IN"/>
            </w:rPr>
          </w:pPr>
          <w:hyperlink w:anchor="_Toc227579196" w:history="1">
            <w:r w:rsidRPr="002E220B">
              <w:rPr>
                <w:rStyle w:val="Hyperlink"/>
                <w:rFonts w:cs="Arial"/>
                <w:noProof/>
              </w:rPr>
              <w:t>2. Working Capital Management Analysis</w:t>
            </w:r>
            <w:r w:rsidRPr="002E220B">
              <w:rPr>
                <w:rFonts w:cs="Arial"/>
                <w:noProof/>
                <w:webHidden/>
              </w:rPr>
              <w:tab/>
            </w:r>
            <w:r w:rsidRPr="002E220B">
              <w:rPr>
                <w:rFonts w:cs="Arial"/>
                <w:noProof/>
                <w:webHidden/>
              </w:rPr>
              <w:fldChar w:fldCharType="begin"/>
            </w:r>
            <w:r w:rsidRPr="002E220B">
              <w:rPr>
                <w:rFonts w:cs="Arial"/>
                <w:noProof/>
                <w:webHidden/>
              </w:rPr>
              <w:instrText xml:space="preserve"> PAGEREF _Toc227579196 \h </w:instrText>
            </w:r>
            <w:r w:rsidRPr="002E220B">
              <w:rPr>
                <w:rFonts w:cs="Arial"/>
                <w:noProof/>
                <w:webHidden/>
              </w:rPr>
            </w:r>
            <w:r w:rsidRPr="002E220B">
              <w:rPr>
                <w:rFonts w:cs="Arial"/>
                <w:noProof/>
                <w:webHidden/>
              </w:rPr>
              <w:fldChar w:fldCharType="separate"/>
            </w:r>
            <w:r w:rsidRPr="002E220B">
              <w:rPr>
                <w:rFonts w:cs="Arial"/>
                <w:noProof/>
                <w:webHidden/>
              </w:rPr>
              <w:t>15</w:t>
            </w:r>
            <w:r w:rsidRPr="002E220B">
              <w:rPr>
                <w:rFonts w:cs="Arial"/>
                <w:noProof/>
                <w:webHidden/>
              </w:rPr>
              <w:fldChar w:fldCharType="end"/>
            </w:r>
          </w:hyperlink>
        </w:p>
        <w:p w14:paraId="3A1756BF" w14:textId="05281AD4" w:rsidR="002E220B" w:rsidRPr="002E220B" w:rsidRDefault="002E220B">
          <w:pPr>
            <w:pStyle w:val="TOC2"/>
            <w:tabs>
              <w:tab w:val="right" w:leader="dot" w:pos="9350"/>
            </w:tabs>
            <w:rPr>
              <w:rFonts w:eastAsiaTheme="minorEastAsia" w:cs="Arial"/>
              <w:noProof/>
              <w:lang w:val="en-IN" w:eastAsia="en-IN"/>
            </w:rPr>
          </w:pPr>
          <w:hyperlink w:anchor="_Toc227579197" w:history="1">
            <w:r w:rsidRPr="002E220B">
              <w:rPr>
                <w:rStyle w:val="Hyperlink"/>
                <w:rFonts w:cs="Arial"/>
                <w:noProof/>
              </w:rPr>
              <w:t>2.1 Introduction</w:t>
            </w:r>
            <w:r w:rsidRPr="002E220B">
              <w:rPr>
                <w:rFonts w:cs="Arial"/>
                <w:noProof/>
                <w:webHidden/>
              </w:rPr>
              <w:tab/>
            </w:r>
            <w:r w:rsidRPr="002E220B">
              <w:rPr>
                <w:rFonts w:cs="Arial"/>
                <w:noProof/>
                <w:webHidden/>
              </w:rPr>
              <w:fldChar w:fldCharType="begin"/>
            </w:r>
            <w:r w:rsidRPr="002E220B">
              <w:rPr>
                <w:rFonts w:cs="Arial"/>
                <w:noProof/>
                <w:webHidden/>
              </w:rPr>
              <w:instrText xml:space="preserve"> PAGEREF _Toc227579197 \h </w:instrText>
            </w:r>
            <w:r w:rsidRPr="002E220B">
              <w:rPr>
                <w:rFonts w:cs="Arial"/>
                <w:noProof/>
                <w:webHidden/>
              </w:rPr>
            </w:r>
            <w:r w:rsidRPr="002E220B">
              <w:rPr>
                <w:rFonts w:cs="Arial"/>
                <w:noProof/>
                <w:webHidden/>
              </w:rPr>
              <w:fldChar w:fldCharType="separate"/>
            </w:r>
            <w:r w:rsidRPr="002E220B">
              <w:rPr>
                <w:rFonts w:cs="Arial"/>
                <w:noProof/>
                <w:webHidden/>
              </w:rPr>
              <w:t>15</w:t>
            </w:r>
            <w:r w:rsidRPr="002E220B">
              <w:rPr>
                <w:rFonts w:cs="Arial"/>
                <w:noProof/>
                <w:webHidden/>
              </w:rPr>
              <w:fldChar w:fldCharType="end"/>
            </w:r>
          </w:hyperlink>
        </w:p>
        <w:p w14:paraId="2C67BC53" w14:textId="1F6CF07A" w:rsidR="002E220B" w:rsidRPr="002E220B" w:rsidRDefault="002E220B">
          <w:pPr>
            <w:pStyle w:val="TOC2"/>
            <w:tabs>
              <w:tab w:val="right" w:leader="dot" w:pos="9350"/>
            </w:tabs>
            <w:rPr>
              <w:rFonts w:eastAsiaTheme="minorEastAsia" w:cs="Arial"/>
              <w:noProof/>
              <w:lang w:val="en-IN" w:eastAsia="en-IN"/>
            </w:rPr>
          </w:pPr>
          <w:hyperlink w:anchor="_Toc227579198" w:history="1">
            <w:r w:rsidRPr="002E220B">
              <w:rPr>
                <w:rStyle w:val="Hyperlink"/>
                <w:rFonts w:cs="Arial"/>
                <w:noProof/>
              </w:rPr>
              <w:t>2.2 Cash Operation Cycle Analysis</w:t>
            </w:r>
            <w:r w:rsidRPr="002E220B">
              <w:rPr>
                <w:rFonts w:cs="Arial"/>
                <w:noProof/>
                <w:webHidden/>
              </w:rPr>
              <w:tab/>
            </w:r>
            <w:r w:rsidRPr="002E220B">
              <w:rPr>
                <w:rFonts w:cs="Arial"/>
                <w:noProof/>
                <w:webHidden/>
              </w:rPr>
              <w:fldChar w:fldCharType="begin"/>
            </w:r>
            <w:r w:rsidRPr="002E220B">
              <w:rPr>
                <w:rFonts w:cs="Arial"/>
                <w:noProof/>
                <w:webHidden/>
              </w:rPr>
              <w:instrText xml:space="preserve"> PAGEREF _Toc227579198 \h </w:instrText>
            </w:r>
            <w:r w:rsidRPr="002E220B">
              <w:rPr>
                <w:rFonts w:cs="Arial"/>
                <w:noProof/>
                <w:webHidden/>
              </w:rPr>
            </w:r>
            <w:r w:rsidRPr="002E220B">
              <w:rPr>
                <w:rFonts w:cs="Arial"/>
                <w:noProof/>
                <w:webHidden/>
              </w:rPr>
              <w:fldChar w:fldCharType="separate"/>
            </w:r>
            <w:r w:rsidRPr="002E220B">
              <w:rPr>
                <w:rFonts w:cs="Arial"/>
                <w:noProof/>
                <w:webHidden/>
              </w:rPr>
              <w:t>16</w:t>
            </w:r>
            <w:r w:rsidRPr="002E220B">
              <w:rPr>
                <w:rFonts w:cs="Arial"/>
                <w:noProof/>
                <w:webHidden/>
              </w:rPr>
              <w:fldChar w:fldCharType="end"/>
            </w:r>
          </w:hyperlink>
        </w:p>
        <w:p w14:paraId="22B074F3" w14:textId="3AF0A58E" w:rsidR="002E220B" w:rsidRPr="002E220B" w:rsidRDefault="002E220B">
          <w:pPr>
            <w:pStyle w:val="TOC2"/>
            <w:tabs>
              <w:tab w:val="right" w:leader="dot" w:pos="9350"/>
            </w:tabs>
            <w:rPr>
              <w:rFonts w:eastAsiaTheme="minorEastAsia" w:cs="Arial"/>
              <w:noProof/>
              <w:lang w:val="en-IN" w:eastAsia="en-IN"/>
            </w:rPr>
          </w:pPr>
          <w:hyperlink w:anchor="_Toc227579199" w:history="1">
            <w:r w:rsidRPr="002E220B">
              <w:rPr>
                <w:rStyle w:val="Hyperlink"/>
                <w:rFonts w:cs="Arial"/>
                <w:noProof/>
              </w:rPr>
              <w:t>2.3 Liquidity and Working Capital Position</w:t>
            </w:r>
            <w:r w:rsidRPr="002E220B">
              <w:rPr>
                <w:rFonts w:cs="Arial"/>
                <w:noProof/>
                <w:webHidden/>
              </w:rPr>
              <w:tab/>
            </w:r>
            <w:r w:rsidRPr="002E220B">
              <w:rPr>
                <w:rFonts w:cs="Arial"/>
                <w:noProof/>
                <w:webHidden/>
              </w:rPr>
              <w:fldChar w:fldCharType="begin"/>
            </w:r>
            <w:r w:rsidRPr="002E220B">
              <w:rPr>
                <w:rFonts w:cs="Arial"/>
                <w:noProof/>
                <w:webHidden/>
              </w:rPr>
              <w:instrText xml:space="preserve"> PAGEREF _Toc227579199 \h </w:instrText>
            </w:r>
            <w:r w:rsidRPr="002E220B">
              <w:rPr>
                <w:rFonts w:cs="Arial"/>
                <w:noProof/>
                <w:webHidden/>
              </w:rPr>
            </w:r>
            <w:r w:rsidRPr="002E220B">
              <w:rPr>
                <w:rFonts w:cs="Arial"/>
                <w:noProof/>
                <w:webHidden/>
              </w:rPr>
              <w:fldChar w:fldCharType="separate"/>
            </w:r>
            <w:r w:rsidRPr="002E220B">
              <w:rPr>
                <w:rFonts w:cs="Arial"/>
                <w:noProof/>
                <w:webHidden/>
              </w:rPr>
              <w:t>16</w:t>
            </w:r>
            <w:r w:rsidRPr="002E220B">
              <w:rPr>
                <w:rFonts w:cs="Arial"/>
                <w:noProof/>
                <w:webHidden/>
              </w:rPr>
              <w:fldChar w:fldCharType="end"/>
            </w:r>
          </w:hyperlink>
        </w:p>
        <w:p w14:paraId="66835BFA" w14:textId="1182446A" w:rsidR="002E220B" w:rsidRPr="002E220B" w:rsidRDefault="002E220B">
          <w:pPr>
            <w:pStyle w:val="TOC2"/>
            <w:tabs>
              <w:tab w:val="right" w:leader="dot" w:pos="9350"/>
            </w:tabs>
            <w:rPr>
              <w:rFonts w:eastAsiaTheme="minorEastAsia" w:cs="Arial"/>
              <w:noProof/>
              <w:lang w:val="en-IN" w:eastAsia="en-IN"/>
            </w:rPr>
          </w:pPr>
          <w:hyperlink w:anchor="_Toc227579200" w:history="1">
            <w:r w:rsidRPr="002E220B">
              <w:rPr>
                <w:rStyle w:val="Hyperlink"/>
                <w:rFonts w:cs="Arial"/>
                <w:noProof/>
              </w:rPr>
              <w:t>2.4 Short term vs Long-Term Financing</w:t>
            </w:r>
            <w:r w:rsidRPr="002E220B">
              <w:rPr>
                <w:rFonts w:cs="Arial"/>
                <w:noProof/>
                <w:webHidden/>
              </w:rPr>
              <w:tab/>
            </w:r>
            <w:r w:rsidRPr="002E220B">
              <w:rPr>
                <w:rFonts w:cs="Arial"/>
                <w:noProof/>
                <w:webHidden/>
              </w:rPr>
              <w:fldChar w:fldCharType="begin"/>
            </w:r>
            <w:r w:rsidRPr="002E220B">
              <w:rPr>
                <w:rFonts w:cs="Arial"/>
                <w:noProof/>
                <w:webHidden/>
              </w:rPr>
              <w:instrText xml:space="preserve"> PAGEREF _Toc227579200 \h </w:instrText>
            </w:r>
            <w:r w:rsidRPr="002E220B">
              <w:rPr>
                <w:rFonts w:cs="Arial"/>
                <w:noProof/>
                <w:webHidden/>
              </w:rPr>
            </w:r>
            <w:r w:rsidRPr="002E220B">
              <w:rPr>
                <w:rFonts w:cs="Arial"/>
                <w:noProof/>
                <w:webHidden/>
              </w:rPr>
              <w:fldChar w:fldCharType="separate"/>
            </w:r>
            <w:r w:rsidRPr="002E220B">
              <w:rPr>
                <w:rFonts w:cs="Arial"/>
                <w:noProof/>
                <w:webHidden/>
              </w:rPr>
              <w:t>17</w:t>
            </w:r>
            <w:r w:rsidRPr="002E220B">
              <w:rPr>
                <w:rFonts w:cs="Arial"/>
                <w:noProof/>
                <w:webHidden/>
              </w:rPr>
              <w:fldChar w:fldCharType="end"/>
            </w:r>
          </w:hyperlink>
        </w:p>
        <w:p w14:paraId="586C6D85" w14:textId="598761B8" w:rsidR="002E220B" w:rsidRPr="002E220B" w:rsidRDefault="002E220B">
          <w:pPr>
            <w:pStyle w:val="TOC2"/>
            <w:tabs>
              <w:tab w:val="right" w:leader="dot" w:pos="9350"/>
            </w:tabs>
            <w:rPr>
              <w:rFonts w:eastAsiaTheme="minorEastAsia" w:cs="Arial"/>
              <w:noProof/>
              <w:lang w:val="en-IN" w:eastAsia="en-IN"/>
            </w:rPr>
          </w:pPr>
          <w:hyperlink w:anchor="_Toc227579201" w:history="1">
            <w:r w:rsidRPr="002E220B">
              <w:rPr>
                <w:rStyle w:val="Hyperlink"/>
                <w:rFonts w:cs="Arial"/>
                <w:noProof/>
              </w:rPr>
              <w:t>2.5 Suggestions to Enhance Working Capital</w:t>
            </w:r>
            <w:r w:rsidRPr="002E220B">
              <w:rPr>
                <w:rFonts w:cs="Arial"/>
                <w:noProof/>
                <w:webHidden/>
              </w:rPr>
              <w:tab/>
            </w:r>
            <w:r w:rsidRPr="002E220B">
              <w:rPr>
                <w:rFonts w:cs="Arial"/>
                <w:noProof/>
                <w:webHidden/>
              </w:rPr>
              <w:fldChar w:fldCharType="begin"/>
            </w:r>
            <w:r w:rsidRPr="002E220B">
              <w:rPr>
                <w:rFonts w:cs="Arial"/>
                <w:noProof/>
                <w:webHidden/>
              </w:rPr>
              <w:instrText xml:space="preserve"> PAGEREF _Toc227579201 \h </w:instrText>
            </w:r>
            <w:r w:rsidRPr="002E220B">
              <w:rPr>
                <w:rFonts w:cs="Arial"/>
                <w:noProof/>
                <w:webHidden/>
              </w:rPr>
            </w:r>
            <w:r w:rsidRPr="002E220B">
              <w:rPr>
                <w:rFonts w:cs="Arial"/>
                <w:noProof/>
                <w:webHidden/>
              </w:rPr>
              <w:fldChar w:fldCharType="separate"/>
            </w:r>
            <w:r w:rsidRPr="002E220B">
              <w:rPr>
                <w:rFonts w:cs="Arial"/>
                <w:noProof/>
                <w:webHidden/>
              </w:rPr>
              <w:t>17</w:t>
            </w:r>
            <w:r w:rsidRPr="002E220B">
              <w:rPr>
                <w:rFonts w:cs="Arial"/>
                <w:noProof/>
                <w:webHidden/>
              </w:rPr>
              <w:fldChar w:fldCharType="end"/>
            </w:r>
          </w:hyperlink>
        </w:p>
        <w:p w14:paraId="52B27024" w14:textId="170861C4" w:rsidR="002E220B" w:rsidRPr="002E220B" w:rsidRDefault="002E220B">
          <w:pPr>
            <w:pStyle w:val="TOC2"/>
            <w:tabs>
              <w:tab w:val="right" w:leader="dot" w:pos="9350"/>
            </w:tabs>
            <w:rPr>
              <w:rFonts w:eastAsiaTheme="minorEastAsia" w:cs="Arial"/>
              <w:noProof/>
              <w:lang w:val="en-IN" w:eastAsia="en-IN"/>
            </w:rPr>
          </w:pPr>
          <w:hyperlink w:anchor="_Toc227579202" w:history="1">
            <w:r w:rsidRPr="002E220B">
              <w:rPr>
                <w:rStyle w:val="Hyperlink"/>
                <w:rFonts w:cs="Arial"/>
                <w:noProof/>
              </w:rPr>
              <w:t>2.6 Conclusion</w:t>
            </w:r>
            <w:r w:rsidRPr="002E220B">
              <w:rPr>
                <w:rFonts w:cs="Arial"/>
                <w:noProof/>
                <w:webHidden/>
              </w:rPr>
              <w:tab/>
            </w:r>
            <w:r w:rsidRPr="002E220B">
              <w:rPr>
                <w:rFonts w:cs="Arial"/>
                <w:noProof/>
                <w:webHidden/>
              </w:rPr>
              <w:fldChar w:fldCharType="begin"/>
            </w:r>
            <w:r w:rsidRPr="002E220B">
              <w:rPr>
                <w:rFonts w:cs="Arial"/>
                <w:noProof/>
                <w:webHidden/>
              </w:rPr>
              <w:instrText xml:space="preserve"> PAGEREF _Toc227579202 \h </w:instrText>
            </w:r>
            <w:r w:rsidRPr="002E220B">
              <w:rPr>
                <w:rFonts w:cs="Arial"/>
                <w:noProof/>
                <w:webHidden/>
              </w:rPr>
            </w:r>
            <w:r w:rsidRPr="002E220B">
              <w:rPr>
                <w:rFonts w:cs="Arial"/>
                <w:noProof/>
                <w:webHidden/>
              </w:rPr>
              <w:fldChar w:fldCharType="separate"/>
            </w:r>
            <w:r w:rsidRPr="002E220B">
              <w:rPr>
                <w:rFonts w:cs="Arial"/>
                <w:noProof/>
                <w:webHidden/>
              </w:rPr>
              <w:t>18</w:t>
            </w:r>
            <w:r w:rsidRPr="002E220B">
              <w:rPr>
                <w:rFonts w:cs="Arial"/>
                <w:noProof/>
                <w:webHidden/>
              </w:rPr>
              <w:fldChar w:fldCharType="end"/>
            </w:r>
          </w:hyperlink>
        </w:p>
        <w:p w14:paraId="2284F357" w14:textId="5C0D5ABA" w:rsidR="002E220B" w:rsidRPr="002E220B" w:rsidRDefault="002E220B">
          <w:pPr>
            <w:pStyle w:val="TOC1"/>
            <w:tabs>
              <w:tab w:val="right" w:leader="dot" w:pos="9350"/>
            </w:tabs>
            <w:rPr>
              <w:rFonts w:eastAsiaTheme="minorEastAsia" w:cs="Arial"/>
              <w:noProof/>
              <w:lang w:val="en-IN" w:eastAsia="en-IN"/>
            </w:rPr>
          </w:pPr>
          <w:hyperlink w:anchor="_Toc227579203" w:history="1">
            <w:r w:rsidRPr="002E220B">
              <w:rPr>
                <w:rStyle w:val="Hyperlink"/>
                <w:rFonts w:cs="Arial"/>
                <w:noProof/>
              </w:rPr>
              <w:t>3. Strategic Financial Restructuring Plan</w:t>
            </w:r>
            <w:r w:rsidRPr="002E220B">
              <w:rPr>
                <w:rFonts w:cs="Arial"/>
                <w:noProof/>
                <w:webHidden/>
              </w:rPr>
              <w:tab/>
            </w:r>
            <w:r w:rsidRPr="002E220B">
              <w:rPr>
                <w:rFonts w:cs="Arial"/>
                <w:noProof/>
                <w:webHidden/>
              </w:rPr>
              <w:fldChar w:fldCharType="begin"/>
            </w:r>
            <w:r w:rsidRPr="002E220B">
              <w:rPr>
                <w:rFonts w:cs="Arial"/>
                <w:noProof/>
                <w:webHidden/>
              </w:rPr>
              <w:instrText xml:space="preserve"> PAGEREF _Toc227579203 \h </w:instrText>
            </w:r>
            <w:r w:rsidRPr="002E220B">
              <w:rPr>
                <w:rFonts w:cs="Arial"/>
                <w:noProof/>
                <w:webHidden/>
              </w:rPr>
            </w:r>
            <w:r w:rsidRPr="002E220B">
              <w:rPr>
                <w:rFonts w:cs="Arial"/>
                <w:noProof/>
                <w:webHidden/>
              </w:rPr>
              <w:fldChar w:fldCharType="separate"/>
            </w:r>
            <w:r w:rsidRPr="002E220B">
              <w:rPr>
                <w:rFonts w:cs="Arial"/>
                <w:noProof/>
                <w:webHidden/>
              </w:rPr>
              <w:t>18</w:t>
            </w:r>
            <w:r w:rsidRPr="002E220B">
              <w:rPr>
                <w:rFonts w:cs="Arial"/>
                <w:noProof/>
                <w:webHidden/>
              </w:rPr>
              <w:fldChar w:fldCharType="end"/>
            </w:r>
          </w:hyperlink>
        </w:p>
        <w:p w14:paraId="61781769" w14:textId="4E50D58A" w:rsidR="002E220B" w:rsidRPr="002E220B" w:rsidRDefault="002E220B">
          <w:pPr>
            <w:pStyle w:val="TOC2"/>
            <w:tabs>
              <w:tab w:val="right" w:leader="dot" w:pos="9350"/>
            </w:tabs>
            <w:rPr>
              <w:rFonts w:eastAsiaTheme="minorEastAsia" w:cs="Arial"/>
              <w:noProof/>
              <w:lang w:val="en-IN" w:eastAsia="en-IN"/>
            </w:rPr>
          </w:pPr>
          <w:hyperlink w:anchor="_Toc227579204" w:history="1">
            <w:r w:rsidRPr="002E220B">
              <w:rPr>
                <w:rStyle w:val="Hyperlink"/>
                <w:rFonts w:cs="Arial"/>
                <w:noProof/>
              </w:rPr>
              <w:t>3.1 Introduction</w:t>
            </w:r>
            <w:r w:rsidRPr="002E220B">
              <w:rPr>
                <w:rFonts w:cs="Arial"/>
                <w:noProof/>
                <w:webHidden/>
              </w:rPr>
              <w:tab/>
            </w:r>
            <w:r w:rsidRPr="002E220B">
              <w:rPr>
                <w:rFonts w:cs="Arial"/>
                <w:noProof/>
                <w:webHidden/>
              </w:rPr>
              <w:fldChar w:fldCharType="begin"/>
            </w:r>
            <w:r w:rsidRPr="002E220B">
              <w:rPr>
                <w:rFonts w:cs="Arial"/>
                <w:noProof/>
                <w:webHidden/>
              </w:rPr>
              <w:instrText xml:space="preserve"> PAGEREF _Toc227579204 \h </w:instrText>
            </w:r>
            <w:r w:rsidRPr="002E220B">
              <w:rPr>
                <w:rFonts w:cs="Arial"/>
                <w:noProof/>
                <w:webHidden/>
              </w:rPr>
            </w:r>
            <w:r w:rsidRPr="002E220B">
              <w:rPr>
                <w:rFonts w:cs="Arial"/>
                <w:noProof/>
                <w:webHidden/>
              </w:rPr>
              <w:fldChar w:fldCharType="separate"/>
            </w:r>
            <w:r w:rsidRPr="002E220B">
              <w:rPr>
                <w:rFonts w:cs="Arial"/>
                <w:noProof/>
                <w:webHidden/>
              </w:rPr>
              <w:t>18</w:t>
            </w:r>
            <w:r w:rsidRPr="002E220B">
              <w:rPr>
                <w:rFonts w:cs="Arial"/>
                <w:noProof/>
                <w:webHidden/>
              </w:rPr>
              <w:fldChar w:fldCharType="end"/>
            </w:r>
          </w:hyperlink>
        </w:p>
        <w:p w14:paraId="572709EF" w14:textId="0422C127" w:rsidR="002E220B" w:rsidRPr="002E220B" w:rsidRDefault="002E220B">
          <w:pPr>
            <w:pStyle w:val="TOC2"/>
            <w:tabs>
              <w:tab w:val="right" w:leader="dot" w:pos="9350"/>
            </w:tabs>
            <w:rPr>
              <w:rFonts w:eastAsiaTheme="minorEastAsia" w:cs="Arial"/>
              <w:noProof/>
              <w:lang w:val="en-IN" w:eastAsia="en-IN"/>
            </w:rPr>
          </w:pPr>
          <w:hyperlink w:anchor="_Toc227579205" w:history="1">
            <w:r w:rsidRPr="002E220B">
              <w:rPr>
                <w:rStyle w:val="Hyperlink"/>
                <w:rFonts w:cs="Arial"/>
                <w:noProof/>
              </w:rPr>
              <w:t>3.2 Core Financial Problems Identification</w:t>
            </w:r>
            <w:r w:rsidRPr="002E220B">
              <w:rPr>
                <w:rFonts w:cs="Arial"/>
                <w:noProof/>
                <w:webHidden/>
              </w:rPr>
              <w:tab/>
            </w:r>
            <w:r w:rsidRPr="002E220B">
              <w:rPr>
                <w:rFonts w:cs="Arial"/>
                <w:noProof/>
                <w:webHidden/>
              </w:rPr>
              <w:fldChar w:fldCharType="begin"/>
            </w:r>
            <w:r w:rsidRPr="002E220B">
              <w:rPr>
                <w:rFonts w:cs="Arial"/>
                <w:noProof/>
                <w:webHidden/>
              </w:rPr>
              <w:instrText xml:space="preserve"> PAGEREF _Toc227579205 \h </w:instrText>
            </w:r>
            <w:r w:rsidRPr="002E220B">
              <w:rPr>
                <w:rFonts w:cs="Arial"/>
                <w:noProof/>
                <w:webHidden/>
              </w:rPr>
            </w:r>
            <w:r w:rsidRPr="002E220B">
              <w:rPr>
                <w:rFonts w:cs="Arial"/>
                <w:noProof/>
                <w:webHidden/>
              </w:rPr>
              <w:fldChar w:fldCharType="separate"/>
            </w:r>
            <w:r w:rsidRPr="002E220B">
              <w:rPr>
                <w:rFonts w:cs="Arial"/>
                <w:noProof/>
                <w:webHidden/>
              </w:rPr>
              <w:t>19</w:t>
            </w:r>
            <w:r w:rsidRPr="002E220B">
              <w:rPr>
                <w:rFonts w:cs="Arial"/>
                <w:noProof/>
                <w:webHidden/>
              </w:rPr>
              <w:fldChar w:fldCharType="end"/>
            </w:r>
          </w:hyperlink>
        </w:p>
        <w:p w14:paraId="0FB4FA28" w14:textId="18EB8C60" w:rsidR="002E220B" w:rsidRPr="002E220B" w:rsidRDefault="002E220B">
          <w:pPr>
            <w:pStyle w:val="TOC2"/>
            <w:tabs>
              <w:tab w:val="right" w:leader="dot" w:pos="9350"/>
            </w:tabs>
            <w:rPr>
              <w:rFonts w:eastAsiaTheme="minorEastAsia" w:cs="Arial"/>
              <w:noProof/>
              <w:lang w:val="en-IN" w:eastAsia="en-IN"/>
            </w:rPr>
          </w:pPr>
          <w:hyperlink w:anchor="_Toc227579206" w:history="1">
            <w:r w:rsidRPr="002E220B">
              <w:rPr>
                <w:rStyle w:val="Hyperlink"/>
                <w:rFonts w:cs="Arial"/>
                <w:noProof/>
              </w:rPr>
              <w:t>3.3 Financial Restructuring Strategies</w:t>
            </w:r>
            <w:r w:rsidRPr="002E220B">
              <w:rPr>
                <w:rFonts w:cs="Arial"/>
                <w:noProof/>
                <w:webHidden/>
              </w:rPr>
              <w:tab/>
            </w:r>
            <w:r w:rsidRPr="002E220B">
              <w:rPr>
                <w:rFonts w:cs="Arial"/>
                <w:noProof/>
                <w:webHidden/>
              </w:rPr>
              <w:fldChar w:fldCharType="begin"/>
            </w:r>
            <w:r w:rsidRPr="002E220B">
              <w:rPr>
                <w:rFonts w:cs="Arial"/>
                <w:noProof/>
                <w:webHidden/>
              </w:rPr>
              <w:instrText xml:space="preserve"> PAGEREF _Toc227579206 \h </w:instrText>
            </w:r>
            <w:r w:rsidRPr="002E220B">
              <w:rPr>
                <w:rFonts w:cs="Arial"/>
                <w:noProof/>
                <w:webHidden/>
              </w:rPr>
            </w:r>
            <w:r w:rsidRPr="002E220B">
              <w:rPr>
                <w:rFonts w:cs="Arial"/>
                <w:noProof/>
                <w:webHidden/>
              </w:rPr>
              <w:fldChar w:fldCharType="separate"/>
            </w:r>
            <w:r w:rsidRPr="002E220B">
              <w:rPr>
                <w:rFonts w:cs="Arial"/>
                <w:noProof/>
                <w:webHidden/>
              </w:rPr>
              <w:t>19</w:t>
            </w:r>
            <w:r w:rsidRPr="002E220B">
              <w:rPr>
                <w:rFonts w:cs="Arial"/>
                <w:noProof/>
                <w:webHidden/>
              </w:rPr>
              <w:fldChar w:fldCharType="end"/>
            </w:r>
          </w:hyperlink>
        </w:p>
        <w:p w14:paraId="2CED8C53" w14:textId="6459FA2D" w:rsidR="002E220B" w:rsidRPr="002E220B" w:rsidRDefault="002E220B">
          <w:pPr>
            <w:pStyle w:val="TOC3"/>
            <w:tabs>
              <w:tab w:val="right" w:leader="dot" w:pos="9350"/>
            </w:tabs>
            <w:rPr>
              <w:rFonts w:eastAsiaTheme="minorEastAsia" w:cs="Arial"/>
              <w:noProof/>
              <w:lang w:val="en-IN" w:eastAsia="en-IN"/>
            </w:rPr>
          </w:pPr>
          <w:hyperlink w:anchor="_Toc227579207" w:history="1">
            <w:r w:rsidRPr="002E220B">
              <w:rPr>
                <w:rStyle w:val="Hyperlink"/>
                <w:rFonts w:cs="Arial"/>
                <w:noProof/>
              </w:rPr>
              <w:t>3.3.1 Strategic Divestiture and Portfolio Optimisation</w:t>
            </w:r>
            <w:r w:rsidRPr="002E220B">
              <w:rPr>
                <w:rFonts w:cs="Arial"/>
                <w:noProof/>
                <w:webHidden/>
              </w:rPr>
              <w:tab/>
            </w:r>
            <w:r w:rsidRPr="002E220B">
              <w:rPr>
                <w:rFonts w:cs="Arial"/>
                <w:noProof/>
                <w:webHidden/>
              </w:rPr>
              <w:fldChar w:fldCharType="begin"/>
            </w:r>
            <w:r w:rsidRPr="002E220B">
              <w:rPr>
                <w:rFonts w:cs="Arial"/>
                <w:noProof/>
                <w:webHidden/>
              </w:rPr>
              <w:instrText xml:space="preserve"> PAGEREF _Toc227579207 \h </w:instrText>
            </w:r>
            <w:r w:rsidRPr="002E220B">
              <w:rPr>
                <w:rFonts w:cs="Arial"/>
                <w:noProof/>
                <w:webHidden/>
              </w:rPr>
            </w:r>
            <w:r w:rsidRPr="002E220B">
              <w:rPr>
                <w:rFonts w:cs="Arial"/>
                <w:noProof/>
                <w:webHidden/>
              </w:rPr>
              <w:fldChar w:fldCharType="separate"/>
            </w:r>
            <w:r w:rsidRPr="002E220B">
              <w:rPr>
                <w:rFonts w:cs="Arial"/>
                <w:noProof/>
                <w:webHidden/>
              </w:rPr>
              <w:t>19</w:t>
            </w:r>
            <w:r w:rsidRPr="002E220B">
              <w:rPr>
                <w:rFonts w:cs="Arial"/>
                <w:noProof/>
                <w:webHidden/>
              </w:rPr>
              <w:fldChar w:fldCharType="end"/>
            </w:r>
          </w:hyperlink>
        </w:p>
        <w:p w14:paraId="302D240B" w14:textId="1ACDE486" w:rsidR="002E220B" w:rsidRPr="002E220B" w:rsidRDefault="002E220B">
          <w:pPr>
            <w:pStyle w:val="TOC3"/>
            <w:tabs>
              <w:tab w:val="right" w:leader="dot" w:pos="9350"/>
            </w:tabs>
            <w:rPr>
              <w:rFonts w:eastAsiaTheme="minorEastAsia" w:cs="Arial"/>
              <w:noProof/>
              <w:lang w:val="en-IN" w:eastAsia="en-IN"/>
            </w:rPr>
          </w:pPr>
          <w:hyperlink w:anchor="_Toc227579208" w:history="1">
            <w:r w:rsidRPr="002E220B">
              <w:rPr>
                <w:rStyle w:val="Hyperlink"/>
                <w:rFonts w:cs="Arial"/>
                <w:noProof/>
              </w:rPr>
              <w:t>3.3.2 Strategy and equity injection with strategic alliances</w:t>
            </w:r>
            <w:r w:rsidRPr="002E220B">
              <w:rPr>
                <w:rFonts w:cs="Arial"/>
                <w:noProof/>
                <w:webHidden/>
              </w:rPr>
              <w:tab/>
            </w:r>
            <w:r w:rsidRPr="002E220B">
              <w:rPr>
                <w:rFonts w:cs="Arial"/>
                <w:noProof/>
                <w:webHidden/>
              </w:rPr>
              <w:fldChar w:fldCharType="begin"/>
            </w:r>
            <w:r w:rsidRPr="002E220B">
              <w:rPr>
                <w:rFonts w:cs="Arial"/>
                <w:noProof/>
                <w:webHidden/>
              </w:rPr>
              <w:instrText xml:space="preserve"> PAGEREF _Toc227579208 \h </w:instrText>
            </w:r>
            <w:r w:rsidRPr="002E220B">
              <w:rPr>
                <w:rFonts w:cs="Arial"/>
                <w:noProof/>
                <w:webHidden/>
              </w:rPr>
            </w:r>
            <w:r w:rsidRPr="002E220B">
              <w:rPr>
                <w:rFonts w:cs="Arial"/>
                <w:noProof/>
                <w:webHidden/>
              </w:rPr>
              <w:fldChar w:fldCharType="separate"/>
            </w:r>
            <w:r w:rsidRPr="002E220B">
              <w:rPr>
                <w:rFonts w:cs="Arial"/>
                <w:noProof/>
                <w:webHidden/>
              </w:rPr>
              <w:t>20</w:t>
            </w:r>
            <w:r w:rsidRPr="002E220B">
              <w:rPr>
                <w:rFonts w:cs="Arial"/>
                <w:noProof/>
                <w:webHidden/>
              </w:rPr>
              <w:fldChar w:fldCharType="end"/>
            </w:r>
          </w:hyperlink>
        </w:p>
        <w:p w14:paraId="4ECC964F" w14:textId="7C34815F" w:rsidR="002E220B" w:rsidRPr="002E220B" w:rsidRDefault="002E220B">
          <w:pPr>
            <w:pStyle w:val="TOC3"/>
            <w:tabs>
              <w:tab w:val="right" w:leader="dot" w:pos="9350"/>
            </w:tabs>
            <w:rPr>
              <w:rFonts w:eastAsiaTheme="minorEastAsia" w:cs="Arial"/>
              <w:noProof/>
              <w:lang w:val="en-IN" w:eastAsia="en-IN"/>
            </w:rPr>
          </w:pPr>
          <w:hyperlink w:anchor="_Toc227579209" w:history="1">
            <w:r w:rsidRPr="002E220B">
              <w:rPr>
                <w:rStyle w:val="Hyperlink"/>
                <w:rFonts w:cs="Arial"/>
                <w:noProof/>
              </w:rPr>
              <w:t>3.3.3 Debt Structure optimisation</w:t>
            </w:r>
            <w:r w:rsidRPr="002E220B">
              <w:rPr>
                <w:rFonts w:cs="Arial"/>
                <w:noProof/>
                <w:webHidden/>
              </w:rPr>
              <w:tab/>
            </w:r>
            <w:r w:rsidRPr="002E220B">
              <w:rPr>
                <w:rFonts w:cs="Arial"/>
                <w:noProof/>
                <w:webHidden/>
              </w:rPr>
              <w:fldChar w:fldCharType="begin"/>
            </w:r>
            <w:r w:rsidRPr="002E220B">
              <w:rPr>
                <w:rFonts w:cs="Arial"/>
                <w:noProof/>
                <w:webHidden/>
              </w:rPr>
              <w:instrText xml:space="preserve"> PAGEREF _Toc227579209 \h </w:instrText>
            </w:r>
            <w:r w:rsidRPr="002E220B">
              <w:rPr>
                <w:rFonts w:cs="Arial"/>
                <w:noProof/>
                <w:webHidden/>
              </w:rPr>
            </w:r>
            <w:r w:rsidRPr="002E220B">
              <w:rPr>
                <w:rFonts w:cs="Arial"/>
                <w:noProof/>
                <w:webHidden/>
              </w:rPr>
              <w:fldChar w:fldCharType="separate"/>
            </w:r>
            <w:r w:rsidRPr="002E220B">
              <w:rPr>
                <w:rFonts w:cs="Arial"/>
                <w:noProof/>
                <w:webHidden/>
              </w:rPr>
              <w:t>20</w:t>
            </w:r>
            <w:r w:rsidRPr="002E220B">
              <w:rPr>
                <w:rFonts w:cs="Arial"/>
                <w:noProof/>
                <w:webHidden/>
              </w:rPr>
              <w:fldChar w:fldCharType="end"/>
            </w:r>
          </w:hyperlink>
        </w:p>
        <w:p w14:paraId="19AF2626" w14:textId="080F0059" w:rsidR="002E220B" w:rsidRPr="002E220B" w:rsidRDefault="002E220B">
          <w:pPr>
            <w:pStyle w:val="TOC3"/>
            <w:tabs>
              <w:tab w:val="right" w:leader="dot" w:pos="9350"/>
            </w:tabs>
            <w:rPr>
              <w:rFonts w:eastAsiaTheme="minorEastAsia" w:cs="Arial"/>
              <w:noProof/>
              <w:lang w:val="en-IN" w:eastAsia="en-IN"/>
            </w:rPr>
          </w:pPr>
          <w:hyperlink w:anchor="_Toc227579210" w:history="1">
            <w:r w:rsidRPr="002E220B">
              <w:rPr>
                <w:rStyle w:val="Hyperlink"/>
                <w:rFonts w:cs="Arial"/>
                <w:noProof/>
              </w:rPr>
              <w:t>3.3.4 Working Capital Restructuring</w:t>
            </w:r>
            <w:r w:rsidRPr="002E220B">
              <w:rPr>
                <w:rFonts w:cs="Arial"/>
                <w:noProof/>
                <w:webHidden/>
              </w:rPr>
              <w:tab/>
            </w:r>
            <w:r w:rsidRPr="002E220B">
              <w:rPr>
                <w:rFonts w:cs="Arial"/>
                <w:noProof/>
                <w:webHidden/>
              </w:rPr>
              <w:fldChar w:fldCharType="begin"/>
            </w:r>
            <w:r w:rsidRPr="002E220B">
              <w:rPr>
                <w:rFonts w:cs="Arial"/>
                <w:noProof/>
                <w:webHidden/>
              </w:rPr>
              <w:instrText xml:space="preserve"> PAGEREF _Toc227579210 \h </w:instrText>
            </w:r>
            <w:r w:rsidRPr="002E220B">
              <w:rPr>
                <w:rFonts w:cs="Arial"/>
                <w:noProof/>
                <w:webHidden/>
              </w:rPr>
            </w:r>
            <w:r w:rsidRPr="002E220B">
              <w:rPr>
                <w:rFonts w:cs="Arial"/>
                <w:noProof/>
                <w:webHidden/>
              </w:rPr>
              <w:fldChar w:fldCharType="separate"/>
            </w:r>
            <w:r w:rsidRPr="002E220B">
              <w:rPr>
                <w:rFonts w:cs="Arial"/>
                <w:noProof/>
                <w:webHidden/>
              </w:rPr>
              <w:t>20</w:t>
            </w:r>
            <w:r w:rsidRPr="002E220B">
              <w:rPr>
                <w:rFonts w:cs="Arial"/>
                <w:noProof/>
                <w:webHidden/>
              </w:rPr>
              <w:fldChar w:fldCharType="end"/>
            </w:r>
          </w:hyperlink>
        </w:p>
        <w:p w14:paraId="6F574449" w14:textId="3A89DBAB" w:rsidR="002E220B" w:rsidRPr="002E220B" w:rsidRDefault="002E220B">
          <w:pPr>
            <w:pStyle w:val="TOC2"/>
            <w:tabs>
              <w:tab w:val="right" w:leader="dot" w:pos="9350"/>
            </w:tabs>
            <w:rPr>
              <w:rFonts w:eastAsiaTheme="minorEastAsia" w:cs="Arial"/>
              <w:noProof/>
              <w:lang w:val="en-IN" w:eastAsia="en-IN"/>
            </w:rPr>
          </w:pPr>
          <w:hyperlink w:anchor="_Toc227579211" w:history="1">
            <w:r w:rsidRPr="002E220B">
              <w:rPr>
                <w:rStyle w:val="Hyperlink"/>
                <w:rFonts w:cs="Arial"/>
                <w:noProof/>
              </w:rPr>
              <w:t>3.4. Impact on shareholder value</w:t>
            </w:r>
            <w:r w:rsidRPr="002E220B">
              <w:rPr>
                <w:rFonts w:cs="Arial"/>
                <w:noProof/>
                <w:webHidden/>
              </w:rPr>
              <w:tab/>
            </w:r>
            <w:r w:rsidRPr="002E220B">
              <w:rPr>
                <w:rFonts w:cs="Arial"/>
                <w:noProof/>
                <w:webHidden/>
              </w:rPr>
              <w:fldChar w:fldCharType="begin"/>
            </w:r>
            <w:r w:rsidRPr="002E220B">
              <w:rPr>
                <w:rFonts w:cs="Arial"/>
                <w:noProof/>
                <w:webHidden/>
              </w:rPr>
              <w:instrText xml:space="preserve"> PAGEREF _Toc227579211 \h </w:instrText>
            </w:r>
            <w:r w:rsidRPr="002E220B">
              <w:rPr>
                <w:rFonts w:cs="Arial"/>
                <w:noProof/>
                <w:webHidden/>
              </w:rPr>
            </w:r>
            <w:r w:rsidRPr="002E220B">
              <w:rPr>
                <w:rFonts w:cs="Arial"/>
                <w:noProof/>
                <w:webHidden/>
              </w:rPr>
              <w:fldChar w:fldCharType="separate"/>
            </w:r>
            <w:r w:rsidRPr="002E220B">
              <w:rPr>
                <w:rFonts w:cs="Arial"/>
                <w:noProof/>
                <w:webHidden/>
              </w:rPr>
              <w:t>21</w:t>
            </w:r>
            <w:r w:rsidRPr="002E220B">
              <w:rPr>
                <w:rFonts w:cs="Arial"/>
                <w:noProof/>
                <w:webHidden/>
              </w:rPr>
              <w:fldChar w:fldCharType="end"/>
            </w:r>
          </w:hyperlink>
        </w:p>
        <w:p w14:paraId="01E3A57A" w14:textId="516F2722" w:rsidR="002E220B" w:rsidRPr="002E220B" w:rsidRDefault="002E220B">
          <w:pPr>
            <w:pStyle w:val="TOC2"/>
            <w:tabs>
              <w:tab w:val="right" w:leader="dot" w:pos="9350"/>
            </w:tabs>
            <w:rPr>
              <w:rFonts w:eastAsiaTheme="minorEastAsia" w:cs="Arial"/>
              <w:noProof/>
              <w:lang w:val="en-IN" w:eastAsia="en-IN"/>
            </w:rPr>
          </w:pPr>
          <w:hyperlink w:anchor="_Toc227579212" w:history="1">
            <w:r w:rsidRPr="002E220B">
              <w:rPr>
                <w:rStyle w:val="Hyperlink"/>
                <w:rFonts w:cs="Arial"/>
                <w:noProof/>
              </w:rPr>
              <w:t>3.5 Effect on Debt Organisation and Financial Flexibility</w:t>
            </w:r>
            <w:r w:rsidRPr="002E220B">
              <w:rPr>
                <w:rFonts w:cs="Arial"/>
                <w:noProof/>
                <w:webHidden/>
              </w:rPr>
              <w:tab/>
            </w:r>
            <w:r w:rsidRPr="002E220B">
              <w:rPr>
                <w:rFonts w:cs="Arial"/>
                <w:noProof/>
                <w:webHidden/>
              </w:rPr>
              <w:fldChar w:fldCharType="begin"/>
            </w:r>
            <w:r w:rsidRPr="002E220B">
              <w:rPr>
                <w:rFonts w:cs="Arial"/>
                <w:noProof/>
                <w:webHidden/>
              </w:rPr>
              <w:instrText xml:space="preserve"> PAGEREF _Toc227579212 \h </w:instrText>
            </w:r>
            <w:r w:rsidRPr="002E220B">
              <w:rPr>
                <w:rFonts w:cs="Arial"/>
                <w:noProof/>
                <w:webHidden/>
              </w:rPr>
            </w:r>
            <w:r w:rsidRPr="002E220B">
              <w:rPr>
                <w:rFonts w:cs="Arial"/>
                <w:noProof/>
                <w:webHidden/>
              </w:rPr>
              <w:fldChar w:fldCharType="separate"/>
            </w:r>
            <w:r w:rsidRPr="002E220B">
              <w:rPr>
                <w:rFonts w:cs="Arial"/>
                <w:noProof/>
                <w:webHidden/>
              </w:rPr>
              <w:t>21</w:t>
            </w:r>
            <w:r w:rsidRPr="002E220B">
              <w:rPr>
                <w:rFonts w:cs="Arial"/>
                <w:noProof/>
                <w:webHidden/>
              </w:rPr>
              <w:fldChar w:fldCharType="end"/>
            </w:r>
          </w:hyperlink>
        </w:p>
        <w:p w14:paraId="154FDDAA" w14:textId="324B2159" w:rsidR="002E220B" w:rsidRPr="002E220B" w:rsidRDefault="002E220B">
          <w:pPr>
            <w:pStyle w:val="TOC2"/>
            <w:tabs>
              <w:tab w:val="right" w:leader="dot" w:pos="9350"/>
            </w:tabs>
            <w:rPr>
              <w:rFonts w:eastAsiaTheme="minorEastAsia" w:cs="Arial"/>
              <w:noProof/>
              <w:lang w:val="en-IN" w:eastAsia="en-IN"/>
            </w:rPr>
          </w:pPr>
          <w:hyperlink w:anchor="_Toc227579213" w:history="1">
            <w:r w:rsidRPr="002E220B">
              <w:rPr>
                <w:rStyle w:val="Hyperlink"/>
                <w:rFonts w:cs="Arial"/>
                <w:noProof/>
              </w:rPr>
              <w:t>3.6 International and Ethical considerations</w:t>
            </w:r>
            <w:r w:rsidRPr="002E220B">
              <w:rPr>
                <w:rFonts w:cs="Arial"/>
                <w:noProof/>
                <w:webHidden/>
              </w:rPr>
              <w:tab/>
            </w:r>
            <w:r w:rsidRPr="002E220B">
              <w:rPr>
                <w:rFonts w:cs="Arial"/>
                <w:noProof/>
                <w:webHidden/>
              </w:rPr>
              <w:fldChar w:fldCharType="begin"/>
            </w:r>
            <w:r w:rsidRPr="002E220B">
              <w:rPr>
                <w:rFonts w:cs="Arial"/>
                <w:noProof/>
                <w:webHidden/>
              </w:rPr>
              <w:instrText xml:space="preserve"> PAGEREF _Toc227579213 \h </w:instrText>
            </w:r>
            <w:r w:rsidRPr="002E220B">
              <w:rPr>
                <w:rFonts w:cs="Arial"/>
                <w:noProof/>
                <w:webHidden/>
              </w:rPr>
            </w:r>
            <w:r w:rsidRPr="002E220B">
              <w:rPr>
                <w:rFonts w:cs="Arial"/>
                <w:noProof/>
                <w:webHidden/>
              </w:rPr>
              <w:fldChar w:fldCharType="separate"/>
            </w:r>
            <w:r w:rsidRPr="002E220B">
              <w:rPr>
                <w:rFonts w:cs="Arial"/>
                <w:noProof/>
                <w:webHidden/>
              </w:rPr>
              <w:t>21</w:t>
            </w:r>
            <w:r w:rsidRPr="002E220B">
              <w:rPr>
                <w:rFonts w:cs="Arial"/>
                <w:noProof/>
                <w:webHidden/>
              </w:rPr>
              <w:fldChar w:fldCharType="end"/>
            </w:r>
          </w:hyperlink>
        </w:p>
        <w:p w14:paraId="33F779E9" w14:textId="66480E3D" w:rsidR="002E220B" w:rsidRPr="002E220B" w:rsidRDefault="002E220B">
          <w:pPr>
            <w:pStyle w:val="TOC2"/>
            <w:tabs>
              <w:tab w:val="right" w:leader="dot" w:pos="9350"/>
            </w:tabs>
            <w:rPr>
              <w:rFonts w:eastAsiaTheme="minorEastAsia" w:cs="Arial"/>
              <w:noProof/>
              <w:lang w:val="en-IN" w:eastAsia="en-IN"/>
            </w:rPr>
          </w:pPr>
          <w:hyperlink w:anchor="_Toc227579214" w:history="1">
            <w:r w:rsidRPr="002E220B">
              <w:rPr>
                <w:rStyle w:val="Hyperlink"/>
                <w:rFonts w:cs="Arial"/>
                <w:noProof/>
              </w:rPr>
              <w:t>3.7 Conclusion</w:t>
            </w:r>
            <w:r w:rsidRPr="002E220B">
              <w:rPr>
                <w:rFonts w:cs="Arial"/>
                <w:noProof/>
                <w:webHidden/>
              </w:rPr>
              <w:tab/>
            </w:r>
            <w:r w:rsidRPr="002E220B">
              <w:rPr>
                <w:rFonts w:cs="Arial"/>
                <w:noProof/>
                <w:webHidden/>
              </w:rPr>
              <w:fldChar w:fldCharType="begin"/>
            </w:r>
            <w:r w:rsidRPr="002E220B">
              <w:rPr>
                <w:rFonts w:cs="Arial"/>
                <w:noProof/>
                <w:webHidden/>
              </w:rPr>
              <w:instrText xml:space="preserve"> PAGEREF _Toc227579214 \h </w:instrText>
            </w:r>
            <w:r w:rsidRPr="002E220B">
              <w:rPr>
                <w:rFonts w:cs="Arial"/>
                <w:noProof/>
                <w:webHidden/>
              </w:rPr>
            </w:r>
            <w:r w:rsidRPr="002E220B">
              <w:rPr>
                <w:rFonts w:cs="Arial"/>
                <w:noProof/>
                <w:webHidden/>
              </w:rPr>
              <w:fldChar w:fldCharType="separate"/>
            </w:r>
            <w:r w:rsidRPr="002E220B">
              <w:rPr>
                <w:rFonts w:cs="Arial"/>
                <w:noProof/>
                <w:webHidden/>
              </w:rPr>
              <w:t>22</w:t>
            </w:r>
            <w:r w:rsidRPr="002E220B">
              <w:rPr>
                <w:rFonts w:cs="Arial"/>
                <w:noProof/>
                <w:webHidden/>
              </w:rPr>
              <w:fldChar w:fldCharType="end"/>
            </w:r>
          </w:hyperlink>
        </w:p>
        <w:p w14:paraId="380C9E23" w14:textId="29BDE921" w:rsidR="002E220B" w:rsidRPr="002E220B" w:rsidRDefault="002E220B">
          <w:pPr>
            <w:pStyle w:val="TOC1"/>
            <w:tabs>
              <w:tab w:val="right" w:leader="dot" w:pos="9350"/>
            </w:tabs>
            <w:rPr>
              <w:rFonts w:eastAsiaTheme="minorEastAsia" w:cs="Arial"/>
              <w:noProof/>
              <w:lang w:val="en-IN" w:eastAsia="en-IN"/>
            </w:rPr>
          </w:pPr>
          <w:hyperlink w:anchor="_Toc227579215" w:history="1">
            <w:r w:rsidRPr="002E220B">
              <w:rPr>
                <w:rStyle w:val="Hyperlink"/>
                <w:rFonts w:cs="Arial"/>
                <w:noProof/>
              </w:rPr>
              <w:t>4. Investment Appraisal and Capital Budgeting</w:t>
            </w:r>
            <w:r w:rsidRPr="002E220B">
              <w:rPr>
                <w:rFonts w:cs="Arial"/>
                <w:noProof/>
                <w:webHidden/>
              </w:rPr>
              <w:tab/>
            </w:r>
            <w:r w:rsidRPr="002E220B">
              <w:rPr>
                <w:rFonts w:cs="Arial"/>
                <w:noProof/>
                <w:webHidden/>
              </w:rPr>
              <w:fldChar w:fldCharType="begin"/>
            </w:r>
            <w:r w:rsidRPr="002E220B">
              <w:rPr>
                <w:rFonts w:cs="Arial"/>
                <w:noProof/>
                <w:webHidden/>
              </w:rPr>
              <w:instrText xml:space="preserve"> PAGEREF _Toc227579215 \h </w:instrText>
            </w:r>
            <w:r w:rsidRPr="002E220B">
              <w:rPr>
                <w:rFonts w:cs="Arial"/>
                <w:noProof/>
                <w:webHidden/>
              </w:rPr>
            </w:r>
            <w:r w:rsidRPr="002E220B">
              <w:rPr>
                <w:rFonts w:cs="Arial"/>
                <w:noProof/>
                <w:webHidden/>
              </w:rPr>
              <w:fldChar w:fldCharType="separate"/>
            </w:r>
            <w:r w:rsidRPr="002E220B">
              <w:rPr>
                <w:rFonts w:cs="Arial"/>
                <w:noProof/>
                <w:webHidden/>
              </w:rPr>
              <w:t>22</w:t>
            </w:r>
            <w:r w:rsidRPr="002E220B">
              <w:rPr>
                <w:rFonts w:cs="Arial"/>
                <w:noProof/>
                <w:webHidden/>
              </w:rPr>
              <w:fldChar w:fldCharType="end"/>
            </w:r>
          </w:hyperlink>
        </w:p>
        <w:p w14:paraId="571B6AEC" w14:textId="646DE323" w:rsidR="002E220B" w:rsidRPr="002E220B" w:rsidRDefault="002E220B">
          <w:pPr>
            <w:pStyle w:val="TOC2"/>
            <w:tabs>
              <w:tab w:val="right" w:leader="dot" w:pos="9350"/>
            </w:tabs>
            <w:rPr>
              <w:rFonts w:eastAsiaTheme="minorEastAsia" w:cs="Arial"/>
              <w:noProof/>
              <w:lang w:val="en-IN" w:eastAsia="en-IN"/>
            </w:rPr>
          </w:pPr>
          <w:hyperlink w:anchor="_Toc227579216" w:history="1">
            <w:r w:rsidRPr="002E220B">
              <w:rPr>
                <w:rStyle w:val="Hyperlink"/>
                <w:rFonts w:cs="Arial"/>
                <w:noProof/>
              </w:rPr>
              <w:t>4.1 Introduction</w:t>
            </w:r>
            <w:r w:rsidRPr="002E220B">
              <w:rPr>
                <w:rFonts w:cs="Arial"/>
                <w:noProof/>
                <w:webHidden/>
              </w:rPr>
              <w:tab/>
            </w:r>
            <w:r w:rsidRPr="002E220B">
              <w:rPr>
                <w:rFonts w:cs="Arial"/>
                <w:noProof/>
                <w:webHidden/>
              </w:rPr>
              <w:fldChar w:fldCharType="begin"/>
            </w:r>
            <w:r w:rsidRPr="002E220B">
              <w:rPr>
                <w:rFonts w:cs="Arial"/>
                <w:noProof/>
                <w:webHidden/>
              </w:rPr>
              <w:instrText xml:space="preserve"> PAGEREF _Toc227579216 \h </w:instrText>
            </w:r>
            <w:r w:rsidRPr="002E220B">
              <w:rPr>
                <w:rFonts w:cs="Arial"/>
                <w:noProof/>
                <w:webHidden/>
              </w:rPr>
            </w:r>
            <w:r w:rsidRPr="002E220B">
              <w:rPr>
                <w:rFonts w:cs="Arial"/>
                <w:noProof/>
                <w:webHidden/>
              </w:rPr>
              <w:fldChar w:fldCharType="separate"/>
            </w:r>
            <w:r w:rsidRPr="002E220B">
              <w:rPr>
                <w:rFonts w:cs="Arial"/>
                <w:noProof/>
                <w:webHidden/>
              </w:rPr>
              <w:t>22</w:t>
            </w:r>
            <w:r w:rsidRPr="002E220B">
              <w:rPr>
                <w:rFonts w:cs="Arial"/>
                <w:noProof/>
                <w:webHidden/>
              </w:rPr>
              <w:fldChar w:fldCharType="end"/>
            </w:r>
          </w:hyperlink>
        </w:p>
        <w:p w14:paraId="51E1C124" w14:textId="7BBAE2DF" w:rsidR="002E220B" w:rsidRPr="002E220B" w:rsidRDefault="002E220B">
          <w:pPr>
            <w:pStyle w:val="TOC2"/>
            <w:tabs>
              <w:tab w:val="right" w:leader="dot" w:pos="9350"/>
            </w:tabs>
            <w:rPr>
              <w:rFonts w:eastAsiaTheme="minorEastAsia" w:cs="Arial"/>
              <w:noProof/>
              <w:lang w:val="en-IN" w:eastAsia="en-IN"/>
            </w:rPr>
          </w:pPr>
          <w:hyperlink w:anchor="_Toc227579217" w:history="1">
            <w:r w:rsidRPr="002E220B">
              <w:rPr>
                <w:rStyle w:val="Hyperlink"/>
                <w:rFonts w:cs="Arial"/>
                <w:noProof/>
              </w:rPr>
              <w:t>4.2 Summary of results</w:t>
            </w:r>
            <w:r w:rsidRPr="002E220B">
              <w:rPr>
                <w:rFonts w:cs="Arial"/>
                <w:noProof/>
                <w:webHidden/>
              </w:rPr>
              <w:tab/>
            </w:r>
            <w:r w:rsidRPr="002E220B">
              <w:rPr>
                <w:rFonts w:cs="Arial"/>
                <w:noProof/>
                <w:webHidden/>
              </w:rPr>
              <w:fldChar w:fldCharType="begin"/>
            </w:r>
            <w:r w:rsidRPr="002E220B">
              <w:rPr>
                <w:rFonts w:cs="Arial"/>
                <w:noProof/>
                <w:webHidden/>
              </w:rPr>
              <w:instrText xml:space="preserve"> PAGEREF _Toc227579217 \h </w:instrText>
            </w:r>
            <w:r w:rsidRPr="002E220B">
              <w:rPr>
                <w:rFonts w:cs="Arial"/>
                <w:noProof/>
                <w:webHidden/>
              </w:rPr>
            </w:r>
            <w:r w:rsidRPr="002E220B">
              <w:rPr>
                <w:rFonts w:cs="Arial"/>
                <w:noProof/>
                <w:webHidden/>
              </w:rPr>
              <w:fldChar w:fldCharType="separate"/>
            </w:r>
            <w:r w:rsidRPr="002E220B">
              <w:rPr>
                <w:rFonts w:cs="Arial"/>
                <w:noProof/>
                <w:webHidden/>
              </w:rPr>
              <w:t>23</w:t>
            </w:r>
            <w:r w:rsidRPr="002E220B">
              <w:rPr>
                <w:rFonts w:cs="Arial"/>
                <w:noProof/>
                <w:webHidden/>
              </w:rPr>
              <w:fldChar w:fldCharType="end"/>
            </w:r>
          </w:hyperlink>
        </w:p>
        <w:p w14:paraId="5CBB6103" w14:textId="19303A56" w:rsidR="002E220B" w:rsidRPr="002E220B" w:rsidRDefault="002E220B">
          <w:pPr>
            <w:pStyle w:val="TOC2"/>
            <w:tabs>
              <w:tab w:val="right" w:leader="dot" w:pos="9350"/>
            </w:tabs>
            <w:rPr>
              <w:rFonts w:eastAsiaTheme="minorEastAsia" w:cs="Arial"/>
              <w:noProof/>
              <w:lang w:val="en-IN" w:eastAsia="en-IN"/>
            </w:rPr>
          </w:pPr>
          <w:hyperlink w:anchor="_Toc227579218" w:history="1">
            <w:r w:rsidRPr="002E220B">
              <w:rPr>
                <w:rStyle w:val="Hyperlink"/>
                <w:rFonts w:cs="Arial"/>
                <w:noProof/>
              </w:rPr>
              <w:t>4.3 Payback Period (PBP)</w:t>
            </w:r>
            <w:r w:rsidRPr="002E220B">
              <w:rPr>
                <w:rFonts w:cs="Arial"/>
                <w:noProof/>
                <w:webHidden/>
              </w:rPr>
              <w:tab/>
            </w:r>
            <w:r w:rsidRPr="002E220B">
              <w:rPr>
                <w:rFonts w:cs="Arial"/>
                <w:noProof/>
                <w:webHidden/>
              </w:rPr>
              <w:fldChar w:fldCharType="begin"/>
            </w:r>
            <w:r w:rsidRPr="002E220B">
              <w:rPr>
                <w:rFonts w:cs="Arial"/>
                <w:noProof/>
                <w:webHidden/>
              </w:rPr>
              <w:instrText xml:space="preserve"> PAGEREF _Toc227579218 \h </w:instrText>
            </w:r>
            <w:r w:rsidRPr="002E220B">
              <w:rPr>
                <w:rFonts w:cs="Arial"/>
                <w:noProof/>
                <w:webHidden/>
              </w:rPr>
            </w:r>
            <w:r w:rsidRPr="002E220B">
              <w:rPr>
                <w:rFonts w:cs="Arial"/>
                <w:noProof/>
                <w:webHidden/>
              </w:rPr>
              <w:fldChar w:fldCharType="separate"/>
            </w:r>
            <w:r w:rsidRPr="002E220B">
              <w:rPr>
                <w:rFonts w:cs="Arial"/>
                <w:noProof/>
                <w:webHidden/>
              </w:rPr>
              <w:t>23</w:t>
            </w:r>
            <w:r w:rsidRPr="002E220B">
              <w:rPr>
                <w:rFonts w:cs="Arial"/>
                <w:noProof/>
                <w:webHidden/>
              </w:rPr>
              <w:fldChar w:fldCharType="end"/>
            </w:r>
          </w:hyperlink>
        </w:p>
        <w:p w14:paraId="1B858F40" w14:textId="69EE2F6A" w:rsidR="002E220B" w:rsidRPr="002E220B" w:rsidRDefault="002E220B">
          <w:pPr>
            <w:pStyle w:val="TOC2"/>
            <w:tabs>
              <w:tab w:val="right" w:leader="dot" w:pos="9350"/>
            </w:tabs>
            <w:rPr>
              <w:rFonts w:eastAsiaTheme="minorEastAsia" w:cs="Arial"/>
              <w:noProof/>
              <w:lang w:val="en-IN" w:eastAsia="en-IN"/>
            </w:rPr>
          </w:pPr>
          <w:hyperlink w:anchor="_Toc227579219" w:history="1">
            <w:r w:rsidRPr="002E220B">
              <w:rPr>
                <w:rStyle w:val="Hyperlink"/>
                <w:rFonts w:cs="Arial"/>
                <w:noProof/>
              </w:rPr>
              <w:t>4.4 Accounting rate of Return (ARR)</w:t>
            </w:r>
            <w:r w:rsidRPr="002E220B">
              <w:rPr>
                <w:rFonts w:cs="Arial"/>
                <w:noProof/>
                <w:webHidden/>
              </w:rPr>
              <w:tab/>
            </w:r>
            <w:r w:rsidRPr="002E220B">
              <w:rPr>
                <w:rFonts w:cs="Arial"/>
                <w:noProof/>
                <w:webHidden/>
              </w:rPr>
              <w:fldChar w:fldCharType="begin"/>
            </w:r>
            <w:r w:rsidRPr="002E220B">
              <w:rPr>
                <w:rFonts w:cs="Arial"/>
                <w:noProof/>
                <w:webHidden/>
              </w:rPr>
              <w:instrText xml:space="preserve"> PAGEREF _Toc227579219 \h </w:instrText>
            </w:r>
            <w:r w:rsidRPr="002E220B">
              <w:rPr>
                <w:rFonts w:cs="Arial"/>
                <w:noProof/>
                <w:webHidden/>
              </w:rPr>
            </w:r>
            <w:r w:rsidRPr="002E220B">
              <w:rPr>
                <w:rFonts w:cs="Arial"/>
                <w:noProof/>
                <w:webHidden/>
              </w:rPr>
              <w:fldChar w:fldCharType="separate"/>
            </w:r>
            <w:r w:rsidRPr="002E220B">
              <w:rPr>
                <w:rFonts w:cs="Arial"/>
                <w:noProof/>
                <w:webHidden/>
              </w:rPr>
              <w:t>23</w:t>
            </w:r>
            <w:r w:rsidRPr="002E220B">
              <w:rPr>
                <w:rFonts w:cs="Arial"/>
                <w:noProof/>
                <w:webHidden/>
              </w:rPr>
              <w:fldChar w:fldCharType="end"/>
            </w:r>
          </w:hyperlink>
        </w:p>
        <w:p w14:paraId="6DD557F3" w14:textId="52DCC4D1" w:rsidR="002E220B" w:rsidRPr="002E220B" w:rsidRDefault="002E220B">
          <w:pPr>
            <w:pStyle w:val="TOC2"/>
            <w:tabs>
              <w:tab w:val="right" w:leader="dot" w:pos="9350"/>
            </w:tabs>
            <w:rPr>
              <w:rFonts w:eastAsiaTheme="minorEastAsia" w:cs="Arial"/>
              <w:noProof/>
              <w:lang w:val="en-IN" w:eastAsia="en-IN"/>
            </w:rPr>
          </w:pPr>
          <w:hyperlink w:anchor="_Toc227579220" w:history="1">
            <w:r w:rsidRPr="002E220B">
              <w:rPr>
                <w:rStyle w:val="Hyperlink"/>
                <w:rFonts w:cs="Arial"/>
                <w:noProof/>
              </w:rPr>
              <w:t>4.5 Net Present value (NPV)</w:t>
            </w:r>
            <w:r w:rsidRPr="002E220B">
              <w:rPr>
                <w:rFonts w:cs="Arial"/>
                <w:noProof/>
                <w:webHidden/>
              </w:rPr>
              <w:tab/>
            </w:r>
            <w:r w:rsidRPr="002E220B">
              <w:rPr>
                <w:rFonts w:cs="Arial"/>
                <w:noProof/>
                <w:webHidden/>
              </w:rPr>
              <w:fldChar w:fldCharType="begin"/>
            </w:r>
            <w:r w:rsidRPr="002E220B">
              <w:rPr>
                <w:rFonts w:cs="Arial"/>
                <w:noProof/>
                <w:webHidden/>
              </w:rPr>
              <w:instrText xml:space="preserve"> PAGEREF _Toc227579220 \h </w:instrText>
            </w:r>
            <w:r w:rsidRPr="002E220B">
              <w:rPr>
                <w:rFonts w:cs="Arial"/>
                <w:noProof/>
                <w:webHidden/>
              </w:rPr>
            </w:r>
            <w:r w:rsidRPr="002E220B">
              <w:rPr>
                <w:rFonts w:cs="Arial"/>
                <w:noProof/>
                <w:webHidden/>
              </w:rPr>
              <w:fldChar w:fldCharType="separate"/>
            </w:r>
            <w:r w:rsidRPr="002E220B">
              <w:rPr>
                <w:rFonts w:cs="Arial"/>
                <w:noProof/>
                <w:webHidden/>
              </w:rPr>
              <w:t>24</w:t>
            </w:r>
            <w:r w:rsidRPr="002E220B">
              <w:rPr>
                <w:rFonts w:cs="Arial"/>
                <w:noProof/>
                <w:webHidden/>
              </w:rPr>
              <w:fldChar w:fldCharType="end"/>
            </w:r>
          </w:hyperlink>
        </w:p>
        <w:p w14:paraId="2C9BECFB" w14:textId="5084F52B" w:rsidR="002E220B" w:rsidRPr="002E220B" w:rsidRDefault="002E220B">
          <w:pPr>
            <w:pStyle w:val="TOC2"/>
            <w:tabs>
              <w:tab w:val="right" w:leader="dot" w:pos="9350"/>
            </w:tabs>
            <w:rPr>
              <w:rFonts w:eastAsiaTheme="minorEastAsia" w:cs="Arial"/>
              <w:noProof/>
              <w:lang w:val="en-IN" w:eastAsia="en-IN"/>
            </w:rPr>
          </w:pPr>
          <w:hyperlink w:anchor="_Toc227579221" w:history="1">
            <w:r w:rsidRPr="002E220B">
              <w:rPr>
                <w:rStyle w:val="Hyperlink"/>
                <w:rFonts w:cs="Arial"/>
                <w:noProof/>
              </w:rPr>
              <w:t>4.6 Profitability Index (PI)</w:t>
            </w:r>
            <w:r w:rsidRPr="002E220B">
              <w:rPr>
                <w:rFonts w:cs="Arial"/>
                <w:noProof/>
                <w:webHidden/>
              </w:rPr>
              <w:tab/>
            </w:r>
            <w:r w:rsidRPr="002E220B">
              <w:rPr>
                <w:rFonts w:cs="Arial"/>
                <w:noProof/>
                <w:webHidden/>
              </w:rPr>
              <w:fldChar w:fldCharType="begin"/>
            </w:r>
            <w:r w:rsidRPr="002E220B">
              <w:rPr>
                <w:rFonts w:cs="Arial"/>
                <w:noProof/>
                <w:webHidden/>
              </w:rPr>
              <w:instrText xml:space="preserve"> PAGEREF _Toc227579221 \h </w:instrText>
            </w:r>
            <w:r w:rsidRPr="002E220B">
              <w:rPr>
                <w:rFonts w:cs="Arial"/>
                <w:noProof/>
                <w:webHidden/>
              </w:rPr>
            </w:r>
            <w:r w:rsidRPr="002E220B">
              <w:rPr>
                <w:rFonts w:cs="Arial"/>
                <w:noProof/>
                <w:webHidden/>
              </w:rPr>
              <w:fldChar w:fldCharType="separate"/>
            </w:r>
            <w:r w:rsidRPr="002E220B">
              <w:rPr>
                <w:rFonts w:cs="Arial"/>
                <w:noProof/>
                <w:webHidden/>
              </w:rPr>
              <w:t>24</w:t>
            </w:r>
            <w:r w:rsidRPr="002E220B">
              <w:rPr>
                <w:rFonts w:cs="Arial"/>
                <w:noProof/>
                <w:webHidden/>
              </w:rPr>
              <w:fldChar w:fldCharType="end"/>
            </w:r>
          </w:hyperlink>
        </w:p>
        <w:p w14:paraId="74DF1BA4" w14:textId="7AE41866" w:rsidR="002E220B" w:rsidRPr="002E220B" w:rsidRDefault="002E220B">
          <w:pPr>
            <w:pStyle w:val="TOC2"/>
            <w:tabs>
              <w:tab w:val="right" w:leader="dot" w:pos="9350"/>
            </w:tabs>
            <w:rPr>
              <w:rFonts w:eastAsiaTheme="minorEastAsia" w:cs="Arial"/>
              <w:noProof/>
              <w:lang w:val="en-IN" w:eastAsia="en-IN"/>
            </w:rPr>
          </w:pPr>
          <w:hyperlink w:anchor="_Toc227579222" w:history="1">
            <w:r w:rsidRPr="002E220B">
              <w:rPr>
                <w:rStyle w:val="Hyperlink"/>
                <w:rFonts w:cs="Arial"/>
                <w:noProof/>
              </w:rPr>
              <w:t>4.7 Internal rate of Return (IRR)</w:t>
            </w:r>
            <w:r w:rsidRPr="002E220B">
              <w:rPr>
                <w:rFonts w:cs="Arial"/>
                <w:noProof/>
                <w:webHidden/>
              </w:rPr>
              <w:tab/>
            </w:r>
            <w:r w:rsidRPr="002E220B">
              <w:rPr>
                <w:rFonts w:cs="Arial"/>
                <w:noProof/>
                <w:webHidden/>
              </w:rPr>
              <w:fldChar w:fldCharType="begin"/>
            </w:r>
            <w:r w:rsidRPr="002E220B">
              <w:rPr>
                <w:rFonts w:cs="Arial"/>
                <w:noProof/>
                <w:webHidden/>
              </w:rPr>
              <w:instrText xml:space="preserve"> PAGEREF _Toc227579222 \h </w:instrText>
            </w:r>
            <w:r w:rsidRPr="002E220B">
              <w:rPr>
                <w:rFonts w:cs="Arial"/>
                <w:noProof/>
                <w:webHidden/>
              </w:rPr>
            </w:r>
            <w:r w:rsidRPr="002E220B">
              <w:rPr>
                <w:rFonts w:cs="Arial"/>
                <w:noProof/>
                <w:webHidden/>
              </w:rPr>
              <w:fldChar w:fldCharType="separate"/>
            </w:r>
            <w:r w:rsidRPr="002E220B">
              <w:rPr>
                <w:rFonts w:cs="Arial"/>
                <w:noProof/>
                <w:webHidden/>
              </w:rPr>
              <w:t>24</w:t>
            </w:r>
            <w:r w:rsidRPr="002E220B">
              <w:rPr>
                <w:rFonts w:cs="Arial"/>
                <w:noProof/>
                <w:webHidden/>
              </w:rPr>
              <w:fldChar w:fldCharType="end"/>
            </w:r>
          </w:hyperlink>
        </w:p>
        <w:p w14:paraId="2E346734" w14:textId="6F6CF077" w:rsidR="002E220B" w:rsidRPr="002E220B" w:rsidRDefault="002E220B">
          <w:pPr>
            <w:pStyle w:val="TOC2"/>
            <w:tabs>
              <w:tab w:val="right" w:leader="dot" w:pos="9350"/>
            </w:tabs>
            <w:rPr>
              <w:rFonts w:eastAsiaTheme="minorEastAsia" w:cs="Arial"/>
              <w:noProof/>
              <w:lang w:val="en-IN" w:eastAsia="en-IN"/>
            </w:rPr>
          </w:pPr>
          <w:hyperlink w:anchor="_Toc227579223" w:history="1">
            <w:r w:rsidRPr="002E220B">
              <w:rPr>
                <w:rStyle w:val="Hyperlink"/>
                <w:rFonts w:cs="Arial"/>
                <w:noProof/>
              </w:rPr>
              <w:t>4.8 Overall Project Evaluation</w:t>
            </w:r>
            <w:r w:rsidRPr="002E220B">
              <w:rPr>
                <w:rFonts w:cs="Arial"/>
                <w:noProof/>
                <w:webHidden/>
              </w:rPr>
              <w:tab/>
            </w:r>
            <w:r w:rsidRPr="002E220B">
              <w:rPr>
                <w:rFonts w:cs="Arial"/>
                <w:noProof/>
                <w:webHidden/>
              </w:rPr>
              <w:fldChar w:fldCharType="begin"/>
            </w:r>
            <w:r w:rsidRPr="002E220B">
              <w:rPr>
                <w:rFonts w:cs="Arial"/>
                <w:noProof/>
                <w:webHidden/>
              </w:rPr>
              <w:instrText xml:space="preserve"> PAGEREF _Toc227579223 \h </w:instrText>
            </w:r>
            <w:r w:rsidRPr="002E220B">
              <w:rPr>
                <w:rFonts w:cs="Arial"/>
                <w:noProof/>
                <w:webHidden/>
              </w:rPr>
            </w:r>
            <w:r w:rsidRPr="002E220B">
              <w:rPr>
                <w:rFonts w:cs="Arial"/>
                <w:noProof/>
                <w:webHidden/>
              </w:rPr>
              <w:fldChar w:fldCharType="separate"/>
            </w:r>
            <w:r w:rsidRPr="002E220B">
              <w:rPr>
                <w:rFonts w:cs="Arial"/>
                <w:noProof/>
                <w:webHidden/>
              </w:rPr>
              <w:t>25</w:t>
            </w:r>
            <w:r w:rsidRPr="002E220B">
              <w:rPr>
                <w:rFonts w:cs="Arial"/>
                <w:noProof/>
                <w:webHidden/>
              </w:rPr>
              <w:fldChar w:fldCharType="end"/>
            </w:r>
          </w:hyperlink>
        </w:p>
        <w:p w14:paraId="2B67FCD9" w14:textId="01F22D26" w:rsidR="002E220B" w:rsidRPr="002E220B" w:rsidRDefault="002E220B">
          <w:pPr>
            <w:pStyle w:val="TOC2"/>
            <w:tabs>
              <w:tab w:val="right" w:leader="dot" w:pos="9350"/>
            </w:tabs>
            <w:rPr>
              <w:rFonts w:eastAsiaTheme="minorEastAsia" w:cs="Arial"/>
              <w:noProof/>
              <w:lang w:val="en-IN" w:eastAsia="en-IN"/>
            </w:rPr>
          </w:pPr>
          <w:hyperlink w:anchor="_Toc227579224" w:history="1">
            <w:r w:rsidRPr="002E220B">
              <w:rPr>
                <w:rStyle w:val="Hyperlink"/>
                <w:rFonts w:cs="Arial"/>
                <w:noProof/>
              </w:rPr>
              <w:t>4.9 Strategic Justification Hyundai Context</w:t>
            </w:r>
            <w:r w:rsidRPr="002E220B">
              <w:rPr>
                <w:rFonts w:cs="Arial"/>
                <w:noProof/>
                <w:webHidden/>
              </w:rPr>
              <w:tab/>
            </w:r>
            <w:r w:rsidRPr="002E220B">
              <w:rPr>
                <w:rFonts w:cs="Arial"/>
                <w:noProof/>
                <w:webHidden/>
              </w:rPr>
              <w:fldChar w:fldCharType="begin"/>
            </w:r>
            <w:r w:rsidRPr="002E220B">
              <w:rPr>
                <w:rFonts w:cs="Arial"/>
                <w:noProof/>
                <w:webHidden/>
              </w:rPr>
              <w:instrText xml:space="preserve"> PAGEREF _Toc227579224 \h </w:instrText>
            </w:r>
            <w:r w:rsidRPr="002E220B">
              <w:rPr>
                <w:rFonts w:cs="Arial"/>
                <w:noProof/>
                <w:webHidden/>
              </w:rPr>
            </w:r>
            <w:r w:rsidRPr="002E220B">
              <w:rPr>
                <w:rFonts w:cs="Arial"/>
                <w:noProof/>
                <w:webHidden/>
              </w:rPr>
              <w:fldChar w:fldCharType="separate"/>
            </w:r>
            <w:r w:rsidRPr="002E220B">
              <w:rPr>
                <w:rFonts w:cs="Arial"/>
                <w:noProof/>
                <w:webHidden/>
              </w:rPr>
              <w:t>25</w:t>
            </w:r>
            <w:r w:rsidRPr="002E220B">
              <w:rPr>
                <w:rFonts w:cs="Arial"/>
                <w:noProof/>
                <w:webHidden/>
              </w:rPr>
              <w:fldChar w:fldCharType="end"/>
            </w:r>
          </w:hyperlink>
        </w:p>
        <w:p w14:paraId="4F5BEB32" w14:textId="0FBB5200" w:rsidR="002E220B" w:rsidRPr="002E220B" w:rsidRDefault="002E220B">
          <w:pPr>
            <w:pStyle w:val="TOC2"/>
            <w:tabs>
              <w:tab w:val="right" w:leader="dot" w:pos="9350"/>
            </w:tabs>
            <w:rPr>
              <w:rFonts w:eastAsiaTheme="minorEastAsia" w:cs="Arial"/>
              <w:noProof/>
              <w:lang w:val="en-IN" w:eastAsia="en-IN"/>
            </w:rPr>
          </w:pPr>
          <w:hyperlink w:anchor="_Toc227579225" w:history="1">
            <w:r w:rsidRPr="002E220B">
              <w:rPr>
                <w:rStyle w:val="Hyperlink"/>
                <w:rFonts w:cs="Arial"/>
                <w:noProof/>
              </w:rPr>
              <w:t>4.10 Non-Financial Considerations</w:t>
            </w:r>
            <w:r w:rsidRPr="002E220B">
              <w:rPr>
                <w:rFonts w:cs="Arial"/>
                <w:noProof/>
                <w:webHidden/>
              </w:rPr>
              <w:tab/>
            </w:r>
            <w:r w:rsidRPr="002E220B">
              <w:rPr>
                <w:rFonts w:cs="Arial"/>
                <w:noProof/>
                <w:webHidden/>
              </w:rPr>
              <w:fldChar w:fldCharType="begin"/>
            </w:r>
            <w:r w:rsidRPr="002E220B">
              <w:rPr>
                <w:rFonts w:cs="Arial"/>
                <w:noProof/>
                <w:webHidden/>
              </w:rPr>
              <w:instrText xml:space="preserve"> PAGEREF _Toc227579225 \h </w:instrText>
            </w:r>
            <w:r w:rsidRPr="002E220B">
              <w:rPr>
                <w:rFonts w:cs="Arial"/>
                <w:noProof/>
                <w:webHidden/>
              </w:rPr>
            </w:r>
            <w:r w:rsidRPr="002E220B">
              <w:rPr>
                <w:rFonts w:cs="Arial"/>
                <w:noProof/>
                <w:webHidden/>
              </w:rPr>
              <w:fldChar w:fldCharType="separate"/>
            </w:r>
            <w:r w:rsidRPr="002E220B">
              <w:rPr>
                <w:rFonts w:cs="Arial"/>
                <w:noProof/>
                <w:webHidden/>
              </w:rPr>
              <w:t>26</w:t>
            </w:r>
            <w:r w:rsidRPr="002E220B">
              <w:rPr>
                <w:rFonts w:cs="Arial"/>
                <w:noProof/>
                <w:webHidden/>
              </w:rPr>
              <w:fldChar w:fldCharType="end"/>
            </w:r>
          </w:hyperlink>
        </w:p>
        <w:p w14:paraId="145AB941" w14:textId="250281F6" w:rsidR="002E220B" w:rsidRPr="002E220B" w:rsidRDefault="002E220B">
          <w:pPr>
            <w:pStyle w:val="TOC2"/>
            <w:tabs>
              <w:tab w:val="right" w:leader="dot" w:pos="9350"/>
            </w:tabs>
            <w:rPr>
              <w:rFonts w:eastAsiaTheme="minorEastAsia" w:cs="Arial"/>
              <w:noProof/>
              <w:lang w:val="en-IN" w:eastAsia="en-IN"/>
            </w:rPr>
          </w:pPr>
          <w:hyperlink w:anchor="_Toc227579226" w:history="1">
            <w:r w:rsidRPr="002E220B">
              <w:rPr>
                <w:rStyle w:val="Hyperlink"/>
                <w:rFonts w:cs="Arial"/>
                <w:noProof/>
              </w:rPr>
              <w:t>4.11 Capital Rationing Decision</w:t>
            </w:r>
            <w:r w:rsidRPr="002E220B">
              <w:rPr>
                <w:rFonts w:cs="Arial"/>
                <w:noProof/>
                <w:webHidden/>
              </w:rPr>
              <w:tab/>
            </w:r>
            <w:r w:rsidRPr="002E220B">
              <w:rPr>
                <w:rFonts w:cs="Arial"/>
                <w:noProof/>
                <w:webHidden/>
              </w:rPr>
              <w:fldChar w:fldCharType="begin"/>
            </w:r>
            <w:r w:rsidRPr="002E220B">
              <w:rPr>
                <w:rFonts w:cs="Arial"/>
                <w:noProof/>
                <w:webHidden/>
              </w:rPr>
              <w:instrText xml:space="preserve"> PAGEREF _Toc227579226 \h </w:instrText>
            </w:r>
            <w:r w:rsidRPr="002E220B">
              <w:rPr>
                <w:rFonts w:cs="Arial"/>
                <w:noProof/>
                <w:webHidden/>
              </w:rPr>
            </w:r>
            <w:r w:rsidRPr="002E220B">
              <w:rPr>
                <w:rFonts w:cs="Arial"/>
                <w:noProof/>
                <w:webHidden/>
              </w:rPr>
              <w:fldChar w:fldCharType="separate"/>
            </w:r>
            <w:r w:rsidRPr="002E220B">
              <w:rPr>
                <w:rFonts w:cs="Arial"/>
                <w:noProof/>
                <w:webHidden/>
              </w:rPr>
              <w:t>26</w:t>
            </w:r>
            <w:r w:rsidRPr="002E220B">
              <w:rPr>
                <w:rFonts w:cs="Arial"/>
                <w:noProof/>
                <w:webHidden/>
              </w:rPr>
              <w:fldChar w:fldCharType="end"/>
            </w:r>
          </w:hyperlink>
        </w:p>
        <w:p w14:paraId="7781AF27" w14:textId="7F80809A" w:rsidR="002E220B" w:rsidRPr="002E220B" w:rsidRDefault="002E220B">
          <w:pPr>
            <w:pStyle w:val="TOC2"/>
            <w:tabs>
              <w:tab w:val="right" w:leader="dot" w:pos="9350"/>
            </w:tabs>
            <w:rPr>
              <w:rFonts w:eastAsiaTheme="minorEastAsia" w:cs="Arial"/>
              <w:noProof/>
              <w:lang w:val="en-IN" w:eastAsia="en-IN"/>
            </w:rPr>
          </w:pPr>
          <w:hyperlink w:anchor="_Toc227579227" w:history="1">
            <w:r w:rsidRPr="002E220B">
              <w:rPr>
                <w:rStyle w:val="Hyperlink"/>
                <w:rFonts w:cs="Arial"/>
                <w:noProof/>
              </w:rPr>
              <w:t>4.12 Conclusion</w:t>
            </w:r>
            <w:r w:rsidRPr="002E220B">
              <w:rPr>
                <w:rFonts w:cs="Arial"/>
                <w:noProof/>
                <w:webHidden/>
              </w:rPr>
              <w:tab/>
            </w:r>
            <w:r w:rsidRPr="002E220B">
              <w:rPr>
                <w:rFonts w:cs="Arial"/>
                <w:noProof/>
                <w:webHidden/>
              </w:rPr>
              <w:fldChar w:fldCharType="begin"/>
            </w:r>
            <w:r w:rsidRPr="002E220B">
              <w:rPr>
                <w:rFonts w:cs="Arial"/>
                <w:noProof/>
                <w:webHidden/>
              </w:rPr>
              <w:instrText xml:space="preserve"> PAGEREF _Toc227579227 \h </w:instrText>
            </w:r>
            <w:r w:rsidRPr="002E220B">
              <w:rPr>
                <w:rFonts w:cs="Arial"/>
                <w:noProof/>
                <w:webHidden/>
              </w:rPr>
            </w:r>
            <w:r w:rsidRPr="002E220B">
              <w:rPr>
                <w:rFonts w:cs="Arial"/>
                <w:noProof/>
                <w:webHidden/>
              </w:rPr>
              <w:fldChar w:fldCharType="separate"/>
            </w:r>
            <w:r w:rsidRPr="002E220B">
              <w:rPr>
                <w:rFonts w:cs="Arial"/>
                <w:noProof/>
                <w:webHidden/>
              </w:rPr>
              <w:t>27</w:t>
            </w:r>
            <w:r w:rsidRPr="002E220B">
              <w:rPr>
                <w:rFonts w:cs="Arial"/>
                <w:noProof/>
                <w:webHidden/>
              </w:rPr>
              <w:fldChar w:fldCharType="end"/>
            </w:r>
          </w:hyperlink>
        </w:p>
        <w:p w14:paraId="45296261" w14:textId="4BF4CE47" w:rsidR="002E220B" w:rsidRPr="002E220B" w:rsidRDefault="002E220B">
          <w:pPr>
            <w:pStyle w:val="TOC1"/>
            <w:tabs>
              <w:tab w:val="right" w:leader="dot" w:pos="9350"/>
            </w:tabs>
            <w:rPr>
              <w:rFonts w:eastAsiaTheme="minorEastAsia" w:cs="Arial"/>
              <w:noProof/>
              <w:lang w:val="en-IN" w:eastAsia="en-IN"/>
            </w:rPr>
          </w:pPr>
          <w:hyperlink w:anchor="_Toc227579228" w:history="1">
            <w:r w:rsidRPr="002E220B">
              <w:rPr>
                <w:rStyle w:val="Hyperlink"/>
                <w:rFonts w:cs="Arial"/>
                <w:noProof/>
              </w:rPr>
              <w:t>Reference List</w:t>
            </w:r>
            <w:r w:rsidRPr="002E220B">
              <w:rPr>
                <w:rFonts w:cs="Arial"/>
                <w:noProof/>
                <w:webHidden/>
              </w:rPr>
              <w:tab/>
            </w:r>
            <w:r w:rsidRPr="002E220B">
              <w:rPr>
                <w:rFonts w:cs="Arial"/>
                <w:noProof/>
                <w:webHidden/>
              </w:rPr>
              <w:fldChar w:fldCharType="begin"/>
            </w:r>
            <w:r w:rsidRPr="002E220B">
              <w:rPr>
                <w:rFonts w:cs="Arial"/>
                <w:noProof/>
                <w:webHidden/>
              </w:rPr>
              <w:instrText xml:space="preserve"> PAGEREF _Toc227579228 \h </w:instrText>
            </w:r>
            <w:r w:rsidRPr="002E220B">
              <w:rPr>
                <w:rFonts w:cs="Arial"/>
                <w:noProof/>
                <w:webHidden/>
              </w:rPr>
            </w:r>
            <w:r w:rsidRPr="002E220B">
              <w:rPr>
                <w:rFonts w:cs="Arial"/>
                <w:noProof/>
                <w:webHidden/>
              </w:rPr>
              <w:fldChar w:fldCharType="separate"/>
            </w:r>
            <w:r w:rsidRPr="002E220B">
              <w:rPr>
                <w:rFonts w:cs="Arial"/>
                <w:noProof/>
                <w:webHidden/>
              </w:rPr>
              <w:t>28</w:t>
            </w:r>
            <w:r w:rsidRPr="002E220B">
              <w:rPr>
                <w:rFonts w:cs="Arial"/>
                <w:noProof/>
                <w:webHidden/>
              </w:rPr>
              <w:fldChar w:fldCharType="end"/>
            </w:r>
          </w:hyperlink>
        </w:p>
        <w:p w14:paraId="5FAFFCC7" w14:textId="7F22CF8E" w:rsidR="002E220B" w:rsidRPr="002E220B" w:rsidRDefault="002E220B">
          <w:pPr>
            <w:pStyle w:val="TOC1"/>
            <w:tabs>
              <w:tab w:val="right" w:leader="dot" w:pos="9350"/>
            </w:tabs>
            <w:rPr>
              <w:rFonts w:eastAsiaTheme="minorEastAsia" w:cs="Arial"/>
              <w:noProof/>
              <w:lang w:val="en-IN" w:eastAsia="en-IN"/>
            </w:rPr>
          </w:pPr>
          <w:hyperlink w:anchor="_Toc227579229" w:history="1">
            <w:r w:rsidRPr="002E220B">
              <w:rPr>
                <w:rStyle w:val="Hyperlink"/>
                <w:rFonts w:cs="Arial"/>
                <w:noProof/>
              </w:rPr>
              <w:t>Appendices</w:t>
            </w:r>
            <w:r w:rsidRPr="002E220B">
              <w:rPr>
                <w:rFonts w:cs="Arial"/>
                <w:noProof/>
                <w:webHidden/>
              </w:rPr>
              <w:tab/>
            </w:r>
            <w:r w:rsidRPr="002E220B">
              <w:rPr>
                <w:rFonts w:cs="Arial"/>
                <w:noProof/>
                <w:webHidden/>
              </w:rPr>
              <w:fldChar w:fldCharType="begin"/>
            </w:r>
            <w:r w:rsidRPr="002E220B">
              <w:rPr>
                <w:rFonts w:cs="Arial"/>
                <w:noProof/>
                <w:webHidden/>
              </w:rPr>
              <w:instrText xml:space="preserve"> PAGEREF _Toc227579229 \h </w:instrText>
            </w:r>
            <w:r w:rsidRPr="002E220B">
              <w:rPr>
                <w:rFonts w:cs="Arial"/>
                <w:noProof/>
                <w:webHidden/>
              </w:rPr>
            </w:r>
            <w:r w:rsidRPr="002E220B">
              <w:rPr>
                <w:rFonts w:cs="Arial"/>
                <w:noProof/>
                <w:webHidden/>
              </w:rPr>
              <w:fldChar w:fldCharType="separate"/>
            </w:r>
            <w:r w:rsidRPr="002E220B">
              <w:rPr>
                <w:rFonts w:cs="Arial"/>
                <w:noProof/>
                <w:webHidden/>
              </w:rPr>
              <w:t>32</w:t>
            </w:r>
            <w:r w:rsidRPr="002E220B">
              <w:rPr>
                <w:rFonts w:cs="Arial"/>
                <w:noProof/>
                <w:webHidden/>
              </w:rPr>
              <w:fldChar w:fldCharType="end"/>
            </w:r>
          </w:hyperlink>
        </w:p>
        <w:p w14:paraId="7D813A74" w14:textId="051694B3" w:rsidR="002E220B" w:rsidRPr="002E220B" w:rsidRDefault="002E220B">
          <w:pPr>
            <w:pStyle w:val="TOC2"/>
            <w:tabs>
              <w:tab w:val="right" w:leader="dot" w:pos="9350"/>
            </w:tabs>
            <w:rPr>
              <w:rFonts w:eastAsiaTheme="minorEastAsia" w:cs="Arial"/>
              <w:noProof/>
              <w:lang w:val="en-IN" w:eastAsia="en-IN"/>
            </w:rPr>
          </w:pPr>
          <w:hyperlink w:anchor="_Toc227579230" w:history="1">
            <w:r w:rsidRPr="002E220B">
              <w:rPr>
                <w:rStyle w:val="Hyperlink"/>
                <w:rFonts w:cs="Arial"/>
                <w:noProof/>
              </w:rPr>
              <w:t>Appendix 1: Dataset</w:t>
            </w:r>
            <w:r w:rsidRPr="002E220B">
              <w:rPr>
                <w:rFonts w:cs="Arial"/>
                <w:noProof/>
                <w:webHidden/>
              </w:rPr>
              <w:tab/>
            </w:r>
            <w:r w:rsidRPr="002E220B">
              <w:rPr>
                <w:rFonts w:cs="Arial"/>
                <w:noProof/>
                <w:webHidden/>
              </w:rPr>
              <w:fldChar w:fldCharType="begin"/>
            </w:r>
            <w:r w:rsidRPr="002E220B">
              <w:rPr>
                <w:rFonts w:cs="Arial"/>
                <w:noProof/>
                <w:webHidden/>
              </w:rPr>
              <w:instrText xml:space="preserve"> PAGEREF _Toc227579230 \h </w:instrText>
            </w:r>
            <w:r w:rsidRPr="002E220B">
              <w:rPr>
                <w:rFonts w:cs="Arial"/>
                <w:noProof/>
                <w:webHidden/>
              </w:rPr>
            </w:r>
            <w:r w:rsidRPr="002E220B">
              <w:rPr>
                <w:rFonts w:cs="Arial"/>
                <w:noProof/>
                <w:webHidden/>
              </w:rPr>
              <w:fldChar w:fldCharType="separate"/>
            </w:r>
            <w:r w:rsidRPr="002E220B">
              <w:rPr>
                <w:rFonts w:cs="Arial"/>
                <w:noProof/>
                <w:webHidden/>
              </w:rPr>
              <w:t>32</w:t>
            </w:r>
            <w:r w:rsidRPr="002E220B">
              <w:rPr>
                <w:rFonts w:cs="Arial"/>
                <w:noProof/>
                <w:webHidden/>
              </w:rPr>
              <w:fldChar w:fldCharType="end"/>
            </w:r>
          </w:hyperlink>
        </w:p>
        <w:p w14:paraId="61AC5E03" w14:textId="6D833B57" w:rsidR="002E220B" w:rsidRPr="002E220B" w:rsidRDefault="002E220B">
          <w:pPr>
            <w:pStyle w:val="TOC2"/>
            <w:tabs>
              <w:tab w:val="right" w:leader="dot" w:pos="9350"/>
            </w:tabs>
            <w:rPr>
              <w:rFonts w:eastAsiaTheme="minorEastAsia" w:cs="Arial"/>
              <w:noProof/>
              <w:lang w:val="en-IN" w:eastAsia="en-IN"/>
            </w:rPr>
          </w:pPr>
          <w:hyperlink w:anchor="_Toc227579231" w:history="1">
            <w:r w:rsidRPr="002E220B">
              <w:rPr>
                <w:rStyle w:val="Hyperlink"/>
                <w:rFonts w:cs="Arial"/>
                <w:noProof/>
              </w:rPr>
              <w:t>Appendix 2: Ratio Calculation</w:t>
            </w:r>
            <w:r w:rsidRPr="002E220B">
              <w:rPr>
                <w:rFonts w:cs="Arial"/>
                <w:noProof/>
                <w:webHidden/>
              </w:rPr>
              <w:tab/>
            </w:r>
            <w:r w:rsidRPr="002E220B">
              <w:rPr>
                <w:rFonts w:cs="Arial"/>
                <w:noProof/>
                <w:webHidden/>
              </w:rPr>
              <w:fldChar w:fldCharType="begin"/>
            </w:r>
            <w:r w:rsidRPr="002E220B">
              <w:rPr>
                <w:rFonts w:cs="Arial"/>
                <w:noProof/>
                <w:webHidden/>
              </w:rPr>
              <w:instrText xml:space="preserve"> PAGEREF _Toc227579231 \h </w:instrText>
            </w:r>
            <w:r w:rsidRPr="002E220B">
              <w:rPr>
                <w:rFonts w:cs="Arial"/>
                <w:noProof/>
                <w:webHidden/>
              </w:rPr>
            </w:r>
            <w:r w:rsidRPr="002E220B">
              <w:rPr>
                <w:rFonts w:cs="Arial"/>
                <w:noProof/>
                <w:webHidden/>
              </w:rPr>
              <w:fldChar w:fldCharType="separate"/>
            </w:r>
            <w:r w:rsidRPr="002E220B">
              <w:rPr>
                <w:rFonts w:cs="Arial"/>
                <w:noProof/>
                <w:webHidden/>
              </w:rPr>
              <w:t>33</w:t>
            </w:r>
            <w:r w:rsidRPr="002E220B">
              <w:rPr>
                <w:rFonts w:cs="Arial"/>
                <w:noProof/>
                <w:webHidden/>
              </w:rPr>
              <w:fldChar w:fldCharType="end"/>
            </w:r>
          </w:hyperlink>
        </w:p>
        <w:p w14:paraId="2C9F8C42" w14:textId="34BD6CE1" w:rsidR="002E220B" w:rsidRPr="002E220B" w:rsidRDefault="002E220B">
          <w:pPr>
            <w:pStyle w:val="TOC2"/>
            <w:tabs>
              <w:tab w:val="right" w:leader="dot" w:pos="9350"/>
            </w:tabs>
            <w:rPr>
              <w:rFonts w:eastAsiaTheme="minorEastAsia" w:cs="Arial"/>
              <w:noProof/>
              <w:lang w:val="en-IN" w:eastAsia="en-IN"/>
            </w:rPr>
          </w:pPr>
          <w:hyperlink w:anchor="_Toc227579232" w:history="1">
            <w:r w:rsidRPr="002E220B">
              <w:rPr>
                <w:rStyle w:val="Hyperlink"/>
                <w:rFonts w:cs="Arial"/>
                <w:noProof/>
              </w:rPr>
              <w:t>Appendix 3: Investment Projects</w:t>
            </w:r>
            <w:r w:rsidRPr="002E220B">
              <w:rPr>
                <w:rFonts w:cs="Arial"/>
                <w:noProof/>
                <w:webHidden/>
              </w:rPr>
              <w:tab/>
            </w:r>
            <w:r w:rsidRPr="002E220B">
              <w:rPr>
                <w:rFonts w:cs="Arial"/>
                <w:noProof/>
                <w:webHidden/>
              </w:rPr>
              <w:fldChar w:fldCharType="begin"/>
            </w:r>
            <w:r w:rsidRPr="002E220B">
              <w:rPr>
                <w:rFonts w:cs="Arial"/>
                <w:noProof/>
                <w:webHidden/>
              </w:rPr>
              <w:instrText xml:space="preserve"> PAGEREF _Toc227579232 \h </w:instrText>
            </w:r>
            <w:r w:rsidRPr="002E220B">
              <w:rPr>
                <w:rFonts w:cs="Arial"/>
                <w:noProof/>
                <w:webHidden/>
              </w:rPr>
            </w:r>
            <w:r w:rsidRPr="002E220B">
              <w:rPr>
                <w:rFonts w:cs="Arial"/>
                <w:noProof/>
                <w:webHidden/>
              </w:rPr>
              <w:fldChar w:fldCharType="separate"/>
            </w:r>
            <w:r w:rsidRPr="002E220B">
              <w:rPr>
                <w:rFonts w:cs="Arial"/>
                <w:noProof/>
                <w:webHidden/>
              </w:rPr>
              <w:t>34</w:t>
            </w:r>
            <w:r w:rsidRPr="002E220B">
              <w:rPr>
                <w:rFonts w:cs="Arial"/>
                <w:noProof/>
                <w:webHidden/>
              </w:rPr>
              <w:fldChar w:fldCharType="end"/>
            </w:r>
          </w:hyperlink>
        </w:p>
        <w:p w14:paraId="2B73E2CA" w14:textId="7FD47A6B" w:rsidR="00C65677" w:rsidRPr="002E220B" w:rsidRDefault="00C65677">
          <w:pPr>
            <w:rPr>
              <w:rFonts w:cs="Arial"/>
            </w:rPr>
          </w:pPr>
          <w:r w:rsidRPr="002E220B">
            <w:rPr>
              <w:rFonts w:cs="Arial"/>
              <w:b/>
              <w:bCs/>
              <w:noProof/>
            </w:rPr>
            <w:fldChar w:fldCharType="end"/>
          </w:r>
        </w:p>
      </w:sdtContent>
    </w:sdt>
    <w:p w14:paraId="7F958364" w14:textId="2B4E01C9" w:rsidR="002E220B" w:rsidRDefault="002E220B">
      <w:pPr>
        <w:spacing w:line="259" w:lineRule="auto"/>
        <w:jc w:val="left"/>
        <w:rPr>
          <w:rFonts w:cs="Arial"/>
          <w:b/>
          <w:bCs/>
          <w:sz w:val="36"/>
          <w:szCs w:val="36"/>
        </w:rPr>
      </w:pPr>
      <w:r>
        <w:rPr>
          <w:rFonts w:cs="Arial"/>
          <w:b/>
          <w:bCs/>
          <w:sz w:val="36"/>
          <w:szCs w:val="36"/>
        </w:rPr>
        <w:br w:type="page"/>
      </w:r>
    </w:p>
    <w:p w14:paraId="28DDD3AF" w14:textId="6C727F96" w:rsidR="004915DE" w:rsidRPr="002E220B" w:rsidRDefault="004915DE" w:rsidP="004915DE">
      <w:pPr>
        <w:pStyle w:val="Heading1"/>
        <w:rPr>
          <w:rFonts w:cs="Arial"/>
        </w:rPr>
      </w:pPr>
      <w:bookmarkStart w:id="0" w:name="_Toc227579187"/>
      <w:r w:rsidRPr="002E220B">
        <w:rPr>
          <w:rFonts w:cs="Arial"/>
        </w:rPr>
        <w:lastRenderedPageBreak/>
        <w:t>1. Financial Health Check</w:t>
      </w:r>
      <w:bookmarkEnd w:id="0"/>
      <w:r w:rsidRPr="002E220B">
        <w:rPr>
          <w:rFonts w:cs="Arial"/>
        </w:rPr>
        <w:t xml:space="preserve"> </w:t>
      </w:r>
    </w:p>
    <w:p w14:paraId="547CB0B1" w14:textId="46CE3087" w:rsidR="00775CAC" w:rsidRPr="002E220B" w:rsidRDefault="00775CAC" w:rsidP="00DB458E">
      <w:pPr>
        <w:pStyle w:val="Heading2"/>
      </w:pPr>
      <w:bookmarkStart w:id="1" w:name="_Toc227579188"/>
      <w:r w:rsidRPr="002E220B">
        <w:t xml:space="preserve">1.1 </w:t>
      </w:r>
      <w:r w:rsidR="00DB458E" w:rsidRPr="002E220B">
        <w:t>Overview of financial statement</w:t>
      </w:r>
      <w:bookmarkEnd w:id="1"/>
      <w:r w:rsidR="00DB458E" w:rsidRPr="002E220B">
        <w:t xml:space="preserve"> </w:t>
      </w:r>
    </w:p>
    <w:p w14:paraId="4E936173" w14:textId="45A6AA16" w:rsidR="00775CAC" w:rsidRPr="002E220B" w:rsidRDefault="00775CAC" w:rsidP="004915DE">
      <w:pPr>
        <w:rPr>
          <w:rFonts w:cs="Arial"/>
        </w:rPr>
      </w:pPr>
      <w:r w:rsidRPr="002E220B">
        <w:rPr>
          <w:rFonts w:cs="Arial"/>
        </w:rPr>
        <w:t xml:space="preserve">Hyundai Motor Company has experienced a significant evolution during the period of 2021-2025, driven by its strategic change toward electric vehicles (EVs), international growth, and the growing involvement of technologies. It is the time of post-pandemic recovery and structural repositioning, when Hyundai was transforming into a volume-based manufacturer into a value-based and innovation-based company. The financial performance that has been witnessed in </w:t>
      </w:r>
      <w:r w:rsidR="00DB458E" w:rsidRPr="002E220B">
        <w:rPr>
          <w:rFonts w:cs="Arial"/>
        </w:rPr>
        <w:t>5</w:t>
      </w:r>
      <w:r w:rsidRPr="002E220B">
        <w:rPr>
          <w:rFonts w:cs="Arial"/>
        </w:rPr>
        <w:t xml:space="preserve"> years thus indicate not just the cyclical recovery but also more so, strategic realignment.</w:t>
      </w:r>
    </w:p>
    <w:p w14:paraId="64D1DFF9" w14:textId="1A01F225" w:rsidR="00DB458E" w:rsidRPr="002E220B" w:rsidRDefault="00180384" w:rsidP="00DB458E">
      <w:pPr>
        <w:jc w:val="center"/>
        <w:rPr>
          <w:rFonts w:cs="Arial"/>
        </w:rPr>
      </w:pPr>
      <w:r w:rsidRPr="002E220B">
        <w:rPr>
          <w:rFonts w:cs="Arial"/>
          <w:noProof/>
        </w:rPr>
        <w:drawing>
          <wp:inline distT="0" distB="0" distL="0" distR="0" wp14:anchorId="57B34072" wp14:editId="12BC2870">
            <wp:extent cx="4077053" cy="4991533"/>
            <wp:effectExtent l="0" t="0" r="0" b="0"/>
            <wp:docPr id="423890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890972" name=""/>
                    <pic:cNvPicPr/>
                  </pic:nvPicPr>
                  <pic:blipFill>
                    <a:blip r:embed="rId9"/>
                    <a:stretch>
                      <a:fillRect/>
                    </a:stretch>
                  </pic:blipFill>
                  <pic:spPr>
                    <a:xfrm>
                      <a:off x="0" y="0"/>
                      <a:ext cx="4077053" cy="4991533"/>
                    </a:xfrm>
                    <a:prstGeom prst="rect">
                      <a:avLst/>
                    </a:prstGeom>
                  </pic:spPr>
                </pic:pic>
              </a:graphicData>
            </a:graphic>
          </wp:inline>
        </w:drawing>
      </w:r>
    </w:p>
    <w:p w14:paraId="4DEFFFDC" w14:textId="427C3006" w:rsidR="00180384" w:rsidRPr="002E220B" w:rsidRDefault="00180384" w:rsidP="00DB458E">
      <w:pPr>
        <w:jc w:val="center"/>
        <w:rPr>
          <w:rFonts w:cs="Arial"/>
        </w:rPr>
      </w:pPr>
      <w:r w:rsidRPr="002E220B">
        <w:rPr>
          <w:rFonts w:cs="Arial"/>
          <w:noProof/>
        </w:rPr>
        <w:lastRenderedPageBreak/>
        <w:drawing>
          <wp:inline distT="0" distB="0" distL="0" distR="0" wp14:anchorId="314B25D4" wp14:editId="2AF71314">
            <wp:extent cx="5715495" cy="5715495"/>
            <wp:effectExtent l="0" t="0" r="0" b="0"/>
            <wp:docPr id="7811983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198391" name=""/>
                    <pic:cNvPicPr/>
                  </pic:nvPicPr>
                  <pic:blipFill>
                    <a:blip r:embed="rId10"/>
                    <a:stretch>
                      <a:fillRect/>
                    </a:stretch>
                  </pic:blipFill>
                  <pic:spPr>
                    <a:xfrm>
                      <a:off x="0" y="0"/>
                      <a:ext cx="5715495" cy="5715495"/>
                    </a:xfrm>
                    <a:prstGeom prst="rect">
                      <a:avLst/>
                    </a:prstGeom>
                  </pic:spPr>
                </pic:pic>
              </a:graphicData>
            </a:graphic>
          </wp:inline>
        </w:drawing>
      </w:r>
    </w:p>
    <w:p w14:paraId="19BD7820" w14:textId="0CAD9FEE" w:rsidR="00180384" w:rsidRPr="002E220B" w:rsidRDefault="00180384" w:rsidP="00DB458E">
      <w:pPr>
        <w:jc w:val="center"/>
        <w:rPr>
          <w:rFonts w:cs="Arial"/>
        </w:rPr>
      </w:pPr>
      <w:r w:rsidRPr="002E220B">
        <w:rPr>
          <w:rFonts w:cs="Arial"/>
          <w:noProof/>
        </w:rPr>
        <w:lastRenderedPageBreak/>
        <w:drawing>
          <wp:inline distT="0" distB="0" distL="0" distR="0" wp14:anchorId="7BDD17A4" wp14:editId="6BE0F8E5">
            <wp:extent cx="5471634" cy="5845047"/>
            <wp:effectExtent l="0" t="0" r="0" b="3810"/>
            <wp:docPr id="517817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81739" name=""/>
                    <pic:cNvPicPr/>
                  </pic:nvPicPr>
                  <pic:blipFill>
                    <a:blip r:embed="rId11"/>
                    <a:stretch>
                      <a:fillRect/>
                    </a:stretch>
                  </pic:blipFill>
                  <pic:spPr>
                    <a:xfrm>
                      <a:off x="0" y="0"/>
                      <a:ext cx="5471634" cy="5845047"/>
                    </a:xfrm>
                    <a:prstGeom prst="rect">
                      <a:avLst/>
                    </a:prstGeom>
                  </pic:spPr>
                </pic:pic>
              </a:graphicData>
            </a:graphic>
          </wp:inline>
        </w:drawing>
      </w:r>
    </w:p>
    <w:p w14:paraId="501946F6" w14:textId="72C2215F" w:rsidR="00180384" w:rsidRPr="002E220B" w:rsidRDefault="00180384" w:rsidP="00DB458E">
      <w:pPr>
        <w:jc w:val="center"/>
        <w:rPr>
          <w:rFonts w:cs="Arial"/>
          <w:b/>
          <w:bCs/>
        </w:rPr>
      </w:pPr>
      <w:r w:rsidRPr="002E220B">
        <w:rPr>
          <w:rFonts w:cs="Arial"/>
          <w:b/>
          <w:bCs/>
        </w:rPr>
        <w:t>Figure 1: Snapshot of 5 years Cash flow</w:t>
      </w:r>
    </w:p>
    <w:p w14:paraId="5ED02577" w14:textId="7AA6F997" w:rsidR="00180384" w:rsidRPr="002E220B" w:rsidRDefault="00180384" w:rsidP="00DB458E">
      <w:pPr>
        <w:jc w:val="center"/>
        <w:rPr>
          <w:rFonts w:cs="Arial"/>
        </w:rPr>
      </w:pPr>
      <w:r w:rsidRPr="002E220B">
        <w:rPr>
          <w:rFonts w:cs="Arial"/>
        </w:rPr>
        <w:t>(Source: Hyundai, 2025)</w:t>
      </w:r>
    </w:p>
    <w:p w14:paraId="070E48E1" w14:textId="27B69A54" w:rsidR="00775CAC" w:rsidRPr="002E220B" w:rsidRDefault="00775CAC" w:rsidP="004915DE">
      <w:pPr>
        <w:rPr>
          <w:rFonts w:cs="Arial"/>
        </w:rPr>
      </w:pPr>
      <w:r w:rsidRPr="002E220B">
        <w:rPr>
          <w:rFonts w:cs="Arial"/>
        </w:rPr>
        <w:t xml:space="preserve">It is necessary to have a general financial health check to determine whether this transition is financially viable. In this analysis Hyundai is evaluated based on profitability, liquidity, efficiency, gearing, investment and cash flow ratios. The discussion shifts away to descriptive interpretation and critically </w:t>
      </w:r>
      <w:r w:rsidR="004915DE" w:rsidRPr="002E220B">
        <w:rPr>
          <w:rFonts w:cs="Arial"/>
        </w:rPr>
        <w:t>analyses</w:t>
      </w:r>
      <w:r w:rsidRPr="002E220B">
        <w:rPr>
          <w:rFonts w:cs="Arial"/>
        </w:rPr>
        <w:t xml:space="preserve"> the motivation behind the observed </w:t>
      </w:r>
      <w:r w:rsidRPr="002E220B">
        <w:rPr>
          <w:rFonts w:cs="Arial"/>
        </w:rPr>
        <w:lastRenderedPageBreak/>
        <w:t>trends, and the risks of Hyundai developing its business model in an extremely competitive and highly capital-intensive industry.</w:t>
      </w:r>
    </w:p>
    <w:p w14:paraId="33D5BC42" w14:textId="7AD17FEA" w:rsidR="00DB458E" w:rsidRPr="002E220B" w:rsidRDefault="00DB458E" w:rsidP="00DB458E">
      <w:pPr>
        <w:pStyle w:val="Heading2"/>
      </w:pPr>
      <w:bookmarkStart w:id="2" w:name="_Toc227579189"/>
      <w:r w:rsidRPr="002E220B">
        <w:t>1.2 Ratio Analysis</w:t>
      </w:r>
      <w:bookmarkEnd w:id="2"/>
    </w:p>
    <w:p w14:paraId="4A0E99E2" w14:textId="15672366" w:rsidR="00775CAC" w:rsidRPr="002E220B" w:rsidRDefault="00775CAC" w:rsidP="00DB458E">
      <w:pPr>
        <w:pStyle w:val="Heading3"/>
      </w:pPr>
      <w:bookmarkStart w:id="3" w:name="_Toc227579190"/>
      <w:r w:rsidRPr="002E220B">
        <w:t>1.2</w:t>
      </w:r>
      <w:r w:rsidR="00DB458E" w:rsidRPr="002E220B">
        <w:t>.1</w:t>
      </w:r>
      <w:r w:rsidRPr="002E220B">
        <w:t xml:space="preserve"> Profitability Analysis</w:t>
      </w:r>
      <w:bookmarkEnd w:id="3"/>
    </w:p>
    <w:p w14:paraId="6501F612" w14:textId="0CB34E22" w:rsidR="004915DE" w:rsidRPr="002E220B" w:rsidRDefault="004915DE" w:rsidP="004915DE">
      <w:pPr>
        <w:jc w:val="center"/>
        <w:rPr>
          <w:rFonts w:cs="Arial"/>
        </w:rPr>
      </w:pPr>
      <w:r w:rsidRPr="002E220B">
        <w:rPr>
          <w:rFonts w:cs="Arial"/>
          <w:noProof/>
        </w:rPr>
        <w:drawing>
          <wp:inline distT="0" distB="0" distL="0" distR="0" wp14:anchorId="55C91BE8" wp14:editId="7949B283">
            <wp:extent cx="5910942" cy="2340428"/>
            <wp:effectExtent l="0" t="0" r="13970" b="3175"/>
            <wp:docPr id="834987715" name="Chart 1">
              <a:extLst xmlns:a="http://schemas.openxmlformats.org/drawingml/2006/main">
                <a:ext uri="{FF2B5EF4-FFF2-40B4-BE49-F238E27FC236}">
                  <a16:creationId xmlns:a16="http://schemas.microsoft.com/office/drawing/2014/main" id="{89415C10-917D-1CAA-6DD3-6547CDC3DCA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90A0306" w14:textId="064026F6" w:rsidR="004915DE" w:rsidRPr="002E220B" w:rsidRDefault="004915DE" w:rsidP="004915DE">
      <w:pPr>
        <w:jc w:val="center"/>
        <w:rPr>
          <w:rFonts w:cs="Arial"/>
          <w:b/>
          <w:bCs/>
        </w:rPr>
      </w:pPr>
      <w:r w:rsidRPr="002E220B">
        <w:rPr>
          <w:rFonts w:cs="Arial"/>
          <w:b/>
          <w:bCs/>
        </w:rPr>
        <w:t xml:space="preserve">Figure </w:t>
      </w:r>
      <w:r w:rsidR="00180384" w:rsidRPr="002E220B">
        <w:rPr>
          <w:rFonts w:cs="Arial"/>
          <w:b/>
          <w:bCs/>
        </w:rPr>
        <w:t>2</w:t>
      </w:r>
      <w:r w:rsidRPr="002E220B">
        <w:rPr>
          <w:rFonts w:cs="Arial"/>
          <w:b/>
          <w:bCs/>
        </w:rPr>
        <w:t>: Profitability Ratios</w:t>
      </w:r>
    </w:p>
    <w:p w14:paraId="625334B2" w14:textId="559098FA" w:rsidR="004915DE" w:rsidRPr="002E220B" w:rsidRDefault="004915DE" w:rsidP="004915DE">
      <w:pPr>
        <w:jc w:val="center"/>
        <w:rPr>
          <w:rFonts w:cs="Arial"/>
        </w:rPr>
      </w:pPr>
      <w:r w:rsidRPr="002E220B">
        <w:rPr>
          <w:rFonts w:cs="Arial"/>
        </w:rPr>
        <w:t>(Source: MS Excel)</w:t>
      </w:r>
    </w:p>
    <w:p w14:paraId="2D324B25" w14:textId="77777777" w:rsidR="00775CAC" w:rsidRPr="002E220B" w:rsidRDefault="00775CAC" w:rsidP="004915DE">
      <w:pPr>
        <w:rPr>
          <w:rFonts w:cs="Arial"/>
        </w:rPr>
      </w:pPr>
      <w:r w:rsidRPr="002E220B">
        <w:rPr>
          <w:rFonts w:cs="Arial"/>
        </w:rPr>
        <w:t>The performance of Hyundai in terms of its profitability follows a solid and steady positive trend, which means that the operation and financial results improved significantly. Gross profit margin has risen to 26.4 in 2025 as compared to 22.6 in 2021, which indicates greater cost efficiency and better pricing policies. This increase is a demonstration of Hyundai repositioning its mix of products to higher-margin vehicles, especially electric and higher-end models, which bring higher contribution per unit sold.</w:t>
      </w:r>
    </w:p>
    <w:p w14:paraId="7D798E53" w14:textId="77777777" w:rsidR="00775CAC" w:rsidRPr="002E220B" w:rsidRDefault="00775CAC" w:rsidP="004915DE">
      <w:pPr>
        <w:rPr>
          <w:rFonts w:cs="Arial"/>
        </w:rPr>
      </w:pPr>
      <w:r w:rsidRPr="002E220B">
        <w:rPr>
          <w:rFonts w:cs="Arial"/>
        </w:rPr>
        <w:t>The operating profit margin increased tremendously as it increased to 9.9 percent as compared to 5.7 percent, which shows that Hyundai has not only increased revenues but also managed to control operating costs. This stands out especially since automotive industry has a high fixed structure cost. The increase implies the economies of scale, optimisation of the processes, and the overhead costs management, all of which leads to superior operation performance.</w:t>
      </w:r>
    </w:p>
    <w:p w14:paraId="3B55F5B9" w14:textId="7E133D79" w:rsidR="00775CAC" w:rsidRPr="002E220B" w:rsidRDefault="00775CAC" w:rsidP="004915DE">
      <w:pPr>
        <w:rPr>
          <w:rFonts w:cs="Arial"/>
        </w:rPr>
      </w:pPr>
      <w:r w:rsidRPr="002E220B">
        <w:rPr>
          <w:rFonts w:cs="Arial"/>
        </w:rPr>
        <w:lastRenderedPageBreak/>
        <w:t xml:space="preserve">Net profit margin improved to 8.1 up against 4.8 and this is an affirmation that the gains at the operating level are indeed finding their way to the bottom-line. The comparatively consistent growth of the operating and net margin indicates that the costs of financing and taxation have been controlled </w:t>
      </w:r>
      <w:r w:rsidR="004915DE" w:rsidRPr="002E220B">
        <w:rPr>
          <w:rFonts w:cs="Arial"/>
        </w:rPr>
        <w:t>effectively,</w:t>
      </w:r>
      <w:r w:rsidRPr="002E220B">
        <w:rPr>
          <w:rFonts w:cs="Arial"/>
        </w:rPr>
        <w:t xml:space="preserve"> and the profitability is not eroded.</w:t>
      </w:r>
    </w:p>
    <w:p w14:paraId="3F3B1C2E" w14:textId="7A9738BD" w:rsidR="00F54C51" w:rsidRPr="002E220B" w:rsidRDefault="00775CAC" w:rsidP="002E220B">
      <w:pPr>
        <w:rPr>
          <w:rFonts w:cs="Arial"/>
        </w:rPr>
      </w:pPr>
      <w:r w:rsidRPr="002E220B">
        <w:rPr>
          <w:rFonts w:cs="Arial"/>
        </w:rPr>
        <w:t>Return on Assets (ROA) has increased to 4.9% as compared to 2.4 which means that the company is now more efficient in its asset base utilisation. In capital-intensive sector, such improvement is a sign of increased productivity and improved utilization of investments. Equally, Return on Equity (ROE) has been on the rise where it has surged to 11.4 after being at 6.5 per cent indicating that the shareholders are getting better returns on their invested capital.</w:t>
      </w:r>
    </w:p>
    <w:p w14:paraId="46EC5041" w14:textId="64D96390" w:rsidR="00775CAC" w:rsidRPr="002E220B" w:rsidRDefault="00775CAC" w:rsidP="00DB458E">
      <w:pPr>
        <w:pStyle w:val="Heading3"/>
      </w:pPr>
      <w:bookmarkStart w:id="4" w:name="_Toc227579191"/>
      <w:r w:rsidRPr="002E220B">
        <w:t>1.</w:t>
      </w:r>
      <w:r w:rsidR="00DB458E" w:rsidRPr="002E220B">
        <w:t>2.2</w:t>
      </w:r>
      <w:r w:rsidRPr="002E220B">
        <w:t xml:space="preserve"> Liquidity Analysis</w:t>
      </w:r>
      <w:bookmarkEnd w:id="4"/>
    </w:p>
    <w:p w14:paraId="727C860D" w14:textId="483AE656" w:rsidR="004915DE" w:rsidRPr="002E220B" w:rsidRDefault="004915DE" w:rsidP="004915DE">
      <w:pPr>
        <w:jc w:val="center"/>
        <w:rPr>
          <w:rFonts w:cs="Arial"/>
        </w:rPr>
      </w:pPr>
      <w:r w:rsidRPr="002E220B">
        <w:rPr>
          <w:rFonts w:cs="Arial"/>
          <w:noProof/>
        </w:rPr>
        <w:drawing>
          <wp:inline distT="0" distB="0" distL="0" distR="0" wp14:anchorId="16A34BC2" wp14:editId="281D5361">
            <wp:extent cx="6019800" cy="2677885"/>
            <wp:effectExtent l="0" t="0" r="0" b="8255"/>
            <wp:docPr id="1431301246" name="Chart 1">
              <a:extLst xmlns:a="http://schemas.openxmlformats.org/drawingml/2006/main">
                <a:ext uri="{FF2B5EF4-FFF2-40B4-BE49-F238E27FC236}">
                  <a16:creationId xmlns:a16="http://schemas.microsoft.com/office/drawing/2014/main" id="{6AA2C160-E384-FFAD-AD2D-0B6E9F5E9F0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7DA35A4" w14:textId="76C66CF5" w:rsidR="004915DE" w:rsidRPr="002E220B" w:rsidRDefault="004915DE" w:rsidP="004915DE">
      <w:pPr>
        <w:jc w:val="center"/>
        <w:rPr>
          <w:rFonts w:cs="Arial"/>
          <w:b/>
          <w:bCs/>
        </w:rPr>
      </w:pPr>
      <w:r w:rsidRPr="002E220B">
        <w:rPr>
          <w:rFonts w:cs="Arial"/>
          <w:b/>
          <w:bCs/>
        </w:rPr>
        <w:t xml:space="preserve">Figure </w:t>
      </w:r>
      <w:r w:rsidR="00180384" w:rsidRPr="002E220B">
        <w:rPr>
          <w:rFonts w:cs="Arial"/>
          <w:b/>
          <w:bCs/>
        </w:rPr>
        <w:t>3</w:t>
      </w:r>
      <w:r w:rsidRPr="002E220B">
        <w:rPr>
          <w:rFonts w:cs="Arial"/>
          <w:b/>
          <w:bCs/>
        </w:rPr>
        <w:t>: Liquidity Ratios</w:t>
      </w:r>
    </w:p>
    <w:p w14:paraId="148C12FF" w14:textId="7E23FDA4" w:rsidR="004915DE" w:rsidRPr="002E220B" w:rsidRDefault="004915DE" w:rsidP="004915DE">
      <w:pPr>
        <w:jc w:val="center"/>
        <w:rPr>
          <w:rFonts w:cs="Arial"/>
        </w:rPr>
      </w:pPr>
      <w:r w:rsidRPr="002E220B">
        <w:rPr>
          <w:rFonts w:cs="Arial"/>
        </w:rPr>
        <w:t>(Source: MS Excel)</w:t>
      </w:r>
    </w:p>
    <w:p w14:paraId="72CFA846" w14:textId="2831F5ED" w:rsidR="00775CAC" w:rsidRPr="002E220B" w:rsidRDefault="00775CAC" w:rsidP="004915DE">
      <w:pPr>
        <w:rPr>
          <w:rFonts w:cs="Arial"/>
        </w:rPr>
      </w:pPr>
      <w:r w:rsidRPr="002E220B">
        <w:rPr>
          <w:rFonts w:cs="Arial"/>
        </w:rPr>
        <w:t xml:space="preserve">The liquidity ratios indicate a more restricted and more conservative financial stance. The current ratio has increased to a bit more than 1.0 in 2025, which was 0.92 in 2021, which suggests that Hyundai has not been able to cover the short-term liabilities in a sufficient manner until recently. Although this is an improvement, the buffer against financial shocks </w:t>
      </w:r>
      <w:r w:rsidRPr="002E220B">
        <w:rPr>
          <w:rFonts w:cs="Arial"/>
        </w:rPr>
        <w:lastRenderedPageBreak/>
        <w:t xml:space="preserve">in the short term is very small, which is not much of a </w:t>
      </w:r>
      <w:r w:rsidR="004915DE" w:rsidRPr="002E220B">
        <w:rPr>
          <w:rFonts w:cs="Arial"/>
        </w:rPr>
        <w:t>buffer (</w:t>
      </w:r>
      <w:proofErr w:type="spellStart"/>
      <w:r w:rsidR="004915DE" w:rsidRPr="002E220B">
        <w:rPr>
          <w:rFonts w:cs="Arial"/>
        </w:rPr>
        <w:t>Saadaoui</w:t>
      </w:r>
      <w:proofErr w:type="spellEnd"/>
      <w:r w:rsidR="004915DE" w:rsidRPr="002E220B">
        <w:rPr>
          <w:rFonts w:cs="Arial"/>
        </w:rPr>
        <w:t xml:space="preserve"> and </w:t>
      </w:r>
      <w:proofErr w:type="spellStart"/>
      <w:r w:rsidR="004915DE" w:rsidRPr="002E220B">
        <w:rPr>
          <w:rFonts w:cs="Arial"/>
        </w:rPr>
        <w:t>Mokdadi</w:t>
      </w:r>
      <w:proofErr w:type="spellEnd"/>
      <w:r w:rsidR="004915DE" w:rsidRPr="002E220B">
        <w:rPr>
          <w:rFonts w:cs="Arial"/>
        </w:rPr>
        <w:t>, 2023)</w:t>
      </w:r>
      <w:r w:rsidRPr="002E220B">
        <w:rPr>
          <w:rFonts w:cs="Arial"/>
        </w:rPr>
        <w:t>.</w:t>
      </w:r>
    </w:p>
    <w:p w14:paraId="23777D64" w14:textId="26991D4E" w:rsidR="00775CAC" w:rsidRPr="002E220B" w:rsidRDefault="00775CAC" w:rsidP="004915DE">
      <w:pPr>
        <w:rPr>
          <w:rFonts w:cs="Arial"/>
        </w:rPr>
      </w:pPr>
      <w:r w:rsidRPr="002E220B">
        <w:rPr>
          <w:rFonts w:cs="Arial"/>
        </w:rPr>
        <w:t xml:space="preserve">The quick ratio slightly rose by 0.71 to about 0.76 implying that inventory continues to play a major role in Hyundai. As inventory is not as liquid compared to other current assets, this implies that it might be susceptible to any slowdown in inventory turnover </w:t>
      </w:r>
      <w:r w:rsidR="004915DE" w:rsidRPr="002E220B">
        <w:rPr>
          <w:rFonts w:cs="Arial"/>
        </w:rPr>
        <w:t>because of</w:t>
      </w:r>
      <w:r w:rsidRPr="002E220B">
        <w:rPr>
          <w:rFonts w:cs="Arial"/>
        </w:rPr>
        <w:t xml:space="preserve"> changes in demand or disruptions in the supply chain</w:t>
      </w:r>
      <w:r w:rsidR="004915DE" w:rsidRPr="002E220B">
        <w:rPr>
          <w:rFonts w:cs="Arial"/>
        </w:rPr>
        <w:t xml:space="preserve"> (Ivanov, 2024)</w:t>
      </w:r>
      <w:r w:rsidRPr="002E220B">
        <w:rPr>
          <w:rFonts w:cs="Arial"/>
        </w:rPr>
        <w:t>.</w:t>
      </w:r>
    </w:p>
    <w:p w14:paraId="3A1237D3" w14:textId="77777777" w:rsidR="00775CAC" w:rsidRPr="002E220B" w:rsidRDefault="00775CAC" w:rsidP="004915DE">
      <w:pPr>
        <w:rPr>
          <w:rFonts w:cs="Arial"/>
        </w:rPr>
      </w:pPr>
      <w:r w:rsidRPr="002E220B">
        <w:rPr>
          <w:rFonts w:cs="Arial"/>
        </w:rPr>
        <w:t>The cash ratio increased to 0.27 as compared to 0.19, demonstrating a slow improvement in immediate liquidity. Nevertheless, this is still rather low, in comparison with more conservative companies, which means that it has fewer sources of cash to address the immediate needs without selling other assets or attracting external financing.</w:t>
      </w:r>
    </w:p>
    <w:p w14:paraId="27EB5B5A" w14:textId="48A50E88" w:rsidR="00775CAC" w:rsidRPr="002E220B" w:rsidRDefault="00775CAC" w:rsidP="00DB458E">
      <w:pPr>
        <w:pStyle w:val="Heading3"/>
      </w:pPr>
      <w:bookmarkStart w:id="5" w:name="_Toc227579192"/>
      <w:r w:rsidRPr="002E220B">
        <w:t>1.</w:t>
      </w:r>
      <w:r w:rsidR="00DB458E" w:rsidRPr="002E220B">
        <w:t>2.3</w:t>
      </w:r>
      <w:r w:rsidRPr="002E220B">
        <w:t xml:space="preserve"> Efficiency Analysis</w:t>
      </w:r>
      <w:bookmarkEnd w:id="5"/>
    </w:p>
    <w:p w14:paraId="720CF932" w14:textId="58024416" w:rsidR="004915DE" w:rsidRPr="002E220B" w:rsidRDefault="004915DE" w:rsidP="004915DE">
      <w:pPr>
        <w:jc w:val="center"/>
        <w:rPr>
          <w:rFonts w:cs="Arial"/>
        </w:rPr>
      </w:pPr>
      <w:r w:rsidRPr="002E220B">
        <w:rPr>
          <w:rFonts w:cs="Arial"/>
          <w:noProof/>
        </w:rPr>
        <w:drawing>
          <wp:inline distT="0" distB="0" distL="0" distR="0" wp14:anchorId="69FAE764" wp14:editId="27635DA0">
            <wp:extent cx="5791200" cy="2373085"/>
            <wp:effectExtent l="0" t="0" r="0" b="8255"/>
            <wp:docPr id="501862831" name="Chart 1">
              <a:extLst xmlns:a="http://schemas.openxmlformats.org/drawingml/2006/main">
                <a:ext uri="{FF2B5EF4-FFF2-40B4-BE49-F238E27FC236}">
                  <a16:creationId xmlns:a16="http://schemas.microsoft.com/office/drawing/2014/main" id="{738997A0-FCBC-7169-EDF4-0754FAF125A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BE5FD3F" w14:textId="2D291437" w:rsidR="004915DE" w:rsidRPr="002E220B" w:rsidRDefault="004915DE" w:rsidP="004915DE">
      <w:pPr>
        <w:jc w:val="center"/>
        <w:rPr>
          <w:rFonts w:cs="Arial"/>
          <w:b/>
          <w:bCs/>
        </w:rPr>
      </w:pPr>
      <w:r w:rsidRPr="002E220B">
        <w:rPr>
          <w:rFonts w:cs="Arial"/>
          <w:b/>
          <w:bCs/>
        </w:rPr>
        <w:t xml:space="preserve">Figure </w:t>
      </w:r>
      <w:r w:rsidR="00180384" w:rsidRPr="002E220B">
        <w:rPr>
          <w:rFonts w:cs="Arial"/>
          <w:b/>
          <w:bCs/>
        </w:rPr>
        <w:t>4</w:t>
      </w:r>
      <w:r w:rsidRPr="002E220B">
        <w:rPr>
          <w:rFonts w:cs="Arial"/>
          <w:b/>
          <w:bCs/>
        </w:rPr>
        <w:t>: Efficiency Ratios</w:t>
      </w:r>
    </w:p>
    <w:p w14:paraId="2A498555" w14:textId="2670A58D" w:rsidR="004915DE" w:rsidRPr="002E220B" w:rsidRDefault="004915DE" w:rsidP="004915DE">
      <w:pPr>
        <w:jc w:val="center"/>
        <w:rPr>
          <w:rFonts w:cs="Arial"/>
        </w:rPr>
      </w:pPr>
      <w:r w:rsidRPr="002E220B">
        <w:rPr>
          <w:rFonts w:cs="Arial"/>
        </w:rPr>
        <w:t>(Source: MS Excel)</w:t>
      </w:r>
    </w:p>
    <w:p w14:paraId="0B1C5B93" w14:textId="77777777" w:rsidR="00775CAC" w:rsidRPr="002E220B" w:rsidRDefault="00775CAC" w:rsidP="004915DE">
      <w:pPr>
        <w:rPr>
          <w:rFonts w:cs="Arial"/>
        </w:rPr>
      </w:pPr>
      <w:r w:rsidRPr="002E220B">
        <w:rPr>
          <w:rFonts w:cs="Arial"/>
        </w:rPr>
        <w:t>Efficiency ratios indicate that there is slow but significant progress in the efficiency of Hyundai in its operations. In 2021, asset turnover was 0.50, whereas in 2025, it was around 0.60, which means that the company is making more revenue when compared to its asset base. This is an indicator of better utilisation of production capacity and better sales performance.</w:t>
      </w:r>
    </w:p>
    <w:p w14:paraId="59F1BBA4" w14:textId="77777777" w:rsidR="00775CAC" w:rsidRPr="002E220B" w:rsidRDefault="00775CAC" w:rsidP="004915DE">
      <w:pPr>
        <w:rPr>
          <w:rFonts w:cs="Arial"/>
        </w:rPr>
      </w:pPr>
      <w:r w:rsidRPr="002E220B">
        <w:rPr>
          <w:rFonts w:cs="Arial"/>
        </w:rPr>
        <w:lastRenderedPageBreak/>
        <w:t>There was relatively steady inventory turnover with a turnover of about seven times per year with a slight decrease in the later years. This means that there is an effective inventory management, though it also means that the supply chain efficiency can be improved further only to a certain degree. This ratio is stable meaning that Hyundai has achieved a fairly optimal inventory management level given the current operating conditions.</w:t>
      </w:r>
    </w:p>
    <w:p w14:paraId="29B866FC" w14:textId="39197D23" w:rsidR="00775CAC" w:rsidRPr="002E220B" w:rsidRDefault="00775CAC" w:rsidP="004915DE">
      <w:pPr>
        <w:rPr>
          <w:rFonts w:cs="Arial"/>
        </w:rPr>
      </w:pPr>
      <w:r w:rsidRPr="002E220B">
        <w:rPr>
          <w:rFonts w:cs="Arial"/>
        </w:rPr>
        <w:t>Nevertheless, the efficiency gains should be seen within the framework of structural issues in industries. Switching to EV production needs a significant amount of capital to spend on new technologies, manufacturing plants, and supply chains</w:t>
      </w:r>
      <w:r w:rsidR="004915DE" w:rsidRPr="002E220B">
        <w:rPr>
          <w:rFonts w:cs="Arial"/>
        </w:rPr>
        <w:t xml:space="preserve"> (Jones et al., 2023)</w:t>
      </w:r>
      <w:r w:rsidRPr="002E220B">
        <w:rPr>
          <w:rFonts w:cs="Arial"/>
        </w:rPr>
        <w:t>. Such investments grow the asset base and can artificially lower efficiency ratios. Besides that, the global supply chain complexities, such as dependence on semiconductors and battery components can form bottlenecks that restrict operational efficiency.</w:t>
      </w:r>
    </w:p>
    <w:p w14:paraId="7B6D6E77" w14:textId="6BD63A47" w:rsidR="00775CAC" w:rsidRPr="002E220B" w:rsidRDefault="00775CAC" w:rsidP="00DB458E">
      <w:pPr>
        <w:pStyle w:val="Heading3"/>
      </w:pPr>
      <w:bookmarkStart w:id="6" w:name="_Toc227579193"/>
      <w:r w:rsidRPr="002E220B">
        <w:t>1.</w:t>
      </w:r>
      <w:r w:rsidR="00DB458E" w:rsidRPr="002E220B">
        <w:t>2.4</w:t>
      </w:r>
      <w:r w:rsidRPr="002E220B">
        <w:t xml:space="preserve"> Gearing (Leverage) Analysis</w:t>
      </w:r>
      <w:bookmarkEnd w:id="6"/>
    </w:p>
    <w:p w14:paraId="48599EC8" w14:textId="4442D32D" w:rsidR="004915DE" w:rsidRPr="002E220B" w:rsidRDefault="004915DE" w:rsidP="004915DE">
      <w:pPr>
        <w:jc w:val="center"/>
        <w:rPr>
          <w:rFonts w:cs="Arial"/>
        </w:rPr>
      </w:pPr>
      <w:r w:rsidRPr="002E220B">
        <w:rPr>
          <w:rFonts w:cs="Arial"/>
          <w:noProof/>
        </w:rPr>
        <w:drawing>
          <wp:inline distT="0" distB="0" distL="0" distR="0" wp14:anchorId="52AC40D6" wp14:editId="268EEB02">
            <wp:extent cx="5900057" cy="2917371"/>
            <wp:effectExtent l="0" t="0" r="5715" b="16510"/>
            <wp:docPr id="1162088776" name="Chart 1">
              <a:extLst xmlns:a="http://schemas.openxmlformats.org/drawingml/2006/main">
                <a:ext uri="{FF2B5EF4-FFF2-40B4-BE49-F238E27FC236}">
                  <a16:creationId xmlns:a16="http://schemas.microsoft.com/office/drawing/2014/main" id="{EE1F2C1E-7D9E-EFC1-F07B-25E21875272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B8868CD" w14:textId="48EDF155" w:rsidR="004915DE" w:rsidRPr="002E220B" w:rsidRDefault="004915DE" w:rsidP="004915DE">
      <w:pPr>
        <w:jc w:val="center"/>
        <w:rPr>
          <w:rFonts w:cs="Arial"/>
          <w:b/>
          <w:bCs/>
        </w:rPr>
      </w:pPr>
      <w:r w:rsidRPr="002E220B">
        <w:rPr>
          <w:rFonts w:cs="Arial"/>
          <w:b/>
          <w:bCs/>
        </w:rPr>
        <w:t xml:space="preserve">Figure </w:t>
      </w:r>
      <w:r w:rsidR="00180384" w:rsidRPr="002E220B">
        <w:rPr>
          <w:rFonts w:cs="Arial"/>
          <w:b/>
          <w:bCs/>
        </w:rPr>
        <w:t>5</w:t>
      </w:r>
      <w:r w:rsidRPr="002E220B">
        <w:rPr>
          <w:rFonts w:cs="Arial"/>
          <w:b/>
          <w:bCs/>
        </w:rPr>
        <w:t>: Gearing Ratios</w:t>
      </w:r>
    </w:p>
    <w:p w14:paraId="250672D0" w14:textId="2C4915D8" w:rsidR="004915DE" w:rsidRPr="002E220B" w:rsidRDefault="004915DE" w:rsidP="004915DE">
      <w:pPr>
        <w:jc w:val="center"/>
        <w:rPr>
          <w:rFonts w:cs="Arial"/>
        </w:rPr>
      </w:pPr>
      <w:r w:rsidRPr="002E220B">
        <w:rPr>
          <w:rFonts w:cs="Arial"/>
        </w:rPr>
        <w:t>(Source: MS Excel)</w:t>
      </w:r>
    </w:p>
    <w:p w14:paraId="3033CE48" w14:textId="77777777" w:rsidR="00775CAC" w:rsidRPr="002E220B" w:rsidRDefault="00775CAC" w:rsidP="004915DE">
      <w:pPr>
        <w:rPr>
          <w:rFonts w:cs="Arial"/>
        </w:rPr>
      </w:pPr>
      <w:r w:rsidRPr="002E220B">
        <w:rPr>
          <w:rFonts w:cs="Arial"/>
        </w:rPr>
        <w:t xml:space="preserve">The gearing position of Hyundai is a clear shift towards a more conservative capital structure. The debt-to-equity ratio decreased in 2025, compared to 2021, to 1.35, </w:t>
      </w:r>
      <w:r w:rsidRPr="002E220B">
        <w:rPr>
          <w:rFonts w:cs="Arial"/>
        </w:rPr>
        <w:lastRenderedPageBreak/>
        <w:t>indicating a decrease in the dependence on debt financing. This conversion increases financial stability and reduces exposure to fluctuations in interest rates.</w:t>
      </w:r>
    </w:p>
    <w:p w14:paraId="4E7D6E28" w14:textId="14F29238" w:rsidR="00775CAC" w:rsidRPr="002E220B" w:rsidRDefault="00775CAC" w:rsidP="004915DE">
      <w:pPr>
        <w:rPr>
          <w:rFonts w:cs="Arial"/>
        </w:rPr>
      </w:pPr>
      <w:r w:rsidRPr="002E220B">
        <w:rPr>
          <w:rFonts w:cs="Arial"/>
        </w:rPr>
        <w:t xml:space="preserve">The debt ratio also was reduced by 0.62 to 0.57 showing that an even smaller percentage of the </w:t>
      </w:r>
      <w:r w:rsidR="004915DE" w:rsidRPr="002E220B">
        <w:rPr>
          <w:rFonts w:cs="Arial"/>
        </w:rPr>
        <w:t>company’s</w:t>
      </w:r>
      <w:r w:rsidRPr="002E220B">
        <w:rPr>
          <w:rFonts w:cs="Arial"/>
        </w:rPr>
        <w:t xml:space="preserve"> assets are financed with the help of liabilities. This enhancement boosts the balance sheet of Hyundai and enhances its ability to absorb financial shocks.</w:t>
      </w:r>
    </w:p>
    <w:p w14:paraId="61ABBE5B" w14:textId="510E9067" w:rsidR="00775CAC" w:rsidRPr="002E220B" w:rsidRDefault="00775CAC" w:rsidP="004915DE">
      <w:pPr>
        <w:rPr>
          <w:rFonts w:cs="Arial"/>
        </w:rPr>
      </w:pPr>
      <w:r w:rsidRPr="002E220B">
        <w:rPr>
          <w:rFonts w:cs="Arial"/>
        </w:rPr>
        <w:t>But there is a trade-off that comes with this conservative approach. Although the financial risk is decreased, the lower leverage could also restrict Hyundai in financing big investments needed to expand its EVs. Rival companies that pursue more aggressive financing policies can grow quicker and attain competitive benefits</w:t>
      </w:r>
      <w:r w:rsidR="004915DE" w:rsidRPr="002E220B">
        <w:rPr>
          <w:rFonts w:cs="Arial"/>
        </w:rPr>
        <w:t xml:space="preserve"> (</w:t>
      </w:r>
      <w:proofErr w:type="spellStart"/>
      <w:r w:rsidR="004915DE" w:rsidRPr="002E220B">
        <w:rPr>
          <w:rFonts w:cs="Arial"/>
        </w:rPr>
        <w:t>Frésard</w:t>
      </w:r>
      <w:proofErr w:type="spellEnd"/>
      <w:r w:rsidR="004915DE" w:rsidRPr="002E220B">
        <w:rPr>
          <w:rFonts w:cs="Arial"/>
        </w:rPr>
        <w:t xml:space="preserve"> and Phillips, 2024)</w:t>
      </w:r>
      <w:r w:rsidRPr="002E220B">
        <w:rPr>
          <w:rFonts w:cs="Arial"/>
        </w:rPr>
        <w:t>.</w:t>
      </w:r>
    </w:p>
    <w:p w14:paraId="0CE6F767" w14:textId="52F39087" w:rsidR="004915DE" w:rsidRPr="002E220B" w:rsidRDefault="004915DE" w:rsidP="00DB458E">
      <w:pPr>
        <w:pStyle w:val="Heading3"/>
      </w:pPr>
      <w:bookmarkStart w:id="7" w:name="_Toc227579194"/>
      <w:r w:rsidRPr="002E220B">
        <w:t>1.</w:t>
      </w:r>
      <w:r w:rsidR="00DB458E" w:rsidRPr="002E220B">
        <w:t>2.5</w:t>
      </w:r>
      <w:r w:rsidRPr="002E220B">
        <w:t xml:space="preserve"> Investment and Cash Flow Analysis</w:t>
      </w:r>
      <w:bookmarkEnd w:id="7"/>
    </w:p>
    <w:p w14:paraId="1A03F04E" w14:textId="27A51BBC" w:rsidR="004915DE" w:rsidRPr="002E220B" w:rsidRDefault="004915DE" w:rsidP="004915DE">
      <w:pPr>
        <w:jc w:val="center"/>
        <w:rPr>
          <w:rFonts w:cs="Arial"/>
        </w:rPr>
      </w:pPr>
      <w:r w:rsidRPr="002E220B">
        <w:rPr>
          <w:rFonts w:cs="Arial"/>
          <w:noProof/>
        </w:rPr>
        <w:drawing>
          <wp:inline distT="0" distB="0" distL="0" distR="0" wp14:anchorId="0425B358" wp14:editId="39404FE3">
            <wp:extent cx="6204857" cy="3080657"/>
            <wp:effectExtent l="0" t="0" r="5715" b="5715"/>
            <wp:docPr id="395882618" name="Chart 1">
              <a:extLst xmlns:a="http://schemas.openxmlformats.org/drawingml/2006/main">
                <a:ext uri="{FF2B5EF4-FFF2-40B4-BE49-F238E27FC236}">
                  <a16:creationId xmlns:a16="http://schemas.microsoft.com/office/drawing/2014/main" id="{3A6238F7-6863-6B4E-64AD-AC42299DEC4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B80AD38" w14:textId="7A7492A9" w:rsidR="004915DE" w:rsidRPr="002E220B" w:rsidRDefault="004915DE" w:rsidP="004915DE">
      <w:pPr>
        <w:jc w:val="center"/>
        <w:rPr>
          <w:rFonts w:cs="Arial"/>
          <w:b/>
          <w:bCs/>
        </w:rPr>
      </w:pPr>
      <w:r w:rsidRPr="002E220B">
        <w:rPr>
          <w:rFonts w:cs="Arial"/>
          <w:b/>
          <w:bCs/>
        </w:rPr>
        <w:t xml:space="preserve">Figure </w:t>
      </w:r>
      <w:r w:rsidR="00180384" w:rsidRPr="002E220B">
        <w:rPr>
          <w:rFonts w:cs="Arial"/>
          <w:b/>
          <w:bCs/>
        </w:rPr>
        <w:t>6</w:t>
      </w:r>
      <w:r w:rsidRPr="002E220B">
        <w:rPr>
          <w:rFonts w:cs="Arial"/>
          <w:b/>
          <w:bCs/>
        </w:rPr>
        <w:t>: Investment Ratios</w:t>
      </w:r>
    </w:p>
    <w:p w14:paraId="3E21F2AC" w14:textId="2DA4E0CC" w:rsidR="004915DE" w:rsidRPr="002E220B" w:rsidRDefault="004915DE" w:rsidP="004915DE">
      <w:pPr>
        <w:jc w:val="center"/>
        <w:rPr>
          <w:rFonts w:cs="Arial"/>
        </w:rPr>
      </w:pPr>
      <w:r w:rsidRPr="002E220B">
        <w:rPr>
          <w:rFonts w:cs="Arial"/>
        </w:rPr>
        <w:t>(Source: MS Excel)</w:t>
      </w:r>
    </w:p>
    <w:p w14:paraId="13ADE95C" w14:textId="4A9A2D7F" w:rsidR="004915DE" w:rsidRPr="002E220B" w:rsidRDefault="004915DE" w:rsidP="004915DE">
      <w:pPr>
        <w:rPr>
          <w:rFonts w:cs="Arial"/>
        </w:rPr>
      </w:pPr>
      <w:r w:rsidRPr="002E220B">
        <w:rPr>
          <w:rFonts w:cs="Arial"/>
        </w:rPr>
        <w:t xml:space="preserve">Shareholder value creation evidence is improving in terms of investment ratios. The company grew its EPS substantially between the periods, indicating that there was an increment in profitability to the shareholders. Concurrently, the price-to-earnings ratio fell </w:t>
      </w:r>
      <w:r w:rsidRPr="002E220B">
        <w:rPr>
          <w:rFonts w:cs="Arial"/>
        </w:rPr>
        <w:lastRenderedPageBreak/>
        <w:t>indicating that the market anticipations have not risen in the same rates as an increase in earnings (Conrad, 2026). This could mean that investors are wary of risks in future in the EV market.</w:t>
      </w:r>
    </w:p>
    <w:p w14:paraId="11DE3814" w14:textId="77777777" w:rsidR="004915DE" w:rsidRPr="002E220B" w:rsidRDefault="004915DE" w:rsidP="004915DE">
      <w:pPr>
        <w:rPr>
          <w:rFonts w:cs="Arial"/>
        </w:rPr>
      </w:pPr>
      <w:r w:rsidRPr="002E220B">
        <w:rPr>
          <w:rFonts w:cs="Arial"/>
        </w:rPr>
        <w:t>The dividend payout ratio is on a downward trend, which means that Hyundai is keeping a bigger percentage of its earnings to reinvestments. This is in line with its strategic orientation towards innovation and growth in EV market. The net asset value per share was also steadily growing, which indicates the growth in the equity of the company and its financial strength.</w:t>
      </w:r>
    </w:p>
    <w:p w14:paraId="4EF98935" w14:textId="6E96FA47" w:rsidR="004915DE" w:rsidRPr="002E220B" w:rsidRDefault="004915DE" w:rsidP="004915DE">
      <w:pPr>
        <w:jc w:val="center"/>
        <w:rPr>
          <w:rFonts w:cs="Arial"/>
        </w:rPr>
      </w:pPr>
      <w:r w:rsidRPr="002E220B">
        <w:rPr>
          <w:rFonts w:cs="Arial"/>
          <w:noProof/>
        </w:rPr>
        <w:drawing>
          <wp:inline distT="0" distB="0" distL="0" distR="0" wp14:anchorId="310C7074" wp14:editId="609D533F">
            <wp:extent cx="5932714" cy="3167743"/>
            <wp:effectExtent l="0" t="0" r="11430" b="13970"/>
            <wp:docPr id="656281219" name="Chart 1">
              <a:extLst xmlns:a="http://schemas.openxmlformats.org/drawingml/2006/main">
                <a:ext uri="{FF2B5EF4-FFF2-40B4-BE49-F238E27FC236}">
                  <a16:creationId xmlns:a16="http://schemas.microsoft.com/office/drawing/2014/main" id="{EFC52CCC-69C5-2AF2-42D0-2B9558E2652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76F301D" w14:textId="6AC1E4DE" w:rsidR="004915DE" w:rsidRPr="002E220B" w:rsidRDefault="004915DE" w:rsidP="004915DE">
      <w:pPr>
        <w:jc w:val="center"/>
        <w:rPr>
          <w:rFonts w:cs="Arial"/>
          <w:b/>
          <w:bCs/>
        </w:rPr>
      </w:pPr>
      <w:r w:rsidRPr="002E220B">
        <w:rPr>
          <w:rFonts w:cs="Arial"/>
          <w:b/>
          <w:bCs/>
        </w:rPr>
        <w:t xml:space="preserve">Figure </w:t>
      </w:r>
      <w:r w:rsidR="00AB2A52" w:rsidRPr="002E220B">
        <w:rPr>
          <w:rFonts w:cs="Arial"/>
          <w:b/>
          <w:bCs/>
        </w:rPr>
        <w:t>7:</w:t>
      </w:r>
      <w:r w:rsidRPr="002E220B">
        <w:rPr>
          <w:rFonts w:cs="Arial"/>
          <w:b/>
          <w:bCs/>
        </w:rPr>
        <w:t xml:space="preserve"> Cash Flow Ratios</w:t>
      </w:r>
    </w:p>
    <w:p w14:paraId="410CA830" w14:textId="6A2B9C10" w:rsidR="004915DE" w:rsidRPr="002E220B" w:rsidRDefault="004915DE" w:rsidP="004915DE">
      <w:pPr>
        <w:jc w:val="center"/>
        <w:rPr>
          <w:rFonts w:cs="Arial"/>
        </w:rPr>
      </w:pPr>
      <w:r w:rsidRPr="002E220B">
        <w:rPr>
          <w:rFonts w:cs="Arial"/>
        </w:rPr>
        <w:t>(Source: MS Excel)</w:t>
      </w:r>
    </w:p>
    <w:p w14:paraId="151A1FF3" w14:textId="2280AB8A" w:rsidR="004915DE" w:rsidRPr="002E220B" w:rsidRDefault="004915DE" w:rsidP="004915DE">
      <w:pPr>
        <w:rPr>
          <w:rFonts w:cs="Arial"/>
        </w:rPr>
      </w:pPr>
      <w:r w:rsidRPr="002E220B">
        <w:rPr>
          <w:rFonts w:cs="Arial"/>
        </w:rPr>
        <w:t>The cash flow ratios further support the strengthening financial standpoint of Hyundai. Operating cash flow ratio improved, as it stood at 0.22 and at 0.33, showing an improved capacity to cater to short term obligations using internally generated cash. Likewise, the operating cash flow to debt also increased, which represented a better ability to pay off the long-term obligations.</w:t>
      </w:r>
    </w:p>
    <w:p w14:paraId="31F64821" w14:textId="2B8E4C4A" w:rsidR="00F54C51" w:rsidRPr="002E220B" w:rsidRDefault="004915DE" w:rsidP="002E220B">
      <w:pPr>
        <w:rPr>
          <w:rFonts w:cs="Arial"/>
        </w:rPr>
      </w:pPr>
      <w:r w:rsidRPr="002E220B">
        <w:rPr>
          <w:rFonts w:cs="Arial"/>
        </w:rPr>
        <w:lastRenderedPageBreak/>
        <w:t>There was also steady improvement in the cash flow margin, which points out to the increased efficiency in transforming revenue into cash. This is especially critical when the industry in question is capital intensive and there is need to generate high cash flows to finance continuity in investment.</w:t>
      </w:r>
      <w:r w:rsidR="002E220B">
        <w:rPr>
          <w:rFonts w:cs="Arial"/>
        </w:rPr>
        <w:t xml:space="preserve"> </w:t>
      </w:r>
      <w:r w:rsidRPr="002E220B">
        <w:rPr>
          <w:rFonts w:cs="Arial"/>
        </w:rPr>
        <w:t>Nevertheless, long-term high capital spending, to develop EVs, could strain subsequent cash flows. This means that it will be necessary to ensure that operations continue to generate good operational cash to be able to grow in the long run.</w:t>
      </w:r>
    </w:p>
    <w:p w14:paraId="000A8AB3" w14:textId="7FE511BB" w:rsidR="004915DE" w:rsidRPr="002E220B" w:rsidRDefault="004915DE" w:rsidP="00DB458E">
      <w:pPr>
        <w:pStyle w:val="Heading2"/>
      </w:pPr>
      <w:bookmarkStart w:id="8" w:name="_Toc227579195"/>
      <w:r w:rsidRPr="002E220B">
        <w:t>1.</w:t>
      </w:r>
      <w:r w:rsidR="00DB458E" w:rsidRPr="002E220B">
        <w:t>3</w:t>
      </w:r>
      <w:r w:rsidRPr="002E220B">
        <w:t xml:space="preserve"> </w:t>
      </w:r>
      <w:r w:rsidR="00DB458E" w:rsidRPr="002E220B">
        <w:t>Identification of trends, strengths and threats</w:t>
      </w:r>
      <w:bookmarkEnd w:id="8"/>
    </w:p>
    <w:p w14:paraId="70BEEE25" w14:textId="48BAC9C2" w:rsidR="004915DE" w:rsidRPr="002E220B" w:rsidRDefault="004915DE" w:rsidP="004915DE">
      <w:pPr>
        <w:rPr>
          <w:rFonts w:cs="Arial"/>
        </w:rPr>
      </w:pPr>
      <w:r w:rsidRPr="002E220B">
        <w:rPr>
          <w:rFonts w:cs="Arial"/>
        </w:rPr>
        <w:t>Altogether, Hyundai Motor Company has excellent financial performance, which is marked by increasing profitability, growing efficiency, decreasing leverage, and increasing cash flow generation. Such trends reveal a good strategic implementation and survival in a hostile atmosphere.</w:t>
      </w:r>
      <w:r w:rsidR="002E220B">
        <w:rPr>
          <w:rFonts w:cs="Arial"/>
        </w:rPr>
        <w:t xml:space="preserve"> </w:t>
      </w:r>
      <w:r w:rsidRPr="002E220B">
        <w:rPr>
          <w:rFonts w:cs="Arial"/>
        </w:rPr>
        <w:t>However, several issues are left. The liquidity is average, the level of efficiency is average, and the profitability could be threatened in future due to increase in costs and escalating competition. The reason to continually invest in EV technology also creates financial issues.</w:t>
      </w:r>
      <w:r w:rsidR="002E220B">
        <w:rPr>
          <w:rFonts w:cs="Arial"/>
        </w:rPr>
        <w:t xml:space="preserve"> </w:t>
      </w:r>
      <w:r w:rsidRPr="002E220B">
        <w:rPr>
          <w:rFonts w:cs="Arial"/>
        </w:rPr>
        <w:t>Finally, the financial situation of Hyundai is very strong but not risk-free. The extent to which it can be able to maintain profitability, increase liquidity, and balance strategic investment and financial stability in an increasingly competitive global market will determine whether it succeeds in the long term.</w:t>
      </w:r>
    </w:p>
    <w:p w14:paraId="67C302B1" w14:textId="2FF7497A" w:rsidR="004915DE" w:rsidRPr="002E220B" w:rsidRDefault="004915DE" w:rsidP="004915DE">
      <w:pPr>
        <w:pStyle w:val="Heading1"/>
        <w:rPr>
          <w:rFonts w:cs="Arial"/>
        </w:rPr>
      </w:pPr>
      <w:bookmarkStart w:id="9" w:name="_Toc227579196"/>
      <w:r w:rsidRPr="002E220B">
        <w:rPr>
          <w:rFonts w:cs="Arial"/>
        </w:rPr>
        <w:t>2. Working Capital Management Analysis</w:t>
      </w:r>
      <w:bookmarkEnd w:id="9"/>
    </w:p>
    <w:p w14:paraId="411F52C4" w14:textId="6FBBC3D3" w:rsidR="004915DE" w:rsidRPr="002E220B" w:rsidRDefault="004915DE" w:rsidP="00DB458E">
      <w:pPr>
        <w:pStyle w:val="Heading2"/>
      </w:pPr>
      <w:bookmarkStart w:id="10" w:name="_Toc227579197"/>
      <w:r w:rsidRPr="002E220B">
        <w:t>2.1 Introduction</w:t>
      </w:r>
      <w:bookmarkEnd w:id="10"/>
    </w:p>
    <w:p w14:paraId="2B6A20C6" w14:textId="57B66682" w:rsidR="004915DE" w:rsidRPr="002E220B" w:rsidRDefault="004915DE" w:rsidP="004915DE">
      <w:pPr>
        <w:rPr>
          <w:rFonts w:cs="Arial"/>
        </w:rPr>
      </w:pPr>
      <w:r w:rsidRPr="002E220B">
        <w:rPr>
          <w:rFonts w:cs="Arial"/>
        </w:rPr>
        <w:t>The management of working capital is important in ensuring the short-term financial stability of Hyundai Motor Company, especially in an industry as capital intensive as automotive manufacturing and one that is globally integrated. Proper utilisation of current liability and assets guarantee that the company will be able to keep its operational commitments as well as enabling growth and investment (</w:t>
      </w:r>
      <w:proofErr w:type="spellStart"/>
      <w:r w:rsidRPr="002E220B">
        <w:rPr>
          <w:rFonts w:cs="Arial"/>
        </w:rPr>
        <w:t>Krylovskyi</w:t>
      </w:r>
      <w:proofErr w:type="spellEnd"/>
      <w:r w:rsidRPr="002E220B">
        <w:rPr>
          <w:rFonts w:cs="Arial"/>
        </w:rPr>
        <w:t>, 2024).</w:t>
      </w:r>
    </w:p>
    <w:p w14:paraId="581B56E8" w14:textId="7B43816D" w:rsidR="00F54C51" w:rsidRPr="002E220B" w:rsidRDefault="004915DE" w:rsidP="002E220B">
      <w:pPr>
        <w:rPr>
          <w:rFonts w:cs="Arial"/>
        </w:rPr>
      </w:pPr>
      <w:r w:rsidRPr="002E220B">
        <w:rPr>
          <w:rFonts w:cs="Arial"/>
        </w:rPr>
        <w:t xml:space="preserve">In the case of Hyundai, the sensitivity of working capital is further compounded by its shift to electric vehicles (EVs) that require complicated supply chains, substantial inventory levels, and substantial initial expenses (Katajamäki, 2024). This part will analyse the </w:t>
      </w:r>
      <w:r w:rsidRPr="002E220B">
        <w:rPr>
          <w:rFonts w:cs="Arial"/>
        </w:rPr>
        <w:lastRenderedPageBreak/>
        <w:t>working capital position of Hyundai in terms of liquidity patterns, cash operating cycle and financing policies and then give recommendations on how the working capital can be improved.</w:t>
      </w:r>
    </w:p>
    <w:p w14:paraId="66934349" w14:textId="5039E537" w:rsidR="004915DE" w:rsidRPr="002E220B" w:rsidRDefault="004915DE" w:rsidP="00DB458E">
      <w:pPr>
        <w:pStyle w:val="Heading2"/>
      </w:pPr>
      <w:bookmarkStart w:id="11" w:name="_Toc227579198"/>
      <w:r w:rsidRPr="002E220B">
        <w:t>2.2 Cash Operation Cycle Analysis</w:t>
      </w:r>
      <w:bookmarkEnd w:id="11"/>
    </w:p>
    <w:p w14:paraId="3BD14113" w14:textId="534CFAE3" w:rsidR="004915DE" w:rsidRPr="002E220B" w:rsidRDefault="004915DE" w:rsidP="004915DE">
      <w:pPr>
        <w:rPr>
          <w:rFonts w:cs="Arial"/>
        </w:rPr>
      </w:pPr>
      <w:r w:rsidRPr="002E220B">
        <w:rPr>
          <w:rFonts w:cs="Arial"/>
        </w:rPr>
        <w:t>The cash operating cycle (CCC) is a measurement of how long a company requires itself to turn investments that have been made in inventory and receivables into cash inflows (Asman et al., 2022). It is one of the primary factors of the efficiency of the working capital.</w:t>
      </w:r>
    </w:p>
    <w:p w14:paraId="2271EC86" w14:textId="4EEE9334" w:rsidR="004915DE" w:rsidRPr="002E220B" w:rsidRDefault="004915DE" w:rsidP="004915DE">
      <w:pPr>
        <w:rPr>
          <w:rFonts w:cs="Arial"/>
        </w:rPr>
      </w:pPr>
      <w:r w:rsidRPr="002E220B">
        <w:rPr>
          <w:rFonts w:cs="Arial"/>
        </w:rPr>
        <w:t>Though we are not actually given detailed data of receivables and payables, we can also gain some insights based on the inventory turnover ratio that is relatively steady at approximately 7 times a year. This indicates that Hyundai transforms its inventory into sales about every 50-52days meaning that the company has an efficient inventory management system.</w:t>
      </w:r>
    </w:p>
    <w:p w14:paraId="13618A45" w14:textId="5EBC5312" w:rsidR="004915DE" w:rsidRPr="002E220B" w:rsidRDefault="004915DE" w:rsidP="004915DE">
      <w:pPr>
        <w:rPr>
          <w:rFonts w:cs="Arial"/>
        </w:rPr>
      </w:pPr>
      <w:r w:rsidRPr="002E220B">
        <w:rPr>
          <w:rFonts w:cs="Arial"/>
        </w:rPr>
        <w:t>Nevertheless, inventory turnover is also stable, which means that there is not much room to improve (</w:t>
      </w:r>
      <w:proofErr w:type="spellStart"/>
      <w:r w:rsidRPr="002E220B">
        <w:rPr>
          <w:rFonts w:cs="Arial"/>
        </w:rPr>
        <w:t>Kashtalian</w:t>
      </w:r>
      <w:proofErr w:type="spellEnd"/>
      <w:r w:rsidRPr="002E220B">
        <w:rPr>
          <w:rFonts w:cs="Arial"/>
        </w:rPr>
        <w:t>, 2025). Since the EV business is highly dynamic, with demand trends and technology advancing at a fast pace, the absence of notable improvement in inventory efficiency would perhaps signal the rigidity of the structure of the Hyundai supply chain.</w:t>
      </w:r>
    </w:p>
    <w:p w14:paraId="0DAA6B39" w14:textId="355C0A63" w:rsidR="004915DE" w:rsidRPr="002E220B" w:rsidRDefault="004915DE" w:rsidP="004915DE">
      <w:pPr>
        <w:rPr>
          <w:rFonts w:cs="Arial"/>
        </w:rPr>
      </w:pPr>
      <w:r w:rsidRPr="002E220B">
        <w:rPr>
          <w:rFonts w:cs="Arial"/>
        </w:rPr>
        <w:t>Critically, the cash cycle of Hyundai is most likely to be affected by its international business and reliance on such important elements as semiconductors and batteries. Any impairment in these inputs has the potential to lengthen inventory days, slow down production resulting in the cash cycle lengthening. This puts the company at a liquidity strain, particularly when coupled with an already, rather strict liquidity ratio.</w:t>
      </w:r>
    </w:p>
    <w:p w14:paraId="5D98FA50" w14:textId="482A7844" w:rsidR="004915DE" w:rsidRPr="002E220B" w:rsidRDefault="004915DE" w:rsidP="00DB458E">
      <w:pPr>
        <w:pStyle w:val="Heading2"/>
      </w:pPr>
      <w:bookmarkStart w:id="12" w:name="_Toc227579199"/>
      <w:r w:rsidRPr="002E220B">
        <w:t>2.3 Liquidity and Working Capital Position</w:t>
      </w:r>
      <w:bookmarkEnd w:id="12"/>
    </w:p>
    <w:p w14:paraId="1659DB16" w14:textId="11778408" w:rsidR="004915DE" w:rsidRPr="002E220B" w:rsidRDefault="004915DE" w:rsidP="004915DE">
      <w:pPr>
        <w:rPr>
          <w:rFonts w:cs="Arial"/>
        </w:rPr>
      </w:pPr>
      <w:r w:rsidRPr="002E220B">
        <w:rPr>
          <w:rFonts w:cs="Arial"/>
        </w:rPr>
        <w:t>Liquidity ratios of Hyundai reflect a reserve yet limited working capital. The current ratio has increased to a little higher than below 1, which indicates that the current assets are currently adequately high to meet the short-term liability. This is however a slight improvement, and the margin of safety is at a low level.</w:t>
      </w:r>
    </w:p>
    <w:p w14:paraId="17608AA4" w14:textId="6D5A817F" w:rsidR="004915DE" w:rsidRPr="002E220B" w:rsidRDefault="004915DE" w:rsidP="004915DE">
      <w:pPr>
        <w:rPr>
          <w:rFonts w:cs="Arial"/>
        </w:rPr>
      </w:pPr>
      <w:r w:rsidRPr="002E220B">
        <w:rPr>
          <w:rFonts w:cs="Arial"/>
        </w:rPr>
        <w:lastRenderedPageBreak/>
        <w:t>The quick ratio, which is always less than 1, represents that Hyundai is using a large proportion of inventory according to its short-term liability. This reliance augments financial risk most especially when it is in inability to turn inventory into cash within a short time because of trade fluctuations or a supply chain failure.</w:t>
      </w:r>
    </w:p>
    <w:p w14:paraId="1775E864" w14:textId="2F236568" w:rsidR="004915DE" w:rsidRPr="002E220B" w:rsidRDefault="004915DE" w:rsidP="004915DE">
      <w:pPr>
        <w:rPr>
          <w:rFonts w:cs="Arial"/>
        </w:rPr>
      </w:pPr>
      <w:r w:rsidRPr="002E220B">
        <w:rPr>
          <w:rFonts w:cs="Arial"/>
        </w:rPr>
        <w:t>The cash ratio is also relatively low even though it is improving and indicates the lack of liquidity in the short term. This implies that Hyundai does not have any large amount of cash rests which may limit its capacity to act promptly to sudden financial demands without external liquidity.</w:t>
      </w:r>
    </w:p>
    <w:p w14:paraId="452FB4D6" w14:textId="666F5677" w:rsidR="004915DE" w:rsidRPr="002E220B" w:rsidRDefault="004915DE" w:rsidP="00DB458E">
      <w:pPr>
        <w:pStyle w:val="Heading2"/>
      </w:pPr>
      <w:bookmarkStart w:id="13" w:name="_Toc227579200"/>
      <w:r w:rsidRPr="002E220B">
        <w:t>2.4 Short term vs Long-Term Financing</w:t>
      </w:r>
      <w:bookmarkEnd w:id="13"/>
    </w:p>
    <w:p w14:paraId="52394AC9" w14:textId="51E5B75A" w:rsidR="004915DE" w:rsidRPr="002E220B" w:rsidRDefault="004915DE" w:rsidP="004915DE">
      <w:pPr>
        <w:rPr>
          <w:rFonts w:cs="Arial"/>
        </w:rPr>
      </w:pPr>
      <w:r w:rsidRPr="002E220B">
        <w:rPr>
          <w:rFonts w:cs="Arial"/>
        </w:rPr>
        <w:t>Hyundai uses both the short-term and long-term financing to ensure its working capital requirement is met. Day to day activities, like inventory, receivables are usually financed by short-term financing, such as trade credit, short-term borrowings (Nicolas, 2022). This method offers flexibility and conforms financing with operations cycles.</w:t>
      </w:r>
    </w:p>
    <w:p w14:paraId="7AF6E113" w14:textId="77777777" w:rsidR="004915DE" w:rsidRPr="002E220B" w:rsidRDefault="004915DE" w:rsidP="004915DE">
      <w:pPr>
        <w:rPr>
          <w:rFonts w:cs="Arial"/>
        </w:rPr>
      </w:pPr>
      <w:r w:rsidRPr="002E220B">
        <w:rPr>
          <w:rFonts w:cs="Arial"/>
        </w:rPr>
        <w:t>But this may have the disadvantage of augmenting liquidity risk in case there is a delay in cash inflows or the market becomes tighter. Considering that Hyundai has comparatively low liquidity ratios, short-term financing might increase the financial weakness in times of disruption.</w:t>
      </w:r>
    </w:p>
    <w:p w14:paraId="5E03558B" w14:textId="1865E492" w:rsidR="00FA5711" w:rsidRPr="002E220B" w:rsidRDefault="004915DE" w:rsidP="004915DE">
      <w:pPr>
        <w:rPr>
          <w:rFonts w:cs="Arial"/>
        </w:rPr>
      </w:pPr>
      <w:r w:rsidRPr="002E220B">
        <w:rPr>
          <w:rFonts w:cs="Arial"/>
        </w:rPr>
        <w:t>Long term financing, equity and long run debt are more stable financing sources to work capital and long-term investments (Akbar et al., 2022). The decreasing debt-to-equity ratio at Hyundai implies that the company is experiencing a change towards a more conservative capital structure, and thus less reliance on debt.</w:t>
      </w:r>
    </w:p>
    <w:p w14:paraId="1D1F3EEA" w14:textId="73A6DF8D" w:rsidR="004915DE" w:rsidRPr="002E220B" w:rsidRDefault="004915DE" w:rsidP="00DB458E">
      <w:pPr>
        <w:pStyle w:val="Heading2"/>
      </w:pPr>
      <w:bookmarkStart w:id="14" w:name="_Toc227579201"/>
      <w:r w:rsidRPr="002E220B">
        <w:t>2.5 Suggestions to Enhance Working Capital</w:t>
      </w:r>
      <w:bookmarkEnd w:id="14"/>
    </w:p>
    <w:p w14:paraId="47AAB17F" w14:textId="3AD99242" w:rsidR="004915DE" w:rsidRPr="002E220B" w:rsidRDefault="004915DE" w:rsidP="004915DE">
      <w:pPr>
        <w:rPr>
          <w:rFonts w:cs="Arial"/>
        </w:rPr>
      </w:pPr>
      <w:r w:rsidRPr="002E220B">
        <w:rPr>
          <w:rFonts w:cs="Arial"/>
        </w:rPr>
        <w:t xml:space="preserve">To build a strong working capital position, Hyundai needs to emphasize on a few strategies. To begin with, by enhancing inventory procedures using sophisticated forecasting and online supply chain connectivity, it will be possible to cut down holding times and release cash. Utilising technologies like artificial intelligence and real-time data </w:t>
      </w:r>
      <w:r w:rsidRPr="002E220B">
        <w:rPr>
          <w:rFonts w:cs="Arial"/>
        </w:rPr>
        <w:lastRenderedPageBreak/>
        <w:t xml:space="preserve">analytics will provide an opportunity to improve demand forecasting and inventory </w:t>
      </w:r>
      <w:proofErr w:type="spellStart"/>
      <w:r w:rsidRPr="002E220B">
        <w:rPr>
          <w:rFonts w:cs="Arial"/>
        </w:rPr>
        <w:t>optimization</w:t>
      </w:r>
      <w:proofErr w:type="spellEnd"/>
      <w:r w:rsidRPr="002E220B">
        <w:rPr>
          <w:rFonts w:cs="Arial"/>
        </w:rPr>
        <w:t xml:space="preserve"> (</w:t>
      </w:r>
      <w:proofErr w:type="spellStart"/>
      <w:r w:rsidRPr="002E220B">
        <w:rPr>
          <w:rFonts w:cs="Arial"/>
        </w:rPr>
        <w:t>Nweje</w:t>
      </w:r>
      <w:proofErr w:type="spellEnd"/>
      <w:r w:rsidRPr="002E220B">
        <w:rPr>
          <w:rFonts w:cs="Arial"/>
        </w:rPr>
        <w:t xml:space="preserve"> and </w:t>
      </w:r>
      <w:proofErr w:type="spellStart"/>
      <w:r w:rsidRPr="002E220B">
        <w:rPr>
          <w:rFonts w:cs="Arial"/>
        </w:rPr>
        <w:t>Taiwo</w:t>
      </w:r>
      <w:proofErr w:type="spellEnd"/>
      <w:r w:rsidRPr="002E220B">
        <w:rPr>
          <w:rFonts w:cs="Arial"/>
        </w:rPr>
        <w:t>, 2025).</w:t>
      </w:r>
    </w:p>
    <w:p w14:paraId="582972B9" w14:textId="4A8EBD06" w:rsidR="004915DE" w:rsidRPr="002E220B" w:rsidRDefault="004915DE" w:rsidP="004915DE">
      <w:pPr>
        <w:rPr>
          <w:rFonts w:cs="Arial"/>
        </w:rPr>
      </w:pPr>
      <w:r w:rsidRPr="002E220B">
        <w:rPr>
          <w:rFonts w:cs="Arial"/>
        </w:rPr>
        <w:t>Second, Hyundai ought to streamline its receivables to enable it to tighten credit conditions and hasten debt collections. This would reduce the cash conversion cycle and enhance liquidity. Third, it can negotiate long payment terms with suppliers to enhance the management of payables, thus lowering cash operating cycle. This should however be done in a moderate way to have good supplier relationship, especially on parts which are necessary to the EV.</w:t>
      </w:r>
    </w:p>
    <w:p w14:paraId="5DE54BF2" w14:textId="0903CDA1" w:rsidR="004915DE" w:rsidRPr="002E220B" w:rsidRDefault="004915DE" w:rsidP="004915DE">
      <w:pPr>
        <w:rPr>
          <w:rFonts w:cs="Arial"/>
        </w:rPr>
      </w:pPr>
      <w:r w:rsidRPr="002E220B">
        <w:rPr>
          <w:rFonts w:cs="Arial"/>
        </w:rPr>
        <w:t>Fourth, Hyundai may want to explore the idea of raising up the liquidity buffer by keeping reserves of cash or availability of credit facilities. Although this would have the effect of slightly lowering returns, it would elevate financial flexibility and sustainability.</w:t>
      </w:r>
    </w:p>
    <w:p w14:paraId="0F8F1AAC" w14:textId="2686B620" w:rsidR="004915DE" w:rsidRPr="002E220B" w:rsidRDefault="004915DE" w:rsidP="00DB458E">
      <w:pPr>
        <w:pStyle w:val="Heading2"/>
      </w:pPr>
      <w:bookmarkStart w:id="15" w:name="_Toc227579202"/>
      <w:r w:rsidRPr="002E220B">
        <w:t>2.6 Conclusion</w:t>
      </w:r>
      <w:bookmarkEnd w:id="15"/>
    </w:p>
    <w:p w14:paraId="7391F84F" w14:textId="3F5B2427" w:rsidR="004915DE" w:rsidRPr="002E220B" w:rsidRDefault="004915DE" w:rsidP="004915DE">
      <w:pPr>
        <w:rPr>
          <w:rFonts w:cs="Arial"/>
        </w:rPr>
      </w:pPr>
      <w:r w:rsidRPr="002E220B">
        <w:rPr>
          <w:rFonts w:cs="Arial"/>
        </w:rPr>
        <w:t>To sum up, Hyundai Motor Company can be characterized as moderately effective in terms of working capital management, as the inventory turnover has been stable, and the liquidity has improved slowly but steadily. Nevertheless, the general standing is rather constrained, and there are few buffers to cushion financial shocks.</w:t>
      </w:r>
    </w:p>
    <w:p w14:paraId="2C5C694A" w14:textId="6F843E69" w:rsidR="004915DE" w:rsidRPr="002E220B" w:rsidRDefault="004915DE" w:rsidP="004915DE">
      <w:pPr>
        <w:rPr>
          <w:rFonts w:cs="Arial"/>
        </w:rPr>
      </w:pPr>
      <w:r w:rsidRPr="002E220B">
        <w:rPr>
          <w:rFonts w:cs="Arial"/>
        </w:rPr>
        <w:t>The working capital policy of the company is characterized by a strong emphasis on efficiency, but at the expense of financial flexibility. Since Hyundai has been building its EV market share, optimisation of cash operating cycle and solid liquidity will be necessary as it grows.</w:t>
      </w:r>
    </w:p>
    <w:p w14:paraId="60D40253" w14:textId="1CA6E26C" w:rsidR="004915DE" w:rsidRPr="002E220B" w:rsidRDefault="004915DE" w:rsidP="004915DE">
      <w:pPr>
        <w:pStyle w:val="Heading1"/>
        <w:rPr>
          <w:rFonts w:cs="Arial"/>
        </w:rPr>
      </w:pPr>
      <w:bookmarkStart w:id="16" w:name="_Toc227579203"/>
      <w:r w:rsidRPr="002E220B">
        <w:rPr>
          <w:rFonts w:cs="Arial"/>
        </w:rPr>
        <w:t>3. Strategic Financial Restructuring Plan</w:t>
      </w:r>
      <w:bookmarkEnd w:id="16"/>
    </w:p>
    <w:p w14:paraId="3F642AB8" w14:textId="73BC5F74" w:rsidR="004915DE" w:rsidRPr="002E220B" w:rsidRDefault="004915DE" w:rsidP="00DB458E">
      <w:pPr>
        <w:pStyle w:val="Heading2"/>
      </w:pPr>
      <w:bookmarkStart w:id="17" w:name="_Toc227579204"/>
      <w:r w:rsidRPr="002E220B">
        <w:t>3.1 Introduction</w:t>
      </w:r>
      <w:bookmarkEnd w:id="17"/>
    </w:p>
    <w:p w14:paraId="088235DE" w14:textId="525CA173" w:rsidR="004915DE" w:rsidRPr="002E220B" w:rsidRDefault="004915DE" w:rsidP="004915DE">
      <w:pPr>
        <w:rPr>
          <w:rFonts w:cs="Arial"/>
        </w:rPr>
      </w:pPr>
      <w:r w:rsidRPr="002E220B">
        <w:rPr>
          <w:rFonts w:cs="Arial"/>
        </w:rPr>
        <w:t>Hyundai Motor Company currently finds itself at an essential phase of change, due to the world turning into electric vehicles (EVs), digital mobility, and sustainability. Although the company shows high profitability and increasing cash flows, the financial analysis shows such areas of concern as comparatively tight liquidity and average efficiency gains (</w:t>
      </w:r>
      <w:proofErr w:type="spellStart"/>
      <w:r w:rsidRPr="002E220B">
        <w:rPr>
          <w:rFonts w:cs="Arial"/>
        </w:rPr>
        <w:t>Arifaj</w:t>
      </w:r>
      <w:proofErr w:type="spellEnd"/>
      <w:r w:rsidRPr="002E220B">
        <w:rPr>
          <w:rFonts w:cs="Arial"/>
        </w:rPr>
        <w:t xml:space="preserve"> </w:t>
      </w:r>
      <w:r w:rsidRPr="002E220B">
        <w:rPr>
          <w:rFonts w:cs="Arial"/>
        </w:rPr>
        <w:lastRenderedPageBreak/>
        <w:t>et al., 2023). All these forces require a strategic financial restructuring plan to be competitive over the long-term and resilient.</w:t>
      </w:r>
    </w:p>
    <w:p w14:paraId="2B04FA5D" w14:textId="1BF1FE01" w:rsidR="004915DE" w:rsidRPr="002E220B" w:rsidRDefault="004915DE" w:rsidP="004915DE">
      <w:pPr>
        <w:rPr>
          <w:rFonts w:cs="Arial"/>
        </w:rPr>
      </w:pPr>
      <w:r w:rsidRPr="002E220B">
        <w:rPr>
          <w:rFonts w:cs="Arial"/>
        </w:rPr>
        <w:t>Restructuring of the financial context does not mean distress but an initiative to realign capital structure, away of assets, and financing strategies. It is aimed to increase the shareholder value, increase the financial flexibility, and facilitate the large-scale investment into EV technology and deal with the risks in an ever more uncertain global environment.</w:t>
      </w:r>
    </w:p>
    <w:p w14:paraId="66D2AEFF" w14:textId="5D478624" w:rsidR="004915DE" w:rsidRPr="002E220B" w:rsidRDefault="004915DE" w:rsidP="00DB458E">
      <w:pPr>
        <w:pStyle w:val="Heading2"/>
      </w:pPr>
      <w:bookmarkStart w:id="18" w:name="_Toc227579205"/>
      <w:r w:rsidRPr="002E220B">
        <w:t>3.2 Core Financial Problems Identification</w:t>
      </w:r>
      <w:bookmarkEnd w:id="18"/>
    </w:p>
    <w:p w14:paraId="2E8F8712" w14:textId="0DC4EB1B" w:rsidR="004915DE" w:rsidRPr="002E220B" w:rsidRDefault="004915DE" w:rsidP="004915DE">
      <w:pPr>
        <w:rPr>
          <w:rFonts w:cs="Arial"/>
        </w:rPr>
      </w:pPr>
      <w:r w:rsidRPr="002E220B">
        <w:rPr>
          <w:rFonts w:cs="Arial"/>
        </w:rPr>
        <w:t>Although Hyundai has performed well financially in the past, there are several under-laying factors that need to be taken care of. In the first place, the amount of liquidity is quite limited, as both current and quick ratios are slightly above or below the required level (Gunawan, 2023). This restricts the firm in terms of reacting to short term shocks or the quick ability to take advantage of new opportunities.</w:t>
      </w:r>
    </w:p>
    <w:p w14:paraId="7D4131C5" w14:textId="02920629" w:rsidR="004915DE" w:rsidRPr="002E220B" w:rsidRDefault="004915DE" w:rsidP="004915DE">
      <w:pPr>
        <w:rPr>
          <w:rFonts w:cs="Arial"/>
        </w:rPr>
      </w:pPr>
      <w:r w:rsidRPr="002E220B">
        <w:rPr>
          <w:rFonts w:cs="Arial"/>
        </w:rPr>
        <w:t>Second, although profitability has been favourable by a high rate, this is partly subject to favourable market conditions. How it will affect the profit margin (</w:t>
      </w:r>
      <w:proofErr w:type="spellStart"/>
      <w:r w:rsidRPr="002E220B">
        <w:rPr>
          <w:rFonts w:cs="Arial"/>
        </w:rPr>
        <w:t>Gržeta</w:t>
      </w:r>
      <w:proofErr w:type="spellEnd"/>
      <w:r w:rsidRPr="002E220B">
        <w:rPr>
          <w:rFonts w:cs="Arial"/>
        </w:rPr>
        <w:t xml:space="preserve"> et al., 2023). This competition in the EV industry and increasing cost of inputs can reduce margins in the future. Thus, ongoing efficiency enhancements and cost control will be necessary to maintain profitability.</w:t>
      </w:r>
    </w:p>
    <w:p w14:paraId="4F21FF0F" w14:textId="678EA68C" w:rsidR="004915DE" w:rsidRPr="002E220B" w:rsidRDefault="004915DE" w:rsidP="004915DE">
      <w:pPr>
        <w:rPr>
          <w:rFonts w:cs="Arial"/>
        </w:rPr>
      </w:pPr>
      <w:r w:rsidRPr="002E220B">
        <w:rPr>
          <w:rFonts w:cs="Arial"/>
        </w:rPr>
        <w:t>Third, Hyundai conservative gearing stance, although minimizing financial risk, can impair its ability to fund mass investments to expand EV. The emerging competitors with more aggressive financing tactics could have an upper hand in ramping production and innovation (Sharma, 2024).</w:t>
      </w:r>
    </w:p>
    <w:p w14:paraId="2F1EF5DD" w14:textId="77777777" w:rsidR="004915DE" w:rsidRPr="002E220B" w:rsidRDefault="004915DE" w:rsidP="00DB458E">
      <w:pPr>
        <w:pStyle w:val="Heading2"/>
      </w:pPr>
      <w:bookmarkStart w:id="19" w:name="_Toc227579206"/>
      <w:r w:rsidRPr="002E220B">
        <w:t>3.3 Financial Restructuring Strategies</w:t>
      </w:r>
      <w:bookmarkEnd w:id="19"/>
    </w:p>
    <w:p w14:paraId="733CCCDD" w14:textId="64E4C0BB" w:rsidR="004915DE" w:rsidRPr="002E220B" w:rsidRDefault="004915DE" w:rsidP="00DB458E">
      <w:pPr>
        <w:pStyle w:val="Heading3"/>
      </w:pPr>
      <w:bookmarkStart w:id="20" w:name="_Toc227579207"/>
      <w:r w:rsidRPr="002E220B">
        <w:t>3.3.1 Strategic Divestiture and Portfolio Optimisation</w:t>
      </w:r>
      <w:bookmarkEnd w:id="20"/>
    </w:p>
    <w:p w14:paraId="61AA41D1" w14:textId="49D41764" w:rsidR="004915DE" w:rsidRPr="002E220B" w:rsidRDefault="004915DE" w:rsidP="004915DE">
      <w:pPr>
        <w:rPr>
          <w:rFonts w:cs="Arial"/>
        </w:rPr>
      </w:pPr>
      <w:r w:rsidRPr="002E220B">
        <w:rPr>
          <w:rFonts w:cs="Arial"/>
        </w:rPr>
        <w:t>Among the restructuring strategies that can be adopted is the divestment of non-core or poor performing business units (</w:t>
      </w:r>
      <w:proofErr w:type="spellStart"/>
      <w:r w:rsidRPr="002E220B">
        <w:rPr>
          <w:rFonts w:cs="Arial"/>
        </w:rPr>
        <w:t>Potharla</w:t>
      </w:r>
      <w:proofErr w:type="spellEnd"/>
      <w:r w:rsidRPr="002E220B">
        <w:rPr>
          <w:rFonts w:cs="Arial"/>
        </w:rPr>
        <w:t xml:space="preserve">, 2025). Hyundai has several operative </w:t>
      </w:r>
      <w:r w:rsidRPr="002E220B">
        <w:rPr>
          <w:rFonts w:cs="Arial"/>
        </w:rPr>
        <w:lastRenderedPageBreak/>
        <w:t>automotive and mobility segments that might not be consistent with its long-term EV-focused strategy.</w:t>
      </w:r>
    </w:p>
    <w:p w14:paraId="68085B76" w14:textId="6E9B7B7C" w:rsidR="004915DE" w:rsidRPr="002E220B" w:rsidRDefault="004915DE" w:rsidP="004915DE">
      <w:pPr>
        <w:rPr>
          <w:rFonts w:cs="Arial"/>
        </w:rPr>
      </w:pPr>
      <w:r w:rsidRPr="002E220B">
        <w:rPr>
          <w:rFonts w:cs="Arial"/>
        </w:rPr>
        <w:t>Selling out the low-margin assets or non-strategic operations will enable Hyundai to reinvest in the high growth prospects of EV manufacturing, battery technology, and automated driving systems. This would enhance better ROA and operational intensity.</w:t>
      </w:r>
    </w:p>
    <w:p w14:paraId="3CF70360" w14:textId="7714A8C5" w:rsidR="004915DE" w:rsidRPr="002E220B" w:rsidRDefault="004915DE" w:rsidP="004915DE">
      <w:pPr>
        <w:rPr>
          <w:rFonts w:cs="Arial"/>
        </w:rPr>
      </w:pPr>
      <w:r w:rsidRPr="002E220B">
        <w:rPr>
          <w:rFonts w:cs="Arial"/>
        </w:rPr>
        <w:t>The divestiture should however be well handled to prevent loss of revenue in the short run or loss of integrated functions. The decision-making should be based on strategic alignment and value creation over the long-term instead of financial benefits in the short-term.</w:t>
      </w:r>
    </w:p>
    <w:p w14:paraId="740F8853" w14:textId="7FE45EC5" w:rsidR="004915DE" w:rsidRPr="002E220B" w:rsidRDefault="004915DE" w:rsidP="00DB458E">
      <w:pPr>
        <w:pStyle w:val="Heading3"/>
      </w:pPr>
      <w:bookmarkStart w:id="21" w:name="_Toc227579208"/>
      <w:r w:rsidRPr="002E220B">
        <w:t>3.3.2 Strategy and equity injection with strategic alliances</w:t>
      </w:r>
      <w:bookmarkEnd w:id="21"/>
    </w:p>
    <w:p w14:paraId="4AC85ED6" w14:textId="378291A6" w:rsidR="004915DE" w:rsidRPr="002E220B" w:rsidRDefault="004915DE" w:rsidP="004915DE">
      <w:pPr>
        <w:rPr>
          <w:rFonts w:cs="Arial"/>
        </w:rPr>
      </w:pPr>
      <w:r w:rsidRPr="002E220B">
        <w:rPr>
          <w:rFonts w:cs="Arial"/>
        </w:rPr>
        <w:t>The increase of capital base can be achieved by injecting capital within Hyundai, which can be done internally or through strategic alliances. Partnership with technology-related companies, battery producers, or foreign investment might supply them with financial means and technologies (Crespi et al., 2026).</w:t>
      </w:r>
    </w:p>
    <w:p w14:paraId="6F52CD2A" w14:textId="2A6BDD1F" w:rsidR="004915DE" w:rsidRPr="002E220B" w:rsidRDefault="004915DE" w:rsidP="004915DE">
      <w:pPr>
        <w:rPr>
          <w:rFonts w:cs="Arial"/>
        </w:rPr>
      </w:pPr>
      <w:r w:rsidRPr="002E220B">
        <w:rPr>
          <w:rFonts w:cs="Arial"/>
        </w:rPr>
        <w:t>Equity financing will lessen the need to use debt financing and boost financial stability, which is especially critical because Hyundai is in a relatively constrained liquidity situation. Also, collaborations may be faster in getting innovations ready and less costly to develop, enhancing competitiveness in general.</w:t>
      </w:r>
    </w:p>
    <w:p w14:paraId="3368B5B9" w14:textId="6AF36D0D" w:rsidR="004915DE" w:rsidRPr="002E220B" w:rsidRDefault="004915DE" w:rsidP="00DB458E">
      <w:pPr>
        <w:pStyle w:val="Heading3"/>
      </w:pPr>
      <w:bookmarkStart w:id="22" w:name="_Toc227579209"/>
      <w:r w:rsidRPr="002E220B">
        <w:t>3.3.3 Debt Structure optimisation</w:t>
      </w:r>
      <w:bookmarkEnd w:id="22"/>
    </w:p>
    <w:p w14:paraId="30F72A41" w14:textId="5F3360FA" w:rsidR="004915DE" w:rsidRPr="002E220B" w:rsidRDefault="004915DE" w:rsidP="004915DE">
      <w:pPr>
        <w:rPr>
          <w:rFonts w:cs="Arial"/>
        </w:rPr>
      </w:pPr>
      <w:r w:rsidRPr="002E220B">
        <w:rPr>
          <w:rFonts w:cs="Arial"/>
        </w:rPr>
        <w:t>Even though Hyundai has a conservative gearing position, it can optimize its debt position. Choosing to utilize long-term debt selectively can be used to create a reliable stream of financing long-term investments with minimal enhancement of financial risk.</w:t>
      </w:r>
    </w:p>
    <w:p w14:paraId="0B56D0C7" w14:textId="7D279875" w:rsidR="004915DE" w:rsidRPr="002E220B" w:rsidRDefault="004915DE" w:rsidP="004915DE">
      <w:pPr>
        <w:rPr>
          <w:rFonts w:cs="Arial"/>
        </w:rPr>
      </w:pPr>
      <w:r w:rsidRPr="002E220B">
        <w:rPr>
          <w:rFonts w:cs="Arial"/>
        </w:rPr>
        <w:t>With the fact that the company has a high level of cash flow generation, Hyundai will be in a better position to service more debt in case it is needed. Gearing to a reasonable extent will boost returns to equity and enable quicker growth in the EV market.</w:t>
      </w:r>
    </w:p>
    <w:p w14:paraId="791F4C35" w14:textId="1D5FBECE" w:rsidR="004915DE" w:rsidRPr="002E220B" w:rsidRDefault="004915DE" w:rsidP="004915DE">
      <w:pPr>
        <w:rPr>
          <w:rFonts w:cs="Arial"/>
        </w:rPr>
      </w:pPr>
      <w:r w:rsidRPr="002E220B">
        <w:rPr>
          <w:rFonts w:cs="Arial"/>
        </w:rPr>
        <w:t>But on the other hand, too much debt may subject the company to the vagaries of interest rates and financial instability. Thus, they need to be moderate about debt levels.</w:t>
      </w:r>
    </w:p>
    <w:p w14:paraId="40BB8D62" w14:textId="77777777" w:rsidR="004915DE" w:rsidRPr="002E220B" w:rsidRDefault="004915DE" w:rsidP="00DB458E">
      <w:pPr>
        <w:pStyle w:val="Heading3"/>
      </w:pPr>
      <w:bookmarkStart w:id="23" w:name="_Toc227579210"/>
      <w:r w:rsidRPr="002E220B">
        <w:lastRenderedPageBreak/>
        <w:t>3.3.4 Working Capital Restructuring</w:t>
      </w:r>
      <w:bookmarkEnd w:id="23"/>
    </w:p>
    <w:p w14:paraId="0D09EA9E" w14:textId="7B34669E" w:rsidR="004915DE" w:rsidRPr="002E220B" w:rsidRDefault="004915DE" w:rsidP="004915DE">
      <w:pPr>
        <w:rPr>
          <w:rFonts w:cs="Arial"/>
        </w:rPr>
      </w:pPr>
      <w:r w:rsidRPr="002E220B">
        <w:rPr>
          <w:rFonts w:cs="Arial"/>
        </w:rPr>
        <w:t>Another financial restructuring component that is very essential entails enhancing the working capital efficiency. As was determined in the preceding section, Hyundai has a relatively tight position of liquidity, and its dependence on inventory is high.</w:t>
      </w:r>
    </w:p>
    <w:p w14:paraId="5D1042AC" w14:textId="6E8A570F" w:rsidR="004915DE" w:rsidRPr="002E220B" w:rsidRDefault="004915DE" w:rsidP="004915DE">
      <w:pPr>
        <w:rPr>
          <w:rFonts w:cs="Arial"/>
        </w:rPr>
      </w:pPr>
      <w:r w:rsidRPr="002E220B">
        <w:rPr>
          <w:rFonts w:cs="Arial"/>
        </w:rPr>
        <w:t>The restructuring should aim at shortening the inventory holding times, reducing the time of collection of receivables and processing payables efficiently. This will reduce the cash conversion time and free more cash to invest in the strategic plans. The efficiency and resilience can be further promoted by implementing digital supply chain solutions and building stronger relationships with suppliers (Atieh Ali et al., 2024).</w:t>
      </w:r>
    </w:p>
    <w:p w14:paraId="6AE0DF84" w14:textId="285A66B8" w:rsidR="004915DE" w:rsidRPr="002E220B" w:rsidRDefault="004915DE" w:rsidP="00DB458E">
      <w:pPr>
        <w:pStyle w:val="Heading2"/>
      </w:pPr>
      <w:bookmarkStart w:id="24" w:name="_Toc227579211"/>
      <w:r w:rsidRPr="002E220B">
        <w:t>3.4. Impact on shareholder value</w:t>
      </w:r>
      <w:bookmarkEnd w:id="24"/>
      <w:r w:rsidRPr="002E220B">
        <w:t xml:space="preserve"> </w:t>
      </w:r>
    </w:p>
    <w:p w14:paraId="7E3F5896" w14:textId="6B91AC0E" w:rsidR="004915DE" w:rsidRPr="002E220B" w:rsidRDefault="004915DE" w:rsidP="004915DE">
      <w:pPr>
        <w:rPr>
          <w:rFonts w:cs="Arial"/>
        </w:rPr>
      </w:pPr>
      <w:r w:rsidRPr="002E220B">
        <w:rPr>
          <w:rFonts w:cs="Arial"/>
        </w:rPr>
        <w:t>The implication on the shareholder value of the proposed restructuring strategies is huge. High-margin segments can be targeted by using divestiture and portfolio optimisation to enhance profitability and ROA. Partnerships and equity injection can improve future growth opportunities, but this can dilute shareholders, albeit in the short term (Ridwan et al., 2025). Maximising the structure of debt, may have the effect of maximising on return on equity by using financial resources more efficiently. This should however be counter weighed by the fact that it may lead to an increase in financial risk. In general, these strategies together should boost long-term shareholder value as they will lead to increased profitability, growth, and less operational inefficiency.</w:t>
      </w:r>
    </w:p>
    <w:p w14:paraId="5F366CEC" w14:textId="3C6C9C65" w:rsidR="004915DE" w:rsidRPr="002E220B" w:rsidRDefault="004915DE" w:rsidP="00DB458E">
      <w:pPr>
        <w:pStyle w:val="Heading2"/>
      </w:pPr>
      <w:bookmarkStart w:id="25" w:name="_Toc227579212"/>
      <w:r w:rsidRPr="002E220B">
        <w:t>3.5 Effect on Debt Organisation and Financial Flexibility</w:t>
      </w:r>
      <w:bookmarkEnd w:id="25"/>
    </w:p>
    <w:p w14:paraId="343F0163" w14:textId="1C647BB7" w:rsidR="004915DE" w:rsidRPr="002E220B" w:rsidRDefault="004915DE" w:rsidP="004915DE">
      <w:pPr>
        <w:rPr>
          <w:rFonts w:cs="Arial"/>
        </w:rPr>
      </w:pPr>
      <w:r w:rsidRPr="002E220B">
        <w:rPr>
          <w:rFonts w:cs="Arial"/>
        </w:rPr>
        <w:t>The restructuring of the finances will transform the debt image and general financial flexibility at Hyundai. Supplementing long-term debt can fund strategic investments steadily but decrease dependence on the short-term funding (</w:t>
      </w:r>
      <w:proofErr w:type="spellStart"/>
      <w:r w:rsidRPr="002E220B">
        <w:rPr>
          <w:rFonts w:cs="Arial"/>
        </w:rPr>
        <w:t>Askarany</w:t>
      </w:r>
      <w:proofErr w:type="spellEnd"/>
      <w:r w:rsidRPr="002E220B">
        <w:rPr>
          <w:rFonts w:cs="Arial"/>
        </w:rPr>
        <w:t xml:space="preserve"> et al., 2024). Better management of the working capital will lead to better liquidity, enabling Hyundai to have enough cash reserves and act on changes in the market more efficiently. The flexibility boost here is essential in the dynamically changing EV industry where technology and competitiveness are prone to change swiftly. Meanwhile, having a </w:t>
      </w:r>
      <w:r w:rsidRPr="002E220B">
        <w:rPr>
          <w:rFonts w:cs="Arial"/>
        </w:rPr>
        <w:lastRenderedPageBreak/>
        <w:t>balanced capital structure will make sure that the company is not over-leveraged and it will still be able to obtain financing in the future.</w:t>
      </w:r>
    </w:p>
    <w:p w14:paraId="591E245C" w14:textId="33B82E61" w:rsidR="004915DE" w:rsidRPr="002E220B" w:rsidRDefault="004915DE" w:rsidP="00DB458E">
      <w:pPr>
        <w:pStyle w:val="Heading2"/>
      </w:pPr>
      <w:bookmarkStart w:id="26" w:name="_Toc227579213"/>
      <w:r w:rsidRPr="002E220B">
        <w:t>3.6 International and Ethical considerations</w:t>
      </w:r>
      <w:bookmarkEnd w:id="26"/>
    </w:p>
    <w:p w14:paraId="3B8ADF1A" w14:textId="7D5C8DFB" w:rsidR="004915DE" w:rsidRPr="002E220B" w:rsidRDefault="004915DE" w:rsidP="004915DE">
      <w:pPr>
        <w:rPr>
          <w:rFonts w:cs="Arial"/>
        </w:rPr>
      </w:pPr>
      <w:r w:rsidRPr="002E220B">
        <w:rPr>
          <w:rFonts w:cs="Arial"/>
        </w:rPr>
        <w:t>The internationalization activities impact Hyundai, which is exposed to several international financial risks such as currency volatility, tax regimes and inflationary pressures. These factors must be considered in the financial restructuring to be sure of sustainable performance. Currency risks may be addressed by adopting hedging and diversification of revenues in other markets (</w:t>
      </w:r>
      <w:proofErr w:type="spellStart"/>
      <w:r w:rsidRPr="002E220B">
        <w:rPr>
          <w:rFonts w:cs="Arial"/>
        </w:rPr>
        <w:t>Askarany</w:t>
      </w:r>
      <w:proofErr w:type="spellEnd"/>
      <w:r w:rsidRPr="002E220B">
        <w:rPr>
          <w:rFonts w:cs="Arial"/>
        </w:rPr>
        <w:t xml:space="preserve"> et al., 2024). Tax optimisation plans must be in line with the international standards and should reduce the total tax liability.</w:t>
      </w:r>
    </w:p>
    <w:p w14:paraId="599DA968" w14:textId="19B0327E" w:rsidR="004915DE" w:rsidRPr="002E220B" w:rsidRDefault="004915DE" w:rsidP="004915DE">
      <w:pPr>
        <w:rPr>
          <w:rFonts w:cs="Arial"/>
        </w:rPr>
      </w:pPr>
      <w:r w:rsidRPr="002E220B">
        <w:rPr>
          <w:rFonts w:cs="Arial"/>
        </w:rPr>
        <w:t>Ethical factors are gaining prominence too. Hyundai is to make sure its EV operations are responsible in sourcing of raw materials especially of batteries and environmentally and socially high standards. The use of corporate social responsibility (CSR) activities could help improve the brand image and build stakeholder confidence.</w:t>
      </w:r>
    </w:p>
    <w:p w14:paraId="6115A9A6" w14:textId="67C2ACD9" w:rsidR="004915DE" w:rsidRPr="002E220B" w:rsidRDefault="004915DE" w:rsidP="00DB458E">
      <w:pPr>
        <w:pStyle w:val="Heading2"/>
      </w:pPr>
      <w:bookmarkStart w:id="27" w:name="_Toc227579214"/>
      <w:r w:rsidRPr="002E220B">
        <w:t>3.7 Conclusion</w:t>
      </w:r>
      <w:bookmarkEnd w:id="27"/>
    </w:p>
    <w:p w14:paraId="600721AA" w14:textId="6AD77C26" w:rsidR="004915DE" w:rsidRPr="002E220B" w:rsidRDefault="004915DE" w:rsidP="004915DE">
      <w:pPr>
        <w:rPr>
          <w:rFonts w:cs="Arial"/>
        </w:rPr>
      </w:pPr>
      <w:r w:rsidRPr="002E220B">
        <w:rPr>
          <w:rFonts w:cs="Arial"/>
        </w:rPr>
        <w:t>To sum up, Hyundai Motor Company needs an active and sustainable financial restructuring strategy to help the company to shift towards a technology-driven and sustainability-oriented future. Although the financial condition of the company is good, some discrepancies on the liquidity, efficiency, and investment demands require intervention through a strategy.</w:t>
      </w:r>
    </w:p>
    <w:p w14:paraId="0CA35B3D" w14:textId="77777777" w:rsidR="004915DE" w:rsidRPr="002E220B" w:rsidRDefault="004915DE" w:rsidP="004915DE">
      <w:pPr>
        <w:rPr>
          <w:rFonts w:cs="Arial"/>
        </w:rPr>
      </w:pPr>
      <w:r w:rsidRPr="002E220B">
        <w:rPr>
          <w:rFonts w:cs="Arial"/>
        </w:rPr>
        <w:t>Through utilisation of a mix of divestiture, equity financing, debt optimisation and working capital restructuring, Hyundai will be able to increase their financial health and enable their long-term growth. These policies along with a keen focus on international and ethical issues will put the company in a competitive position to compete with changes in the global automotive environment.</w:t>
      </w:r>
    </w:p>
    <w:p w14:paraId="2E7D7F53" w14:textId="77777777" w:rsidR="002E220B" w:rsidRDefault="002E220B">
      <w:pPr>
        <w:spacing w:line="259" w:lineRule="auto"/>
        <w:jc w:val="left"/>
        <w:rPr>
          <w:rFonts w:cs="Arial"/>
          <w:b/>
          <w:bCs/>
          <w:sz w:val="28"/>
          <w:szCs w:val="28"/>
        </w:rPr>
      </w:pPr>
      <w:bookmarkStart w:id="28" w:name="_Toc227579215"/>
      <w:r>
        <w:rPr>
          <w:rFonts w:cs="Arial"/>
        </w:rPr>
        <w:br w:type="page"/>
      </w:r>
    </w:p>
    <w:p w14:paraId="5DD8163F" w14:textId="67C93EDC" w:rsidR="004915DE" w:rsidRPr="002E220B" w:rsidRDefault="004915DE" w:rsidP="004915DE">
      <w:pPr>
        <w:pStyle w:val="Heading1"/>
        <w:rPr>
          <w:rFonts w:cs="Arial"/>
        </w:rPr>
      </w:pPr>
      <w:r w:rsidRPr="002E220B">
        <w:rPr>
          <w:rFonts w:cs="Arial"/>
        </w:rPr>
        <w:lastRenderedPageBreak/>
        <w:t>4. Investment Appraisal and Capital Budgeting</w:t>
      </w:r>
      <w:bookmarkEnd w:id="28"/>
    </w:p>
    <w:p w14:paraId="1EC5867B" w14:textId="09FE8CCC" w:rsidR="004915DE" w:rsidRPr="002E220B" w:rsidRDefault="004915DE" w:rsidP="00DB458E">
      <w:pPr>
        <w:pStyle w:val="Heading2"/>
      </w:pPr>
      <w:bookmarkStart w:id="29" w:name="_Toc227579216"/>
      <w:r w:rsidRPr="002E220B">
        <w:t>4.1 Introduction</w:t>
      </w:r>
      <w:bookmarkEnd w:id="29"/>
    </w:p>
    <w:p w14:paraId="37BB7541" w14:textId="63A277B6" w:rsidR="004915DE" w:rsidRPr="002E220B" w:rsidRDefault="004915DE" w:rsidP="004915DE">
      <w:pPr>
        <w:rPr>
          <w:rFonts w:cs="Arial"/>
        </w:rPr>
      </w:pPr>
      <w:r w:rsidRPr="002E220B">
        <w:rPr>
          <w:rFonts w:cs="Arial"/>
        </w:rPr>
        <w:t>Investment appraisal is very important aspect of financial decisions especially in the case of Hyundai Motor Company which is currently spending a lot of money in electric vehicle (EV) technologies and internationalisation. The paper appraises three suggested investment projects (A, B and C) on some of the basic capital budgeting methods such as Payback Period (PBP), Accounting rate of return (ARR), Net present value (NPV), Profitability index (PI) and internal rate of return (IRR). The company has a risk profile and cost of capital of 10% that is used to calculate the discount rate.</w:t>
      </w:r>
    </w:p>
    <w:p w14:paraId="1ED01A7F" w14:textId="1D3BBAEC" w:rsidR="004915DE" w:rsidRPr="002E220B" w:rsidRDefault="004915DE" w:rsidP="00DB458E">
      <w:pPr>
        <w:pStyle w:val="Heading2"/>
      </w:pPr>
      <w:bookmarkStart w:id="30" w:name="_Toc227579217"/>
      <w:r w:rsidRPr="002E220B">
        <w:t>4.2 Summary of results</w:t>
      </w:r>
      <w:bookmarkEnd w:id="30"/>
    </w:p>
    <w:tbl>
      <w:tblPr>
        <w:tblStyle w:val="PlainTable1"/>
        <w:tblW w:w="6772" w:type="dxa"/>
        <w:jc w:val="center"/>
        <w:tblLook w:val="04A0" w:firstRow="1" w:lastRow="0" w:firstColumn="1" w:lastColumn="0" w:noHBand="0" w:noVBand="1"/>
      </w:tblPr>
      <w:tblGrid>
        <w:gridCol w:w="2311"/>
        <w:gridCol w:w="1454"/>
        <w:gridCol w:w="1542"/>
        <w:gridCol w:w="1465"/>
      </w:tblGrid>
      <w:tr w:rsidR="004915DE" w:rsidRPr="002E220B" w14:paraId="3228BB7F" w14:textId="77777777" w:rsidTr="00F54C51">
        <w:trPr>
          <w:cnfStyle w:val="100000000000" w:firstRow="1" w:lastRow="0" w:firstColumn="0" w:lastColumn="0" w:oddVBand="0" w:evenVBand="0" w:oddHBand="0" w:evenHBand="0" w:firstRowFirstColumn="0" w:firstRowLastColumn="0" w:lastRowFirstColumn="0" w:lastRowLastColumn="0"/>
          <w:trHeight w:val="259"/>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3605B0E" w14:textId="77777777" w:rsidR="004915DE" w:rsidRPr="002E220B" w:rsidRDefault="004915DE" w:rsidP="00F54C51">
            <w:pPr>
              <w:spacing w:line="276" w:lineRule="auto"/>
              <w:rPr>
                <w:rFonts w:cs="Arial"/>
                <w:lang w:val="en-US"/>
              </w:rPr>
            </w:pPr>
            <w:r w:rsidRPr="002E220B">
              <w:rPr>
                <w:rFonts w:cs="Arial"/>
                <w:lang w:val="en-US"/>
              </w:rPr>
              <w:t>Method</w:t>
            </w:r>
          </w:p>
        </w:tc>
        <w:tc>
          <w:tcPr>
            <w:tcW w:w="0" w:type="auto"/>
            <w:hideMark/>
          </w:tcPr>
          <w:p w14:paraId="7291EFA4" w14:textId="77777777" w:rsidR="004915DE" w:rsidRPr="002E220B" w:rsidRDefault="004915DE" w:rsidP="00F54C51">
            <w:pPr>
              <w:spacing w:line="276" w:lineRule="auto"/>
              <w:cnfStyle w:val="100000000000" w:firstRow="1" w:lastRow="0" w:firstColumn="0" w:lastColumn="0" w:oddVBand="0" w:evenVBand="0" w:oddHBand="0" w:evenHBand="0" w:firstRowFirstColumn="0" w:firstRowLastColumn="0" w:lastRowFirstColumn="0" w:lastRowLastColumn="0"/>
              <w:rPr>
                <w:rFonts w:cs="Arial"/>
                <w:lang w:val="en-US"/>
              </w:rPr>
            </w:pPr>
            <w:r w:rsidRPr="002E220B">
              <w:rPr>
                <w:rFonts w:cs="Arial"/>
                <w:lang w:val="en-US"/>
              </w:rPr>
              <w:t>Project A</w:t>
            </w:r>
          </w:p>
        </w:tc>
        <w:tc>
          <w:tcPr>
            <w:tcW w:w="0" w:type="auto"/>
            <w:hideMark/>
          </w:tcPr>
          <w:p w14:paraId="63A35253" w14:textId="77777777" w:rsidR="004915DE" w:rsidRPr="002E220B" w:rsidRDefault="004915DE" w:rsidP="00F54C51">
            <w:pPr>
              <w:spacing w:line="276" w:lineRule="auto"/>
              <w:cnfStyle w:val="100000000000" w:firstRow="1" w:lastRow="0" w:firstColumn="0" w:lastColumn="0" w:oddVBand="0" w:evenVBand="0" w:oddHBand="0" w:evenHBand="0" w:firstRowFirstColumn="0" w:firstRowLastColumn="0" w:lastRowFirstColumn="0" w:lastRowLastColumn="0"/>
              <w:rPr>
                <w:rFonts w:cs="Arial"/>
                <w:lang w:val="en-US"/>
              </w:rPr>
            </w:pPr>
            <w:r w:rsidRPr="002E220B">
              <w:rPr>
                <w:rFonts w:cs="Arial"/>
                <w:lang w:val="en-US"/>
              </w:rPr>
              <w:t>Project B</w:t>
            </w:r>
          </w:p>
        </w:tc>
        <w:tc>
          <w:tcPr>
            <w:tcW w:w="0" w:type="auto"/>
            <w:hideMark/>
          </w:tcPr>
          <w:p w14:paraId="0B9A1BCA" w14:textId="77777777" w:rsidR="004915DE" w:rsidRPr="002E220B" w:rsidRDefault="004915DE" w:rsidP="00F54C51">
            <w:pPr>
              <w:spacing w:line="276" w:lineRule="auto"/>
              <w:cnfStyle w:val="100000000000" w:firstRow="1" w:lastRow="0" w:firstColumn="0" w:lastColumn="0" w:oddVBand="0" w:evenVBand="0" w:oddHBand="0" w:evenHBand="0" w:firstRowFirstColumn="0" w:firstRowLastColumn="0" w:lastRowFirstColumn="0" w:lastRowLastColumn="0"/>
              <w:rPr>
                <w:rFonts w:cs="Arial"/>
                <w:lang w:val="en-US"/>
              </w:rPr>
            </w:pPr>
            <w:r w:rsidRPr="002E220B">
              <w:rPr>
                <w:rFonts w:cs="Arial"/>
                <w:lang w:val="en-US"/>
              </w:rPr>
              <w:t>Project C</w:t>
            </w:r>
          </w:p>
        </w:tc>
      </w:tr>
      <w:tr w:rsidR="004915DE" w:rsidRPr="002E220B" w14:paraId="49816C1D" w14:textId="77777777" w:rsidTr="00F54C51">
        <w:trPr>
          <w:cnfStyle w:val="000000100000" w:firstRow="0" w:lastRow="0" w:firstColumn="0" w:lastColumn="0" w:oddVBand="0" w:evenVBand="0" w:oddHBand="1" w:evenHBand="0" w:firstRowFirstColumn="0" w:firstRowLastColumn="0" w:lastRowFirstColumn="0" w:lastRowLastColumn="0"/>
          <w:trHeight w:val="49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FADC9EE" w14:textId="77777777" w:rsidR="004915DE" w:rsidRPr="002E220B" w:rsidRDefault="004915DE" w:rsidP="00F54C51">
            <w:pPr>
              <w:spacing w:line="276" w:lineRule="auto"/>
              <w:rPr>
                <w:rFonts w:cs="Arial"/>
                <w:lang w:val="en-US"/>
              </w:rPr>
            </w:pPr>
            <w:r w:rsidRPr="002E220B">
              <w:rPr>
                <w:rFonts w:cs="Arial"/>
                <w:lang w:val="en-US"/>
              </w:rPr>
              <w:t>NPV (£m)</w:t>
            </w:r>
          </w:p>
        </w:tc>
        <w:tc>
          <w:tcPr>
            <w:tcW w:w="0" w:type="auto"/>
            <w:hideMark/>
          </w:tcPr>
          <w:p w14:paraId="2928A4A7" w14:textId="77777777" w:rsidR="004915DE" w:rsidRPr="002E220B" w:rsidRDefault="004915DE" w:rsidP="00F54C51">
            <w:pPr>
              <w:spacing w:line="276" w:lineRule="auto"/>
              <w:cnfStyle w:val="000000100000" w:firstRow="0" w:lastRow="0" w:firstColumn="0" w:lastColumn="0" w:oddVBand="0" w:evenVBand="0" w:oddHBand="1" w:evenHBand="0" w:firstRowFirstColumn="0" w:firstRowLastColumn="0" w:lastRowFirstColumn="0" w:lastRowLastColumn="0"/>
              <w:rPr>
                <w:rFonts w:cs="Arial"/>
                <w:lang w:val="en-US"/>
              </w:rPr>
            </w:pPr>
            <w:r w:rsidRPr="002E220B">
              <w:rPr>
                <w:rFonts w:cs="Arial"/>
                <w:lang w:val="en-US"/>
              </w:rPr>
              <w:t>-8.68</w:t>
            </w:r>
          </w:p>
        </w:tc>
        <w:tc>
          <w:tcPr>
            <w:tcW w:w="0" w:type="auto"/>
            <w:hideMark/>
          </w:tcPr>
          <w:p w14:paraId="17415172" w14:textId="77777777" w:rsidR="004915DE" w:rsidRPr="002E220B" w:rsidRDefault="004915DE" w:rsidP="00F54C51">
            <w:pPr>
              <w:spacing w:line="276" w:lineRule="auto"/>
              <w:cnfStyle w:val="000000100000" w:firstRow="0" w:lastRow="0" w:firstColumn="0" w:lastColumn="0" w:oddVBand="0" w:evenVBand="0" w:oddHBand="1" w:evenHBand="0" w:firstRowFirstColumn="0" w:firstRowLastColumn="0" w:lastRowFirstColumn="0" w:lastRowLastColumn="0"/>
              <w:rPr>
                <w:rFonts w:cs="Arial"/>
                <w:lang w:val="en-US"/>
              </w:rPr>
            </w:pPr>
            <w:r w:rsidRPr="002E220B">
              <w:rPr>
                <w:rFonts w:cs="Arial"/>
                <w:lang w:val="en-US"/>
              </w:rPr>
              <w:t>-8.30</w:t>
            </w:r>
          </w:p>
        </w:tc>
        <w:tc>
          <w:tcPr>
            <w:tcW w:w="0" w:type="auto"/>
            <w:hideMark/>
          </w:tcPr>
          <w:p w14:paraId="3FDE2D6C" w14:textId="77777777" w:rsidR="004915DE" w:rsidRPr="002E220B" w:rsidRDefault="004915DE" w:rsidP="00F54C51">
            <w:pPr>
              <w:spacing w:line="276" w:lineRule="auto"/>
              <w:cnfStyle w:val="000000100000" w:firstRow="0" w:lastRow="0" w:firstColumn="0" w:lastColumn="0" w:oddVBand="0" w:evenVBand="0" w:oddHBand="1" w:evenHBand="0" w:firstRowFirstColumn="0" w:firstRowLastColumn="0" w:lastRowFirstColumn="0" w:lastRowLastColumn="0"/>
              <w:rPr>
                <w:rFonts w:cs="Arial"/>
                <w:lang w:val="en-US"/>
              </w:rPr>
            </w:pPr>
            <w:r w:rsidRPr="002E220B">
              <w:rPr>
                <w:rFonts w:cs="Arial"/>
                <w:lang w:val="en-US"/>
              </w:rPr>
              <w:t>-1.98</w:t>
            </w:r>
          </w:p>
        </w:tc>
      </w:tr>
      <w:tr w:rsidR="004915DE" w:rsidRPr="002E220B" w14:paraId="4F9ABA0F" w14:textId="77777777" w:rsidTr="00F54C51">
        <w:trPr>
          <w:trHeight w:val="487"/>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51D7340" w14:textId="77777777" w:rsidR="004915DE" w:rsidRPr="002E220B" w:rsidRDefault="004915DE" w:rsidP="00F54C51">
            <w:pPr>
              <w:spacing w:line="276" w:lineRule="auto"/>
              <w:rPr>
                <w:rFonts w:cs="Arial"/>
                <w:lang w:val="en-US"/>
              </w:rPr>
            </w:pPr>
            <w:r w:rsidRPr="002E220B">
              <w:rPr>
                <w:rFonts w:cs="Arial"/>
                <w:lang w:val="en-US"/>
              </w:rPr>
              <w:t>IRR</w:t>
            </w:r>
          </w:p>
        </w:tc>
        <w:tc>
          <w:tcPr>
            <w:tcW w:w="0" w:type="auto"/>
            <w:hideMark/>
          </w:tcPr>
          <w:p w14:paraId="55DB0224" w14:textId="77777777" w:rsidR="004915DE" w:rsidRPr="002E220B" w:rsidRDefault="004915DE" w:rsidP="00F54C51">
            <w:pPr>
              <w:spacing w:line="276" w:lineRule="auto"/>
              <w:cnfStyle w:val="000000000000" w:firstRow="0" w:lastRow="0" w:firstColumn="0" w:lastColumn="0" w:oddVBand="0" w:evenVBand="0" w:oddHBand="0" w:evenHBand="0" w:firstRowFirstColumn="0" w:firstRowLastColumn="0" w:lastRowFirstColumn="0" w:lastRowLastColumn="0"/>
              <w:rPr>
                <w:rFonts w:cs="Arial"/>
                <w:lang w:val="en-US"/>
              </w:rPr>
            </w:pPr>
            <w:r w:rsidRPr="002E220B">
              <w:rPr>
                <w:rFonts w:cs="Arial"/>
                <w:lang w:val="en-US"/>
              </w:rPr>
              <w:t>3%</w:t>
            </w:r>
          </w:p>
        </w:tc>
        <w:tc>
          <w:tcPr>
            <w:tcW w:w="0" w:type="auto"/>
            <w:hideMark/>
          </w:tcPr>
          <w:p w14:paraId="4DEDF924" w14:textId="77777777" w:rsidR="004915DE" w:rsidRPr="002E220B" w:rsidRDefault="004915DE" w:rsidP="00F54C51">
            <w:pPr>
              <w:spacing w:line="276" w:lineRule="auto"/>
              <w:cnfStyle w:val="000000000000" w:firstRow="0" w:lastRow="0" w:firstColumn="0" w:lastColumn="0" w:oddVBand="0" w:evenVBand="0" w:oddHBand="0" w:evenHBand="0" w:firstRowFirstColumn="0" w:firstRowLastColumn="0" w:lastRowFirstColumn="0" w:lastRowLastColumn="0"/>
              <w:rPr>
                <w:rFonts w:cs="Arial"/>
                <w:lang w:val="en-US"/>
              </w:rPr>
            </w:pPr>
            <w:r w:rsidRPr="002E220B">
              <w:rPr>
                <w:rFonts w:cs="Arial"/>
                <w:lang w:val="en-US"/>
              </w:rPr>
              <w:t>3%</w:t>
            </w:r>
          </w:p>
        </w:tc>
        <w:tc>
          <w:tcPr>
            <w:tcW w:w="0" w:type="auto"/>
            <w:hideMark/>
          </w:tcPr>
          <w:p w14:paraId="3D7BC0A8" w14:textId="77777777" w:rsidR="004915DE" w:rsidRPr="002E220B" w:rsidRDefault="004915DE" w:rsidP="00F54C51">
            <w:pPr>
              <w:spacing w:line="276" w:lineRule="auto"/>
              <w:cnfStyle w:val="000000000000" w:firstRow="0" w:lastRow="0" w:firstColumn="0" w:lastColumn="0" w:oddVBand="0" w:evenVBand="0" w:oddHBand="0" w:evenHBand="0" w:firstRowFirstColumn="0" w:firstRowLastColumn="0" w:lastRowFirstColumn="0" w:lastRowLastColumn="0"/>
              <w:rPr>
                <w:rFonts w:cs="Arial"/>
                <w:lang w:val="en-US"/>
              </w:rPr>
            </w:pPr>
            <w:r w:rsidRPr="002E220B">
              <w:rPr>
                <w:rFonts w:cs="Arial"/>
                <w:lang w:val="en-US"/>
              </w:rPr>
              <w:t>9%</w:t>
            </w:r>
          </w:p>
        </w:tc>
      </w:tr>
      <w:tr w:rsidR="004915DE" w:rsidRPr="002E220B" w14:paraId="0481F863" w14:textId="77777777" w:rsidTr="00F54C51">
        <w:trPr>
          <w:cnfStyle w:val="000000100000" w:firstRow="0" w:lastRow="0" w:firstColumn="0" w:lastColumn="0" w:oddVBand="0" w:evenVBand="0" w:oddHBand="1" w:evenHBand="0" w:firstRowFirstColumn="0" w:firstRowLastColumn="0" w:lastRowFirstColumn="0" w:lastRowLastColumn="0"/>
          <w:trHeight w:val="49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DE0A0CB" w14:textId="77777777" w:rsidR="004915DE" w:rsidRPr="002E220B" w:rsidRDefault="004915DE" w:rsidP="00F54C51">
            <w:pPr>
              <w:spacing w:line="276" w:lineRule="auto"/>
              <w:rPr>
                <w:rFonts w:cs="Arial"/>
                <w:lang w:val="en-US"/>
              </w:rPr>
            </w:pPr>
            <w:r w:rsidRPr="002E220B">
              <w:rPr>
                <w:rFonts w:cs="Arial"/>
                <w:lang w:val="en-US"/>
              </w:rPr>
              <w:t>PI</w:t>
            </w:r>
          </w:p>
        </w:tc>
        <w:tc>
          <w:tcPr>
            <w:tcW w:w="0" w:type="auto"/>
            <w:hideMark/>
          </w:tcPr>
          <w:p w14:paraId="2D8599A9" w14:textId="77777777" w:rsidR="004915DE" w:rsidRPr="002E220B" w:rsidRDefault="004915DE" w:rsidP="00F54C51">
            <w:pPr>
              <w:spacing w:line="276" w:lineRule="auto"/>
              <w:cnfStyle w:val="000000100000" w:firstRow="0" w:lastRow="0" w:firstColumn="0" w:lastColumn="0" w:oddVBand="0" w:evenVBand="0" w:oddHBand="1" w:evenHBand="0" w:firstRowFirstColumn="0" w:firstRowLastColumn="0" w:lastRowFirstColumn="0" w:lastRowLastColumn="0"/>
              <w:rPr>
                <w:rFonts w:cs="Arial"/>
                <w:lang w:val="en-US"/>
              </w:rPr>
            </w:pPr>
            <w:r w:rsidRPr="002E220B">
              <w:rPr>
                <w:rFonts w:cs="Arial"/>
                <w:lang w:val="en-US"/>
              </w:rPr>
              <w:t>0.83</w:t>
            </w:r>
          </w:p>
        </w:tc>
        <w:tc>
          <w:tcPr>
            <w:tcW w:w="0" w:type="auto"/>
            <w:hideMark/>
          </w:tcPr>
          <w:p w14:paraId="7964C36E" w14:textId="77777777" w:rsidR="004915DE" w:rsidRPr="002E220B" w:rsidRDefault="004915DE" w:rsidP="00F54C51">
            <w:pPr>
              <w:spacing w:line="276" w:lineRule="auto"/>
              <w:cnfStyle w:val="000000100000" w:firstRow="0" w:lastRow="0" w:firstColumn="0" w:lastColumn="0" w:oddVBand="0" w:evenVBand="0" w:oddHBand="1" w:evenHBand="0" w:firstRowFirstColumn="0" w:firstRowLastColumn="0" w:lastRowFirstColumn="0" w:lastRowLastColumn="0"/>
              <w:rPr>
                <w:rFonts w:cs="Arial"/>
                <w:lang w:val="en-US"/>
              </w:rPr>
            </w:pPr>
            <w:r w:rsidRPr="002E220B">
              <w:rPr>
                <w:rFonts w:cs="Arial"/>
                <w:lang w:val="en-US"/>
              </w:rPr>
              <w:t>0.83</w:t>
            </w:r>
          </w:p>
        </w:tc>
        <w:tc>
          <w:tcPr>
            <w:tcW w:w="0" w:type="auto"/>
            <w:hideMark/>
          </w:tcPr>
          <w:p w14:paraId="29AA4767" w14:textId="77777777" w:rsidR="004915DE" w:rsidRPr="002E220B" w:rsidRDefault="004915DE" w:rsidP="00F54C51">
            <w:pPr>
              <w:spacing w:line="276" w:lineRule="auto"/>
              <w:cnfStyle w:val="000000100000" w:firstRow="0" w:lastRow="0" w:firstColumn="0" w:lastColumn="0" w:oddVBand="0" w:evenVBand="0" w:oddHBand="1" w:evenHBand="0" w:firstRowFirstColumn="0" w:firstRowLastColumn="0" w:lastRowFirstColumn="0" w:lastRowLastColumn="0"/>
              <w:rPr>
                <w:rFonts w:cs="Arial"/>
                <w:lang w:val="en-US"/>
              </w:rPr>
            </w:pPr>
            <w:r w:rsidRPr="002E220B">
              <w:rPr>
                <w:rFonts w:cs="Arial"/>
                <w:lang w:val="en-US"/>
              </w:rPr>
              <w:t>0.96</w:t>
            </w:r>
          </w:p>
        </w:tc>
      </w:tr>
      <w:tr w:rsidR="004915DE" w:rsidRPr="002E220B" w14:paraId="62EBF4E9" w14:textId="77777777" w:rsidTr="00F54C51">
        <w:trPr>
          <w:trHeight w:val="569"/>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922A9C3" w14:textId="77777777" w:rsidR="004915DE" w:rsidRPr="002E220B" w:rsidRDefault="004915DE" w:rsidP="00F54C51">
            <w:pPr>
              <w:spacing w:line="276" w:lineRule="auto"/>
              <w:rPr>
                <w:rFonts w:cs="Arial"/>
                <w:lang w:val="en-US"/>
              </w:rPr>
            </w:pPr>
            <w:r w:rsidRPr="002E220B">
              <w:rPr>
                <w:rFonts w:cs="Arial"/>
                <w:lang w:val="en-US"/>
              </w:rPr>
              <w:t>Payback Period</w:t>
            </w:r>
          </w:p>
        </w:tc>
        <w:tc>
          <w:tcPr>
            <w:tcW w:w="0" w:type="auto"/>
            <w:hideMark/>
          </w:tcPr>
          <w:p w14:paraId="11D74F5F" w14:textId="77777777" w:rsidR="004915DE" w:rsidRPr="002E220B" w:rsidRDefault="004915DE" w:rsidP="00F54C51">
            <w:pPr>
              <w:spacing w:line="276" w:lineRule="auto"/>
              <w:cnfStyle w:val="000000000000" w:firstRow="0" w:lastRow="0" w:firstColumn="0" w:lastColumn="0" w:oddVBand="0" w:evenVBand="0" w:oddHBand="0" w:evenHBand="0" w:firstRowFirstColumn="0" w:firstRowLastColumn="0" w:lastRowFirstColumn="0" w:lastRowLastColumn="0"/>
              <w:rPr>
                <w:rFonts w:cs="Arial"/>
                <w:lang w:val="en-US"/>
              </w:rPr>
            </w:pPr>
            <w:r w:rsidRPr="002E220B">
              <w:rPr>
                <w:rFonts w:cs="Arial"/>
                <w:lang w:val="en-US"/>
              </w:rPr>
              <w:t>4.5 years</w:t>
            </w:r>
          </w:p>
        </w:tc>
        <w:tc>
          <w:tcPr>
            <w:tcW w:w="0" w:type="auto"/>
            <w:hideMark/>
          </w:tcPr>
          <w:p w14:paraId="0C0CA577" w14:textId="77777777" w:rsidR="004915DE" w:rsidRPr="002E220B" w:rsidRDefault="004915DE" w:rsidP="00F54C51">
            <w:pPr>
              <w:spacing w:line="276" w:lineRule="auto"/>
              <w:cnfStyle w:val="000000000000" w:firstRow="0" w:lastRow="0" w:firstColumn="0" w:lastColumn="0" w:oddVBand="0" w:evenVBand="0" w:oddHBand="0" w:evenHBand="0" w:firstRowFirstColumn="0" w:firstRowLastColumn="0" w:lastRowFirstColumn="0" w:lastRowLastColumn="0"/>
              <w:rPr>
                <w:rFonts w:cs="Arial"/>
                <w:lang w:val="en-US"/>
              </w:rPr>
            </w:pPr>
            <w:r w:rsidRPr="002E220B">
              <w:rPr>
                <w:rFonts w:cs="Arial"/>
                <w:lang w:val="en-US"/>
              </w:rPr>
              <w:t>4.55 years</w:t>
            </w:r>
          </w:p>
        </w:tc>
        <w:tc>
          <w:tcPr>
            <w:tcW w:w="0" w:type="auto"/>
            <w:hideMark/>
          </w:tcPr>
          <w:p w14:paraId="5C347150" w14:textId="77777777" w:rsidR="004915DE" w:rsidRPr="002E220B" w:rsidRDefault="004915DE" w:rsidP="00F54C51">
            <w:pPr>
              <w:spacing w:line="276" w:lineRule="auto"/>
              <w:cnfStyle w:val="000000000000" w:firstRow="0" w:lastRow="0" w:firstColumn="0" w:lastColumn="0" w:oddVBand="0" w:evenVBand="0" w:oddHBand="0" w:evenHBand="0" w:firstRowFirstColumn="0" w:firstRowLastColumn="0" w:lastRowFirstColumn="0" w:lastRowLastColumn="0"/>
              <w:rPr>
                <w:rFonts w:cs="Arial"/>
                <w:lang w:val="en-US"/>
              </w:rPr>
            </w:pPr>
            <w:r w:rsidRPr="002E220B">
              <w:rPr>
                <w:rFonts w:cs="Arial"/>
                <w:lang w:val="en-US"/>
              </w:rPr>
              <w:t>3.6 years</w:t>
            </w:r>
          </w:p>
        </w:tc>
      </w:tr>
      <w:tr w:rsidR="004915DE" w:rsidRPr="002E220B" w14:paraId="6DCDC97E" w14:textId="77777777" w:rsidTr="00F54C51">
        <w:trPr>
          <w:cnfStyle w:val="000000100000" w:firstRow="0" w:lastRow="0" w:firstColumn="0" w:lastColumn="0" w:oddVBand="0" w:evenVBand="0" w:oddHBand="1" w:evenHBand="0" w:firstRowFirstColumn="0" w:firstRowLastColumn="0" w:lastRowFirstColumn="0" w:lastRowLastColumn="0"/>
          <w:trHeight w:val="549"/>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11F693C" w14:textId="77777777" w:rsidR="004915DE" w:rsidRPr="002E220B" w:rsidRDefault="004915DE" w:rsidP="00F54C51">
            <w:pPr>
              <w:spacing w:line="276" w:lineRule="auto"/>
              <w:rPr>
                <w:rFonts w:cs="Arial"/>
                <w:lang w:val="en-US"/>
              </w:rPr>
            </w:pPr>
            <w:r w:rsidRPr="002E220B">
              <w:rPr>
                <w:rFonts w:cs="Arial"/>
                <w:lang w:val="en-US"/>
              </w:rPr>
              <w:t>ARR</w:t>
            </w:r>
          </w:p>
        </w:tc>
        <w:tc>
          <w:tcPr>
            <w:tcW w:w="0" w:type="auto"/>
            <w:hideMark/>
          </w:tcPr>
          <w:p w14:paraId="7D14ED6C" w14:textId="77777777" w:rsidR="004915DE" w:rsidRPr="002E220B" w:rsidRDefault="004915DE" w:rsidP="00F54C51">
            <w:pPr>
              <w:spacing w:line="276" w:lineRule="auto"/>
              <w:cnfStyle w:val="000000100000" w:firstRow="0" w:lastRow="0" w:firstColumn="0" w:lastColumn="0" w:oddVBand="0" w:evenVBand="0" w:oddHBand="1" w:evenHBand="0" w:firstRowFirstColumn="0" w:firstRowLastColumn="0" w:lastRowFirstColumn="0" w:lastRowLastColumn="0"/>
              <w:rPr>
                <w:rFonts w:cs="Arial"/>
                <w:lang w:val="en-US"/>
              </w:rPr>
            </w:pPr>
            <w:r w:rsidRPr="002E220B">
              <w:rPr>
                <w:rFonts w:cs="Arial"/>
                <w:lang w:val="en-US"/>
              </w:rPr>
              <w:t>1.6%</w:t>
            </w:r>
          </w:p>
        </w:tc>
        <w:tc>
          <w:tcPr>
            <w:tcW w:w="0" w:type="auto"/>
            <w:hideMark/>
          </w:tcPr>
          <w:p w14:paraId="26E54524" w14:textId="77777777" w:rsidR="004915DE" w:rsidRPr="002E220B" w:rsidRDefault="004915DE" w:rsidP="00F54C51">
            <w:pPr>
              <w:spacing w:line="276" w:lineRule="auto"/>
              <w:cnfStyle w:val="000000100000" w:firstRow="0" w:lastRow="0" w:firstColumn="0" w:lastColumn="0" w:oddVBand="0" w:evenVBand="0" w:oddHBand="1" w:evenHBand="0" w:firstRowFirstColumn="0" w:firstRowLastColumn="0" w:lastRowFirstColumn="0" w:lastRowLastColumn="0"/>
              <w:rPr>
                <w:rFonts w:cs="Arial"/>
                <w:lang w:val="en-US"/>
              </w:rPr>
            </w:pPr>
            <w:r w:rsidRPr="002E220B">
              <w:rPr>
                <w:rFonts w:cs="Arial"/>
                <w:lang w:val="en-US"/>
              </w:rPr>
              <w:t>2%</w:t>
            </w:r>
          </w:p>
        </w:tc>
        <w:tc>
          <w:tcPr>
            <w:tcW w:w="0" w:type="auto"/>
            <w:hideMark/>
          </w:tcPr>
          <w:p w14:paraId="449A4820" w14:textId="77777777" w:rsidR="004915DE" w:rsidRPr="002E220B" w:rsidRDefault="004915DE" w:rsidP="00F54C51">
            <w:pPr>
              <w:spacing w:line="276" w:lineRule="auto"/>
              <w:cnfStyle w:val="000000100000" w:firstRow="0" w:lastRow="0" w:firstColumn="0" w:lastColumn="0" w:oddVBand="0" w:evenVBand="0" w:oddHBand="1" w:evenHBand="0" w:firstRowFirstColumn="0" w:firstRowLastColumn="0" w:lastRowFirstColumn="0" w:lastRowLastColumn="0"/>
              <w:rPr>
                <w:rFonts w:cs="Arial"/>
                <w:lang w:val="en-US"/>
              </w:rPr>
            </w:pPr>
            <w:r w:rsidRPr="002E220B">
              <w:rPr>
                <w:rFonts w:cs="Arial"/>
                <w:lang w:val="en-US"/>
              </w:rPr>
              <w:t>6%</w:t>
            </w:r>
          </w:p>
        </w:tc>
      </w:tr>
    </w:tbl>
    <w:p w14:paraId="264CF7A7" w14:textId="77777777" w:rsidR="00F54C51" w:rsidRPr="002E220B" w:rsidRDefault="00F54C51">
      <w:pPr>
        <w:spacing w:line="259" w:lineRule="auto"/>
        <w:jc w:val="left"/>
        <w:rPr>
          <w:rFonts w:cs="Arial"/>
          <w:b/>
          <w:bCs/>
          <w:i/>
          <w:iCs/>
          <w:sz w:val="26"/>
          <w:szCs w:val="26"/>
        </w:rPr>
      </w:pPr>
    </w:p>
    <w:p w14:paraId="4007C368" w14:textId="69B9EECB" w:rsidR="004915DE" w:rsidRPr="002E220B" w:rsidRDefault="004915DE" w:rsidP="00DB458E">
      <w:pPr>
        <w:pStyle w:val="Heading2"/>
      </w:pPr>
      <w:bookmarkStart w:id="31" w:name="_Toc227579218"/>
      <w:r w:rsidRPr="002E220B">
        <w:t>4.3 Payback Period (PBP)</w:t>
      </w:r>
      <w:bookmarkEnd w:id="31"/>
    </w:p>
    <w:p w14:paraId="2B0AB30C" w14:textId="0A7377FF" w:rsidR="004915DE" w:rsidRPr="002E220B" w:rsidRDefault="004915DE" w:rsidP="004915DE">
      <w:pPr>
        <w:rPr>
          <w:rFonts w:cs="Arial"/>
        </w:rPr>
      </w:pPr>
      <w:r w:rsidRPr="002E220B">
        <w:rPr>
          <w:rFonts w:cs="Arial"/>
        </w:rPr>
        <w:t>The payback period is used to determine the time taken to recuperate the investment. Project C will take the least payback period of approximately 3.6 years, which is compared to 4.5 years and 4.55 years of Project A and B, respectively. This shows that Project C will enable swift recuperation of capital invested.</w:t>
      </w:r>
    </w:p>
    <w:p w14:paraId="58ACC550" w14:textId="683E4C6F" w:rsidR="004915DE" w:rsidRPr="002E220B" w:rsidRDefault="004915DE" w:rsidP="004915DE">
      <w:pPr>
        <w:rPr>
          <w:rFonts w:cs="Arial"/>
        </w:rPr>
      </w:pPr>
      <w:r w:rsidRPr="002E220B">
        <w:rPr>
          <w:rFonts w:cs="Arial"/>
        </w:rPr>
        <w:t xml:space="preserve">In a critical view, this has been especially applicable to Hyundai considering that the company has a tight liquidity position as found in the previous sections. Less payback decreases risk exposure and enhances cash flow ability to make future investments. The </w:t>
      </w:r>
      <w:r w:rsidRPr="002E220B">
        <w:rPr>
          <w:rFonts w:cs="Arial"/>
        </w:rPr>
        <w:lastRenderedPageBreak/>
        <w:t>weakness of the payback method however is that its payments beyond the recovery period are ignored, and it neglects the time value of money.</w:t>
      </w:r>
    </w:p>
    <w:p w14:paraId="4D1EE2EC" w14:textId="071D4F2F" w:rsidR="004915DE" w:rsidRPr="002E220B" w:rsidRDefault="004915DE" w:rsidP="00DB458E">
      <w:pPr>
        <w:pStyle w:val="Heading2"/>
      </w:pPr>
      <w:bookmarkStart w:id="32" w:name="_Toc227579219"/>
      <w:r w:rsidRPr="002E220B">
        <w:t>4.4 Accounting rate of Return (ARR)</w:t>
      </w:r>
      <w:bookmarkEnd w:id="32"/>
    </w:p>
    <w:p w14:paraId="0F83EDF2" w14:textId="1AC0D241" w:rsidR="004915DE" w:rsidRPr="002E220B" w:rsidRDefault="004915DE" w:rsidP="004915DE">
      <w:pPr>
        <w:rPr>
          <w:rFonts w:cs="Arial"/>
        </w:rPr>
      </w:pPr>
      <w:r w:rsidRPr="002E220B">
        <w:rPr>
          <w:rFonts w:cs="Arial"/>
        </w:rPr>
        <w:t>ARR considers accounting profits, and it does not consider cash flows to evaluate profitability. Project C has showed the greatest ARR of 6 which is much higher than that of Project B (2) and Project A (1.6). It shows that Project C yields better average returns in comparison with the original investment.</w:t>
      </w:r>
      <w:r w:rsidR="002E220B">
        <w:rPr>
          <w:rFonts w:cs="Arial"/>
        </w:rPr>
        <w:t xml:space="preserve"> </w:t>
      </w:r>
      <w:r w:rsidRPr="002E220B">
        <w:rPr>
          <w:rFonts w:cs="Arial"/>
        </w:rPr>
        <w:t>Although ARR is a valuable quantity to measure profitability, it fails to consider timing of returns and cost of capital. Thus, Project C may seem the most appealing, considering ARR but one should not rely on this technique alone to decide.</w:t>
      </w:r>
    </w:p>
    <w:p w14:paraId="2845DC31" w14:textId="240C6542" w:rsidR="004915DE" w:rsidRPr="002E220B" w:rsidRDefault="004915DE" w:rsidP="00DB458E">
      <w:pPr>
        <w:pStyle w:val="Heading2"/>
      </w:pPr>
      <w:bookmarkStart w:id="33" w:name="_Toc227579220"/>
      <w:r w:rsidRPr="002E220B">
        <w:t>4.5 Net Present value (NPV)</w:t>
      </w:r>
      <w:bookmarkEnd w:id="33"/>
    </w:p>
    <w:p w14:paraId="44101064" w14:textId="208D056B" w:rsidR="004915DE" w:rsidRPr="002E220B" w:rsidRDefault="004915DE" w:rsidP="004915DE">
      <w:pPr>
        <w:rPr>
          <w:rFonts w:cs="Arial"/>
        </w:rPr>
      </w:pPr>
      <w:r w:rsidRPr="002E220B">
        <w:rPr>
          <w:rFonts w:cs="Arial"/>
        </w:rPr>
        <w:t>NPV is deemed to be the most valid capital budgeting method since it includes the time value of money as well as magnitude of investment. The three projects give negative NPVs at 10 percent discount rate showing that none of the projects gives full requirement per the rate of return.</w:t>
      </w:r>
    </w:p>
    <w:p w14:paraId="54603A46" w14:textId="4D06FFB8" w:rsidR="004915DE" w:rsidRPr="002E220B" w:rsidRDefault="004915DE" w:rsidP="004915DE">
      <w:pPr>
        <w:rPr>
          <w:rFonts w:cs="Arial"/>
        </w:rPr>
      </w:pPr>
      <w:r w:rsidRPr="002E220B">
        <w:rPr>
          <w:rFonts w:cs="Arial"/>
          <w:b/>
          <w:bCs/>
          <w:i/>
          <w:iCs/>
        </w:rPr>
        <w:t>Project C</w:t>
      </w:r>
      <w:r w:rsidRPr="002E220B">
        <w:rPr>
          <w:rFonts w:cs="Arial"/>
        </w:rPr>
        <w:t xml:space="preserve"> however has the lowest negative NPV of -1.98 million, with Project A and B having a negative NPV of -8.68 million and -8.30 million respectively. This implies that Project C has the least value loss and is most economically acceptable amid the three.</w:t>
      </w:r>
    </w:p>
    <w:p w14:paraId="7917D687" w14:textId="54649FE2" w:rsidR="004915DE" w:rsidRPr="002E220B" w:rsidRDefault="004915DE" w:rsidP="004915DE">
      <w:pPr>
        <w:rPr>
          <w:rFonts w:cs="Arial"/>
        </w:rPr>
      </w:pPr>
      <w:r w:rsidRPr="002E220B">
        <w:rPr>
          <w:rFonts w:cs="Arial"/>
        </w:rPr>
        <w:t>In a critical perspective, the negative NPVs bring concern on the viability of these investments. It can be either the conservative cash flow estimates or an elevated cost of capital. In the case of Hyundai, this brings to the fore the significance of selecting projects and ensuring costs are kept in check.</w:t>
      </w:r>
    </w:p>
    <w:p w14:paraId="3D4EE43C" w14:textId="783403A9" w:rsidR="004915DE" w:rsidRPr="002E220B" w:rsidRDefault="004915DE" w:rsidP="00DB458E">
      <w:pPr>
        <w:pStyle w:val="Heading2"/>
      </w:pPr>
      <w:bookmarkStart w:id="34" w:name="_Toc227579221"/>
      <w:r w:rsidRPr="002E220B">
        <w:t>4.6 Profitability Index (PI)</w:t>
      </w:r>
      <w:bookmarkEnd w:id="34"/>
    </w:p>
    <w:p w14:paraId="2D96BA23" w14:textId="7E7D6978" w:rsidR="004915DE" w:rsidRPr="002E220B" w:rsidRDefault="004915DE" w:rsidP="004915DE">
      <w:pPr>
        <w:rPr>
          <w:rFonts w:cs="Arial"/>
        </w:rPr>
      </w:pPr>
      <w:r w:rsidRPr="002E220B">
        <w:rPr>
          <w:rFonts w:cs="Arial"/>
        </w:rPr>
        <w:t>The profitability index is used to gauge the value generated with each unit of investment. Project C has the largest PI of 0.96 when compared to 0.83 of Projects A and B. Even though none of the values is above 1 which means that the projects themselves do not encourage enough returns, Project C remains to be in a rather good position.</w:t>
      </w:r>
    </w:p>
    <w:p w14:paraId="7BE0D854" w14:textId="0A6FA5B0" w:rsidR="004915DE" w:rsidRPr="002E220B" w:rsidRDefault="004915DE" w:rsidP="004915DE">
      <w:pPr>
        <w:rPr>
          <w:rFonts w:cs="Arial"/>
        </w:rPr>
      </w:pPr>
      <w:r w:rsidRPr="002E220B">
        <w:rPr>
          <w:rFonts w:cs="Arial"/>
        </w:rPr>
        <w:lastRenderedPageBreak/>
        <w:t>PI is especially helpful when there is capital rationing because it makes it possible to compare the efficiency of different projects. Project C will be the most efficient in this instance in terms of returns generated against investment.</w:t>
      </w:r>
    </w:p>
    <w:p w14:paraId="399191E1" w14:textId="39C3BB58" w:rsidR="004915DE" w:rsidRPr="002E220B" w:rsidRDefault="004915DE" w:rsidP="00DB458E">
      <w:pPr>
        <w:pStyle w:val="Heading2"/>
      </w:pPr>
      <w:bookmarkStart w:id="35" w:name="_Toc227579222"/>
      <w:r w:rsidRPr="002E220B">
        <w:t>4.7 Internal rate of Return (IRR)</w:t>
      </w:r>
      <w:bookmarkEnd w:id="35"/>
    </w:p>
    <w:p w14:paraId="2E4E65FC" w14:textId="647D3BB6" w:rsidR="004915DE" w:rsidRPr="002E220B" w:rsidRDefault="004915DE" w:rsidP="004915DE">
      <w:pPr>
        <w:rPr>
          <w:rFonts w:cs="Arial"/>
        </w:rPr>
      </w:pPr>
      <w:r w:rsidRPr="002E220B">
        <w:rPr>
          <w:rFonts w:cs="Arial"/>
        </w:rPr>
        <w:t>IRR is a discount rate where the NPV becomes equal to the discount rate. The IRR of project C is about 9 that is closest to the desired 10% and that of Project A and B is only 3%.</w:t>
      </w:r>
      <w:r w:rsidR="002E220B">
        <w:rPr>
          <w:rFonts w:cs="Arial"/>
        </w:rPr>
        <w:t xml:space="preserve"> </w:t>
      </w:r>
      <w:r w:rsidRPr="002E220B">
        <w:rPr>
          <w:rFonts w:cs="Arial"/>
        </w:rPr>
        <w:t>This makes it clear that Project C is much more appealing about the potential of returns. But, with all IRRs less than the required one, none of the projects meets all the investment criteria.</w:t>
      </w:r>
      <w:r w:rsidR="002E220B">
        <w:rPr>
          <w:rFonts w:cs="Arial"/>
        </w:rPr>
        <w:t xml:space="preserve"> </w:t>
      </w:r>
      <w:r w:rsidRPr="002E220B">
        <w:rPr>
          <w:rFonts w:cs="Arial"/>
        </w:rPr>
        <w:t>Critically, IRR may be misleading when project cash flows vary, and one assumes that he/she relies on IRR only. Hence, it must be deemed together with NPV to give the decision-making a more precise approach.</w:t>
      </w:r>
    </w:p>
    <w:p w14:paraId="15D14A50" w14:textId="0AFBF21D" w:rsidR="004915DE" w:rsidRPr="002E220B" w:rsidRDefault="004915DE" w:rsidP="00DB458E">
      <w:pPr>
        <w:pStyle w:val="Heading2"/>
      </w:pPr>
      <w:bookmarkStart w:id="36" w:name="_Toc227579223"/>
      <w:r w:rsidRPr="002E220B">
        <w:t>4.8 Overall Project Evaluation</w:t>
      </w:r>
      <w:bookmarkEnd w:id="36"/>
    </w:p>
    <w:p w14:paraId="4CA89DE6" w14:textId="4FA28342" w:rsidR="004915DE" w:rsidRPr="002E220B" w:rsidRDefault="004915DE" w:rsidP="004915DE">
      <w:pPr>
        <w:rPr>
          <w:rFonts w:cs="Arial"/>
        </w:rPr>
      </w:pPr>
      <w:r w:rsidRPr="002E220B">
        <w:rPr>
          <w:rFonts w:cs="Arial"/>
        </w:rPr>
        <w:t>In all assessment procedures of the Project, C does better in comparison to Projects A and B. It has the shortest payback, maximum ARR, maximum PI and IRR that is nearest to the required rate of return. Additionally, it results in the least negative NPV.</w:t>
      </w:r>
      <w:r w:rsidR="002E220B">
        <w:rPr>
          <w:rFonts w:cs="Arial"/>
        </w:rPr>
        <w:t xml:space="preserve"> </w:t>
      </w:r>
      <w:r w:rsidRPr="002E220B">
        <w:rPr>
          <w:rFonts w:cs="Arial"/>
        </w:rPr>
        <w:t>This uniformity in various methods supports this postulation on why Project C would prove to be the choice of investment. Conversely, Projects A and B have poorer financial performance and provide low strategic value.</w:t>
      </w:r>
    </w:p>
    <w:p w14:paraId="53F45FF4" w14:textId="7DC05E50" w:rsidR="004915DE" w:rsidRPr="002E220B" w:rsidRDefault="004915DE" w:rsidP="00DB458E">
      <w:pPr>
        <w:pStyle w:val="Heading2"/>
      </w:pPr>
      <w:bookmarkStart w:id="37" w:name="_Toc227579224"/>
      <w:r w:rsidRPr="002E220B">
        <w:t>4.9 Strategic Justification Hyundai Context</w:t>
      </w:r>
      <w:bookmarkEnd w:id="37"/>
    </w:p>
    <w:p w14:paraId="7B88A3C1" w14:textId="1C844C71" w:rsidR="004915DE" w:rsidRPr="002E220B" w:rsidRDefault="004915DE" w:rsidP="004915DE">
      <w:pPr>
        <w:rPr>
          <w:rFonts w:cs="Arial"/>
        </w:rPr>
      </w:pPr>
      <w:r w:rsidRPr="002E220B">
        <w:rPr>
          <w:rFonts w:cs="Arial"/>
          <w:b/>
          <w:bCs/>
          <w:i/>
          <w:iCs/>
        </w:rPr>
        <w:t>Project C</w:t>
      </w:r>
      <w:r w:rsidRPr="002E220B">
        <w:rPr>
          <w:rFonts w:cs="Arial"/>
        </w:rPr>
        <w:t xml:space="preserve"> is a well-profiled project according to the financial status and the strategic goals of Hyundai. It is especially beneficial to the company, since its liquidity constraints render the short payback period especially valuable, as it enhances the availability of cash flow. The recovery of investment is faster with project C, which will offset this need.</w:t>
      </w:r>
      <w:r w:rsidR="00F54C51" w:rsidRPr="002E220B">
        <w:rPr>
          <w:rFonts w:cs="Arial"/>
        </w:rPr>
        <w:t xml:space="preserve"> </w:t>
      </w:r>
      <w:r w:rsidRPr="002E220B">
        <w:rPr>
          <w:rFonts w:cs="Arial"/>
        </w:rPr>
        <w:t>Moreover, the emphasis of Hyundai on refining profitability and shareholder returns is justified by greater ARR and comparative greater IRR of Project C. Also offering a balance between risk and return is the cash flow pattern of the project with the increased inflows during the middle years.</w:t>
      </w:r>
      <w:r w:rsidR="00F54C51" w:rsidRPr="002E220B">
        <w:rPr>
          <w:rFonts w:cs="Arial"/>
        </w:rPr>
        <w:t xml:space="preserve"> </w:t>
      </w:r>
      <w:r w:rsidRPr="002E220B">
        <w:rPr>
          <w:rFonts w:cs="Arial"/>
        </w:rPr>
        <w:t xml:space="preserve">Since the company is currently investing in EV technology, it is imperative </w:t>
      </w:r>
      <w:r w:rsidRPr="002E220B">
        <w:rPr>
          <w:rFonts w:cs="Arial"/>
        </w:rPr>
        <w:lastRenderedPageBreak/>
        <w:t>to choose projects that are the most efficient and will not strain the budget. Project C is the best project meeting these requirements.</w:t>
      </w:r>
    </w:p>
    <w:p w14:paraId="2FE35630" w14:textId="7D87657E" w:rsidR="004915DE" w:rsidRPr="002E220B" w:rsidRDefault="004915DE" w:rsidP="00DB458E">
      <w:pPr>
        <w:pStyle w:val="Heading2"/>
      </w:pPr>
      <w:bookmarkStart w:id="38" w:name="_Toc227579225"/>
      <w:r w:rsidRPr="002E220B">
        <w:t>4.10 Non-Financial Considerations</w:t>
      </w:r>
      <w:bookmarkEnd w:id="38"/>
    </w:p>
    <w:p w14:paraId="05B22853" w14:textId="1208D960" w:rsidR="004915DE" w:rsidRPr="002E220B" w:rsidRDefault="004915DE" w:rsidP="004915DE">
      <w:pPr>
        <w:rPr>
          <w:rFonts w:cs="Arial"/>
        </w:rPr>
      </w:pPr>
      <w:r w:rsidRPr="002E220B">
        <w:rPr>
          <w:rFonts w:cs="Arial"/>
        </w:rPr>
        <w:t>Although financial analysis is essential, there are also non-financial aspects on investment decisions. The automobile industry, and particularly the EV industry, is prone to political and regulatory risks such as government policies and incentives are very influential here. Alteration of regulations may affect the viability of the project (Freij, 2022).</w:t>
      </w:r>
      <w:r w:rsidR="002E220B">
        <w:rPr>
          <w:rFonts w:cs="Arial"/>
        </w:rPr>
        <w:t xml:space="preserve"> </w:t>
      </w:r>
      <w:r w:rsidRPr="002E220B">
        <w:rPr>
          <w:rFonts w:cs="Arial"/>
        </w:rPr>
        <w:t>Another crucial aspect is competition in the market, especially by the large players in the EV market, like Tesla, Inc. and BYD Company. Hyundai must see to it that its investments enhance its competitiveness. It is also important on customer loyalty and brand perception. Investments should be in accordance with consumer demands of innovation, sustainability, and reliability.</w:t>
      </w:r>
    </w:p>
    <w:p w14:paraId="79DB9193" w14:textId="323E92E8" w:rsidR="004915DE" w:rsidRPr="002E220B" w:rsidRDefault="004915DE" w:rsidP="00DB458E">
      <w:pPr>
        <w:pStyle w:val="Heading2"/>
      </w:pPr>
      <w:bookmarkStart w:id="39" w:name="_Toc227579226"/>
      <w:r w:rsidRPr="002E220B">
        <w:t>4.11 Capital Rationing Decision</w:t>
      </w:r>
      <w:bookmarkEnd w:id="39"/>
    </w:p>
    <w:p w14:paraId="212866BF" w14:textId="6C3116A4" w:rsidR="004915DE" w:rsidRPr="002E220B" w:rsidRDefault="004915DE" w:rsidP="004915DE">
      <w:pPr>
        <w:rPr>
          <w:rFonts w:cs="Arial"/>
        </w:rPr>
      </w:pPr>
      <w:r w:rsidRPr="002E220B">
        <w:rPr>
          <w:rFonts w:cs="Arial"/>
        </w:rPr>
        <w:t>With a limit of only two out of three suggested projects (maximum investment budget of £100 million), Hyundai will be limited in the choice of project to invest in. This restriction must be carefully taken into consideration to make sure that the selected mix produces as high value as possible without taking excessively high risks or high returns. According to the Net Present Value (NPV) calculates, the set of all possible combinations only generates negative changes, but the goal in the capital rationing is to reduce the loss of value not to zero.</w:t>
      </w:r>
    </w:p>
    <w:p w14:paraId="13E6B2FE" w14:textId="72E4E143" w:rsidR="004915DE" w:rsidRPr="002E220B" w:rsidRDefault="004915DE" w:rsidP="004915DE">
      <w:pPr>
        <w:rPr>
          <w:rFonts w:cs="Arial"/>
        </w:rPr>
      </w:pPr>
      <w:r w:rsidRPr="002E220B">
        <w:rPr>
          <w:rFonts w:cs="Arial"/>
        </w:rPr>
        <w:t>In the comparison of the alternatives, the combination of Projects A and B yields the worst overall performance, having the lowest value of combined NPV. The co-operation between Projects A and C is superior but still leaves a slightly higher loss in value in comparison with the rest of the option. Conversely, project B and project C have the lowest total negative NPV, and hence are the most reasonable alternative that can be chosen among the people.</w:t>
      </w:r>
    </w:p>
    <w:p w14:paraId="44AAF556" w14:textId="338ABAE8" w:rsidR="004915DE" w:rsidRPr="002E220B" w:rsidRDefault="004915DE" w:rsidP="004915DE">
      <w:pPr>
        <w:rPr>
          <w:rFonts w:cs="Arial"/>
        </w:rPr>
      </w:pPr>
      <w:r w:rsidRPr="002E220B">
        <w:rPr>
          <w:rFonts w:cs="Arial"/>
        </w:rPr>
        <w:t xml:space="preserve">This combination also presents a better balance of cash flow in a strategic perspective. Since Project B offers consistent and predictable returns during the investment period </w:t>
      </w:r>
      <w:r w:rsidRPr="002E220B">
        <w:rPr>
          <w:rFonts w:cs="Arial"/>
        </w:rPr>
        <w:lastRenderedPageBreak/>
        <w:t>and can contribute to financial stability and Project C offers a relatively larger payback and a shorter payback period, which results in more liquidity and efficiency in general. This is especially significant to Hyundai Motor Company as it must balance its liquidity upkeep and still use the opportunity to invest in the growth in the electric vehicle market.</w:t>
      </w:r>
    </w:p>
    <w:p w14:paraId="6D92C0C7" w14:textId="773F23DA" w:rsidR="004915DE" w:rsidRPr="002E220B" w:rsidRDefault="004915DE" w:rsidP="004915DE">
      <w:pPr>
        <w:rPr>
          <w:rFonts w:cs="Arial"/>
        </w:rPr>
      </w:pPr>
      <w:r w:rsidRPr="002E220B">
        <w:rPr>
          <w:rFonts w:cs="Arial"/>
        </w:rPr>
        <w:t>Thus, the Projects B and C are the best investment choice under the capital rationing limitation since it will maximise relative value and financial stability, in addition to being in line with the long-term strategic goals of the company.</w:t>
      </w:r>
    </w:p>
    <w:p w14:paraId="31FA78A5" w14:textId="77777777" w:rsidR="004915DE" w:rsidRPr="002E220B" w:rsidRDefault="004915DE" w:rsidP="00DB458E">
      <w:pPr>
        <w:pStyle w:val="Heading2"/>
      </w:pPr>
      <w:bookmarkStart w:id="40" w:name="_Toc227579227"/>
      <w:r w:rsidRPr="002E220B">
        <w:t>4.12 Conclusion</w:t>
      </w:r>
      <w:bookmarkEnd w:id="40"/>
    </w:p>
    <w:p w14:paraId="6486A344" w14:textId="3AF9FF21" w:rsidR="004915DE" w:rsidRPr="002E220B" w:rsidRDefault="004915DE" w:rsidP="004915DE">
      <w:pPr>
        <w:rPr>
          <w:rFonts w:cs="Arial"/>
        </w:rPr>
      </w:pPr>
      <w:r w:rsidRPr="002E220B">
        <w:rPr>
          <w:rFonts w:cs="Arial"/>
        </w:rPr>
        <w:t>To sum up, project C comes out as the most viable of all appraisal techniques as they have all resulted in negative NPVs. It has high returns, higher payback and high efficiency compared to investment. With capital rationing, the Projects B and C would be the most preferred as they offer the best combination of risk and yield such that the scarce financial resources are used to the best. In the case of Hyundai Motor Company, these projects would help them to remain financially disciplined and strategically develop in a very competitive and capital-intensive industry.</w:t>
      </w:r>
    </w:p>
    <w:p w14:paraId="23BD664A" w14:textId="77777777" w:rsidR="004915DE" w:rsidRPr="002E220B" w:rsidRDefault="004915DE">
      <w:pPr>
        <w:spacing w:line="259" w:lineRule="auto"/>
        <w:jc w:val="left"/>
        <w:rPr>
          <w:rFonts w:cs="Arial"/>
        </w:rPr>
      </w:pPr>
      <w:r w:rsidRPr="002E220B">
        <w:rPr>
          <w:rFonts w:cs="Arial"/>
        </w:rPr>
        <w:br w:type="page"/>
      </w:r>
    </w:p>
    <w:p w14:paraId="5B5DDD27" w14:textId="4ECA234B" w:rsidR="004915DE" w:rsidRPr="002E220B" w:rsidRDefault="004915DE" w:rsidP="004915DE">
      <w:pPr>
        <w:pStyle w:val="Heading1"/>
        <w:rPr>
          <w:rFonts w:cs="Arial"/>
        </w:rPr>
      </w:pPr>
      <w:bookmarkStart w:id="41" w:name="_Toc227579228"/>
      <w:r w:rsidRPr="002E220B">
        <w:rPr>
          <w:rFonts w:cs="Arial"/>
        </w:rPr>
        <w:lastRenderedPageBreak/>
        <w:t>Reference List</w:t>
      </w:r>
      <w:bookmarkEnd w:id="41"/>
    </w:p>
    <w:p w14:paraId="0AA80A89" w14:textId="77777777" w:rsidR="002E220B" w:rsidRPr="002E220B" w:rsidRDefault="002E220B" w:rsidP="00F54C51">
      <w:pPr>
        <w:rPr>
          <w:rFonts w:cs="Arial"/>
        </w:rPr>
      </w:pPr>
      <w:r w:rsidRPr="002E220B">
        <w:rPr>
          <w:rFonts w:cs="Arial"/>
        </w:rPr>
        <w:t>Akbar, A., Jiang, X. and Akbar, M., (2022). Do working capital management practices influence investment and financing patterns of firms?. </w:t>
      </w:r>
      <w:r w:rsidRPr="002E220B">
        <w:rPr>
          <w:rFonts w:cs="Arial"/>
          <w:i/>
          <w:iCs/>
        </w:rPr>
        <w:t>Journal of Economic and Administrative Sciences</w:t>
      </w:r>
      <w:r w:rsidRPr="002E220B">
        <w:rPr>
          <w:rFonts w:cs="Arial"/>
        </w:rPr>
        <w:t>, </w:t>
      </w:r>
      <w:r w:rsidRPr="002E220B">
        <w:rPr>
          <w:rFonts w:cs="Arial"/>
          <w:i/>
          <w:iCs/>
        </w:rPr>
        <w:t>38</w:t>
      </w:r>
      <w:r w:rsidRPr="002E220B">
        <w:rPr>
          <w:rFonts w:cs="Arial"/>
        </w:rPr>
        <w:t xml:space="preserve">(1), pp.91-109. </w:t>
      </w:r>
      <w:hyperlink r:id="rId18" w:history="1">
        <w:r w:rsidRPr="002E220B">
          <w:rPr>
            <w:rStyle w:val="Hyperlink"/>
            <w:rFonts w:cs="Arial"/>
          </w:rPr>
          <w:t>https://www.emerald.com/jeas/article-pdf/38/1/91/1469973/jeas-07-2019-0074.pdf</w:t>
        </w:r>
      </w:hyperlink>
    </w:p>
    <w:p w14:paraId="6BA8E868" w14:textId="77777777" w:rsidR="002E220B" w:rsidRPr="002E220B" w:rsidRDefault="002E220B" w:rsidP="00F54C51">
      <w:pPr>
        <w:rPr>
          <w:rFonts w:cs="Arial"/>
        </w:rPr>
      </w:pPr>
      <w:proofErr w:type="spellStart"/>
      <w:r w:rsidRPr="002E220B">
        <w:rPr>
          <w:rFonts w:cs="Arial"/>
        </w:rPr>
        <w:t>Arifaj</w:t>
      </w:r>
      <w:proofErr w:type="spellEnd"/>
      <w:r w:rsidRPr="002E220B">
        <w:rPr>
          <w:rFonts w:cs="Arial"/>
        </w:rPr>
        <w:t xml:space="preserve">, A.H., </w:t>
      </w:r>
      <w:proofErr w:type="spellStart"/>
      <w:r w:rsidRPr="002E220B">
        <w:rPr>
          <w:rFonts w:cs="Arial"/>
        </w:rPr>
        <w:t>Berisha</w:t>
      </w:r>
      <w:proofErr w:type="spellEnd"/>
      <w:r w:rsidRPr="002E220B">
        <w:rPr>
          <w:rFonts w:cs="Arial"/>
        </w:rPr>
        <w:t>, V., Morina, F. and Avdyli, E., (2023). Exploring the impact of cash flow, company size, and debt on financial performance in corporations. </w:t>
      </w:r>
      <w:r w:rsidRPr="002E220B">
        <w:rPr>
          <w:rFonts w:cs="Arial"/>
          <w:i/>
          <w:iCs/>
        </w:rPr>
        <w:t>Investment Management &amp; Financial Innovations</w:t>
      </w:r>
      <w:r w:rsidRPr="002E220B">
        <w:rPr>
          <w:rFonts w:cs="Arial"/>
        </w:rPr>
        <w:t>, </w:t>
      </w:r>
      <w:r w:rsidRPr="002E220B">
        <w:rPr>
          <w:rFonts w:cs="Arial"/>
          <w:i/>
          <w:iCs/>
        </w:rPr>
        <w:t>20</w:t>
      </w:r>
      <w:r w:rsidRPr="002E220B">
        <w:rPr>
          <w:rFonts w:cs="Arial"/>
        </w:rPr>
        <w:t xml:space="preserve">(3), p.264. </w:t>
      </w:r>
      <w:hyperlink r:id="rId19" w:history="1">
        <w:r w:rsidRPr="002E220B">
          <w:rPr>
            <w:rStyle w:val="Hyperlink"/>
            <w:rFonts w:cs="Arial"/>
          </w:rPr>
          <w:t>https://pdfs.semanticscholar.org/b297/a823988fa5f3b58516df9f08c16c2c20d0e5.pdf</w:t>
        </w:r>
      </w:hyperlink>
    </w:p>
    <w:p w14:paraId="49E8D84A" w14:textId="77777777" w:rsidR="002E220B" w:rsidRPr="002E220B" w:rsidRDefault="002E220B" w:rsidP="00F54C51">
      <w:pPr>
        <w:rPr>
          <w:rFonts w:cs="Arial"/>
        </w:rPr>
      </w:pPr>
      <w:proofErr w:type="spellStart"/>
      <w:r w:rsidRPr="002E220B">
        <w:rPr>
          <w:rFonts w:cs="Arial"/>
        </w:rPr>
        <w:t>Askarany</w:t>
      </w:r>
      <w:proofErr w:type="spellEnd"/>
      <w:r w:rsidRPr="002E220B">
        <w:rPr>
          <w:rFonts w:cs="Arial"/>
        </w:rPr>
        <w:t>, D., Parsaei, M. and Ghanbari, N., (2024). Business strategy, short-term debt, and cost stickiness. </w:t>
      </w:r>
      <w:r w:rsidRPr="002E220B">
        <w:rPr>
          <w:rFonts w:cs="Arial"/>
          <w:i/>
          <w:iCs/>
        </w:rPr>
        <w:t>Computational Economics</w:t>
      </w:r>
      <w:r w:rsidRPr="002E220B">
        <w:rPr>
          <w:rFonts w:cs="Arial"/>
        </w:rPr>
        <w:t>, </w:t>
      </w:r>
      <w:r w:rsidRPr="002E220B">
        <w:rPr>
          <w:rFonts w:cs="Arial"/>
          <w:i/>
          <w:iCs/>
        </w:rPr>
        <w:t>64</w:t>
      </w:r>
      <w:r w:rsidRPr="002E220B">
        <w:rPr>
          <w:rFonts w:cs="Arial"/>
        </w:rPr>
        <w:t xml:space="preserve">(3), pp.1913-1936. </w:t>
      </w:r>
      <w:hyperlink r:id="rId20" w:history="1">
        <w:r w:rsidRPr="002E220B">
          <w:rPr>
            <w:rStyle w:val="Hyperlink"/>
            <w:rFonts w:cs="Arial"/>
          </w:rPr>
          <w:t>https://link.springer.com/content/pdf/10.1007/s10614-024-10649-7.pdf</w:t>
        </w:r>
      </w:hyperlink>
    </w:p>
    <w:p w14:paraId="04BE6820" w14:textId="77777777" w:rsidR="002E220B" w:rsidRPr="002E220B" w:rsidRDefault="002E220B" w:rsidP="00F54C51">
      <w:pPr>
        <w:rPr>
          <w:rFonts w:cs="Arial"/>
        </w:rPr>
      </w:pPr>
      <w:r w:rsidRPr="002E220B">
        <w:rPr>
          <w:rFonts w:cs="Arial"/>
        </w:rPr>
        <w:t>Asman, F.N., Fernandez, D., Jamaludin, N.A., Omar Zaki, H. and Ghazali, A.W., (2022). Cash conversion cycle and firm’s performance. </w:t>
      </w:r>
      <w:r w:rsidRPr="002E220B">
        <w:rPr>
          <w:rFonts w:cs="Arial"/>
          <w:i/>
          <w:iCs/>
        </w:rPr>
        <w:t>International Journal of Academic Research in Business and Social Sciences</w:t>
      </w:r>
      <w:r w:rsidRPr="002E220B">
        <w:rPr>
          <w:rFonts w:cs="Arial"/>
        </w:rPr>
        <w:t>, </w:t>
      </w:r>
      <w:r w:rsidRPr="002E220B">
        <w:rPr>
          <w:rFonts w:cs="Arial"/>
          <w:i/>
          <w:iCs/>
        </w:rPr>
        <w:t>12</w:t>
      </w:r>
      <w:r w:rsidRPr="002E220B">
        <w:rPr>
          <w:rFonts w:cs="Arial"/>
        </w:rPr>
        <w:t xml:space="preserve">(11), pp.2682-2692. </w:t>
      </w:r>
      <w:hyperlink r:id="rId21" w:history="1">
        <w:r w:rsidRPr="002E220B">
          <w:rPr>
            <w:rStyle w:val="Hyperlink"/>
            <w:rFonts w:cs="Arial"/>
          </w:rPr>
          <w:t>https://www.academia.edu/download/106769993/cash-conversion-cycle-and-firms-performance.pdf</w:t>
        </w:r>
      </w:hyperlink>
    </w:p>
    <w:p w14:paraId="17AD53EB" w14:textId="77777777" w:rsidR="002E220B" w:rsidRPr="002E220B" w:rsidRDefault="002E220B" w:rsidP="00F54C51">
      <w:pPr>
        <w:rPr>
          <w:rFonts w:cs="Arial"/>
        </w:rPr>
      </w:pPr>
      <w:proofErr w:type="spellStart"/>
      <w:r w:rsidRPr="002E220B">
        <w:rPr>
          <w:rFonts w:cs="Arial"/>
        </w:rPr>
        <w:t>Atieh</w:t>
      </w:r>
      <w:proofErr w:type="spellEnd"/>
      <w:r w:rsidRPr="002E220B">
        <w:rPr>
          <w:rFonts w:cs="Arial"/>
        </w:rPr>
        <w:t xml:space="preserve"> Ali, A.A., </w:t>
      </w:r>
      <w:proofErr w:type="spellStart"/>
      <w:r w:rsidRPr="002E220B">
        <w:rPr>
          <w:rFonts w:cs="Arial"/>
        </w:rPr>
        <w:t>Sharabati</w:t>
      </w:r>
      <w:proofErr w:type="spellEnd"/>
      <w:r w:rsidRPr="002E220B">
        <w:rPr>
          <w:rFonts w:cs="Arial"/>
        </w:rPr>
        <w:t xml:space="preserve">, A.A.A., </w:t>
      </w:r>
      <w:proofErr w:type="spellStart"/>
      <w:r w:rsidRPr="002E220B">
        <w:rPr>
          <w:rFonts w:cs="Arial"/>
        </w:rPr>
        <w:t>Allahham</w:t>
      </w:r>
      <w:proofErr w:type="spellEnd"/>
      <w:r w:rsidRPr="002E220B">
        <w:rPr>
          <w:rFonts w:cs="Arial"/>
        </w:rPr>
        <w:t xml:space="preserve">, M. and </w:t>
      </w:r>
      <w:proofErr w:type="spellStart"/>
      <w:r w:rsidRPr="002E220B">
        <w:rPr>
          <w:rFonts w:cs="Arial"/>
        </w:rPr>
        <w:t>Nasereddin</w:t>
      </w:r>
      <w:proofErr w:type="spellEnd"/>
      <w:r w:rsidRPr="002E220B">
        <w:rPr>
          <w:rFonts w:cs="Arial"/>
        </w:rPr>
        <w:t>, A.Y., (2024). The relationship between supply chain resilience and digital supply chain and the impact on sustainability: Supply chain dynamism as a moderator. </w:t>
      </w:r>
      <w:r w:rsidRPr="002E220B">
        <w:rPr>
          <w:rFonts w:cs="Arial"/>
          <w:i/>
          <w:iCs/>
        </w:rPr>
        <w:t>Sustainability</w:t>
      </w:r>
      <w:r w:rsidRPr="002E220B">
        <w:rPr>
          <w:rFonts w:cs="Arial"/>
        </w:rPr>
        <w:t>, </w:t>
      </w:r>
      <w:r w:rsidRPr="002E220B">
        <w:rPr>
          <w:rFonts w:cs="Arial"/>
          <w:i/>
          <w:iCs/>
        </w:rPr>
        <w:t>16</w:t>
      </w:r>
      <w:r w:rsidRPr="002E220B">
        <w:rPr>
          <w:rFonts w:cs="Arial"/>
        </w:rPr>
        <w:t xml:space="preserve">(7), p.3082.  </w:t>
      </w:r>
      <w:hyperlink r:id="rId22" w:history="1">
        <w:r w:rsidRPr="002E220B">
          <w:rPr>
            <w:rStyle w:val="Hyperlink"/>
            <w:rFonts w:cs="Arial"/>
          </w:rPr>
          <w:t>https://www.mdpi.com/2071-1050/16/7/3082</w:t>
        </w:r>
      </w:hyperlink>
    </w:p>
    <w:p w14:paraId="6F790C00" w14:textId="77777777" w:rsidR="002E220B" w:rsidRPr="002E220B" w:rsidRDefault="002E220B" w:rsidP="00F54C51">
      <w:pPr>
        <w:rPr>
          <w:rFonts w:cs="Arial"/>
        </w:rPr>
      </w:pPr>
      <w:r w:rsidRPr="002E220B">
        <w:rPr>
          <w:rFonts w:cs="Arial"/>
        </w:rPr>
        <w:t xml:space="preserve">Conrad, C.A., (2026). The Impact of Money Supply and Interest Rates on Stock Prices: Insights from Two New </w:t>
      </w:r>
      <w:proofErr w:type="spellStart"/>
      <w:r w:rsidRPr="002E220B">
        <w:rPr>
          <w:rFonts w:cs="Arial"/>
        </w:rPr>
        <w:t>Behavioral</w:t>
      </w:r>
      <w:proofErr w:type="spellEnd"/>
      <w:r w:rsidRPr="002E220B">
        <w:rPr>
          <w:rFonts w:cs="Arial"/>
        </w:rPr>
        <w:t xml:space="preserve"> Experiments and a Proposal for a New Price to Earnings Ratio. </w:t>
      </w:r>
      <w:r w:rsidRPr="002E220B">
        <w:rPr>
          <w:rFonts w:cs="Arial"/>
          <w:i/>
          <w:iCs/>
        </w:rPr>
        <w:t>International Journal of Economics and Finance</w:t>
      </w:r>
      <w:r w:rsidRPr="002E220B">
        <w:rPr>
          <w:rFonts w:cs="Arial"/>
        </w:rPr>
        <w:t>, </w:t>
      </w:r>
      <w:r w:rsidRPr="002E220B">
        <w:rPr>
          <w:rFonts w:cs="Arial"/>
          <w:i/>
          <w:iCs/>
        </w:rPr>
        <w:t>18</w:t>
      </w:r>
      <w:r w:rsidRPr="002E220B">
        <w:rPr>
          <w:rFonts w:cs="Arial"/>
        </w:rPr>
        <w:t xml:space="preserve">(4). </w:t>
      </w:r>
      <w:hyperlink r:id="rId23" w:history="1">
        <w:r w:rsidRPr="002E220B">
          <w:rPr>
            <w:rStyle w:val="Hyperlink"/>
            <w:rFonts w:cs="Arial"/>
          </w:rPr>
          <w:t>https://www.researchgate.net/profile/Christian-Conrad-3/publication/402158058_The_Impact_of_Money_Supply_and_Interest_Rates_on_Stock_Prices_Insights_from_Two_New_Behavioral_Experiments_and_a_Proposal_for_a_New_Price_to_Earnings_Ratio/links/69b7a7130df0500feff5c4c2/The-Impact-of-Money-</w:t>
        </w:r>
        <w:r w:rsidRPr="002E220B">
          <w:rPr>
            <w:rStyle w:val="Hyperlink"/>
            <w:rFonts w:cs="Arial"/>
          </w:rPr>
          <w:lastRenderedPageBreak/>
          <w:t>Supply-and-Interest-Rates-on-Stock-Prices-Insights-from-Two-New-Behavioral-Experiments-and-a-Proposal-for-a-New-Price-to-Earnings-Ratio.pdf</w:t>
        </w:r>
      </w:hyperlink>
    </w:p>
    <w:p w14:paraId="11CE4D98" w14:textId="77777777" w:rsidR="002E220B" w:rsidRPr="002E220B" w:rsidRDefault="002E220B" w:rsidP="00F54C51">
      <w:pPr>
        <w:rPr>
          <w:rFonts w:cs="Arial"/>
        </w:rPr>
      </w:pPr>
      <w:r w:rsidRPr="002E220B">
        <w:rPr>
          <w:rFonts w:cs="Arial"/>
          <w:lang w:val="it-IT"/>
        </w:rPr>
        <w:t>Crespi, F., Geri, N., Guarascio, D. and Marvasi, E., (2026). </w:t>
      </w:r>
      <w:r w:rsidRPr="002E220B">
        <w:rPr>
          <w:rFonts w:cs="Arial"/>
          <w:i/>
          <w:iCs/>
        </w:rPr>
        <w:t>Can strategic dependencies harm the acceleration towards net-zero transition? The case of the lithium-ion battery industry</w:t>
      </w:r>
      <w:r w:rsidRPr="002E220B">
        <w:rPr>
          <w:rFonts w:cs="Arial"/>
        </w:rPr>
        <w:t xml:space="preserve"> (No. 2026/10). LEM Working Paper Series. </w:t>
      </w:r>
      <w:hyperlink r:id="rId24" w:history="1">
        <w:r w:rsidRPr="002E220B">
          <w:rPr>
            <w:rStyle w:val="Hyperlink"/>
            <w:rFonts w:cs="Arial"/>
          </w:rPr>
          <w:t>https://www.econstor.eu/bitstream/10419/339277/1/1965624235.pdf</w:t>
        </w:r>
      </w:hyperlink>
    </w:p>
    <w:p w14:paraId="328381C8" w14:textId="77777777" w:rsidR="002E220B" w:rsidRPr="002E220B" w:rsidRDefault="002E220B" w:rsidP="00F54C51">
      <w:pPr>
        <w:rPr>
          <w:rFonts w:cs="Arial"/>
        </w:rPr>
      </w:pPr>
      <w:r w:rsidRPr="002E220B">
        <w:rPr>
          <w:rFonts w:cs="Arial"/>
        </w:rPr>
        <w:t>Freij, Å., (2022). Regulatory change impact on technology and associated mitigation capabilities. </w:t>
      </w:r>
      <w:r w:rsidRPr="002E220B">
        <w:rPr>
          <w:rFonts w:cs="Arial"/>
          <w:i/>
          <w:iCs/>
        </w:rPr>
        <w:t>Technology Analysis &amp; Strategic Management</w:t>
      </w:r>
      <w:r w:rsidRPr="002E220B">
        <w:rPr>
          <w:rFonts w:cs="Arial"/>
        </w:rPr>
        <w:t>, </w:t>
      </w:r>
      <w:r w:rsidRPr="002E220B">
        <w:rPr>
          <w:rFonts w:cs="Arial"/>
          <w:i/>
          <w:iCs/>
        </w:rPr>
        <w:t>34</w:t>
      </w:r>
      <w:r w:rsidRPr="002E220B">
        <w:rPr>
          <w:rFonts w:cs="Arial"/>
        </w:rPr>
        <w:t xml:space="preserve">(12), pp.1418-1431. </w:t>
      </w:r>
      <w:hyperlink r:id="rId25" w:history="1">
        <w:r w:rsidRPr="002E220B">
          <w:rPr>
            <w:rStyle w:val="Hyperlink"/>
            <w:rFonts w:cs="Arial"/>
          </w:rPr>
          <w:t>https://www.tandfonline.com/doi/pdf/10.1080/09537325.2021.1963426</w:t>
        </w:r>
      </w:hyperlink>
    </w:p>
    <w:p w14:paraId="7A16AD05" w14:textId="77777777" w:rsidR="002E220B" w:rsidRPr="002E220B" w:rsidRDefault="002E220B" w:rsidP="00F54C51">
      <w:pPr>
        <w:rPr>
          <w:rFonts w:cs="Arial"/>
        </w:rPr>
      </w:pPr>
      <w:proofErr w:type="spellStart"/>
      <w:r w:rsidRPr="002E220B">
        <w:rPr>
          <w:rFonts w:cs="Arial"/>
        </w:rPr>
        <w:t>Frésard</w:t>
      </w:r>
      <w:proofErr w:type="spellEnd"/>
      <w:r w:rsidRPr="002E220B">
        <w:rPr>
          <w:rFonts w:cs="Arial"/>
        </w:rPr>
        <w:t>, L. and Phillips, G.M., (2024). Product markets, competition and corporate finance: A review and directions for future research. </w:t>
      </w:r>
      <w:r w:rsidRPr="002E220B">
        <w:rPr>
          <w:rFonts w:cs="Arial"/>
          <w:i/>
          <w:iCs/>
        </w:rPr>
        <w:t>Handbook of Corporate Finance</w:t>
      </w:r>
      <w:r w:rsidRPr="002E220B">
        <w:rPr>
          <w:rFonts w:cs="Arial"/>
        </w:rPr>
        <w:t xml:space="preserve">, pp.591-646. </w:t>
      </w:r>
      <w:hyperlink r:id="rId26" w:history="1">
        <w:r w:rsidRPr="002E220B">
          <w:rPr>
            <w:rStyle w:val="Hyperlink"/>
            <w:rFonts w:cs="Arial"/>
          </w:rPr>
          <w:t>https://papers.ssrn.com/sol3/Delivery.cfm?abstractid=4247331</w:t>
        </w:r>
      </w:hyperlink>
    </w:p>
    <w:p w14:paraId="52F89113" w14:textId="77777777" w:rsidR="002E220B" w:rsidRPr="002E220B" w:rsidRDefault="002E220B" w:rsidP="00F54C51">
      <w:pPr>
        <w:rPr>
          <w:rFonts w:cs="Arial"/>
        </w:rPr>
      </w:pPr>
      <w:proofErr w:type="spellStart"/>
      <w:r w:rsidRPr="002E220B">
        <w:rPr>
          <w:rFonts w:cs="Arial"/>
        </w:rPr>
        <w:t>Gržeta</w:t>
      </w:r>
      <w:proofErr w:type="spellEnd"/>
      <w:r w:rsidRPr="002E220B">
        <w:rPr>
          <w:rFonts w:cs="Arial"/>
        </w:rPr>
        <w:t xml:space="preserve">, I., </w:t>
      </w:r>
      <w:proofErr w:type="spellStart"/>
      <w:r w:rsidRPr="002E220B">
        <w:rPr>
          <w:rFonts w:cs="Arial"/>
        </w:rPr>
        <w:t>Žiković</w:t>
      </w:r>
      <w:proofErr w:type="spellEnd"/>
      <w:r w:rsidRPr="002E220B">
        <w:rPr>
          <w:rFonts w:cs="Arial"/>
        </w:rPr>
        <w:t xml:space="preserve">, S. and Tomas Žiković, I., (2023). Size matters: </w:t>
      </w:r>
      <w:proofErr w:type="spellStart"/>
      <w:r w:rsidRPr="002E220B">
        <w:rPr>
          <w:rFonts w:cs="Arial"/>
        </w:rPr>
        <w:t>analyzing</w:t>
      </w:r>
      <w:proofErr w:type="spellEnd"/>
      <w:r w:rsidRPr="002E220B">
        <w:rPr>
          <w:rFonts w:cs="Arial"/>
        </w:rPr>
        <w:t xml:space="preserve"> bank profitability and efficiency under the Basel III framework. </w:t>
      </w:r>
      <w:r w:rsidRPr="002E220B">
        <w:rPr>
          <w:rFonts w:cs="Arial"/>
          <w:i/>
          <w:iCs/>
        </w:rPr>
        <w:t>Financial innovation</w:t>
      </w:r>
      <w:r w:rsidRPr="002E220B">
        <w:rPr>
          <w:rFonts w:cs="Arial"/>
        </w:rPr>
        <w:t>, </w:t>
      </w:r>
      <w:r w:rsidRPr="002E220B">
        <w:rPr>
          <w:rFonts w:cs="Arial"/>
          <w:i/>
          <w:iCs/>
        </w:rPr>
        <w:t>9</w:t>
      </w:r>
      <w:r w:rsidRPr="002E220B">
        <w:rPr>
          <w:rFonts w:cs="Arial"/>
        </w:rPr>
        <w:t xml:space="preserve">(1), p.43. </w:t>
      </w:r>
      <w:hyperlink r:id="rId27" w:history="1">
        <w:r w:rsidRPr="002E220B">
          <w:rPr>
            <w:rStyle w:val="Hyperlink"/>
            <w:rFonts w:cs="Arial"/>
          </w:rPr>
          <w:t>https://link.springer.com/content/pdf/10.1186/s40854-022-00412-y.pdf</w:t>
        </w:r>
      </w:hyperlink>
    </w:p>
    <w:p w14:paraId="24E27446" w14:textId="77777777" w:rsidR="002E220B" w:rsidRPr="002E220B" w:rsidRDefault="002E220B" w:rsidP="00F54C51">
      <w:pPr>
        <w:rPr>
          <w:rFonts w:cs="Arial"/>
        </w:rPr>
      </w:pPr>
      <w:r w:rsidRPr="002E220B">
        <w:rPr>
          <w:rFonts w:cs="Arial"/>
        </w:rPr>
        <w:t>Gunawan, E., (2023). Liquidity Ratio Analysis in Financing Short Term Liabilities. </w:t>
      </w:r>
      <w:r w:rsidRPr="002E220B">
        <w:rPr>
          <w:rFonts w:cs="Arial"/>
          <w:i/>
          <w:iCs/>
        </w:rPr>
        <w:t>International Journal of Health, Economics, and Social Sciences (IJHESS)</w:t>
      </w:r>
      <w:r w:rsidRPr="002E220B">
        <w:rPr>
          <w:rFonts w:cs="Arial"/>
        </w:rPr>
        <w:t>, </w:t>
      </w:r>
      <w:r w:rsidRPr="002E220B">
        <w:rPr>
          <w:rFonts w:cs="Arial"/>
          <w:i/>
          <w:iCs/>
        </w:rPr>
        <w:t>5</w:t>
      </w:r>
      <w:r w:rsidRPr="002E220B">
        <w:rPr>
          <w:rFonts w:cs="Arial"/>
        </w:rPr>
        <w:t xml:space="preserve">(2), pp.157-162.  </w:t>
      </w:r>
      <w:hyperlink r:id="rId28" w:history="1">
        <w:r w:rsidRPr="002E220B">
          <w:rPr>
            <w:rStyle w:val="Hyperlink"/>
            <w:rFonts w:cs="Arial"/>
          </w:rPr>
          <w:t>https://jurnal.unismuhpalu.ac.id/index.php/IJHESS/article/download/3611/2789</w:t>
        </w:r>
      </w:hyperlink>
    </w:p>
    <w:p w14:paraId="1E936A43" w14:textId="77777777" w:rsidR="002E220B" w:rsidRPr="002E220B" w:rsidRDefault="002E220B" w:rsidP="00F54C51">
      <w:pPr>
        <w:rPr>
          <w:rFonts w:cs="Arial"/>
        </w:rPr>
      </w:pPr>
      <w:r w:rsidRPr="002E220B">
        <w:rPr>
          <w:rFonts w:cs="Arial"/>
        </w:rPr>
        <w:t>Ivanov, D., (2024). Cash flow dynamics in the supply chain during and after disruptions. </w:t>
      </w:r>
      <w:r w:rsidRPr="002E220B">
        <w:rPr>
          <w:rFonts w:cs="Arial"/>
          <w:i/>
          <w:iCs/>
        </w:rPr>
        <w:t>Transportation Research Part E: Logistics and Transportation Review</w:t>
      </w:r>
      <w:r w:rsidRPr="002E220B">
        <w:rPr>
          <w:rFonts w:cs="Arial"/>
        </w:rPr>
        <w:t>, </w:t>
      </w:r>
      <w:r w:rsidRPr="002E220B">
        <w:rPr>
          <w:rFonts w:cs="Arial"/>
          <w:i/>
          <w:iCs/>
        </w:rPr>
        <w:t>185</w:t>
      </w:r>
      <w:r w:rsidRPr="002E220B">
        <w:rPr>
          <w:rFonts w:cs="Arial"/>
        </w:rPr>
        <w:t xml:space="preserve">, p.103526. </w:t>
      </w:r>
      <w:hyperlink r:id="rId29" w:history="1">
        <w:r w:rsidRPr="002E220B">
          <w:rPr>
            <w:rStyle w:val="Hyperlink"/>
            <w:rFonts w:cs="Arial"/>
          </w:rPr>
          <w:t>https://www.sciencedirect.com/science/article/pii/S1366554524001170</w:t>
        </w:r>
      </w:hyperlink>
    </w:p>
    <w:p w14:paraId="18605519" w14:textId="77777777" w:rsidR="002E220B" w:rsidRPr="002E220B" w:rsidRDefault="002E220B" w:rsidP="00F54C51">
      <w:pPr>
        <w:rPr>
          <w:rFonts w:cs="Arial"/>
        </w:rPr>
      </w:pPr>
      <w:r w:rsidRPr="002E220B">
        <w:rPr>
          <w:rFonts w:cs="Arial"/>
        </w:rPr>
        <w:t>Jones, B., Nguyen</w:t>
      </w:r>
      <w:r w:rsidRPr="002E220B">
        <w:rPr>
          <w:rFonts w:ascii="Cambria Math" w:hAnsi="Cambria Math" w:cs="Cambria Math"/>
        </w:rPr>
        <w:t>‐</w:t>
      </w:r>
      <w:r w:rsidRPr="002E220B">
        <w:rPr>
          <w:rFonts w:cs="Arial"/>
        </w:rPr>
        <w:t>Tien, V. and Elliott, R.J., (2023). The electric vehicle revolution: Critical material supply chains, trade and development. </w:t>
      </w:r>
      <w:r w:rsidRPr="002E220B">
        <w:rPr>
          <w:rFonts w:cs="Arial"/>
          <w:i/>
          <w:iCs/>
        </w:rPr>
        <w:t>The World Economy</w:t>
      </w:r>
      <w:r w:rsidRPr="002E220B">
        <w:rPr>
          <w:rFonts w:cs="Arial"/>
        </w:rPr>
        <w:t>, </w:t>
      </w:r>
      <w:r w:rsidRPr="002E220B">
        <w:rPr>
          <w:rFonts w:cs="Arial"/>
          <w:i/>
          <w:iCs/>
        </w:rPr>
        <w:t>46</w:t>
      </w:r>
      <w:r w:rsidRPr="002E220B">
        <w:rPr>
          <w:rFonts w:cs="Arial"/>
        </w:rPr>
        <w:t xml:space="preserve">(1), pp.2-26.  </w:t>
      </w:r>
      <w:hyperlink r:id="rId30" w:history="1">
        <w:r w:rsidRPr="002E220B">
          <w:rPr>
            <w:rStyle w:val="Hyperlink"/>
            <w:rFonts w:cs="Arial"/>
          </w:rPr>
          <w:t>https://onlinelibrary.wiley.com/doi/pdf/10.1111/twec.13345</w:t>
        </w:r>
      </w:hyperlink>
    </w:p>
    <w:p w14:paraId="42AD61DF" w14:textId="77777777" w:rsidR="002E220B" w:rsidRPr="002E220B" w:rsidRDefault="002E220B" w:rsidP="00F54C51">
      <w:pPr>
        <w:rPr>
          <w:rFonts w:cs="Arial"/>
        </w:rPr>
      </w:pPr>
      <w:proofErr w:type="spellStart"/>
      <w:r w:rsidRPr="002E220B">
        <w:rPr>
          <w:rFonts w:cs="Arial"/>
        </w:rPr>
        <w:t>Kashtalian</w:t>
      </w:r>
      <w:proofErr w:type="spellEnd"/>
      <w:r w:rsidRPr="002E220B">
        <w:rPr>
          <w:rFonts w:cs="Arial"/>
        </w:rPr>
        <w:t>, T., (2025). Strategy for reducing inventory turnover in a manufacturing enterprise. </w:t>
      </w:r>
      <w:r w:rsidRPr="002E220B">
        <w:rPr>
          <w:rFonts w:cs="Arial"/>
          <w:i/>
          <w:iCs/>
        </w:rPr>
        <w:t>Management and Entrepreneurship: Trends of Development</w:t>
      </w:r>
      <w:r w:rsidRPr="002E220B">
        <w:rPr>
          <w:rFonts w:cs="Arial"/>
        </w:rPr>
        <w:t>, </w:t>
      </w:r>
      <w:r w:rsidRPr="002E220B">
        <w:rPr>
          <w:rFonts w:cs="Arial"/>
          <w:i/>
          <w:iCs/>
        </w:rPr>
        <w:t>4</w:t>
      </w:r>
      <w:r w:rsidRPr="002E220B">
        <w:rPr>
          <w:rFonts w:cs="Arial"/>
        </w:rPr>
        <w:t xml:space="preserve">(34), pp.68-79. </w:t>
      </w:r>
      <w:hyperlink r:id="rId31" w:history="1">
        <w:r w:rsidRPr="002E220B">
          <w:rPr>
            <w:rStyle w:val="Hyperlink"/>
            <w:rFonts w:cs="Arial"/>
          </w:rPr>
          <w:t>https://management.znu.edu.ua/index.php/journal/article/download/640/354</w:t>
        </w:r>
      </w:hyperlink>
    </w:p>
    <w:p w14:paraId="10906DEC" w14:textId="77777777" w:rsidR="002E220B" w:rsidRPr="002E220B" w:rsidRDefault="002E220B" w:rsidP="00F54C51">
      <w:pPr>
        <w:rPr>
          <w:rFonts w:cs="Arial"/>
        </w:rPr>
      </w:pPr>
      <w:r w:rsidRPr="002E220B">
        <w:rPr>
          <w:rFonts w:cs="Arial"/>
        </w:rPr>
        <w:lastRenderedPageBreak/>
        <w:t xml:space="preserve">Katajamäki, C., (2024). Navigating transformative shifts in the automotive supply chain: building resilient and sustainable supply chains to adapt to EV-induced changes. </w:t>
      </w:r>
      <w:hyperlink r:id="rId32" w:history="1">
        <w:r w:rsidRPr="002E220B">
          <w:rPr>
            <w:rStyle w:val="Hyperlink"/>
            <w:rFonts w:cs="Arial"/>
          </w:rPr>
          <w:t>https://www.theseus.fi/bitstream/handle/10024/870838/Katajamaki_Chizuko.pdf?sequence=2</w:t>
        </w:r>
      </w:hyperlink>
    </w:p>
    <w:p w14:paraId="0FD5BC45" w14:textId="77777777" w:rsidR="002E220B" w:rsidRPr="002E220B" w:rsidRDefault="002E220B" w:rsidP="00F54C51">
      <w:pPr>
        <w:rPr>
          <w:rFonts w:cs="Arial"/>
        </w:rPr>
      </w:pPr>
      <w:r w:rsidRPr="002E220B">
        <w:rPr>
          <w:rFonts w:cs="Arial"/>
        </w:rPr>
        <w:t>Krylovskyi, V., (2024). Increasing the financial potential of investment activity of business entities. </w:t>
      </w:r>
      <w:r w:rsidRPr="002E220B">
        <w:rPr>
          <w:rFonts w:cs="Arial"/>
          <w:i/>
          <w:iCs/>
        </w:rPr>
        <w:t>Economics, Entrepreneurship, Management</w:t>
      </w:r>
      <w:r w:rsidRPr="002E220B">
        <w:rPr>
          <w:rFonts w:cs="Arial"/>
        </w:rPr>
        <w:t>, </w:t>
      </w:r>
      <w:r w:rsidRPr="002E220B">
        <w:rPr>
          <w:rFonts w:cs="Arial"/>
          <w:i/>
          <w:iCs/>
        </w:rPr>
        <w:t>11</w:t>
      </w:r>
      <w:r w:rsidRPr="002E220B">
        <w:rPr>
          <w:rFonts w:cs="Arial"/>
        </w:rPr>
        <w:t xml:space="preserve">(2), pp.65-76. </w:t>
      </w:r>
      <w:hyperlink r:id="rId33" w:history="1">
        <w:r w:rsidRPr="002E220B">
          <w:rPr>
            <w:rStyle w:val="Hyperlink"/>
            <w:rFonts w:cs="Arial"/>
          </w:rPr>
          <w:t>https://eem.com.ua/web/uploads/pdf/Economics,%20Entrepreneurship,%20Management,%20Vol%2011,%20No%202,%202024-65-76.pdf</w:t>
        </w:r>
      </w:hyperlink>
    </w:p>
    <w:p w14:paraId="15A46C20" w14:textId="77777777" w:rsidR="002E220B" w:rsidRPr="002E220B" w:rsidRDefault="002E220B" w:rsidP="00F54C51">
      <w:pPr>
        <w:rPr>
          <w:rFonts w:cs="Arial"/>
        </w:rPr>
      </w:pPr>
      <w:r w:rsidRPr="002E220B">
        <w:rPr>
          <w:rFonts w:cs="Arial"/>
        </w:rPr>
        <w:t>Nicolas, T., (2022). Short-term financial constraints and SMEs’ investment decision: evidence from the working capital channel. </w:t>
      </w:r>
      <w:r w:rsidRPr="002E220B">
        <w:rPr>
          <w:rFonts w:cs="Arial"/>
          <w:i/>
          <w:iCs/>
        </w:rPr>
        <w:t>Small Business Economics</w:t>
      </w:r>
      <w:r w:rsidRPr="002E220B">
        <w:rPr>
          <w:rFonts w:cs="Arial"/>
        </w:rPr>
        <w:t>, </w:t>
      </w:r>
      <w:r w:rsidRPr="002E220B">
        <w:rPr>
          <w:rFonts w:cs="Arial"/>
          <w:i/>
          <w:iCs/>
        </w:rPr>
        <w:t>58</w:t>
      </w:r>
      <w:r w:rsidRPr="002E220B">
        <w:rPr>
          <w:rFonts w:cs="Arial"/>
        </w:rPr>
        <w:t xml:space="preserve">(4), pp.1885-1914. </w:t>
      </w:r>
      <w:hyperlink r:id="rId34" w:history="1">
        <w:r w:rsidRPr="002E220B">
          <w:rPr>
            <w:rStyle w:val="Hyperlink"/>
            <w:rFonts w:cs="Arial"/>
          </w:rPr>
          <w:t>https://pmc.ncbi.nlm.nih.gov/articles/PMC8096609/pdf/11187_2021_Article_488.pdf</w:t>
        </w:r>
      </w:hyperlink>
    </w:p>
    <w:p w14:paraId="5FD4BEEC" w14:textId="77777777" w:rsidR="002E220B" w:rsidRPr="002E220B" w:rsidRDefault="002E220B" w:rsidP="00F54C51">
      <w:pPr>
        <w:rPr>
          <w:rFonts w:cs="Arial"/>
        </w:rPr>
      </w:pPr>
      <w:proofErr w:type="spellStart"/>
      <w:r w:rsidRPr="002E220B">
        <w:rPr>
          <w:rFonts w:cs="Arial"/>
        </w:rPr>
        <w:t>Nweje</w:t>
      </w:r>
      <w:proofErr w:type="spellEnd"/>
      <w:r w:rsidRPr="002E220B">
        <w:rPr>
          <w:rFonts w:cs="Arial"/>
        </w:rPr>
        <w:t>, U. and Taiwo, M., (2025). Leveraging Artificial Intelligence for predictive supply chain management, focus on how AI-driven tools are revolutionizing demand forecasting and inventory optimization. </w:t>
      </w:r>
      <w:r w:rsidRPr="002E220B">
        <w:rPr>
          <w:rFonts w:cs="Arial"/>
          <w:i/>
          <w:iCs/>
        </w:rPr>
        <w:t>International Journal of Science and Research Archive</w:t>
      </w:r>
      <w:r w:rsidRPr="002E220B">
        <w:rPr>
          <w:rFonts w:cs="Arial"/>
        </w:rPr>
        <w:t>, </w:t>
      </w:r>
      <w:r w:rsidRPr="002E220B">
        <w:rPr>
          <w:rFonts w:cs="Arial"/>
          <w:i/>
          <w:iCs/>
        </w:rPr>
        <w:t>14</w:t>
      </w:r>
      <w:r w:rsidRPr="002E220B">
        <w:rPr>
          <w:rFonts w:cs="Arial"/>
        </w:rPr>
        <w:t xml:space="preserve">(1), pp.230-250.  </w:t>
      </w:r>
      <w:hyperlink r:id="rId35" w:history="1">
        <w:r w:rsidRPr="002E220B">
          <w:rPr>
            <w:rStyle w:val="Hyperlink"/>
            <w:rFonts w:cs="Arial"/>
          </w:rPr>
          <w:t>https://www.researchgate.net/profile/Uche-Nweje/publication/387903364_Leveraging_Artificial_Intelligence_for_predictive_supply_chain_management_focus_on_how_AI-driven_tools_are_revolutionizing_demand_forecasting_and_inventory_optimization/links/6781b0ef3e33dd0be9f72b59/Leveraging-Artificial-Intelligence-for-predictive-supply-chain-management-focus-on-how-AI-driven-tools-are-revolutionizing-demand-forecasting-and-inventory-optimization.pdf</w:t>
        </w:r>
      </w:hyperlink>
    </w:p>
    <w:p w14:paraId="7FAD3F85" w14:textId="77777777" w:rsidR="002E220B" w:rsidRPr="002E220B" w:rsidRDefault="002E220B" w:rsidP="00F54C51">
      <w:pPr>
        <w:rPr>
          <w:rFonts w:cs="Arial"/>
        </w:rPr>
      </w:pPr>
      <w:proofErr w:type="spellStart"/>
      <w:r w:rsidRPr="002E220B">
        <w:rPr>
          <w:rFonts w:cs="Arial"/>
        </w:rPr>
        <w:t>Potharla</w:t>
      </w:r>
      <w:proofErr w:type="spellEnd"/>
      <w:r w:rsidRPr="002E220B">
        <w:rPr>
          <w:rFonts w:cs="Arial"/>
        </w:rPr>
        <w:t>, S., (2025). From Debt to Divestiture: How Indian and Global Firms Reshaped through Corporate Restructuring. </w:t>
      </w:r>
      <w:r w:rsidRPr="002E220B">
        <w:rPr>
          <w:rFonts w:cs="Arial"/>
          <w:i/>
          <w:iCs/>
        </w:rPr>
        <w:t>Available at SSRN 5348941</w:t>
      </w:r>
      <w:r w:rsidRPr="002E220B">
        <w:rPr>
          <w:rFonts w:cs="Arial"/>
        </w:rPr>
        <w:t xml:space="preserve">. </w:t>
      </w:r>
      <w:hyperlink r:id="rId36" w:history="1">
        <w:r w:rsidRPr="002E220B">
          <w:rPr>
            <w:rStyle w:val="Hyperlink"/>
            <w:rFonts w:cs="Arial"/>
          </w:rPr>
          <w:t>https://papers.ssrn.com/sol3/Delivery.cfm?abstractid=5348941</w:t>
        </w:r>
      </w:hyperlink>
    </w:p>
    <w:p w14:paraId="346ABEB6" w14:textId="77777777" w:rsidR="002E220B" w:rsidRPr="002E220B" w:rsidRDefault="002E220B" w:rsidP="00F54C51">
      <w:pPr>
        <w:rPr>
          <w:rFonts w:cs="Arial"/>
          <w:lang w:val="it-IT"/>
        </w:rPr>
      </w:pPr>
      <w:r w:rsidRPr="002E220B">
        <w:rPr>
          <w:rFonts w:cs="Arial"/>
        </w:rPr>
        <w:t xml:space="preserve">Ridwan, S., </w:t>
      </w:r>
      <w:proofErr w:type="spellStart"/>
      <w:r w:rsidRPr="002E220B">
        <w:rPr>
          <w:rFonts w:cs="Arial"/>
        </w:rPr>
        <w:t>Syah</w:t>
      </w:r>
      <w:proofErr w:type="spellEnd"/>
      <w:r w:rsidRPr="002E220B">
        <w:rPr>
          <w:rFonts w:cs="Arial"/>
        </w:rPr>
        <w:t xml:space="preserve">, T.Y.R., </w:t>
      </w:r>
      <w:proofErr w:type="spellStart"/>
      <w:r w:rsidRPr="002E220B">
        <w:rPr>
          <w:rFonts w:cs="Arial"/>
        </w:rPr>
        <w:t>Kustiawan</w:t>
      </w:r>
      <w:proofErr w:type="spellEnd"/>
      <w:r w:rsidRPr="002E220B">
        <w:rPr>
          <w:rFonts w:cs="Arial"/>
        </w:rPr>
        <w:t xml:space="preserve">, U. and </w:t>
      </w:r>
      <w:proofErr w:type="spellStart"/>
      <w:r w:rsidRPr="002E220B">
        <w:rPr>
          <w:rFonts w:cs="Arial"/>
        </w:rPr>
        <w:t>Nofierni</w:t>
      </w:r>
      <w:proofErr w:type="spellEnd"/>
      <w:r w:rsidRPr="002E220B">
        <w:rPr>
          <w:rFonts w:cs="Arial"/>
        </w:rPr>
        <w:t>, N., (2025). Financial planning and investment feasibility analysis based on five-year projections using ROI, NPV, IRR, and financial ratios. </w:t>
      </w:r>
      <w:r w:rsidRPr="002E220B">
        <w:rPr>
          <w:rFonts w:cs="Arial"/>
          <w:i/>
          <w:iCs/>
          <w:lang w:val="it-IT"/>
        </w:rPr>
        <w:t>Journal La Bisecoman</w:t>
      </w:r>
      <w:r w:rsidRPr="002E220B">
        <w:rPr>
          <w:rFonts w:cs="Arial"/>
          <w:lang w:val="it-IT"/>
        </w:rPr>
        <w:t>, </w:t>
      </w:r>
      <w:r w:rsidRPr="002E220B">
        <w:rPr>
          <w:rFonts w:cs="Arial"/>
          <w:i/>
          <w:iCs/>
          <w:lang w:val="it-IT"/>
        </w:rPr>
        <w:t>6</w:t>
      </w:r>
      <w:r w:rsidRPr="002E220B">
        <w:rPr>
          <w:rFonts w:cs="Arial"/>
          <w:lang w:val="it-IT"/>
        </w:rPr>
        <w:t xml:space="preserve">(2), pp.489-506. </w:t>
      </w:r>
      <w:hyperlink r:id="rId37" w:history="1">
        <w:r w:rsidRPr="002E220B">
          <w:rPr>
            <w:rStyle w:val="Hyperlink"/>
            <w:rFonts w:cs="Arial"/>
            <w:lang w:val="it-IT"/>
          </w:rPr>
          <w:t>https://mail.newinera.com/index.php/JournalLaBisecoman/article/download/1970/1958</w:t>
        </w:r>
      </w:hyperlink>
    </w:p>
    <w:p w14:paraId="7E232D72" w14:textId="77777777" w:rsidR="002E220B" w:rsidRPr="002E220B" w:rsidRDefault="002E220B" w:rsidP="00F54C51">
      <w:pPr>
        <w:rPr>
          <w:rFonts w:cs="Arial"/>
        </w:rPr>
      </w:pPr>
      <w:r w:rsidRPr="002E220B">
        <w:rPr>
          <w:rFonts w:cs="Arial"/>
        </w:rPr>
        <w:lastRenderedPageBreak/>
        <w:t xml:space="preserve">Saadaoui, Z. and </w:t>
      </w:r>
      <w:proofErr w:type="spellStart"/>
      <w:r w:rsidRPr="002E220B">
        <w:rPr>
          <w:rFonts w:cs="Arial"/>
        </w:rPr>
        <w:t>Mokdadi</w:t>
      </w:r>
      <w:proofErr w:type="spellEnd"/>
      <w:r w:rsidRPr="002E220B">
        <w:rPr>
          <w:rFonts w:cs="Arial"/>
        </w:rPr>
        <w:t>, S., (2023). Capital buffers, business models and the probability of bank distress: A dynamic panel investigation. </w:t>
      </w:r>
      <w:r w:rsidRPr="002E220B">
        <w:rPr>
          <w:rFonts w:cs="Arial"/>
          <w:i/>
          <w:iCs/>
        </w:rPr>
        <w:t>Journal of Financial Regulation and Compliance</w:t>
      </w:r>
      <w:r w:rsidRPr="002E220B">
        <w:rPr>
          <w:rFonts w:cs="Arial"/>
        </w:rPr>
        <w:t>, </w:t>
      </w:r>
      <w:r w:rsidRPr="002E220B">
        <w:rPr>
          <w:rFonts w:cs="Arial"/>
          <w:i/>
          <w:iCs/>
        </w:rPr>
        <w:t>31</w:t>
      </w:r>
      <w:r w:rsidRPr="002E220B">
        <w:rPr>
          <w:rFonts w:cs="Arial"/>
        </w:rPr>
        <w:t xml:space="preserve">(5), pp.663-695. </w:t>
      </w:r>
      <w:hyperlink r:id="rId38" w:history="1">
        <w:r w:rsidRPr="002E220B">
          <w:rPr>
            <w:rStyle w:val="Hyperlink"/>
            <w:rFonts w:cs="Arial"/>
          </w:rPr>
          <w:t>https://www.emerald.com/jfrc/article-pdf/31/5/663/2839331/jfrc-10-2022-0119.pdf</w:t>
        </w:r>
      </w:hyperlink>
    </w:p>
    <w:p w14:paraId="26936CBF" w14:textId="77777777" w:rsidR="002E220B" w:rsidRPr="002E220B" w:rsidRDefault="002E220B" w:rsidP="00F54C51">
      <w:pPr>
        <w:rPr>
          <w:rFonts w:cs="Arial"/>
        </w:rPr>
      </w:pPr>
      <w:r w:rsidRPr="002E220B">
        <w:rPr>
          <w:rFonts w:cs="Arial"/>
        </w:rPr>
        <w:t>Sharma, P., (2024). FinTech startups and traditional banking: Rivals or collaborators. </w:t>
      </w:r>
      <w:r w:rsidRPr="002E220B">
        <w:rPr>
          <w:rFonts w:cs="Arial"/>
          <w:i/>
          <w:iCs/>
        </w:rPr>
        <w:t>Computer Fraud &amp; Security</w:t>
      </w:r>
      <w:r w:rsidRPr="002E220B">
        <w:rPr>
          <w:rFonts w:cs="Arial"/>
        </w:rPr>
        <w:t>, </w:t>
      </w:r>
      <w:r w:rsidRPr="002E220B">
        <w:rPr>
          <w:rFonts w:cs="Arial"/>
          <w:i/>
          <w:iCs/>
        </w:rPr>
        <w:t>2024</w:t>
      </w:r>
      <w:r w:rsidRPr="002E220B">
        <w:rPr>
          <w:rFonts w:cs="Arial"/>
        </w:rPr>
        <w:t xml:space="preserve">(2024), pp.357-370.  </w:t>
      </w:r>
      <w:hyperlink r:id="rId39" w:history="1">
        <w:r w:rsidRPr="002E220B">
          <w:rPr>
            <w:rStyle w:val="Hyperlink"/>
            <w:rFonts w:cs="Arial"/>
          </w:rPr>
          <w:t>https://www.researchgate.net/profile/Pragya-Sharma-81/publication/389711734_Fintech_Startups_and_Traditional_Banking_Rivals_or_Collaborators/links/67cf45e9bab3d32d8440904c/Fintech-Startups-and-Traditional-Banking-Rivals-or-Collaborators.pdf</w:t>
        </w:r>
      </w:hyperlink>
    </w:p>
    <w:p w14:paraId="1FF8DD42" w14:textId="47057043" w:rsidR="004915DE" w:rsidRPr="002E220B" w:rsidRDefault="004915DE" w:rsidP="00F54C51">
      <w:pPr>
        <w:spacing w:line="259" w:lineRule="auto"/>
        <w:jc w:val="left"/>
        <w:rPr>
          <w:rFonts w:cs="Arial"/>
        </w:rPr>
      </w:pPr>
      <w:r w:rsidRPr="002E220B">
        <w:rPr>
          <w:rFonts w:cs="Arial"/>
        </w:rPr>
        <w:br w:type="page"/>
      </w:r>
    </w:p>
    <w:p w14:paraId="527A7F2F" w14:textId="406E1B9F" w:rsidR="004915DE" w:rsidRPr="002E220B" w:rsidRDefault="004915DE" w:rsidP="004915DE">
      <w:pPr>
        <w:pStyle w:val="Heading1"/>
        <w:rPr>
          <w:rFonts w:cs="Arial"/>
        </w:rPr>
      </w:pPr>
      <w:bookmarkStart w:id="42" w:name="_Toc227579229"/>
      <w:r w:rsidRPr="002E220B">
        <w:rPr>
          <w:rFonts w:cs="Arial"/>
        </w:rPr>
        <w:lastRenderedPageBreak/>
        <w:t>Appendices</w:t>
      </w:r>
      <w:bookmarkEnd w:id="42"/>
    </w:p>
    <w:p w14:paraId="29B8A3E5" w14:textId="2B74487B" w:rsidR="004915DE" w:rsidRPr="002E220B" w:rsidRDefault="004915DE" w:rsidP="00DB458E">
      <w:pPr>
        <w:pStyle w:val="Heading2"/>
      </w:pPr>
      <w:bookmarkStart w:id="43" w:name="_Toc227579230"/>
      <w:r w:rsidRPr="002E220B">
        <w:t>Appendix 1: Dataset</w:t>
      </w:r>
      <w:bookmarkEnd w:id="43"/>
    </w:p>
    <w:p w14:paraId="555B265B" w14:textId="040A7DF6" w:rsidR="004915DE" w:rsidRPr="002E220B" w:rsidRDefault="004915DE" w:rsidP="004915DE">
      <w:pPr>
        <w:rPr>
          <w:rFonts w:cs="Arial"/>
        </w:rPr>
      </w:pPr>
      <w:r w:rsidRPr="002E220B">
        <w:rPr>
          <w:rFonts w:cs="Arial"/>
          <w:noProof/>
        </w:rPr>
        <w:drawing>
          <wp:inline distT="0" distB="0" distL="0" distR="0" wp14:anchorId="1540C312" wp14:editId="2F8D69FF">
            <wp:extent cx="5829300" cy="4060960"/>
            <wp:effectExtent l="0" t="0" r="0" b="0"/>
            <wp:docPr id="11154410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834540" cy="4064610"/>
                    </a:xfrm>
                    <a:prstGeom prst="rect">
                      <a:avLst/>
                    </a:prstGeom>
                    <a:noFill/>
                    <a:ln>
                      <a:noFill/>
                    </a:ln>
                  </pic:spPr>
                </pic:pic>
              </a:graphicData>
            </a:graphic>
          </wp:inline>
        </w:drawing>
      </w:r>
    </w:p>
    <w:p w14:paraId="036A3849" w14:textId="1CFDF7A7" w:rsidR="004915DE" w:rsidRPr="002E220B" w:rsidRDefault="004915DE">
      <w:pPr>
        <w:spacing w:line="259" w:lineRule="auto"/>
        <w:jc w:val="left"/>
        <w:rPr>
          <w:rFonts w:cs="Arial"/>
        </w:rPr>
      </w:pPr>
      <w:r w:rsidRPr="002E220B">
        <w:rPr>
          <w:rFonts w:cs="Arial"/>
        </w:rPr>
        <w:br w:type="page"/>
      </w:r>
    </w:p>
    <w:p w14:paraId="56127ECF" w14:textId="413B18A5" w:rsidR="004915DE" w:rsidRPr="002E220B" w:rsidRDefault="004915DE" w:rsidP="00DB458E">
      <w:pPr>
        <w:pStyle w:val="Heading2"/>
      </w:pPr>
      <w:bookmarkStart w:id="44" w:name="_Toc227579231"/>
      <w:r w:rsidRPr="002E220B">
        <w:lastRenderedPageBreak/>
        <w:t>Appendix 2: Ratio Calculation</w:t>
      </w:r>
      <w:bookmarkEnd w:id="44"/>
    </w:p>
    <w:p w14:paraId="3FF6C932" w14:textId="5C231CD8" w:rsidR="004915DE" w:rsidRPr="002E220B" w:rsidRDefault="004915DE" w:rsidP="004915DE">
      <w:pPr>
        <w:rPr>
          <w:rFonts w:cs="Arial"/>
        </w:rPr>
      </w:pPr>
      <w:r w:rsidRPr="002E220B">
        <w:rPr>
          <w:rFonts w:cs="Arial"/>
          <w:noProof/>
        </w:rPr>
        <w:drawing>
          <wp:inline distT="0" distB="0" distL="0" distR="0" wp14:anchorId="243B64FA" wp14:editId="2476F4D5">
            <wp:extent cx="6239734" cy="6858000"/>
            <wp:effectExtent l="0" t="0" r="8890" b="0"/>
            <wp:docPr id="10799099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6243634" cy="6862287"/>
                    </a:xfrm>
                    <a:prstGeom prst="rect">
                      <a:avLst/>
                    </a:prstGeom>
                    <a:noFill/>
                    <a:ln>
                      <a:noFill/>
                    </a:ln>
                  </pic:spPr>
                </pic:pic>
              </a:graphicData>
            </a:graphic>
          </wp:inline>
        </w:drawing>
      </w:r>
    </w:p>
    <w:p w14:paraId="5871D81A" w14:textId="227C484C" w:rsidR="004915DE" w:rsidRPr="002E220B" w:rsidRDefault="004915DE">
      <w:pPr>
        <w:spacing w:line="259" w:lineRule="auto"/>
        <w:jc w:val="left"/>
        <w:rPr>
          <w:rFonts w:cs="Arial"/>
        </w:rPr>
      </w:pPr>
      <w:r w:rsidRPr="002E220B">
        <w:rPr>
          <w:rFonts w:cs="Arial"/>
        </w:rPr>
        <w:br w:type="page"/>
      </w:r>
    </w:p>
    <w:p w14:paraId="14EE3FD6" w14:textId="022D1CCE" w:rsidR="004915DE" w:rsidRPr="002E220B" w:rsidRDefault="004915DE" w:rsidP="00DB458E">
      <w:pPr>
        <w:pStyle w:val="Heading2"/>
      </w:pPr>
      <w:bookmarkStart w:id="45" w:name="_Toc227579232"/>
      <w:r w:rsidRPr="002E220B">
        <w:lastRenderedPageBreak/>
        <w:t>Appendix 3: Investment Projects</w:t>
      </w:r>
      <w:bookmarkEnd w:id="45"/>
    </w:p>
    <w:p w14:paraId="7587E85C" w14:textId="1CA318A6" w:rsidR="004915DE" w:rsidRPr="002E220B" w:rsidRDefault="004915DE" w:rsidP="004915DE">
      <w:pPr>
        <w:rPr>
          <w:rFonts w:cs="Arial"/>
        </w:rPr>
      </w:pPr>
      <w:r w:rsidRPr="002E220B">
        <w:rPr>
          <w:rFonts w:cs="Arial"/>
          <w:noProof/>
        </w:rPr>
        <w:drawing>
          <wp:inline distT="0" distB="0" distL="0" distR="0" wp14:anchorId="58780CA8" wp14:editId="2DFBF9D4">
            <wp:extent cx="5943600" cy="3975100"/>
            <wp:effectExtent l="0" t="0" r="0" b="6350"/>
            <wp:docPr id="2639785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943600" cy="3975100"/>
                    </a:xfrm>
                    <a:prstGeom prst="rect">
                      <a:avLst/>
                    </a:prstGeom>
                    <a:noFill/>
                    <a:ln>
                      <a:noFill/>
                    </a:ln>
                  </pic:spPr>
                </pic:pic>
              </a:graphicData>
            </a:graphic>
          </wp:inline>
        </w:drawing>
      </w:r>
    </w:p>
    <w:sectPr w:rsidR="004915DE" w:rsidRPr="002E220B">
      <w:footerReference w:type="default" r:id="rId4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7C8779" w14:textId="77777777" w:rsidR="00727504" w:rsidRDefault="00727504" w:rsidP="00C65677">
      <w:pPr>
        <w:spacing w:after="0" w:line="240" w:lineRule="auto"/>
      </w:pPr>
      <w:r>
        <w:separator/>
      </w:r>
    </w:p>
  </w:endnote>
  <w:endnote w:type="continuationSeparator" w:id="0">
    <w:p w14:paraId="43146952" w14:textId="77777777" w:rsidR="00727504" w:rsidRDefault="00727504" w:rsidP="00C656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80542381"/>
      <w:docPartObj>
        <w:docPartGallery w:val="Page Numbers (Bottom of Page)"/>
        <w:docPartUnique/>
      </w:docPartObj>
    </w:sdtPr>
    <w:sdtEndPr>
      <w:rPr>
        <w:sz w:val="20"/>
        <w:szCs w:val="20"/>
      </w:rPr>
    </w:sdtEndPr>
    <w:sdtContent>
      <w:p w14:paraId="2E1F0D27" w14:textId="5F097096" w:rsidR="00C65677" w:rsidRPr="00C65677" w:rsidRDefault="00C65677" w:rsidP="00C65677">
        <w:pPr>
          <w:pStyle w:val="Footer"/>
          <w:jc w:val="right"/>
          <w:rPr>
            <w:sz w:val="20"/>
            <w:szCs w:val="20"/>
          </w:rPr>
        </w:pPr>
        <w:r w:rsidRPr="00C65677">
          <w:rPr>
            <w:sz w:val="20"/>
            <w:szCs w:val="20"/>
          </w:rPr>
          <w:fldChar w:fldCharType="begin"/>
        </w:r>
        <w:r w:rsidRPr="00C65677">
          <w:rPr>
            <w:sz w:val="20"/>
            <w:szCs w:val="20"/>
          </w:rPr>
          <w:instrText>PAGE   \* MERGEFORMAT</w:instrText>
        </w:r>
        <w:r w:rsidRPr="00C65677">
          <w:rPr>
            <w:sz w:val="20"/>
            <w:szCs w:val="20"/>
          </w:rPr>
          <w:fldChar w:fldCharType="separate"/>
        </w:r>
        <w:r w:rsidRPr="00C65677">
          <w:rPr>
            <w:sz w:val="20"/>
            <w:szCs w:val="20"/>
          </w:rPr>
          <w:t>2</w:t>
        </w:r>
        <w:r w:rsidRPr="00C65677">
          <w:rPr>
            <w:sz w:val="20"/>
            <w:szCs w:val="20"/>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7D08DF" w14:textId="77777777" w:rsidR="00727504" w:rsidRDefault="00727504" w:rsidP="00C65677">
      <w:pPr>
        <w:spacing w:after="0" w:line="240" w:lineRule="auto"/>
      </w:pPr>
      <w:r>
        <w:separator/>
      </w:r>
    </w:p>
  </w:footnote>
  <w:footnote w:type="continuationSeparator" w:id="0">
    <w:p w14:paraId="407492D8" w14:textId="77777777" w:rsidR="00727504" w:rsidRDefault="00727504" w:rsidP="00C656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B549AC"/>
    <w:multiLevelType w:val="hybridMultilevel"/>
    <w:tmpl w:val="33F80B1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0217366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5CAC"/>
    <w:rsid w:val="00054412"/>
    <w:rsid w:val="00112B86"/>
    <w:rsid w:val="00180384"/>
    <w:rsid w:val="001D2CFC"/>
    <w:rsid w:val="001F436D"/>
    <w:rsid w:val="002476F4"/>
    <w:rsid w:val="0026203C"/>
    <w:rsid w:val="002815DB"/>
    <w:rsid w:val="002E220B"/>
    <w:rsid w:val="0032790C"/>
    <w:rsid w:val="004915DE"/>
    <w:rsid w:val="00571B75"/>
    <w:rsid w:val="006B39E0"/>
    <w:rsid w:val="00727504"/>
    <w:rsid w:val="00775CAC"/>
    <w:rsid w:val="00877957"/>
    <w:rsid w:val="009A15E3"/>
    <w:rsid w:val="00A2187E"/>
    <w:rsid w:val="00A559E6"/>
    <w:rsid w:val="00A61BAA"/>
    <w:rsid w:val="00AB2A52"/>
    <w:rsid w:val="00B255C9"/>
    <w:rsid w:val="00BE46DD"/>
    <w:rsid w:val="00C2037A"/>
    <w:rsid w:val="00C558D1"/>
    <w:rsid w:val="00C65677"/>
    <w:rsid w:val="00C75C24"/>
    <w:rsid w:val="00C820DF"/>
    <w:rsid w:val="00DA6C4E"/>
    <w:rsid w:val="00DB458E"/>
    <w:rsid w:val="00DF4903"/>
    <w:rsid w:val="00DF5770"/>
    <w:rsid w:val="00DF7DCA"/>
    <w:rsid w:val="00F40E4D"/>
    <w:rsid w:val="00F54C51"/>
    <w:rsid w:val="00FA57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F3E441"/>
  <w15:chartTrackingRefBased/>
  <w15:docId w15:val="{84070E1A-B4F8-4BBF-8156-692C69D25C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220B"/>
    <w:pPr>
      <w:spacing w:line="360" w:lineRule="auto"/>
      <w:jc w:val="both"/>
    </w:pPr>
    <w:rPr>
      <w:rFonts w:ascii="Arial" w:hAnsi="Arial" w:cs="Times New Roman"/>
      <w:sz w:val="24"/>
      <w:szCs w:val="24"/>
      <w:lang w:val="en-GB"/>
    </w:rPr>
  </w:style>
  <w:style w:type="paragraph" w:styleId="Heading1">
    <w:name w:val="heading 1"/>
    <w:basedOn w:val="Normal"/>
    <w:next w:val="Normal"/>
    <w:link w:val="Heading1Char"/>
    <w:uiPriority w:val="9"/>
    <w:qFormat/>
    <w:rsid w:val="00F54C51"/>
    <w:pPr>
      <w:spacing w:before="240" w:after="240"/>
      <w:outlineLvl w:val="0"/>
    </w:pPr>
    <w:rPr>
      <w:b/>
      <w:bCs/>
      <w:sz w:val="28"/>
      <w:szCs w:val="28"/>
    </w:rPr>
  </w:style>
  <w:style w:type="paragraph" w:styleId="Heading2">
    <w:name w:val="heading 2"/>
    <w:basedOn w:val="Normal"/>
    <w:next w:val="Normal"/>
    <w:link w:val="Heading2Char"/>
    <w:uiPriority w:val="9"/>
    <w:unhideWhenUsed/>
    <w:qFormat/>
    <w:rsid w:val="002E220B"/>
    <w:pPr>
      <w:spacing w:before="240" w:after="240"/>
      <w:outlineLvl w:val="1"/>
    </w:pPr>
    <w:rPr>
      <w:rFonts w:cs="Arial"/>
      <w:b/>
      <w:bCs/>
      <w:i/>
      <w:iCs/>
      <w:sz w:val="26"/>
      <w:szCs w:val="26"/>
    </w:rPr>
  </w:style>
  <w:style w:type="paragraph" w:styleId="Heading3">
    <w:name w:val="heading 3"/>
    <w:basedOn w:val="Heading2"/>
    <w:next w:val="Normal"/>
    <w:link w:val="Heading3Char"/>
    <w:autoRedefine/>
    <w:uiPriority w:val="9"/>
    <w:unhideWhenUsed/>
    <w:qFormat/>
    <w:rsid w:val="00DB458E"/>
    <w:pPr>
      <w:outlineLvl w:val="2"/>
    </w:pPr>
    <w:rPr>
      <w:sz w:val="24"/>
      <w:szCs w:val="24"/>
    </w:rPr>
  </w:style>
  <w:style w:type="paragraph" w:styleId="Heading4">
    <w:name w:val="heading 4"/>
    <w:basedOn w:val="Normal"/>
    <w:next w:val="Normal"/>
    <w:link w:val="Heading4Char"/>
    <w:uiPriority w:val="9"/>
    <w:semiHidden/>
    <w:unhideWhenUsed/>
    <w:qFormat/>
    <w:rsid w:val="00775C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autoRedefine/>
    <w:rsid w:val="00C820DF"/>
    <w:pPr>
      <w:keepNext/>
      <w:keepLines/>
      <w:spacing w:before="240" w:after="80"/>
      <w:jc w:val="center"/>
      <w:outlineLvl w:val="4"/>
    </w:pPr>
    <w:rPr>
      <w:rFonts w:eastAsia="Times New Roman"/>
      <w:b/>
      <w:color w:val="000000" w:themeColor="text1"/>
      <w:kern w:val="0"/>
      <w:lang w:val="en"/>
      <w14:ligatures w14:val="none"/>
    </w:rPr>
  </w:style>
  <w:style w:type="paragraph" w:styleId="Heading6">
    <w:name w:val="heading 6"/>
    <w:basedOn w:val="Normal"/>
    <w:next w:val="Normal"/>
    <w:link w:val="Heading6Char"/>
    <w:uiPriority w:val="9"/>
    <w:semiHidden/>
    <w:unhideWhenUsed/>
    <w:qFormat/>
    <w:rsid w:val="00775C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5C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5C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5C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rsid w:val="00C820DF"/>
    <w:rPr>
      <w:rFonts w:ascii="Times New Roman" w:eastAsia="Times New Roman" w:hAnsi="Times New Roman" w:cs="Times New Roman"/>
      <w:b/>
      <w:color w:val="000000" w:themeColor="text1"/>
      <w:kern w:val="0"/>
      <w:sz w:val="24"/>
      <w:lang w:val="en"/>
      <w14:ligatures w14:val="none"/>
    </w:rPr>
  </w:style>
  <w:style w:type="character" w:customStyle="1" w:styleId="Heading3Char">
    <w:name w:val="Heading 3 Char"/>
    <w:basedOn w:val="DefaultParagraphFont"/>
    <w:link w:val="Heading3"/>
    <w:uiPriority w:val="9"/>
    <w:rsid w:val="00DB458E"/>
    <w:rPr>
      <w:rFonts w:ascii="Arial" w:hAnsi="Arial" w:cs="Arial"/>
      <w:b/>
      <w:bCs/>
      <w:i/>
      <w:iCs/>
      <w:sz w:val="24"/>
      <w:szCs w:val="24"/>
      <w:lang w:val="en-GB"/>
    </w:rPr>
  </w:style>
  <w:style w:type="character" w:customStyle="1" w:styleId="Heading1Char">
    <w:name w:val="Heading 1 Char"/>
    <w:basedOn w:val="DefaultParagraphFont"/>
    <w:link w:val="Heading1"/>
    <w:uiPriority w:val="9"/>
    <w:rsid w:val="00F54C51"/>
    <w:rPr>
      <w:rFonts w:ascii="Arial" w:hAnsi="Arial" w:cs="Times New Roman"/>
      <w:b/>
      <w:bCs/>
      <w:sz w:val="28"/>
      <w:szCs w:val="28"/>
      <w:lang w:val="en-GB"/>
    </w:rPr>
  </w:style>
  <w:style w:type="character" w:customStyle="1" w:styleId="Heading2Char">
    <w:name w:val="Heading 2 Char"/>
    <w:basedOn w:val="DefaultParagraphFont"/>
    <w:link w:val="Heading2"/>
    <w:uiPriority w:val="9"/>
    <w:rsid w:val="002E220B"/>
    <w:rPr>
      <w:rFonts w:ascii="Arial" w:hAnsi="Arial" w:cs="Arial"/>
      <w:b/>
      <w:bCs/>
      <w:i/>
      <w:iCs/>
      <w:sz w:val="26"/>
      <w:szCs w:val="26"/>
      <w:lang w:val="en-GB"/>
    </w:rPr>
  </w:style>
  <w:style w:type="character" w:customStyle="1" w:styleId="Heading4Char">
    <w:name w:val="Heading 4 Char"/>
    <w:basedOn w:val="DefaultParagraphFont"/>
    <w:link w:val="Heading4"/>
    <w:uiPriority w:val="9"/>
    <w:semiHidden/>
    <w:rsid w:val="00775CAC"/>
    <w:rPr>
      <w:rFonts w:eastAsiaTheme="majorEastAsia" w:cstheme="majorBidi"/>
      <w:i/>
      <w:iCs/>
      <w:color w:val="0F4761" w:themeColor="accent1" w:themeShade="BF"/>
    </w:rPr>
  </w:style>
  <w:style w:type="character" w:customStyle="1" w:styleId="Heading6Char">
    <w:name w:val="Heading 6 Char"/>
    <w:basedOn w:val="DefaultParagraphFont"/>
    <w:link w:val="Heading6"/>
    <w:uiPriority w:val="9"/>
    <w:semiHidden/>
    <w:rsid w:val="00775C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5C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5C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5CAC"/>
    <w:rPr>
      <w:rFonts w:eastAsiaTheme="majorEastAsia" w:cstheme="majorBidi"/>
      <w:color w:val="272727" w:themeColor="text1" w:themeTint="D8"/>
    </w:rPr>
  </w:style>
  <w:style w:type="paragraph" w:styleId="Title">
    <w:name w:val="Title"/>
    <w:basedOn w:val="Normal"/>
    <w:next w:val="Normal"/>
    <w:link w:val="TitleChar"/>
    <w:uiPriority w:val="10"/>
    <w:qFormat/>
    <w:rsid w:val="00775C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5C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5C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5C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5CAC"/>
    <w:pPr>
      <w:spacing w:before="160"/>
      <w:jc w:val="center"/>
    </w:pPr>
    <w:rPr>
      <w:i/>
      <w:iCs/>
      <w:color w:val="404040" w:themeColor="text1" w:themeTint="BF"/>
    </w:rPr>
  </w:style>
  <w:style w:type="character" w:customStyle="1" w:styleId="QuoteChar">
    <w:name w:val="Quote Char"/>
    <w:basedOn w:val="DefaultParagraphFont"/>
    <w:link w:val="Quote"/>
    <w:uiPriority w:val="29"/>
    <w:rsid w:val="00775CAC"/>
    <w:rPr>
      <w:i/>
      <w:iCs/>
      <w:color w:val="404040" w:themeColor="text1" w:themeTint="BF"/>
    </w:rPr>
  </w:style>
  <w:style w:type="paragraph" w:styleId="ListParagraph">
    <w:name w:val="List Paragraph"/>
    <w:basedOn w:val="Normal"/>
    <w:uiPriority w:val="34"/>
    <w:qFormat/>
    <w:rsid w:val="00775CAC"/>
    <w:pPr>
      <w:ind w:left="720"/>
      <w:contextualSpacing/>
    </w:pPr>
  </w:style>
  <w:style w:type="character" w:styleId="IntenseEmphasis">
    <w:name w:val="Intense Emphasis"/>
    <w:basedOn w:val="DefaultParagraphFont"/>
    <w:uiPriority w:val="21"/>
    <w:qFormat/>
    <w:rsid w:val="00775CAC"/>
    <w:rPr>
      <w:i/>
      <w:iCs/>
      <w:color w:val="0F4761" w:themeColor="accent1" w:themeShade="BF"/>
    </w:rPr>
  </w:style>
  <w:style w:type="paragraph" w:styleId="IntenseQuote">
    <w:name w:val="Intense Quote"/>
    <w:basedOn w:val="Normal"/>
    <w:next w:val="Normal"/>
    <w:link w:val="IntenseQuoteChar"/>
    <w:uiPriority w:val="30"/>
    <w:qFormat/>
    <w:rsid w:val="00775C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5CAC"/>
    <w:rPr>
      <w:i/>
      <w:iCs/>
      <w:color w:val="0F4761" w:themeColor="accent1" w:themeShade="BF"/>
    </w:rPr>
  </w:style>
  <w:style w:type="character" w:styleId="IntenseReference">
    <w:name w:val="Intense Reference"/>
    <w:basedOn w:val="DefaultParagraphFont"/>
    <w:uiPriority w:val="32"/>
    <w:qFormat/>
    <w:rsid w:val="00775CAC"/>
    <w:rPr>
      <w:b/>
      <w:bCs/>
      <w:smallCaps/>
      <w:color w:val="0F4761" w:themeColor="accent1" w:themeShade="BF"/>
      <w:spacing w:val="5"/>
    </w:rPr>
  </w:style>
  <w:style w:type="table" w:styleId="PlainTable1">
    <w:name w:val="Plain Table 1"/>
    <w:basedOn w:val="TableNormal"/>
    <w:uiPriority w:val="41"/>
    <w:rsid w:val="004915D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4915DE"/>
    <w:rPr>
      <w:color w:val="467886" w:themeColor="hyperlink"/>
      <w:u w:val="single"/>
    </w:rPr>
  </w:style>
  <w:style w:type="paragraph" w:styleId="TOCHeading">
    <w:name w:val="TOC Heading"/>
    <w:basedOn w:val="Heading1"/>
    <w:next w:val="Normal"/>
    <w:uiPriority w:val="39"/>
    <w:unhideWhenUsed/>
    <w:qFormat/>
    <w:rsid w:val="00C65677"/>
    <w:pPr>
      <w:keepNext/>
      <w:keepLines/>
      <w:spacing w:after="0" w:line="259" w:lineRule="auto"/>
      <w:jc w:val="left"/>
      <w:outlineLvl w:val="9"/>
    </w:pPr>
    <w:rPr>
      <w:rFonts w:asciiTheme="majorHAnsi" w:eastAsiaTheme="majorEastAsia" w:hAnsiTheme="majorHAnsi" w:cstheme="majorBidi"/>
      <w:b w:val="0"/>
      <w:bCs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C65677"/>
    <w:pPr>
      <w:spacing w:after="100"/>
    </w:pPr>
  </w:style>
  <w:style w:type="paragraph" w:styleId="TOC2">
    <w:name w:val="toc 2"/>
    <w:basedOn w:val="Normal"/>
    <w:next w:val="Normal"/>
    <w:autoRedefine/>
    <w:uiPriority w:val="39"/>
    <w:unhideWhenUsed/>
    <w:rsid w:val="00C65677"/>
    <w:pPr>
      <w:spacing w:after="100"/>
      <w:ind w:left="240"/>
    </w:pPr>
  </w:style>
  <w:style w:type="paragraph" w:styleId="TOC3">
    <w:name w:val="toc 3"/>
    <w:basedOn w:val="Normal"/>
    <w:next w:val="Normal"/>
    <w:autoRedefine/>
    <w:uiPriority w:val="39"/>
    <w:unhideWhenUsed/>
    <w:rsid w:val="00C65677"/>
    <w:pPr>
      <w:spacing w:after="100"/>
      <w:ind w:left="480"/>
    </w:pPr>
  </w:style>
  <w:style w:type="paragraph" w:styleId="Header">
    <w:name w:val="header"/>
    <w:basedOn w:val="Normal"/>
    <w:link w:val="HeaderChar"/>
    <w:uiPriority w:val="99"/>
    <w:unhideWhenUsed/>
    <w:rsid w:val="00C65677"/>
    <w:pPr>
      <w:tabs>
        <w:tab w:val="center" w:pos="4680"/>
        <w:tab w:val="right" w:pos="9360"/>
      </w:tabs>
      <w:spacing w:after="0" w:line="240" w:lineRule="auto"/>
    </w:pPr>
  </w:style>
  <w:style w:type="character" w:customStyle="1" w:styleId="HeaderChar">
    <w:name w:val="Header Char"/>
    <w:basedOn w:val="DefaultParagraphFont"/>
    <w:link w:val="Header"/>
    <w:uiPriority w:val="99"/>
    <w:rsid w:val="00C65677"/>
    <w:rPr>
      <w:rFonts w:ascii="Times New Roman" w:hAnsi="Times New Roman" w:cs="Times New Roman"/>
      <w:sz w:val="24"/>
      <w:szCs w:val="24"/>
      <w:lang w:val="en-GB"/>
    </w:rPr>
  </w:style>
  <w:style w:type="paragraph" w:styleId="Footer">
    <w:name w:val="footer"/>
    <w:basedOn w:val="Normal"/>
    <w:link w:val="FooterChar"/>
    <w:uiPriority w:val="99"/>
    <w:unhideWhenUsed/>
    <w:rsid w:val="00C65677"/>
    <w:pPr>
      <w:tabs>
        <w:tab w:val="center" w:pos="4680"/>
        <w:tab w:val="right" w:pos="9360"/>
      </w:tabs>
      <w:spacing w:after="0" w:line="240" w:lineRule="auto"/>
    </w:pPr>
  </w:style>
  <w:style w:type="character" w:customStyle="1" w:styleId="FooterChar">
    <w:name w:val="Footer Char"/>
    <w:basedOn w:val="DefaultParagraphFont"/>
    <w:link w:val="Footer"/>
    <w:uiPriority w:val="99"/>
    <w:rsid w:val="00C65677"/>
    <w:rPr>
      <w:rFonts w:ascii="Times New Roman" w:hAnsi="Times New Roman" w:cs="Times New Roman"/>
      <w:sz w:val="24"/>
      <w:szCs w:val="24"/>
      <w:lang w:val="en-GB"/>
    </w:rPr>
  </w:style>
  <w:style w:type="character" w:styleId="CommentReference">
    <w:name w:val="annotation reference"/>
    <w:basedOn w:val="DefaultParagraphFont"/>
    <w:uiPriority w:val="99"/>
    <w:semiHidden/>
    <w:unhideWhenUsed/>
    <w:rsid w:val="00F54C51"/>
    <w:rPr>
      <w:sz w:val="16"/>
      <w:szCs w:val="16"/>
    </w:rPr>
  </w:style>
  <w:style w:type="paragraph" w:styleId="CommentText">
    <w:name w:val="annotation text"/>
    <w:basedOn w:val="Normal"/>
    <w:link w:val="CommentTextChar"/>
    <w:uiPriority w:val="99"/>
    <w:unhideWhenUsed/>
    <w:rsid w:val="00F54C51"/>
    <w:pPr>
      <w:spacing w:line="240" w:lineRule="auto"/>
    </w:pPr>
    <w:rPr>
      <w:sz w:val="20"/>
      <w:szCs w:val="20"/>
    </w:rPr>
  </w:style>
  <w:style w:type="character" w:customStyle="1" w:styleId="CommentTextChar">
    <w:name w:val="Comment Text Char"/>
    <w:basedOn w:val="DefaultParagraphFont"/>
    <w:link w:val="CommentText"/>
    <w:uiPriority w:val="99"/>
    <w:rsid w:val="00F54C51"/>
    <w:rPr>
      <w:rFonts w:ascii="Arial" w:hAnsi="Arial"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F54C51"/>
    <w:rPr>
      <w:b/>
      <w:bCs/>
    </w:rPr>
  </w:style>
  <w:style w:type="character" w:customStyle="1" w:styleId="CommentSubjectChar">
    <w:name w:val="Comment Subject Char"/>
    <w:basedOn w:val="CommentTextChar"/>
    <w:link w:val="CommentSubject"/>
    <w:uiPriority w:val="99"/>
    <w:semiHidden/>
    <w:rsid w:val="00F54C51"/>
    <w:rPr>
      <w:rFonts w:ascii="Arial" w:hAnsi="Arial" w:cs="Times New Roman"/>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1338642">
      <w:marLeft w:val="0"/>
      <w:marRight w:val="0"/>
      <w:marTop w:val="0"/>
      <w:marBottom w:val="0"/>
      <w:divBdr>
        <w:top w:val="none" w:sz="0" w:space="0" w:color="auto"/>
        <w:left w:val="none" w:sz="0" w:space="0" w:color="auto"/>
        <w:bottom w:val="none" w:sz="0" w:space="0" w:color="auto"/>
        <w:right w:val="none" w:sz="0" w:space="0" w:color="auto"/>
      </w:divBdr>
    </w:div>
    <w:div w:id="187372756">
      <w:marLeft w:val="0"/>
      <w:marRight w:val="0"/>
      <w:marTop w:val="0"/>
      <w:marBottom w:val="0"/>
      <w:divBdr>
        <w:top w:val="none" w:sz="0" w:space="0" w:color="auto"/>
        <w:left w:val="none" w:sz="0" w:space="0" w:color="auto"/>
        <w:bottom w:val="none" w:sz="0" w:space="0" w:color="auto"/>
        <w:right w:val="none" w:sz="0" w:space="0" w:color="auto"/>
      </w:divBdr>
    </w:div>
    <w:div w:id="444079665">
      <w:marLeft w:val="0"/>
      <w:marRight w:val="0"/>
      <w:marTop w:val="0"/>
      <w:marBottom w:val="0"/>
      <w:divBdr>
        <w:top w:val="none" w:sz="0" w:space="0" w:color="auto"/>
        <w:left w:val="none" w:sz="0" w:space="0" w:color="auto"/>
        <w:bottom w:val="none" w:sz="0" w:space="0" w:color="auto"/>
        <w:right w:val="none" w:sz="0" w:space="0" w:color="auto"/>
      </w:divBdr>
    </w:div>
    <w:div w:id="1033075557">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2.xml"/><Relationship Id="rId18" Type="http://schemas.openxmlformats.org/officeDocument/2006/relationships/hyperlink" Target="https://www.emerald.com/jeas/article-pdf/38/1/91/1469973/jeas-07-2019-0074.pdf" TargetMode="External"/><Relationship Id="rId26" Type="http://schemas.openxmlformats.org/officeDocument/2006/relationships/hyperlink" Target="https://papers.ssrn.com/sol3/Delivery.cfm?abstractid=4247331" TargetMode="External"/><Relationship Id="rId39" Type="http://schemas.openxmlformats.org/officeDocument/2006/relationships/hyperlink" Target="https://www.researchgate.net/profile/Pragya-Sharma-81/publication/389711734_Fintech_Startups_and_Traditional_Banking_Rivals_or_Collaborators/links/67cf45e9bab3d32d8440904c/Fintech-Startups-and-Traditional-Banking-Rivals-or-Collaborators.pdf" TargetMode="External"/><Relationship Id="rId21" Type="http://schemas.openxmlformats.org/officeDocument/2006/relationships/hyperlink" Target="https://www.academia.edu/download/106769993/cash-conversion-cycle-and-firms-performance.pdf" TargetMode="External"/><Relationship Id="rId34" Type="http://schemas.openxmlformats.org/officeDocument/2006/relationships/hyperlink" Target="https://pmc.ncbi.nlm.nih.gov/articles/PMC8096609/pdf/11187_2021_Article_488.pdf" TargetMode="External"/><Relationship Id="rId42" Type="http://schemas.openxmlformats.org/officeDocument/2006/relationships/image" Target="media/image7.emf"/><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hart" Target="charts/chart5.xml"/><Relationship Id="rId29" Type="http://schemas.openxmlformats.org/officeDocument/2006/relationships/hyperlink" Target="https://www.sciencedirect.com/science/article/pii/S136655452400117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econstor.eu/bitstream/10419/339277/1/1965624235.pdf" TargetMode="External"/><Relationship Id="rId32" Type="http://schemas.openxmlformats.org/officeDocument/2006/relationships/hyperlink" Target="https://www.theseus.fi/bitstream/handle/10024/870838/Katajamaki_Chizuko.pdf?sequence=2" TargetMode="External"/><Relationship Id="rId37" Type="http://schemas.openxmlformats.org/officeDocument/2006/relationships/hyperlink" Target="https://mail.newinera.com/index.php/JournalLaBisecoman/article/download/1970/1958" TargetMode="External"/><Relationship Id="rId40" Type="http://schemas.openxmlformats.org/officeDocument/2006/relationships/image" Target="media/image5.emf"/><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chart" Target="charts/chart4.xml"/><Relationship Id="rId23" Type="http://schemas.openxmlformats.org/officeDocument/2006/relationships/hyperlink" Target="https://www.researchgate.net/profile/Christian-Conrad-3/publication/402158058_The_Impact_of_Money_Supply_and_Interest_Rates_on_Stock_Prices_Insights_from_Two_New_Behavioral_Experiments_and_a_Proposal_for_a_New_Price_to_Earnings_Ratio/links/69b7a7130df0500feff5c4c2/The-Impact-of-Money-Supply-and-Interest-Rates-on-Stock-Prices-Insights-from-Two-New-Behavioral-Experiments-and-a-Proposal-for-a-New-Price-to-Earnings-Ratio.pdf" TargetMode="External"/><Relationship Id="rId28" Type="http://schemas.openxmlformats.org/officeDocument/2006/relationships/hyperlink" Target="https://jurnal.unismuhpalu.ac.id/index.php/IJHESS/article/download/3611/2789" TargetMode="External"/><Relationship Id="rId36" Type="http://schemas.openxmlformats.org/officeDocument/2006/relationships/hyperlink" Target="https://papers.ssrn.com/sol3/Delivery.cfm?abstractid=5348941" TargetMode="External"/><Relationship Id="rId10" Type="http://schemas.openxmlformats.org/officeDocument/2006/relationships/image" Target="media/image3.png"/><Relationship Id="rId19" Type="http://schemas.openxmlformats.org/officeDocument/2006/relationships/hyperlink" Target="https://pdfs.semanticscholar.org/b297/a823988fa5f3b58516df9f08c16c2c20d0e5.pdf" TargetMode="External"/><Relationship Id="rId31" Type="http://schemas.openxmlformats.org/officeDocument/2006/relationships/hyperlink" Target="https://management.znu.edu.ua/index.php/journal/article/download/640/354"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3.xml"/><Relationship Id="rId22" Type="http://schemas.openxmlformats.org/officeDocument/2006/relationships/hyperlink" Target="https://www.mdpi.com/2071-1050/16/7/3082" TargetMode="External"/><Relationship Id="rId27" Type="http://schemas.openxmlformats.org/officeDocument/2006/relationships/hyperlink" Target="https://link.springer.com/content/pdf/10.1186/s40854-022-00412-y.pdf" TargetMode="External"/><Relationship Id="rId30" Type="http://schemas.openxmlformats.org/officeDocument/2006/relationships/hyperlink" Target="https://onlinelibrary.wiley.com/doi/pdf/10.1111/twec.13345" TargetMode="External"/><Relationship Id="rId35" Type="http://schemas.openxmlformats.org/officeDocument/2006/relationships/hyperlink" Target="https://www.researchgate.net/profile/Uche-Nweje/publication/387903364_Leveraging_Artificial_Intelligence_for_predictive_supply_chain_management_focus_on_how_AI-driven_tools_are_revolutionizing_demand_forecasting_and_inventory_optimization/links/6781b0ef3e33dd0be9f72b59/Leveraging-Artificial-Intelligence-for-predictive-supply-chain-management-focus-on-how-AI-driven-tools-are-revolutionizing-demand-forecasting-and-inventory-optimization.pdf" TargetMode="External"/><Relationship Id="rId43"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chart" Target="charts/chart1.xml"/><Relationship Id="rId17" Type="http://schemas.openxmlformats.org/officeDocument/2006/relationships/chart" Target="charts/chart6.xml"/><Relationship Id="rId25" Type="http://schemas.openxmlformats.org/officeDocument/2006/relationships/hyperlink" Target="https://www.tandfonline.com/doi/pdf/10.1080/09537325.2021.1963426" TargetMode="External"/><Relationship Id="rId33" Type="http://schemas.openxmlformats.org/officeDocument/2006/relationships/hyperlink" Target="https://eem.com.ua/web/uploads/pdf/Economics,%20Entrepreneurship,%20Management,%20Vol%2011,%20No%202,%202024-65-76.pdf" TargetMode="External"/><Relationship Id="rId38" Type="http://schemas.openxmlformats.org/officeDocument/2006/relationships/hyperlink" Target="https://www.emerald.com/jfrc/article-pdf/31/5/663/2839331/jfrc-10-2022-0119.pdf" TargetMode="External"/><Relationship Id="rId20" Type="http://schemas.openxmlformats.org/officeDocument/2006/relationships/hyperlink" Target="https://link.springer.com/content/pdf/10.1007/s10614-024-10649-7.pdf" TargetMode="External"/><Relationship Id="rId41" Type="http://schemas.openxmlformats.org/officeDocument/2006/relationships/image" Target="media/image6.emf"/></Relationships>
</file>

<file path=word/charts/_rels/chart1.xml.rels><?xml version="1.0" encoding="UTF-8" standalone="yes"?>
<Relationships xmlns="http://schemas.openxmlformats.org/package/2006/relationships"><Relationship Id="rId3" Type="http://schemas.openxmlformats.org/officeDocument/2006/relationships/oleObject" Target="file:///C:\Users\LP\AppData\Roaming\Microsoft\Excel\Book1%20(version%202).xlsb"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LP\AppData\Roaming\Microsoft\Excel\Book1%20(version%202).xlsb"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LP\AppData\Roaming\Microsoft\Excel\Book1%20(version%202).xlsb"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LP\AppData\Roaming\Microsoft\Excel\Book1%20(version%202).xlsb"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LP\AppData\Roaming\Microsoft\Excel\Book1%20(version%202).xlsb"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LP\AppData\Roaming\Microsoft\Excel\Book1%20(version%202).xlsb"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1" i="0" u="none" strike="noStrike" baseline="0">
                <a:effectLst/>
              </a:rPr>
              <a:t>Profitability Ratio</a:t>
            </a:r>
            <a:r>
              <a:rPr lang="en-US" sz="1400" b="0" i="0" u="none" strike="noStrike" baseline="0">
                <a:effectLst/>
              </a:rPr>
              <a:t>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Sheet1!$A$24</c:f>
              <c:strCache>
                <c:ptCount val="1"/>
                <c:pt idx="0">
                  <c:v>Gross Profit Margin</c:v>
                </c:pt>
              </c:strCache>
            </c:strRef>
          </c:tx>
          <c:spPr>
            <a:solidFill>
              <a:schemeClr val="accent1"/>
            </a:solidFill>
            <a:ln>
              <a:noFill/>
            </a:ln>
            <a:effectLst/>
          </c:spPr>
          <c:invertIfNegative val="0"/>
          <c:cat>
            <c:numRef>
              <c:f>Sheet1!$B$23:$F$23</c:f>
              <c:numCache>
                <c:formatCode>General</c:formatCode>
                <c:ptCount val="5"/>
                <c:pt idx="0">
                  <c:v>2021</c:v>
                </c:pt>
                <c:pt idx="1">
                  <c:v>2022</c:v>
                </c:pt>
                <c:pt idx="2">
                  <c:v>2023</c:v>
                </c:pt>
                <c:pt idx="3">
                  <c:v>2024</c:v>
                </c:pt>
                <c:pt idx="4">
                  <c:v>2025</c:v>
                </c:pt>
              </c:numCache>
            </c:numRef>
          </c:cat>
          <c:val>
            <c:numRef>
              <c:f>Sheet1!$B$24:$F$24</c:f>
              <c:numCache>
                <c:formatCode>General</c:formatCode>
                <c:ptCount val="5"/>
                <c:pt idx="0">
                  <c:v>0.22619047619047622</c:v>
                </c:pt>
                <c:pt idx="1">
                  <c:v>0.24210526315789474</c:v>
                </c:pt>
                <c:pt idx="2">
                  <c:v>0.25629993853718502</c:v>
                </c:pt>
                <c:pt idx="3">
                  <c:v>0.26099706744868034</c:v>
                </c:pt>
                <c:pt idx="4">
                  <c:v>0.26373626373626374</c:v>
                </c:pt>
              </c:numCache>
            </c:numRef>
          </c:val>
          <c:extLst>
            <c:ext xmlns:c16="http://schemas.microsoft.com/office/drawing/2014/chart" uri="{C3380CC4-5D6E-409C-BE32-E72D297353CC}">
              <c16:uniqueId val="{00000000-C679-496A-A094-CD08E1DFA076}"/>
            </c:ext>
          </c:extLst>
        </c:ser>
        <c:ser>
          <c:idx val="1"/>
          <c:order val="1"/>
          <c:tx>
            <c:strRef>
              <c:f>Sheet1!$A$25</c:f>
              <c:strCache>
                <c:ptCount val="1"/>
                <c:pt idx="0">
                  <c:v>Operating Profit Margin</c:v>
                </c:pt>
              </c:strCache>
            </c:strRef>
          </c:tx>
          <c:spPr>
            <a:solidFill>
              <a:schemeClr val="accent2"/>
            </a:solidFill>
            <a:ln>
              <a:noFill/>
            </a:ln>
            <a:effectLst/>
          </c:spPr>
          <c:invertIfNegative val="0"/>
          <c:cat>
            <c:numRef>
              <c:f>Sheet1!$B$23:$F$23</c:f>
              <c:numCache>
                <c:formatCode>General</c:formatCode>
                <c:ptCount val="5"/>
                <c:pt idx="0">
                  <c:v>2021</c:v>
                </c:pt>
                <c:pt idx="1">
                  <c:v>2022</c:v>
                </c:pt>
                <c:pt idx="2">
                  <c:v>2023</c:v>
                </c:pt>
                <c:pt idx="3">
                  <c:v>2024</c:v>
                </c:pt>
                <c:pt idx="4">
                  <c:v>2025</c:v>
                </c:pt>
              </c:numCache>
            </c:numRef>
          </c:cat>
          <c:val>
            <c:numRef>
              <c:f>Sheet1!$B$25:$F$25</c:f>
              <c:numCache>
                <c:formatCode>General</c:formatCode>
                <c:ptCount val="5"/>
                <c:pt idx="0">
                  <c:v>5.6972789115646259E-2</c:v>
                </c:pt>
                <c:pt idx="1">
                  <c:v>6.8771929824561415E-2</c:v>
                </c:pt>
                <c:pt idx="2">
                  <c:v>9.2808850645359556E-2</c:v>
                </c:pt>
                <c:pt idx="3">
                  <c:v>9.6774193548387094E-2</c:v>
                </c:pt>
                <c:pt idx="4">
                  <c:v>9.8901098901098897E-2</c:v>
                </c:pt>
              </c:numCache>
            </c:numRef>
          </c:val>
          <c:extLst>
            <c:ext xmlns:c16="http://schemas.microsoft.com/office/drawing/2014/chart" uri="{C3380CC4-5D6E-409C-BE32-E72D297353CC}">
              <c16:uniqueId val="{00000001-C679-496A-A094-CD08E1DFA076}"/>
            </c:ext>
          </c:extLst>
        </c:ser>
        <c:ser>
          <c:idx val="2"/>
          <c:order val="2"/>
          <c:tx>
            <c:strRef>
              <c:f>Sheet1!$A$26</c:f>
              <c:strCache>
                <c:ptCount val="1"/>
                <c:pt idx="0">
                  <c:v>Net Profit Margin</c:v>
                </c:pt>
              </c:strCache>
            </c:strRef>
          </c:tx>
          <c:spPr>
            <a:solidFill>
              <a:schemeClr val="accent3"/>
            </a:solidFill>
            <a:ln>
              <a:noFill/>
            </a:ln>
            <a:effectLst/>
          </c:spPr>
          <c:invertIfNegative val="0"/>
          <c:cat>
            <c:numRef>
              <c:f>Sheet1!$B$23:$F$23</c:f>
              <c:numCache>
                <c:formatCode>General</c:formatCode>
                <c:ptCount val="5"/>
                <c:pt idx="0">
                  <c:v>2021</c:v>
                </c:pt>
                <c:pt idx="1">
                  <c:v>2022</c:v>
                </c:pt>
                <c:pt idx="2">
                  <c:v>2023</c:v>
                </c:pt>
                <c:pt idx="3">
                  <c:v>2024</c:v>
                </c:pt>
                <c:pt idx="4">
                  <c:v>2025</c:v>
                </c:pt>
              </c:numCache>
            </c:numRef>
          </c:cat>
          <c:val>
            <c:numRef>
              <c:f>Sheet1!$B$26:$F$26</c:f>
              <c:numCache>
                <c:formatCode>General</c:formatCode>
                <c:ptCount val="5"/>
                <c:pt idx="0">
                  <c:v>4.8469387755102046E-2</c:v>
                </c:pt>
                <c:pt idx="1">
                  <c:v>5.5438596491228072E-2</c:v>
                </c:pt>
                <c:pt idx="2">
                  <c:v>7.5599262446220047E-2</c:v>
                </c:pt>
                <c:pt idx="3">
                  <c:v>7.7419354838709667E-2</c:v>
                </c:pt>
                <c:pt idx="4">
                  <c:v>8.1318681318681321E-2</c:v>
                </c:pt>
              </c:numCache>
            </c:numRef>
          </c:val>
          <c:extLst>
            <c:ext xmlns:c16="http://schemas.microsoft.com/office/drawing/2014/chart" uri="{C3380CC4-5D6E-409C-BE32-E72D297353CC}">
              <c16:uniqueId val="{00000002-C679-496A-A094-CD08E1DFA076}"/>
            </c:ext>
          </c:extLst>
        </c:ser>
        <c:ser>
          <c:idx val="3"/>
          <c:order val="3"/>
          <c:tx>
            <c:strRef>
              <c:f>Sheet1!$A$27</c:f>
              <c:strCache>
                <c:ptCount val="1"/>
                <c:pt idx="0">
                  <c:v>Return on Assets (ROA)</c:v>
                </c:pt>
              </c:strCache>
            </c:strRef>
          </c:tx>
          <c:spPr>
            <a:solidFill>
              <a:schemeClr val="accent4"/>
            </a:solidFill>
            <a:ln>
              <a:noFill/>
            </a:ln>
            <a:effectLst/>
          </c:spPr>
          <c:invertIfNegative val="0"/>
          <c:cat>
            <c:numRef>
              <c:f>Sheet1!$B$23:$F$23</c:f>
              <c:numCache>
                <c:formatCode>General</c:formatCode>
                <c:ptCount val="5"/>
                <c:pt idx="0">
                  <c:v>2021</c:v>
                </c:pt>
                <c:pt idx="1">
                  <c:v>2022</c:v>
                </c:pt>
                <c:pt idx="2">
                  <c:v>2023</c:v>
                </c:pt>
                <c:pt idx="3">
                  <c:v>2024</c:v>
                </c:pt>
                <c:pt idx="4">
                  <c:v>2025</c:v>
                </c:pt>
              </c:numCache>
            </c:numRef>
          </c:cat>
          <c:val>
            <c:numRef>
              <c:f>Sheet1!$B$27:$F$27</c:f>
              <c:numCache>
                <c:formatCode>General</c:formatCode>
                <c:ptCount val="5"/>
                <c:pt idx="0">
                  <c:v>2.4463519313304722E-2</c:v>
                </c:pt>
                <c:pt idx="1">
                  <c:v>3.0980392156862747E-2</c:v>
                </c:pt>
                <c:pt idx="2">
                  <c:v>4.4565217391304347E-2</c:v>
                </c:pt>
                <c:pt idx="3">
                  <c:v>4.551724137931034E-2</c:v>
                </c:pt>
                <c:pt idx="4">
                  <c:v>4.8524590163934428E-2</c:v>
                </c:pt>
              </c:numCache>
            </c:numRef>
          </c:val>
          <c:extLst>
            <c:ext xmlns:c16="http://schemas.microsoft.com/office/drawing/2014/chart" uri="{C3380CC4-5D6E-409C-BE32-E72D297353CC}">
              <c16:uniqueId val="{00000003-C679-496A-A094-CD08E1DFA076}"/>
            </c:ext>
          </c:extLst>
        </c:ser>
        <c:ser>
          <c:idx val="4"/>
          <c:order val="4"/>
          <c:tx>
            <c:strRef>
              <c:f>Sheet1!$A$28</c:f>
              <c:strCache>
                <c:ptCount val="1"/>
                <c:pt idx="0">
                  <c:v>Return on Equity (ROE)</c:v>
                </c:pt>
              </c:strCache>
            </c:strRef>
          </c:tx>
          <c:spPr>
            <a:solidFill>
              <a:schemeClr val="accent5"/>
            </a:solidFill>
            <a:ln>
              <a:noFill/>
            </a:ln>
            <a:effectLst/>
          </c:spPr>
          <c:invertIfNegative val="0"/>
          <c:cat>
            <c:numRef>
              <c:f>Sheet1!$B$23:$F$23</c:f>
              <c:numCache>
                <c:formatCode>General</c:formatCode>
                <c:ptCount val="5"/>
                <c:pt idx="0">
                  <c:v>2021</c:v>
                </c:pt>
                <c:pt idx="1">
                  <c:v>2022</c:v>
                </c:pt>
                <c:pt idx="2">
                  <c:v>2023</c:v>
                </c:pt>
                <c:pt idx="3">
                  <c:v>2024</c:v>
                </c:pt>
                <c:pt idx="4">
                  <c:v>2025</c:v>
                </c:pt>
              </c:numCache>
            </c:numRef>
          </c:cat>
          <c:val>
            <c:numRef>
              <c:f>Sheet1!$B$28:$F$28</c:f>
              <c:numCache>
                <c:formatCode>General</c:formatCode>
                <c:ptCount val="5"/>
                <c:pt idx="0">
                  <c:v>6.4772727272727273E-2</c:v>
                </c:pt>
                <c:pt idx="1">
                  <c:v>7.9000000000000001E-2</c:v>
                </c:pt>
                <c:pt idx="2">
                  <c:v>0.10789473684210527</c:v>
                </c:pt>
                <c:pt idx="3">
                  <c:v>0.10819672131147541</c:v>
                </c:pt>
                <c:pt idx="4">
                  <c:v>0.11384615384615385</c:v>
                </c:pt>
              </c:numCache>
            </c:numRef>
          </c:val>
          <c:extLst>
            <c:ext xmlns:c16="http://schemas.microsoft.com/office/drawing/2014/chart" uri="{C3380CC4-5D6E-409C-BE32-E72D297353CC}">
              <c16:uniqueId val="{00000004-C679-496A-A094-CD08E1DFA076}"/>
            </c:ext>
          </c:extLst>
        </c:ser>
        <c:dLbls>
          <c:showLegendKey val="0"/>
          <c:showVal val="0"/>
          <c:showCatName val="0"/>
          <c:showSerName val="0"/>
          <c:showPercent val="0"/>
          <c:showBubbleSize val="0"/>
        </c:dLbls>
        <c:gapWidth val="219"/>
        <c:overlap val="-27"/>
        <c:axId val="14018335"/>
        <c:axId val="14014495"/>
      </c:barChart>
      <c:catAx>
        <c:axId val="1401833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14495"/>
        <c:crosses val="autoZero"/>
        <c:auto val="1"/>
        <c:lblAlgn val="ctr"/>
        <c:lblOffset val="100"/>
        <c:noMultiLvlLbl val="0"/>
      </c:catAx>
      <c:valAx>
        <c:axId val="1401449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1833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t>Liquidity Ratios </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Sheet1!$A$31</c:f>
              <c:strCache>
                <c:ptCount val="1"/>
                <c:pt idx="0">
                  <c:v>Current Ratio</c:v>
                </c:pt>
              </c:strCache>
            </c:strRef>
          </c:tx>
          <c:spPr>
            <a:solidFill>
              <a:schemeClr val="accent6"/>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Sheet1!$B$30:$F$30</c:f>
              <c:numCache>
                <c:formatCode>General</c:formatCode>
                <c:ptCount val="5"/>
                <c:pt idx="0">
                  <c:v>2021</c:v>
                </c:pt>
                <c:pt idx="1">
                  <c:v>2022</c:v>
                </c:pt>
                <c:pt idx="2">
                  <c:v>2023</c:v>
                </c:pt>
                <c:pt idx="3">
                  <c:v>2024</c:v>
                </c:pt>
                <c:pt idx="4">
                  <c:v>2025</c:v>
                </c:pt>
              </c:numCache>
            </c:numRef>
          </c:cat>
          <c:val>
            <c:numRef>
              <c:f>Sheet1!$B$31:$F$31</c:f>
              <c:numCache>
                <c:formatCode>General</c:formatCode>
                <c:ptCount val="5"/>
                <c:pt idx="0">
                  <c:v>0.92063492063492058</c:v>
                </c:pt>
                <c:pt idx="1">
                  <c:v>0.95588235294117652</c:v>
                </c:pt>
                <c:pt idx="2">
                  <c:v>1</c:v>
                </c:pt>
                <c:pt idx="3">
                  <c:v>1</c:v>
                </c:pt>
                <c:pt idx="4">
                  <c:v>1.0128205128205128</c:v>
                </c:pt>
              </c:numCache>
            </c:numRef>
          </c:val>
          <c:extLst>
            <c:ext xmlns:c16="http://schemas.microsoft.com/office/drawing/2014/chart" uri="{C3380CC4-5D6E-409C-BE32-E72D297353CC}">
              <c16:uniqueId val="{00000000-24BB-4717-8E7C-17987EF0C603}"/>
            </c:ext>
          </c:extLst>
        </c:ser>
        <c:ser>
          <c:idx val="1"/>
          <c:order val="1"/>
          <c:tx>
            <c:strRef>
              <c:f>Sheet1!$A$32</c:f>
              <c:strCache>
                <c:ptCount val="1"/>
                <c:pt idx="0">
                  <c:v>Quick Ratio (Acid-Test Ratio)</c:v>
                </c:pt>
              </c:strCache>
            </c:strRef>
          </c:tx>
          <c:spPr>
            <a:solidFill>
              <a:schemeClr val="accent5"/>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Sheet1!$B$30:$F$30</c:f>
              <c:numCache>
                <c:formatCode>General</c:formatCode>
                <c:ptCount val="5"/>
                <c:pt idx="0">
                  <c:v>2021</c:v>
                </c:pt>
                <c:pt idx="1">
                  <c:v>2022</c:v>
                </c:pt>
                <c:pt idx="2">
                  <c:v>2023</c:v>
                </c:pt>
                <c:pt idx="3">
                  <c:v>2024</c:v>
                </c:pt>
                <c:pt idx="4">
                  <c:v>2025</c:v>
                </c:pt>
              </c:numCache>
            </c:numRef>
          </c:cat>
          <c:val>
            <c:numRef>
              <c:f>Sheet1!$B$32:$F$32</c:f>
              <c:numCache>
                <c:formatCode>General</c:formatCode>
                <c:ptCount val="5"/>
                <c:pt idx="0">
                  <c:v>0.7142857142857143</c:v>
                </c:pt>
                <c:pt idx="1">
                  <c:v>0.73529411764705888</c:v>
                </c:pt>
                <c:pt idx="2">
                  <c:v>0.76388888888888884</c:v>
                </c:pt>
                <c:pt idx="3">
                  <c:v>0.7533333333333333</c:v>
                </c:pt>
                <c:pt idx="4">
                  <c:v>0.75641025641025639</c:v>
                </c:pt>
              </c:numCache>
            </c:numRef>
          </c:val>
          <c:extLst>
            <c:ext xmlns:c16="http://schemas.microsoft.com/office/drawing/2014/chart" uri="{C3380CC4-5D6E-409C-BE32-E72D297353CC}">
              <c16:uniqueId val="{00000001-24BB-4717-8E7C-17987EF0C603}"/>
            </c:ext>
          </c:extLst>
        </c:ser>
        <c:ser>
          <c:idx val="2"/>
          <c:order val="2"/>
          <c:tx>
            <c:strRef>
              <c:f>Sheet1!$A$33</c:f>
              <c:strCache>
                <c:ptCount val="1"/>
                <c:pt idx="0">
                  <c:v>Cash Ratio</c:v>
                </c:pt>
              </c:strCache>
            </c:strRef>
          </c:tx>
          <c:spPr>
            <a:solidFill>
              <a:schemeClr val="accent4"/>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Sheet1!$B$30:$F$30</c:f>
              <c:numCache>
                <c:formatCode>General</c:formatCode>
                <c:ptCount val="5"/>
                <c:pt idx="0">
                  <c:v>2021</c:v>
                </c:pt>
                <c:pt idx="1">
                  <c:v>2022</c:v>
                </c:pt>
                <c:pt idx="2">
                  <c:v>2023</c:v>
                </c:pt>
                <c:pt idx="3">
                  <c:v>2024</c:v>
                </c:pt>
                <c:pt idx="4">
                  <c:v>2025</c:v>
                </c:pt>
              </c:numCache>
            </c:numRef>
          </c:cat>
          <c:val>
            <c:numRef>
              <c:f>Sheet1!$B$33:$F$33</c:f>
              <c:numCache>
                <c:formatCode>General</c:formatCode>
                <c:ptCount val="5"/>
                <c:pt idx="0">
                  <c:v>0.19047619047619047</c:v>
                </c:pt>
                <c:pt idx="1">
                  <c:v>0.22058823529411764</c:v>
                </c:pt>
                <c:pt idx="2">
                  <c:v>0.25</c:v>
                </c:pt>
                <c:pt idx="3">
                  <c:v>0.26</c:v>
                </c:pt>
                <c:pt idx="4">
                  <c:v>0.26923076923076922</c:v>
                </c:pt>
              </c:numCache>
            </c:numRef>
          </c:val>
          <c:extLst>
            <c:ext xmlns:c16="http://schemas.microsoft.com/office/drawing/2014/chart" uri="{C3380CC4-5D6E-409C-BE32-E72D297353CC}">
              <c16:uniqueId val="{00000002-24BB-4717-8E7C-17987EF0C603}"/>
            </c:ext>
          </c:extLst>
        </c:ser>
        <c:dLbls>
          <c:dLblPos val="outEnd"/>
          <c:showLegendKey val="0"/>
          <c:showVal val="1"/>
          <c:showCatName val="0"/>
          <c:showSerName val="0"/>
          <c:showPercent val="0"/>
          <c:showBubbleSize val="0"/>
        </c:dLbls>
        <c:gapWidth val="444"/>
        <c:overlap val="-90"/>
        <c:axId val="177767007"/>
        <c:axId val="177772767"/>
      </c:barChart>
      <c:catAx>
        <c:axId val="17776700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77772767"/>
        <c:crosses val="autoZero"/>
        <c:auto val="1"/>
        <c:lblAlgn val="ctr"/>
        <c:lblOffset val="100"/>
        <c:noMultiLvlLbl val="0"/>
      </c:catAx>
      <c:valAx>
        <c:axId val="177772767"/>
        <c:scaling>
          <c:orientation val="minMax"/>
        </c:scaling>
        <c:delete val="1"/>
        <c:axPos val="l"/>
        <c:numFmt formatCode="General" sourceLinked="1"/>
        <c:majorTickMark val="none"/>
        <c:minorTickMark val="none"/>
        <c:tickLblPos val="nextTo"/>
        <c:crossAx val="177767007"/>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US" sz="1800" b="1" i="0" u="none" strike="noStrike" cap="all" baseline="0">
                <a:effectLst/>
              </a:rPr>
              <a:t>Efficiency Ratios </a:t>
            </a:r>
            <a:endParaRPr lang="en-US"/>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Sheet1!$A$36</c:f>
              <c:strCache>
                <c:ptCount val="1"/>
                <c:pt idx="0">
                  <c:v>Asset Turnover Ratio</c:v>
                </c:pt>
              </c:strCache>
            </c:strRef>
          </c:tx>
          <c:spPr>
            <a:pattFill prst="narHorz">
              <a:fgClr>
                <a:schemeClr val="accent2"/>
              </a:fgClr>
              <a:bgClr>
                <a:schemeClr val="accent2">
                  <a:lumMod val="20000"/>
                  <a:lumOff val="80000"/>
                </a:schemeClr>
              </a:bgClr>
            </a:pattFill>
            <a:ln>
              <a:noFill/>
            </a:ln>
            <a:effectLst>
              <a:innerShdw blurRad="114300">
                <a:schemeClr val="accent2"/>
              </a:innerShdw>
            </a:effectLst>
          </c:spPr>
          <c:invertIfNegative val="0"/>
          <c:cat>
            <c:numRef>
              <c:f>Sheet1!$B$35:$F$35</c:f>
              <c:numCache>
                <c:formatCode>General</c:formatCode>
                <c:ptCount val="5"/>
                <c:pt idx="0">
                  <c:v>2021</c:v>
                </c:pt>
                <c:pt idx="1">
                  <c:v>2022</c:v>
                </c:pt>
                <c:pt idx="2">
                  <c:v>2023</c:v>
                </c:pt>
                <c:pt idx="3">
                  <c:v>2024</c:v>
                </c:pt>
                <c:pt idx="4">
                  <c:v>2025</c:v>
                </c:pt>
              </c:numCache>
            </c:numRef>
          </c:cat>
          <c:val>
            <c:numRef>
              <c:f>Sheet1!$B$36:$F$36</c:f>
              <c:numCache>
                <c:formatCode>General</c:formatCode>
                <c:ptCount val="5"/>
                <c:pt idx="0">
                  <c:v>0.50472103004291846</c:v>
                </c:pt>
                <c:pt idx="1">
                  <c:v>0.55882352941176472</c:v>
                </c:pt>
                <c:pt idx="2">
                  <c:v>0.58949275362318831</c:v>
                </c:pt>
                <c:pt idx="3">
                  <c:v>0.58793103448275863</c:v>
                </c:pt>
                <c:pt idx="4">
                  <c:v>0.59672131147540985</c:v>
                </c:pt>
              </c:numCache>
            </c:numRef>
          </c:val>
          <c:extLst>
            <c:ext xmlns:c16="http://schemas.microsoft.com/office/drawing/2014/chart" uri="{C3380CC4-5D6E-409C-BE32-E72D297353CC}">
              <c16:uniqueId val="{00000000-A574-4D0D-80CE-46D8DC33F4A4}"/>
            </c:ext>
          </c:extLst>
        </c:ser>
        <c:ser>
          <c:idx val="1"/>
          <c:order val="1"/>
          <c:tx>
            <c:strRef>
              <c:f>Sheet1!$A$37</c:f>
              <c:strCache>
                <c:ptCount val="1"/>
                <c:pt idx="0">
                  <c:v>Inventory Turnover Ratio</c:v>
                </c:pt>
              </c:strCache>
            </c:strRef>
          </c:tx>
          <c:spPr>
            <a:pattFill prst="narHorz">
              <a:fgClr>
                <a:schemeClr val="accent4"/>
              </a:fgClr>
              <a:bgClr>
                <a:schemeClr val="accent4">
                  <a:lumMod val="20000"/>
                  <a:lumOff val="80000"/>
                </a:schemeClr>
              </a:bgClr>
            </a:pattFill>
            <a:ln>
              <a:noFill/>
            </a:ln>
            <a:effectLst>
              <a:innerShdw blurRad="114300">
                <a:schemeClr val="accent4"/>
              </a:innerShdw>
            </a:effectLst>
          </c:spPr>
          <c:invertIfNegative val="0"/>
          <c:cat>
            <c:numRef>
              <c:f>Sheet1!$B$35:$F$35</c:f>
              <c:numCache>
                <c:formatCode>General</c:formatCode>
                <c:ptCount val="5"/>
                <c:pt idx="0">
                  <c:v>2021</c:v>
                </c:pt>
                <c:pt idx="1">
                  <c:v>2022</c:v>
                </c:pt>
                <c:pt idx="2">
                  <c:v>2023</c:v>
                </c:pt>
                <c:pt idx="3">
                  <c:v>2024</c:v>
                </c:pt>
                <c:pt idx="4">
                  <c:v>2025</c:v>
                </c:pt>
              </c:numCache>
            </c:numRef>
          </c:cat>
          <c:val>
            <c:numRef>
              <c:f>Sheet1!$B$37:$F$37</c:f>
              <c:numCache>
                <c:formatCode>General</c:formatCode>
                <c:ptCount val="5"/>
                <c:pt idx="0">
                  <c:v>7</c:v>
                </c:pt>
                <c:pt idx="1">
                  <c:v>7.2</c:v>
                </c:pt>
                <c:pt idx="2">
                  <c:v>7.117647058823529</c:v>
                </c:pt>
                <c:pt idx="3">
                  <c:v>6.8108108108108105</c:v>
                </c:pt>
                <c:pt idx="4">
                  <c:v>6.7</c:v>
                </c:pt>
              </c:numCache>
            </c:numRef>
          </c:val>
          <c:extLst>
            <c:ext xmlns:c16="http://schemas.microsoft.com/office/drawing/2014/chart" uri="{C3380CC4-5D6E-409C-BE32-E72D297353CC}">
              <c16:uniqueId val="{00000001-A574-4D0D-80CE-46D8DC33F4A4}"/>
            </c:ext>
          </c:extLst>
        </c:ser>
        <c:dLbls>
          <c:showLegendKey val="0"/>
          <c:showVal val="0"/>
          <c:showCatName val="0"/>
          <c:showSerName val="0"/>
          <c:showPercent val="0"/>
          <c:showBubbleSize val="0"/>
        </c:dLbls>
        <c:gapWidth val="164"/>
        <c:overlap val="-22"/>
        <c:axId val="177769887"/>
        <c:axId val="177776127"/>
      </c:barChart>
      <c:catAx>
        <c:axId val="177769887"/>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776127"/>
        <c:crosses val="autoZero"/>
        <c:auto val="1"/>
        <c:lblAlgn val="ctr"/>
        <c:lblOffset val="100"/>
        <c:noMultiLvlLbl val="0"/>
      </c:catAx>
      <c:valAx>
        <c:axId val="177776127"/>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769887"/>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1" i="0" u="none" strike="noStrike" baseline="0">
                <a:effectLst/>
              </a:rPr>
              <a:t>Gearing (Leverage) Ratios</a:t>
            </a:r>
            <a:r>
              <a:rPr lang="en-US" sz="1400" b="0" i="0" u="none" strike="noStrike" baseline="0">
                <a:effectLst/>
              </a:rPr>
              <a:t>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Sheet1!$A$40</c:f>
              <c:strCache>
                <c:ptCount val="1"/>
                <c:pt idx="0">
                  <c:v>Debt to Equity Ratio</c:v>
                </c:pt>
              </c:strCache>
            </c:strRef>
          </c:tx>
          <c:spPr>
            <a:solidFill>
              <a:schemeClr val="accent1"/>
            </a:solidFill>
            <a:ln>
              <a:noFill/>
            </a:ln>
            <a:effectLst/>
          </c:spPr>
          <c:invertIfNegative val="0"/>
          <c:cat>
            <c:numRef>
              <c:f>Sheet1!$B$39:$F$39</c:f>
              <c:numCache>
                <c:formatCode>General</c:formatCode>
                <c:ptCount val="5"/>
                <c:pt idx="0">
                  <c:v>2021</c:v>
                </c:pt>
                <c:pt idx="1">
                  <c:v>2022</c:v>
                </c:pt>
                <c:pt idx="2">
                  <c:v>2023</c:v>
                </c:pt>
                <c:pt idx="3">
                  <c:v>2024</c:v>
                </c:pt>
                <c:pt idx="4">
                  <c:v>2025</c:v>
                </c:pt>
              </c:numCache>
            </c:numRef>
          </c:cat>
          <c:val>
            <c:numRef>
              <c:f>Sheet1!$B$40:$F$40</c:f>
              <c:numCache>
                <c:formatCode>General</c:formatCode>
                <c:ptCount val="5"/>
                <c:pt idx="0">
                  <c:v>1.6477272727272727</c:v>
                </c:pt>
                <c:pt idx="1">
                  <c:v>1.55</c:v>
                </c:pt>
                <c:pt idx="2">
                  <c:v>1.4210526315789473</c:v>
                </c:pt>
                <c:pt idx="3">
                  <c:v>1.3770491803278688</c:v>
                </c:pt>
                <c:pt idx="4">
                  <c:v>1.3461538461538463</c:v>
                </c:pt>
              </c:numCache>
            </c:numRef>
          </c:val>
          <c:extLst>
            <c:ext xmlns:c16="http://schemas.microsoft.com/office/drawing/2014/chart" uri="{C3380CC4-5D6E-409C-BE32-E72D297353CC}">
              <c16:uniqueId val="{00000000-0B42-4F1B-A8EC-711D8EF42F26}"/>
            </c:ext>
          </c:extLst>
        </c:ser>
        <c:ser>
          <c:idx val="1"/>
          <c:order val="1"/>
          <c:tx>
            <c:strRef>
              <c:f>Sheet1!$A$41</c:f>
              <c:strCache>
                <c:ptCount val="1"/>
                <c:pt idx="0">
                  <c:v>Debt Ratio</c:v>
                </c:pt>
              </c:strCache>
            </c:strRef>
          </c:tx>
          <c:spPr>
            <a:solidFill>
              <a:schemeClr val="accent2"/>
            </a:solidFill>
            <a:ln>
              <a:noFill/>
            </a:ln>
            <a:effectLst/>
          </c:spPr>
          <c:invertIfNegative val="0"/>
          <c:cat>
            <c:numRef>
              <c:f>Sheet1!$B$39:$F$39</c:f>
              <c:numCache>
                <c:formatCode>General</c:formatCode>
                <c:ptCount val="5"/>
                <c:pt idx="0">
                  <c:v>2021</c:v>
                </c:pt>
                <c:pt idx="1">
                  <c:v>2022</c:v>
                </c:pt>
                <c:pt idx="2">
                  <c:v>2023</c:v>
                </c:pt>
                <c:pt idx="3">
                  <c:v>2024</c:v>
                </c:pt>
                <c:pt idx="4">
                  <c:v>2025</c:v>
                </c:pt>
              </c:numCache>
            </c:numRef>
          </c:cat>
          <c:val>
            <c:numRef>
              <c:f>Sheet1!$B$41:$F$41</c:f>
              <c:numCache>
                <c:formatCode>General</c:formatCode>
                <c:ptCount val="5"/>
                <c:pt idx="0">
                  <c:v>0.62231759656652363</c:v>
                </c:pt>
                <c:pt idx="1">
                  <c:v>0.60784313725490191</c:v>
                </c:pt>
                <c:pt idx="2">
                  <c:v>0.58695652173913049</c:v>
                </c:pt>
                <c:pt idx="3">
                  <c:v>0.57931034482758625</c:v>
                </c:pt>
                <c:pt idx="4">
                  <c:v>0.57377049180327866</c:v>
                </c:pt>
              </c:numCache>
            </c:numRef>
          </c:val>
          <c:extLst>
            <c:ext xmlns:c16="http://schemas.microsoft.com/office/drawing/2014/chart" uri="{C3380CC4-5D6E-409C-BE32-E72D297353CC}">
              <c16:uniqueId val="{00000001-0B42-4F1B-A8EC-711D8EF42F26}"/>
            </c:ext>
          </c:extLst>
        </c:ser>
        <c:dLbls>
          <c:showLegendKey val="0"/>
          <c:showVal val="0"/>
          <c:showCatName val="0"/>
          <c:showSerName val="0"/>
          <c:showPercent val="0"/>
          <c:showBubbleSize val="0"/>
        </c:dLbls>
        <c:gapWidth val="219"/>
        <c:overlap val="-27"/>
        <c:axId val="177784287"/>
        <c:axId val="177768927"/>
      </c:barChart>
      <c:catAx>
        <c:axId val="17778428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768927"/>
        <c:crosses val="autoZero"/>
        <c:auto val="1"/>
        <c:lblAlgn val="ctr"/>
        <c:lblOffset val="100"/>
        <c:noMultiLvlLbl val="0"/>
      </c:catAx>
      <c:valAx>
        <c:axId val="17776892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78428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t>Investment Ratios </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Sheet1!$A$44</c:f>
              <c:strCache>
                <c:ptCount val="1"/>
                <c:pt idx="0">
                  <c:v>Earnings Per Share (EPS)</c:v>
                </c:pt>
              </c:strCache>
            </c:strRef>
          </c:tx>
          <c:spPr>
            <a:solidFill>
              <a:schemeClr val="accent1">
                <a:shade val="58000"/>
              </a:schemeClr>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Sheet1!$B$43:$F$43</c:f>
              <c:numCache>
                <c:formatCode>General</c:formatCode>
                <c:ptCount val="5"/>
                <c:pt idx="0">
                  <c:v>2021</c:v>
                </c:pt>
                <c:pt idx="1">
                  <c:v>2022</c:v>
                </c:pt>
                <c:pt idx="2">
                  <c:v>2023</c:v>
                </c:pt>
                <c:pt idx="3">
                  <c:v>2024</c:v>
                </c:pt>
                <c:pt idx="4">
                  <c:v>2025</c:v>
                </c:pt>
              </c:numCache>
            </c:numRef>
          </c:cat>
          <c:val>
            <c:numRef>
              <c:f>Sheet1!$B$44:$F$44</c:f>
              <c:numCache>
                <c:formatCode>General</c:formatCode>
                <c:ptCount val="5"/>
                <c:pt idx="0">
                  <c:v>26.760563380281692</c:v>
                </c:pt>
                <c:pt idx="1">
                  <c:v>37.089201877934272</c:v>
                </c:pt>
                <c:pt idx="2">
                  <c:v>57.74647887323944</c:v>
                </c:pt>
                <c:pt idx="3">
                  <c:v>61.971830985915489</c:v>
                </c:pt>
                <c:pt idx="4">
                  <c:v>69.483568075117375</c:v>
                </c:pt>
              </c:numCache>
            </c:numRef>
          </c:val>
          <c:extLst>
            <c:ext xmlns:c16="http://schemas.microsoft.com/office/drawing/2014/chart" uri="{C3380CC4-5D6E-409C-BE32-E72D297353CC}">
              <c16:uniqueId val="{00000000-2AD4-4931-A29B-E2E483076C24}"/>
            </c:ext>
          </c:extLst>
        </c:ser>
        <c:ser>
          <c:idx val="1"/>
          <c:order val="1"/>
          <c:tx>
            <c:strRef>
              <c:f>Sheet1!$A$45</c:f>
              <c:strCache>
                <c:ptCount val="1"/>
                <c:pt idx="0">
                  <c:v>Price Earnings Ratio (P/E Ratio)</c:v>
                </c:pt>
              </c:strCache>
            </c:strRef>
          </c:tx>
          <c:spPr>
            <a:solidFill>
              <a:schemeClr val="accent1">
                <a:shade val="86000"/>
              </a:schemeClr>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Sheet1!$B$43:$F$43</c:f>
              <c:numCache>
                <c:formatCode>General</c:formatCode>
                <c:ptCount val="5"/>
                <c:pt idx="0">
                  <c:v>2021</c:v>
                </c:pt>
                <c:pt idx="1">
                  <c:v>2022</c:v>
                </c:pt>
                <c:pt idx="2">
                  <c:v>2023</c:v>
                </c:pt>
                <c:pt idx="3">
                  <c:v>2024</c:v>
                </c:pt>
                <c:pt idx="4">
                  <c:v>2025</c:v>
                </c:pt>
              </c:numCache>
            </c:numRef>
          </c:cat>
          <c:val>
            <c:numRef>
              <c:f>Sheet1!$B$45:$F$45</c:f>
              <c:numCache>
                <c:formatCode>General</c:formatCode>
                <c:ptCount val="5"/>
                <c:pt idx="0">
                  <c:v>7847.3684210526308</c:v>
                </c:pt>
                <c:pt idx="1">
                  <c:v>4853.164556962025</c:v>
                </c:pt>
                <c:pt idx="2">
                  <c:v>3809.7560975609754</c:v>
                </c:pt>
                <c:pt idx="3">
                  <c:v>3872.727272727273</c:v>
                </c:pt>
                <c:pt idx="4">
                  <c:v>3741.8918918918916</c:v>
                </c:pt>
              </c:numCache>
            </c:numRef>
          </c:val>
          <c:extLst>
            <c:ext xmlns:c16="http://schemas.microsoft.com/office/drawing/2014/chart" uri="{C3380CC4-5D6E-409C-BE32-E72D297353CC}">
              <c16:uniqueId val="{00000001-2AD4-4931-A29B-E2E483076C24}"/>
            </c:ext>
          </c:extLst>
        </c:ser>
        <c:ser>
          <c:idx val="2"/>
          <c:order val="2"/>
          <c:tx>
            <c:strRef>
              <c:f>Sheet1!$A$46</c:f>
              <c:strCache>
                <c:ptCount val="1"/>
                <c:pt idx="0">
                  <c:v>Dividend Payout Ratio</c:v>
                </c:pt>
              </c:strCache>
            </c:strRef>
          </c:tx>
          <c:spPr>
            <a:solidFill>
              <a:schemeClr val="accent1">
                <a:tint val="86000"/>
              </a:schemeClr>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Sheet1!$B$43:$F$43</c:f>
              <c:numCache>
                <c:formatCode>General</c:formatCode>
                <c:ptCount val="5"/>
                <c:pt idx="0">
                  <c:v>2021</c:v>
                </c:pt>
                <c:pt idx="1">
                  <c:v>2022</c:v>
                </c:pt>
                <c:pt idx="2">
                  <c:v>2023</c:v>
                </c:pt>
                <c:pt idx="3">
                  <c:v>2024</c:v>
                </c:pt>
                <c:pt idx="4">
                  <c:v>2025</c:v>
                </c:pt>
              </c:numCache>
            </c:numRef>
          </c:cat>
          <c:val>
            <c:numRef>
              <c:f>Sheet1!$B$46:$F$46</c:f>
              <c:numCache>
                <c:formatCode>General</c:formatCode>
                <c:ptCount val="5"/>
                <c:pt idx="0">
                  <c:v>0.26315789473684209</c:v>
                </c:pt>
                <c:pt idx="1">
                  <c:v>0.20253164556962025</c:v>
                </c:pt>
                <c:pt idx="2">
                  <c:v>0.16260162601626016</c:v>
                </c:pt>
                <c:pt idx="3">
                  <c:v>0.17424242424242423</c:v>
                </c:pt>
                <c:pt idx="4">
                  <c:v>0.17567567567567569</c:v>
                </c:pt>
              </c:numCache>
            </c:numRef>
          </c:val>
          <c:extLst>
            <c:ext xmlns:c16="http://schemas.microsoft.com/office/drawing/2014/chart" uri="{C3380CC4-5D6E-409C-BE32-E72D297353CC}">
              <c16:uniqueId val="{00000002-2AD4-4931-A29B-E2E483076C24}"/>
            </c:ext>
          </c:extLst>
        </c:ser>
        <c:ser>
          <c:idx val="3"/>
          <c:order val="3"/>
          <c:tx>
            <c:strRef>
              <c:f>Sheet1!$A$47</c:f>
              <c:strCache>
                <c:ptCount val="1"/>
                <c:pt idx="0">
                  <c:v>Net Asset Value (NAV) per Share</c:v>
                </c:pt>
              </c:strCache>
            </c:strRef>
          </c:tx>
          <c:spPr>
            <a:solidFill>
              <a:schemeClr val="accent1">
                <a:tint val="58000"/>
              </a:schemeClr>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Sheet1!$B$43:$F$43</c:f>
              <c:numCache>
                <c:formatCode>General</c:formatCode>
                <c:ptCount val="5"/>
                <c:pt idx="0">
                  <c:v>2021</c:v>
                </c:pt>
                <c:pt idx="1">
                  <c:v>2022</c:v>
                </c:pt>
                <c:pt idx="2">
                  <c:v>2023</c:v>
                </c:pt>
                <c:pt idx="3">
                  <c:v>2024</c:v>
                </c:pt>
                <c:pt idx="4">
                  <c:v>2025</c:v>
                </c:pt>
              </c:numCache>
            </c:numRef>
          </c:cat>
          <c:val>
            <c:numRef>
              <c:f>Sheet1!$B$47:$F$47</c:f>
              <c:numCache>
                <c:formatCode>General</c:formatCode>
                <c:ptCount val="5"/>
                <c:pt idx="0">
                  <c:v>413.14553990610329</c:v>
                </c:pt>
                <c:pt idx="1">
                  <c:v>469.48356807511738</c:v>
                </c:pt>
                <c:pt idx="2">
                  <c:v>535.21126760563379</c:v>
                </c:pt>
                <c:pt idx="3">
                  <c:v>572.76995305164326</c:v>
                </c:pt>
                <c:pt idx="4">
                  <c:v>610.32863849765261</c:v>
                </c:pt>
              </c:numCache>
            </c:numRef>
          </c:val>
          <c:extLst>
            <c:ext xmlns:c16="http://schemas.microsoft.com/office/drawing/2014/chart" uri="{C3380CC4-5D6E-409C-BE32-E72D297353CC}">
              <c16:uniqueId val="{00000003-2AD4-4931-A29B-E2E483076C24}"/>
            </c:ext>
          </c:extLst>
        </c:ser>
        <c:dLbls>
          <c:dLblPos val="outEnd"/>
          <c:showLegendKey val="0"/>
          <c:showVal val="1"/>
          <c:showCatName val="0"/>
          <c:showSerName val="0"/>
          <c:showPercent val="0"/>
          <c:showBubbleSize val="0"/>
        </c:dLbls>
        <c:gapWidth val="444"/>
        <c:overlap val="-90"/>
        <c:axId val="177803007"/>
        <c:axId val="177803967"/>
      </c:barChart>
      <c:catAx>
        <c:axId val="17780300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77803967"/>
        <c:crosses val="autoZero"/>
        <c:auto val="1"/>
        <c:lblAlgn val="ctr"/>
        <c:lblOffset val="100"/>
        <c:noMultiLvlLbl val="0"/>
      </c:catAx>
      <c:valAx>
        <c:axId val="177803967"/>
        <c:scaling>
          <c:orientation val="minMax"/>
        </c:scaling>
        <c:delete val="1"/>
        <c:axPos val="l"/>
        <c:numFmt formatCode="General" sourceLinked="1"/>
        <c:majorTickMark val="none"/>
        <c:minorTickMark val="none"/>
        <c:tickLblPos val="nextTo"/>
        <c:crossAx val="177803007"/>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1" i="0" u="none" strike="noStrike" baseline="0">
                <a:effectLst/>
              </a:rPr>
              <a:t>Cash Flow Ratios</a:t>
            </a:r>
            <a:r>
              <a:rPr lang="en-US" sz="1400" b="0" i="0" u="none" strike="noStrike" baseline="0">
                <a:effectLst/>
              </a:rPr>
              <a:t>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Sheet1!$A$50</c:f>
              <c:strCache>
                <c:ptCount val="1"/>
                <c:pt idx="0">
                  <c:v>Operating Cash Flow Ratio</c:v>
                </c:pt>
              </c:strCache>
            </c:strRef>
          </c:tx>
          <c:spPr>
            <a:solidFill>
              <a:schemeClr val="accent1"/>
            </a:solidFill>
            <a:ln>
              <a:noFill/>
            </a:ln>
            <a:effectLst/>
          </c:spPr>
          <c:invertIfNegative val="0"/>
          <c:cat>
            <c:numRef>
              <c:f>Sheet1!$B$49:$F$49</c:f>
              <c:numCache>
                <c:formatCode>General</c:formatCode>
                <c:ptCount val="5"/>
                <c:pt idx="0">
                  <c:v>2021</c:v>
                </c:pt>
                <c:pt idx="1">
                  <c:v>2022</c:v>
                </c:pt>
                <c:pt idx="2">
                  <c:v>2023</c:v>
                </c:pt>
                <c:pt idx="3">
                  <c:v>2024</c:v>
                </c:pt>
                <c:pt idx="4">
                  <c:v>2025</c:v>
                </c:pt>
              </c:numCache>
            </c:numRef>
          </c:cat>
          <c:val>
            <c:numRef>
              <c:f>Sheet1!$B$50:$F$50</c:f>
              <c:numCache>
                <c:formatCode>General</c:formatCode>
                <c:ptCount val="5"/>
                <c:pt idx="0">
                  <c:v>0.22222222222222221</c:v>
                </c:pt>
                <c:pt idx="1">
                  <c:v>0.26470588235294118</c:v>
                </c:pt>
                <c:pt idx="2">
                  <c:v>0.30555555555555558</c:v>
                </c:pt>
                <c:pt idx="3">
                  <c:v>0.32</c:v>
                </c:pt>
                <c:pt idx="4">
                  <c:v>0.33333333333333331</c:v>
                </c:pt>
              </c:numCache>
            </c:numRef>
          </c:val>
          <c:extLst>
            <c:ext xmlns:c16="http://schemas.microsoft.com/office/drawing/2014/chart" uri="{C3380CC4-5D6E-409C-BE32-E72D297353CC}">
              <c16:uniqueId val="{00000000-5B72-4515-8BF0-6E961349119D}"/>
            </c:ext>
          </c:extLst>
        </c:ser>
        <c:ser>
          <c:idx val="1"/>
          <c:order val="1"/>
          <c:tx>
            <c:strRef>
              <c:f>Sheet1!$A$51</c:f>
              <c:strCache>
                <c:ptCount val="1"/>
                <c:pt idx="0">
                  <c:v>Operating Cash Flow to Debt Ratio</c:v>
                </c:pt>
              </c:strCache>
            </c:strRef>
          </c:tx>
          <c:spPr>
            <a:solidFill>
              <a:schemeClr val="accent2"/>
            </a:solidFill>
            <a:ln>
              <a:noFill/>
            </a:ln>
            <a:effectLst/>
          </c:spPr>
          <c:invertIfNegative val="0"/>
          <c:cat>
            <c:numRef>
              <c:f>Sheet1!$B$49:$F$49</c:f>
              <c:numCache>
                <c:formatCode>General</c:formatCode>
                <c:ptCount val="5"/>
                <c:pt idx="0">
                  <c:v>2021</c:v>
                </c:pt>
                <c:pt idx="1">
                  <c:v>2022</c:v>
                </c:pt>
                <c:pt idx="2">
                  <c:v>2023</c:v>
                </c:pt>
                <c:pt idx="3">
                  <c:v>2024</c:v>
                </c:pt>
                <c:pt idx="4">
                  <c:v>2025</c:v>
                </c:pt>
              </c:numCache>
            </c:numRef>
          </c:cat>
          <c:val>
            <c:numRef>
              <c:f>Sheet1!$B$51:$F$51</c:f>
              <c:numCache>
                <c:formatCode>General</c:formatCode>
                <c:ptCount val="5"/>
                <c:pt idx="0">
                  <c:v>9.6551724137931033E-2</c:v>
                </c:pt>
                <c:pt idx="1">
                  <c:v>0.11612903225806452</c:v>
                </c:pt>
                <c:pt idx="2">
                  <c:v>0.13580246913580246</c:v>
                </c:pt>
                <c:pt idx="3">
                  <c:v>0.14285714285714285</c:v>
                </c:pt>
                <c:pt idx="4">
                  <c:v>0.14857142857142858</c:v>
                </c:pt>
              </c:numCache>
            </c:numRef>
          </c:val>
          <c:extLst>
            <c:ext xmlns:c16="http://schemas.microsoft.com/office/drawing/2014/chart" uri="{C3380CC4-5D6E-409C-BE32-E72D297353CC}">
              <c16:uniqueId val="{00000001-5B72-4515-8BF0-6E961349119D}"/>
            </c:ext>
          </c:extLst>
        </c:ser>
        <c:ser>
          <c:idx val="2"/>
          <c:order val="2"/>
          <c:tx>
            <c:strRef>
              <c:f>Sheet1!$A$52</c:f>
              <c:strCache>
                <c:ptCount val="1"/>
                <c:pt idx="0">
                  <c:v>Cash Flow Margin</c:v>
                </c:pt>
              </c:strCache>
            </c:strRef>
          </c:tx>
          <c:spPr>
            <a:solidFill>
              <a:schemeClr val="accent3"/>
            </a:solidFill>
            <a:ln>
              <a:noFill/>
            </a:ln>
            <a:effectLst/>
          </c:spPr>
          <c:invertIfNegative val="0"/>
          <c:cat>
            <c:numRef>
              <c:f>Sheet1!$B$49:$F$49</c:f>
              <c:numCache>
                <c:formatCode>General</c:formatCode>
                <c:ptCount val="5"/>
                <c:pt idx="0">
                  <c:v>2021</c:v>
                </c:pt>
                <c:pt idx="1">
                  <c:v>2022</c:v>
                </c:pt>
                <c:pt idx="2">
                  <c:v>2023</c:v>
                </c:pt>
                <c:pt idx="3">
                  <c:v>2024</c:v>
                </c:pt>
                <c:pt idx="4">
                  <c:v>2025</c:v>
                </c:pt>
              </c:numCache>
            </c:numRef>
          </c:cat>
          <c:val>
            <c:numRef>
              <c:f>Sheet1!$B$52:$F$52</c:f>
              <c:numCache>
                <c:formatCode>General</c:formatCode>
                <c:ptCount val="5"/>
                <c:pt idx="0">
                  <c:v>0.11904761904761905</c:v>
                </c:pt>
                <c:pt idx="1">
                  <c:v>0.12631578947368421</c:v>
                </c:pt>
                <c:pt idx="2">
                  <c:v>0.13521819299323909</c:v>
                </c:pt>
                <c:pt idx="3">
                  <c:v>0.14076246334310852</c:v>
                </c:pt>
                <c:pt idx="4">
                  <c:v>0.14285714285714285</c:v>
                </c:pt>
              </c:numCache>
            </c:numRef>
          </c:val>
          <c:extLst>
            <c:ext xmlns:c16="http://schemas.microsoft.com/office/drawing/2014/chart" uri="{C3380CC4-5D6E-409C-BE32-E72D297353CC}">
              <c16:uniqueId val="{00000002-5B72-4515-8BF0-6E961349119D}"/>
            </c:ext>
          </c:extLst>
        </c:ser>
        <c:dLbls>
          <c:showLegendKey val="0"/>
          <c:showVal val="0"/>
          <c:showCatName val="0"/>
          <c:showSerName val="0"/>
          <c:showPercent val="0"/>
          <c:showBubbleSize val="0"/>
        </c:dLbls>
        <c:gapWidth val="219"/>
        <c:overlap val="-27"/>
        <c:axId val="14021215"/>
        <c:axId val="14015935"/>
      </c:barChart>
      <c:catAx>
        <c:axId val="1402121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15935"/>
        <c:crosses val="autoZero"/>
        <c:auto val="1"/>
        <c:lblAlgn val="ctr"/>
        <c:lblOffset val="100"/>
        <c:noMultiLvlLbl val="0"/>
      </c:catAx>
      <c:valAx>
        <c:axId val="1401593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2121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withinLinear" id="14">
  <a:schemeClr val="accent1"/>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668A0B-429B-4961-965B-AD99BDF1109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249</TotalTime>
  <Pages>32</Pages>
  <Words>7084</Words>
  <Characters>40385</Characters>
  <Application>Microsoft Office Word</Application>
  <DocSecurity>0</DocSecurity>
  <Lines>336</Lines>
  <Paragraphs>94</Paragraphs>
  <ScaleCrop>false</ScaleCrop>
  <Company/>
  <LinksUpToDate>false</LinksUpToDate>
  <CharactersWithSpaces>47375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LP</dc:creator>
  <cp:keywords/>
  <dc:description/>
  <cp:lastModifiedBy>Shubham Rakeshkumar Patel (2531460)</cp:lastModifiedBy>
  <cp:revision>18</cp:revision>
  <dcterms:created xsi:type="dcterms:W3CDTF">2026-04-18T13:50:00Z</dcterms:created>
  <dcterms:modified xsi:type="dcterms:W3CDTF">2026-04-22T12:43:00Z</dcterms:modified>
</cp:coreProperties>
</file>