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C3F77" w14:textId="50DD0F16" w:rsidR="00350B96" w:rsidRPr="00350B96" w:rsidRDefault="00350B96" w:rsidP="00350B96">
      <w:pPr>
        <w:pStyle w:val="NormalWeb"/>
        <w:jc w:val="center"/>
        <w:rPr>
          <w:rFonts w:ascii="Arial" w:hAnsi="Arial" w:cs="Arial"/>
          <w:sz w:val="44"/>
          <w:szCs w:val="44"/>
        </w:rPr>
      </w:pPr>
      <w:r w:rsidRPr="00350B96">
        <w:rPr>
          <w:rFonts w:ascii="Arial" w:hAnsi="Arial" w:cs="Arial"/>
          <w:sz w:val="44"/>
          <w:szCs w:val="44"/>
        </w:rPr>
        <w:t>Script</w:t>
      </w:r>
    </w:p>
    <w:p w14:paraId="692FDF14" w14:textId="77777777" w:rsidR="00350B96" w:rsidRDefault="00350B96" w:rsidP="00C73FBA">
      <w:pPr>
        <w:pStyle w:val="NormalWeb"/>
        <w:rPr>
          <w:rFonts w:ascii="Arial" w:hAnsi="Arial" w:cs="Arial"/>
          <w:highlight w:val="yellow"/>
        </w:rPr>
      </w:pPr>
    </w:p>
    <w:p w14:paraId="072AC7EB" w14:textId="65BB9AD6" w:rsidR="00C73FBA" w:rsidRPr="00F0049B" w:rsidRDefault="00C73FBA" w:rsidP="00C73FBA">
      <w:pPr>
        <w:pStyle w:val="NormalWeb"/>
        <w:rPr>
          <w:rFonts w:ascii="Arial" w:hAnsi="Arial" w:cs="Arial"/>
        </w:rPr>
      </w:pPr>
      <w:r w:rsidRPr="00F21347">
        <w:rPr>
          <w:rFonts w:ascii="Arial" w:hAnsi="Arial" w:cs="Arial"/>
          <w:highlight w:val="yellow"/>
        </w:rPr>
        <w:t>United Nations (2024),</w:t>
      </w:r>
      <w:r>
        <w:rPr>
          <w:rFonts w:ascii="Arial" w:hAnsi="Arial" w:cs="Arial"/>
        </w:rPr>
        <w:t xml:space="preserve"> </w:t>
      </w:r>
      <w:r w:rsidRPr="00F21347">
        <w:rPr>
          <w:rFonts w:ascii="Arial" w:hAnsi="Arial" w:cs="Arial"/>
          <w:highlight w:val="yellow"/>
        </w:rPr>
        <w:t xml:space="preserve">Lessmann and </w:t>
      </w:r>
      <w:proofErr w:type="spellStart"/>
      <w:r w:rsidRPr="00F21347">
        <w:rPr>
          <w:rFonts w:ascii="Arial" w:hAnsi="Arial" w:cs="Arial"/>
          <w:highlight w:val="yellow"/>
        </w:rPr>
        <w:t>Rauschmayer</w:t>
      </w:r>
      <w:proofErr w:type="spellEnd"/>
      <w:r w:rsidRPr="00F21347">
        <w:rPr>
          <w:rFonts w:ascii="Arial" w:hAnsi="Arial" w:cs="Arial"/>
          <w:highlight w:val="yellow"/>
        </w:rPr>
        <w:t>, (2016</w:t>
      </w:r>
      <w:r>
        <w:rPr>
          <w:rFonts w:ascii="Arial" w:hAnsi="Arial" w:cs="Arial"/>
        </w:rPr>
        <w:t xml:space="preserve">) and </w:t>
      </w:r>
      <w:r w:rsidRPr="00F21347">
        <w:rPr>
          <w:rFonts w:ascii="Arial" w:hAnsi="Arial" w:cs="Arial"/>
          <w:highlight w:val="yellow"/>
        </w:rPr>
        <w:t>Davis, (2015),</w:t>
      </w:r>
      <w:r>
        <w:rPr>
          <w:rFonts w:ascii="Arial" w:hAnsi="Arial" w:cs="Arial"/>
        </w:rPr>
        <w:t xml:space="preserve"> tells us that </w:t>
      </w:r>
      <w:r w:rsidRPr="00F0049B">
        <w:rPr>
          <w:rFonts w:ascii="Arial" w:hAnsi="Arial" w:cs="Arial"/>
        </w:rPr>
        <w:t xml:space="preserve">Sustainability, as defined by the Brundtland Report "Our Common Future" (1987), refers to the development paradigm that meets present needs without compromising the ability of future generations to fulfil their own. </w:t>
      </w:r>
      <w:r w:rsidRPr="00F21347">
        <w:rPr>
          <w:rFonts w:ascii="Arial" w:hAnsi="Arial" w:cs="Arial"/>
          <w:highlight w:val="yellow"/>
        </w:rPr>
        <w:t>Caradonna, (2022</w:t>
      </w:r>
      <w:r>
        <w:rPr>
          <w:rFonts w:ascii="Arial" w:hAnsi="Arial" w:cs="Arial"/>
        </w:rPr>
        <w:t>), suggests that t</w:t>
      </w:r>
      <w:r w:rsidRPr="00F0049B">
        <w:rPr>
          <w:rFonts w:ascii="Arial" w:hAnsi="Arial" w:cs="Arial"/>
        </w:rPr>
        <w:t>his concept integrates three core dimensions: environmental integrity, economic viability, and social equity. Environmental sustainability emphasises the preservation and responsible management of natural resources and ecosystems. Economic sustainability seeks the long-term stability of economic systems, promoting practices that do not deplete resources or harm ecological balance</w:t>
      </w:r>
      <w:r>
        <w:rPr>
          <w:rFonts w:ascii="Arial" w:hAnsi="Arial" w:cs="Arial"/>
        </w:rPr>
        <w:t xml:space="preserve"> (</w:t>
      </w:r>
      <w:r w:rsidRPr="00F21347">
        <w:rPr>
          <w:rFonts w:ascii="Arial" w:hAnsi="Arial" w:cs="Arial"/>
          <w:highlight w:val="yellow"/>
        </w:rPr>
        <w:t>Purvis, Mao and Robinson, 2019).</w:t>
      </w:r>
      <w:r>
        <w:rPr>
          <w:rFonts w:ascii="Roboto" w:hAnsi="Roboto"/>
          <w:color w:val="2C3E50"/>
          <w:sz w:val="23"/>
          <w:szCs w:val="23"/>
          <w:shd w:val="clear" w:color="auto" w:fill="FFFFFF"/>
        </w:rPr>
        <w:t xml:space="preserve"> </w:t>
      </w:r>
      <w:r w:rsidRPr="00F0049B">
        <w:rPr>
          <w:rFonts w:ascii="Arial" w:hAnsi="Arial" w:cs="Arial"/>
        </w:rPr>
        <w:t>Social sustainability focuses on the equitable distribution of resources and opportunities, fostering inclusive societies where all individuals can thrive.</w:t>
      </w:r>
    </w:p>
    <w:p w14:paraId="0F442810" w14:textId="77777777" w:rsidR="00C73FBA" w:rsidRPr="00F0049B" w:rsidRDefault="00C73FBA" w:rsidP="00C73FBA">
      <w:pPr>
        <w:pStyle w:val="NormalWeb"/>
        <w:rPr>
          <w:rFonts w:ascii="Arial" w:hAnsi="Arial" w:cs="Arial"/>
        </w:rPr>
      </w:pPr>
      <w:r w:rsidRPr="00F0049B">
        <w:rPr>
          <w:rFonts w:ascii="Arial" w:hAnsi="Arial" w:cs="Arial"/>
        </w:rPr>
        <w:t>Academically, sustainability encompasses a multidisciplinary approach that addresses complex interactions between human activities and the natural environment. It requires an understanding of ecological principles, economic theories, and social dynamics to develop strategies that are holistic and forward-thinking</w:t>
      </w:r>
      <w:r>
        <w:rPr>
          <w:rFonts w:ascii="Arial" w:hAnsi="Arial" w:cs="Arial"/>
        </w:rPr>
        <w:t xml:space="preserve"> (</w:t>
      </w:r>
      <w:r w:rsidRPr="00F21347">
        <w:rPr>
          <w:rFonts w:ascii="Arial" w:hAnsi="Arial" w:cs="Arial"/>
          <w:highlight w:val="yellow"/>
        </w:rPr>
        <w:t xml:space="preserve">Lessmann and </w:t>
      </w:r>
      <w:proofErr w:type="spellStart"/>
      <w:r w:rsidRPr="00F21347">
        <w:rPr>
          <w:rFonts w:ascii="Arial" w:hAnsi="Arial" w:cs="Arial"/>
          <w:highlight w:val="yellow"/>
        </w:rPr>
        <w:t>Rauschmayer</w:t>
      </w:r>
      <w:proofErr w:type="spellEnd"/>
      <w:r w:rsidRPr="00F21347">
        <w:rPr>
          <w:rFonts w:ascii="Arial" w:hAnsi="Arial" w:cs="Arial"/>
          <w:highlight w:val="yellow"/>
        </w:rPr>
        <w:t>, 2016).</w:t>
      </w:r>
      <w:r w:rsidRPr="00F0049B">
        <w:rPr>
          <w:rFonts w:ascii="Arial" w:hAnsi="Arial" w:cs="Arial"/>
        </w:rPr>
        <w:t xml:space="preserve"> The principles of sustainability are operationalised through frameworks such as the Sustainable Development Goals (SDGs), which provide a global blueprint for addressing issues like climate change, poverty, and inequality.</w:t>
      </w:r>
      <w:r>
        <w:rPr>
          <w:rFonts w:ascii="Arial" w:hAnsi="Arial" w:cs="Arial"/>
        </w:rPr>
        <w:t xml:space="preserve"> However, according to the SDG’s report </w:t>
      </w:r>
      <w:r w:rsidRPr="008F20D1">
        <w:rPr>
          <w:rFonts w:ascii="Arial" w:hAnsi="Arial" w:cs="Arial"/>
        </w:rPr>
        <w:t>it finds that only 17 per cent of the SDG targets are on track, nearly half are showing minimal or moderate progress, and progress on over one third has stalled or even regressed</w:t>
      </w:r>
      <w:r>
        <w:rPr>
          <w:rFonts w:ascii="Arial" w:hAnsi="Arial" w:cs="Arial"/>
        </w:rPr>
        <w:t xml:space="preserve"> (</w:t>
      </w:r>
      <w:r w:rsidRPr="00F21347">
        <w:rPr>
          <w:rFonts w:ascii="Arial" w:hAnsi="Arial" w:cs="Arial"/>
          <w:highlight w:val="yellow"/>
        </w:rPr>
        <w:t>United Nations, 2024).</w:t>
      </w:r>
      <w:r>
        <w:rPr>
          <w:rFonts w:ascii="Arial" w:hAnsi="Arial" w:cs="Arial"/>
        </w:rPr>
        <w:t xml:space="preserve"> </w:t>
      </w:r>
    </w:p>
    <w:p w14:paraId="44C1AF4D" w14:textId="77777777" w:rsidR="00C73FBA" w:rsidRDefault="00C73FBA" w:rsidP="00C73FBA">
      <w:pPr>
        <w:pStyle w:val="NormalWeb"/>
        <w:rPr>
          <w:rFonts w:ascii="Arial" w:hAnsi="Arial" w:cs="Arial"/>
        </w:rPr>
      </w:pPr>
      <w:r w:rsidRPr="00F0049B">
        <w:rPr>
          <w:rFonts w:ascii="Arial" w:hAnsi="Arial" w:cs="Arial"/>
        </w:rPr>
        <w:t>Critical to sustainability is the concept of intergenerational equity, ensuring that the actions and policies of today do not detrimentally affect future generations</w:t>
      </w:r>
      <w:r>
        <w:rPr>
          <w:rFonts w:ascii="Arial" w:hAnsi="Arial" w:cs="Arial"/>
        </w:rPr>
        <w:t xml:space="preserve">. </w:t>
      </w:r>
      <w:proofErr w:type="spellStart"/>
      <w:r w:rsidRPr="00F21347">
        <w:rPr>
          <w:rFonts w:ascii="Arial" w:hAnsi="Arial" w:cs="Arial"/>
          <w:highlight w:val="yellow"/>
        </w:rPr>
        <w:t>Spijkers</w:t>
      </w:r>
      <w:proofErr w:type="spellEnd"/>
      <w:r w:rsidRPr="00F21347">
        <w:rPr>
          <w:rFonts w:ascii="Arial" w:hAnsi="Arial" w:cs="Arial"/>
          <w:highlight w:val="yellow"/>
        </w:rPr>
        <w:t xml:space="preserve"> (2018),</w:t>
      </w:r>
      <w:r>
        <w:rPr>
          <w:rFonts w:ascii="Arial" w:hAnsi="Arial" w:cs="Arial"/>
        </w:rPr>
        <w:t xml:space="preserve"> suggests that i</w:t>
      </w:r>
      <w:r w:rsidRPr="00F0049B">
        <w:rPr>
          <w:rFonts w:ascii="Arial" w:hAnsi="Arial" w:cs="Arial"/>
        </w:rPr>
        <w:t xml:space="preserve">t also involves systemic thinking, recognising the interconnectedness of global challenges and the need for integrated solutions that balance immediate human needs with long-term planetary health. </w:t>
      </w:r>
      <w:r w:rsidRPr="00F21347">
        <w:rPr>
          <w:rFonts w:ascii="Arial" w:hAnsi="Arial" w:cs="Arial"/>
          <w:highlight w:val="yellow"/>
        </w:rPr>
        <w:t>De et al, 2023</w:t>
      </w:r>
      <w:r>
        <w:rPr>
          <w:rFonts w:ascii="Arial" w:hAnsi="Arial" w:cs="Arial"/>
        </w:rPr>
        <w:t xml:space="preserve"> suggests</w:t>
      </w:r>
      <w:r w:rsidRPr="00F0049B">
        <w:rPr>
          <w:rFonts w:ascii="Arial" w:hAnsi="Arial" w:cs="Arial"/>
        </w:rPr>
        <w:t xml:space="preserve"> sustainability is a comprehensive and dynamic approach to fostering a resilient and equitable future.</w:t>
      </w:r>
    </w:p>
    <w:p w14:paraId="556EED5F" w14:textId="77777777" w:rsidR="00C73FBA" w:rsidRDefault="00C73FBA" w:rsidP="00C73FBA">
      <w:pPr>
        <w:pStyle w:val="NormalWeb"/>
        <w:rPr>
          <w:rFonts w:ascii="Arial" w:hAnsi="Arial" w:cs="Arial"/>
        </w:rPr>
      </w:pPr>
      <w:r w:rsidRPr="00023170">
        <w:rPr>
          <w:rFonts w:ascii="Arial" w:hAnsi="Arial" w:cs="Arial"/>
        </w:rPr>
        <w:t xml:space="preserve">The Brundtland Report, officially titled "Our Common Future," was published in 1987 by the World Commission on Environment and Development (WCED), </w:t>
      </w:r>
      <w:r w:rsidRPr="00F21347">
        <w:rPr>
          <w:rFonts w:ascii="Arial" w:hAnsi="Arial" w:cs="Arial"/>
          <w:highlight w:val="yellow"/>
        </w:rPr>
        <w:t>Harlem Brundtland 1985</w:t>
      </w:r>
      <w:r w:rsidRPr="00023170">
        <w:rPr>
          <w:rFonts w:ascii="Arial" w:hAnsi="Arial" w:cs="Arial"/>
        </w:rPr>
        <w:t xml:space="preserve"> This seminal document was pivotal in shaping the global understanding of sustainable development, which it famously defined as "development that meets the needs of the present without compromising the ability of future generations to meet their own needs." The Brundtland Report's influence extends beyond its definitions and principles, serving as a foundational framework for subsequent international efforts, including the Earth Summit and the Sustainable Development Goals (SDGs).</w:t>
      </w:r>
    </w:p>
    <w:p w14:paraId="1B952B88" w14:textId="77777777" w:rsidR="00C73FBA" w:rsidRPr="00023170" w:rsidRDefault="00C73FBA" w:rsidP="00C73FBA">
      <w:pPr>
        <w:spacing w:after="0" w:line="240" w:lineRule="auto"/>
        <w:rPr>
          <w:rFonts w:ascii="Arial" w:eastAsia="Times New Roman" w:hAnsi="Arial" w:cs="Arial"/>
          <w:kern w:val="0"/>
          <w:lang w:eastAsia="en-GB"/>
          <w14:ligatures w14:val="none"/>
        </w:rPr>
      </w:pPr>
      <w:r w:rsidRPr="00023170">
        <w:rPr>
          <w:rFonts w:ascii="Arial" w:eastAsia="Times New Roman" w:hAnsi="Arial" w:cs="Arial"/>
          <w:kern w:val="0"/>
          <w:lang w:eastAsia="en-GB"/>
          <w14:ligatures w14:val="none"/>
        </w:rPr>
        <w:t xml:space="preserve">The Brundtland Report served as a major source of inspiration for the Earth Summit, sometimes referred to as the United Nations Conference on Environment and </w:t>
      </w:r>
      <w:r w:rsidRPr="00023170">
        <w:rPr>
          <w:rFonts w:ascii="Arial" w:eastAsia="Times New Roman" w:hAnsi="Arial" w:cs="Arial"/>
          <w:kern w:val="0"/>
          <w:lang w:eastAsia="en-GB"/>
          <w14:ligatures w14:val="none"/>
        </w:rPr>
        <w:lastRenderedPageBreak/>
        <w:t>Development (UNCED), which took place in Rio de Janeiro in 1992. The report laid the foundation for the ideas discussed during the Earth Summit by highlighting the connections between social fairness, economic development, and environmental health. The conference highlighted the worldwide gravity of the challenges described in the Brundtland Report by bringing together almost 2,400 representatives of non-governmental organisations (NGOs) and 172 countries, including 108 heads of state.</w:t>
      </w:r>
      <w:r w:rsidRPr="00992F18">
        <w:rPr>
          <w:rFonts w:ascii="Roboto" w:hAnsi="Roboto"/>
          <w:color w:val="2C3E50"/>
          <w:sz w:val="23"/>
          <w:szCs w:val="23"/>
          <w:shd w:val="clear" w:color="auto" w:fill="FFFFFF"/>
        </w:rPr>
        <w:t xml:space="preserve"> </w:t>
      </w:r>
      <w:r w:rsidRPr="00992F18">
        <w:rPr>
          <w:rFonts w:ascii="Arial" w:hAnsi="Arial" w:cs="Arial"/>
          <w:sz w:val="23"/>
          <w:szCs w:val="23"/>
          <w:highlight w:val="yellow"/>
          <w:shd w:val="clear" w:color="auto" w:fill="FFFFFF"/>
        </w:rPr>
        <w:t>United Nations, 1992)</w:t>
      </w:r>
    </w:p>
    <w:p w14:paraId="44B3C7F6" w14:textId="77777777" w:rsidR="00C73FBA" w:rsidRDefault="00C73FBA" w:rsidP="00C73FBA">
      <w:pPr>
        <w:spacing w:after="0" w:line="240" w:lineRule="auto"/>
        <w:rPr>
          <w:rFonts w:ascii="Arial" w:eastAsia="Times New Roman" w:hAnsi="Arial" w:cs="Arial"/>
          <w:kern w:val="0"/>
          <w:lang w:eastAsia="en-GB"/>
          <w14:ligatures w14:val="none"/>
        </w:rPr>
      </w:pPr>
    </w:p>
    <w:p w14:paraId="400B141D" w14:textId="77777777" w:rsidR="00C73FBA" w:rsidRDefault="00C73FBA" w:rsidP="00C73FBA">
      <w:pPr>
        <w:spacing w:after="0" w:line="240" w:lineRule="auto"/>
        <w:rPr>
          <w:rFonts w:ascii="Arial" w:eastAsia="Times New Roman" w:hAnsi="Arial" w:cs="Arial"/>
          <w:kern w:val="0"/>
          <w:lang w:eastAsia="en-GB"/>
          <w14:ligatures w14:val="none"/>
        </w:rPr>
      </w:pPr>
      <w:r w:rsidRPr="00C94424">
        <w:rPr>
          <w:rFonts w:ascii="Arial" w:eastAsia="Times New Roman" w:hAnsi="Arial" w:cs="Arial"/>
          <w:kern w:val="0"/>
          <w:highlight w:val="yellow"/>
          <w:lang w:eastAsia="en-GB"/>
          <w14:ligatures w14:val="none"/>
        </w:rPr>
        <w:t>Leight et al, 2018</w:t>
      </w:r>
      <w:r>
        <w:rPr>
          <w:rFonts w:ascii="Arial" w:eastAsia="Times New Roman" w:hAnsi="Arial" w:cs="Arial"/>
          <w:kern w:val="0"/>
          <w:lang w:eastAsia="en-GB"/>
          <w14:ligatures w14:val="none"/>
        </w:rPr>
        <w:t xml:space="preserve"> states that a</w:t>
      </w:r>
      <w:r w:rsidRPr="00023170">
        <w:rPr>
          <w:rFonts w:ascii="Arial" w:eastAsia="Times New Roman" w:hAnsi="Arial" w:cs="Arial"/>
          <w:kern w:val="0"/>
          <w:lang w:eastAsia="en-GB"/>
          <w14:ligatures w14:val="none"/>
        </w:rPr>
        <w:t xml:space="preserve">genda 21 is a comprehensive plan of action that governments, major groups, and organisations of the United Nations should implement on a local, national, and international </w:t>
      </w:r>
      <w:proofErr w:type="spellStart"/>
      <w:proofErr w:type="gramStart"/>
      <w:r w:rsidRPr="00023170">
        <w:rPr>
          <w:rFonts w:ascii="Arial" w:eastAsia="Times New Roman" w:hAnsi="Arial" w:cs="Arial"/>
          <w:kern w:val="0"/>
          <w:lang w:eastAsia="en-GB"/>
          <w14:ligatures w14:val="none"/>
        </w:rPr>
        <w:t>scale</w:t>
      </w:r>
      <w:r>
        <w:rPr>
          <w:rFonts w:ascii="Arial" w:eastAsia="Times New Roman" w:hAnsi="Arial" w:cs="Arial"/>
          <w:kern w:val="0"/>
          <w:lang w:eastAsia="en-GB"/>
          <w14:ligatures w14:val="none"/>
        </w:rPr>
        <w:t>.</w:t>
      </w:r>
      <w:r w:rsidRPr="00023170">
        <w:rPr>
          <w:rFonts w:ascii="Arial" w:eastAsia="Times New Roman" w:hAnsi="Arial" w:cs="Arial"/>
          <w:kern w:val="0"/>
          <w:lang w:eastAsia="en-GB"/>
          <w14:ligatures w14:val="none"/>
        </w:rPr>
        <w:t>It</w:t>
      </w:r>
      <w:proofErr w:type="spellEnd"/>
      <w:proofErr w:type="gramEnd"/>
      <w:r w:rsidRPr="00023170">
        <w:rPr>
          <w:rFonts w:ascii="Arial" w:eastAsia="Times New Roman" w:hAnsi="Arial" w:cs="Arial"/>
          <w:kern w:val="0"/>
          <w:lang w:eastAsia="en-GB"/>
          <w14:ligatures w14:val="none"/>
        </w:rPr>
        <w:t xml:space="preserve"> was one of the main objectives of the Earth Summit. By combining environmental preservation with socioeconomic factors, Agenda 21 clearly borrowed from the Brundtland Report's emphasis on sustainable development. The Rio Declaration on Environment and Development, which was also produced during the summit, echoes the report's comprehensive approach to development with its 27 guiding principles for future sustainable development worldwide.</w:t>
      </w:r>
      <w:r>
        <w:rPr>
          <w:rFonts w:ascii="Arial" w:eastAsia="Times New Roman" w:hAnsi="Arial" w:cs="Arial"/>
          <w:kern w:val="0"/>
          <w:lang w:eastAsia="en-GB"/>
          <w14:ligatures w14:val="none"/>
        </w:rPr>
        <w:t xml:space="preserve"> However, </w:t>
      </w:r>
      <w:r w:rsidRPr="00285A6D">
        <w:rPr>
          <w:rFonts w:ascii="Arial" w:eastAsia="Times New Roman" w:hAnsi="Arial" w:cs="Arial"/>
          <w:kern w:val="0"/>
          <w:highlight w:val="yellow"/>
          <w:lang w:eastAsia="en-GB"/>
          <w14:ligatures w14:val="none"/>
        </w:rPr>
        <w:t>Dodds 2018</w:t>
      </w:r>
      <w:r>
        <w:rPr>
          <w:rFonts w:ascii="Arial" w:eastAsia="Times New Roman" w:hAnsi="Arial" w:cs="Arial"/>
          <w:kern w:val="0"/>
          <w:lang w:eastAsia="en-GB"/>
          <w14:ligatures w14:val="none"/>
        </w:rPr>
        <w:t xml:space="preserve"> explains for this to be realistic more funds are needed for this by both private investments and development assistance. </w:t>
      </w:r>
    </w:p>
    <w:p w14:paraId="040F7E05" w14:textId="77777777" w:rsidR="00C73FBA" w:rsidRPr="00023170" w:rsidRDefault="00C73FBA" w:rsidP="00C73FBA">
      <w:pPr>
        <w:spacing w:after="0" w:line="240" w:lineRule="auto"/>
        <w:rPr>
          <w:rFonts w:ascii="Arial" w:eastAsia="Times New Roman" w:hAnsi="Arial" w:cs="Arial"/>
          <w:kern w:val="0"/>
          <w:lang w:eastAsia="en-GB"/>
          <w14:ligatures w14:val="none"/>
        </w:rPr>
      </w:pPr>
    </w:p>
    <w:p w14:paraId="6162455B" w14:textId="77777777" w:rsidR="00C73FBA" w:rsidRDefault="00C73FBA" w:rsidP="00C73FBA">
      <w:pPr>
        <w:rPr>
          <w:rFonts w:ascii="Arial" w:eastAsia="Times New Roman" w:hAnsi="Arial" w:cs="Arial"/>
          <w:kern w:val="0"/>
          <w:lang w:eastAsia="en-GB"/>
          <w14:ligatures w14:val="none"/>
        </w:rPr>
      </w:pPr>
      <w:r>
        <w:rPr>
          <w:rFonts w:ascii="Arial" w:hAnsi="Arial" w:cs="Arial"/>
        </w:rPr>
        <w:t xml:space="preserve">Furthermore, </w:t>
      </w:r>
      <w:proofErr w:type="gramStart"/>
      <w:r w:rsidRPr="000A677A">
        <w:rPr>
          <w:rFonts w:ascii="Arial" w:eastAsia="Times New Roman" w:hAnsi="Arial" w:cs="Arial"/>
          <w:kern w:val="0"/>
          <w:lang w:eastAsia="en-GB"/>
          <w14:ligatures w14:val="none"/>
        </w:rPr>
        <w:t>Another</w:t>
      </w:r>
      <w:proofErr w:type="gramEnd"/>
      <w:r w:rsidRPr="000A677A">
        <w:rPr>
          <w:rFonts w:ascii="Arial" w:eastAsia="Times New Roman" w:hAnsi="Arial" w:cs="Arial"/>
          <w:kern w:val="0"/>
          <w:lang w:eastAsia="en-GB"/>
          <w14:ligatures w14:val="none"/>
        </w:rPr>
        <w:t xml:space="preserve"> direct result of the Brundtland Report is the Sustainable Development Goals (SDGs), which were endorsed in 2015 as a component of the UN 2030 Agenda for Sustainable Development.</w:t>
      </w:r>
      <w:r w:rsidRPr="00C56B41">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t>
      </w:r>
      <w:r w:rsidRPr="00C56B41">
        <w:rPr>
          <w:rFonts w:ascii="Arial" w:hAnsi="Arial" w:cs="Arial"/>
          <w:highlight w:val="yellow"/>
          <w:shd w:val="clear" w:color="auto" w:fill="FFFFFF"/>
        </w:rPr>
        <w:t>Concern Worldwide, 2021)</w:t>
      </w:r>
      <w:r w:rsidRPr="00C56B41">
        <w:rPr>
          <w:rFonts w:ascii="Arial" w:eastAsia="Times New Roman" w:hAnsi="Arial" w:cs="Arial"/>
          <w:kern w:val="0"/>
          <w:lang w:eastAsia="en-GB"/>
          <w14:ligatures w14:val="none"/>
        </w:rPr>
        <w:t xml:space="preserve"> </w:t>
      </w:r>
      <w:r w:rsidRPr="000A677A">
        <w:rPr>
          <w:rFonts w:ascii="Arial" w:eastAsia="Times New Roman" w:hAnsi="Arial" w:cs="Arial"/>
          <w:kern w:val="0"/>
          <w:lang w:eastAsia="en-GB"/>
          <w14:ligatures w14:val="none"/>
        </w:rPr>
        <w:t>The 17 goals and 169 targets that make up the Sustainable Development Goals (SDGs) are intended to tackle a wide range of global issues, such as poverty, inequality, climate change, environmental degradation, peace, and justice</w:t>
      </w:r>
      <w:r w:rsidRPr="00681016">
        <w:rPr>
          <w:rFonts w:ascii="Roboto" w:hAnsi="Roboto"/>
          <w:color w:val="2C3E50"/>
          <w:sz w:val="23"/>
          <w:szCs w:val="23"/>
          <w:shd w:val="clear" w:color="auto" w:fill="FFFFFF"/>
        </w:rPr>
        <w:t xml:space="preserve"> </w:t>
      </w:r>
      <w:r w:rsidRPr="00681016">
        <w:rPr>
          <w:rFonts w:ascii="Arial" w:hAnsi="Arial" w:cs="Arial"/>
          <w:highlight w:val="yellow"/>
          <w:shd w:val="clear" w:color="auto" w:fill="FFFFFF"/>
        </w:rPr>
        <w:t>(</w:t>
      </w:r>
      <w:proofErr w:type="spellStart"/>
      <w:r w:rsidRPr="00681016">
        <w:rPr>
          <w:rFonts w:ascii="Arial" w:hAnsi="Arial" w:cs="Arial"/>
          <w:highlight w:val="yellow"/>
          <w:shd w:val="clear" w:color="auto" w:fill="FFFFFF"/>
        </w:rPr>
        <w:t>Hák</w:t>
      </w:r>
      <w:proofErr w:type="spellEnd"/>
      <w:r w:rsidRPr="00681016">
        <w:rPr>
          <w:rFonts w:ascii="Arial" w:hAnsi="Arial" w:cs="Arial"/>
          <w:highlight w:val="yellow"/>
          <w:shd w:val="clear" w:color="auto" w:fill="FFFFFF"/>
        </w:rPr>
        <w:t>, Janoušková and Moldan, 2016)</w:t>
      </w:r>
      <w:r w:rsidRPr="00681016">
        <w:rPr>
          <w:rFonts w:ascii="Arial" w:eastAsia="Times New Roman" w:hAnsi="Arial" w:cs="Arial"/>
          <w:kern w:val="0"/>
          <w:lang w:eastAsia="en-GB"/>
          <w14:ligatures w14:val="none"/>
        </w:rPr>
        <w:t xml:space="preserve"> </w:t>
      </w:r>
      <w:r w:rsidRPr="000A677A">
        <w:rPr>
          <w:rFonts w:ascii="Arial" w:eastAsia="Times New Roman" w:hAnsi="Arial" w:cs="Arial"/>
          <w:kern w:val="0"/>
          <w:lang w:eastAsia="en-GB"/>
          <w14:ligatures w14:val="none"/>
        </w:rPr>
        <w:t>The Sustainable Development Goals (SDGs) emphasise the integration of economic, social, and environmental components of development, which is a clear reflection of the holistic and inclusive approach promoted by the Brundtland Report.</w:t>
      </w:r>
    </w:p>
    <w:p w14:paraId="120B8F19" w14:textId="77777777" w:rsidR="00C73FBA" w:rsidRPr="000A677A" w:rsidRDefault="00C73FBA" w:rsidP="00C73FBA">
      <w:pPr>
        <w:rPr>
          <w:rFonts w:ascii="Arial" w:eastAsia="Times New Roman" w:hAnsi="Arial" w:cs="Arial"/>
          <w:kern w:val="0"/>
          <w:lang w:eastAsia="en-GB"/>
          <w14:ligatures w14:val="none"/>
        </w:rPr>
      </w:pPr>
    </w:p>
    <w:p w14:paraId="607D8028" w14:textId="77777777" w:rsidR="00C73FBA" w:rsidRDefault="00C73FBA" w:rsidP="00C73FBA">
      <w:pPr>
        <w:rPr>
          <w:rFonts w:ascii="Arial" w:eastAsia="Times New Roman" w:hAnsi="Arial" w:cs="Arial"/>
          <w:kern w:val="0"/>
          <w:lang w:eastAsia="en-GB"/>
          <w14:ligatures w14:val="none"/>
        </w:rPr>
      </w:pPr>
      <w:r w:rsidRPr="000A677A">
        <w:rPr>
          <w:rFonts w:ascii="Arial" w:eastAsia="Times New Roman" w:hAnsi="Arial" w:cs="Arial"/>
          <w:kern w:val="0"/>
          <w:lang w:eastAsia="en-GB"/>
          <w14:ligatures w14:val="none"/>
        </w:rPr>
        <w:t>Additionally,</w:t>
      </w:r>
      <w:r>
        <w:rPr>
          <w:rFonts w:ascii="Arial" w:eastAsia="Times New Roman" w:hAnsi="Arial" w:cs="Arial"/>
          <w:kern w:val="0"/>
          <w:lang w:eastAsia="en-GB"/>
          <w14:ligatures w14:val="none"/>
        </w:rPr>
        <w:t xml:space="preserve"> </w:t>
      </w:r>
      <w:r w:rsidRPr="00C56B41">
        <w:rPr>
          <w:rFonts w:ascii="Arial" w:eastAsia="Times New Roman" w:hAnsi="Arial" w:cs="Arial"/>
          <w:kern w:val="0"/>
          <w:highlight w:val="yellow"/>
          <w:lang w:eastAsia="en-GB"/>
          <w14:ligatures w14:val="none"/>
        </w:rPr>
        <w:t>Consulting, ND</w:t>
      </w:r>
      <w:r>
        <w:rPr>
          <w:rFonts w:ascii="Arial" w:eastAsia="Times New Roman" w:hAnsi="Arial" w:cs="Arial"/>
          <w:kern w:val="0"/>
          <w:lang w:eastAsia="en-GB"/>
          <w14:ligatures w14:val="none"/>
        </w:rPr>
        <w:t xml:space="preserve"> suggests</w:t>
      </w:r>
      <w:r w:rsidRPr="000A677A">
        <w:rPr>
          <w:rFonts w:ascii="Arial" w:eastAsia="Times New Roman" w:hAnsi="Arial" w:cs="Arial"/>
          <w:kern w:val="0"/>
          <w:lang w:eastAsia="en-GB"/>
          <w14:ligatures w14:val="none"/>
        </w:rPr>
        <w:t xml:space="preserve"> the goal of education for sustainable development (ESD) is to provide children with the knowledge, abilities, attitudes, and values needed to create a sustainable future. It incorporates a comprehensive approach to education that integrates problem-solving, critical thinking, and interactive teaching techniques to provide a thorough grasp of the difficulties and solutions associated with sustainable development. In order to encourage children to think about the long-term effects of their actions, ESD emphasises the interconnection of the environmental, economic, and social elements of sustainability.</w:t>
      </w:r>
    </w:p>
    <w:p w14:paraId="49AA62B6" w14:textId="77777777" w:rsidR="00C73FBA" w:rsidRDefault="00C73FBA" w:rsidP="00C73FBA">
      <w:pPr>
        <w:rPr>
          <w:rFonts w:ascii="Arial" w:eastAsia="Times New Roman" w:hAnsi="Arial" w:cs="Arial"/>
          <w:kern w:val="0"/>
          <w:lang w:eastAsia="en-GB"/>
          <w14:ligatures w14:val="none"/>
        </w:rPr>
      </w:pPr>
      <w:r w:rsidRPr="004D72E4">
        <w:rPr>
          <w:rFonts w:ascii="Arial" w:hAnsi="Arial" w:cs="Arial"/>
        </w:rPr>
        <w:t xml:space="preserve"> According to </w:t>
      </w:r>
      <w:r w:rsidRPr="00C56B41">
        <w:rPr>
          <w:rFonts w:ascii="Arial" w:hAnsi="Arial" w:cs="Arial"/>
          <w:highlight w:val="yellow"/>
        </w:rPr>
        <w:t>Welsh. Gov (20</w:t>
      </w:r>
      <w:r>
        <w:rPr>
          <w:rFonts w:ascii="Arial" w:hAnsi="Arial" w:cs="Arial"/>
          <w:highlight w:val="yellow"/>
        </w:rPr>
        <w:t>19</w:t>
      </w:r>
      <w:r w:rsidRPr="00C56B41">
        <w:rPr>
          <w:rFonts w:ascii="Arial" w:hAnsi="Arial" w:cs="Arial"/>
          <w:highlight w:val="yellow"/>
        </w:rPr>
        <w:t>),</w:t>
      </w:r>
      <w:r w:rsidRPr="004D72E4">
        <w:rPr>
          <w:rFonts w:ascii="Arial" w:hAnsi="Arial" w:cs="Arial"/>
        </w:rPr>
        <w:t xml:space="preserve"> the new Welsh Government curriculum, implemented, represents a significant shift towards a more holistic and integrated approach to education.</w:t>
      </w:r>
      <w:r>
        <w:rPr>
          <w:rFonts w:ascii="Arial" w:hAnsi="Arial" w:cs="Arial"/>
        </w:rPr>
        <w:t xml:space="preserve"> </w:t>
      </w:r>
      <w:r w:rsidRPr="005E7210">
        <w:rPr>
          <w:rFonts w:ascii="Arial" w:hAnsi="Arial" w:cs="Arial"/>
          <w:highlight w:val="yellow"/>
        </w:rPr>
        <w:t>Jones, (2022</w:t>
      </w:r>
      <w:r>
        <w:rPr>
          <w:rFonts w:ascii="Arial" w:hAnsi="Arial" w:cs="Arial"/>
        </w:rPr>
        <w:t>) states</w:t>
      </w:r>
      <w:r w:rsidRPr="004D72E4">
        <w:rPr>
          <w:rFonts w:ascii="Arial" w:hAnsi="Arial" w:cs="Arial"/>
        </w:rPr>
        <w:t xml:space="preserve"> </w:t>
      </w:r>
      <w:r>
        <w:rPr>
          <w:rFonts w:ascii="Arial" w:hAnsi="Arial" w:cs="Arial"/>
        </w:rPr>
        <w:t>that i</w:t>
      </w:r>
      <w:r w:rsidRPr="004D72E4">
        <w:rPr>
          <w:rFonts w:ascii="Arial" w:hAnsi="Arial" w:cs="Arial"/>
        </w:rPr>
        <w:t xml:space="preserve">t is designed around four key purposes. </w:t>
      </w:r>
      <w:r w:rsidRPr="004D72E4">
        <w:rPr>
          <w:rFonts w:ascii="Arial" w:eastAsia="Times New Roman" w:hAnsi="Arial" w:cs="Arial"/>
          <w:kern w:val="0"/>
          <w:lang w:eastAsia="en-GB"/>
          <w14:ligatures w14:val="none"/>
        </w:rPr>
        <w:t xml:space="preserve">The new Welsh curriculum clearly incorporates ESD in a number of areas. The curriculum is organised into six areas of learning also </w:t>
      </w:r>
      <w:proofErr w:type="spellStart"/>
      <w:r w:rsidRPr="004D72E4">
        <w:rPr>
          <w:rFonts w:ascii="Arial" w:eastAsia="Times New Roman" w:hAnsi="Arial" w:cs="Arial"/>
          <w:kern w:val="0"/>
          <w:lang w:eastAsia="en-GB"/>
          <w14:ligatures w14:val="none"/>
        </w:rPr>
        <w:t>know</w:t>
      </w:r>
      <w:proofErr w:type="spellEnd"/>
      <w:r w:rsidRPr="004D72E4">
        <w:rPr>
          <w:rFonts w:ascii="Arial" w:eastAsia="Times New Roman" w:hAnsi="Arial" w:cs="Arial"/>
          <w:kern w:val="0"/>
          <w:lang w:eastAsia="en-GB"/>
          <w14:ligatures w14:val="none"/>
        </w:rPr>
        <w:t xml:space="preserve"> as </w:t>
      </w:r>
      <w:proofErr w:type="spellStart"/>
      <w:r w:rsidRPr="004D72E4">
        <w:rPr>
          <w:rFonts w:ascii="Arial" w:eastAsia="Times New Roman" w:hAnsi="Arial" w:cs="Arial"/>
          <w:kern w:val="0"/>
          <w:lang w:eastAsia="en-GB"/>
          <w14:ligatures w14:val="none"/>
        </w:rPr>
        <w:t>AoLEs</w:t>
      </w:r>
      <w:proofErr w:type="spellEnd"/>
      <w:r w:rsidRPr="004D72E4">
        <w:rPr>
          <w:rFonts w:ascii="Arial" w:eastAsia="Times New Roman" w:hAnsi="Arial" w:cs="Arial"/>
          <w:kern w:val="0"/>
          <w:lang w:eastAsia="en-GB"/>
          <w14:ligatures w14:val="none"/>
        </w:rPr>
        <w:t xml:space="preserve">. These </w:t>
      </w:r>
      <w:proofErr w:type="spellStart"/>
      <w:r w:rsidRPr="004D72E4">
        <w:rPr>
          <w:rFonts w:ascii="Arial" w:eastAsia="Times New Roman" w:hAnsi="Arial" w:cs="Arial"/>
          <w:kern w:val="0"/>
          <w:lang w:eastAsia="en-GB"/>
          <w14:ligatures w14:val="none"/>
        </w:rPr>
        <w:lastRenderedPageBreak/>
        <w:t>AoLEs</w:t>
      </w:r>
      <w:proofErr w:type="spellEnd"/>
      <w:r w:rsidRPr="004D72E4">
        <w:rPr>
          <w:rFonts w:ascii="Arial" w:eastAsia="Times New Roman" w:hAnsi="Arial" w:cs="Arial"/>
          <w:kern w:val="0"/>
          <w:lang w:eastAsia="en-GB"/>
          <w14:ligatures w14:val="none"/>
        </w:rPr>
        <w:t xml:space="preserve"> have incorporated sustainability themes, which guarantee children will meet sustainability ideas in a range of circumstances</w:t>
      </w:r>
      <w:r>
        <w:rPr>
          <w:rFonts w:ascii="Arial" w:eastAsia="Times New Roman" w:hAnsi="Arial" w:cs="Arial"/>
          <w:kern w:val="0"/>
          <w:lang w:eastAsia="en-GB"/>
          <w14:ligatures w14:val="none"/>
        </w:rPr>
        <w:t>.</w:t>
      </w:r>
      <w:r w:rsidRPr="004D72E4">
        <w:rPr>
          <w:rFonts w:ascii="Arial" w:eastAsia="Times New Roman" w:hAnsi="Arial" w:cs="Arial"/>
          <w:kern w:val="0"/>
          <w:lang w:eastAsia="en-GB"/>
          <w14:ligatures w14:val="none"/>
        </w:rPr>
        <w:t xml:space="preserve"> The curriculum's main goal is to produce ethical and knowledgeable individuals who appreciate and comprehend the diverse world they live in.</w:t>
      </w:r>
      <w:r w:rsidRPr="005E7210">
        <w:rPr>
          <w:rFonts w:ascii="Roboto" w:hAnsi="Roboto"/>
          <w:color w:val="2C3E50"/>
          <w:sz w:val="23"/>
          <w:szCs w:val="23"/>
          <w:shd w:val="clear" w:color="auto" w:fill="FFFFFF"/>
        </w:rPr>
        <w:t xml:space="preserve"> </w:t>
      </w:r>
      <w:proofErr w:type="spellStart"/>
      <w:r w:rsidRPr="005E7210">
        <w:rPr>
          <w:rFonts w:ascii="Arial" w:hAnsi="Arial" w:cs="Arial"/>
          <w:highlight w:val="yellow"/>
          <w:shd w:val="clear" w:color="auto" w:fill="FFFFFF"/>
        </w:rPr>
        <w:t>bera</w:t>
      </w:r>
      <w:proofErr w:type="spellEnd"/>
      <w:r w:rsidRPr="005E7210">
        <w:rPr>
          <w:rFonts w:ascii="Arial" w:hAnsi="Arial" w:cs="Arial"/>
          <w:highlight w:val="yellow"/>
          <w:shd w:val="clear" w:color="auto" w:fill="FFFFFF"/>
        </w:rPr>
        <w:t>. n.d</w:t>
      </w:r>
      <w:r>
        <w:rPr>
          <w:rFonts w:ascii="Roboto" w:hAnsi="Roboto"/>
          <w:color w:val="2C3E50"/>
          <w:sz w:val="23"/>
          <w:szCs w:val="23"/>
          <w:shd w:val="clear" w:color="auto" w:fill="FFFFFF"/>
        </w:rPr>
        <w:t>.</w:t>
      </w:r>
      <w:r w:rsidRPr="004D72E4">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suggests that t</w:t>
      </w:r>
      <w:r w:rsidRPr="004D72E4">
        <w:rPr>
          <w:rFonts w:ascii="Arial" w:eastAsia="Times New Roman" w:hAnsi="Arial" w:cs="Arial"/>
          <w:kern w:val="0"/>
          <w:lang w:eastAsia="en-GB"/>
          <w14:ligatures w14:val="none"/>
        </w:rPr>
        <w:t>his involves putting a lot of focus on sustainable development and global citizenship, encouraging children to think about their own role and responsibilities in advancing sustainability on a local and global scale.</w:t>
      </w:r>
      <w:r>
        <w:rPr>
          <w:rFonts w:ascii="Arial" w:eastAsia="Times New Roman" w:hAnsi="Arial" w:cs="Arial"/>
          <w:kern w:val="0"/>
          <w:lang w:eastAsia="en-GB"/>
          <w14:ligatures w14:val="none"/>
        </w:rPr>
        <w:t xml:space="preserve"> As well as this as a key focus the other areas of learning also provide opportunities for sustainable development. </w:t>
      </w:r>
    </w:p>
    <w:p w14:paraId="2899B457" w14:textId="77777777" w:rsidR="00C73FBA" w:rsidRDefault="00C73FBA" w:rsidP="00C73FBA">
      <w:pPr>
        <w:pStyle w:val="NormalWeb"/>
        <w:rPr>
          <w:rFonts w:ascii="Arial" w:hAnsi="Arial" w:cs="Arial"/>
        </w:rPr>
      </w:pPr>
      <w:r w:rsidRPr="00FC6B8B">
        <w:rPr>
          <w:rFonts w:ascii="Arial" w:hAnsi="Arial" w:cs="Arial"/>
        </w:rPr>
        <w:t>Schools in Wales are urged to implement whole-school approaches to sustainability in order to successfully integrate ESD.</w:t>
      </w:r>
      <w:r w:rsidRPr="005E7210">
        <w:rPr>
          <w:rFonts w:ascii="Arial" w:hAnsi="Arial" w:cs="Arial"/>
        </w:rPr>
        <w:t xml:space="preserve"> </w:t>
      </w:r>
      <w:r>
        <w:rPr>
          <w:rFonts w:ascii="Arial" w:hAnsi="Arial" w:cs="Arial"/>
        </w:rPr>
        <w:t xml:space="preserve">Many schools take part in being and </w:t>
      </w:r>
      <w:proofErr w:type="gramStart"/>
      <w:r>
        <w:rPr>
          <w:rFonts w:ascii="Arial" w:hAnsi="Arial" w:cs="Arial"/>
        </w:rPr>
        <w:t>Eco friendly</w:t>
      </w:r>
      <w:proofErr w:type="gramEnd"/>
      <w:r>
        <w:rPr>
          <w:rFonts w:ascii="Arial" w:hAnsi="Arial" w:cs="Arial"/>
        </w:rPr>
        <w:t xml:space="preserve"> school. </w:t>
      </w:r>
      <w:r w:rsidRPr="005E7210">
        <w:rPr>
          <w:rFonts w:ascii="Arial" w:hAnsi="Arial" w:cs="Arial"/>
          <w:highlight w:val="yellow"/>
        </w:rPr>
        <w:t>ECO schools ND</w:t>
      </w:r>
      <w:r>
        <w:rPr>
          <w:rFonts w:ascii="Arial" w:hAnsi="Arial" w:cs="Arial"/>
        </w:rPr>
        <w:t xml:space="preserve"> tells us that t</w:t>
      </w:r>
      <w:r w:rsidRPr="00FC6B8B">
        <w:rPr>
          <w:rFonts w:ascii="Arial" w:hAnsi="Arial" w:cs="Arial"/>
        </w:rPr>
        <w:t xml:space="preserve">his entails applying sustainable ideas to community participation, teaching and learning, and school administration procedures. </w:t>
      </w:r>
      <w:r w:rsidRPr="00FC6B8B">
        <w:rPr>
          <w:rFonts w:ascii="Arial" w:hAnsi="Arial" w:cs="Arial"/>
        </w:rPr>
        <w:br/>
      </w:r>
      <w:r w:rsidRPr="007424D2">
        <w:rPr>
          <w:rFonts w:ascii="Arial" w:hAnsi="Arial" w:cs="Arial"/>
        </w:rPr>
        <w:t xml:space="preserve">While the integration of ESD into the Welsh curriculum presents significant opportunities, it also poses challenges. One challenge is ensuring consistency and depth in how sustainability is taught across different schools and </w:t>
      </w:r>
      <w:proofErr w:type="spellStart"/>
      <w:r w:rsidRPr="007424D2">
        <w:rPr>
          <w:rFonts w:ascii="Arial" w:hAnsi="Arial" w:cs="Arial"/>
        </w:rPr>
        <w:t>AoLEs</w:t>
      </w:r>
      <w:proofErr w:type="spellEnd"/>
      <w:r w:rsidRPr="007424D2">
        <w:rPr>
          <w:rFonts w:ascii="Arial" w:hAnsi="Arial" w:cs="Arial"/>
        </w:rPr>
        <w:t xml:space="preserve">. </w:t>
      </w:r>
      <w:r w:rsidRPr="007424D2">
        <w:rPr>
          <w:rFonts w:ascii="Arial" w:hAnsi="Arial" w:cs="Arial"/>
          <w:color w:val="1F1F1F"/>
        </w:rPr>
        <w:t>unfortunately</w:t>
      </w:r>
      <w:r w:rsidRPr="007424D2">
        <w:rPr>
          <w:rFonts w:ascii="Arial" w:hAnsi="Arial" w:cs="Arial"/>
          <w:color w:val="2C3E50"/>
          <w:sz w:val="23"/>
          <w:szCs w:val="23"/>
          <w:shd w:val="clear" w:color="auto" w:fill="FFFFFF"/>
        </w:rPr>
        <w:t xml:space="preserve"> </w:t>
      </w:r>
      <w:r w:rsidRPr="007424D2">
        <w:rPr>
          <w:rFonts w:ascii="Arial" w:hAnsi="Arial" w:cs="Arial"/>
          <w:color w:val="2C3E50"/>
          <w:sz w:val="23"/>
          <w:szCs w:val="23"/>
          <w:highlight w:val="yellow"/>
          <w:shd w:val="clear" w:color="auto" w:fill="FFFFFF"/>
        </w:rPr>
        <w:t>(</w:t>
      </w:r>
      <w:proofErr w:type="spellStart"/>
      <w:r w:rsidRPr="007424D2">
        <w:rPr>
          <w:rFonts w:ascii="Arial" w:hAnsi="Arial" w:cs="Arial"/>
          <w:color w:val="2C3E50"/>
          <w:sz w:val="23"/>
          <w:szCs w:val="23"/>
          <w:highlight w:val="yellow"/>
          <w:shd w:val="clear" w:color="auto" w:fill="FFFFFF"/>
        </w:rPr>
        <w:t>Nousheen</w:t>
      </w:r>
      <w:proofErr w:type="spellEnd"/>
      <w:r w:rsidRPr="007424D2">
        <w:rPr>
          <w:rFonts w:ascii="Arial" w:hAnsi="Arial" w:cs="Arial"/>
          <w:color w:val="2C3E50"/>
          <w:sz w:val="23"/>
          <w:szCs w:val="23"/>
          <w:highlight w:val="yellow"/>
          <w:shd w:val="clear" w:color="auto" w:fill="FFFFFF"/>
        </w:rPr>
        <w:t xml:space="preserve"> et al., 2020)</w:t>
      </w:r>
      <w:r w:rsidRPr="007424D2">
        <w:rPr>
          <w:rFonts w:ascii="Arial" w:hAnsi="Arial" w:cs="Arial"/>
          <w:color w:val="1F1F1F"/>
          <w:highlight w:val="yellow"/>
        </w:rPr>
        <w:t>,</w:t>
      </w:r>
      <w:r w:rsidRPr="007424D2">
        <w:rPr>
          <w:rFonts w:ascii="Arial" w:hAnsi="Arial" w:cs="Arial"/>
          <w:color w:val="1F1F1F"/>
        </w:rPr>
        <w:t xml:space="preserve"> states that most of the teachers are not well-versed and knowledgeable of sustainability</w:t>
      </w:r>
      <w:r>
        <w:rPr>
          <w:rFonts w:ascii="Arial" w:hAnsi="Arial" w:cs="Arial"/>
          <w:color w:val="1F1F1F"/>
        </w:rPr>
        <w:t xml:space="preserve">. </w:t>
      </w:r>
    </w:p>
    <w:p w14:paraId="2BA82760" w14:textId="77777777" w:rsidR="00C73FBA" w:rsidRPr="00CB6DE8" w:rsidRDefault="00C73FBA" w:rsidP="00C73FBA">
      <w:pPr>
        <w:pStyle w:val="NormalWeb"/>
        <w:rPr>
          <w:rFonts w:ascii="Arial" w:hAnsi="Arial" w:cs="Arial"/>
        </w:rPr>
      </w:pPr>
      <w:r w:rsidRPr="00CB6DE8">
        <w:rPr>
          <w:rFonts w:ascii="Arial" w:hAnsi="Arial" w:cs="Arial"/>
        </w:rPr>
        <w:t xml:space="preserve"> Another is the need for ongoing professional development to equip educators with the necessary skills and knowledge.</w:t>
      </w:r>
      <w:r>
        <w:rPr>
          <w:rFonts w:ascii="Arial" w:hAnsi="Arial" w:cs="Arial"/>
        </w:rPr>
        <w:t xml:space="preserve"> Tinney and Hirst (2015) states though that in order for newly qualified teachers to gain their status they must show an understanding of the national guidance on promoting the ESDGC.</w:t>
      </w:r>
    </w:p>
    <w:p w14:paraId="6CFB696F" w14:textId="77777777" w:rsidR="00C73FBA" w:rsidRDefault="00C73FBA" w:rsidP="00C73FBA">
      <w:pPr>
        <w:pStyle w:val="NormalWeb"/>
        <w:rPr>
          <w:rFonts w:ascii="Arial" w:hAnsi="Arial" w:cs="Arial"/>
        </w:rPr>
      </w:pPr>
      <w:r w:rsidRPr="00CB6DE8">
        <w:rPr>
          <w:rFonts w:ascii="Arial" w:hAnsi="Arial" w:cs="Arial"/>
        </w:rPr>
        <w:t xml:space="preserve">However, the new curriculum also offers unique opportunities. By embedding ESD into the core of educational practice, Wales can foster a generation of learners who are not only aware of sustainability issues but also capable of driving positive change. This aligns with </w:t>
      </w:r>
      <w:proofErr w:type="spellStart"/>
      <w:r w:rsidRPr="00CB6DE8">
        <w:rPr>
          <w:rFonts w:ascii="Arial" w:hAnsi="Arial" w:cs="Arial"/>
        </w:rPr>
        <w:t>Wales'</w:t>
      </w:r>
      <w:proofErr w:type="spellEnd"/>
      <w:r w:rsidRPr="00CB6DE8">
        <w:rPr>
          <w:rFonts w:ascii="Arial" w:hAnsi="Arial" w:cs="Arial"/>
        </w:rPr>
        <w:t xml:space="preserve"> broader commitment to sustainable development, as reflected in the </w:t>
      </w:r>
      <w:r w:rsidRPr="007424D2">
        <w:rPr>
          <w:rFonts w:ascii="Arial" w:hAnsi="Arial" w:cs="Arial"/>
          <w:highlight w:val="yellow"/>
        </w:rPr>
        <w:t>Well-being of Future Generations (Wales) Act 2015</w:t>
      </w:r>
      <w:r w:rsidRPr="00CB6DE8">
        <w:rPr>
          <w:rFonts w:ascii="Arial" w:hAnsi="Arial" w:cs="Arial"/>
        </w:rPr>
        <w:t>, which aims to improve the social, economic, environmental, and cultural well-being of Wales.</w:t>
      </w:r>
      <w:r>
        <w:rPr>
          <w:rFonts w:ascii="Arial" w:hAnsi="Arial" w:cs="Arial"/>
        </w:rPr>
        <w:t xml:space="preserve"> </w:t>
      </w:r>
    </w:p>
    <w:p w14:paraId="0408C62F" w14:textId="77777777" w:rsidR="00C73FBA" w:rsidRPr="00D81801" w:rsidRDefault="00C73FBA" w:rsidP="00C73FBA">
      <w:pPr>
        <w:rPr>
          <w:rFonts w:ascii="Arial" w:eastAsia="Times New Roman" w:hAnsi="Arial" w:cs="Arial"/>
          <w:kern w:val="0"/>
          <w:lang w:eastAsia="en-GB"/>
          <w14:ligatures w14:val="none"/>
        </w:rPr>
      </w:pPr>
      <w:r w:rsidRPr="00D81801">
        <w:rPr>
          <w:rFonts w:ascii="Arial" w:hAnsi="Arial" w:cs="Arial"/>
        </w:rPr>
        <w:t xml:space="preserve">As looked at when doing the John Muir award, growing fruits and vegetables support themes and aspirations of ESD. Growing fruit and vegetables give the opportunity for practical learning. </w:t>
      </w:r>
      <w:r w:rsidRPr="00D81801">
        <w:rPr>
          <w:rFonts w:ascii="Arial" w:eastAsia="Times New Roman" w:hAnsi="Arial" w:cs="Arial"/>
          <w:kern w:val="0"/>
          <w:lang w:eastAsia="en-GB"/>
          <w14:ligatures w14:val="none"/>
        </w:rPr>
        <w:t>An integral part of ESD is practical learning, which involves giving children practical experiences to supplement their academic education</w:t>
      </w:r>
      <w:r w:rsidRPr="00D81801">
        <w:rPr>
          <w:rFonts w:ascii="Arial" w:hAnsi="Arial" w:cs="Arial"/>
          <w:shd w:val="clear" w:color="auto" w:fill="FFFFFF"/>
        </w:rPr>
        <w:t> </w:t>
      </w:r>
      <w:r w:rsidRPr="00D81801">
        <w:rPr>
          <w:rFonts w:ascii="Arial" w:hAnsi="Arial" w:cs="Arial"/>
          <w:highlight w:val="yellow"/>
          <w:shd w:val="clear" w:color="auto" w:fill="FFFFFF"/>
        </w:rPr>
        <w:t>(Hart, 2018</w:t>
      </w:r>
      <w:r w:rsidRPr="00D81801">
        <w:rPr>
          <w:rFonts w:ascii="Arial" w:hAnsi="Arial" w:cs="Arial"/>
          <w:shd w:val="clear" w:color="auto" w:fill="FFFFFF"/>
        </w:rPr>
        <w:t>)</w:t>
      </w:r>
      <w:r w:rsidRPr="00D81801">
        <w:rPr>
          <w:rFonts w:ascii="Arial" w:eastAsia="Times New Roman" w:hAnsi="Arial" w:cs="Arial"/>
          <w:kern w:val="0"/>
          <w:lang w:eastAsia="en-GB"/>
          <w14:ligatures w14:val="none"/>
        </w:rPr>
        <w:t>. Growing vegetables and fruits is a powerful medium for this</w:t>
      </w:r>
      <w:r w:rsidRPr="00D81801">
        <w:rPr>
          <w:rFonts w:ascii="Arial" w:eastAsia="Times New Roman" w:hAnsi="Arial" w:cs="Arial"/>
          <w:kern w:val="0"/>
          <w:highlight w:val="yellow"/>
          <w:lang w:eastAsia="en-GB"/>
          <w14:ligatures w14:val="none"/>
        </w:rPr>
        <w:t xml:space="preserve">. </w:t>
      </w:r>
      <w:r w:rsidRPr="00D81801">
        <w:rPr>
          <w:rFonts w:ascii="Arial" w:hAnsi="Arial" w:cs="Arial"/>
          <w:highlight w:val="yellow"/>
          <w:shd w:val="clear" w:color="auto" w:fill="FFFFFF"/>
        </w:rPr>
        <w:t>(Moore, 1995)</w:t>
      </w:r>
      <w:r w:rsidRPr="00D81801">
        <w:rPr>
          <w:rFonts w:ascii="Arial" w:hAnsi="Arial" w:cs="Arial"/>
          <w:shd w:val="clear" w:color="auto" w:fill="FFFFFF"/>
        </w:rPr>
        <w:t xml:space="preserve"> tells us that </w:t>
      </w:r>
      <w:r w:rsidRPr="00D81801">
        <w:rPr>
          <w:rFonts w:ascii="Arial" w:eastAsia="Times New Roman" w:hAnsi="Arial" w:cs="Arial"/>
          <w:kern w:val="0"/>
          <w:lang w:eastAsia="en-GB"/>
          <w14:ligatures w14:val="none"/>
        </w:rPr>
        <w:t>it enables children to comprehend agricultural methods, ecological dynamics, and biological processes. Children may see directly how plants grow, how healthy the soil is, and how important biodiversity is by planting, tending to, and harvesting crops. Their understanding of the production of food, sustainability, and ecological balance is deepened by this hands-on experience, which encourages them a sense of accountability for sustainable agricultural methods. As well as Practical learning growing fruits and vegetables as a child develops their learning through nature. Through this experience, sustainable behaviours are encouraged and a sense of responsibility and respect for nature is fostered</w:t>
      </w:r>
      <w:r>
        <w:rPr>
          <w:rFonts w:ascii="Arial" w:eastAsia="Times New Roman" w:hAnsi="Arial" w:cs="Arial"/>
          <w:kern w:val="0"/>
          <w:lang w:eastAsia="en-GB"/>
          <w14:ligatures w14:val="none"/>
        </w:rPr>
        <w:t xml:space="preserve"> </w:t>
      </w:r>
      <w:r w:rsidRPr="00D81801">
        <w:rPr>
          <w:rFonts w:ascii="Arial" w:hAnsi="Arial" w:cs="Arial"/>
          <w:highlight w:val="yellow"/>
          <w:shd w:val="clear" w:color="auto" w:fill="FFFFFF"/>
        </w:rPr>
        <w:t>(Malberg Dyg and Wistoft, 2018)</w:t>
      </w:r>
    </w:p>
    <w:p w14:paraId="5FA79A1E" w14:textId="77777777" w:rsidR="00C73FBA" w:rsidRPr="003B3725" w:rsidRDefault="00C73FBA" w:rsidP="00C73FBA">
      <w:pPr>
        <w:rPr>
          <w:rFonts w:ascii="Arial" w:eastAsia="Times New Roman" w:hAnsi="Arial" w:cs="Arial"/>
          <w:kern w:val="0"/>
          <w:lang w:eastAsia="en-GB"/>
          <w14:ligatures w14:val="none"/>
        </w:rPr>
      </w:pPr>
      <w:r w:rsidRPr="003B3725">
        <w:rPr>
          <w:rFonts w:ascii="Arial" w:hAnsi="Arial" w:cs="Arial"/>
        </w:rPr>
        <w:lastRenderedPageBreak/>
        <w:t>Similarly,</w:t>
      </w:r>
      <w:r>
        <w:rPr>
          <w:rFonts w:ascii="Arial" w:hAnsi="Arial" w:cs="Arial"/>
        </w:rPr>
        <w:t xml:space="preserve"> </w:t>
      </w:r>
      <w:r w:rsidRPr="006E5D99">
        <w:rPr>
          <w:rFonts w:ascii="Arial" w:hAnsi="Arial" w:cs="Arial"/>
          <w:highlight w:val="yellow"/>
        </w:rPr>
        <w:t>(total birder 2023</w:t>
      </w:r>
      <w:r>
        <w:rPr>
          <w:rFonts w:ascii="Arial" w:hAnsi="Arial" w:cs="Arial"/>
        </w:rPr>
        <w:t xml:space="preserve">) and </w:t>
      </w:r>
      <w:r w:rsidRPr="006E5D99">
        <w:rPr>
          <w:rFonts w:ascii="Roboto" w:hAnsi="Roboto"/>
          <w:color w:val="2C3E50"/>
          <w:sz w:val="23"/>
          <w:szCs w:val="23"/>
          <w:highlight w:val="yellow"/>
          <w:shd w:val="clear" w:color="auto" w:fill="FFFFFF"/>
        </w:rPr>
        <w:t>(White, Eberstein and Scott, 2018</w:t>
      </w:r>
      <w:r>
        <w:rPr>
          <w:rFonts w:ascii="Roboto" w:hAnsi="Roboto"/>
          <w:color w:val="2C3E50"/>
          <w:sz w:val="23"/>
          <w:szCs w:val="23"/>
          <w:shd w:val="clear" w:color="auto" w:fill="FFFFFF"/>
        </w:rPr>
        <w:t>)</w:t>
      </w:r>
      <w:r>
        <w:rPr>
          <w:rFonts w:ascii="Arial" w:hAnsi="Arial" w:cs="Arial"/>
        </w:rPr>
        <w:t xml:space="preserve"> explains that</w:t>
      </w:r>
      <w:r w:rsidRPr="003B3725">
        <w:rPr>
          <w:rFonts w:ascii="Arial" w:hAnsi="Arial" w:cs="Arial"/>
        </w:rPr>
        <w:t xml:space="preserve"> bird watching is another activity that promotes practical learning. It requires learners to develop observation skills, patience, and an understanding of avian biology and ecology. Observing birds in their natural habitats encourages learners to explore concepts such as species diversity</w:t>
      </w:r>
      <w:r>
        <w:rPr>
          <w:rFonts w:ascii="Arial" w:hAnsi="Arial" w:cs="Arial"/>
        </w:rPr>
        <w:t xml:space="preserve"> </w:t>
      </w:r>
      <w:r w:rsidRPr="003B3725">
        <w:rPr>
          <w:rFonts w:ascii="Arial" w:hAnsi="Arial" w:cs="Arial"/>
        </w:rPr>
        <w:t xml:space="preserve">and the impacts of environmental changes on wildlife. </w:t>
      </w:r>
      <w:r w:rsidRPr="007E795B">
        <w:rPr>
          <w:rFonts w:ascii="Arial" w:hAnsi="Arial" w:cs="Arial"/>
        </w:rPr>
        <w:t xml:space="preserve">Through bird watching, learners gain insights into the balance of ecosystems and the human impact on wildlife. </w:t>
      </w:r>
    </w:p>
    <w:p w14:paraId="3BD04EB6" w14:textId="77777777" w:rsidR="00C73FBA" w:rsidRDefault="00C73FBA" w:rsidP="00C73FBA">
      <w:pPr>
        <w:spacing w:after="0" w:line="240" w:lineRule="auto"/>
        <w:rPr>
          <w:rFonts w:ascii="Arial" w:eastAsia="Times New Roman" w:hAnsi="Arial" w:cs="Arial"/>
          <w:kern w:val="0"/>
          <w:lang w:eastAsia="en-GB"/>
          <w14:ligatures w14:val="none"/>
        </w:rPr>
      </w:pPr>
      <w:r w:rsidRPr="007E795B">
        <w:rPr>
          <w:rFonts w:ascii="Arial" w:eastAsia="Times New Roman" w:hAnsi="Arial" w:cs="Arial"/>
          <w:kern w:val="0"/>
          <w:lang w:eastAsia="en-GB"/>
          <w14:ligatures w14:val="none"/>
        </w:rPr>
        <w:t>By encouraging sustainability and well-being, bird watching and fruit and vegetable gardening both contribute to the larger goals of ESD. Participating in gardening activities promotes awareness of regional food systems and the advantages of eating locally farmed food.</w:t>
      </w:r>
      <w:r>
        <w:rPr>
          <w:rFonts w:ascii="Arial" w:eastAsia="Times New Roman" w:hAnsi="Arial" w:cs="Arial"/>
          <w:kern w:val="0"/>
          <w:lang w:eastAsia="en-GB"/>
          <w14:ligatures w14:val="none"/>
        </w:rPr>
        <w:t xml:space="preserve"> </w:t>
      </w:r>
      <w:r w:rsidRPr="006E5D99">
        <w:rPr>
          <w:rFonts w:ascii="Arial" w:eastAsia="Times New Roman" w:hAnsi="Arial" w:cs="Arial"/>
          <w:kern w:val="0"/>
          <w:highlight w:val="yellow"/>
          <w:lang w:eastAsia="en-GB"/>
          <w14:ligatures w14:val="none"/>
        </w:rPr>
        <w:t>Chawla, 2015</w:t>
      </w:r>
      <w:r>
        <w:rPr>
          <w:rFonts w:ascii="Arial" w:eastAsia="Times New Roman" w:hAnsi="Arial" w:cs="Arial"/>
          <w:kern w:val="0"/>
          <w:lang w:eastAsia="en-GB"/>
          <w14:ligatures w14:val="none"/>
        </w:rPr>
        <w:t xml:space="preserve"> suggests</w:t>
      </w:r>
      <w:r w:rsidRPr="007E795B">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w:t>
      </w:r>
      <w:r w:rsidRPr="007E795B">
        <w:rPr>
          <w:rFonts w:ascii="Arial" w:eastAsia="Times New Roman" w:hAnsi="Arial" w:cs="Arial"/>
          <w:kern w:val="0"/>
          <w:lang w:eastAsia="en-GB"/>
          <w14:ligatures w14:val="none"/>
        </w:rPr>
        <w:t xml:space="preserve">hrough outdoor activities and a connection to environment, </w:t>
      </w:r>
      <w:r>
        <w:rPr>
          <w:rFonts w:ascii="Arial" w:eastAsia="Times New Roman" w:hAnsi="Arial" w:cs="Arial"/>
          <w:kern w:val="0"/>
          <w:lang w:eastAsia="en-GB"/>
          <w14:ligatures w14:val="none"/>
        </w:rPr>
        <w:t>can</w:t>
      </w:r>
      <w:r w:rsidRPr="007E795B">
        <w:rPr>
          <w:rFonts w:ascii="Arial" w:eastAsia="Times New Roman" w:hAnsi="Arial" w:cs="Arial"/>
          <w:kern w:val="0"/>
          <w:lang w:eastAsia="en-GB"/>
          <w14:ligatures w14:val="none"/>
        </w:rPr>
        <w:t xml:space="preserve"> promote</w:t>
      </w:r>
      <w:r>
        <w:rPr>
          <w:rFonts w:ascii="Arial" w:eastAsia="Times New Roman" w:hAnsi="Arial" w:cs="Arial"/>
          <w:kern w:val="0"/>
          <w:lang w:eastAsia="en-GB"/>
          <w14:ligatures w14:val="none"/>
        </w:rPr>
        <w:t xml:space="preserve"> </w:t>
      </w:r>
      <w:r w:rsidRPr="007E795B">
        <w:rPr>
          <w:rFonts w:ascii="Arial" w:eastAsia="Times New Roman" w:hAnsi="Arial" w:cs="Arial"/>
          <w:kern w:val="0"/>
          <w:lang w:eastAsia="en-GB"/>
          <w14:ligatures w14:val="none"/>
        </w:rPr>
        <w:t>physical health and mental well-being.</w:t>
      </w:r>
      <w:r w:rsidRPr="007E795B">
        <w:rPr>
          <w:rFonts w:ascii="Arial" w:eastAsia="Times New Roman" w:hAnsi="Arial" w:cs="Arial"/>
          <w:kern w:val="0"/>
          <w:lang w:eastAsia="en-GB"/>
          <w14:ligatures w14:val="none"/>
        </w:rPr>
        <w:br/>
      </w:r>
      <w:r w:rsidRPr="007E795B">
        <w:rPr>
          <w:rFonts w:ascii="Arial" w:eastAsia="Times New Roman" w:hAnsi="Arial" w:cs="Arial"/>
          <w:kern w:val="0"/>
          <w:lang w:eastAsia="en-GB"/>
          <w14:ligatures w14:val="none"/>
        </w:rPr>
        <w:br/>
      </w:r>
    </w:p>
    <w:p w14:paraId="41685F7A" w14:textId="77777777" w:rsidR="00C73FBA" w:rsidRPr="00D35EC9" w:rsidRDefault="00C73FBA" w:rsidP="00C73FBA">
      <w:pPr>
        <w:rPr>
          <w:rFonts w:ascii="Times New Roman" w:eastAsia="Times New Roman" w:hAnsi="Times New Roman" w:cs="Times New Roman"/>
          <w:kern w:val="0"/>
          <w:lang w:eastAsia="en-GB"/>
          <w14:ligatures w14:val="none"/>
        </w:rPr>
      </w:pPr>
      <w:r w:rsidRPr="00D35EC9">
        <w:rPr>
          <w:rFonts w:ascii="Arial" w:hAnsi="Arial" w:cs="Arial"/>
        </w:rPr>
        <w:t>Froebel's belief in the intrinsic connection between children and nature laid the groundwork for integrating sustainability into early years education.</w:t>
      </w:r>
      <w:r>
        <w:rPr>
          <w:rFonts w:ascii="Arial" w:hAnsi="Arial" w:cs="Arial"/>
        </w:rPr>
        <w:t xml:space="preserve"> </w:t>
      </w:r>
      <w:r w:rsidRPr="00D35EC9">
        <w:rPr>
          <w:rFonts w:ascii="Arial" w:eastAsia="Times New Roman" w:hAnsi="Arial" w:cs="Arial"/>
          <w:kern w:val="0"/>
          <w:lang w:eastAsia="en-GB"/>
          <w14:ligatures w14:val="none"/>
        </w:rPr>
        <w:t>Froebel believed that nature was an essential teaching tool and that children should interact with it through play, gardening, and exploration</w:t>
      </w:r>
      <w:r>
        <w:rPr>
          <w:rFonts w:ascii="Arial" w:eastAsia="Times New Roman" w:hAnsi="Arial" w:cs="Arial"/>
          <w:kern w:val="0"/>
          <w:lang w:eastAsia="en-GB"/>
          <w14:ligatures w14:val="none"/>
        </w:rPr>
        <w:t xml:space="preserve"> </w:t>
      </w:r>
      <w:proofErr w:type="spellStart"/>
      <w:r w:rsidRPr="002674F6">
        <w:rPr>
          <w:rFonts w:ascii="Arial" w:eastAsia="Times New Roman" w:hAnsi="Arial" w:cs="Arial"/>
          <w:kern w:val="0"/>
          <w:highlight w:val="yellow"/>
          <w:lang w:eastAsia="en-GB"/>
          <w14:ligatures w14:val="none"/>
        </w:rPr>
        <w:t>Frobels</w:t>
      </w:r>
      <w:proofErr w:type="spellEnd"/>
      <w:r w:rsidRPr="002674F6">
        <w:rPr>
          <w:rFonts w:ascii="Arial" w:eastAsia="Times New Roman" w:hAnsi="Arial" w:cs="Arial"/>
          <w:kern w:val="0"/>
          <w:highlight w:val="yellow"/>
          <w:lang w:eastAsia="en-GB"/>
          <w14:ligatures w14:val="none"/>
        </w:rPr>
        <w:t xml:space="preserve"> trust ND</w:t>
      </w:r>
      <w:r>
        <w:rPr>
          <w:rFonts w:ascii="Arial" w:eastAsia="Times New Roman" w:hAnsi="Arial" w:cs="Arial"/>
          <w:kern w:val="0"/>
          <w:lang w:eastAsia="en-GB"/>
          <w14:ligatures w14:val="none"/>
        </w:rPr>
        <w:t xml:space="preserve">. </w:t>
      </w:r>
      <w:r w:rsidRPr="00A31EB4">
        <w:rPr>
          <w:rFonts w:ascii="Arial" w:hAnsi="Arial" w:cs="Arial"/>
          <w:highlight w:val="yellow"/>
          <w:shd w:val="clear" w:color="auto" w:fill="FFFFFF"/>
        </w:rPr>
        <w:t>(Prince, 2010)</w:t>
      </w:r>
      <w:r w:rsidRPr="00A31EB4">
        <w:rPr>
          <w:rFonts w:ascii="Arial" w:hAnsi="Arial" w:cs="Arial"/>
          <w:shd w:val="clear" w:color="auto" w:fill="FFFFFF"/>
        </w:rPr>
        <w:t xml:space="preserve"> agrees and tells us that</w:t>
      </w:r>
      <w:r w:rsidRPr="00A31EB4">
        <w:rPr>
          <w:rFonts w:ascii="Arial" w:eastAsia="Times New Roman" w:hAnsi="Arial" w:cs="Arial"/>
          <w:kern w:val="0"/>
          <w:lang w:eastAsia="en-GB"/>
          <w14:ligatures w14:val="none"/>
        </w:rPr>
        <w:t xml:space="preserve"> this </w:t>
      </w:r>
      <w:r w:rsidRPr="00D35EC9">
        <w:rPr>
          <w:rFonts w:ascii="Arial" w:eastAsia="Times New Roman" w:hAnsi="Arial" w:cs="Arial"/>
          <w:kern w:val="0"/>
          <w:lang w:eastAsia="en-GB"/>
          <w14:ligatures w14:val="none"/>
        </w:rPr>
        <w:t>method fosters a sense of duty and care towards the environment while fostering an early appreciation for the natural world. Froebel's approaches encourage sustainable thinking by fostering a child's engagement with nature, which helps young children comprehend and appreciate ecological systems</w:t>
      </w:r>
      <w:r>
        <w:rPr>
          <w:rFonts w:ascii="Arial" w:eastAsia="Times New Roman" w:hAnsi="Arial" w:cs="Arial"/>
          <w:kern w:val="0"/>
          <w:lang w:eastAsia="en-GB"/>
          <w14:ligatures w14:val="none"/>
        </w:rPr>
        <w:t xml:space="preserve"> </w:t>
      </w:r>
      <w:r w:rsidRPr="00426D02">
        <w:rPr>
          <w:rFonts w:ascii="Arial" w:eastAsia="Times New Roman" w:hAnsi="Arial" w:cs="Arial"/>
          <w:kern w:val="0"/>
          <w:highlight w:val="yellow"/>
          <w:lang w:eastAsia="en-GB"/>
          <w14:ligatures w14:val="none"/>
        </w:rPr>
        <w:t>Tovey, 2016.</w:t>
      </w:r>
    </w:p>
    <w:p w14:paraId="5C23B079" w14:textId="77777777" w:rsidR="00C73FBA" w:rsidRPr="00D35EC9" w:rsidRDefault="00C73FBA" w:rsidP="00C73FBA">
      <w:pPr>
        <w:spacing w:after="0" w:line="240" w:lineRule="auto"/>
        <w:rPr>
          <w:rFonts w:ascii="Arial" w:eastAsia="Times New Roman" w:hAnsi="Arial" w:cs="Arial"/>
          <w:kern w:val="0"/>
          <w:lang w:eastAsia="en-GB"/>
          <w14:ligatures w14:val="none"/>
        </w:rPr>
      </w:pPr>
      <w:r w:rsidRPr="00D35EC9">
        <w:rPr>
          <w:rFonts w:ascii="Arial" w:eastAsia="Times New Roman" w:hAnsi="Arial" w:cs="Arial"/>
          <w:kern w:val="0"/>
          <w:lang w:eastAsia="en-GB"/>
          <w14:ligatures w14:val="none"/>
        </w:rPr>
        <w:t>Therefore, Froebel's pedagogy not only fosters children's intellectual and emotional growth but also produces a generation that appreciates sustainability and actively participates in it. Since it offers a basis for incorporating sustainability into early childhood education, Froebel's educational concept is still highly relevant today.</w:t>
      </w:r>
    </w:p>
    <w:p w14:paraId="6035F409" w14:textId="77777777" w:rsidR="00C73FBA" w:rsidRPr="002C427B" w:rsidRDefault="00C73FBA" w:rsidP="00C73FBA">
      <w:pPr>
        <w:pStyle w:val="NormalWeb"/>
        <w:rPr>
          <w:rFonts w:ascii="Arial" w:hAnsi="Arial" w:cs="Arial"/>
        </w:rPr>
      </w:pPr>
      <w:r w:rsidRPr="002C427B">
        <w:rPr>
          <w:rFonts w:ascii="Arial" w:hAnsi="Arial" w:cs="Arial"/>
        </w:rPr>
        <w:t>In conclusion, my journey exploring my parents' garden for the John Muir Award has been an enriching experience, blending personal nostalgia with a deeper appreciation for nature and sustainability. The transformation of a simple garden into a vibrant ecosystem has taught me the importance of biodiversity and the joy of connecting with nature. This project has also inspired me to create a similar space in my own garden, fostering an environment where my children can learn about and appreciate the natural world.</w:t>
      </w:r>
    </w:p>
    <w:p w14:paraId="10DFF48F" w14:textId="77777777" w:rsidR="00C73FBA" w:rsidRPr="002C427B" w:rsidRDefault="00C73FBA" w:rsidP="00C73FBA">
      <w:pPr>
        <w:pStyle w:val="NormalWeb"/>
        <w:rPr>
          <w:rFonts w:ascii="Arial" w:hAnsi="Arial" w:cs="Arial"/>
        </w:rPr>
      </w:pPr>
      <w:r w:rsidRPr="002C427B">
        <w:rPr>
          <w:rFonts w:ascii="Arial" w:hAnsi="Arial" w:cs="Arial"/>
        </w:rPr>
        <w:t>As I delved into the principles of sustainability, I reali</w:t>
      </w:r>
      <w:r>
        <w:rPr>
          <w:rFonts w:ascii="Arial" w:hAnsi="Arial" w:cs="Arial"/>
        </w:rPr>
        <w:t>s</w:t>
      </w:r>
      <w:r w:rsidRPr="002C427B">
        <w:rPr>
          <w:rFonts w:ascii="Arial" w:hAnsi="Arial" w:cs="Arial"/>
        </w:rPr>
        <w:t>ed the significance of education in shaping a sustainable future. The integration of sustainability into early years education, as seen in the Welsh curriculum, is crucial for nurturing responsible and informed individuals. Practical activities like gardening and bird watching not only provide hands-on learning opportunities but also instil a sense of stewardship towards the environment.</w:t>
      </w:r>
    </w:p>
    <w:p w14:paraId="7AB5CC04" w14:textId="77777777" w:rsidR="00C73FBA" w:rsidRPr="002C427B" w:rsidRDefault="00C73FBA" w:rsidP="00C73FBA">
      <w:pPr>
        <w:pStyle w:val="NormalWeb"/>
        <w:rPr>
          <w:rFonts w:ascii="Arial" w:hAnsi="Arial" w:cs="Arial"/>
        </w:rPr>
      </w:pPr>
      <w:r w:rsidRPr="002C427B">
        <w:rPr>
          <w:rFonts w:ascii="Arial" w:hAnsi="Arial" w:cs="Arial"/>
        </w:rPr>
        <w:t>By engaging in sustainable practices and promoting environmental education, we can contribute to a better future for generations to come. The John Muir Award has been a stepping stone in this journey, reaffirming my commitment to sustainability and inspiring me to continue exploring and appreciating the natural world.</w:t>
      </w:r>
    </w:p>
    <w:p w14:paraId="0EFDD7B0" w14:textId="77777777" w:rsidR="00C73FBA" w:rsidRDefault="00C73FBA"/>
    <w:sectPr w:rsidR="00C73F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ADF9A" w14:textId="77777777" w:rsidR="00350B96" w:rsidRDefault="00350B96" w:rsidP="00350B96">
      <w:pPr>
        <w:spacing w:after="0" w:line="240" w:lineRule="auto"/>
      </w:pPr>
      <w:r>
        <w:separator/>
      </w:r>
    </w:p>
  </w:endnote>
  <w:endnote w:type="continuationSeparator" w:id="0">
    <w:p w14:paraId="0A514890" w14:textId="77777777" w:rsidR="00350B96" w:rsidRDefault="00350B96" w:rsidP="0035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2CC7A" w14:textId="77777777" w:rsidR="00350B96" w:rsidRDefault="00350B96" w:rsidP="00350B96">
      <w:pPr>
        <w:spacing w:after="0" w:line="240" w:lineRule="auto"/>
      </w:pPr>
      <w:r>
        <w:separator/>
      </w:r>
    </w:p>
  </w:footnote>
  <w:footnote w:type="continuationSeparator" w:id="0">
    <w:p w14:paraId="63F7839A" w14:textId="77777777" w:rsidR="00350B96" w:rsidRDefault="00350B96" w:rsidP="00350B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BA"/>
    <w:rsid w:val="00026CD0"/>
    <w:rsid w:val="00350B96"/>
    <w:rsid w:val="00932040"/>
    <w:rsid w:val="00C73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05F1"/>
  <w15:chartTrackingRefBased/>
  <w15:docId w15:val="{595C38C3-568A-4F97-976B-3B0A51AD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FBA"/>
  </w:style>
  <w:style w:type="paragraph" w:styleId="Heading1">
    <w:name w:val="heading 1"/>
    <w:basedOn w:val="Normal"/>
    <w:next w:val="Normal"/>
    <w:link w:val="Heading1Char"/>
    <w:uiPriority w:val="9"/>
    <w:qFormat/>
    <w:rsid w:val="00C73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FBA"/>
    <w:rPr>
      <w:rFonts w:eastAsiaTheme="majorEastAsia" w:cstheme="majorBidi"/>
      <w:color w:val="272727" w:themeColor="text1" w:themeTint="D8"/>
    </w:rPr>
  </w:style>
  <w:style w:type="paragraph" w:styleId="Title">
    <w:name w:val="Title"/>
    <w:basedOn w:val="Normal"/>
    <w:next w:val="Normal"/>
    <w:link w:val="TitleChar"/>
    <w:uiPriority w:val="10"/>
    <w:qFormat/>
    <w:rsid w:val="00C73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FBA"/>
    <w:pPr>
      <w:spacing w:before="160"/>
      <w:jc w:val="center"/>
    </w:pPr>
    <w:rPr>
      <w:i/>
      <w:iCs/>
      <w:color w:val="404040" w:themeColor="text1" w:themeTint="BF"/>
    </w:rPr>
  </w:style>
  <w:style w:type="character" w:customStyle="1" w:styleId="QuoteChar">
    <w:name w:val="Quote Char"/>
    <w:basedOn w:val="DefaultParagraphFont"/>
    <w:link w:val="Quote"/>
    <w:uiPriority w:val="29"/>
    <w:rsid w:val="00C73FBA"/>
    <w:rPr>
      <w:i/>
      <w:iCs/>
      <w:color w:val="404040" w:themeColor="text1" w:themeTint="BF"/>
    </w:rPr>
  </w:style>
  <w:style w:type="paragraph" w:styleId="ListParagraph">
    <w:name w:val="List Paragraph"/>
    <w:basedOn w:val="Normal"/>
    <w:uiPriority w:val="34"/>
    <w:qFormat/>
    <w:rsid w:val="00C73FBA"/>
    <w:pPr>
      <w:ind w:left="720"/>
      <w:contextualSpacing/>
    </w:pPr>
  </w:style>
  <w:style w:type="character" w:styleId="IntenseEmphasis">
    <w:name w:val="Intense Emphasis"/>
    <w:basedOn w:val="DefaultParagraphFont"/>
    <w:uiPriority w:val="21"/>
    <w:qFormat/>
    <w:rsid w:val="00C73FBA"/>
    <w:rPr>
      <w:i/>
      <w:iCs/>
      <w:color w:val="0F4761" w:themeColor="accent1" w:themeShade="BF"/>
    </w:rPr>
  </w:style>
  <w:style w:type="paragraph" w:styleId="IntenseQuote">
    <w:name w:val="Intense Quote"/>
    <w:basedOn w:val="Normal"/>
    <w:next w:val="Normal"/>
    <w:link w:val="IntenseQuoteChar"/>
    <w:uiPriority w:val="30"/>
    <w:qFormat/>
    <w:rsid w:val="00C73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FBA"/>
    <w:rPr>
      <w:i/>
      <w:iCs/>
      <w:color w:val="0F4761" w:themeColor="accent1" w:themeShade="BF"/>
    </w:rPr>
  </w:style>
  <w:style w:type="character" w:styleId="IntenseReference">
    <w:name w:val="Intense Reference"/>
    <w:basedOn w:val="DefaultParagraphFont"/>
    <w:uiPriority w:val="32"/>
    <w:qFormat/>
    <w:rsid w:val="00C73FBA"/>
    <w:rPr>
      <w:b/>
      <w:bCs/>
      <w:smallCaps/>
      <w:color w:val="0F4761" w:themeColor="accent1" w:themeShade="BF"/>
      <w:spacing w:val="5"/>
    </w:rPr>
  </w:style>
  <w:style w:type="paragraph" w:styleId="NormalWeb">
    <w:name w:val="Normal (Web)"/>
    <w:basedOn w:val="Normal"/>
    <w:uiPriority w:val="99"/>
    <w:semiHidden/>
    <w:unhideWhenUsed/>
    <w:rsid w:val="00C73F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50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B96"/>
  </w:style>
  <w:style w:type="paragraph" w:styleId="Footer">
    <w:name w:val="footer"/>
    <w:basedOn w:val="Normal"/>
    <w:link w:val="FooterChar"/>
    <w:uiPriority w:val="99"/>
    <w:unhideWhenUsed/>
    <w:rsid w:val="00350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Wells</dc:creator>
  <cp:keywords/>
  <dc:description/>
  <cp:lastModifiedBy>Rebecca Wells</cp:lastModifiedBy>
  <cp:revision>1</cp:revision>
  <dcterms:created xsi:type="dcterms:W3CDTF">2024-07-07T12:06:00Z</dcterms:created>
  <dcterms:modified xsi:type="dcterms:W3CDTF">2024-07-09T16:18:00Z</dcterms:modified>
</cp:coreProperties>
</file>