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AAC22" w14:textId="0288F605" w:rsidR="00C644FB" w:rsidRDefault="00C644FB" w:rsidP="00C644FB">
      <w:pPr>
        <w:pStyle w:val="Heading1"/>
        <w:rPr>
          <w:rFonts w:eastAsia="Times New Roman"/>
          <w:lang w:eastAsia="en-GB"/>
        </w:rPr>
      </w:pPr>
      <w:r>
        <w:rPr>
          <w:rFonts w:eastAsia="Times New Roman"/>
          <w:lang w:eastAsia="en-GB"/>
        </w:rPr>
        <w:tab/>
      </w:r>
    </w:p>
    <w:p w14:paraId="7E069595" w14:textId="23511A28" w:rsidR="00C644FB" w:rsidRDefault="00C644FB" w:rsidP="00C644FB">
      <w:pPr>
        <w:pStyle w:val="Heading1"/>
        <w:rPr>
          <w:rFonts w:eastAsia="Times New Roman"/>
          <w:lang w:eastAsia="en-GB"/>
        </w:rPr>
      </w:pPr>
      <w:r>
        <w:rPr>
          <w:rFonts w:eastAsia="Times New Roman"/>
          <w:noProof/>
          <w:lang w:eastAsia="en-GB"/>
        </w:rPr>
        <w:drawing>
          <wp:inline distT="0" distB="0" distL="0" distR="0" wp14:anchorId="7965450C" wp14:editId="7DA36D0A">
            <wp:extent cx="2409825" cy="2352675"/>
            <wp:effectExtent l="0" t="0" r="9525" b="9525"/>
            <wp:docPr id="1591859458" name="Picture 1"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859458" name="Picture 1" descr="A black and yellow shield with blue flowe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409825" cy="2352675"/>
                    </a:xfrm>
                    <a:prstGeom prst="rect">
                      <a:avLst/>
                    </a:prstGeom>
                  </pic:spPr>
                </pic:pic>
              </a:graphicData>
            </a:graphic>
          </wp:inline>
        </w:drawing>
      </w:r>
    </w:p>
    <w:p w14:paraId="31A11809" w14:textId="77777777" w:rsidR="00C644FB" w:rsidRDefault="00C644FB" w:rsidP="00C644FB">
      <w:pPr>
        <w:pStyle w:val="Heading1"/>
        <w:rPr>
          <w:rFonts w:eastAsia="Times New Roman"/>
          <w:lang w:eastAsia="en-GB"/>
        </w:rPr>
      </w:pPr>
    </w:p>
    <w:p w14:paraId="573C1726" w14:textId="77777777" w:rsidR="00C644FB" w:rsidRDefault="00C644FB" w:rsidP="00C644FB">
      <w:pPr>
        <w:pStyle w:val="Heading1"/>
        <w:rPr>
          <w:rFonts w:eastAsia="Times New Roman"/>
          <w:lang w:eastAsia="en-GB"/>
        </w:rPr>
      </w:pPr>
    </w:p>
    <w:p w14:paraId="34D58350" w14:textId="77777777" w:rsidR="00C644FB" w:rsidRDefault="00C644FB" w:rsidP="00C644FB">
      <w:pPr>
        <w:pStyle w:val="Heading1"/>
        <w:rPr>
          <w:rFonts w:eastAsia="Times New Roman"/>
          <w:lang w:eastAsia="en-GB"/>
        </w:rPr>
      </w:pPr>
    </w:p>
    <w:p w14:paraId="4C14BB45" w14:textId="6BA2F760" w:rsidR="00C644FB" w:rsidRDefault="00C644FB" w:rsidP="00C644FB">
      <w:pPr>
        <w:pStyle w:val="Heading1"/>
        <w:rPr>
          <w:rFonts w:eastAsia="Times New Roman"/>
          <w:b w:val="0"/>
          <w:bCs w:val="0"/>
          <w:lang w:eastAsia="en-GB"/>
        </w:rPr>
      </w:pPr>
    </w:p>
    <w:p w14:paraId="6D117CC4" w14:textId="52FDEEF4" w:rsidR="00C644FB" w:rsidRPr="00C644FB" w:rsidRDefault="00C644FB" w:rsidP="00C644FB">
      <w:pPr>
        <w:rPr>
          <w:lang w:eastAsia="en-GB"/>
        </w:rPr>
      </w:pPr>
      <w:r>
        <w:rPr>
          <w:lang w:eastAsia="en-GB"/>
        </w:rPr>
        <w:t>STUDENT NAME    : CHRISTIANA ADDO FYNN</w:t>
      </w:r>
    </w:p>
    <w:p w14:paraId="4859B384" w14:textId="310999CA" w:rsidR="00C644FB" w:rsidRDefault="00C644FB" w:rsidP="00C644FB">
      <w:pPr>
        <w:rPr>
          <w:lang w:eastAsia="en-GB"/>
        </w:rPr>
      </w:pPr>
      <w:r>
        <w:rPr>
          <w:lang w:eastAsia="en-GB"/>
        </w:rPr>
        <w:t>STUDENT   ID          :2336424</w:t>
      </w:r>
    </w:p>
    <w:p w14:paraId="6A519B9A" w14:textId="7DAA1760" w:rsidR="00C644FB" w:rsidRDefault="00C644FB" w:rsidP="00C644FB">
      <w:pPr>
        <w:rPr>
          <w:lang w:eastAsia="en-GB"/>
        </w:rPr>
      </w:pPr>
      <w:r>
        <w:rPr>
          <w:lang w:eastAsia="en-GB"/>
        </w:rPr>
        <w:t>MODULE NAME   : CREATIVITY AND VALUE CREATION</w:t>
      </w:r>
    </w:p>
    <w:p w14:paraId="55DDB6CB" w14:textId="5B48701D" w:rsidR="00C644FB" w:rsidRDefault="00C644FB" w:rsidP="00C644FB">
      <w:pPr>
        <w:rPr>
          <w:lang w:eastAsia="en-GB"/>
        </w:rPr>
      </w:pPr>
      <w:r>
        <w:rPr>
          <w:lang w:eastAsia="en-GB"/>
        </w:rPr>
        <w:t>MODULE NO.       :BMHP5014</w:t>
      </w:r>
    </w:p>
    <w:p w14:paraId="57EB0E08" w14:textId="683A08A4" w:rsidR="00C644FB" w:rsidRPr="00C644FB" w:rsidRDefault="00C644FB" w:rsidP="00C644FB">
      <w:pPr>
        <w:rPr>
          <w:lang w:eastAsia="en-GB"/>
        </w:rPr>
      </w:pPr>
      <w:r>
        <w:rPr>
          <w:lang w:eastAsia="en-GB"/>
        </w:rPr>
        <w:t>TUTOR NAME        : Dr. LAILA SURANI</w:t>
      </w:r>
    </w:p>
    <w:p w14:paraId="0729F0AB" w14:textId="77777777" w:rsidR="00C644FB" w:rsidRPr="00C644FB" w:rsidRDefault="00C644FB" w:rsidP="00C644FB">
      <w:pPr>
        <w:rPr>
          <w:lang w:eastAsia="en-GB"/>
        </w:rPr>
      </w:pPr>
    </w:p>
    <w:p w14:paraId="290CFDBC" w14:textId="77777777" w:rsidR="00C644FB" w:rsidRDefault="00C644FB" w:rsidP="00C644FB">
      <w:pPr>
        <w:pStyle w:val="Heading1"/>
        <w:rPr>
          <w:rFonts w:eastAsia="Times New Roman"/>
          <w:lang w:eastAsia="en-GB"/>
        </w:rPr>
      </w:pPr>
    </w:p>
    <w:p w14:paraId="222142B0" w14:textId="77777777" w:rsidR="00C644FB" w:rsidRDefault="00C644FB" w:rsidP="00C644FB">
      <w:pPr>
        <w:pStyle w:val="Heading1"/>
        <w:rPr>
          <w:rFonts w:eastAsia="Times New Roman"/>
          <w:lang w:eastAsia="en-GB"/>
        </w:rPr>
      </w:pPr>
    </w:p>
    <w:p w14:paraId="5CE06E36" w14:textId="77777777" w:rsidR="00C644FB" w:rsidRDefault="00C644FB" w:rsidP="00C644FB">
      <w:pPr>
        <w:pStyle w:val="Heading1"/>
        <w:rPr>
          <w:rFonts w:eastAsia="Times New Roman"/>
          <w:lang w:eastAsia="en-GB"/>
        </w:rPr>
      </w:pPr>
    </w:p>
    <w:p w14:paraId="41D18CCA" w14:textId="77777777" w:rsidR="00C644FB" w:rsidRDefault="00C644FB" w:rsidP="00C644FB">
      <w:pPr>
        <w:pStyle w:val="Heading1"/>
        <w:rPr>
          <w:rFonts w:eastAsia="Times New Roman"/>
          <w:lang w:eastAsia="en-GB"/>
        </w:rPr>
      </w:pPr>
    </w:p>
    <w:p w14:paraId="371CC14B" w14:textId="77777777" w:rsidR="00C644FB" w:rsidRDefault="00C644FB" w:rsidP="00C644FB">
      <w:pPr>
        <w:pStyle w:val="Heading1"/>
        <w:rPr>
          <w:rFonts w:eastAsia="Times New Roman"/>
          <w:lang w:eastAsia="en-GB"/>
        </w:rPr>
      </w:pPr>
    </w:p>
    <w:p w14:paraId="030C1B89" w14:textId="77777777" w:rsidR="00C644FB" w:rsidRDefault="00C644FB" w:rsidP="00C644FB">
      <w:pPr>
        <w:pStyle w:val="Heading1"/>
        <w:rPr>
          <w:rFonts w:eastAsia="Times New Roman"/>
          <w:lang w:eastAsia="en-GB"/>
        </w:rPr>
      </w:pPr>
    </w:p>
    <w:p w14:paraId="6A7E82E7" w14:textId="65302519" w:rsidR="00F06174" w:rsidRDefault="00F06174" w:rsidP="00C644FB">
      <w:pPr>
        <w:pStyle w:val="Heading1"/>
        <w:rPr>
          <w:rFonts w:eastAsia="Times New Roman"/>
          <w:lang w:eastAsia="en-GB"/>
        </w:rPr>
      </w:pPr>
      <w:r w:rsidRPr="00F06174">
        <w:rPr>
          <w:rFonts w:eastAsia="Times New Roman"/>
          <w:lang w:eastAsia="en-GB"/>
        </w:rPr>
        <w:t xml:space="preserve"> </w:t>
      </w:r>
      <w:bookmarkStart w:id="0" w:name="_Toc216728795"/>
      <w:r w:rsidRPr="00F06174">
        <w:rPr>
          <w:rFonts w:eastAsia="Times New Roman"/>
          <w:lang w:eastAsia="en-GB"/>
        </w:rPr>
        <w:t>A Hybrid Continuity-of-Care Model Integrating Digital Midwifery Support within UK Maternity Services</w:t>
      </w:r>
      <w:bookmarkEnd w:id="0"/>
    </w:p>
    <w:sdt>
      <w:sdtPr>
        <w:rPr>
          <w:rFonts w:eastAsiaTheme="minorHAnsi"/>
        </w:rPr>
        <w:id w:val="329875553"/>
        <w:docPartObj>
          <w:docPartGallery w:val="Table of Contents"/>
          <w:docPartUnique/>
        </w:docPartObj>
      </w:sdtPr>
      <w:sdtEndPr>
        <w:rPr>
          <w:rFonts w:asciiTheme="minorHAnsi" w:hAnsiTheme="minorHAnsi" w:cstheme="minorBidi"/>
          <w:b w:val="0"/>
          <w:bCs w:val="0"/>
          <w:noProof/>
          <w:szCs w:val="24"/>
        </w:rPr>
      </w:sdtEndPr>
      <w:sdtContent>
        <w:p w14:paraId="1270BEA6" w14:textId="77777777" w:rsidR="005B339C" w:rsidRPr="005B339C" w:rsidRDefault="005B339C" w:rsidP="00C644FB">
          <w:pPr>
            <w:pStyle w:val="Heading1"/>
          </w:pPr>
          <w:r w:rsidRPr="005B339C">
            <w:t>Table of Contents</w:t>
          </w:r>
        </w:p>
        <w:p w14:paraId="0A4E9AE8" w14:textId="77777777" w:rsidR="005B339C" w:rsidRPr="005B339C" w:rsidRDefault="005B339C" w:rsidP="005B339C">
          <w:pPr>
            <w:pStyle w:val="TOC1"/>
            <w:tabs>
              <w:tab w:val="right" w:leader="dot" w:pos="9016"/>
            </w:tabs>
            <w:spacing w:before="0" w:line="360" w:lineRule="auto"/>
            <w:jc w:val="both"/>
            <w:rPr>
              <w:rFonts w:ascii="Times New Roman" w:hAnsi="Times New Roman" w:cs="Times New Roman"/>
              <w:noProof/>
              <w:sz w:val="24"/>
              <w:szCs w:val="24"/>
            </w:rPr>
          </w:pPr>
          <w:r w:rsidRPr="005B339C">
            <w:rPr>
              <w:rFonts w:ascii="Times New Roman" w:hAnsi="Times New Roman" w:cs="Times New Roman"/>
              <w:b w:val="0"/>
              <w:bCs w:val="0"/>
              <w:sz w:val="24"/>
              <w:szCs w:val="24"/>
            </w:rPr>
            <w:fldChar w:fldCharType="begin"/>
          </w:r>
          <w:r w:rsidRPr="005B339C">
            <w:rPr>
              <w:rFonts w:ascii="Times New Roman" w:hAnsi="Times New Roman" w:cs="Times New Roman"/>
              <w:sz w:val="24"/>
              <w:szCs w:val="24"/>
            </w:rPr>
            <w:instrText xml:space="preserve"> TOC \o "1-3" \h \z \u </w:instrText>
          </w:r>
          <w:r w:rsidRPr="005B339C">
            <w:rPr>
              <w:rFonts w:ascii="Times New Roman" w:hAnsi="Times New Roman" w:cs="Times New Roman"/>
              <w:b w:val="0"/>
              <w:bCs w:val="0"/>
              <w:sz w:val="24"/>
              <w:szCs w:val="24"/>
            </w:rPr>
            <w:fldChar w:fldCharType="separate"/>
          </w:r>
          <w:hyperlink w:anchor="_Toc216728795" w:history="1">
            <w:r w:rsidRPr="005B339C">
              <w:rPr>
                <w:rStyle w:val="Hyperlink"/>
                <w:rFonts w:ascii="Times New Roman" w:eastAsia="Times New Roman" w:hAnsi="Times New Roman" w:cs="Times New Roman"/>
                <w:noProof/>
                <w:color w:val="auto"/>
                <w:sz w:val="24"/>
                <w:szCs w:val="24"/>
                <w:lang w:eastAsia="en-GB"/>
              </w:rPr>
              <w:t>A Hybrid Continuity-of-Care Model Integrating Digital Midwifery Support within UK Maternity Services</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_Toc216728795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1</w:t>
            </w:r>
            <w:r w:rsidRPr="005B339C">
              <w:rPr>
                <w:rFonts w:ascii="Times New Roman" w:hAnsi="Times New Roman" w:cs="Times New Roman"/>
                <w:noProof/>
                <w:webHidden/>
                <w:sz w:val="24"/>
                <w:szCs w:val="24"/>
              </w:rPr>
              <w:fldChar w:fldCharType="end"/>
            </w:r>
          </w:hyperlink>
        </w:p>
        <w:p w14:paraId="04997D64"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796" w:history="1">
            <w:r w:rsidRPr="005B339C">
              <w:rPr>
                <w:rStyle w:val="Hyperlink"/>
                <w:rFonts w:ascii="Times New Roman" w:eastAsia="Times New Roman" w:hAnsi="Times New Roman" w:cs="Times New Roman"/>
                <w:noProof/>
                <w:color w:val="auto"/>
                <w:sz w:val="24"/>
                <w:szCs w:val="24"/>
                <w:lang w:eastAsia="en-GB"/>
              </w:rPr>
              <w:t>1.0 Innovation Overview</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_Toc216728796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2</w:t>
            </w:r>
            <w:r w:rsidRPr="005B339C">
              <w:rPr>
                <w:rFonts w:ascii="Times New Roman" w:hAnsi="Times New Roman" w:cs="Times New Roman"/>
                <w:noProof/>
                <w:webHidden/>
                <w:sz w:val="24"/>
                <w:szCs w:val="24"/>
              </w:rPr>
              <w:fldChar w:fldCharType="end"/>
            </w:r>
          </w:hyperlink>
        </w:p>
        <w:p w14:paraId="0F6C2745"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797" w:history="1">
            <w:r w:rsidRPr="005B339C">
              <w:rPr>
                <w:rStyle w:val="Hyperlink"/>
                <w:rFonts w:ascii="Times New Roman" w:eastAsia="Times New Roman" w:hAnsi="Times New Roman" w:cs="Times New Roman"/>
                <w:noProof/>
                <w:color w:val="auto"/>
                <w:sz w:val="24"/>
                <w:szCs w:val="24"/>
                <w:lang w:eastAsia="en-GB"/>
              </w:rPr>
              <w:t>2.0 The Issue and Gaps in Health and Social Care</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_Toc216728797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2</w:t>
            </w:r>
            <w:r w:rsidRPr="005B339C">
              <w:rPr>
                <w:rFonts w:ascii="Times New Roman" w:hAnsi="Times New Roman" w:cs="Times New Roman"/>
                <w:noProof/>
                <w:webHidden/>
                <w:sz w:val="24"/>
                <w:szCs w:val="24"/>
              </w:rPr>
              <w:fldChar w:fldCharType="end"/>
            </w:r>
          </w:hyperlink>
        </w:p>
        <w:p w14:paraId="432B2F8C"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798" w:history="1">
            <w:r w:rsidRPr="005B339C">
              <w:rPr>
                <w:rStyle w:val="Hyperlink"/>
                <w:rFonts w:ascii="Times New Roman" w:hAnsi="Times New Roman" w:cs="Times New Roman"/>
                <w:noProof/>
                <w:color w:val="auto"/>
                <w:sz w:val="24"/>
                <w:szCs w:val="24"/>
              </w:rPr>
              <w:t>3.0 Target Audience and Anticipated Impact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_Toc216728798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2</w:t>
            </w:r>
            <w:r w:rsidRPr="005B339C">
              <w:rPr>
                <w:rFonts w:ascii="Times New Roman" w:hAnsi="Times New Roman" w:cs="Times New Roman"/>
                <w:noProof/>
                <w:webHidden/>
                <w:sz w:val="24"/>
                <w:szCs w:val="24"/>
              </w:rPr>
              <w:fldChar w:fldCharType="end"/>
            </w:r>
          </w:hyperlink>
        </w:p>
        <w:p w14:paraId="6ACBF183"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799" w:history="1">
            <w:r w:rsidRPr="005B339C">
              <w:rPr>
                <w:rStyle w:val="Hyperlink"/>
                <w:rFonts w:ascii="Times New Roman" w:hAnsi="Times New Roman" w:cs="Times New Roman"/>
                <w:noProof/>
                <w:color w:val="auto"/>
                <w:sz w:val="24"/>
                <w:szCs w:val="24"/>
              </w:rPr>
              <w:t>3.1 Primary Target Group</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_Toc216728799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2</w:t>
            </w:r>
            <w:r w:rsidRPr="005B339C">
              <w:rPr>
                <w:rFonts w:ascii="Times New Roman" w:hAnsi="Times New Roman" w:cs="Times New Roman"/>
                <w:noProof/>
                <w:webHidden/>
                <w:sz w:val="24"/>
                <w:szCs w:val="24"/>
              </w:rPr>
              <w:fldChar w:fldCharType="end"/>
            </w:r>
          </w:hyperlink>
        </w:p>
        <w:p w14:paraId="2CFD1EC2"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0" w:history="1">
            <w:r w:rsidRPr="005B339C">
              <w:rPr>
                <w:rStyle w:val="Hyperlink"/>
                <w:rFonts w:ascii="Times New Roman" w:hAnsi="Times New Roman" w:cs="Times New Roman"/>
                <w:noProof/>
                <w:color w:val="auto"/>
                <w:sz w:val="24"/>
                <w:szCs w:val="24"/>
              </w:rPr>
              <w:t>3.2 Secondary Target Group</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_Toc216728800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3</w:t>
            </w:r>
            <w:r w:rsidRPr="005B339C">
              <w:rPr>
                <w:rFonts w:ascii="Times New Roman" w:hAnsi="Times New Roman" w:cs="Times New Roman"/>
                <w:noProof/>
                <w:webHidden/>
                <w:sz w:val="24"/>
                <w:szCs w:val="24"/>
              </w:rPr>
              <w:fldChar w:fldCharType="end"/>
            </w:r>
          </w:hyperlink>
        </w:p>
        <w:p w14:paraId="0591CF2C"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1" w:history="1">
            <w:r w:rsidRPr="005B339C">
              <w:rPr>
                <w:rStyle w:val="Hyperlink"/>
                <w:rFonts w:ascii="Times New Roman" w:hAnsi="Times New Roman" w:cs="Times New Roman"/>
                <w:noProof/>
                <w:color w:val="auto"/>
                <w:sz w:val="24"/>
                <w:szCs w:val="24"/>
              </w:rPr>
              <w:t>3.3 Anticipated Impact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_Toc216728801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3</w:t>
            </w:r>
            <w:r w:rsidRPr="005B339C">
              <w:rPr>
                <w:rFonts w:ascii="Times New Roman" w:hAnsi="Times New Roman" w:cs="Times New Roman"/>
                <w:noProof/>
                <w:webHidden/>
                <w:sz w:val="24"/>
                <w:szCs w:val="24"/>
              </w:rPr>
              <w:fldChar w:fldCharType="end"/>
            </w:r>
          </w:hyperlink>
        </w:p>
        <w:p w14:paraId="45C58487"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2" w:history="1">
            <w:r w:rsidRPr="005B339C">
              <w:rPr>
                <w:rStyle w:val="Hyperlink"/>
                <w:rFonts w:ascii="Times New Roman" w:hAnsi="Times New Roman" w:cs="Times New Roman"/>
                <w:noProof/>
                <w:color w:val="auto"/>
                <w:sz w:val="24"/>
                <w:szCs w:val="24"/>
              </w:rPr>
              <w:t>4.0 Implementation Strategy</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_Toc216728802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3</w:t>
            </w:r>
            <w:r w:rsidRPr="005B339C">
              <w:rPr>
                <w:rFonts w:ascii="Times New Roman" w:hAnsi="Times New Roman" w:cs="Times New Roman"/>
                <w:noProof/>
                <w:webHidden/>
                <w:sz w:val="24"/>
                <w:szCs w:val="24"/>
              </w:rPr>
              <w:fldChar w:fldCharType="end"/>
            </w:r>
          </w:hyperlink>
        </w:p>
        <w:p w14:paraId="457A1C10"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03" w:history="1">
            <w:r w:rsidRPr="005B339C">
              <w:rPr>
                <w:rStyle w:val="Hyperlink"/>
                <w:rFonts w:ascii="Times New Roman" w:hAnsi="Times New Roman" w:cs="Times New Roman"/>
                <w:noProof/>
                <w:color w:val="auto"/>
                <w:sz w:val="24"/>
                <w:szCs w:val="24"/>
              </w:rPr>
              <w:t>4.1 Care Model Design</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_Toc216728803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3</w:t>
            </w:r>
            <w:r w:rsidRPr="005B339C">
              <w:rPr>
                <w:rFonts w:ascii="Times New Roman" w:hAnsi="Times New Roman" w:cs="Times New Roman"/>
                <w:noProof/>
                <w:webHidden/>
                <w:sz w:val="24"/>
                <w:szCs w:val="24"/>
              </w:rPr>
              <w:fldChar w:fldCharType="end"/>
            </w:r>
          </w:hyperlink>
        </w:p>
        <w:p w14:paraId="789376AA"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04" w:history="1">
            <w:r w:rsidRPr="005B339C">
              <w:rPr>
                <w:rStyle w:val="Hyperlink"/>
                <w:rFonts w:ascii="Times New Roman" w:hAnsi="Times New Roman" w:cs="Times New Roman"/>
                <w:noProof/>
                <w:color w:val="auto"/>
                <w:sz w:val="24"/>
                <w:szCs w:val="24"/>
              </w:rPr>
              <w:t>4.2 Digital Integration</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_Toc216728804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3</w:t>
            </w:r>
            <w:r w:rsidRPr="005B339C">
              <w:rPr>
                <w:rFonts w:ascii="Times New Roman" w:hAnsi="Times New Roman" w:cs="Times New Roman"/>
                <w:noProof/>
                <w:webHidden/>
                <w:sz w:val="24"/>
                <w:szCs w:val="24"/>
              </w:rPr>
              <w:fldChar w:fldCharType="end"/>
            </w:r>
          </w:hyperlink>
        </w:p>
        <w:p w14:paraId="4C3C4454"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5" w:history="1">
            <w:r w:rsidRPr="005B339C">
              <w:rPr>
                <w:rStyle w:val="Hyperlink"/>
                <w:rFonts w:ascii="Times New Roman" w:eastAsia="Times New Roman" w:hAnsi="Times New Roman" w:cs="Times New Roman"/>
                <w:noProof/>
                <w:color w:val="auto"/>
                <w:sz w:val="24"/>
                <w:szCs w:val="24"/>
                <w:lang w:eastAsia="en-GB"/>
              </w:rPr>
              <w:t>5.0 Timeline for Development and Rollout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_Toc216728805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4</w:t>
            </w:r>
            <w:r w:rsidRPr="005B339C">
              <w:rPr>
                <w:rFonts w:ascii="Times New Roman" w:hAnsi="Times New Roman" w:cs="Times New Roman"/>
                <w:noProof/>
                <w:webHidden/>
                <w:sz w:val="24"/>
                <w:szCs w:val="24"/>
              </w:rPr>
              <w:fldChar w:fldCharType="end"/>
            </w:r>
          </w:hyperlink>
        </w:p>
        <w:p w14:paraId="3F162BFF"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06" w:history="1">
            <w:r w:rsidRPr="005B339C">
              <w:rPr>
                <w:rStyle w:val="Hyperlink"/>
                <w:rFonts w:ascii="Times New Roman" w:eastAsia="Times New Roman" w:hAnsi="Times New Roman" w:cs="Times New Roman"/>
                <w:b/>
                <w:bCs/>
                <w:noProof/>
                <w:color w:val="auto"/>
                <w:kern w:val="0"/>
                <w:sz w:val="24"/>
                <w:szCs w:val="24"/>
                <w:lang w:eastAsia="en-GB"/>
                <w14:ligatures w14:val="none"/>
              </w:rPr>
              <w:t>6.0 Regulation, Policy, and Professional Standards</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_Toc216728806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4</w:t>
            </w:r>
            <w:r w:rsidRPr="005B339C">
              <w:rPr>
                <w:rFonts w:ascii="Times New Roman" w:hAnsi="Times New Roman" w:cs="Times New Roman"/>
                <w:noProof/>
                <w:webHidden/>
                <w:sz w:val="24"/>
                <w:szCs w:val="24"/>
              </w:rPr>
              <w:fldChar w:fldCharType="end"/>
            </w:r>
          </w:hyperlink>
        </w:p>
        <w:p w14:paraId="50A2BB8A"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7" w:history="1">
            <w:r w:rsidRPr="005B339C">
              <w:rPr>
                <w:rStyle w:val="Hyperlink"/>
                <w:rFonts w:ascii="Times New Roman" w:eastAsia="Times New Roman" w:hAnsi="Times New Roman" w:cs="Times New Roman"/>
                <w:noProof/>
                <w:color w:val="auto"/>
                <w:sz w:val="24"/>
                <w:szCs w:val="24"/>
                <w:lang w:eastAsia="en-GB"/>
              </w:rPr>
              <w:t>7.0 Technology Integration and Innovation Value</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_Toc216728807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4</w:t>
            </w:r>
            <w:r w:rsidRPr="005B339C">
              <w:rPr>
                <w:rFonts w:ascii="Times New Roman" w:hAnsi="Times New Roman" w:cs="Times New Roman"/>
                <w:noProof/>
                <w:webHidden/>
                <w:sz w:val="24"/>
                <w:szCs w:val="24"/>
              </w:rPr>
              <w:fldChar w:fldCharType="end"/>
            </w:r>
          </w:hyperlink>
        </w:p>
        <w:p w14:paraId="0E01782D"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8" w:history="1">
            <w:r w:rsidRPr="005B339C">
              <w:rPr>
                <w:rStyle w:val="Hyperlink"/>
                <w:rFonts w:ascii="Times New Roman" w:eastAsia="Times New Roman" w:hAnsi="Times New Roman" w:cs="Times New Roman"/>
                <w:noProof/>
                <w:color w:val="auto"/>
                <w:sz w:val="24"/>
                <w:szCs w:val="24"/>
                <w:lang w:eastAsia="en-GB"/>
              </w:rPr>
              <w:t>8.0 Dissemination and Promotion Strategy</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_Toc216728808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4</w:t>
            </w:r>
            <w:r w:rsidRPr="005B339C">
              <w:rPr>
                <w:rFonts w:ascii="Times New Roman" w:hAnsi="Times New Roman" w:cs="Times New Roman"/>
                <w:noProof/>
                <w:webHidden/>
                <w:sz w:val="24"/>
                <w:szCs w:val="24"/>
              </w:rPr>
              <w:fldChar w:fldCharType="end"/>
            </w:r>
          </w:hyperlink>
        </w:p>
        <w:p w14:paraId="696BFE0F"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09" w:history="1">
            <w:r w:rsidRPr="005B339C">
              <w:rPr>
                <w:rStyle w:val="Hyperlink"/>
                <w:rFonts w:ascii="Times New Roman" w:eastAsia="Times New Roman" w:hAnsi="Times New Roman" w:cs="Times New Roman"/>
                <w:noProof/>
                <w:color w:val="auto"/>
                <w:sz w:val="24"/>
                <w:szCs w:val="24"/>
                <w:lang w:eastAsia="en-GB"/>
              </w:rPr>
              <w:t>9.0 Poster Conclusion</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_Toc216728809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5</w:t>
            </w:r>
            <w:r w:rsidRPr="005B339C">
              <w:rPr>
                <w:rFonts w:ascii="Times New Roman" w:hAnsi="Times New Roman" w:cs="Times New Roman"/>
                <w:noProof/>
                <w:webHidden/>
                <w:sz w:val="24"/>
                <w:szCs w:val="24"/>
              </w:rPr>
              <w:fldChar w:fldCharType="end"/>
            </w:r>
          </w:hyperlink>
        </w:p>
        <w:p w14:paraId="6EFE69A0" w14:textId="77777777" w:rsidR="005B339C" w:rsidRPr="005B339C" w:rsidRDefault="005B339C" w:rsidP="005B339C">
          <w:pPr>
            <w:pStyle w:val="TOC1"/>
            <w:tabs>
              <w:tab w:val="right" w:leader="dot" w:pos="9016"/>
            </w:tabs>
            <w:spacing w:before="0" w:line="360" w:lineRule="auto"/>
            <w:jc w:val="both"/>
            <w:rPr>
              <w:rFonts w:ascii="Times New Roman" w:hAnsi="Times New Roman" w:cs="Times New Roman"/>
              <w:noProof/>
              <w:sz w:val="24"/>
              <w:szCs w:val="24"/>
            </w:rPr>
          </w:pPr>
          <w:hyperlink w:anchor="_Toc216728810" w:history="1">
            <w:r w:rsidRPr="005B339C">
              <w:rPr>
                <w:rStyle w:val="Hyperlink"/>
                <w:rFonts w:ascii="Times New Roman" w:eastAsia="Times New Roman" w:hAnsi="Times New Roman" w:cs="Times New Roman"/>
                <w:noProof/>
                <w:color w:val="auto"/>
                <w:sz w:val="24"/>
                <w:szCs w:val="24"/>
                <w:lang w:eastAsia="en-GB"/>
              </w:rPr>
              <w:t>PITCH CONTENT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_Toc216728810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6</w:t>
            </w:r>
            <w:r w:rsidRPr="005B339C">
              <w:rPr>
                <w:rFonts w:ascii="Times New Roman" w:hAnsi="Times New Roman" w:cs="Times New Roman"/>
                <w:noProof/>
                <w:webHidden/>
                <w:sz w:val="24"/>
                <w:szCs w:val="24"/>
              </w:rPr>
              <w:fldChar w:fldCharType="end"/>
            </w:r>
          </w:hyperlink>
        </w:p>
        <w:p w14:paraId="312719B5"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11" w:history="1">
            <w:r w:rsidRPr="005B339C">
              <w:rPr>
                <w:rStyle w:val="Hyperlink"/>
                <w:rFonts w:ascii="Times New Roman" w:eastAsia="Times New Roman" w:hAnsi="Times New Roman" w:cs="Times New Roman"/>
                <w:noProof/>
                <w:color w:val="auto"/>
                <w:sz w:val="24"/>
                <w:szCs w:val="24"/>
                <w:lang w:eastAsia="en-GB"/>
              </w:rPr>
              <w:t>10.0 Introduction and Rationale</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_Toc216728811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6</w:t>
            </w:r>
            <w:r w:rsidRPr="005B339C">
              <w:rPr>
                <w:rFonts w:ascii="Times New Roman" w:hAnsi="Times New Roman" w:cs="Times New Roman"/>
                <w:noProof/>
                <w:webHidden/>
                <w:sz w:val="24"/>
                <w:szCs w:val="24"/>
              </w:rPr>
              <w:fldChar w:fldCharType="end"/>
            </w:r>
          </w:hyperlink>
        </w:p>
        <w:p w14:paraId="441214E3"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12" w:history="1">
            <w:r w:rsidRPr="005B339C">
              <w:rPr>
                <w:rStyle w:val="Hyperlink"/>
                <w:rFonts w:ascii="Times New Roman" w:eastAsia="Times New Roman" w:hAnsi="Times New Roman" w:cs="Times New Roman"/>
                <w:noProof/>
                <w:color w:val="auto"/>
                <w:sz w:val="24"/>
                <w:szCs w:val="24"/>
                <w:lang w:eastAsia="en-GB"/>
              </w:rPr>
              <w:t>11.0 Evidence Base Supporting the Innovation</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_Toc216728812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6</w:t>
            </w:r>
            <w:r w:rsidRPr="005B339C">
              <w:rPr>
                <w:rFonts w:ascii="Times New Roman" w:hAnsi="Times New Roman" w:cs="Times New Roman"/>
                <w:noProof/>
                <w:webHidden/>
                <w:sz w:val="24"/>
                <w:szCs w:val="24"/>
              </w:rPr>
              <w:fldChar w:fldCharType="end"/>
            </w:r>
          </w:hyperlink>
        </w:p>
        <w:p w14:paraId="04B82408"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13" w:history="1">
            <w:r w:rsidRPr="005B339C">
              <w:rPr>
                <w:rStyle w:val="Hyperlink"/>
                <w:rFonts w:ascii="Times New Roman" w:eastAsia="Times New Roman" w:hAnsi="Times New Roman" w:cs="Times New Roman"/>
                <w:b/>
                <w:bCs/>
                <w:noProof/>
                <w:color w:val="auto"/>
                <w:kern w:val="0"/>
                <w:sz w:val="24"/>
                <w:szCs w:val="24"/>
                <w:lang w:eastAsia="en-GB"/>
                <w14:ligatures w14:val="none"/>
              </w:rPr>
              <w:t>12.0 Value Creation for the Common Good</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_Toc216728813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7</w:t>
            </w:r>
            <w:r w:rsidRPr="005B339C">
              <w:rPr>
                <w:rFonts w:ascii="Times New Roman" w:hAnsi="Times New Roman" w:cs="Times New Roman"/>
                <w:noProof/>
                <w:webHidden/>
                <w:sz w:val="24"/>
                <w:szCs w:val="24"/>
              </w:rPr>
              <w:fldChar w:fldCharType="end"/>
            </w:r>
          </w:hyperlink>
        </w:p>
        <w:p w14:paraId="274AF909"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14" w:history="1">
            <w:r w:rsidRPr="005B339C">
              <w:rPr>
                <w:rStyle w:val="Hyperlink"/>
                <w:rFonts w:ascii="Times New Roman" w:eastAsia="Times New Roman" w:hAnsi="Times New Roman" w:cs="Times New Roman"/>
                <w:b/>
                <w:bCs/>
                <w:noProof/>
                <w:color w:val="auto"/>
                <w:kern w:val="0"/>
                <w:sz w:val="24"/>
                <w:szCs w:val="24"/>
                <w:lang w:eastAsia="en-GB"/>
                <w14:ligatures w14:val="none"/>
              </w:rPr>
              <w:t>13.0 Workforce Sustainability and Professional Development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_Toc216728814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8</w:t>
            </w:r>
            <w:r w:rsidRPr="005B339C">
              <w:rPr>
                <w:rFonts w:ascii="Times New Roman" w:hAnsi="Times New Roman" w:cs="Times New Roman"/>
                <w:noProof/>
                <w:webHidden/>
                <w:sz w:val="24"/>
                <w:szCs w:val="24"/>
              </w:rPr>
              <w:fldChar w:fldCharType="end"/>
            </w:r>
          </w:hyperlink>
        </w:p>
        <w:p w14:paraId="0240959B"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15" w:history="1">
            <w:r w:rsidRPr="005B339C">
              <w:rPr>
                <w:rStyle w:val="Hyperlink"/>
                <w:rFonts w:ascii="Times New Roman" w:eastAsia="Times New Roman" w:hAnsi="Times New Roman" w:cs="Times New Roman"/>
                <w:b/>
                <w:bCs/>
                <w:noProof/>
                <w:color w:val="auto"/>
                <w:kern w:val="0"/>
                <w:sz w:val="24"/>
                <w:szCs w:val="24"/>
                <w:lang w:eastAsia="en-GB"/>
                <w14:ligatures w14:val="none"/>
              </w:rPr>
              <w:t>14.0 Ethical, Legal, and Policy Considerations</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_Toc216728815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8</w:t>
            </w:r>
            <w:r w:rsidRPr="005B339C">
              <w:rPr>
                <w:rFonts w:ascii="Times New Roman" w:hAnsi="Times New Roman" w:cs="Times New Roman"/>
                <w:noProof/>
                <w:webHidden/>
                <w:sz w:val="24"/>
                <w:szCs w:val="24"/>
              </w:rPr>
              <w:fldChar w:fldCharType="end"/>
            </w:r>
          </w:hyperlink>
        </w:p>
        <w:p w14:paraId="02B80BCB" w14:textId="77777777" w:rsidR="005B339C" w:rsidRPr="005B339C" w:rsidRDefault="005B339C" w:rsidP="005B339C">
          <w:pPr>
            <w:pStyle w:val="TOC3"/>
            <w:tabs>
              <w:tab w:val="right" w:leader="dot" w:pos="9016"/>
            </w:tabs>
            <w:spacing w:line="360" w:lineRule="auto"/>
            <w:jc w:val="both"/>
            <w:rPr>
              <w:rFonts w:ascii="Times New Roman" w:hAnsi="Times New Roman" w:cs="Times New Roman"/>
              <w:noProof/>
              <w:sz w:val="24"/>
              <w:szCs w:val="24"/>
            </w:rPr>
          </w:pPr>
          <w:hyperlink w:anchor="_Toc216728816" w:history="1">
            <w:r w:rsidRPr="005B339C">
              <w:rPr>
                <w:rStyle w:val="Hyperlink"/>
                <w:rFonts w:ascii="Times New Roman" w:eastAsia="Times New Roman" w:hAnsi="Times New Roman" w:cs="Times New Roman"/>
                <w:b/>
                <w:bCs/>
                <w:noProof/>
                <w:color w:val="auto"/>
                <w:kern w:val="0"/>
                <w:sz w:val="24"/>
                <w:szCs w:val="24"/>
                <w:lang w:eastAsia="en-GB"/>
                <w14:ligatures w14:val="none"/>
              </w:rPr>
              <w:t>15.0 Limitations and Risk Management</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_Toc216728816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8</w:t>
            </w:r>
            <w:r w:rsidRPr="005B339C">
              <w:rPr>
                <w:rFonts w:ascii="Times New Roman" w:hAnsi="Times New Roman" w:cs="Times New Roman"/>
                <w:noProof/>
                <w:webHidden/>
                <w:sz w:val="24"/>
                <w:szCs w:val="24"/>
              </w:rPr>
              <w:fldChar w:fldCharType="end"/>
            </w:r>
          </w:hyperlink>
        </w:p>
        <w:p w14:paraId="69A90BDD"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17" w:history="1">
            <w:r w:rsidRPr="005B339C">
              <w:rPr>
                <w:rStyle w:val="Hyperlink"/>
                <w:rFonts w:ascii="Times New Roman" w:eastAsia="Times New Roman" w:hAnsi="Times New Roman" w:cs="Times New Roman"/>
                <w:noProof/>
                <w:color w:val="auto"/>
                <w:sz w:val="24"/>
                <w:szCs w:val="24"/>
                <w:lang w:eastAsia="en-GB"/>
              </w:rPr>
              <w:t>16.0 Conclusion of Pitch</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_Toc216728817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8</w:t>
            </w:r>
            <w:r w:rsidRPr="005B339C">
              <w:rPr>
                <w:rFonts w:ascii="Times New Roman" w:hAnsi="Times New Roman" w:cs="Times New Roman"/>
                <w:noProof/>
                <w:webHidden/>
                <w:sz w:val="24"/>
                <w:szCs w:val="24"/>
              </w:rPr>
              <w:fldChar w:fldCharType="end"/>
            </w:r>
          </w:hyperlink>
        </w:p>
        <w:p w14:paraId="15391911" w14:textId="77777777" w:rsidR="005B339C" w:rsidRPr="005B339C" w:rsidRDefault="005B339C" w:rsidP="005B339C">
          <w:pPr>
            <w:pStyle w:val="TOC2"/>
            <w:tabs>
              <w:tab w:val="right" w:leader="dot" w:pos="9016"/>
            </w:tabs>
            <w:spacing w:line="360" w:lineRule="auto"/>
            <w:jc w:val="both"/>
            <w:rPr>
              <w:rFonts w:ascii="Times New Roman" w:hAnsi="Times New Roman" w:cs="Times New Roman"/>
              <w:noProof/>
              <w:sz w:val="24"/>
              <w:szCs w:val="24"/>
            </w:rPr>
          </w:pPr>
          <w:hyperlink w:anchor="_Toc216728818" w:history="1">
            <w:r w:rsidRPr="005B339C">
              <w:rPr>
                <w:rStyle w:val="Hyperlink"/>
                <w:rFonts w:ascii="Times New Roman" w:eastAsia="Times New Roman" w:hAnsi="Times New Roman" w:cs="Times New Roman"/>
                <w:noProof/>
                <w:color w:val="auto"/>
                <w:sz w:val="24"/>
                <w:szCs w:val="24"/>
                <w:lang w:eastAsia="en-GB"/>
              </w:rPr>
              <w:t>References</w:t>
            </w:r>
            <w:r w:rsidRPr="005B339C">
              <w:rPr>
                <w:rFonts w:ascii="Times New Roman" w:hAnsi="Times New Roman" w:cs="Times New Roman"/>
                <w:noProof/>
                <w:webHidden/>
                <w:sz w:val="24"/>
                <w:szCs w:val="24"/>
              </w:rPr>
              <w:tab/>
            </w:r>
            <w:r w:rsidRPr="005B339C">
              <w:rPr>
                <w:rFonts w:ascii="Times New Roman" w:hAnsi="Times New Roman" w:cs="Times New Roman"/>
                <w:noProof/>
                <w:webHidden/>
                <w:sz w:val="24"/>
                <w:szCs w:val="24"/>
              </w:rPr>
              <w:fldChar w:fldCharType="begin"/>
            </w:r>
            <w:r w:rsidRPr="005B339C">
              <w:rPr>
                <w:rFonts w:ascii="Times New Roman" w:hAnsi="Times New Roman" w:cs="Times New Roman"/>
                <w:noProof/>
                <w:webHidden/>
                <w:sz w:val="24"/>
                <w:szCs w:val="24"/>
              </w:rPr>
              <w:instrText xml:space="preserve"> PAGEREF _Toc216728818 \h </w:instrText>
            </w:r>
            <w:r w:rsidRPr="005B339C">
              <w:rPr>
                <w:rFonts w:ascii="Times New Roman" w:hAnsi="Times New Roman" w:cs="Times New Roman"/>
                <w:noProof/>
                <w:webHidden/>
                <w:sz w:val="24"/>
                <w:szCs w:val="24"/>
              </w:rPr>
            </w:r>
            <w:r w:rsidRPr="005B339C">
              <w:rPr>
                <w:rFonts w:ascii="Times New Roman" w:hAnsi="Times New Roman" w:cs="Times New Roman"/>
                <w:noProof/>
                <w:webHidden/>
                <w:sz w:val="24"/>
                <w:szCs w:val="24"/>
              </w:rPr>
              <w:fldChar w:fldCharType="separate"/>
            </w:r>
            <w:r w:rsidRPr="005B339C">
              <w:rPr>
                <w:rFonts w:ascii="Times New Roman" w:hAnsi="Times New Roman" w:cs="Times New Roman"/>
                <w:noProof/>
                <w:webHidden/>
                <w:sz w:val="24"/>
                <w:szCs w:val="24"/>
              </w:rPr>
              <w:t>9</w:t>
            </w:r>
            <w:r w:rsidRPr="005B339C">
              <w:rPr>
                <w:rFonts w:ascii="Times New Roman" w:hAnsi="Times New Roman" w:cs="Times New Roman"/>
                <w:noProof/>
                <w:webHidden/>
                <w:sz w:val="24"/>
                <w:szCs w:val="24"/>
              </w:rPr>
              <w:fldChar w:fldCharType="end"/>
            </w:r>
          </w:hyperlink>
        </w:p>
        <w:p w14:paraId="4A834FB5" w14:textId="77777777" w:rsidR="005B339C" w:rsidRDefault="005B339C" w:rsidP="005B339C">
          <w:pPr>
            <w:spacing w:line="360" w:lineRule="auto"/>
            <w:jc w:val="both"/>
          </w:pPr>
          <w:r w:rsidRPr="005B339C">
            <w:rPr>
              <w:rFonts w:ascii="Times New Roman" w:hAnsi="Times New Roman" w:cs="Times New Roman"/>
              <w:b/>
              <w:bCs/>
              <w:noProof/>
            </w:rPr>
            <w:fldChar w:fldCharType="end"/>
          </w:r>
        </w:p>
      </w:sdtContent>
    </w:sdt>
    <w:p w14:paraId="2A95A4E0" w14:textId="77777777" w:rsidR="00023AB3" w:rsidRPr="00023AB3" w:rsidRDefault="00023AB3" w:rsidP="00023AB3">
      <w:pPr>
        <w:rPr>
          <w:rFonts w:ascii="Times New Roman" w:hAnsi="Times New Roman" w:cs="Times New Roman"/>
          <w:lang w:eastAsia="en-GB"/>
        </w:rPr>
      </w:pPr>
    </w:p>
    <w:p w14:paraId="49E30236" w14:textId="77777777" w:rsidR="00F06174" w:rsidRPr="00F06174" w:rsidRDefault="00F06174" w:rsidP="00C644FB">
      <w:pPr>
        <w:pStyle w:val="Heading1"/>
        <w:rPr>
          <w:rFonts w:eastAsia="Times New Roman"/>
          <w:lang w:eastAsia="en-GB"/>
        </w:rPr>
      </w:pPr>
    </w:p>
    <w:p w14:paraId="24D8AD7B" w14:textId="77777777" w:rsidR="00023AB3" w:rsidRDefault="00023AB3">
      <w:pPr>
        <w:rPr>
          <w:rFonts w:ascii="Times New Roman" w:eastAsia="Times New Roman" w:hAnsi="Times New Roman" w:cstheme="majorBidi"/>
          <w:b/>
          <w:bCs/>
          <w:szCs w:val="26"/>
          <w:lang w:eastAsia="en-GB"/>
        </w:rPr>
      </w:pPr>
      <w:r>
        <w:rPr>
          <w:rFonts w:eastAsia="Times New Roman"/>
          <w:lang w:eastAsia="en-GB"/>
        </w:rPr>
        <w:br w:type="page"/>
      </w:r>
    </w:p>
    <w:p w14:paraId="278415B0" w14:textId="77777777" w:rsidR="00F06174" w:rsidRPr="00F06174" w:rsidRDefault="00F06174" w:rsidP="00540F8C">
      <w:pPr>
        <w:pStyle w:val="Heading2"/>
        <w:rPr>
          <w:rFonts w:eastAsia="Times New Roman"/>
          <w:lang w:eastAsia="en-GB"/>
        </w:rPr>
      </w:pPr>
      <w:bookmarkStart w:id="1" w:name="_Toc216728796"/>
      <w:r>
        <w:rPr>
          <w:rFonts w:eastAsia="Times New Roman"/>
          <w:lang w:eastAsia="en-GB"/>
        </w:rPr>
        <w:lastRenderedPageBreak/>
        <w:t>1.</w:t>
      </w:r>
      <w:r w:rsidRPr="00F06174">
        <w:rPr>
          <w:rFonts w:eastAsia="Times New Roman"/>
          <w:lang w:eastAsia="en-GB"/>
        </w:rPr>
        <w:t>0 Innovation Overview</w:t>
      </w:r>
      <w:bookmarkEnd w:id="1"/>
    </w:p>
    <w:p w14:paraId="1140B7CA" w14:textId="77777777" w:rsidR="00EA2949" w:rsidRPr="00EA2949" w:rsidRDefault="00EA2949" w:rsidP="00EA2949">
      <w:pPr>
        <w:spacing w:after="0" w:line="360" w:lineRule="auto"/>
        <w:jc w:val="both"/>
        <w:rPr>
          <w:rFonts w:ascii="Times New Roman" w:eastAsia="Times New Roman" w:hAnsi="Times New Roman" w:cs="Times New Roman"/>
          <w:kern w:val="0"/>
          <w:lang w:eastAsia="en-GB"/>
          <w14:ligatures w14:val="none"/>
        </w:rPr>
      </w:pPr>
      <w:r w:rsidRPr="00EA2949">
        <w:rPr>
          <w:rFonts w:ascii="Times New Roman" w:eastAsia="Times New Roman" w:hAnsi="Times New Roman" w:cs="Times New Roman"/>
          <w:kern w:val="0"/>
          <w:lang w:eastAsia="en-GB"/>
          <w14:ligatures w14:val="none"/>
        </w:rPr>
        <w:t>Mid</w:t>
      </w:r>
      <w:r>
        <w:rPr>
          <w:rFonts w:ascii="Times New Roman" w:eastAsia="Times New Roman" w:hAnsi="Times New Roman" w:cs="Times New Roman"/>
          <w:kern w:val="0"/>
          <w:lang w:eastAsia="en-GB"/>
          <w14:ligatures w14:val="none"/>
        </w:rPr>
        <w:t xml:space="preserve"> </w:t>
      </w:r>
      <w:r w:rsidRPr="00EA2949">
        <w:rPr>
          <w:rFonts w:ascii="Times New Roman" w:eastAsia="Times New Roman" w:hAnsi="Times New Roman" w:cs="Times New Roman"/>
          <w:kern w:val="0"/>
          <w:lang w:eastAsia="en-GB"/>
          <w14:ligatures w14:val="none"/>
        </w:rPr>
        <w:t>Connect is a novel, midwifery-led continuity-of-care initiative which aims to integrate conventional face-to-face access to reproductive health care with digital technology in a way which improves the accessibility and sustainability of midwifery practice in the United Kingdom. Mid</w:t>
      </w:r>
      <w:r>
        <w:rPr>
          <w:rFonts w:ascii="Times New Roman" w:eastAsia="Times New Roman" w:hAnsi="Times New Roman" w:cs="Times New Roman"/>
          <w:kern w:val="0"/>
          <w:lang w:eastAsia="en-GB"/>
          <w14:ligatures w14:val="none"/>
        </w:rPr>
        <w:t xml:space="preserve"> </w:t>
      </w:r>
      <w:r w:rsidRPr="00EA2949">
        <w:rPr>
          <w:rFonts w:ascii="Times New Roman" w:eastAsia="Times New Roman" w:hAnsi="Times New Roman" w:cs="Times New Roman"/>
          <w:kern w:val="0"/>
          <w:lang w:eastAsia="en-GB"/>
          <w14:ligatures w14:val="none"/>
        </w:rPr>
        <w:t>Connect is based on evidence that shows continuity-of-care access leads to improved reproductive health outcomes, service satisfaction, and professional practice (Eri et al., 2020).</w:t>
      </w:r>
    </w:p>
    <w:p w14:paraId="7AD7725B" w14:textId="77777777" w:rsidR="00F06174" w:rsidRPr="00F06174" w:rsidRDefault="00EA2949" w:rsidP="00F06174">
      <w:pPr>
        <w:spacing w:after="0" w:line="360" w:lineRule="auto"/>
        <w:jc w:val="both"/>
        <w:rPr>
          <w:rFonts w:ascii="Times New Roman" w:eastAsia="Times New Roman" w:hAnsi="Times New Roman" w:cs="Times New Roman"/>
          <w:kern w:val="0"/>
          <w:lang w:eastAsia="en-GB"/>
          <w14:ligatures w14:val="none"/>
        </w:rPr>
      </w:pPr>
      <w:r w:rsidRPr="00EA2949">
        <w:rPr>
          <w:rFonts w:ascii="Times New Roman" w:eastAsia="Times New Roman" w:hAnsi="Times New Roman" w:cs="Times New Roman"/>
          <w:kern w:val="0"/>
          <w:lang w:eastAsia="en-GB"/>
          <w14:ligatures w14:val="none"/>
        </w:rPr>
        <w:t>The model provides support to pregnant women during the antenatal, intrapartum, and postnatal phases, ensuring a persistent connection with a named midwife supplemented by online support systems. Mid</w:t>
      </w:r>
      <w:r>
        <w:rPr>
          <w:rFonts w:ascii="Times New Roman" w:eastAsia="Times New Roman" w:hAnsi="Times New Roman" w:cs="Times New Roman"/>
          <w:kern w:val="0"/>
          <w:lang w:eastAsia="en-GB"/>
          <w14:ligatures w14:val="none"/>
        </w:rPr>
        <w:t xml:space="preserve"> </w:t>
      </w:r>
      <w:r w:rsidRPr="00EA2949">
        <w:rPr>
          <w:rFonts w:ascii="Times New Roman" w:eastAsia="Times New Roman" w:hAnsi="Times New Roman" w:cs="Times New Roman"/>
          <w:kern w:val="0"/>
          <w:lang w:eastAsia="en-GB"/>
          <w14:ligatures w14:val="none"/>
        </w:rPr>
        <w:t>Connect, a blend of relational support and online solutions, addresses a creative and need-driven response to present-day challenges faced by maternity service settings.</w:t>
      </w:r>
    </w:p>
    <w:p w14:paraId="364B132E" w14:textId="77777777" w:rsidR="00F06174" w:rsidRPr="00F06174" w:rsidRDefault="00EA2949" w:rsidP="00540F8C">
      <w:pPr>
        <w:pStyle w:val="Heading2"/>
        <w:rPr>
          <w:rFonts w:eastAsia="Times New Roman"/>
          <w:lang w:eastAsia="en-GB"/>
        </w:rPr>
      </w:pPr>
      <w:bookmarkStart w:id="2" w:name="_Toc216728797"/>
      <w:r>
        <w:rPr>
          <w:rFonts w:eastAsia="Times New Roman"/>
          <w:lang w:eastAsia="en-GB"/>
        </w:rPr>
        <w:t>2</w:t>
      </w:r>
      <w:r w:rsidR="00F06174" w:rsidRPr="00F06174">
        <w:rPr>
          <w:rFonts w:eastAsia="Times New Roman"/>
          <w:lang w:eastAsia="en-GB"/>
        </w:rPr>
        <w:t>.0 The Issue and Gaps in Health and Social Care</w:t>
      </w:r>
      <w:bookmarkEnd w:id="2"/>
    </w:p>
    <w:p w14:paraId="792BAAF1" w14:textId="77777777" w:rsidR="00F06174" w:rsidRPr="00F06174" w:rsidRDefault="00EA2949" w:rsidP="00F06174">
      <w:pPr>
        <w:spacing w:after="0" w:line="360" w:lineRule="auto"/>
        <w:jc w:val="both"/>
        <w:rPr>
          <w:rFonts w:ascii="Times New Roman" w:eastAsia="Times New Roman" w:hAnsi="Times New Roman" w:cs="Times New Roman"/>
          <w:kern w:val="0"/>
          <w:lang w:eastAsia="en-GB"/>
          <w14:ligatures w14:val="none"/>
        </w:rPr>
      </w:pPr>
      <w:r w:rsidRPr="00EA2949">
        <w:rPr>
          <w:rFonts w:ascii="Times New Roman" w:eastAsia="Times New Roman" w:hAnsi="Times New Roman" w:cs="Times New Roman"/>
          <w:kern w:val="0"/>
          <w:lang w:eastAsia="en-GB"/>
          <w14:ligatures w14:val="none"/>
        </w:rPr>
        <w:t xml:space="preserve">Although continuity of care approaches has been advocated for in policies, maternity healthcare in the United Kingdom is fragmented. Most women interact with different healthcare providers, which affects trust, safety, and individualized attention in healthcare (Eri et al., 2020). Those with social risk factors such as socio-economic difficulties, poor mental health, and poor family support systems are most impacted by fragmented healthcare delivery (Rayment-Jones et al., 2020). </w:t>
      </w:r>
    </w:p>
    <w:p w14:paraId="1B49DA96" w14:textId="77777777" w:rsidR="00EA2949" w:rsidRDefault="008B6C61" w:rsidP="00540F8C">
      <w:pPr>
        <w:pStyle w:val="Heading2"/>
      </w:pPr>
      <w:bookmarkStart w:id="3" w:name="_Toc216728798"/>
      <w:r>
        <w:rPr>
          <w:rStyle w:val="Strong"/>
          <w:b/>
          <w:bCs/>
        </w:rPr>
        <w:t>3</w:t>
      </w:r>
      <w:r w:rsidR="00EA2949">
        <w:rPr>
          <w:rStyle w:val="Strong"/>
          <w:b/>
          <w:bCs/>
        </w:rPr>
        <w:t>.0 Target Audience and Anticipated Impact</w:t>
      </w:r>
      <w:bookmarkEnd w:id="3"/>
    </w:p>
    <w:p w14:paraId="7B5369DB" w14:textId="77777777" w:rsidR="00EA2949" w:rsidRDefault="00540F8C" w:rsidP="00540F8C">
      <w:pPr>
        <w:pStyle w:val="NormalWeb"/>
        <w:spacing w:after="0" w:line="360" w:lineRule="auto"/>
        <w:jc w:val="both"/>
      </w:pPr>
      <w:r w:rsidRPr="00540F8C">
        <w:t>The MidConnect innovation is designed in such a way that it will produce benefits for different stakeholders in the health and social care setting in the United Kingdom. Through focusing on both service users and service providers, this innovation promotes patient-centric care and solves a system problem in maternity services.</w:t>
      </w:r>
    </w:p>
    <w:p w14:paraId="4A10EDB2" w14:textId="77777777" w:rsidR="00EA2949" w:rsidRPr="00540F8C" w:rsidRDefault="008B6C61" w:rsidP="00540F8C">
      <w:pPr>
        <w:pStyle w:val="Heading2"/>
      </w:pPr>
      <w:bookmarkStart w:id="4" w:name="_Toc216728799"/>
      <w:r>
        <w:rPr>
          <w:rStyle w:val="Strong"/>
          <w:b/>
          <w:bCs/>
        </w:rPr>
        <w:t>3</w:t>
      </w:r>
      <w:r w:rsidR="00EA2949" w:rsidRPr="00540F8C">
        <w:rPr>
          <w:rStyle w:val="Strong"/>
          <w:b/>
          <w:bCs/>
        </w:rPr>
        <w:t>.1 Primary Target Group</w:t>
      </w:r>
      <w:bookmarkEnd w:id="4"/>
    </w:p>
    <w:p w14:paraId="067B9850" w14:textId="77777777" w:rsidR="00540F8C" w:rsidRDefault="00540F8C" w:rsidP="00540F8C">
      <w:pPr>
        <w:pStyle w:val="NormalWeb"/>
        <w:spacing w:after="0" w:line="360" w:lineRule="auto"/>
        <w:jc w:val="both"/>
      </w:pPr>
      <w:r>
        <w:t>The main target population for MidConnect is pregnant women or those who have given birth recently and are in touch with NHS maternity services, with a focus on those in need of continuing support in antenatal, intrapartum, and postnatal periods. Continuity of care models have proven to make a positive impact on improving women’s experiences in terms of developing a trusting relationship with named midwives, improving communication, and increasing a sense of safety and feeling assured (Eri et al., 2020).</w:t>
      </w:r>
    </w:p>
    <w:p w14:paraId="4E8EF5F3" w14:textId="77777777" w:rsidR="00EA2949" w:rsidRDefault="00540F8C" w:rsidP="00540F8C">
      <w:pPr>
        <w:pStyle w:val="NormalWeb"/>
        <w:spacing w:after="0" w:line="360" w:lineRule="auto"/>
        <w:jc w:val="both"/>
      </w:pPr>
      <w:r>
        <w:t xml:space="preserve">One such priority group comprises women with a higher level of medical and social risk, including those with intrinsic socioeconomic disadvantage, existing mental health issues, or a lack of social support. Current literature highlights an identifiable benefit for such women under schemes concerning continuity of care, where continuity with a midwifery team enables </w:t>
      </w:r>
      <w:r>
        <w:lastRenderedPageBreak/>
        <w:t>early identification of risk and equitable access to healthcare with improved health outcomes (Rayment-Jones et al., 2020). MidConnect brings these elements together.</w:t>
      </w:r>
    </w:p>
    <w:p w14:paraId="5D7E50A7" w14:textId="77777777" w:rsidR="00EA2949" w:rsidRDefault="008B6C61" w:rsidP="00540F8C">
      <w:pPr>
        <w:pStyle w:val="Heading2"/>
      </w:pPr>
      <w:bookmarkStart w:id="5" w:name="_Toc216728800"/>
      <w:r>
        <w:rPr>
          <w:rStyle w:val="Strong"/>
          <w:b/>
          <w:bCs/>
        </w:rPr>
        <w:t>3</w:t>
      </w:r>
      <w:r w:rsidR="00EA2949">
        <w:rPr>
          <w:rStyle w:val="Strong"/>
          <w:b/>
          <w:bCs/>
        </w:rPr>
        <w:t>.2 Secondary Target Group</w:t>
      </w:r>
      <w:bookmarkEnd w:id="5"/>
    </w:p>
    <w:p w14:paraId="51E90DA7" w14:textId="77777777" w:rsidR="00EA2949" w:rsidRDefault="00540F8C" w:rsidP="00540F8C">
      <w:pPr>
        <w:pStyle w:val="NormalWeb"/>
        <w:spacing w:after="0" w:line="360" w:lineRule="auto"/>
        <w:jc w:val="both"/>
      </w:pPr>
      <w:r>
        <w:t>The secondary target population will include midwives and other practitioners working in both NHS Trusts and community health environments. MidConnect assists in smoothening professional working by alleviating fragmented working, improving communications, and facilitating more efficient working practices in providing patient care. Empirical literature shows that support models and continuity had a positive impact on levels of satisfaction and staff retention (Alemu et al., 2024). In addition, NHS Trusts and community health services benefit from this innovation in terms of increased service efficiency, reduced service duplication, and better service planning. The integration of technology promotes flexible service delivery and respects professional and regulatory standards.</w:t>
      </w:r>
    </w:p>
    <w:p w14:paraId="74BDAA96" w14:textId="77777777" w:rsidR="00EA2949" w:rsidRPr="00540F8C" w:rsidRDefault="008B6C61" w:rsidP="00540F8C">
      <w:pPr>
        <w:pStyle w:val="Heading2"/>
      </w:pPr>
      <w:bookmarkStart w:id="6" w:name="_Toc216728801"/>
      <w:r>
        <w:rPr>
          <w:rStyle w:val="Strong"/>
          <w:b/>
          <w:bCs/>
        </w:rPr>
        <w:t>3</w:t>
      </w:r>
      <w:r w:rsidR="00EA2949" w:rsidRPr="00540F8C">
        <w:rPr>
          <w:rStyle w:val="Strong"/>
          <w:b/>
          <w:bCs/>
        </w:rPr>
        <w:t>.3 Anticipated Impact</w:t>
      </w:r>
      <w:bookmarkEnd w:id="6"/>
    </w:p>
    <w:p w14:paraId="2B46446A" w14:textId="77777777" w:rsidR="004F4C79" w:rsidRDefault="004F4C79" w:rsidP="00864C85">
      <w:pPr>
        <w:pStyle w:val="NormalWeb"/>
        <w:spacing w:after="0" w:line="360" w:lineRule="auto"/>
        <w:jc w:val="both"/>
        <w:rPr>
          <w:rStyle w:val="Strong"/>
          <w:b w:val="0"/>
          <w:bCs w:val="0"/>
        </w:rPr>
      </w:pPr>
      <w:r>
        <w:t>The expected outcome of Mid Connect is diverse. For service users, Mid Connect will bring improvements in maternal satisfaction, higher continuity of care, and increased emotional wellbeing. Building continuity of relationships with midwives leads to increased trust, reduced anxiety, and increased participation in care decisions (Eri et al., 2020).</w:t>
      </w:r>
    </w:p>
    <w:p w14:paraId="41BB5D2A" w14:textId="77777777" w:rsidR="004F4C79" w:rsidRPr="004F4C79" w:rsidRDefault="008B6C61" w:rsidP="004F4C79">
      <w:pPr>
        <w:pStyle w:val="Heading2"/>
      </w:pPr>
      <w:bookmarkStart w:id="7" w:name="_Toc216728802"/>
      <w:r>
        <w:rPr>
          <w:rStyle w:val="Strong"/>
          <w:b/>
          <w:bCs/>
        </w:rPr>
        <w:t>4</w:t>
      </w:r>
      <w:r w:rsidR="004F4C79" w:rsidRPr="004F4C79">
        <w:rPr>
          <w:rStyle w:val="Strong"/>
          <w:b/>
          <w:bCs/>
        </w:rPr>
        <w:t>.0 Implementation Strategy</w:t>
      </w:r>
      <w:bookmarkEnd w:id="7"/>
    </w:p>
    <w:p w14:paraId="4BF1F91C" w14:textId="77777777" w:rsidR="004F4C79" w:rsidRDefault="004F4C79" w:rsidP="004F4C79">
      <w:pPr>
        <w:pStyle w:val="NormalWeb"/>
      </w:pPr>
      <w:r w:rsidRPr="004F4C79">
        <w:t>The successful implementation of the MidConnect innovation requires a systematic and evidence-driven approach to balance relational midwifery practice with technology support in a manner that sustains the workforce. Thus, this approach will make the technology feasible, ethical, and scalable in the NHS maternity settings.</w:t>
      </w:r>
    </w:p>
    <w:p w14:paraId="1CEE93BF" w14:textId="77777777" w:rsidR="004F4C79" w:rsidRDefault="008B6C61" w:rsidP="004F4C79">
      <w:pPr>
        <w:pStyle w:val="Heading3"/>
      </w:pPr>
      <w:bookmarkStart w:id="8" w:name="_Toc216728803"/>
      <w:r>
        <w:rPr>
          <w:rStyle w:val="Strong"/>
          <w:b/>
          <w:bCs/>
        </w:rPr>
        <w:t>4</w:t>
      </w:r>
      <w:r w:rsidR="004F4C79">
        <w:rPr>
          <w:rStyle w:val="Strong"/>
          <w:b/>
          <w:bCs/>
        </w:rPr>
        <w:t>.1 Care Model Design</w:t>
      </w:r>
      <w:bookmarkEnd w:id="8"/>
    </w:p>
    <w:p w14:paraId="07A6C16F" w14:textId="77777777" w:rsidR="004F4C79" w:rsidRDefault="00955602" w:rsidP="00955602">
      <w:pPr>
        <w:pStyle w:val="NormalWeb"/>
        <w:jc w:val="both"/>
      </w:pPr>
      <w:r>
        <w:t xml:space="preserve">MidConnect has, at its core, a named midwife model where every woman will have a named midwife responsible for her total care along a maternity pathway. MidConnect ensures enhanced continuity in this manner because it promotes continuity in relationships, which will improve trust, communication, and individualized care planning. To promote flexibility in continuity, a small continuity team supports a named midwife in case of leave or a surge in workload. Empirical evidence from Rayment-Jones et al. (2020) shows that continuity-of-care approaches are particularly beneficial for women with complex social or medical needs, since consistent professional relationships support early identification of risk and improve uptake of maternity services. </w:t>
      </w:r>
    </w:p>
    <w:p w14:paraId="235777E6" w14:textId="77777777" w:rsidR="004F4C79" w:rsidRDefault="008B6C61" w:rsidP="004F4C79">
      <w:pPr>
        <w:pStyle w:val="Heading3"/>
      </w:pPr>
      <w:bookmarkStart w:id="9" w:name="_Toc216728804"/>
      <w:r>
        <w:rPr>
          <w:rStyle w:val="Strong"/>
          <w:b/>
          <w:bCs/>
        </w:rPr>
        <w:t>4</w:t>
      </w:r>
      <w:r w:rsidR="004F4C79">
        <w:rPr>
          <w:rStyle w:val="Strong"/>
          <w:b/>
          <w:bCs/>
        </w:rPr>
        <w:t>.2 Digital Integration</w:t>
      </w:r>
      <w:bookmarkEnd w:id="9"/>
    </w:p>
    <w:p w14:paraId="6D9F6B59" w14:textId="77777777" w:rsidR="00955602" w:rsidRDefault="00955602" w:rsidP="00955602">
      <w:pPr>
        <w:pStyle w:val="NormalWeb"/>
        <w:jc w:val="both"/>
      </w:pPr>
      <w:r>
        <w:t>The role of digital technology in Mid Connect is to support, not replace, personal care. A safe digital platform is embedded in the patient pathway to enable:</w:t>
      </w:r>
    </w:p>
    <w:p w14:paraId="17E62966" w14:textId="77777777" w:rsidR="00955602" w:rsidRDefault="00955602" w:rsidP="00955602">
      <w:pPr>
        <w:pStyle w:val="NormalWeb"/>
        <w:numPr>
          <w:ilvl w:val="0"/>
          <w:numId w:val="16"/>
        </w:numPr>
        <w:jc w:val="both"/>
      </w:pPr>
      <w:r>
        <w:t>Virtual consultations for suitable antenatal or postnatal appointments</w:t>
      </w:r>
    </w:p>
    <w:p w14:paraId="73CEEF77" w14:textId="77777777" w:rsidR="00955602" w:rsidRDefault="00955602" w:rsidP="00955602">
      <w:pPr>
        <w:pStyle w:val="NormalWeb"/>
        <w:numPr>
          <w:ilvl w:val="0"/>
          <w:numId w:val="16"/>
        </w:numPr>
        <w:jc w:val="both"/>
      </w:pPr>
      <w:r>
        <w:t>Automated Appointment Reminders to Ensure Fewer No-Shows</w:t>
      </w:r>
    </w:p>
    <w:p w14:paraId="64C59806" w14:textId="77777777" w:rsidR="00955602" w:rsidRDefault="00955602" w:rsidP="00955602">
      <w:pPr>
        <w:pStyle w:val="NormalWeb"/>
        <w:numPr>
          <w:ilvl w:val="0"/>
          <w:numId w:val="16"/>
        </w:numPr>
        <w:jc w:val="both"/>
      </w:pPr>
      <w:r>
        <w:lastRenderedPageBreak/>
        <w:t>Two-way communication between women and their midwifery team</w:t>
      </w:r>
    </w:p>
    <w:p w14:paraId="0B65F852" w14:textId="77777777" w:rsidR="00955602" w:rsidRDefault="00955602" w:rsidP="00955602">
      <w:pPr>
        <w:pStyle w:val="NormalWeb"/>
        <w:numPr>
          <w:ilvl w:val="0"/>
          <w:numId w:val="16"/>
        </w:numPr>
        <w:jc w:val="both"/>
      </w:pPr>
      <w:r>
        <w:t>Availability of evidence-based educational resources to aid in making decisions</w:t>
      </w:r>
    </w:p>
    <w:p w14:paraId="61F428F8" w14:textId="77777777" w:rsidR="004F4C79" w:rsidRDefault="00955602" w:rsidP="00955602">
      <w:pPr>
        <w:pStyle w:val="NormalWeb"/>
        <w:jc w:val="both"/>
      </w:pPr>
      <w:r>
        <w:t>Evidence shows that hybrid approaches, which incorporate face-to-face and online approaches in maternity health, can consolidate psychosocial outcomes and service-user satisfaction when conducted in a considered and ethical way (Buultjens et al., 2022). Through flexible online participation, MidConnect serves those consumers of care who may face barriers in accessing face-to-face continuity, including transport or caring commitments, with the core relationship between the midwife and woman being sustained.</w:t>
      </w:r>
    </w:p>
    <w:p w14:paraId="6ED4A15C" w14:textId="77777777" w:rsidR="00F06174" w:rsidRPr="00955602" w:rsidRDefault="008B6C61" w:rsidP="00955602">
      <w:pPr>
        <w:pStyle w:val="Heading2"/>
        <w:rPr>
          <w:rFonts w:eastAsia="Times New Roman"/>
          <w:lang w:eastAsia="en-GB"/>
        </w:rPr>
      </w:pPr>
      <w:bookmarkStart w:id="10" w:name="_Toc216728805"/>
      <w:r>
        <w:rPr>
          <w:rFonts w:eastAsia="Times New Roman"/>
          <w:lang w:eastAsia="en-GB"/>
        </w:rPr>
        <w:t>5</w:t>
      </w:r>
      <w:r w:rsidR="00F06174" w:rsidRPr="00F06174">
        <w:rPr>
          <w:rFonts w:eastAsia="Times New Roman"/>
          <w:lang w:eastAsia="en-GB"/>
        </w:rPr>
        <w:t>.0 Timeline for Development and Rollout</w:t>
      </w:r>
      <w:bookmarkEnd w:id="10"/>
    </w:p>
    <w:tbl>
      <w:tblPr>
        <w:tblStyle w:val="TableGrid"/>
        <w:tblW w:w="7818" w:type="dxa"/>
        <w:tblLook w:val="04A0" w:firstRow="1" w:lastRow="0" w:firstColumn="1" w:lastColumn="0" w:noHBand="0" w:noVBand="1"/>
      </w:tblPr>
      <w:tblGrid>
        <w:gridCol w:w="1413"/>
        <w:gridCol w:w="1701"/>
        <w:gridCol w:w="4704"/>
      </w:tblGrid>
      <w:tr w:rsidR="00955602" w14:paraId="653B3138" w14:textId="77777777" w:rsidTr="00955602">
        <w:trPr>
          <w:trHeight w:val="361"/>
        </w:trPr>
        <w:tc>
          <w:tcPr>
            <w:tcW w:w="1413" w:type="dxa"/>
            <w:vAlign w:val="center"/>
          </w:tcPr>
          <w:p w14:paraId="6E3F3C82" w14:textId="77777777" w:rsidR="00955602" w:rsidRPr="00F06174" w:rsidRDefault="00955602" w:rsidP="00955602">
            <w:pPr>
              <w:spacing w:line="360" w:lineRule="auto"/>
              <w:jc w:val="both"/>
              <w:rPr>
                <w:rFonts w:ascii="Times New Roman" w:eastAsia="Times New Roman" w:hAnsi="Times New Roman" w:cs="Times New Roman"/>
                <w:b/>
                <w:bCs/>
                <w:kern w:val="0"/>
                <w:lang w:eastAsia="en-GB"/>
                <w14:ligatures w14:val="none"/>
              </w:rPr>
            </w:pPr>
            <w:r w:rsidRPr="00F06174">
              <w:rPr>
                <w:rFonts w:ascii="Times New Roman" w:eastAsia="Times New Roman" w:hAnsi="Times New Roman" w:cs="Times New Roman"/>
                <w:b/>
                <w:bCs/>
                <w:kern w:val="0"/>
                <w:lang w:eastAsia="en-GB"/>
                <w14:ligatures w14:val="none"/>
              </w:rPr>
              <w:t>Phase</w:t>
            </w:r>
          </w:p>
        </w:tc>
        <w:tc>
          <w:tcPr>
            <w:tcW w:w="1701" w:type="dxa"/>
            <w:vAlign w:val="center"/>
          </w:tcPr>
          <w:p w14:paraId="0B012B42" w14:textId="77777777" w:rsidR="00955602" w:rsidRPr="00F06174" w:rsidRDefault="00955602" w:rsidP="00955602">
            <w:pPr>
              <w:spacing w:line="360" w:lineRule="auto"/>
              <w:jc w:val="both"/>
              <w:rPr>
                <w:rFonts w:ascii="Times New Roman" w:eastAsia="Times New Roman" w:hAnsi="Times New Roman" w:cs="Times New Roman"/>
                <w:b/>
                <w:bCs/>
                <w:kern w:val="0"/>
                <w:lang w:eastAsia="en-GB"/>
                <w14:ligatures w14:val="none"/>
              </w:rPr>
            </w:pPr>
            <w:r w:rsidRPr="00F06174">
              <w:rPr>
                <w:rFonts w:ascii="Times New Roman" w:eastAsia="Times New Roman" w:hAnsi="Times New Roman" w:cs="Times New Roman"/>
                <w:b/>
                <w:bCs/>
                <w:kern w:val="0"/>
                <w:lang w:eastAsia="en-GB"/>
                <w14:ligatures w14:val="none"/>
              </w:rPr>
              <w:t>Duration</w:t>
            </w:r>
          </w:p>
        </w:tc>
        <w:tc>
          <w:tcPr>
            <w:tcW w:w="4704" w:type="dxa"/>
            <w:vAlign w:val="center"/>
          </w:tcPr>
          <w:p w14:paraId="46E54956" w14:textId="77777777" w:rsidR="00955602" w:rsidRPr="00F06174" w:rsidRDefault="00955602" w:rsidP="00955602">
            <w:pPr>
              <w:spacing w:line="360" w:lineRule="auto"/>
              <w:jc w:val="both"/>
              <w:rPr>
                <w:rFonts w:ascii="Times New Roman" w:eastAsia="Times New Roman" w:hAnsi="Times New Roman" w:cs="Times New Roman"/>
                <w:b/>
                <w:bCs/>
                <w:kern w:val="0"/>
                <w:lang w:eastAsia="en-GB"/>
                <w14:ligatures w14:val="none"/>
              </w:rPr>
            </w:pPr>
            <w:r w:rsidRPr="00F06174">
              <w:rPr>
                <w:rFonts w:ascii="Times New Roman" w:eastAsia="Times New Roman" w:hAnsi="Times New Roman" w:cs="Times New Roman"/>
                <w:b/>
                <w:bCs/>
                <w:kern w:val="0"/>
                <w:lang w:eastAsia="en-GB"/>
                <w14:ligatures w14:val="none"/>
              </w:rPr>
              <w:t>Key Activities</w:t>
            </w:r>
          </w:p>
        </w:tc>
      </w:tr>
      <w:tr w:rsidR="00955602" w14:paraId="0F0E6AD2" w14:textId="77777777" w:rsidTr="00955602">
        <w:trPr>
          <w:trHeight w:val="724"/>
        </w:trPr>
        <w:tc>
          <w:tcPr>
            <w:tcW w:w="1413" w:type="dxa"/>
            <w:vAlign w:val="center"/>
          </w:tcPr>
          <w:p w14:paraId="2ADC2E67"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Planning</w:t>
            </w:r>
          </w:p>
        </w:tc>
        <w:tc>
          <w:tcPr>
            <w:tcW w:w="1701" w:type="dxa"/>
            <w:vAlign w:val="center"/>
          </w:tcPr>
          <w:p w14:paraId="5BECDEF6"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0–3 months</w:t>
            </w:r>
          </w:p>
        </w:tc>
        <w:tc>
          <w:tcPr>
            <w:tcW w:w="4704" w:type="dxa"/>
            <w:vAlign w:val="center"/>
          </w:tcPr>
          <w:p w14:paraId="29327064"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Stakeholder engagement and system design</w:t>
            </w:r>
          </w:p>
        </w:tc>
      </w:tr>
      <w:tr w:rsidR="00955602" w14:paraId="32B8131F" w14:textId="77777777" w:rsidTr="00955602">
        <w:trPr>
          <w:trHeight w:val="711"/>
        </w:trPr>
        <w:tc>
          <w:tcPr>
            <w:tcW w:w="1413" w:type="dxa"/>
            <w:vAlign w:val="center"/>
          </w:tcPr>
          <w:p w14:paraId="3724C07F"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Pilot</w:t>
            </w:r>
          </w:p>
        </w:tc>
        <w:tc>
          <w:tcPr>
            <w:tcW w:w="1701" w:type="dxa"/>
            <w:vAlign w:val="center"/>
          </w:tcPr>
          <w:p w14:paraId="17F9A98C"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4–9 months</w:t>
            </w:r>
          </w:p>
        </w:tc>
        <w:tc>
          <w:tcPr>
            <w:tcW w:w="4704" w:type="dxa"/>
            <w:vAlign w:val="center"/>
          </w:tcPr>
          <w:p w14:paraId="5FEA186E"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Trial implementation in selected NHS Trust</w:t>
            </w:r>
          </w:p>
        </w:tc>
      </w:tr>
      <w:tr w:rsidR="00955602" w14:paraId="44E0C956" w14:textId="77777777" w:rsidTr="00955602">
        <w:trPr>
          <w:trHeight w:val="724"/>
        </w:trPr>
        <w:tc>
          <w:tcPr>
            <w:tcW w:w="1413" w:type="dxa"/>
            <w:vAlign w:val="center"/>
          </w:tcPr>
          <w:p w14:paraId="5AC259F6"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Evaluation</w:t>
            </w:r>
          </w:p>
        </w:tc>
        <w:tc>
          <w:tcPr>
            <w:tcW w:w="1701" w:type="dxa"/>
            <w:vAlign w:val="center"/>
          </w:tcPr>
          <w:p w14:paraId="6D021A11"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10–12 months</w:t>
            </w:r>
          </w:p>
        </w:tc>
        <w:tc>
          <w:tcPr>
            <w:tcW w:w="4704" w:type="dxa"/>
            <w:vAlign w:val="center"/>
          </w:tcPr>
          <w:p w14:paraId="04AEE701"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Outcome evaluation and service-user feedback</w:t>
            </w:r>
          </w:p>
        </w:tc>
      </w:tr>
      <w:tr w:rsidR="00955602" w14:paraId="071CDD3D" w14:textId="77777777" w:rsidTr="00955602">
        <w:trPr>
          <w:trHeight w:val="349"/>
        </w:trPr>
        <w:tc>
          <w:tcPr>
            <w:tcW w:w="1413" w:type="dxa"/>
            <w:vAlign w:val="center"/>
          </w:tcPr>
          <w:p w14:paraId="7E98B604"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Expansion</w:t>
            </w:r>
          </w:p>
        </w:tc>
        <w:tc>
          <w:tcPr>
            <w:tcW w:w="1701" w:type="dxa"/>
            <w:vAlign w:val="center"/>
          </w:tcPr>
          <w:p w14:paraId="438BA61F"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13–24 months</w:t>
            </w:r>
          </w:p>
        </w:tc>
        <w:tc>
          <w:tcPr>
            <w:tcW w:w="4704" w:type="dxa"/>
            <w:vAlign w:val="center"/>
          </w:tcPr>
          <w:p w14:paraId="5F70D80A" w14:textId="77777777" w:rsidR="00955602" w:rsidRPr="00F06174" w:rsidRDefault="00955602" w:rsidP="00955602">
            <w:pPr>
              <w:spacing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Scaling across regions</w:t>
            </w:r>
          </w:p>
        </w:tc>
      </w:tr>
    </w:tbl>
    <w:p w14:paraId="79602C52" w14:textId="77777777" w:rsidR="00F06174" w:rsidRPr="00F06174" w:rsidRDefault="008B6C61" w:rsidP="00F06174">
      <w:pPr>
        <w:spacing w:after="0" w:line="360" w:lineRule="auto"/>
        <w:jc w:val="both"/>
        <w:outlineLvl w:val="2"/>
        <w:rPr>
          <w:rFonts w:ascii="Times New Roman" w:eastAsia="Times New Roman" w:hAnsi="Times New Roman" w:cs="Times New Roman"/>
          <w:b/>
          <w:bCs/>
          <w:kern w:val="0"/>
          <w:lang w:eastAsia="en-GB"/>
          <w14:ligatures w14:val="none"/>
        </w:rPr>
      </w:pPr>
      <w:bookmarkStart w:id="11" w:name="_Toc216728806"/>
      <w:r>
        <w:rPr>
          <w:rFonts w:ascii="Times New Roman" w:eastAsia="Times New Roman" w:hAnsi="Times New Roman" w:cs="Times New Roman"/>
          <w:b/>
          <w:bCs/>
          <w:kern w:val="0"/>
          <w:lang w:eastAsia="en-GB"/>
          <w14:ligatures w14:val="none"/>
        </w:rPr>
        <w:t>6</w:t>
      </w:r>
      <w:r w:rsidR="00F06174" w:rsidRPr="00F06174">
        <w:rPr>
          <w:rFonts w:ascii="Times New Roman" w:eastAsia="Times New Roman" w:hAnsi="Times New Roman" w:cs="Times New Roman"/>
          <w:b/>
          <w:bCs/>
          <w:kern w:val="0"/>
          <w:lang w:eastAsia="en-GB"/>
          <w14:ligatures w14:val="none"/>
        </w:rPr>
        <w:t>.0 Regulation, Policy, and Professional Standards</w:t>
      </w:r>
      <w:bookmarkEnd w:id="11"/>
    </w:p>
    <w:p w14:paraId="79914AB5" w14:textId="77777777" w:rsidR="008B6C61" w:rsidRDefault="008B6C61" w:rsidP="00F06174">
      <w:p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 xml:space="preserve">Mid Connect operates under these frameworks and standards: </w:t>
      </w:r>
    </w:p>
    <w:p w14:paraId="55EC0AF2" w14:textId="77777777" w:rsidR="008B6C61" w:rsidRPr="008B6C61" w:rsidRDefault="008B6C61" w:rsidP="008B6C61">
      <w:pPr>
        <w:pStyle w:val="ListParagraph"/>
        <w:numPr>
          <w:ilvl w:val="0"/>
          <w:numId w:val="18"/>
        </w:num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 xml:space="preserve">The NMC Code (2018); </w:t>
      </w:r>
    </w:p>
    <w:p w14:paraId="5B6CD63B" w14:textId="77777777" w:rsidR="008B6C61" w:rsidRPr="008B6C61" w:rsidRDefault="008B6C61" w:rsidP="008B6C61">
      <w:pPr>
        <w:pStyle w:val="ListParagraph"/>
        <w:numPr>
          <w:ilvl w:val="0"/>
          <w:numId w:val="18"/>
        </w:num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 xml:space="preserve">The NHS Long Term Plan; </w:t>
      </w:r>
    </w:p>
    <w:p w14:paraId="796379FC" w14:textId="77777777" w:rsidR="008B6C61" w:rsidRPr="008B6C61" w:rsidRDefault="008B6C61" w:rsidP="008B6C61">
      <w:pPr>
        <w:pStyle w:val="ListParagraph"/>
        <w:numPr>
          <w:ilvl w:val="0"/>
          <w:numId w:val="18"/>
        </w:num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 xml:space="preserve">The CQC standards in maternity care; and </w:t>
      </w:r>
    </w:p>
    <w:p w14:paraId="784BAF9B" w14:textId="77777777" w:rsidR="008B6C61" w:rsidRPr="008B6C61" w:rsidRDefault="008B6C61" w:rsidP="008B6C61">
      <w:pPr>
        <w:pStyle w:val="ListParagraph"/>
        <w:numPr>
          <w:ilvl w:val="0"/>
          <w:numId w:val="18"/>
        </w:num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 xml:space="preserve">The UK GDPR and Data Protection Act of 2018. </w:t>
      </w:r>
    </w:p>
    <w:p w14:paraId="0A9CBF47" w14:textId="77777777" w:rsidR="00F06174" w:rsidRPr="00F06174" w:rsidRDefault="008B6C61" w:rsidP="00F06174">
      <w:p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Ethical practice, confidentiality, and consent are considered, which relate to concerns observed in research studies concerning remote antenatal care (Hinton et al., 2023).</w:t>
      </w:r>
    </w:p>
    <w:p w14:paraId="3A62C4E9" w14:textId="77777777" w:rsidR="00F06174" w:rsidRPr="00F06174" w:rsidRDefault="008B6C61" w:rsidP="008B6C61">
      <w:pPr>
        <w:pStyle w:val="Heading2"/>
        <w:rPr>
          <w:rFonts w:eastAsia="Times New Roman"/>
          <w:lang w:eastAsia="en-GB"/>
        </w:rPr>
      </w:pPr>
      <w:bookmarkStart w:id="12" w:name="_Toc216728807"/>
      <w:r>
        <w:rPr>
          <w:rFonts w:eastAsia="Times New Roman"/>
          <w:lang w:eastAsia="en-GB"/>
        </w:rPr>
        <w:t>7</w:t>
      </w:r>
      <w:r w:rsidR="00F06174" w:rsidRPr="00F06174">
        <w:rPr>
          <w:rFonts w:eastAsia="Times New Roman"/>
          <w:lang w:eastAsia="en-GB"/>
        </w:rPr>
        <w:t>.0 Technology Integration and Innovation Value</w:t>
      </w:r>
      <w:bookmarkEnd w:id="12"/>
    </w:p>
    <w:p w14:paraId="7A28E85F" w14:textId="77777777" w:rsidR="00F06174" w:rsidRPr="00F06174" w:rsidRDefault="008B6C61" w:rsidP="00F06174">
      <w:p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Technology in Mid Connect improves continuity of care, rather than substituting personal care. The digital interface promotes flexibility in communication without undermining the core role of the midwifery relationship. Literature shows that digital innovation in mother and baby care works best when it is integrated into relational models of care (Collins et al., 2024).</w:t>
      </w:r>
    </w:p>
    <w:p w14:paraId="0E677A87" w14:textId="77777777" w:rsidR="00F06174" w:rsidRPr="00F06174" w:rsidRDefault="008B6C61" w:rsidP="008B6C61">
      <w:pPr>
        <w:pStyle w:val="Heading2"/>
        <w:rPr>
          <w:rFonts w:eastAsia="Times New Roman"/>
          <w:lang w:eastAsia="en-GB"/>
        </w:rPr>
      </w:pPr>
      <w:bookmarkStart w:id="13" w:name="_Toc216728808"/>
      <w:r>
        <w:rPr>
          <w:rFonts w:eastAsia="Times New Roman"/>
          <w:lang w:eastAsia="en-GB"/>
        </w:rPr>
        <w:t>8</w:t>
      </w:r>
      <w:r w:rsidR="00F06174" w:rsidRPr="00F06174">
        <w:rPr>
          <w:rFonts w:eastAsia="Times New Roman"/>
          <w:lang w:eastAsia="en-GB"/>
        </w:rPr>
        <w:t>.0 Dissemination and Promotion Strategy</w:t>
      </w:r>
      <w:bookmarkEnd w:id="13"/>
    </w:p>
    <w:p w14:paraId="32D443D1" w14:textId="77777777" w:rsidR="00F06174" w:rsidRPr="00F06174" w:rsidRDefault="00F06174" w:rsidP="00F06174">
      <w:p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The innovation will be promoted through:</w:t>
      </w:r>
    </w:p>
    <w:p w14:paraId="143A7A4D" w14:textId="77777777" w:rsidR="00F06174" w:rsidRPr="00F06174" w:rsidRDefault="00F06174" w:rsidP="00F06174">
      <w:pPr>
        <w:numPr>
          <w:ilvl w:val="0"/>
          <w:numId w:val="10"/>
        </w:num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NHS Trust communication channels</w:t>
      </w:r>
    </w:p>
    <w:p w14:paraId="2272997E" w14:textId="77777777" w:rsidR="00F06174" w:rsidRPr="00F06174" w:rsidRDefault="00F06174" w:rsidP="00F06174">
      <w:pPr>
        <w:numPr>
          <w:ilvl w:val="0"/>
          <w:numId w:val="10"/>
        </w:num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Professional midwifery networks</w:t>
      </w:r>
    </w:p>
    <w:p w14:paraId="21772F1F" w14:textId="77777777" w:rsidR="00F06174" w:rsidRPr="00F06174" w:rsidRDefault="00F06174" w:rsidP="00F06174">
      <w:pPr>
        <w:numPr>
          <w:ilvl w:val="0"/>
          <w:numId w:val="10"/>
        </w:num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Community engagement initiatives</w:t>
      </w:r>
    </w:p>
    <w:p w14:paraId="74578283" w14:textId="77777777" w:rsidR="00F06174" w:rsidRPr="00F06174" w:rsidRDefault="00F06174" w:rsidP="00F06174">
      <w:pPr>
        <w:numPr>
          <w:ilvl w:val="0"/>
          <w:numId w:val="10"/>
        </w:num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Antenatal education programmes</w:t>
      </w:r>
    </w:p>
    <w:p w14:paraId="5C36DC04" w14:textId="77777777" w:rsidR="00F06174" w:rsidRPr="00F06174" w:rsidRDefault="00F06174" w:rsidP="00F06174">
      <w:p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lastRenderedPageBreak/>
        <w:t>Dissemination strategies emphasise professional buy-in and public trust, essential for successful adoption (Toll et al., 2024).</w:t>
      </w:r>
    </w:p>
    <w:p w14:paraId="3FA36C2E" w14:textId="77777777" w:rsidR="00F06174" w:rsidRPr="00F06174" w:rsidRDefault="008B6C61" w:rsidP="008B6C61">
      <w:pPr>
        <w:pStyle w:val="Heading2"/>
        <w:rPr>
          <w:rFonts w:eastAsia="Times New Roman"/>
          <w:lang w:eastAsia="en-GB"/>
        </w:rPr>
      </w:pPr>
      <w:bookmarkStart w:id="14" w:name="_Toc216728809"/>
      <w:r>
        <w:rPr>
          <w:rFonts w:eastAsia="Times New Roman"/>
          <w:lang w:eastAsia="en-GB"/>
        </w:rPr>
        <w:t>9</w:t>
      </w:r>
      <w:r w:rsidR="00F06174" w:rsidRPr="00F06174">
        <w:rPr>
          <w:rFonts w:eastAsia="Times New Roman"/>
          <w:lang w:eastAsia="en-GB"/>
        </w:rPr>
        <w:t>.0 Poster Conclusion</w:t>
      </w:r>
      <w:bookmarkEnd w:id="14"/>
    </w:p>
    <w:p w14:paraId="7B79FBAC" w14:textId="77777777" w:rsidR="00F06174" w:rsidRPr="00F06174" w:rsidRDefault="008B6C61" w:rsidP="00F06174">
      <w:pPr>
        <w:spacing w:after="0" w:line="360" w:lineRule="auto"/>
        <w:jc w:val="both"/>
        <w:rPr>
          <w:rFonts w:ascii="Times New Roman" w:eastAsia="Times New Roman" w:hAnsi="Times New Roman" w:cs="Times New Roman"/>
          <w:kern w:val="0"/>
          <w:lang w:eastAsia="en-GB"/>
          <w14:ligatures w14:val="none"/>
        </w:rPr>
      </w:pPr>
      <w:r w:rsidRPr="008B6C61">
        <w:rPr>
          <w:rFonts w:ascii="Times New Roman" w:eastAsia="Times New Roman" w:hAnsi="Times New Roman" w:cs="Times New Roman"/>
          <w:kern w:val="0"/>
          <w:lang w:eastAsia="en-GB"/>
          <w14:ligatures w14:val="none"/>
        </w:rPr>
        <w:t>Mid</w:t>
      </w:r>
      <w:r>
        <w:rPr>
          <w:rFonts w:ascii="Times New Roman" w:eastAsia="Times New Roman" w:hAnsi="Times New Roman" w:cs="Times New Roman"/>
          <w:kern w:val="0"/>
          <w:lang w:eastAsia="en-GB"/>
          <w14:ligatures w14:val="none"/>
        </w:rPr>
        <w:t xml:space="preserve"> </w:t>
      </w:r>
      <w:r w:rsidRPr="008B6C61">
        <w:rPr>
          <w:rFonts w:ascii="Times New Roman" w:eastAsia="Times New Roman" w:hAnsi="Times New Roman" w:cs="Times New Roman"/>
          <w:kern w:val="0"/>
          <w:lang w:eastAsia="en-GB"/>
          <w14:ligatures w14:val="none"/>
        </w:rPr>
        <w:t>Connect solves main systemic issues in maternity healthcare by incorporating continuity of care frameworks with innovative technology solutions. Mid</w:t>
      </w:r>
      <w:r>
        <w:rPr>
          <w:rFonts w:ascii="Times New Roman" w:eastAsia="Times New Roman" w:hAnsi="Times New Roman" w:cs="Times New Roman"/>
          <w:kern w:val="0"/>
          <w:lang w:eastAsia="en-GB"/>
          <w14:ligatures w14:val="none"/>
        </w:rPr>
        <w:t xml:space="preserve"> </w:t>
      </w:r>
      <w:r w:rsidRPr="008B6C61">
        <w:rPr>
          <w:rFonts w:ascii="Times New Roman" w:eastAsia="Times New Roman" w:hAnsi="Times New Roman" w:cs="Times New Roman"/>
          <w:kern w:val="0"/>
          <w:lang w:eastAsia="en-GB"/>
          <w14:ligatures w14:val="none"/>
        </w:rPr>
        <w:t>Connect improves service-user experience, profession-led working, and adds to a sustainable focus on value in the healthcare sector in the UK.</w:t>
      </w:r>
    </w:p>
    <w:p w14:paraId="11B8E2F5" w14:textId="77777777" w:rsidR="008B6C61" w:rsidRDefault="008B6C61">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7CE79303" w14:textId="77777777" w:rsidR="00F06174" w:rsidRPr="00F06174" w:rsidRDefault="00F06174" w:rsidP="00C644FB">
      <w:pPr>
        <w:pStyle w:val="Heading1"/>
        <w:rPr>
          <w:rFonts w:eastAsia="Times New Roman"/>
          <w:lang w:eastAsia="en-GB"/>
        </w:rPr>
      </w:pPr>
      <w:bookmarkStart w:id="15" w:name="_Toc216728810"/>
      <w:r w:rsidRPr="00F06174">
        <w:rPr>
          <w:rFonts w:eastAsia="Times New Roman"/>
          <w:lang w:eastAsia="en-GB"/>
        </w:rPr>
        <w:lastRenderedPageBreak/>
        <w:t>PITCH CONTENT</w:t>
      </w:r>
      <w:bookmarkEnd w:id="15"/>
      <w:r w:rsidRPr="00F06174">
        <w:rPr>
          <w:rFonts w:eastAsia="Times New Roman"/>
          <w:lang w:eastAsia="en-GB"/>
        </w:rPr>
        <w:t xml:space="preserve"> </w:t>
      </w:r>
    </w:p>
    <w:p w14:paraId="5AFFDB44" w14:textId="77777777" w:rsidR="00F06174" w:rsidRPr="00F06174" w:rsidRDefault="00F06174" w:rsidP="008B6C61">
      <w:pPr>
        <w:pStyle w:val="Heading2"/>
        <w:rPr>
          <w:rFonts w:eastAsia="Times New Roman"/>
          <w:lang w:eastAsia="en-GB"/>
        </w:rPr>
      </w:pPr>
      <w:bookmarkStart w:id="16" w:name="_Toc216728811"/>
      <w:r w:rsidRPr="00F06174">
        <w:rPr>
          <w:rFonts w:eastAsia="Times New Roman"/>
          <w:lang w:eastAsia="en-GB"/>
        </w:rPr>
        <w:t>1</w:t>
      </w:r>
      <w:r w:rsidR="008B6C61">
        <w:rPr>
          <w:rFonts w:eastAsia="Times New Roman"/>
          <w:lang w:eastAsia="en-GB"/>
        </w:rPr>
        <w:t>0</w:t>
      </w:r>
      <w:r w:rsidRPr="00F06174">
        <w:rPr>
          <w:rFonts w:eastAsia="Times New Roman"/>
          <w:lang w:eastAsia="en-GB"/>
        </w:rPr>
        <w:t>.0 Introduction and Rationale</w:t>
      </w:r>
      <w:bookmarkEnd w:id="16"/>
    </w:p>
    <w:p w14:paraId="248B9F3D" w14:textId="77777777" w:rsidR="00864C85" w:rsidRPr="00864C85" w:rsidRDefault="00864C85" w:rsidP="00864C85">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The state of maternity care in the United Kingdom is currently faced with a series of challenges, both interlinked and very serious in nature. Some of these include increased demand for service delivery, a lack of staff, and concerns over safety and quality of care. Higher levels of complexity in childbirth, existing social inequalities, and NHS resources have all put emphasis on a need for innovative solutions in relation to service delivery in this sector.</w:t>
      </w:r>
    </w:p>
    <w:p w14:paraId="1B68B157" w14:textId="77777777" w:rsidR="00864C85" w:rsidRPr="00864C85" w:rsidRDefault="00864C85" w:rsidP="00864C85">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Substantial evidence has shown an important positive impact of continuity of care models in midwifery on increased outcomes for mothers, increased service-user satisfaction, and enhanced therapeutic relationships between service users and midwives (Eri et al., 2020). Establishing continuity models increases the possibility of woman-centered care because continuity models allow continuity in professional relationships.</w:t>
      </w:r>
      <w:r>
        <w:rPr>
          <w:rFonts w:ascii="Times New Roman" w:eastAsia="Times New Roman" w:hAnsi="Times New Roman" w:cs="Times New Roman"/>
          <w:kern w:val="0"/>
          <w:lang w:eastAsia="en-GB"/>
          <w14:ligatures w14:val="none"/>
        </w:rPr>
        <w:t xml:space="preserve"> </w:t>
      </w:r>
      <w:r w:rsidRPr="00864C85">
        <w:rPr>
          <w:rFonts w:ascii="Times New Roman" w:eastAsia="Times New Roman" w:hAnsi="Times New Roman" w:cs="Times New Roman"/>
          <w:kern w:val="0"/>
          <w:lang w:eastAsia="en-GB"/>
          <w14:ligatures w14:val="none"/>
        </w:rPr>
        <w:t>Despite this strong evidence, implementation of continuity models in maternity services in the UK faces some barriers.</w:t>
      </w:r>
    </w:p>
    <w:p w14:paraId="1A6829B4" w14:textId="77777777" w:rsidR="00F06174" w:rsidRPr="00F06174" w:rsidRDefault="00864C85" w:rsidP="00F06174">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To address these issues, Mid</w:t>
      </w:r>
      <w:r>
        <w:rPr>
          <w:rFonts w:ascii="Times New Roman" w:eastAsia="Times New Roman" w:hAnsi="Times New Roman" w:cs="Times New Roman"/>
          <w:kern w:val="0"/>
          <w:lang w:eastAsia="en-GB"/>
          <w14:ligatures w14:val="none"/>
        </w:rPr>
        <w:t xml:space="preserve"> </w:t>
      </w:r>
      <w:r w:rsidRPr="00864C85">
        <w:rPr>
          <w:rFonts w:ascii="Times New Roman" w:eastAsia="Times New Roman" w:hAnsi="Times New Roman" w:cs="Times New Roman"/>
          <w:kern w:val="0"/>
          <w:lang w:eastAsia="en-GB"/>
          <w14:ligatures w14:val="none"/>
        </w:rPr>
        <w:t>Connect brings a new hybrid approach which aims to combine principles of continuity of care with digital support technology. Based on evidence and embedded in creative problem-solving, this work aims to improve access, efficiency, and relational care principles whilst being mindful of existing realities in NHS maternity services. Mid</w:t>
      </w:r>
      <w:r>
        <w:rPr>
          <w:rFonts w:ascii="Times New Roman" w:eastAsia="Times New Roman" w:hAnsi="Times New Roman" w:cs="Times New Roman"/>
          <w:kern w:val="0"/>
          <w:lang w:eastAsia="en-GB"/>
          <w14:ligatures w14:val="none"/>
        </w:rPr>
        <w:t xml:space="preserve"> </w:t>
      </w:r>
      <w:r w:rsidRPr="00864C85">
        <w:rPr>
          <w:rFonts w:ascii="Times New Roman" w:eastAsia="Times New Roman" w:hAnsi="Times New Roman" w:cs="Times New Roman"/>
          <w:kern w:val="0"/>
          <w:lang w:eastAsia="en-GB"/>
          <w14:ligatures w14:val="none"/>
        </w:rPr>
        <w:t>Connect aims to bring a combination of face-to-face midwifery support with safe digital interaction to improve outcomes for women, support midwifery staff, and bring additional value in the health and social care setting.</w:t>
      </w:r>
    </w:p>
    <w:p w14:paraId="2914A2BA" w14:textId="77777777" w:rsidR="00F06174" w:rsidRPr="00F06174" w:rsidRDefault="00F06174" w:rsidP="00864C85">
      <w:pPr>
        <w:pStyle w:val="Heading2"/>
        <w:rPr>
          <w:rFonts w:eastAsia="Times New Roman"/>
          <w:lang w:eastAsia="en-GB"/>
        </w:rPr>
      </w:pPr>
      <w:bookmarkStart w:id="17" w:name="_Toc216728812"/>
      <w:r w:rsidRPr="00F06174">
        <w:rPr>
          <w:rFonts w:eastAsia="Times New Roman"/>
          <w:lang w:eastAsia="en-GB"/>
        </w:rPr>
        <w:t>1</w:t>
      </w:r>
      <w:r w:rsidR="00864C85">
        <w:rPr>
          <w:rFonts w:eastAsia="Times New Roman"/>
          <w:lang w:eastAsia="en-GB"/>
        </w:rPr>
        <w:t>1</w:t>
      </w:r>
      <w:r w:rsidRPr="00F06174">
        <w:rPr>
          <w:rFonts w:eastAsia="Times New Roman"/>
          <w:lang w:eastAsia="en-GB"/>
        </w:rPr>
        <w:t>.0 Evidence Base Supporting the Innovation</w:t>
      </w:r>
      <w:bookmarkEnd w:id="17"/>
    </w:p>
    <w:p w14:paraId="17B3863A" w14:textId="77777777" w:rsidR="00864C85" w:rsidRPr="00864C85" w:rsidRDefault="00864C85" w:rsidP="00201798">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The design and development of MidConnect are underpinned by a strong and contemporary evidence base that supports both continuity-of-care models and the strategic integration of digital technologies within maternity services. Research consistently demonstrates that continuity-of-care is associated with improved maternal outcomes, enhanced service-user experiences, and greater equity in access to care.</w:t>
      </w:r>
    </w:p>
    <w:p w14:paraId="5D310B94" w14:textId="77777777" w:rsidR="00864C85" w:rsidRPr="00864C85" w:rsidRDefault="00864C85" w:rsidP="00201798">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Rayment-Jones et al. (2020) highlight that continuity-of-care models are particularly effective for women with social risk factors, including socioeconomic disadvantage, mental health challenges, and limited social support. Their findings indicate that sustained relationships with named midwives enable early identification of risk, improved engagement with maternity services, and increased trust between women and healthcare professionals. These outcomes are especially relevant in addressing inequalities within UK maternity care.</w:t>
      </w:r>
    </w:p>
    <w:p w14:paraId="3D96028F" w14:textId="77777777" w:rsidR="00864C85" w:rsidRPr="00864C85" w:rsidRDefault="00864C85" w:rsidP="00201798">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 xml:space="preserve">Further evidence from Fernandez Turienzo et al. (2020) demonstrates that midwifery continuity-of-care remains feasible and effective even for women at increased clinical risk when supported by robust organisational structures and multidisciplinary collaboration. This </w:t>
      </w:r>
      <w:r w:rsidRPr="00864C85">
        <w:rPr>
          <w:rFonts w:ascii="Times New Roman" w:eastAsia="Times New Roman" w:hAnsi="Times New Roman" w:cs="Times New Roman"/>
          <w:kern w:val="0"/>
          <w:lang w:eastAsia="en-GB"/>
          <w14:ligatures w14:val="none"/>
        </w:rPr>
        <w:lastRenderedPageBreak/>
        <w:t>challenges assumptions that continuity models are unsuitable for complex pregnancies and reinforces their relevance within contemporary maternity services.</w:t>
      </w:r>
    </w:p>
    <w:p w14:paraId="3EED00F7" w14:textId="77777777" w:rsidR="00864C85" w:rsidRPr="00864C85" w:rsidRDefault="00864C85" w:rsidP="00201798">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In addition, emerging research on digital maternity care indicates that telehealth and remote care approaches can enhance accessibility and flexibility when integrated appropriately into existing care pathways. Buultjens et al. (2022) found that hybrid models combining in-person and digital maternity care maintained psychosocial outcomes and service-user satisfaction during periods of service disruption. Similarly, Collins et al. (2024) emphasise that thoughtfully designed digital interventions can support continuity, improve communication, and reduce barriers to care without compromising quality or safety.</w:t>
      </w:r>
    </w:p>
    <w:p w14:paraId="254AD57B" w14:textId="77777777" w:rsidR="00F06174" w:rsidRPr="00F06174" w:rsidRDefault="00864C85" w:rsidP="00F06174">
      <w:pPr>
        <w:spacing w:after="0" w:line="360" w:lineRule="auto"/>
        <w:jc w:val="both"/>
        <w:rPr>
          <w:rFonts w:ascii="Times New Roman" w:eastAsia="Times New Roman" w:hAnsi="Times New Roman" w:cs="Times New Roman"/>
          <w:kern w:val="0"/>
          <w:lang w:eastAsia="en-GB"/>
          <w14:ligatures w14:val="none"/>
        </w:rPr>
      </w:pPr>
      <w:r w:rsidRPr="00864C85">
        <w:rPr>
          <w:rFonts w:ascii="Times New Roman" w:eastAsia="Times New Roman" w:hAnsi="Times New Roman" w:cs="Times New Roman"/>
          <w:kern w:val="0"/>
          <w:lang w:eastAsia="en-GB"/>
          <w14:ligatures w14:val="none"/>
        </w:rPr>
        <w:t xml:space="preserve">Collectively, this evidence supports the rationale for MidConnect as a hybrid innovation that aligns continuity-of-care principles with digital enhancement. By drawing on established research, the model demonstrates both </w:t>
      </w:r>
      <w:r w:rsidRPr="00864C85">
        <w:rPr>
          <w:rFonts w:ascii="Times New Roman" w:eastAsia="Times New Roman" w:hAnsi="Times New Roman" w:cs="Times New Roman"/>
          <w:b/>
          <w:bCs/>
          <w:kern w:val="0"/>
          <w:lang w:eastAsia="en-GB"/>
          <w14:ligatures w14:val="none"/>
        </w:rPr>
        <w:t>credibility and feasibility</w:t>
      </w:r>
      <w:r w:rsidRPr="00864C85">
        <w:rPr>
          <w:rFonts w:ascii="Times New Roman" w:eastAsia="Times New Roman" w:hAnsi="Times New Roman" w:cs="Times New Roman"/>
          <w:kern w:val="0"/>
          <w:lang w:eastAsia="en-GB"/>
          <w14:ligatures w14:val="none"/>
        </w:rPr>
        <w:t>, ensuring that creativity and innovation are grounded in evidence-based midwifery practice.</w:t>
      </w:r>
    </w:p>
    <w:p w14:paraId="42EC89AE" w14:textId="77777777" w:rsidR="00F06174" w:rsidRPr="00F06174" w:rsidRDefault="00F06174" w:rsidP="00F06174">
      <w:pPr>
        <w:spacing w:after="0" w:line="360" w:lineRule="auto"/>
        <w:jc w:val="both"/>
        <w:outlineLvl w:val="2"/>
        <w:rPr>
          <w:rFonts w:ascii="Times New Roman" w:eastAsia="Times New Roman" w:hAnsi="Times New Roman" w:cs="Times New Roman"/>
          <w:b/>
          <w:bCs/>
          <w:kern w:val="0"/>
          <w:lang w:eastAsia="en-GB"/>
          <w14:ligatures w14:val="none"/>
        </w:rPr>
      </w:pPr>
      <w:bookmarkStart w:id="18" w:name="_Toc216728813"/>
      <w:r w:rsidRPr="00F06174">
        <w:rPr>
          <w:rFonts w:ascii="Times New Roman" w:eastAsia="Times New Roman" w:hAnsi="Times New Roman" w:cs="Times New Roman"/>
          <w:b/>
          <w:bCs/>
          <w:kern w:val="0"/>
          <w:lang w:eastAsia="en-GB"/>
          <w14:ligatures w14:val="none"/>
        </w:rPr>
        <w:t>1</w:t>
      </w:r>
      <w:r w:rsidR="003A311E">
        <w:rPr>
          <w:rFonts w:ascii="Times New Roman" w:eastAsia="Times New Roman" w:hAnsi="Times New Roman" w:cs="Times New Roman"/>
          <w:b/>
          <w:bCs/>
          <w:kern w:val="0"/>
          <w:lang w:eastAsia="en-GB"/>
          <w14:ligatures w14:val="none"/>
        </w:rPr>
        <w:t>2</w:t>
      </w:r>
      <w:r w:rsidRPr="00F06174">
        <w:rPr>
          <w:rFonts w:ascii="Times New Roman" w:eastAsia="Times New Roman" w:hAnsi="Times New Roman" w:cs="Times New Roman"/>
          <w:b/>
          <w:bCs/>
          <w:kern w:val="0"/>
          <w:lang w:eastAsia="en-GB"/>
          <w14:ligatures w14:val="none"/>
        </w:rPr>
        <w:t>.0 Value Creation for the Common Good</w:t>
      </w:r>
      <w:bookmarkEnd w:id="18"/>
    </w:p>
    <w:p w14:paraId="076AA252" w14:textId="77777777" w:rsidR="003C581B" w:rsidRPr="003C581B" w:rsidRDefault="003C581B" w:rsidP="003C581B">
      <w:pPr>
        <w:spacing w:after="0" w:line="360" w:lineRule="auto"/>
        <w:jc w:val="both"/>
        <w:rPr>
          <w:rFonts w:ascii="Times New Roman" w:eastAsia="Times New Roman" w:hAnsi="Times New Roman" w:cs="Times New Roman"/>
          <w:kern w:val="0"/>
          <w:lang w:eastAsia="en-GB"/>
          <w14:ligatures w14:val="none"/>
        </w:rPr>
      </w:pPr>
      <w:r w:rsidRPr="003C581B">
        <w:rPr>
          <w:rFonts w:ascii="Times New Roman" w:eastAsia="Times New Roman" w:hAnsi="Times New Roman" w:cs="Times New Roman"/>
          <w:kern w:val="0"/>
          <w:lang w:eastAsia="en-GB"/>
          <w14:ligatures w14:val="none"/>
        </w:rPr>
        <w:t>The design and implementation of MidConnect have a strong and up-to-date evidential basis underpinning both continuity-of-care approaches and strategic integration for maternity services. The literature shows a consensus in relation to continuity-of-care being linked to positive outcomes for mothers, improved service-user experience, and better access to healthcare.</w:t>
      </w:r>
    </w:p>
    <w:p w14:paraId="20E1C98E" w14:textId="77777777" w:rsidR="003C581B" w:rsidRPr="003C581B" w:rsidRDefault="003C581B" w:rsidP="003C581B">
      <w:pPr>
        <w:spacing w:after="0" w:line="360" w:lineRule="auto"/>
        <w:jc w:val="both"/>
        <w:rPr>
          <w:rFonts w:ascii="Times New Roman" w:eastAsia="Times New Roman" w:hAnsi="Times New Roman" w:cs="Times New Roman"/>
          <w:kern w:val="0"/>
          <w:lang w:eastAsia="en-GB"/>
          <w14:ligatures w14:val="none"/>
        </w:rPr>
      </w:pPr>
      <w:r w:rsidRPr="003C581B">
        <w:rPr>
          <w:rFonts w:ascii="Times New Roman" w:eastAsia="Times New Roman" w:hAnsi="Times New Roman" w:cs="Times New Roman"/>
          <w:kern w:val="0"/>
          <w:lang w:eastAsia="en-GB"/>
          <w14:ligatures w14:val="none"/>
        </w:rPr>
        <w:t>Rayment-Jones et al. (2020) argue that a model of continuity of care is most effective in their population of interest, which is women with social risk factors, including but not limited to, socio-economic disadvantage, poor mental health, and a lack of social support. They demonstrated in their study that named midwives make a substantial impact in early identification of risk and improving uptake in pregnancy care, which is especially relevant in improving inequalities in current UK maternity service delivery.</w:t>
      </w:r>
    </w:p>
    <w:p w14:paraId="10FE150B" w14:textId="77777777" w:rsidR="003C581B" w:rsidRPr="003C581B" w:rsidRDefault="003C581B" w:rsidP="003C581B">
      <w:pPr>
        <w:spacing w:after="0" w:line="360" w:lineRule="auto"/>
        <w:jc w:val="both"/>
        <w:rPr>
          <w:rFonts w:ascii="Times New Roman" w:eastAsia="Times New Roman" w:hAnsi="Times New Roman" w:cs="Times New Roman"/>
          <w:kern w:val="0"/>
          <w:lang w:eastAsia="en-GB"/>
          <w14:ligatures w14:val="none"/>
        </w:rPr>
      </w:pPr>
      <w:r w:rsidRPr="003C581B">
        <w:rPr>
          <w:rFonts w:ascii="Times New Roman" w:eastAsia="Times New Roman" w:hAnsi="Times New Roman" w:cs="Times New Roman"/>
          <w:kern w:val="0"/>
          <w:lang w:eastAsia="en-GB"/>
          <w14:ligatures w14:val="none"/>
        </w:rPr>
        <w:t>Further evidence emerging from Fernandez Turienzo et al. (2020) shows that continuity of care in midwifery is not only possible but remains an effective strategy in supporting women with high medical risk pregnancies using efficient organizational frameworks. Such evidence defies a common assumption in this service delivery approach in relation to complicated pregnancies.</w:t>
      </w:r>
    </w:p>
    <w:p w14:paraId="7E7A1345" w14:textId="77777777" w:rsidR="003C581B" w:rsidRPr="003C581B" w:rsidRDefault="003C581B" w:rsidP="003C581B">
      <w:pPr>
        <w:spacing w:after="0" w:line="360" w:lineRule="auto"/>
        <w:jc w:val="both"/>
        <w:rPr>
          <w:rFonts w:ascii="Times New Roman" w:eastAsia="Times New Roman" w:hAnsi="Times New Roman" w:cs="Times New Roman"/>
          <w:kern w:val="0"/>
          <w:lang w:eastAsia="en-GB"/>
          <w14:ligatures w14:val="none"/>
        </w:rPr>
      </w:pPr>
      <w:r w:rsidRPr="003C581B">
        <w:rPr>
          <w:rFonts w:ascii="Times New Roman" w:eastAsia="Times New Roman" w:hAnsi="Times New Roman" w:cs="Times New Roman"/>
          <w:kern w:val="0"/>
          <w:lang w:eastAsia="en-GB"/>
          <w14:ligatures w14:val="none"/>
        </w:rPr>
        <w:t xml:space="preserve">Further, research is underway in digital maternity healthcare, which proposes that telemedicine solutions can contribute to improved accessibility and flexibility in healthcare delivery if adequately incorporated into existing healthcare pathways. The findings from a study conducted by Buultjens et al. in 2022 established that hybrid models of in-person and digital </w:t>
      </w:r>
      <w:r w:rsidRPr="003C581B">
        <w:rPr>
          <w:rFonts w:ascii="Times New Roman" w:eastAsia="Times New Roman" w:hAnsi="Times New Roman" w:cs="Times New Roman"/>
          <w:kern w:val="0"/>
          <w:lang w:eastAsia="en-GB"/>
          <w14:ligatures w14:val="none"/>
        </w:rPr>
        <w:lastRenderedPageBreak/>
        <w:t>healthcare in maternity were able to sustain psychosocial outcomes, service-user satisfaction, and other indicators during disrupted times in service delivery. Collins et al. in 2024 also state:</w:t>
      </w:r>
    </w:p>
    <w:p w14:paraId="2C423AD3" w14:textId="77777777" w:rsidR="00F06174" w:rsidRPr="00F06174" w:rsidRDefault="003C581B" w:rsidP="00F06174">
      <w:pPr>
        <w:spacing w:after="0" w:line="360" w:lineRule="auto"/>
        <w:jc w:val="both"/>
        <w:rPr>
          <w:rFonts w:ascii="Times New Roman" w:eastAsia="Times New Roman" w:hAnsi="Times New Roman" w:cs="Times New Roman"/>
          <w:kern w:val="0"/>
          <w:lang w:eastAsia="en-GB"/>
          <w14:ligatures w14:val="none"/>
        </w:rPr>
      </w:pPr>
      <w:r w:rsidRPr="003C581B">
        <w:rPr>
          <w:rFonts w:ascii="Times New Roman" w:eastAsia="Times New Roman" w:hAnsi="Times New Roman" w:cs="Times New Roman"/>
          <w:kern w:val="0"/>
          <w:lang w:eastAsia="en-GB"/>
          <w14:ligatures w14:val="none"/>
        </w:rPr>
        <w:t>Overall, these elements support the rationale underpinning MidConnect as a hybrid model of innovation which integrates ideas of continuity of care with digital technology for enhancement. Through being underpinned by existing research, this model shows credibility and viability, not to mention a focus on innovation which is evidence-based in midwifery practice.</w:t>
      </w:r>
    </w:p>
    <w:p w14:paraId="03D774C4" w14:textId="77777777" w:rsidR="00F06174" w:rsidRPr="00F06174" w:rsidRDefault="00F06174" w:rsidP="00F06174">
      <w:pPr>
        <w:spacing w:after="0" w:line="360" w:lineRule="auto"/>
        <w:jc w:val="both"/>
        <w:outlineLvl w:val="2"/>
        <w:rPr>
          <w:rFonts w:ascii="Times New Roman" w:eastAsia="Times New Roman" w:hAnsi="Times New Roman" w:cs="Times New Roman"/>
          <w:b/>
          <w:bCs/>
          <w:kern w:val="0"/>
          <w:lang w:eastAsia="en-GB"/>
          <w14:ligatures w14:val="none"/>
        </w:rPr>
      </w:pPr>
      <w:bookmarkStart w:id="19" w:name="_Toc216728814"/>
      <w:r w:rsidRPr="00F06174">
        <w:rPr>
          <w:rFonts w:ascii="Times New Roman" w:eastAsia="Times New Roman" w:hAnsi="Times New Roman" w:cs="Times New Roman"/>
          <w:b/>
          <w:bCs/>
          <w:kern w:val="0"/>
          <w:lang w:eastAsia="en-GB"/>
          <w14:ligatures w14:val="none"/>
        </w:rPr>
        <w:t>1</w:t>
      </w:r>
      <w:r w:rsidR="003A311E">
        <w:rPr>
          <w:rFonts w:ascii="Times New Roman" w:eastAsia="Times New Roman" w:hAnsi="Times New Roman" w:cs="Times New Roman"/>
          <w:b/>
          <w:bCs/>
          <w:kern w:val="0"/>
          <w:lang w:eastAsia="en-GB"/>
          <w14:ligatures w14:val="none"/>
        </w:rPr>
        <w:t>3</w:t>
      </w:r>
      <w:r w:rsidRPr="00F06174">
        <w:rPr>
          <w:rFonts w:ascii="Times New Roman" w:eastAsia="Times New Roman" w:hAnsi="Times New Roman" w:cs="Times New Roman"/>
          <w:b/>
          <w:bCs/>
          <w:kern w:val="0"/>
          <w:lang w:eastAsia="en-GB"/>
          <w14:ligatures w14:val="none"/>
        </w:rPr>
        <w:t>.0 Workforce Sustainability and Professional Development</w:t>
      </w:r>
      <w:bookmarkEnd w:id="19"/>
    </w:p>
    <w:p w14:paraId="7BA73AF2" w14:textId="77777777" w:rsidR="00F06174" w:rsidRPr="00F06174" w:rsidRDefault="00F06174" w:rsidP="00F06174">
      <w:p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Burnout among midwives is a significant threat to service sustainability (Alemu et al., 2024). MidConnect promotes manageable workloads, team-based continuity, and professional autonomy.</w:t>
      </w:r>
    </w:p>
    <w:p w14:paraId="598D5B83" w14:textId="77777777" w:rsidR="00F06174" w:rsidRPr="00F06174" w:rsidRDefault="00F06174" w:rsidP="00F06174">
      <w:pPr>
        <w:spacing w:after="0" w:line="360" w:lineRule="auto"/>
        <w:jc w:val="both"/>
        <w:rPr>
          <w:rFonts w:ascii="Times New Roman" w:eastAsia="Times New Roman" w:hAnsi="Times New Roman" w:cs="Times New Roman"/>
          <w:kern w:val="0"/>
          <w:lang w:eastAsia="en-GB"/>
          <w14:ligatures w14:val="none"/>
        </w:rPr>
      </w:pPr>
      <w:r w:rsidRPr="00F06174">
        <w:rPr>
          <w:rFonts w:ascii="Times New Roman" w:eastAsia="Times New Roman" w:hAnsi="Times New Roman" w:cs="Times New Roman"/>
          <w:kern w:val="0"/>
          <w:lang w:eastAsia="en-GB"/>
          <w14:ligatures w14:val="none"/>
        </w:rPr>
        <w:t>Advanced midwifery practice roles enhance leadership and service quality (Toll et al., 2024).</w:t>
      </w:r>
    </w:p>
    <w:p w14:paraId="1EFC8556" w14:textId="77777777" w:rsidR="00F06174" w:rsidRPr="00F06174" w:rsidRDefault="00F06174" w:rsidP="00F06174">
      <w:pPr>
        <w:spacing w:after="0" w:line="360" w:lineRule="auto"/>
        <w:jc w:val="both"/>
        <w:outlineLvl w:val="2"/>
        <w:rPr>
          <w:rFonts w:ascii="Times New Roman" w:eastAsia="Times New Roman" w:hAnsi="Times New Roman" w:cs="Times New Roman"/>
          <w:b/>
          <w:bCs/>
          <w:kern w:val="0"/>
          <w:lang w:eastAsia="en-GB"/>
          <w14:ligatures w14:val="none"/>
        </w:rPr>
      </w:pPr>
      <w:bookmarkStart w:id="20" w:name="_Toc216728815"/>
      <w:r w:rsidRPr="00F06174">
        <w:rPr>
          <w:rFonts w:ascii="Times New Roman" w:eastAsia="Times New Roman" w:hAnsi="Times New Roman" w:cs="Times New Roman"/>
          <w:b/>
          <w:bCs/>
          <w:kern w:val="0"/>
          <w:lang w:eastAsia="en-GB"/>
          <w14:ligatures w14:val="none"/>
        </w:rPr>
        <w:t>1</w:t>
      </w:r>
      <w:r w:rsidR="003A311E">
        <w:rPr>
          <w:rFonts w:ascii="Times New Roman" w:eastAsia="Times New Roman" w:hAnsi="Times New Roman" w:cs="Times New Roman"/>
          <w:b/>
          <w:bCs/>
          <w:kern w:val="0"/>
          <w:lang w:eastAsia="en-GB"/>
          <w14:ligatures w14:val="none"/>
        </w:rPr>
        <w:t>4</w:t>
      </w:r>
      <w:r w:rsidRPr="00F06174">
        <w:rPr>
          <w:rFonts w:ascii="Times New Roman" w:eastAsia="Times New Roman" w:hAnsi="Times New Roman" w:cs="Times New Roman"/>
          <w:b/>
          <w:bCs/>
          <w:kern w:val="0"/>
          <w:lang w:eastAsia="en-GB"/>
          <w14:ligatures w14:val="none"/>
        </w:rPr>
        <w:t>.0 Ethical, Legal, and Policy Considerations</w:t>
      </w:r>
      <w:bookmarkEnd w:id="20"/>
    </w:p>
    <w:p w14:paraId="5893F86D" w14:textId="77777777" w:rsidR="003A311E" w:rsidRPr="003A311E" w:rsidRDefault="003A311E" w:rsidP="003A311E">
      <w:p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The innovation upholds the principles of ethics, such as</w:t>
      </w:r>
    </w:p>
    <w:p w14:paraId="3FAE52AD" w14:textId="77777777" w:rsidR="003A311E" w:rsidRPr="003A311E" w:rsidRDefault="003A311E" w:rsidP="003A311E">
      <w:pPr>
        <w:pStyle w:val="ListParagraph"/>
        <w:numPr>
          <w:ilvl w:val="0"/>
          <w:numId w:val="19"/>
        </w:num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 xml:space="preserve">Autonomy, </w:t>
      </w:r>
    </w:p>
    <w:p w14:paraId="1DA691F6" w14:textId="77777777" w:rsidR="003A311E" w:rsidRPr="003A311E" w:rsidRDefault="003A311E" w:rsidP="003A311E">
      <w:pPr>
        <w:pStyle w:val="ListParagraph"/>
        <w:numPr>
          <w:ilvl w:val="0"/>
          <w:numId w:val="19"/>
        </w:num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 xml:space="preserve">Beneficence, </w:t>
      </w:r>
    </w:p>
    <w:p w14:paraId="1A3A5F6A" w14:textId="77777777" w:rsidR="003A311E" w:rsidRPr="003A311E" w:rsidRDefault="003A311E" w:rsidP="003A311E">
      <w:pPr>
        <w:pStyle w:val="ListParagraph"/>
        <w:numPr>
          <w:ilvl w:val="0"/>
          <w:numId w:val="19"/>
        </w:num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 xml:space="preserve">Confidentiality, And </w:t>
      </w:r>
    </w:p>
    <w:p w14:paraId="4C6B1F34" w14:textId="77777777" w:rsidR="003A311E" w:rsidRPr="003A311E" w:rsidRDefault="003A311E" w:rsidP="003A311E">
      <w:pPr>
        <w:pStyle w:val="ListParagraph"/>
        <w:numPr>
          <w:ilvl w:val="0"/>
          <w:numId w:val="19"/>
        </w:num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 xml:space="preserve">Equity. </w:t>
      </w:r>
    </w:p>
    <w:p w14:paraId="4498E27C" w14:textId="77777777" w:rsidR="00F06174" w:rsidRPr="00F06174" w:rsidRDefault="003A311E" w:rsidP="00F06174">
      <w:pPr>
        <w:spacing w:after="0" w:line="360" w:lineRule="auto"/>
        <w:jc w:val="both"/>
        <w:rPr>
          <w:rFonts w:ascii="Times New Roman" w:eastAsia="Times New Roman" w:hAnsi="Times New Roman" w:cs="Times New Roman"/>
          <w:kern w:val="0"/>
          <w:lang w:eastAsia="en-GB"/>
          <w14:ligatures w14:val="none"/>
        </w:rPr>
      </w:pPr>
      <w:r w:rsidRPr="003A311E">
        <w:rPr>
          <w:rFonts w:ascii="Times New Roman" w:eastAsia="Times New Roman" w:hAnsi="Times New Roman" w:cs="Times New Roman"/>
          <w:kern w:val="0"/>
          <w:lang w:eastAsia="en-GB"/>
          <w14:ligatures w14:val="none"/>
        </w:rPr>
        <w:t>The digital inclusion strategy aims at removing challenges highlighted in qualitative research studies conducted among remote antenatal care (Hinton et al., 2023).</w:t>
      </w:r>
    </w:p>
    <w:p w14:paraId="38358BA9" w14:textId="77777777" w:rsidR="00F06174" w:rsidRPr="00F06174" w:rsidRDefault="00F06174" w:rsidP="00F06174">
      <w:pPr>
        <w:spacing w:after="0" w:line="360" w:lineRule="auto"/>
        <w:jc w:val="both"/>
        <w:outlineLvl w:val="2"/>
        <w:rPr>
          <w:rFonts w:ascii="Times New Roman" w:eastAsia="Times New Roman" w:hAnsi="Times New Roman" w:cs="Times New Roman"/>
          <w:b/>
          <w:bCs/>
          <w:kern w:val="0"/>
          <w:lang w:eastAsia="en-GB"/>
          <w14:ligatures w14:val="none"/>
        </w:rPr>
      </w:pPr>
      <w:bookmarkStart w:id="21" w:name="_Toc216728816"/>
      <w:r w:rsidRPr="00F06174">
        <w:rPr>
          <w:rFonts w:ascii="Times New Roman" w:eastAsia="Times New Roman" w:hAnsi="Times New Roman" w:cs="Times New Roman"/>
          <w:b/>
          <w:bCs/>
          <w:kern w:val="0"/>
          <w:lang w:eastAsia="en-GB"/>
          <w14:ligatures w14:val="none"/>
        </w:rPr>
        <w:t>1</w:t>
      </w:r>
      <w:r w:rsidR="003A311E">
        <w:rPr>
          <w:rFonts w:ascii="Times New Roman" w:eastAsia="Times New Roman" w:hAnsi="Times New Roman" w:cs="Times New Roman"/>
          <w:b/>
          <w:bCs/>
          <w:kern w:val="0"/>
          <w:lang w:eastAsia="en-GB"/>
          <w14:ligatures w14:val="none"/>
        </w:rPr>
        <w:t>5</w:t>
      </w:r>
      <w:r w:rsidRPr="00F06174">
        <w:rPr>
          <w:rFonts w:ascii="Times New Roman" w:eastAsia="Times New Roman" w:hAnsi="Times New Roman" w:cs="Times New Roman"/>
          <w:b/>
          <w:bCs/>
          <w:kern w:val="0"/>
          <w:lang w:eastAsia="en-GB"/>
          <w14:ligatures w14:val="none"/>
        </w:rPr>
        <w:t>.0 Limitations and Risk Management</w:t>
      </w:r>
      <w:bookmarkEnd w:id="21"/>
    </w:p>
    <w:p w14:paraId="793B9959" w14:textId="77777777" w:rsidR="00067209" w:rsidRPr="00067209" w:rsidRDefault="00067209" w:rsidP="00067209">
      <w:pPr>
        <w:spacing w:after="0" w:line="360" w:lineRule="auto"/>
        <w:jc w:val="both"/>
        <w:rPr>
          <w:rFonts w:ascii="Times New Roman" w:eastAsia="Times New Roman" w:hAnsi="Times New Roman" w:cs="Times New Roman"/>
          <w:kern w:val="0"/>
          <w:lang w:eastAsia="en-GB"/>
          <w14:ligatures w14:val="none"/>
        </w:rPr>
      </w:pPr>
      <w:r w:rsidRPr="00067209">
        <w:rPr>
          <w:rFonts w:ascii="Times New Roman" w:eastAsia="Times New Roman" w:hAnsi="Times New Roman" w:cs="Times New Roman"/>
          <w:kern w:val="0"/>
          <w:lang w:eastAsia="en-GB"/>
          <w14:ligatures w14:val="none"/>
        </w:rPr>
        <w:t xml:space="preserve">Factors which may hinder implementation include </w:t>
      </w:r>
    </w:p>
    <w:p w14:paraId="7E76EC0E" w14:textId="77777777" w:rsidR="00067209" w:rsidRPr="00067209" w:rsidRDefault="00067209" w:rsidP="00067209">
      <w:pPr>
        <w:pStyle w:val="ListParagraph"/>
        <w:numPr>
          <w:ilvl w:val="0"/>
          <w:numId w:val="20"/>
        </w:numPr>
        <w:spacing w:after="0" w:line="360" w:lineRule="auto"/>
        <w:jc w:val="both"/>
        <w:rPr>
          <w:rFonts w:ascii="Times New Roman" w:eastAsia="Times New Roman" w:hAnsi="Times New Roman" w:cs="Times New Roman"/>
          <w:kern w:val="0"/>
          <w:lang w:eastAsia="en-GB"/>
          <w14:ligatures w14:val="none"/>
        </w:rPr>
      </w:pPr>
      <w:r w:rsidRPr="00067209">
        <w:rPr>
          <w:rFonts w:ascii="Times New Roman" w:eastAsia="Times New Roman" w:hAnsi="Times New Roman" w:cs="Times New Roman"/>
          <w:kern w:val="0"/>
          <w:lang w:eastAsia="en-GB"/>
          <w14:ligatures w14:val="none"/>
        </w:rPr>
        <w:t xml:space="preserve">Digital Exclusion, </w:t>
      </w:r>
    </w:p>
    <w:p w14:paraId="334AD7B0" w14:textId="77777777" w:rsidR="00067209" w:rsidRPr="00067209" w:rsidRDefault="00067209" w:rsidP="00067209">
      <w:pPr>
        <w:pStyle w:val="ListParagraph"/>
        <w:numPr>
          <w:ilvl w:val="0"/>
          <w:numId w:val="20"/>
        </w:numPr>
        <w:spacing w:after="0" w:line="360" w:lineRule="auto"/>
        <w:jc w:val="both"/>
        <w:rPr>
          <w:rFonts w:ascii="Times New Roman" w:eastAsia="Times New Roman" w:hAnsi="Times New Roman" w:cs="Times New Roman"/>
          <w:kern w:val="0"/>
          <w:lang w:eastAsia="en-GB"/>
          <w14:ligatures w14:val="none"/>
        </w:rPr>
      </w:pPr>
      <w:r w:rsidRPr="00067209">
        <w:rPr>
          <w:rFonts w:ascii="Times New Roman" w:eastAsia="Times New Roman" w:hAnsi="Times New Roman" w:cs="Times New Roman"/>
          <w:kern w:val="0"/>
          <w:lang w:eastAsia="en-GB"/>
          <w14:ligatures w14:val="none"/>
        </w:rPr>
        <w:t xml:space="preserve">Resistance To Change, And </w:t>
      </w:r>
    </w:p>
    <w:p w14:paraId="5941457D" w14:textId="77777777" w:rsidR="00067209" w:rsidRPr="00067209" w:rsidRDefault="00067209" w:rsidP="00067209">
      <w:pPr>
        <w:pStyle w:val="ListParagraph"/>
        <w:numPr>
          <w:ilvl w:val="0"/>
          <w:numId w:val="20"/>
        </w:numPr>
        <w:spacing w:after="0" w:line="360" w:lineRule="auto"/>
        <w:jc w:val="both"/>
        <w:rPr>
          <w:rFonts w:ascii="Times New Roman" w:eastAsia="Times New Roman" w:hAnsi="Times New Roman" w:cs="Times New Roman"/>
          <w:kern w:val="0"/>
          <w:lang w:eastAsia="en-GB"/>
          <w14:ligatures w14:val="none"/>
        </w:rPr>
      </w:pPr>
      <w:r w:rsidRPr="00067209">
        <w:rPr>
          <w:rFonts w:ascii="Times New Roman" w:eastAsia="Times New Roman" w:hAnsi="Times New Roman" w:cs="Times New Roman"/>
          <w:kern w:val="0"/>
          <w:lang w:eastAsia="en-GB"/>
          <w14:ligatures w14:val="none"/>
        </w:rPr>
        <w:t xml:space="preserve">Issues Concerning Data Security. </w:t>
      </w:r>
    </w:p>
    <w:p w14:paraId="3813C259" w14:textId="77777777" w:rsidR="00F06174" w:rsidRPr="00F06174" w:rsidRDefault="00067209" w:rsidP="00F06174">
      <w:pPr>
        <w:spacing w:after="0" w:line="360" w:lineRule="auto"/>
        <w:jc w:val="both"/>
        <w:rPr>
          <w:rFonts w:ascii="Times New Roman" w:eastAsia="Times New Roman" w:hAnsi="Times New Roman" w:cs="Times New Roman"/>
          <w:kern w:val="0"/>
          <w:lang w:eastAsia="en-GB"/>
          <w14:ligatures w14:val="none"/>
        </w:rPr>
      </w:pPr>
      <w:r w:rsidRPr="00067209">
        <w:rPr>
          <w:rFonts w:ascii="Times New Roman" w:eastAsia="Times New Roman" w:hAnsi="Times New Roman" w:cs="Times New Roman"/>
          <w:kern w:val="0"/>
          <w:lang w:eastAsia="en-GB"/>
          <w14:ligatures w14:val="none"/>
        </w:rPr>
        <w:t>Counteracting these include providing specialized training, ensuring voluntary digital participation, and setting up an effective governance structure.</w:t>
      </w:r>
    </w:p>
    <w:p w14:paraId="6913A66C" w14:textId="77777777" w:rsidR="00F06174" w:rsidRPr="00F06174" w:rsidRDefault="00F06174" w:rsidP="00067209">
      <w:pPr>
        <w:pStyle w:val="Heading2"/>
        <w:rPr>
          <w:rFonts w:eastAsia="Times New Roman"/>
          <w:lang w:eastAsia="en-GB"/>
        </w:rPr>
      </w:pPr>
      <w:bookmarkStart w:id="22" w:name="_Toc216728817"/>
      <w:r w:rsidRPr="00F06174">
        <w:rPr>
          <w:rFonts w:eastAsia="Times New Roman"/>
          <w:lang w:eastAsia="en-GB"/>
        </w:rPr>
        <w:t>1</w:t>
      </w:r>
      <w:r w:rsidR="00067209">
        <w:rPr>
          <w:rFonts w:eastAsia="Times New Roman"/>
          <w:lang w:eastAsia="en-GB"/>
        </w:rPr>
        <w:t>6</w:t>
      </w:r>
      <w:r w:rsidRPr="00F06174">
        <w:rPr>
          <w:rFonts w:eastAsia="Times New Roman"/>
          <w:lang w:eastAsia="en-GB"/>
        </w:rPr>
        <w:t>.0 Conclusion of Pitch</w:t>
      </w:r>
      <w:bookmarkEnd w:id="22"/>
    </w:p>
    <w:p w14:paraId="31E47220" w14:textId="77777777" w:rsidR="00F06174" w:rsidRPr="00F06174" w:rsidRDefault="003A7D5C" w:rsidP="00F06174">
      <w:pPr>
        <w:spacing w:after="0" w:line="360" w:lineRule="auto"/>
        <w:jc w:val="both"/>
        <w:rPr>
          <w:rFonts w:ascii="Times New Roman" w:eastAsia="Times New Roman" w:hAnsi="Times New Roman" w:cs="Times New Roman"/>
          <w:kern w:val="0"/>
          <w:lang w:eastAsia="en-GB"/>
          <w14:ligatures w14:val="none"/>
        </w:rPr>
      </w:pPr>
      <w:r w:rsidRPr="003A7D5C">
        <w:rPr>
          <w:rFonts w:ascii="Times New Roman" w:eastAsia="Times New Roman" w:hAnsi="Times New Roman" w:cs="Times New Roman"/>
          <w:kern w:val="0"/>
          <w:lang w:eastAsia="en-GB"/>
          <w14:ligatures w14:val="none"/>
        </w:rPr>
        <w:t>Mid</w:t>
      </w:r>
      <w:r>
        <w:rPr>
          <w:rFonts w:ascii="Times New Roman" w:eastAsia="Times New Roman" w:hAnsi="Times New Roman" w:cs="Times New Roman"/>
          <w:kern w:val="0"/>
          <w:lang w:eastAsia="en-GB"/>
          <w14:ligatures w14:val="none"/>
        </w:rPr>
        <w:t xml:space="preserve"> </w:t>
      </w:r>
      <w:r w:rsidRPr="003A7D5C">
        <w:rPr>
          <w:rFonts w:ascii="Times New Roman" w:eastAsia="Times New Roman" w:hAnsi="Times New Roman" w:cs="Times New Roman"/>
          <w:kern w:val="0"/>
          <w:lang w:eastAsia="en-GB"/>
          <w14:ligatures w14:val="none"/>
        </w:rPr>
        <w:t>Connect represents an innovative and evidence-supported step up in midwifery practice. With a focus on continuity of care and technology support, Mid</w:t>
      </w:r>
      <w:r>
        <w:rPr>
          <w:rFonts w:ascii="Times New Roman" w:eastAsia="Times New Roman" w:hAnsi="Times New Roman" w:cs="Times New Roman"/>
          <w:kern w:val="0"/>
          <w:lang w:eastAsia="en-GB"/>
          <w14:ligatures w14:val="none"/>
        </w:rPr>
        <w:t xml:space="preserve"> </w:t>
      </w:r>
      <w:r w:rsidRPr="003A7D5C">
        <w:rPr>
          <w:rFonts w:ascii="Times New Roman" w:eastAsia="Times New Roman" w:hAnsi="Times New Roman" w:cs="Times New Roman"/>
          <w:kern w:val="0"/>
          <w:lang w:eastAsia="en-GB"/>
          <w14:ligatures w14:val="none"/>
        </w:rPr>
        <w:t>Connect aims to improve health outcomes, promote professional practice, and strengthen resilience in maternity service delivery in the UK.</w:t>
      </w:r>
    </w:p>
    <w:p w14:paraId="23FAF6E4" w14:textId="77777777" w:rsidR="00F06174" w:rsidRPr="00F06174" w:rsidRDefault="00F06174" w:rsidP="00F06174">
      <w:pPr>
        <w:spacing w:after="0" w:line="360" w:lineRule="auto"/>
        <w:jc w:val="both"/>
        <w:rPr>
          <w:rFonts w:ascii="Times New Roman" w:eastAsia="Times New Roman" w:hAnsi="Times New Roman" w:cs="Times New Roman"/>
          <w:kern w:val="0"/>
          <w:lang w:eastAsia="en-GB"/>
          <w14:ligatures w14:val="none"/>
        </w:rPr>
      </w:pPr>
    </w:p>
    <w:p w14:paraId="6DDE4452" w14:textId="77777777" w:rsidR="003A311E" w:rsidRDefault="003A311E">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br w:type="page"/>
      </w:r>
    </w:p>
    <w:p w14:paraId="02EFE02D" w14:textId="77777777" w:rsidR="00F06174" w:rsidRDefault="00F06174" w:rsidP="003A7D5C">
      <w:pPr>
        <w:pStyle w:val="Heading2"/>
        <w:rPr>
          <w:rFonts w:eastAsia="Times New Roman"/>
          <w:lang w:eastAsia="en-GB"/>
        </w:rPr>
      </w:pPr>
      <w:bookmarkStart w:id="23" w:name="_Toc216728818"/>
      <w:r w:rsidRPr="00F06174">
        <w:rPr>
          <w:rFonts w:eastAsia="Times New Roman"/>
          <w:lang w:eastAsia="en-GB"/>
        </w:rPr>
        <w:lastRenderedPageBreak/>
        <w:t>References</w:t>
      </w:r>
      <w:bookmarkEnd w:id="23"/>
    </w:p>
    <w:p w14:paraId="4777BE7E"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Alemu, S.S., Hajure, M., Agago, M.T., Hussein, F., Gesisa, H.I., Teferi, S.M., Yohanes, D. and </w:t>
      </w:r>
    </w:p>
    <w:p w14:paraId="57D3BEB1"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Wedajo, L.F., 2024. Prevalence of burnout and associated factors among midwives, 2023: institution-based cross-sectional study. </w:t>
      </w:r>
      <w:r w:rsidRPr="00023AB3">
        <w:rPr>
          <w:rFonts w:ascii="Times New Roman" w:hAnsi="Times New Roman" w:cs="Times New Roman"/>
          <w:i/>
          <w:iCs/>
          <w:color w:val="222222"/>
          <w:shd w:val="clear" w:color="auto" w:fill="FFFFFF"/>
        </w:rPr>
        <w:t>Frontiers in Public Health</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12</w:t>
      </w:r>
      <w:r w:rsidRPr="00023AB3">
        <w:rPr>
          <w:rFonts w:ascii="Times New Roman" w:hAnsi="Times New Roman" w:cs="Times New Roman"/>
          <w:color w:val="222222"/>
          <w:shd w:val="clear" w:color="auto" w:fill="FFFFFF"/>
        </w:rPr>
        <w:t>, p.1422915.</w:t>
      </w:r>
    </w:p>
    <w:p w14:paraId="714771C0"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Buultjens, M., Gill, J., Fielding, J., Lambert, K.A., Vondeling, K., Mastwyk, S.E., Sloane, S., </w:t>
      </w:r>
    </w:p>
    <w:p w14:paraId="5CE3D0B4"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Fedele, W., Karimi, L., Milgrom, J. and von Treuer, K., 2023. Maternity care during a pandemic: Can a hybrid telehealth model comprising group interdisciplinary education support maternal psychological health?. </w:t>
      </w:r>
      <w:r w:rsidRPr="00023AB3">
        <w:rPr>
          <w:rFonts w:ascii="Times New Roman" w:hAnsi="Times New Roman" w:cs="Times New Roman"/>
          <w:i/>
          <w:iCs/>
          <w:color w:val="222222"/>
          <w:shd w:val="clear" w:color="auto" w:fill="FFFFFF"/>
        </w:rPr>
        <w:t>Women and Birth</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36</w:t>
      </w:r>
      <w:r w:rsidRPr="00023AB3">
        <w:rPr>
          <w:rFonts w:ascii="Times New Roman" w:hAnsi="Times New Roman" w:cs="Times New Roman"/>
          <w:color w:val="222222"/>
          <w:shd w:val="clear" w:color="auto" w:fill="FFFFFF"/>
        </w:rPr>
        <w:t>(3), pp.305-313.</w:t>
      </w:r>
    </w:p>
    <w:p w14:paraId="2ACA7045"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Collins, E., Keedle, H., Jackson, M., Lequertier, B., Schmied, V., Boyle, J., Kildea, S. and </w:t>
      </w:r>
    </w:p>
    <w:p w14:paraId="3341C99B"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Dahlen, H.G., 2024. Telehealth use in maternity care during a pandemic: A lot of bad, some good and possibility. </w:t>
      </w:r>
      <w:r w:rsidRPr="00023AB3">
        <w:rPr>
          <w:rFonts w:ascii="Times New Roman" w:hAnsi="Times New Roman" w:cs="Times New Roman"/>
          <w:i/>
          <w:iCs/>
          <w:color w:val="222222"/>
          <w:shd w:val="clear" w:color="auto" w:fill="FFFFFF"/>
        </w:rPr>
        <w:t>Women and Birth</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37</w:t>
      </w:r>
      <w:r w:rsidRPr="00023AB3">
        <w:rPr>
          <w:rFonts w:ascii="Times New Roman" w:hAnsi="Times New Roman" w:cs="Times New Roman"/>
          <w:color w:val="222222"/>
          <w:shd w:val="clear" w:color="auto" w:fill="FFFFFF"/>
        </w:rPr>
        <w:t>(2), pp.419-427.</w:t>
      </w:r>
    </w:p>
    <w:p w14:paraId="7DDFFE2C"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Eri, T.S., Berg, M., Dahl, B., Gottfreðsdóttir, H., Sommerseth, E. and Prinds, C., 2020. Models </w:t>
      </w:r>
    </w:p>
    <w:p w14:paraId="1526C709"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for midwifery care: A mapping review. </w:t>
      </w:r>
      <w:r w:rsidRPr="00023AB3">
        <w:rPr>
          <w:rFonts w:ascii="Times New Roman" w:hAnsi="Times New Roman" w:cs="Times New Roman"/>
          <w:i/>
          <w:iCs/>
          <w:color w:val="222222"/>
          <w:shd w:val="clear" w:color="auto" w:fill="FFFFFF"/>
        </w:rPr>
        <w:t>European Journal of Midwifery</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4</w:t>
      </w:r>
      <w:r w:rsidRPr="00023AB3">
        <w:rPr>
          <w:rFonts w:ascii="Times New Roman" w:hAnsi="Times New Roman" w:cs="Times New Roman"/>
          <w:color w:val="222222"/>
          <w:shd w:val="clear" w:color="auto" w:fill="FFFFFF"/>
        </w:rPr>
        <w:t>, p.30.</w:t>
      </w:r>
    </w:p>
    <w:p w14:paraId="0BAE7139"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Fernandez Turienzo, C., Bick, D., Briley, A.L., Bollard, M., Coxon, K., Cross, P., Silverio, </w:t>
      </w:r>
    </w:p>
    <w:p w14:paraId="3E3A6017"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S.A., Singh, C., Seed, P.T., Tribe, R.M. and Shennan, A.H., 2020. Midwifery continuity of care versus standard maternity care for women at increased risk of preterm birth: A hybrid implementation–effectiveness, randomised controlled pilot trial in the UK. </w:t>
      </w:r>
      <w:r w:rsidRPr="00023AB3">
        <w:rPr>
          <w:rFonts w:ascii="Times New Roman" w:hAnsi="Times New Roman" w:cs="Times New Roman"/>
          <w:i/>
          <w:iCs/>
          <w:color w:val="222222"/>
          <w:shd w:val="clear" w:color="auto" w:fill="FFFFFF"/>
        </w:rPr>
        <w:t>PLoS medicine</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17</w:t>
      </w:r>
      <w:r w:rsidRPr="00023AB3">
        <w:rPr>
          <w:rFonts w:ascii="Times New Roman" w:hAnsi="Times New Roman" w:cs="Times New Roman"/>
          <w:color w:val="222222"/>
          <w:shd w:val="clear" w:color="auto" w:fill="FFFFFF"/>
        </w:rPr>
        <w:t>(10), p.e1003350.</w:t>
      </w:r>
    </w:p>
    <w:p w14:paraId="608517AA"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Hinton, L., Kuberska, K., Dakin, F., Boydell, N., Martin, G., Draycott, T., Winter, C., </w:t>
      </w:r>
    </w:p>
    <w:p w14:paraId="6CE9AF45"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McManus, R.J., Chappell, L., Chakrabarti, S. and Howland, E., 2023. A qualitative study of the dynamics of access to remote antenatal care through the lens of candidacy. </w:t>
      </w:r>
      <w:r w:rsidRPr="00023AB3">
        <w:rPr>
          <w:rFonts w:ascii="Times New Roman" w:hAnsi="Times New Roman" w:cs="Times New Roman"/>
          <w:i/>
          <w:iCs/>
          <w:color w:val="222222"/>
          <w:shd w:val="clear" w:color="auto" w:fill="FFFFFF"/>
        </w:rPr>
        <w:t>Journal of health services research &amp; policy</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28</w:t>
      </w:r>
      <w:r w:rsidRPr="00023AB3">
        <w:rPr>
          <w:rFonts w:ascii="Times New Roman" w:hAnsi="Times New Roman" w:cs="Times New Roman"/>
          <w:color w:val="222222"/>
          <w:shd w:val="clear" w:color="auto" w:fill="FFFFFF"/>
        </w:rPr>
        <w:t>(4), pp.222-232.</w:t>
      </w:r>
    </w:p>
    <w:p w14:paraId="5BF5D417"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Logan, G. and Kelly, J., 2021. The Ockenden report and its implications for midwifery practice: </w:t>
      </w:r>
    </w:p>
    <w:p w14:paraId="00D65119"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Some reflections. </w:t>
      </w:r>
      <w:r w:rsidRPr="00023AB3">
        <w:rPr>
          <w:rFonts w:ascii="Times New Roman" w:hAnsi="Times New Roman" w:cs="Times New Roman"/>
          <w:i/>
          <w:iCs/>
          <w:color w:val="222222"/>
          <w:shd w:val="clear" w:color="auto" w:fill="FFFFFF"/>
        </w:rPr>
        <w:t>Journal of Clinical Nursing</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30</w:t>
      </w:r>
      <w:r w:rsidRPr="00023AB3">
        <w:rPr>
          <w:rFonts w:ascii="Times New Roman" w:hAnsi="Times New Roman" w:cs="Times New Roman"/>
          <w:color w:val="222222"/>
          <w:shd w:val="clear" w:color="auto" w:fill="FFFFFF"/>
        </w:rPr>
        <w:t>(19-20), pp.e64-e66.</w:t>
      </w:r>
    </w:p>
    <w:p w14:paraId="38F1DE49"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Rayment-Jones, H., Silverio, S.A., Harris, J., Harden, A. and Sandall, J., 2020. Project 20: </w:t>
      </w:r>
    </w:p>
    <w:p w14:paraId="31E964D2"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Midwives’ insight into continuity of care models for women with social risk factors: what works, for whom, in what circumstances, and how. </w:t>
      </w:r>
      <w:r w:rsidRPr="00023AB3">
        <w:rPr>
          <w:rFonts w:ascii="Times New Roman" w:hAnsi="Times New Roman" w:cs="Times New Roman"/>
          <w:i/>
          <w:iCs/>
          <w:color w:val="222222"/>
          <w:shd w:val="clear" w:color="auto" w:fill="FFFFFF"/>
        </w:rPr>
        <w:t>Midwifery</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84</w:t>
      </w:r>
      <w:r w:rsidRPr="00023AB3">
        <w:rPr>
          <w:rFonts w:ascii="Times New Roman" w:hAnsi="Times New Roman" w:cs="Times New Roman"/>
          <w:color w:val="222222"/>
          <w:shd w:val="clear" w:color="auto" w:fill="FFFFFF"/>
        </w:rPr>
        <w:t>, p.102654.</w:t>
      </w:r>
    </w:p>
    <w:p w14:paraId="61CDAA79"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Toll, K., Sharp, T., Reynolds, K. and Bradfield, Z., 2024. Advanced midwifery practice: A </w:t>
      </w:r>
    </w:p>
    <w:p w14:paraId="2A11CA29"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scoping review. </w:t>
      </w:r>
      <w:r w:rsidRPr="00023AB3">
        <w:rPr>
          <w:rFonts w:ascii="Times New Roman" w:hAnsi="Times New Roman" w:cs="Times New Roman"/>
          <w:i/>
          <w:iCs/>
          <w:color w:val="222222"/>
          <w:shd w:val="clear" w:color="auto" w:fill="FFFFFF"/>
        </w:rPr>
        <w:t>Women and Birth</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37</w:t>
      </w:r>
      <w:r w:rsidRPr="00023AB3">
        <w:rPr>
          <w:rFonts w:ascii="Times New Roman" w:hAnsi="Times New Roman" w:cs="Times New Roman"/>
          <w:color w:val="222222"/>
          <w:shd w:val="clear" w:color="auto" w:fill="FFFFFF"/>
        </w:rPr>
        <w:t>(1), pp.106-117.</w:t>
      </w:r>
    </w:p>
    <w:p w14:paraId="07855772" w14:textId="77777777" w:rsidR="00023AB3" w:rsidRDefault="00023AB3" w:rsidP="00023AB3">
      <w:pPr>
        <w:spacing w:after="0" w:line="360" w:lineRule="auto"/>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 xml:space="preserve">Whitworth, K., Donnellan-Fernandez, R. and Fleet, J.A., 2024. Digital transformation of </w:t>
      </w:r>
    </w:p>
    <w:p w14:paraId="21786E02" w14:textId="77777777" w:rsidR="00023AB3" w:rsidRPr="00023AB3" w:rsidRDefault="00023AB3" w:rsidP="00023AB3">
      <w:pPr>
        <w:spacing w:after="0" w:line="360" w:lineRule="auto"/>
        <w:ind w:left="720"/>
        <w:jc w:val="both"/>
        <w:rPr>
          <w:rFonts w:ascii="Times New Roman" w:hAnsi="Times New Roman" w:cs="Times New Roman"/>
          <w:color w:val="222222"/>
          <w:shd w:val="clear" w:color="auto" w:fill="FFFFFF"/>
        </w:rPr>
      </w:pPr>
      <w:r w:rsidRPr="00023AB3">
        <w:rPr>
          <w:rFonts w:ascii="Times New Roman" w:hAnsi="Times New Roman" w:cs="Times New Roman"/>
          <w:color w:val="222222"/>
          <w:shd w:val="clear" w:color="auto" w:fill="FFFFFF"/>
        </w:rPr>
        <w:t>antenatal education: A descriptive exploratory study of women’s experiences of online antenatal education. </w:t>
      </w:r>
      <w:r w:rsidRPr="00023AB3">
        <w:rPr>
          <w:rFonts w:ascii="Times New Roman" w:hAnsi="Times New Roman" w:cs="Times New Roman"/>
          <w:i/>
          <w:iCs/>
          <w:color w:val="222222"/>
          <w:shd w:val="clear" w:color="auto" w:fill="FFFFFF"/>
        </w:rPr>
        <w:t>Women and Birth</w:t>
      </w:r>
      <w:r w:rsidRPr="00023AB3">
        <w:rPr>
          <w:rFonts w:ascii="Times New Roman" w:hAnsi="Times New Roman" w:cs="Times New Roman"/>
          <w:color w:val="222222"/>
          <w:shd w:val="clear" w:color="auto" w:fill="FFFFFF"/>
        </w:rPr>
        <w:t>, </w:t>
      </w:r>
      <w:r w:rsidRPr="00023AB3">
        <w:rPr>
          <w:rFonts w:ascii="Times New Roman" w:hAnsi="Times New Roman" w:cs="Times New Roman"/>
          <w:i/>
          <w:iCs/>
          <w:color w:val="222222"/>
          <w:shd w:val="clear" w:color="auto" w:fill="FFFFFF"/>
        </w:rPr>
        <w:t>37</w:t>
      </w:r>
      <w:r w:rsidRPr="00023AB3">
        <w:rPr>
          <w:rFonts w:ascii="Times New Roman" w:hAnsi="Times New Roman" w:cs="Times New Roman"/>
          <w:color w:val="222222"/>
          <w:shd w:val="clear" w:color="auto" w:fill="FFFFFF"/>
        </w:rPr>
        <w:t>(1), pp.188-196.</w:t>
      </w:r>
    </w:p>
    <w:p w14:paraId="2421020B" w14:textId="77777777" w:rsidR="00C24E47" w:rsidRPr="00F06174" w:rsidRDefault="00C24E47" w:rsidP="00F06174">
      <w:pPr>
        <w:spacing w:after="0" w:line="360" w:lineRule="auto"/>
        <w:jc w:val="both"/>
        <w:rPr>
          <w:rFonts w:ascii="Times New Roman" w:hAnsi="Times New Roman" w:cs="Times New Roman"/>
        </w:rPr>
      </w:pPr>
    </w:p>
    <w:sectPr w:rsidR="00C24E47" w:rsidRPr="00F0617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37BC9" w14:textId="77777777" w:rsidR="00D34BF0" w:rsidRDefault="00D34BF0" w:rsidP="00A15FB0">
      <w:pPr>
        <w:spacing w:after="0" w:line="240" w:lineRule="auto"/>
      </w:pPr>
      <w:r>
        <w:separator/>
      </w:r>
    </w:p>
  </w:endnote>
  <w:endnote w:type="continuationSeparator" w:id="0">
    <w:p w14:paraId="546848F8" w14:textId="77777777" w:rsidR="00D34BF0" w:rsidRDefault="00D34BF0" w:rsidP="00A15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905107"/>
      <w:docPartObj>
        <w:docPartGallery w:val="Page Numbers (Bottom of Page)"/>
        <w:docPartUnique/>
      </w:docPartObj>
    </w:sdtPr>
    <w:sdtContent>
      <w:p w14:paraId="046C9124" w14:textId="77777777" w:rsidR="00A15FB0" w:rsidRDefault="00A15FB0" w:rsidP="002701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408B4FE" w14:textId="77777777" w:rsidR="00A15FB0" w:rsidRDefault="00A15F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42679482"/>
      <w:docPartObj>
        <w:docPartGallery w:val="Page Numbers (Bottom of Page)"/>
        <w:docPartUnique/>
      </w:docPartObj>
    </w:sdtPr>
    <w:sdtContent>
      <w:p w14:paraId="42BA1588" w14:textId="77777777" w:rsidR="00A15FB0" w:rsidRDefault="00A15FB0" w:rsidP="002701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D8CA8F" w14:textId="77777777" w:rsidR="00A15FB0" w:rsidRDefault="00A15F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B8589" w14:textId="77777777" w:rsidR="00D34BF0" w:rsidRDefault="00D34BF0" w:rsidP="00A15FB0">
      <w:pPr>
        <w:spacing w:after="0" w:line="240" w:lineRule="auto"/>
      </w:pPr>
      <w:r>
        <w:separator/>
      </w:r>
    </w:p>
  </w:footnote>
  <w:footnote w:type="continuationSeparator" w:id="0">
    <w:p w14:paraId="21AF92AA" w14:textId="77777777" w:rsidR="00D34BF0" w:rsidRDefault="00D34BF0" w:rsidP="00A15F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AE64874"/>
    <w:multiLevelType w:val="multilevel"/>
    <w:tmpl w:val="BD840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AA4A9C"/>
    <w:multiLevelType w:val="multilevel"/>
    <w:tmpl w:val="2B5E1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3605F"/>
    <w:multiLevelType w:val="hybridMultilevel"/>
    <w:tmpl w:val="E1A07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8A55F6"/>
    <w:multiLevelType w:val="multilevel"/>
    <w:tmpl w:val="2DA44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A26D57"/>
    <w:multiLevelType w:val="hybridMultilevel"/>
    <w:tmpl w:val="08A60A8C"/>
    <w:lvl w:ilvl="0" w:tplc="2154D55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107EC"/>
    <w:multiLevelType w:val="multilevel"/>
    <w:tmpl w:val="214CA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BE0A5C"/>
    <w:multiLevelType w:val="multilevel"/>
    <w:tmpl w:val="2684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564CEE"/>
    <w:multiLevelType w:val="multilevel"/>
    <w:tmpl w:val="379E0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D719EA"/>
    <w:multiLevelType w:val="hybridMultilevel"/>
    <w:tmpl w:val="D63E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D57CD4"/>
    <w:multiLevelType w:val="multilevel"/>
    <w:tmpl w:val="48544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944139"/>
    <w:multiLevelType w:val="hybridMultilevel"/>
    <w:tmpl w:val="E64EBC7E"/>
    <w:lvl w:ilvl="0" w:tplc="08090001">
      <w:start w:val="1"/>
      <w:numFmt w:val="bullet"/>
      <w:lvlText w:val=""/>
      <w:lvlJc w:val="left"/>
      <w:pPr>
        <w:ind w:left="720" w:hanging="360"/>
      </w:pPr>
      <w:rPr>
        <w:rFonts w:ascii="Symbol" w:hAnsi="Symbol" w:hint="default"/>
      </w:rPr>
    </w:lvl>
    <w:lvl w:ilvl="1" w:tplc="AA482F8A">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ED0894"/>
    <w:multiLevelType w:val="multilevel"/>
    <w:tmpl w:val="6D220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B73F99"/>
    <w:multiLevelType w:val="hybridMultilevel"/>
    <w:tmpl w:val="26B8E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70019D"/>
    <w:multiLevelType w:val="multilevel"/>
    <w:tmpl w:val="04EAE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08306A"/>
    <w:multiLevelType w:val="multilevel"/>
    <w:tmpl w:val="26BED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5E636E"/>
    <w:multiLevelType w:val="hybridMultilevel"/>
    <w:tmpl w:val="7C46E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B269DE"/>
    <w:multiLevelType w:val="multilevel"/>
    <w:tmpl w:val="733C4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3635B1"/>
    <w:multiLevelType w:val="multilevel"/>
    <w:tmpl w:val="F8603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7713954">
    <w:abstractNumId w:val="1"/>
  </w:num>
  <w:num w:numId="2" w16cid:durableId="866720286">
    <w:abstractNumId w:val="0"/>
  </w:num>
  <w:num w:numId="3" w16cid:durableId="403723025">
    <w:abstractNumId w:val="0"/>
  </w:num>
  <w:num w:numId="4" w16cid:durableId="612133877">
    <w:abstractNumId w:val="19"/>
  </w:num>
  <w:num w:numId="5" w16cid:durableId="1401059814">
    <w:abstractNumId w:val="18"/>
  </w:num>
  <w:num w:numId="6" w16cid:durableId="613368833">
    <w:abstractNumId w:val="9"/>
  </w:num>
  <w:num w:numId="7" w16cid:durableId="1098022146">
    <w:abstractNumId w:val="5"/>
  </w:num>
  <w:num w:numId="8" w16cid:durableId="1453943403">
    <w:abstractNumId w:val="3"/>
  </w:num>
  <w:num w:numId="9" w16cid:durableId="992442431">
    <w:abstractNumId w:val="15"/>
  </w:num>
  <w:num w:numId="10" w16cid:durableId="1888838988">
    <w:abstractNumId w:val="16"/>
  </w:num>
  <w:num w:numId="11" w16cid:durableId="1560820861">
    <w:abstractNumId w:val="11"/>
  </w:num>
  <w:num w:numId="12" w16cid:durableId="1891769232">
    <w:abstractNumId w:val="13"/>
  </w:num>
  <w:num w:numId="13" w16cid:durableId="610285691">
    <w:abstractNumId w:val="2"/>
  </w:num>
  <w:num w:numId="14" w16cid:durableId="2139060373">
    <w:abstractNumId w:val="7"/>
  </w:num>
  <w:num w:numId="15" w16cid:durableId="1694040488">
    <w:abstractNumId w:val="8"/>
  </w:num>
  <w:num w:numId="16" w16cid:durableId="115757822">
    <w:abstractNumId w:val="4"/>
  </w:num>
  <w:num w:numId="17" w16cid:durableId="1203521028">
    <w:abstractNumId w:val="12"/>
  </w:num>
  <w:num w:numId="18" w16cid:durableId="574440948">
    <w:abstractNumId w:val="17"/>
  </w:num>
  <w:num w:numId="19" w16cid:durableId="1722513177">
    <w:abstractNumId w:val="14"/>
  </w:num>
  <w:num w:numId="20" w16cid:durableId="1902789944">
    <w:abstractNumId w:val="10"/>
  </w:num>
  <w:num w:numId="21" w16cid:durableId="13690687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174"/>
    <w:rsid w:val="00023AB3"/>
    <w:rsid w:val="000352EC"/>
    <w:rsid w:val="000551B2"/>
    <w:rsid w:val="00067209"/>
    <w:rsid w:val="000A0253"/>
    <w:rsid w:val="001D3EE3"/>
    <w:rsid w:val="00201798"/>
    <w:rsid w:val="002F7B3D"/>
    <w:rsid w:val="003378DB"/>
    <w:rsid w:val="003A311E"/>
    <w:rsid w:val="003A7D5C"/>
    <w:rsid w:val="003C581B"/>
    <w:rsid w:val="004418D7"/>
    <w:rsid w:val="00466ABE"/>
    <w:rsid w:val="004E3AC7"/>
    <w:rsid w:val="004F4C79"/>
    <w:rsid w:val="0050653C"/>
    <w:rsid w:val="00540F8C"/>
    <w:rsid w:val="005703D7"/>
    <w:rsid w:val="005B339C"/>
    <w:rsid w:val="00665B90"/>
    <w:rsid w:val="007370B6"/>
    <w:rsid w:val="007A0CE6"/>
    <w:rsid w:val="0081561E"/>
    <w:rsid w:val="00864C85"/>
    <w:rsid w:val="008B6C61"/>
    <w:rsid w:val="008F34CF"/>
    <w:rsid w:val="00955602"/>
    <w:rsid w:val="009E7DEA"/>
    <w:rsid w:val="00A15FB0"/>
    <w:rsid w:val="00A4313D"/>
    <w:rsid w:val="00B97CAF"/>
    <w:rsid w:val="00BE7828"/>
    <w:rsid w:val="00C24E47"/>
    <w:rsid w:val="00C46641"/>
    <w:rsid w:val="00C644FB"/>
    <w:rsid w:val="00CC0C0F"/>
    <w:rsid w:val="00D00CCF"/>
    <w:rsid w:val="00D34BF0"/>
    <w:rsid w:val="00E44A99"/>
    <w:rsid w:val="00EA2949"/>
    <w:rsid w:val="00F00C2E"/>
    <w:rsid w:val="00F06174"/>
    <w:rsid w:val="00F25F0B"/>
    <w:rsid w:val="00F96D2D"/>
    <w:rsid w:val="00FA583C"/>
    <w:rsid w:val="00FB5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3BFFC"/>
  <w15:chartTrackingRefBased/>
  <w15:docId w15:val="{C2177617-8C0F-104B-A35E-28FE9112B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44FB"/>
    <w:pPr>
      <w:keepNext/>
      <w:keepLines/>
      <w:spacing w:after="0" w:line="240" w:lineRule="auto"/>
      <w:outlineLvl w:val="0"/>
    </w:pPr>
    <w:rPr>
      <w:rFonts w:ascii="Times New Roman" w:eastAsiaTheme="majorEastAsia" w:hAnsi="Times New Roman" w:cstheme="majorBidi"/>
      <w:b/>
      <w:bCs/>
      <w:szCs w:val="28"/>
    </w:rPr>
  </w:style>
  <w:style w:type="paragraph" w:styleId="Heading2">
    <w:name w:val="heading 2"/>
    <w:basedOn w:val="Normal"/>
    <w:next w:val="Normal"/>
    <w:link w:val="Heading2Char"/>
    <w:autoRedefine/>
    <w:uiPriority w:val="9"/>
    <w:unhideWhenUsed/>
    <w:qFormat/>
    <w:rsid w:val="004F4C79"/>
    <w:pPr>
      <w:keepNext/>
      <w:keepLines/>
      <w:spacing w:after="0" w:line="240" w:lineRule="auto"/>
      <w:jc w:val="both"/>
      <w:outlineLvl w:val="1"/>
    </w:pPr>
    <w:rPr>
      <w:rFonts w:ascii="Times New Roman" w:eastAsiaTheme="majorEastAsia" w:hAnsi="Times New Roman" w:cstheme="majorBidi"/>
      <w:b/>
      <w:bCs/>
      <w:szCs w:val="26"/>
    </w:rPr>
  </w:style>
  <w:style w:type="paragraph" w:styleId="Heading3">
    <w:name w:val="heading 3"/>
    <w:basedOn w:val="Normal"/>
    <w:next w:val="Normal"/>
    <w:link w:val="Heading3Char"/>
    <w:autoRedefine/>
    <w:uiPriority w:val="9"/>
    <w:unhideWhenUsed/>
    <w:qFormat/>
    <w:rsid w:val="00D00CCF"/>
    <w:pPr>
      <w:keepNext/>
      <w:keepLines/>
      <w:spacing w:after="0" w:line="240" w:lineRule="auto"/>
      <w:jc w:val="both"/>
      <w:outlineLvl w:val="2"/>
    </w:pPr>
    <w:rPr>
      <w:rFonts w:ascii="Times New Roman" w:eastAsiaTheme="majorEastAsia" w:hAnsi="Times New Roman" w:cstheme="majorBidi"/>
      <w:b/>
      <w:bCs/>
    </w:rPr>
  </w:style>
  <w:style w:type="paragraph" w:styleId="Heading4">
    <w:name w:val="heading 4"/>
    <w:basedOn w:val="Normal"/>
    <w:next w:val="Normal"/>
    <w:link w:val="Heading4Char"/>
    <w:uiPriority w:val="9"/>
    <w:unhideWhenUsed/>
    <w:qFormat/>
    <w:rsid w:val="00F061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1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1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1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1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1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C644FB"/>
    <w:rPr>
      <w:rFonts w:ascii="Times New Roman" w:eastAsiaTheme="majorEastAsia" w:hAnsi="Times New Roman" w:cstheme="majorBidi"/>
      <w:b/>
      <w:bCs/>
      <w:szCs w:val="28"/>
    </w:rPr>
  </w:style>
  <w:style w:type="character" w:customStyle="1" w:styleId="Heading2Char">
    <w:name w:val="Heading 2 Char"/>
    <w:basedOn w:val="DefaultParagraphFont"/>
    <w:link w:val="Heading2"/>
    <w:uiPriority w:val="9"/>
    <w:rsid w:val="004F4C79"/>
    <w:rPr>
      <w:rFonts w:ascii="Times New Roman" w:eastAsiaTheme="majorEastAsia" w:hAnsi="Times New Roman" w:cstheme="majorBidi"/>
      <w:b/>
      <w:bCs/>
      <w:szCs w:val="26"/>
    </w:rPr>
  </w:style>
  <w:style w:type="character" w:customStyle="1" w:styleId="Heading3Char">
    <w:name w:val="Heading 3 Char"/>
    <w:basedOn w:val="DefaultParagraphFont"/>
    <w:link w:val="Heading3"/>
    <w:uiPriority w:val="9"/>
    <w:rsid w:val="00D00CCF"/>
    <w:rPr>
      <w:rFonts w:ascii="Times New Roman" w:eastAsiaTheme="majorEastAsia" w:hAnsi="Times New Roman" w:cstheme="majorBidi"/>
      <w:b/>
      <w:bCs/>
    </w:rPr>
  </w:style>
  <w:style w:type="paragraph" w:styleId="NormalWeb">
    <w:name w:val="Normal (Web)"/>
    <w:basedOn w:val="Normal"/>
    <w:uiPriority w:val="99"/>
    <w:unhideWhenUsed/>
    <w:rsid w:val="00BE7828"/>
    <w:rPr>
      <w:rFonts w:ascii="Times New Roman" w:hAnsi="Times New Roman"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pPr>
      <w:jc w:val="both"/>
    </w:pPr>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character" w:customStyle="1" w:styleId="Heading4Char">
    <w:name w:val="Heading 4 Char"/>
    <w:basedOn w:val="DefaultParagraphFont"/>
    <w:link w:val="Heading4"/>
    <w:uiPriority w:val="9"/>
    <w:rsid w:val="00F061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1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1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1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1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174"/>
    <w:rPr>
      <w:rFonts w:eastAsiaTheme="majorEastAsia" w:cstheme="majorBidi"/>
      <w:color w:val="272727" w:themeColor="text1" w:themeTint="D8"/>
    </w:rPr>
  </w:style>
  <w:style w:type="paragraph" w:styleId="Subtitle">
    <w:name w:val="Subtitle"/>
    <w:basedOn w:val="Normal"/>
    <w:next w:val="Normal"/>
    <w:link w:val="SubtitleChar"/>
    <w:uiPriority w:val="11"/>
    <w:qFormat/>
    <w:rsid w:val="00F061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1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174"/>
    <w:pPr>
      <w:spacing w:before="160"/>
      <w:jc w:val="center"/>
    </w:pPr>
    <w:rPr>
      <w:i/>
      <w:iCs/>
      <w:color w:val="404040" w:themeColor="text1" w:themeTint="BF"/>
    </w:rPr>
  </w:style>
  <w:style w:type="character" w:customStyle="1" w:styleId="QuoteChar">
    <w:name w:val="Quote Char"/>
    <w:basedOn w:val="DefaultParagraphFont"/>
    <w:link w:val="Quote"/>
    <w:uiPriority w:val="29"/>
    <w:rsid w:val="00F06174"/>
    <w:rPr>
      <w:i/>
      <w:iCs/>
      <w:color w:val="404040" w:themeColor="text1" w:themeTint="BF"/>
    </w:rPr>
  </w:style>
  <w:style w:type="paragraph" w:styleId="ListParagraph">
    <w:name w:val="List Paragraph"/>
    <w:basedOn w:val="Normal"/>
    <w:uiPriority w:val="34"/>
    <w:qFormat/>
    <w:rsid w:val="00F06174"/>
    <w:pPr>
      <w:ind w:left="720"/>
      <w:contextualSpacing/>
    </w:pPr>
  </w:style>
  <w:style w:type="character" w:styleId="IntenseEmphasis">
    <w:name w:val="Intense Emphasis"/>
    <w:basedOn w:val="DefaultParagraphFont"/>
    <w:uiPriority w:val="21"/>
    <w:qFormat/>
    <w:rsid w:val="00F06174"/>
    <w:rPr>
      <w:i/>
      <w:iCs/>
      <w:color w:val="0F4761" w:themeColor="accent1" w:themeShade="BF"/>
    </w:rPr>
  </w:style>
  <w:style w:type="paragraph" w:styleId="IntenseQuote">
    <w:name w:val="Intense Quote"/>
    <w:basedOn w:val="Normal"/>
    <w:next w:val="Normal"/>
    <w:link w:val="IntenseQuoteChar"/>
    <w:uiPriority w:val="30"/>
    <w:qFormat/>
    <w:rsid w:val="00F061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174"/>
    <w:rPr>
      <w:i/>
      <w:iCs/>
      <w:color w:val="0F4761" w:themeColor="accent1" w:themeShade="BF"/>
    </w:rPr>
  </w:style>
  <w:style w:type="character" w:styleId="IntenseReference">
    <w:name w:val="Intense Reference"/>
    <w:basedOn w:val="DefaultParagraphFont"/>
    <w:uiPriority w:val="32"/>
    <w:qFormat/>
    <w:rsid w:val="00F06174"/>
    <w:rPr>
      <w:b/>
      <w:bCs/>
      <w:smallCaps/>
      <w:color w:val="0F4761" w:themeColor="accent1" w:themeShade="BF"/>
      <w:spacing w:val="5"/>
    </w:rPr>
  </w:style>
  <w:style w:type="character" w:styleId="Strong">
    <w:name w:val="Strong"/>
    <w:basedOn w:val="DefaultParagraphFont"/>
    <w:uiPriority w:val="22"/>
    <w:qFormat/>
    <w:rsid w:val="00F06174"/>
    <w:rPr>
      <w:b/>
      <w:bCs/>
    </w:rPr>
  </w:style>
  <w:style w:type="table" w:styleId="TableGrid">
    <w:name w:val="Table Grid"/>
    <w:basedOn w:val="TableNormal"/>
    <w:uiPriority w:val="39"/>
    <w:rsid w:val="00955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B339C"/>
    <w:pPr>
      <w:spacing w:before="480" w:line="276" w:lineRule="auto"/>
      <w:outlineLvl w:val="9"/>
    </w:pPr>
    <w:rPr>
      <w:rFonts w:asciiTheme="majorHAnsi" w:hAnsiTheme="majorHAnsi"/>
      <w:color w:val="0F4761" w:themeColor="accent1" w:themeShade="BF"/>
      <w:kern w:val="0"/>
      <w:sz w:val="28"/>
      <w:lang w:val="en-US"/>
      <w14:ligatures w14:val="none"/>
    </w:rPr>
  </w:style>
  <w:style w:type="paragraph" w:styleId="TOC1">
    <w:name w:val="toc 1"/>
    <w:basedOn w:val="Normal"/>
    <w:next w:val="Normal"/>
    <w:autoRedefine/>
    <w:uiPriority w:val="39"/>
    <w:unhideWhenUsed/>
    <w:rsid w:val="005B339C"/>
    <w:pPr>
      <w:spacing w:before="360" w:after="360"/>
    </w:pPr>
    <w:rPr>
      <w:b/>
      <w:bCs/>
      <w:caps/>
      <w:sz w:val="22"/>
      <w:szCs w:val="22"/>
      <w:u w:val="single"/>
    </w:rPr>
  </w:style>
  <w:style w:type="paragraph" w:styleId="TOC2">
    <w:name w:val="toc 2"/>
    <w:basedOn w:val="Normal"/>
    <w:next w:val="Normal"/>
    <w:autoRedefine/>
    <w:uiPriority w:val="39"/>
    <w:unhideWhenUsed/>
    <w:rsid w:val="005B339C"/>
    <w:pPr>
      <w:spacing w:after="0"/>
    </w:pPr>
    <w:rPr>
      <w:b/>
      <w:bCs/>
      <w:smallCaps/>
      <w:sz w:val="22"/>
      <w:szCs w:val="22"/>
    </w:rPr>
  </w:style>
  <w:style w:type="paragraph" w:styleId="TOC3">
    <w:name w:val="toc 3"/>
    <w:basedOn w:val="Normal"/>
    <w:next w:val="Normal"/>
    <w:autoRedefine/>
    <w:uiPriority w:val="39"/>
    <w:unhideWhenUsed/>
    <w:rsid w:val="005B339C"/>
    <w:pPr>
      <w:spacing w:after="0"/>
    </w:pPr>
    <w:rPr>
      <w:smallCaps/>
      <w:sz w:val="22"/>
      <w:szCs w:val="22"/>
    </w:rPr>
  </w:style>
  <w:style w:type="character" w:styleId="Hyperlink">
    <w:name w:val="Hyperlink"/>
    <w:basedOn w:val="DefaultParagraphFont"/>
    <w:uiPriority w:val="99"/>
    <w:unhideWhenUsed/>
    <w:rsid w:val="005B339C"/>
    <w:rPr>
      <w:color w:val="467886" w:themeColor="hyperlink"/>
      <w:u w:val="single"/>
    </w:rPr>
  </w:style>
  <w:style w:type="paragraph" w:styleId="TOC4">
    <w:name w:val="toc 4"/>
    <w:basedOn w:val="Normal"/>
    <w:next w:val="Normal"/>
    <w:autoRedefine/>
    <w:uiPriority w:val="39"/>
    <w:semiHidden/>
    <w:unhideWhenUsed/>
    <w:rsid w:val="005B339C"/>
    <w:pPr>
      <w:spacing w:after="0"/>
    </w:pPr>
    <w:rPr>
      <w:sz w:val="22"/>
      <w:szCs w:val="22"/>
    </w:rPr>
  </w:style>
  <w:style w:type="paragraph" w:styleId="TOC5">
    <w:name w:val="toc 5"/>
    <w:basedOn w:val="Normal"/>
    <w:next w:val="Normal"/>
    <w:autoRedefine/>
    <w:uiPriority w:val="39"/>
    <w:semiHidden/>
    <w:unhideWhenUsed/>
    <w:rsid w:val="005B339C"/>
    <w:pPr>
      <w:spacing w:after="0"/>
    </w:pPr>
    <w:rPr>
      <w:sz w:val="22"/>
      <w:szCs w:val="22"/>
    </w:rPr>
  </w:style>
  <w:style w:type="paragraph" w:styleId="TOC6">
    <w:name w:val="toc 6"/>
    <w:basedOn w:val="Normal"/>
    <w:next w:val="Normal"/>
    <w:autoRedefine/>
    <w:uiPriority w:val="39"/>
    <w:semiHidden/>
    <w:unhideWhenUsed/>
    <w:rsid w:val="005B339C"/>
    <w:pPr>
      <w:spacing w:after="0"/>
    </w:pPr>
    <w:rPr>
      <w:sz w:val="22"/>
      <w:szCs w:val="22"/>
    </w:rPr>
  </w:style>
  <w:style w:type="paragraph" w:styleId="TOC7">
    <w:name w:val="toc 7"/>
    <w:basedOn w:val="Normal"/>
    <w:next w:val="Normal"/>
    <w:autoRedefine/>
    <w:uiPriority w:val="39"/>
    <w:semiHidden/>
    <w:unhideWhenUsed/>
    <w:rsid w:val="005B339C"/>
    <w:pPr>
      <w:spacing w:after="0"/>
    </w:pPr>
    <w:rPr>
      <w:sz w:val="22"/>
      <w:szCs w:val="22"/>
    </w:rPr>
  </w:style>
  <w:style w:type="paragraph" w:styleId="TOC8">
    <w:name w:val="toc 8"/>
    <w:basedOn w:val="Normal"/>
    <w:next w:val="Normal"/>
    <w:autoRedefine/>
    <w:uiPriority w:val="39"/>
    <w:semiHidden/>
    <w:unhideWhenUsed/>
    <w:rsid w:val="005B339C"/>
    <w:pPr>
      <w:spacing w:after="0"/>
    </w:pPr>
    <w:rPr>
      <w:sz w:val="22"/>
      <w:szCs w:val="22"/>
    </w:rPr>
  </w:style>
  <w:style w:type="paragraph" w:styleId="TOC9">
    <w:name w:val="toc 9"/>
    <w:basedOn w:val="Normal"/>
    <w:next w:val="Normal"/>
    <w:autoRedefine/>
    <w:uiPriority w:val="39"/>
    <w:semiHidden/>
    <w:unhideWhenUsed/>
    <w:rsid w:val="005B339C"/>
    <w:pPr>
      <w:spacing w:after="0"/>
    </w:pPr>
    <w:rPr>
      <w:sz w:val="22"/>
      <w:szCs w:val="22"/>
    </w:rPr>
  </w:style>
  <w:style w:type="paragraph" w:styleId="Footer">
    <w:name w:val="footer"/>
    <w:basedOn w:val="Normal"/>
    <w:link w:val="FooterChar"/>
    <w:uiPriority w:val="99"/>
    <w:unhideWhenUsed/>
    <w:rsid w:val="00A15F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FB0"/>
  </w:style>
  <w:style w:type="character" w:styleId="PageNumber">
    <w:name w:val="page number"/>
    <w:basedOn w:val="DefaultParagraphFont"/>
    <w:uiPriority w:val="99"/>
    <w:semiHidden/>
    <w:unhideWhenUsed/>
    <w:rsid w:val="00A15F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34620-AD56-F04C-B563-DA6D7F9BF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3100</Words>
  <Characters>17675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Christiana Addo Fynn (2336424)</cp:lastModifiedBy>
  <cp:revision>2</cp:revision>
  <dcterms:created xsi:type="dcterms:W3CDTF">2025-12-19T10:40:00Z</dcterms:created>
  <dcterms:modified xsi:type="dcterms:W3CDTF">2025-12-19T10:40:00Z</dcterms:modified>
</cp:coreProperties>
</file>