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20988288"/>
        <w:docPartObj>
          <w:docPartGallery w:val="Cover Pages"/>
          <w:docPartUnique/>
        </w:docPartObj>
      </w:sdtPr>
      <w:sdtEndPr>
        <w:rPr>
          <w:rFonts w:ascii="Times New Roman" w:eastAsiaTheme="minorHAnsi" w:hAnsi="Times New Roman" w:cs="Times New Roman"/>
          <w:color w:val="auto"/>
          <w:kern w:val="2"/>
          <w:sz w:val="24"/>
          <w:szCs w:val="24"/>
          <w:lang w:val="en-GB"/>
          <w14:ligatures w14:val="standardContextual"/>
        </w:rPr>
      </w:sdtEndPr>
      <w:sdtContent>
        <w:p w14:paraId="6F4CA630" w14:textId="2494BED9" w:rsidR="00131D43" w:rsidRDefault="00131D43">
          <w:pPr>
            <w:pStyle w:val="NoSpacing"/>
            <w:spacing w:before="1540" w:after="240"/>
            <w:jc w:val="center"/>
            <w:rPr>
              <w:color w:val="156082" w:themeColor="accent1"/>
            </w:rPr>
          </w:pPr>
          <w:r>
            <w:rPr>
              <w:noProof/>
              <w:color w:val="156082" w:themeColor="accent1"/>
            </w:rPr>
            <w:drawing>
              <wp:inline distT="0" distB="0" distL="0" distR="0" wp14:anchorId="156040A5" wp14:editId="289CB7A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156082" w:themeColor="accent1"/>
              <w:sz w:val="72"/>
              <w:szCs w:val="72"/>
            </w:rPr>
            <w:alias w:val="Title"/>
            <w:tag w:val=""/>
            <w:id w:val="1735040861"/>
            <w:placeholder>
              <w:docPart w:val="449085F49BF746C49E0CE2ACA69807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A90706D" w14:textId="2FD3EF41" w:rsidR="00131D43" w:rsidRDefault="00131D4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31D43">
                <w:rPr>
                  <w:rFonts w:ascii="Times New Roman" w:eastAsiaTheme="majorEastAsia" w:hAnsi="Times New Roman" w:cs="Times New Roman"/>
                  <w:b/>
                  <w:bCs/>
                  <w:caps/>
                  <w:color w:val="156082" w:themeColor="accent1"/>
                  <w:sz w:val="72"/>
                  <w:szCs w:val="72"/>
                </w:rPr>
                <w:t xml:space="preserve">SUSTAINABLE ENTERPRISE </w:t>
              </w:r>
            </w:p>
          </w:sdtContent>
        </w:sdt>
        <w:sdt>
          <w:sdtPr>
            <w:rPr>
              <w:rFonts w:ascii="Times New Roman" w:hAnsi="Times New Roman" w:cs="Times New Roman"/>
              <w:b/>
              <w:bCs/>
              <w:color w:val="156082" w:themeColor="accent1"/>
              <w:sz w:val="28"/>
              <w:szCs w:val="28"/>
            </w:rPr>
            <w:alias w:val="Subtitle"/>
            <w:tag w:val=""/>
            <w:id w:val="328029620"/>
            <w:placeholder>
              <w:docPart w:val="FDDAE20B933C497F8C5D8488D16F5EDA"/>
            </w:placeholder>
            <w:dataBinding w:prefixMappings="xmlns:ns0='http://purl.org/dc/elements/1.1/' xmlns:ns1='http://schemas.openxmlformats.org/package/2006/metadata/core-properties' " w:xpath="/ns1:coreProperties[1]/ns0:subject[1]" w:storeItemID="{6C3C8BC8-F283-45AE-878A-BAB7291924A1}"/>
            <w:text/>
          </w:sdtPr>
          <w:sdtContent>
            <w:p w14:paraId="42360281" w14:textId="2A4FCAFC" w:rsidR="00131D43" w:rsidRPr="00131D43" w:rsidRDefault="00131D43">
              <w:pPr>
                <w:pStyle w:val="NoSpacing"/>
                <w:jc w:val="center"/>
                <w:rPr>
                  <w:rFonts w:ascii="Times New Roman" w:hAnsi="Times New Roman" w:cs="Times New Roman"/>
                  <w:b/>
                  <w:bCs/>
                  <w:color w:val="156082" w:themeColor="accent1"/>
                  <w:sz w:val="28"/>
                  <w:szCs w:val="28"/>
                </w:rPr>
              </w:pPr>
              <w:r w:rsidRPr="00131D43">
                <w:rPr>
                  <w:rFonts w:ascii="Times New Roman" w:hAnsi="Times New Roman" w:cs="Times New Roman"/>
                  <w:b/>
                  <w:bCs/>
                  <w:color w:val="156082" w:themeColor="accent1"/>
                  <w:sz w:val="28"/>
                  <w:szCs w:val="28"/>
                </w:rPr>
                <w:t xml:space="preserve">BUSINESS PLAN </w:t>
              </w:r>
            </w:p>
          </w:sdtContent>
        </w:sdt>
        <w:p w14:paraId="2D0AE0D6" w14:textId="77777777" w:rsidR="00131D43" w:rsidRPr="00131D43" w:rsidRDefault="00131D43">
          <w:pPr>
            <w:pStyle w:val="NoSpacing"/>
            <w:spacing w:before="480"/>
            <w:jc w:val="center"/>
            <w:rPr>
              <w:rFonts w:ascii="Times New Roman" w:hAnsi="Times New Roman" w:cs="Times New Roman"/>
              <w:color w:val="156082" w:themeColor="accent1"/>
            </w:rPr>
          </w:pPr>
          <w:r w:rsidRPr="00131D43">
            <w:rPr>
              <w:rFonts w:ascii="Times New Roman" w:hAnsi="Times New Roman" w:cs="Times New Roman"/>
              <w:noProof/>
              <w:color w:val="156082" w:themeColor="accent1"/>
            </w:rPr>
            <mc:AlternateContent>
              <mc:Choice Requires="wps">
                <w:drawing>
                  <wp:anchor distT="0" distB="0" distL="114300" distR="114300" simplePos="0" relativeHeight="251659264" behindDoc="0" locked="0" layoutInCell="1" allowOverlap="1" wp14:anchorId="1F3F81D4" wp14:editId="62645FE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717E8E53" w14:textId="0C65E270" w:rsidR="00131D43" w:rsidRPr="00131D43" w:rsidRDefault="00131D43">
                                    <w:pPr>
                                      <w:pStyle w:val="NoSpacing"/>
                                      <w:spacing w:after="40"/>
                                      <w:jc w:val="center"/>
                                      <w:rPr>
                                        <w:rFonts w:ascii="Times New Roman" w:hAnsi="Times New Roman" w:cs="Times New Roman"/>
                                        <w:b/>
                                        <w:bCs/>
                                        <w:caps/>
                                        <w:color w:val="156082" w:themeColor="accent1"/>
                                        <w:sz w:val="36"/>
                                        <w:szCs w:val="36"/>
                                      </w:rPr>
                                    </w:pPr>
                                    <w:r w:rsidRPr="00131D43">
                                      <w:rPr>
                                        <w:rFonts w:ascii="Times New Roman" w:hAnsi="Times New Roman" w:cs="Times New Roman"/>
                                        <w:b/>
                                        <w:bCs/>
                                        <w:caps/>
                                        <w:color w:val="156082" w:themeColor="accent1"/>
                                        <w:sz w:val="36"/>
                                        <w:szCs w:val="36"/>
                                      </w:rPr>
                                      <w:t>March 14, 2025</w:t>
                                    </w:r>
                                  </w:p>
                                </w:sdtContent>
                              </w:sdt>
                              <w:p w14:paraId="1F2709A7" w14:textId="65C06654" w:rsidR="00131D43" w:rsidRPr="00131D43" w:rsidRDefault="00131D43">
                                <w:pPr>
                                  <w:pStyle w:val="NoSpacing"/>
                                  <w:jc w:val="center"/>
                                  <w:rPr>
                                    <w:rFonts w:ascii="Times New Roman" w:hAnsi="Times New Roman" w:cs="Times New Roman"/>
                                    <w:b/>
                                    <w:bCs/>
                                    <w:color w:val="156082" w:themeColor="accent1"/>
                                    <w:sz w:val="36"/>
                                    <w:szCs w:val="36"/>
                                  </w:rPr>
                                </w:pPr>
                                <w:sdt>
                                  <w:sdtPr>
                                    <w:rPr>
                                      <w:rFonts w:ascii="Times New Roman" w:hAnsi="Times New Roman" w:cs="Times New Roman"/>
                                      <w:b/>
                                      <w:bCs/>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131D43">
                                      <w:rPr>
                                        <w:rFonts w:ascii="Times New Roman" w:hAnsi="Times New Roman" w:cs="Times New Roman"/>
                                        <w:b/>
                                        <w:bCs/>
                                        <w:caps/>
                                        <w:color w:val="156082" w:themeColor="accent1"/>
                                        <w:sz w:val="36"/>
                                        <w:szCs w:val="36"/>
                                      </w:rPr>
                                      <w:t>Sustainable Enterprise/ Social Enterprise Management</w:t>
                                    </w:r>
                                  </w:sdtContent>
                                </w:sdt>
                              </w:p>
                              <w:p w14:paraId="37AA1D1E" w14:textId="6B63654C" w:rsidR="00131D43" w:rsidRPr="00131D43" w:rsidRDefault="00131D43">
                                <w:pPr>
                                  <w:pStyle w:val="NoSpacing"/>
                                  <w:jc w:val="center"/>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131D43">
                                      <w:rPr>
                                        <w:rFonts w:ascii="Times New Roman" w:hAnsi="Times New Roman" w:cs="Times New Roman"/>
                                        <w:b/>
                                        <w:bCs/>
                                        <w:color w:val="156082" w:themeColor="accent1"/>
                                        <w:sz w:val="36"/>
                                        <w:szCs w:val="36"/>
                                      </w:rPr>
                                      <w:t xml:space="preserve">Student name: Cristina Cioaca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F3F81D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b/>
                              <w:bCs/>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717E8E53" w14:textId="0C65E270" w:rsidR="00131D43" w:rsidRPr="00131D43" w:rsidRDefault="00131D43">
                              <w:pPr>
                                <w:pStyle w:val="NoSpacing"/>
                                <w:spacing w:after="40"/>
                                <w:jc w:val="center"/>
                                <w:rPr>
                                  <w:rFonts w:ascii="Times New Roman" w:hAnsi="Times New Roman" w:cs="Times New Roman"/>
                                  <w:b/>
                                  <w:bCs/>
                                  <w:caps/>
                                  <w:color w:val="156082" w:themeColor="accent1"/>
                                  <w:sz w:val="36"/>
                                  <w:szCs w:val="36"/>
                                </w:rPr>
                              </w:pPr>
                              <w:r w:rsidRPr="00131D43">
                                <w:rPr>
                                  <w:rFonts w:ascii="Times New Roman" w:hAnsi="Times New Roman" w:cs="Times New Roman"/>
                                  <w:b/>
                                  <w:bCs/>
                                  <w:caps/>
                                  <w:color w:val="156082" w:themeColor="accent1"/>
                                  <w:sz w:val="36"/>
                                  <w:szCs w:val="36"/>
                                </w:rPr>
                                <w:t>March 14, 2025</w:t>
                              </w:r>
                            </w:p>
                          </w:sdtContent>
                        </w:sdt>
                        <w:p w14:paraId="1F2709A7" w14:textId="65C06654" w:rsidR="00131D43" w:rsidRPr="00131D43" w:rsidRDefault="00131D43">
                          <w:pPr>
                            <w:pStyle w:val="NoSpacing"/>
                            <w:jc w:val="center"/>
                            <w:rPr>
                              <w:rFonts w:ascii="Times New Roman" w:hAnsi="Times New Roman" w:cs="Times New Roman"/>
                              <w:b/>
                              <w:bCs/>
                              <w:color w:val="156082" w:themeColor="accent1"/>
                              <w:sz w:val="36"/>
                              <w:szCs w:val="36"/>
                            </w:rPr>
                          </w:pPr>
                          <w:sdt>
                            <w:sdtPr>
                              <w:rPr>
                                <w:rFonts w:ascii="Times New Roman" w:hAnsi="Times New Roman" w:cs="Times New Roman"/>
                                <w:b/>
                                <w:bCs/>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131D43">
                                <w:rPr>
                                  <w:rFonts w:ascii="Times New Roman" w:hAnsi="Times New Roman" w:cs="Times New Roman"/>
                                  <w:b/>
                                  <w:bCs/>
                                  <w:caps/>
                                  <w:color w:val="156082" w:themeColor="accent1"/>
                                  <w:sz w:val="36"/>
                                  <w:szCs w:val="36"/>
                                </w:rPr>
                                <w:t>Sustainable Enterprise/ Social Enterprise Management</w:t>
                              </w:r>
                            </w:sdtContent>
                          </w:sdt>
                        </w:p>
                        <w:p w14:paraId="37AA1D1E" w14:textId="6B63654C" w:rsidR="00131D43" w:rsidRPr="00131D43" w:rsidRDefault="00131D43">
                          <w:pPr>
                            <w:pStyle w:val="NoSpacing"/>
                            <w:jc w:val="center"/>
                            <w:rPr>
                              <w:rFonts w:ascii="Times New Roman" w:hAnsi="Times New Roman" w:cs="Times New Roman"/>
                              <w:b/>
                              <w:bCs/>
                              <w:color w:val="156082" w:themeColor="accent1"/>
                              <w:sz w:val="36"/>
                              <w:szCs w:val="36"/>
                            </w:rPr>
                          </w:pPr>
                          <w:sdt>
                            <w:sdtPr>
                              <w:rPr>
                                <w:rFonts w:ascii="Times New Roman" w:hAnsi="Times New Roman" w:cs="Times New Roman"/>
                                <w:b/>
                                <w:bCs/>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131D43">
                                <w:rPr>
                                  <w:rFonts w:ascii="Times New Roman" w:hAnsi="Times New Roman" w:cs="Times New Roman"/>
                                  <w:b/>
                                  <w:bCs/>
                                  <w:color w:val="156082" w:themeColor="accent1"/>
                                  <w:sz w:val="36"/>
                                  <w:szCs w:val="36"/>
                                </w:rPr>
                                <w:t xml:space="preserve">Student name: Cristina Cioaca </w:t>
                              </w:r>
                            </w:sdtContent>
                          </w:sdt>
                        </w:p>
                      </w:txbxContent>
                    </v:textbox>
                    <w10:wrap anchorx="margin" anchory="page"/>
                  </v:shape>
                </w:pict>
              </mc:Fallback>
            </mc:AlternateContent>
          </w:r>
          <w:r w:rsidRPr="00131D43">
            <w:rPr>
              <w:rFonts w:ascii="Times New Roman" w:hAnsi="Times New Roman" w:cs="Times New Roman"/>
              <w:noProof/>
              <w:color w:val="156082" w:themeColor="accent1"/>
            </w:rPr>
            <w:drawing>
              <wp:inline distT="0" distB="0" distL="0" distR="0" wp14:anchorId="3FC02278" wp14:editId="48F7319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DC96BE" w14:textId="71BCDB30" w:rsidR="00131D43" w:rsidRDefault="00131D43">
          <w:pPr>
            <w:rPr>
              <w:rFonts w:ascii="Times New Roman" w:hAnsi="Times New Roman" w:cs="Times New Roman"/>
            </w:rPr>
          </w:pPr>
          <w:r>
            <w:rPr>
              <w:rFonts w:ascii="Times New Roman" w:hAnsi="Times New Roman" w:cs="Times New Roman"/>
            </w:rPr>
            <w:br w:type="page"/>
          </w:r>
        </w:p>
      </w:sdtContent>
    </w:sdt>
    <w:p w14:paraId="59E6C59F" w14:textId="1C7D741F" w:rsid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lastRenderedPageBreak/>
        <w:t>Executive Summary</w:t>
      </w:r>
    </w:p>
    <w:p w14:paraId="4DA88FDF" w14:textId="77777777" w:rsidR="00073DE0" w:rsidRPr="00073DE0" w:rsidRDefault="00073DE0" w:rsidP="00073DE0">
      <w:pPr>
        <w:spacing w:line="480" w:lineRule="auto"/>
        <w:jc w:val="center"/>
        <w:rPr>
          <w:rFonts w:ascii="Times New Roman" w:hAnsi="Times New Roman" w:cs="Times New Roman"/>
          <w:b/>
          <w:bCs/>
          <w:u w:val="dotted"/>
        </w:rPr>
      </w:pPr>
    </w:p>
    <w:p w14:paraId="2E22247F"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CycleWeave is a recently founded, sustainability-focused fashion firm committed to producing ethically sourced apparel and accessories for socially and environmentally aware consumers. The company aims to integrate beauty with accountability by emphasising sustainable production methods, equitable labour practices, and transparent supplier chains. Recent studies highlight that a focus on sustainability, coupled with strong entrepreneurial objectives, can drive beneficial social and environmental results (</w:t>
      </w:r>
      <w:proofErr w:type="spellStart"/>
      <w:r w:rsidRPr="00073DE0">
        <w:rPr>
          <w:rFonts w:ascii="Times New Roman" w:hAnsi="Times New Roman" w:cs="Times New Roman"/>
        </w:rPr>
        <w:t>Kuckertz</w:t>
      </w:r>
      <w:proofErr w:type="spellEnd"/>
      <w:r w:rsidRPr="00073DE0">
        <w:rPr>
          <w:rFonts w:ascii="Times New Roman" w:hAnsi="Times New Roman" w:cs="Times New Roman"/>
        </w:rPr>
        <w:t xml:space="preserve"> &amp; Wagner, 2010). CycleWeave aims to establish an example in the global fashion business by providing appealing, durable apparel that reduces environmental impact and prioritises worker wellbeing.</w:t>
      </w:r>
    </w:p>
    <w:p w14:paraId="119B26B0"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CycleWeave operates in a niche gaining increased attention due to evolving consumer standards, leveraging the rising need for products that reflect ethical values (Meek, Pacheco &amp; York, 2010). The primary objective is to create a closed-loop system that conserves resources, reduces carbon emissions, and diverts textile waste from landfills. CycleWeave aims to exemplify a repeatable model of responsible manufacturing while maintaining financial viability, an issue frequently encountered by sustainability-oriented start-ups in their nascent phases (</w:t>
      </w:r>
      <w:proofErr w:type="spellStart"/>
      <w:r w:rsidRPr="00073DE0">
        <w:rPr>
          <w:rFonts w:ascii="Times New Roman" w:hAnsi="Times New Roman" w:cs="Times New Roman"/>
        </w:rPr>
        <w:t>Markard</w:t>
      </w:r>
      <w:proofErr w:type="spellEnd"/>
      <w:r w:rsidRPr="00073DE0">
        <w:rPr>
          <w:rFonts w:ascii="Times New Roman" w:hAnsi="Times New Roman" w:cs="Times New Roman"/>
        </w:rPr>
        <w:t>, Raven &amp; Truffer, 2012). The subsequent plan delineates the enterprise's strategic methodology, elucidates the sustainability of its operations, specifies resource necessities, outlines marketing initiatives, evaluates the external environment through a PESTLE analysis, presents a SWOT evaluation, and finishes in a simplified one-year cash flow projection and contingency plan.</w:t>
      </w:r>
    </w:p>
    <w:p w14:paraId="4C3D3BB7" w14:textId="77777777" w:rsidR="00073DE0" w:rsidRDefault="00073DE0" w:rsidP="00073DE0">
      <w:pPr>
        <w:spacing w:line="480" w:lineRule="auto"/>
        <w:jc w:val="both"/>
        <w:rPr>
          <w:rFonts w:ascii="Times New Roman" w:hAnsi="Times New Roman" w:cs="Times New Roman"/>
        </w:rPr>
      </w:pPr>
    </w:p>
    <w:p w14:paraId="0B617E34" w14:textId="77777777" w:rsidR="00073DE0" w:rsidRDefault="00073DE0" w:rsidP="00073DE0">
      <w:pPr>
        <w:spacing w:line="480" w:lineRule="auto"/>
        <w:jc w:val="both"/>
        <w:rPr>
          <w:rFonts w:ascii="Times New Roman" w:hAnsi="Times New Roman" w:cs="Times New Roman"/>
        </w:rPr>
      </w:pPr>
    </w:p>
    <w:p w14:paraId="77E236A1" w14:textId="77777777" w:rsidR="00073DE0" w:rsidRDefault="00073DE0" w:rsidP="00073DE0">
      <w:pPr>
        <w:spacing w:line="480" w:lineRule="auto"/>
        <w:jc w:val="both"/>
        <w:rPr>
          <w:rFonts w:ascii="Times New Roman" w:hAnsi="Times New Roman" w:cs="Times New Roman"/>
        </w:rPr>
      </w:pPr>
    </w:p>
    <w:p w14:paraId="528FF4EC" w14:textId="56A44B1B" w:rsid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lastRenderedPageBreak/>
        <w:t>Description and Vision of the Business</w:t>
      </w:r>
    </w:p>
    <w:p w14:paraId="634F271E" w14:textId="77777777" w:rsidR="00073DE0" w:rsidRPr="00073DE0" w:rsidRDefault="00073DE0" w:rsidP="00073DE0">
      <w:pPr>
        <w:spacing w:line="480" w:lineRule="auto"/>
        <w:jc w:val="center"/>
        <w:rPr>
          <w:rFonts w:ascii="Times New Roman" w:hAnsi="Times New Roman" w:cs="Times New Roman"/>
          <w:b/>
          <w:bCs/>
          <w:u w:val="dotted"/>
        </w:rPr>
      </w:pPr>
    </w:p>
    <w:p w14:paraId="61A63022"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CycleWeave is structured as a private limited business. The producers, experts in sustainable materials research and the fabric industry, identified a market deficiency for genuinely ethical products. Initial conceptual development was guided by the idea that social entrepreneurship initiatives often amplify their impact by involving dedicated stakeholders and maintaining transparent governance frameworks (McPhedran Waitzer &amp; Paul, 2011). The enterprise's principal objective is to deliver apparel that conforms to rigorous quality requirements while maintaining ethical obligations.</w:t>
      </w:r>
    </w:p>
    <w:p w14:paraId="570164E6"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The main offers consist of essential items, seasonal collections, and exclusive designs. Each item is constructed from organic cotton, hemp, and recycled synthetics, which have diminished energy and water footprints relative to traditional fabrics (OECD, 2009). CycleWeave intends to launch its product lines online and establish collaborations with select stores that resonate with its principles. As the enterprise develops, the management team plans to extend into childrenswear and accessories, indicating that product diversity may enhance social and environmental results (Lehner, 2012).</w:t>
      </w:r>
    </w:p>
    <w:p w14:paraId="640E39A0" w14:textId="30718352"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The objective is to provide concrete advantages for the environment while fostering a devoted clientele. By integrating sustainability into its fundamental operations, the firm aims to significantly contribute to the global fashion industry's shift towards more responsible manufacturing models (Nill &amp; Kemp, 2009). The founders of CycleWeave believe that generating value for several stakeholders</w:t>
      </w:r>
      <w:r>
        <w:rPr>
          <w:rFonts w:ascii="Times New Roman" w:hAnsi="Times New Roman" w:cs="Times New Roman"/>
        </w:rPr>
        <w:t>-</w:t>
      </w:r>
      <w:r w:rsidRPr="00073DE0">
        <w:rPr>
          <w:rFonts w:ascii="Times New Roman" w:hAnsi="Times New Roman" w:cs="Times New Roman"/>
        </w:rPr>
        <w:t>employees, suppliers, consumers, and the environment</w:t>
      </w:r>
      <w:r>
        <w:rPr>
          <w:rFonts w:ascii="Times New Roman" w:hAnsi="Times New Roman" w:cs="Times New Roman"/>
        </w:rPr>
        <w:t>-</w:t>
      </w:r>
      <w:r w:rsidRPr="00073DE0">
        <w:rPr>
          <w:rFonts w:ascii="Times New Roman" w:hAnsi="Times New Roman" w:cs="Times New Roman"/>
        </w:rPr>
        <w:t>will maintain the brand's commercial relevance and promote a profound cultural transformation in clothing consumption practices.</w:t>
      </w:r>
    </w:p>
    <w:p w14:paraId="339D45BB" w14:textId="77777777" w:rsidR="00073DE0" w:rsidRDefault="00073DE0" w:rsidP="00073DE0">
      <w:pPr>
        <w:spacing w:line="480" w:lineRule="auto"/>
        <w:jc w:val="both"/>
        <w:rPr>
          <w:rFonts w:ascii="Times New Roman" w:hAnsi="Times New Roman" w:cs="Times New Roman"/>
        </w:rPr>
      </w:pPr>
    </w:p>
    <w:p w14:paraId="6657E906" w14:textId="3AADAB9C" w:rsid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lastRenderedPageBreak/>
        <w:t>Goals &amp; Objectives</w:t>
      </w:r>
    </w:p>
    <w:p w14:paraId="26955899" w14:textId="77777777" w:rsidR="00073DE0" w:rsidRPr="00073DE0" w:rsidRDefault="00073DE0" w:rsidP="00073DE0">
      <w:pPr>
        <w:spacing w:line="480" w:lineRule="auto"/>
        <w:jc w:val="center"/>
        <w:rPr>
          <w:rFonts w:ascii="Times New Roman" w:hAnsi="Times New Roman" w:cs="Times New Roman"/>
          <w:b/>
          <w:bCs/>
          <w:u w:val="dotted"/>
        </w:rPr>
      </w:pPr>
    </w:p>
    <w:p w14:paraId="06940D6A"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CycleWeave aims to include sustainability into design, production, and distribution processes. The primary goal is to guarantee that a minimum of 75% of all materials are certified organic or recycled in the first year, aiming to elevate this proportion to a minimum of 90% by the end of the third year. The second objective is to establish fair labour standards across the supply chain by collaborating exclusively with manufacturers that adhere to acknowledged ethical principles. This need corresponds with research indicating that a robust sustainability perspective in entrepreneurial endeavours markedly affects the probability of socially responsible actions (</w:t>
      </w:r>
      <w:proofErr w:type="spellStart"/>
      <w:r w:rsidRPr="00073DE0">
        <w:rPr>
          <w:rFonts w:ascii="Times New Roman" w:hAnsi="Times New Roman" w:cs="Times New Roman"/>
        </w:rPr>
        <w:t>Kuckertz</w:t>
      </w:r>
      <w:proofErr w:type="spellEnd"/>
      <w:r w:rsidRPr="00073DE0">
        <w:rPr>
          <w:rFonts w:ascii="Times New Roman" w:hAnsi="Times New Roman" w:cs="Times New Roman"/>
        </w:rPr>
        <w:t xml:space="preserve"> &amp; Wagner, 2010).</w:t>
      </w:r>
    </w:p>
    <w:p w14:paraId="235B81DE" w14:textId="62D442CE"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 xml:space="preserve">A key goal is to demonstrate operational excellence by reducing production errors and lead times. CycleWeave seeks to sustain a defect rate under 2% and an on-time shipping rate exceeding 95%, which is going to be assessed via systematic quality inspections. The </w:t>
      </w:r>
      <w:r w:rsidRPr="00073DE0">
        <w:rPr>
          <w:rFonts w:ascii="Times New Roman" w:hAnsi="Times New Roman" w:cs="Times New Roman"/>
        </w:rPr>
        <w:t>goal</w:t>
      </w:r>
      <w:r w:rsidRPr="00073DE0">
        <w:rPr>
          <w:rFonts w:ascii="Times New Roman" w:hAnsi="Times New Roman" w:cs="Times New Roman"/>
        </w:rPr>
        <w:t xml:space="preserve"> is to achieve a breakeven point at the conclusion of the second fiscal year, aligning with the financing cycles of smaller enterprises (Nitzsch, </w:t>
      </w:r>
      <w:proofErr w:type="spellStart"/>
      <w:r w:rsidRPr="00073DE0">
        <w:rPr>
          <w:rFonts w:ascii="Times New Roman" w:hAnsi="Times New Roman" w:cs="Times New Roman"/>
        </w:rPr>
        <w:t>Rouette</w:t>
      </w:r>
      <w:proofErr w:type="spellEnd"/>
      <w:r w:rsidRPr="00073DE0">
        <w:rPr>
          <w:rFonts w:ascii="Times New Roman" w:hAnsi="Times New Roman" w:cs="Times New Roman"/>
        </w:rPr>
        <w:t xml:space="preserve"> &amp; Stotz, 2005). Advancement towards these aims is anticipated to strengthen the brand's value proposition, a factor acknowledged as essential in sustainable business strategy (</w:t>
      </w:r>
      <w:proofErr w:type="spellStart"/>
      <w:r w:rsidRPr="00073DE0">
        <w:rPr>
          <w:rFonts w:ascii="Times New Roman" w:hAnsi="Times New Roman" w:cs="Times New Roman"/>
        </w:rPr>
        <w:t>Bocken</w:t>
      </w:r>
      <w:proofErr w:type="spellEnd"/>
      <w:r w:rsidRPr="00073DE0">
        <w:rPr>
          <w:rFonts w:ascii="Times New Roman" w:hAnsi="Times New Roman" w:cs="Times New Roman"/>
        </w:rPr>
        <w:t>, Rana &amp; Short, 2015).</w:t>
      </w:r>
    </w:p>
    <w:p w14:paraId="62241F6B" w14:textId="77777777" w:rsidR="00073DE0" w:rsidRDefault="00073DE0" w:rsidP="00073DE0">
      <w:pPr>
        <w:spacing w:line="480" w:lineRule="auto"/>
        <w:jc w:val="both"/>
        <w:rPr>
          <w:rFonts w:ascii="Times New Roman" w:hAnsi="Times New Roman" w:cs="Times New Roman"/>
        </w:rPr>
      </w:pPr>
    </w:p>
    <w:p w14:paraId="06078280" w14:textId="69262B8F" w:rsid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t>Explanation of Sustainability</w:t>
      </w:r>
    </w:p>
    <w:p w14:paraId="1CA4986C" w14:textId="77777777" w:rsidR="00073DE0" w:rsidRPr="00073DE0" w:rsidRDefault="00073DE0" w:rsidP="00073DE0">
      <w:pPr>
        <w:spacing w:line="480" w:lineRule="auto"/>
        <w:jc w:val="center"/>
        <w:rPr>
          <w:rFonts w:ascii="Times New Roman" w:hAnsi="Times New Roman" w:cs="Times New Roman"/>
          <w:b/>
          <w:bCs/>
          <w:u w:val="dotted"/>
        </w:rPr>
      </w:pPr>
    </w:p>
    <w:p w14:paraId="4A6E053F"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 xml:space="preserve">CycleWeave’s sustainability strategy encompasses three linked dimensions: environmental preservation, social responsibility, and economic stability. The environmental aspect is procuring certified organic cotton and recycled synthetics that require fewer chemical inputs, </w:t>
      </w:r>
      <w:r w:rsidRPr="00073DE0">
        <w:rPr>
          <w:rFonts w:ascii="Times New Roman" w:hAnsi="Times New Roman" w:cs="Times New Roman"/>
        </w:rPr>
        <w:lastRenderedPageBreak/>
        <w:t>conserve water, and reduce carbon emissions relative to traditional textiles (OECD, 2009). The firm aims to implement a circular economy model by collecting utilised clothes for repair, resale, or recycling, which will decrease the waste produced by fashion consumption.</w:t>
      </w:r>
    </w:p>
    <w:p w14:paraId="427B6FA3"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Social responsibility is demonstrated through equitable labour practices, cooperative training initiatives, and fair profit allocation among stakeholders and community projects. Studies on environmental entrepreneurship indicate that organisations promoting an inclusive culture of shared value creation achieve enhanced long-term validity (</w:t>
      </w:r>
      <w:proofErr w:type="spellStart"/>
      <w:r w:rsidRPr="00073DE0">
        <w:rPr>
          <w:rFonts w:ascii="Times New Roman" w:hAnsi="Times New Roman" w:cs="Times New Roman"/>
        </w:rPr>
        <w:t>Linnanen</w:t>
      </w:r>
      <w:proofErr w:type="spellEnd"/>
      <w:r w:rsidRPr="00073DE0">
        <w:rPr>
          <w:rFonts w:ascii="Times New Roman" w:hAnsi="Times New Roman" w:cs="Times New Roman"/>
        </w:rPr>
        <w:t>, 2002). CycleWeave acknowledges the necessity for ongoing supplier interaction, believing that secure and ethically driven collaborations may reduce reputational and operational risks.</w:t>
      </w:r>
    </w:p>
    <w:p w14:paraId="3C9B61C7"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Economic stability relies on the equilibrium between premium pricing and transparent supplier disclosures. Although sustainable fabrics entail elevated raw material expenses, CycleWeave’s management asserts that modern customer demographics, especially those motivated by ethical considerations, are prepared to invest in ethically produced garments (</w:t>
      </w:r>
      <w:proofErr w:type="spellStart"/>
      <w:r w:rsidRPr="00073DE0">
        <w:rPr>
          <w:rFonts w:ascii="Times New Roman" w:hAnsi="Times New Roman" w:cs="Times New Roman"/>
        </w:rPr>
        <w:t>Nazarkina</w:t>
      </w:r>
      <w:proofErr w:type="spellEnd"/>
      <w:r w:rsidRPr="00073DE0">
        <w:rPr>
          <w:rFonts w:ascii="Times New Roman" w:hAnsi="Times New Roman" w:cs="Times New Roman"/>
        </w:rPr>
        <w:t>, 2012). The integration of superior inputs, streamlined logistics, and brand integrity is intended to guarantee the enterprise's profitability while maintaining its sustainability principles.</w:t>
      </w:r>
    </w:p>
    <w:p w14:paraId="322ACDE7" w14:textId="77777777" w:rsidR="00073DE0" w:rsidRDefault="00073DE0" w:rsidP="00073DE0">
      <w:pPr>
        <w:spacing w:line="480" w:lineRule="auto"/>
        <w:jc w:val="both"/>
        <w:rPr>
          <w:rFonts w:ascii="Times New Roman" w:hAnsi="Times New Roman" w:cs="Times New Roman"/>
        </w:rPr>
      </w:pPr>
    </w:p>
    <w:p w14:paraId="7C547C66" w14:textId="7290E77D" w:rsidR="00073DE0" w:rsidRP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t>Physical, Human, and Financial Resources</w:t>
      </w:r>
    </w:p>
    <w:p w14:paraId="2651768A" w14:textId="77777777" w:rsidR="00073DE0" w:rsidRDefault="00073DE0" w:rsidP="00073DE0">
      <w:pPr>
        <w:spacing w:line="480" w:lineRule="auto"/>
        <w:jc w:val="both"/>
        <w:rPr>
          <w:rFonts w:ascii="Times New Roman" w:hAnsi="Times New Roman" w:cs="Times New Roman"/>
        </w:rPr>
      </w:pPr>
    </w:p>
    <w:p w14:paraId="73448EE5"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CycleWeave's physical resources encompass a planned methodology for the placement of industrial facilities and distribution centres. The company has selected a qualified production partner that has energy-efficient machinery suitable for small-batch production. This configuration provides adaptability to demand variations and facilitates the shift to internal production facilities when economies of scale become advantageous (</w:t>
      </w:r>
      <w:proofErr w:type="spellStart"/>
      <w:r w:rsidRPr="00073DE0">
        <w:rPr>
          <w:rFonts w:ascii="Times New Roman" w:hAnsi="Times New Roman" w:cs="Times New Roman"/>
        </w:rPr>
        <w:t>Markard</w:t>
      </w:r>
      <w:proofErr w:type="spellEnd"/>
      <w:r w:rsidRPr="00073DE0">
        <w:rPr>
          <w:rFonts w:ascii="Times New Roman" w:hAnsi="Times New Roman" w:cs="Times New Roman"/>
        </w:rPr>
        <w:t xml:space="preserve">, Raven &amp; </w:t>
      </w:r>
      <w:r w:rsidRPr="00073DE0">
        <w:rPr>
          <w:rFonts w:ascii="Times New Roman" w:hAnsi="Times New Roman" w:cs="Times New Roman"/>
        </w:rPr>
        <w:lastRenderedPageBreak/>
        <w:t>Truffer, 2012). The distribution centre is located next to a significant transportation hub to optimise shipping operations and minimise carbon-intensive freight.</w:t>
      </w:r>
    </w:p>
    <w:p w14:paraId="06547D30"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Human resources include a design team, sustainability experts, and management personnel dedicated to environmental stewardship and social entrepreneurship. The design team continues to participate in material innovation and garment development, while sustainability specialists perform audits and sustain ties with ethical supply chain partners (Meek et al., 2010). A streamlined administrative and marketing team oversees financial forecasts, investor interactions, and promotional initiatives. As the organisation expands, recruitment strategies will prioritise enhancing these fundamental competencies while incorporating rising talents in digital marketing and data analytics.</w:t>
      </w:r>
    </w:p>
    <w:p w14:paraId="4A0FDC59"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Financial resources originate from seed capital contributed by the founders, who expect that venture capital or social investment funds may subsequently invest once the firm proves its viability. This funding approach corresponds with trends noted in social entrepreneurship, where innovators often seek both conventional and impact-oriented investors aiming for quantifiable environmental and social returns (Moore, Westley &amp; Brodhead, 2012). The company may utilise crowdfunding techniques to attract early adopters, a strategy that might assist tiny social ventures in validating their concepts and securing more finance (Lehner, 2012). The financial approach will adhere to established corporate finance concepts, with a focus on sustainability measures (Megginson &amp; Smart, 2008).</w:t>
      </w:r>
    </w:p>
    <w:p w14:paraId="545A8F64" w14:textId="77777777" w:rsidR="00073DE0" w:rsidRDefault="00073DE0" w:rsidP="00073DE0">
      <w:pPr>
        <w:spacing w:line="480" w:lineRule="auto"/>
        <w:jc w:val="both"/>
        <w:rPr>
          <w:rFonts w:ascii="Times New Roman" w:hAnsi="Times New Roman" w:cs="Times New Roman"/>
        </w:rPr>
      </w:pPr>
    </w:p>
    <w:p w14:paraId="5FBAD01B" w14:textId="77777777" w:rsidR="00073DE0" w:rsidRDefault="00073DE0" w:rsidP="00073DE0">
      <w:pPr>
        <w:spacing w:line="480" w:lineRule="auto"/>
        <w:jc w:val="both"/>
        <w:rPr>
          <w:rFonts w:ascii="Times New Roman" w:hAnsi="Times New Roman" w:cs="Times New Roman"/>
        </w:rPr>
      </w:pPr>
    </w:p>
    <w:p w14:paraId="3CB1575C" w14:textId="77777777" w:rsidR="00073DE0" w:rsidRDefault="00073DE0" w:rsidP="00073DE0">
      <w:pPr>
        <w:spacing w:line="480" w:lineRule="auto"/>
        <w:jc w:val="both"/>
        <w:rPr>
          <w:rFonts w:ascii="Times New Roman" w:hAnsi="Times New Roman" w:cs="Times New Roman"/>
        </w:rPr>
      </w:pPr>
    </w:p>
    <w:p w14:paraId="625DA551" w14:textId="77777777" w:rsidR="00073DE0" w:rsidRDefault="00073DE0" w:rsidP="00073DE0">
      <w:pPr>
        <w:spacing w:line="480" w:lineRule="auto"/>
        <w:jc w:val="both"/>
        <w:rPr>
          <w:rFonts w:ascii="Times New Roman" w:hAnsi="Times New Roman" w:cs="Times New Roman"/>
        </w:rPr>
      </w:pPr>
    </w:p>
    <w:p w14:paraId="3575D68E" w14:textId="77777777" w:rsidR="00073DE0" w:rsidRDefault="00073DE0" w:rsidP="00073DE0">
      <w:pPr>
        <w:spacing w:line="480" w:lineRule="auto"/>
        <w:jc w:val="center"/>
        <w:rPr>
          <w:rFonts w:ascii="Times New Roman" w:hAnsi="Times New Roman" w:cs="Times New Roman"/>
          <w:u w:val="dotted"/>
        </w:rPr>
      </w:pPr>
      <w:r w:rsidRPr="00073DE0">
        <w:rPr>
          <w:rFonts w:ascii="Times New Roman" w:hAnsi="Times New Roman" w:cs="Times New Roman"/>
          <w:u w:val="dotted"/>
        </w:rPr>
        <w:lastRenderedPageBreak/>
        <w:t>Marketing Strategy</w:t>
      </w:r>
    </w:p>
    <w:p w14:paraId="25C779FE" w14:textId="77777777" w:rsidR="00073DE0" w:rsidRPr="00073DE0" w:rsidRDefault="00073DE0" w:rsidP="00073DE0">
      <w:pPr>
        <w:spacing w:line="480" w:lineRule="auto"/>
        <w:jc w:val="center"/>
        <w:rPr>
          <w:rFonts w:ascii="Times New Roman" w:hAnsi="Times New Roman" w:cs="Times New Roman"/>
          <w:u w:val="dotted"/>
        </w:rPr>
      </w:pPr>
    </w:p>
    <w:p w14:paraId="3A95484F"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The target demographic consists of ethically conscious consumers who favour fashionable clothes while opposing the negative social and environmental consequences typically linked to fast-fashion practices. CycleWeave's positioning emphasises authenticity and traceability. The firm aims to provide comprehensive information regarding materials, manufacturing methods, and supply chain partners, acknowledging that transparent communication fosters trust and can distinguish the brand in a competitive marketplace (</w:t>
      </w:r>
      <w:proofErr w:type="spellStart"/>
      <w:r w:rsidRPr="00073DE0">
        <w:rPr>
          <w:rFonts w:ascii="Times New Roman" w:hAnsi="Times New Roman" w:cs="Times New Roman"/>
        </w:rPr>
        <w:t>Bocken</w:t>
      </w:r>
      <w:proofErr w:type="spellEnd"/>
      <w:r w:rsidRPr="00073DE0">
        <w:rPr>
          <w:rFonts w:ascii="Times New Roman" w:hAnsi="Times New Roman" w:cs="Times New Roman"/>
        </w:rPr>
        <w:t xml:space="preserve"> et al., 2015).</w:t>
      </w:r>
    </w:p>
    <w:p w14:paraId="681BAC60"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Pricing will correspond to the fundamental expenses of organic inputs and fair labour conditions. The management of the firm does not perceive elevated pricing as an insurmountable obstacle, considering the increasing acceptability of sustainability premiums among significant demographics. However, transparency in cost breakdowns is essential to ensure potential purchasers that they are investing in higher quality and authentic ethical commitments, so matching with current literature on sustainable value proposition design (</w:t>
      </w:r>
      <w:proofErr w:type="spellStart"/>
      <w:r w:rsidRPr="00073DE0">
        <w:rPr>
          <w:rFonts w:ascii="Times New Roman" w:hAnsi="Times New Roman" w:cs="Times New Roman"/>
        </w:rPr>
        <w:t>Biloshapka</w:t>
      </w:r>
      <w:proofErr w:type="spellEnd"/>
      <w:r w:rsidRPr="00073DE0">
        <w:rPr>
          <w:rFonts w:ascii="Times New Roman" w:hAnsi="Times New Roman" w:cs="Times New Roman"/>
        </w:rPr>
        <w:t xml:space="preserve"> &amp; </w:t>
      </w:r>
      <w:proofErr w:type="spellStart"/>
      <w:r w:rsidRPr="00073DE0">
        <w:rPr>
          <w:rFonts w:ascii="Times New Roman" w:hAnsi="Times New Roman" w:cs="Times New Roman"/>
        </w:rPr>
        <w:t>Osiyevskyy</w:t>
      </w:r>
      <w:proofErr w:type="spellEnd"/>
      <w:r w:rsidRPr="00073DE0">
        <w:rPr>
          <w:rFonts w:ascii="Times New Roman" w:hAnsi="Times New Roman" w:cs="Times New Roman"/>
        </w:rPr>
        <w:t>, 2018).</w:t>
      </w:r>
    </w:p>
    <w:p w14:paraId="30E9CA6C"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Digital marketing will function as the principal promotional medium. Social media content and targeted web advertising will emphasise the brand's lifestyle narrative, which includes little waste, conscientious purchasing, and design innovation. Collaborations with influencers whose personal brands emphasise environmental and social awareness can enhance campaign reach. The company plans to offer pop-up retail experiences in specific urban locations to cultivate direct relationships with customers and promote advertising through word-of-mouth.</w:t>
      </w:r>
    </w:p>
    <w:p w14:paraId="15AB87DD"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 xml:space="preserve">Distribution will focus on e-commerce through a dedicated online store and selected third-party platforms that specialise in eco-friendly products. The management team is receptive to opening a flagship shop, contingent upon sales growth warranting the investment, as physical </w:t>
      </w:r>
      <w:r w:rsidRPr="00073DE0">
        <w:rPr>
          <w:rFonts w:ascii="Times New Roman" w:hAnsi="Times New Roman" w:cs="Times New Roman"/>
        </w:rPr>
        <w:lastRenderedPageBreak/>
        <w:t>locations can enhance brand visibility and customer interaction. Throughout all phases, marketing initiatives will be assessed based on client acquisition costs and lifetime value evaluations to ensure economic viability (Megginson &amp; Smart, 2008).</w:t>
      </w:r>
    </w:p>
    <w:p w14:paraId="167E6EAC" w14:textId="77777777" w:rsidR="00073DE0" w:rsidRDefault="00073DE0" w:rsidP="00073DE0">
      <w:pPr>
        <w:spacing w:line="480" w:lineRule="auto"/>
        <w:jc w:val="both"/>
        <w:rPr>
          <w:rFonts w:ascii="Times New Roman" w:hAnsi="Times New Roman" w:cs="Times New Roman"/>
        </w:rPr>
      </w:pPr>
    </w:p>
    <w:p w14:paraId="046448C5" w14:textId="391E67B7" w:rsidR="00073DE0" w:rsidRDefault="00073DE0" w:rsidP="00073DE0">
      <w:pPr>
        <w:spacing w:line="480" w:lineRule="auto"/>
        <w:jc w:val="center"/>
        <w:rPr>
          <w:rFonts w:ascii="Times New Roman" w:hAnsi="Times New Roman" w:cs="Times New Roman"/>
          <w:b/>
          <w:bCs/>
          <w:u w:val="dotted"/>
        </w:rPr>
      </w:pPr>
      <w:r w:rsidRPr="00073DE0">
        <w:rPr>
          <w:rFonts w:ascii="Times New Roman" w:hAnsi="Times New Roman" w:cs="Times New Roman"/>
          <w:b/>
          <w:bCs/>
          <w:u w:val="dotted"/>
        </w:rPr>
        <w:t xml:space="preserve">PESTLE </w:t>
      </w:r>
      <w:r w:rsidRPr="00073DE0">
        <w:rPr>
          <w:rFonts w:ascii="Times New Roman" w:hAnsi="Times New Roman" w:cs="Times New Roman"/>
          <w:b/>
          <w:bCs/>
          <w:u w:val="dotted"/>
        </w:rPr>
        <w:t>Analysis</w:t>
      </w:r>
    </w:p>
    <w:p w14:paraId="4170B878" w14:textId="77777777" w:rsidR="00073DE0" w:rsidRPr="00073DE0" w:rsidRDefault="00073DE0" w:rsidP="00073DE0">
      <w:pPr>
        <w:spacing w:line="480" w:lineRule="auto"/>
        <w:jc w:val="center"/>
        <w:rPr>
          <w:rFonts w:ascii="Times New Roman" w:hAnsi="Times New Roman" w:cs="Times New Roman"/>
          <w:b/>
          <w:bCs/>
          <w:u w:val="dotted"/>
        </w:rPr>
      </w:pPr>
    </w:p>
    <w:p w14:paraId="1C079AD3"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The external environment significantly influences CycleWeave's strategic decisions. The PESTLE framework clarifies how political, economic, social, technological, legal, and environmental aspects influence the company's direction.</w:t>
      </w:r>
    </w:p>
    <w:p w14:paraId="2E37EAB7" w14:textId="77777777"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Political factors in numerous sourcing regions demonstrate a tendency towards more stringent regulation of ecologically detrimental behaviours, potentially boosting the enterprise's strategic advantage. Political instability or alterations in trade agreements may interrupt supply chains, requiring contingency plans (</w:t>
      </w:r>
      <w:proofErr w:type="spellStart"/>
      <w:r w:rsidRPr="00073DE0">
        <w:rPr>
          <w:rFonts w:ascii="Times New Roman" w:hAnsi="Times New Roman" w:cs="Times New Roman"/>
        </w:rPr>
        <w:t>Markard</w:t>
      </w:r>
      <w:proofErr w:type="spellEnd"/>
      <w:r w:rsidRPr="00073DE0">
        <w:rPr>
          <w:rFonts w:ascii="Times New Roman" w:hAnsi="Times New Roman" w:cs="Times New Roman"/>
        </w:rPr>
        <w:t xml:space="preserve"> et al., 2012).</w:t>
      </w:r>
    </w:p>
    <w:p w14:paraId="102AEB5E" w14:textId="7A912B52" w:rsidR="00073DE0" w:rsidRDefault="00073DE0" w:rsidP="00073DE0">
      <w:pPr>
        <w:spacing w:line="480" w:lineRule="auto"/>
        <w:jc w:val="both"/>
        <w:rPr>
          <w:rFonts w:ascii="Times New Roman" w:hAnsi="Times New Roman" w:cs="Times New Roman"/>
        </w:rPr>
      </w:pPr>
      <w:r w:rsidRPr="00073DE0">
        <w:rPr>
          <w:rFonts w:ascii="Times New Roman" w:hAnsi="Times New Roman" w:cs="Times New Roman"/>
        </w:rPr>
        <w:t>Economic factors including fluctuations in currencies and recessionary trends provide risks to a premium-priced business, while affluent customer demographics generally exhibit greater resilience during economic downturns. The social backdrop is becoming more favourable to sustainable products, reflecting changing attitudes that support ecologically responsible purchase habits (Meek et al., 2010). Innovations in biodegradable materials and supply-chain monitoring could augment CycleWeave's ability to minimise waste and verify product assertions. Emerging labour and environmental rules may benefit businesses who have already implemented these elevated standards. Environmental worries over climate change increase customer interest in gear that conserves natural resources, positioning CycleWeave to attract a growing generation seeking sustainable solutions (Nill &amp; Kemp, 2009).</w:t>
      </w:r>
    </w:p>
    <w:p w14:paraId="1A994588" w14:textId="6CFDDA28" w:rsidR="00073DE0" w:rsidRDefault="00073DE0" w:rsidP="0085539A">
      <w:pPr>
        <w:spacing w:line="480" w:lineRule="auto"/>
        <w:jc w:val="center"/>
        <w:rPr>
          <w:rFonts w:ascii="Times New Roman" w:hAnsi="Times New Roman" w:cs="Times New Roman"/>
          <w:b/>
          <w:bCs/>
          <w:u w:val="dotted"/>
        </w:rPr>
      </w:pPr>
      <w:r w:rsidRPr="0085539A">
        <w:rPr>
          <w:rFonts w:ascii="Times New Roman" w:hAnsi="Times New Roman" w:cs="Times New Roman"/>
          <w:b/>
          <w:bCs/>
          <w:u w:val="dotted"/>
        </w:rPr>
        <w:lastRenderedPageBreak/>
        <w:t>SWOT Analysis</w:t>
      </w:r>
    </w:p>
    <w:p w14:paraId="6572D490" w14:textId="77777777" w:rsidR="0085539A" w:rsidRPr="0085539A" w:rsidRDefault="0085539A" w:rsidP="0085539A">
      <w:pPr>
        <w:spacing w:line="480" w:lineRule="auto"/>
        <w:jc w:val="center"/>
        <w:rPr>
          <w:rFonts w:ascii="Times New Roman" w:hAnsi="Times New Roman" w:cs="Times New Roman"/>
          <w:b/>
          <w:bCs/>
          <w:u w:val="dotted"/>
        </w:rPr>
      </w:pPr>
    </w:p>
    <w:p w14:paraId="2037C899" w14:textId="77777777" w:rsidR="0085539A" w:rsidRDefault="0085539A" w:rsidP="0085539A">
      <w:pPr>
        <w:spacing w:line="480" w:lineRule="auto"/>
        <w:jc w:val="both"/>
        <w:rPr>
          <w:rFonts w:ascii="Times New Roman" w:hAnsi="Times New Roman" w:cs="Times New Roman"/>
        </w:rPr>
      </w:pPr>
      <w:r w:rsidRPr="0085539A">
        <w:rPr>
          <w:rFonts w:ascii="Times New Roman" w:hAnsi="Times New Roman" w:cs="Times New Roman"/>
        </w:rPr>
        <w:t>The table below provides an overview of CycleWeave's strengths, weaknesses, opportunities, and threats. This perspective considers both internal and external factors and explains how the enterprise's strategic stance might adjust to a changing market environment.</w:t>
      </w:r>
    </w:p>
    <w:tbl>
      <w:tblPr>
        <w:tblStyle w:val="TableGrid"/>
        <w:tblW w:w="0" w:type="auto"/>
        <w:tblLook w:val="04A0" w:firstRow="1" w:lastRow="0" w:firstColumn="1" w:lastColumn="0" w:noHBand="0" w:noVBand="1"/>
      </w:tblPr>
      <w:tblGrid>
        <w:gridCol w:w="4508"/>
        <w:gridCol w:w="4508"/>
      </w:tblGrid>
      <w:tr w:rsidR="0085539A" w14:paraId="0ED1FE09" w14:textId="77777777" w:rsidTr="00131D43">
        <w:tc>
          <w:tcPr>
            <w:tcW w:w="4508" w:type="dxa"/>
            <w:shd w:val="clear" w:color="auto" w:fill="D86DCB" w:themeFill="accent5" w:themeFillTint="99"/>
          </w:tcPr>
          <w:p w14:paraId="76D7359A" w14:textId="1F3EBB68" w:rsidR="0085539A" w:rsidRPr="00131D43" w:rsidRDefault="0085539A" w:rsidP="0085539A">
            <w:pPr>
              <w:jc w:val="both"/>
              <w:rPr>
                <w:rFonts w:ascii="Times New Roman" w:hAnsi="Times New Roman" w:cs="Times New Roman"/>
                <w:b/>
                <w:bCs/>
              </w:rPr>
            </w:pPr>
            <w:r w:rsidRPr="00131D43">
              <w:rPr>
                <w:rFonts w:ascii="Times New Roman" w:hAnsi="Times New Roman" w:cs="Times New Roman"/>
                <w:b/>
                <w:bCs/>
              </w:rPr>
              <w:t xml:space="preserve">SWOT Analysis </w:t>
            </w:r>
          </w:p>
        </w:tc>
        <w:tc>
          <w:tcPr>
            <w:tcW w:w="4508" w:type="dxa"/>
            <w:shd w:val="clear" w:color="auto" w:fill="D86DCB" w:themeFill="accent5" w:themeFillTint="99"/>
          </w:tcPr>
          <w:p w14:paraId="393058F8" w14:textId="0B89454D" w:rsidR="0085539A" w:rsidRPr="00131D43" w:rsidRDefault="0085539A" w:rsidP="0085539A">
            <w:pPr>
              <w:jc w:val="both"/>
              <w:rPr>
                <w:rFonts w:ascii="Times New Roman" w:hAnsi="Times New Roman" w:cs="Times New Roman"/>
                <w:b/>
                <w:bCs/>
              </w:rPr>
            </w:pPr>
            <w:r w:rsidRPr="00131D43">
              <w:rPr>
                <w:rFonts w:ascii="Times New Roman" w:hAnsi="Times New Roman" w:cs="Times New Roman"/>
                <w:b/>
                <w:bCs/>
              </w:rPr>
              <w:t xml:space="preserve">Description </w:t>
            </w:r>
          </w:p>
        </w:tc>
      </w:tr>
      <w:tr w:rsidR="0085539A" w14:paraId="636FA4F2" w14:textId="77777777" w:rsidTr="00131D43">
        <w:tc>
          <w:tcPr>
            <w:tcW w:w="4508" w:type="dxa"/>
            <w:shd w:val="clear" w:color="auto" w:fill="4C94D8" w:themeFill="text2" w:themeFillTint="80"/>
          </w:tcPr>
          <w:p w14:paraId="290B4DE0" w14:textId="1C9CDBC3" w:rsidR="0085539A" w:rsidRDefault="0085539A" w:rsidP="0085539A">
            <w:pPr>
              <w:jc w:val="both"/>
              <w:rPr>
                <w:rFonts w:ascii="Times New Roman" w:hAnsi="Times New Roman" w:cs="Times New Roman"/>
              </w:rPr>
            </w:pPr>
            <w:r>
              <w:rPr>
                <w:rFonts w:ascii="Times New Roman" w:hAnsi="Times New Roman" w:cs="Times New Roman"/>
              </w:rPr>
              <w:t xml:space="preserve">Strengths </w:t>
            </w:r>
          </w:p>
        </w:tc>
        <w:tc>
          <w:tcPr>
            <w:tcW w:w="4508" w:type="dxa"/>
            <w:shd w:val="clear" w:color="auto" w:fill="4C94D8" w:themeFill="text2" w:themeFillTint="80"/>
          </w:tcPr>
          <w:p w14:paraId="6277C54B" w14:textId="46C23DA6" w:rsidR="0085539A" w:rsidRPr="0085539A" w:rsidRDefault="0085539A" w:rsidP="0085539A">
            <w:pPr>
              <w:jc w:val="both"/>
              <w:rPr>
                <w:rFonts w:ascii="Times New Roman" w:hAnsi="Times New Roman" w:cs="Times New Roman"/>
              </w:rPr>
            </w:pPr>
            <w:r>
              <w:rPr>
                <w:rFonts w:ascii="Times New Roman" w:hAnsi="Times New Roman" w:cs="Times New Roman"/>
              </w:rPr>
              <w:t>T</w:t>
            </w:r>
            <w:r w:rsidRPr="0085539A">
              <w:rPr>
                <w:rFonts w:ascii="Times New Roman" w:hAnsi="Times New Roman" w:cs="Times New Roman"/>
              </w:rPr>
              <w:t>he key differentiator of CycleWeave is its strong focus on sustainability, which aligns with changing customer attitudes. The emphasis on high-quality materials avoids waste and promotes brand loyalty. Commitment to transparent processes fosters stakeholder trust.</w:t>
            </w:r>
          </w:p>
          <w:p w14:paraId="31B76377" w14:textId="77777777" w:rsidR="0085539A" w:rsidRDefault="0085539A" w:rsidP="0085539A">
            <w:pPr>
              <w:jc w:val="both"/>
              <w:rPr>
                <w:rFonts w:ascii="Times New Roman" w:hAnsi="Times New Roman" w:cs="Times New Roman"/>
              </w:rPr>
            </w:pPr>
          </w:p>
        </w:tc>
      </w:tr>
      <w:tr w:rsidR="0085539A" w14:paraId="0876D6EA" w14:textId="77777777" w:rsidTr="00131D43">
        <w:tc>
          <w:tcPr>
            <w:tcW w:w="4508" w:type="dxa"/>
            <w:shd w:val="clear" w:color="auto" w:fill="FFC000"/>
          </w:tcPr>
          <w:p w14:paraId="4D17B426" w14:textId="2D2CD07B" w:rsidR="0085539A" w:rsidRDefault="0085539A" w:rsidP="0085539A">
            <w:pPr>
              <w:jc w:val="both"/>
              <w:rPr>
                <w:rFonts w:ascii="Times New Roman" w:hAnsi="Times New Roman" w:cs="Times New Roman"/>
              </w:rPr>
            </w:pPr>
            <w:r>
              <w:rPr>
                <w:rFonts w:ascii="Times New Roman" w:hAnsi="Times New Roman" w:cs="Times New Roman"/>
              </w:rPr>
              <w:t xml:space="preserve">Weaknesses </w:t>
            </w:r>
          </w:p>
        </w:tc>
        <w:tc>
          <w:tcPr>
            <w:tcW w:w="4508" w:type="dxa"/>
            <w:shd w:val="clear" w:color="auto" w:fill="FFC000"/>
          </w:tcPr>
          <w:p w14:paraId="246ECA39" w14:textId="77777777" w:rsidR="0085539A" w:rsidRPr="0085539A" w:rsidRDefault="0085539A" w:rsidP="0085539A">
            <w:pPr>
              <w:jc w:val="both"/>
              <w:rPr>
                <w:rFonts w:ascii="Times New Roman" w:hAnsi="Times New Roman" w:cs="Times New Roman"/>
              </w:rPr>
            </w:pPr>
            <w:r w:rsidRPr="0085539A">
              <w:rPr>
                <w:rFonts w:ascii="Times New Roman" w:hAnsi="Times New Roman" w:cs="Times New Roman"/>
              </w:rPr>
              <w:t>The use of organic raw materials and ethical labour raises operating costs. The start-up's small production size and short operating experience may limit its bargaining leverage with suppliers. Premium prices must be justified by ongoing market education.</w:t>
            </w:r>
          </w:p>
          <w:p w14:paraId="216706A6" w14:textId="77777777" w:rsidR="0085539A" w:rsidRDefault="0085539A" w:rsidP="0085539A">
            <w:pPr>
              <w:jc w:val="both"/>
              <w:rPr>
                <w:rFonts w:ascii="Times New Roman" w:hAnsi="Times New Roman" w:cs="Times New Roman"/>
              </w:rPr>
            </w:pPr>
          </w:p>
        </w:tc>
      </w:tr>
      <w:tr w:rsidR="0085539A" w14:paraId="01CB9DB1" w14:textId="77777777" w:rsidTr="00131D43">
        <w:tc>
          <w:tcPr>
            <w:tcW w:w="4508" w:type="dxa"/>
            <w:shd w:val="clear" w:color="auto" w:fill="00B050"/>
          </w:tcPr>
          <w:p w14:paraId="521F82DB" w14:textId="1DEF027E" w:rsidR="0085539A" w:rsidRDefault="0085539A" w:rsidP="0085539A">
            <w:pPr>
              <w:jc w:val="both"/>
              <w:rPr>
                <w:rFonts w:ascii="Times New Roman" w:hAnsi="Times New Roman" w:cs="Times New Roman"/>
              </w:rPr>
            </w:pPr>
            <w:r>
              <w:rPr>
                <w:rFonts w:ascii="Times New Roman" w:hAnsi="Times New Roman" w:cs="Times New Roman"/>
              </w:rPr>
              <w:t xml:space="preserve">Opportunities </w:t>
            </w:r>
          </w:p>
        </w:tc>
        <w:tc>
          <w:tcPr>
            <w:tcW w:w="4508" w:type="dxa"/>
            <w:shd w:val="clear" w:color="auto" w:fill="00B050"/>
          </w:tcPr>
          <w:p w14:paraId="6D26BB8A" w14:textId="77777777" w:rsidR="0085539A" w:rsidRPr="0085539A" w:rsidRDefault="0085539A" w:rsidP="0085539A">
            <w:pPr>
              <w:jc w:val="both"/>
              <w:rPr>
                <w:rFonts w:ascii="Times New Roman" w:hAnsi="Times New Roman" w:cs="Times New Roman"/>
              </w:rPr>
            </w:pPr>
            <w:r w:rsidRPr="0085539A">
              <w:rPr>
                <w:rFonts w:ascii="Times New Roman" w:hAnsi="Times New Roman" w:cs="Times New Roman"/>
              </w:rPr>
              <w:t>The growing global interest in socially and ecologically conscientious products creates opportunities for brand expansion. Collaborations with other sustainable companies and industry events can help the brand's visibility. Product diversification into accessories or children's clothing can reach a larger market.</w:t>
            </w:r>
          </w:p>
          <w:p w14:paraId="1DEC0013" w14:textId="77777777" w:rsidR="0085539A" w:rsidRDefault="0085539A" w:rsidP="0085539A">
            <w:pPr>
              <w:jc w:val="both"/>
              <w:rPr>
                <w:rFonts w:ascii="Times New Roman" w:hAnsi="Times New Roman" w:cs="Times New Roman"/>
              </w:rPr>
            </w:pPr>
          </w:p>
        </w:tc>
      </w:tr>
      <w:tr w:rsidR="0085539A" w14:paraId="1EA2376A" w14:textId="77777777" w:rsidTr="00131D43">
        <w:tc>
          <w:tcPr>
            <w:tcW w:w="4508" w:type="dxa"/>
            <w:shd w:val="clear" w:color="auto" w:fill="FF0000"/>
          </w:tcPr>
          <w:p w14:paraId="7B6D3908" w14:textId="05EA18BD" w:rsidR="0085539A" w:rsidRDefault="0085539A" w:rsidP="0085539A">
            <w:pPr>
              <w:jc w:val="both"/>
              <w:rPr>
                <w:rFonts w:ascii="Times New Roman" w:hAnsi="Times New Roman" w:cs="Times New Roman"/>
              </w:rPr>
            </w:pPr>
            <w:r>
              <w:rPr>
                <w:rFonts w:ascii="Times New Roman" w:hAnsi="Times New Roman" w:cs="Times New Roman"/>
              </w:rPr>
              <w:t xml:space="preserve">Threats </w:t>
            </w:r>
          </w:p>
        </w:tc>
        <w:tc>
          <w:tcPr>
            <w:tcW w:w="4508" w:type="dxa"/>
            <w:shd w:val="clear" w:color="auto" w:fill="FF0000"/>
          </w:tcPr>
          <w:p w14:paraId="46090CB0" w14:textId="77777777" w:rsidR="0085539A" w:rsidRPr="0085539A" w:rsidRDefault="0085539A" w:rsidP="0085539A">
            <w:pPr>
              <w:jc w:val="both"/>
              <w:rPr>
                <w:rFonts w:ascii="Times New Roman" w:hAnsi="Times New Roman" w:cs="Times New Roman"/>
              </w:rPr>
            </w:pPr>
            <w:r w:rsidRPr="0085539A">
              <w:rPr>
                <w:rFonts w:ascii="Times New Roman" w:hAnsi="Times New Roman" w:cs="Times New Roman"/>
              </w:rPr>
              <w:t>Established fast-fashion labels are implementing green marketing efforts, increasing competition. Economic recessions may reduce consumer spending on high-end things. Potential supply chain interruptions and volatility in organic cotton prices may potentially have an impact on profitability.</w:t>
            </w:r>
          </w:p>
          <w:p w14:paraId="2831EEC8" w14:textId="77777777" w:rsidR="0085539A" w:rsidRDefault="0085539A" w:rsidP="0085539A">
            <w:pPr>
              <w:jc w:val="both"/>
              <w:rPr>
                <w:rFonts w:ascii="Times New Roman" w:hAnsi="Times New Roman" w:cs="Times New Roman"/>
              </w:rPr>
            </w:pPr>
          </w:p>
        </w:tc>
      </w:tr>
    </w:tbl>
    <w:p w14:paraId="2F4414EF" w14:textId="77777777" w:rsidR="0085539A" w:rsidRDefault="0085539A" w:rsidP="0085539A">
      <w:pPr>
        <w:spacing w:line="480" w:lineRule="auto"/>
        <w:jc w:val="both"/>
        <w:rPr>
          <w:rFonts w:ascii="Times New Roman" w:hAnsi="Times New Roman" w:cs="Times New Roman"/>
        </w:rPr>
      </w:pPr>
    </w:p>
    <w:p w14:paraId="0A14BC1E" w14:textId="7C32EB06" w:rsidR="0085539A" w:rsidRDefault="0085539A" w:rsidP="0085539A">
      <w:pPr>
        <w:spacing w:line="480" w:lineRule="auto"/>
        <w:jc w:val="both"/>
        <w:rPr>
          <w:rFonts w:ascii="Times New Roman" w:hAnsi="Times New Roman" w:cs="Times New Roman"/>
        </w:rPr>
      </w:pPr>
      <w:r w:rsidRPr="0085539A">
        <w:rPr>
          <w:rFonts w:ascii="Times New Roman" w:hAnsi="Times New Roman" w:cs="Times New Roman"/>
        </w:rPr>
        <w:t xml:space="preserve">The SWOT analysis suggests that CycleWeave should focus on taking advantage of its environmental credentials while proactively managing cost structures. A higher emphasis on </w:t>
      </w:r>
      <w:r w:rsidRPr="0085539A">
        <w:rPr>
          <w:rFonts w:ascii="Times New Roman" w:hAnsi="Times New Roman" w:cs="Times New Roman"/>
        </w:rPr>
        <w:lastRenderedPageBreak/>
        <w:t xml:space="preserve">partnerships, marketing innovation, and operational resilience can help companies stay competitive in a </w:t>
      </w:r>
      <w:r w:rsidRPr="0085539A">
        <w:rPr>
          <w:rFonts w:ascii="Times New Roman" w:hAnsi="Times New Roman" w:cs="Times New Roman"/>
        </w:rPr>
        <w:t>fast-changing</w:t>
      </w:r>
      <w:r w:rsidRPr="0085539A">
        <w:rPr>
          <w:rFonts w:ascii="Times New Roman" w:hAnsi="Times New Roman" w:cs="Times New Roman"/>
        </w:rPr>
        <w:t xml:space="preserve"> business (Nill &amp; Kemp, 2009).</w:t>
      </w:r>
    </w:p>
    <w:p w14:paraId="3D35F4D1" w14:textId="77777777" w:rsidR="0085539A" w:rsidRDefault="0085539A" w:rsidP="0085539A">
      <w:pPr>
        <w:spacing w:line="480" w:lineRule="auto"/>
        <w:jc w:val="both"/>
        <w:rPr>
          <w:rFonts w:ascii="Times New Roman" w:hAnsi="Times New Roman" w:cs="Times New Roman"/>
        </w:rPr>
      </w:pPr>
    </w:p>
    <w:p w14:paraId="289EA2C2" w14:textId="68D6A5DF" w:rsidR="0085539A" w:rsidRDefault="0085539A" w:rsidP="0085539A">
      <w:pPr>
        <w:spacing w:line="480" w:lineRule="auto"/>
        <w:jc w:val="center"/>
        <w:rPr>
          <w:rFonts w:ascii="Times New Roman" w:hAnsi="Times New Roman" w:cs="Times New Roman"/>
          <w:b/>
          <w:bCs/>
          <w:u w:val="dotted"/>
        </w:rPr>
      </w:pPr>
      <w:r w:rsidRPr="0085539A">
        <w:rPr>
          <w:rFonts w:ascii="Times New Roman" w:hAnsi="Times New Roman" w:cs="Times New Roman"/>
          <w:b/>
          <w:bCs/>
          <w:u w:val="dotted"/>
        </w:rPr>
        <w:t>Financial Cash Flow of Expected Income and Costs</w:t>
      </w:r>
    </w:p>
    <w:p w14:paraId="760A870C" w14:textId="77777777" w:rsidR="0085539A" w:rsidRPr="0085539A" w:rsidRDefault="0085539A" w:rsidP="0085539A">
      <w:pPr>
        <w:spacing w:line="480" w:lineRule="auto"/>
        <w:jc w:val="center"/>
        <w:rPr>
          <w:rFonts w:ascii="Times New Roman" w:hAnsi="Times New Roman" w:cs="Times New Roman"/>
          <w:b/>
          <w:bCs/>
          <w:u w:val="dotted"/>
        </w:rPr>
      </w:pPr>
    </w:p>
    <w:p w14:paraId="07B88555" w14:textId="3882EE5E" w:rsidR="0085539A" w:rsidRPr="0085539A" w:rsidRDefault="0085539A" w:rsidP="0085539A">
      <w:pPr>
        <w:spacing w:line="480" w:lineRule="auto"/>
        <w:jc w:val="both"/>
        <w:rPr>
          <w:rFonts w:ascii="Times New Roman" w:hAnsi="Times New Roman" w:cs="Times New Roman"/>
        </w:rPr>
      </w:pPr>
      <w:r w:rsidRPr="0085539A">
        <w:rPr>
          <w:rFonts w:ascii="Times New Roman" w:hAnsi="Times New Roman" w:cs="Times New Roman"/>
        </w:rPr>
        <w:t>CycleWeave anticipates incremental sales growth in the first year as brand recognition grows. The table below shows an indicative 12-month perspective of monthly inflows and outflows (in</w:t>
      </w:r>
      <w:r w:rsidR="009C70BD">
        <w:rPr>
          <w:rFonts w:ascii="Times New Roman" w:hAnsi="Times New Roman" w:cs="Times New Roman"/>
        </w:rPr>
        <w:t xml:space="preserve"> £</w:t>
      </w:r>
      <w:r w:rsidRPr="0085539A">
        <w:rPr>
          <w:rFonts w:ascii="Times New Roman" w:hAnsi="Times New Roman" w:cs="Times New Roman"/>
        </w:rPr>
        <w:t>). These statistics may need to be adjusted as the start-up obtains real-world demand and cost data (Megginson &amp; Smart, 2008).</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799"/>
        <w:gridCol w:w="2597"/>
        <w:gridCol w:w="1764"/>
        <w:gridCol w:w="1804"/>
        <w:gridCol w:w="1675"/>
      </w:tblGrid>
      <w:tr w:rsidR="009C70BD" w:rsidRPr="009C70BD" w14:paraId="6BF81C4F" w14:textId="77777777" w:rsidTr="00017667">
        <w:trPr>
          <w:tblHeader/>
          <w:tblCellSpacing w:w="15" w:type="dxa"/>
        </w:trPr>
        <w:tc>
          <w:tcPr>
            <w:tcW w:w="0" w:type="auto"/>
            <w:vAlign w:val="center"/>
            <w:hideMark/>
          </w:tcPr>
          <w:p w14:paraId="54A1EDFE" w14:textId="77777777" w:rsidR="0085539A" w:rsidRPr="0085539A" w:rsidRDefault="0085539A" w:rsidP="009C70BD">
            <w:pPr>
              <w:shd w:val="clear" w:color="auto" w:fill="D86DCB" w:themeFill="accent5" w:themeFillTint="99"/>
              <w:spacing w:after="0" w:line="240" w:lineRule="auto"/>
              <w:jc w:val="center"/>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Month</w:t>
            </w:r>
          </w:p>
        </w:tc>
        <w:tc>
          <w:tcPr>
            <w:tcW w:w="0" w:type="auto"/>
            <w:vAlign w:val="center"/>
            <w:hideMark/>
          </w:tcPr>
          <w:p w14:paraId="633403DD" w14:textId="77777777" w:rsidR="0085539A" w:rsidRPr="0085539A" w:rsidRDefault="0085539A" w:rsidP="009C70BD">
            <w:pPr>
              <w:shd w:val="clear" w:color="auto" w:fill="D86DCB" w:themeFill="accent5" w:themeFillTint="99"/>
              <w:spacing w:after="0" w:line="240" w:lineRule="auto"/>
              <w:jc w:val="center"/>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Expected Income (Sales)</w:t>
            </w:r>
          </w:p>
        </w:tc>
        <w:tc>
          <w:tcPr>
            <w:tcW w:w="0" w:type="auto"/>
            <w:vAlign w:val="center"/>
            <w:hideMark/>
          </w:tcPr>
          <w:p w14:paraId="5D8516EA" w14:textId="77777777" w:rsidR="0085539A" w:rsidRPr="0085539A" w:rsidRDefault="0085539A" w:rsidP="009C70BD">
            <w:pPr>
              <w:shd w:val="clear" w:color="auto" w:fill="D86DCB" w:themeFill="accent5" w:themeFillTint="99"/>
              <w:spacing w:after="0" w:line="240" w:lineRule="auto"/>
              <w:jc w:val="center"/>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Operating Costs</w:t>
            </w:r>
          </w:p>
        </w:tc>
        <w:tc>
          <w:tcPr>
            <w:tcW w:w="1774" w:type="dxa"/>
            <w:vAlign w:val="center"/>
            <w:hideMark/>
          </w:tcPr>
          <w:p w14:paraId="55CD02D9" w14:textId="77777777" w:rsidR="0085539A" w:rsidRPr="0085539A" w:rsidRDefault="0085539A" w:rsidP="009C70BD">
            <w:pPr>
              <w:shd w:val="clear" w:color="auto" w:fill="D86DCB" w:themeFill="accent5" w:themeFillTint="99"/>
              <w:spacing w:after="0" w:line="240" w:lineRule="auto"/>
              <w:jc w:val="center"/>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Marketing Costs</w:t>
            </w:r>
          </w:p>
        </w:tc>
        <w:tc>
          <w:tcPr>
            <w:tcW w:w="1630" w:type="dxa"/>
            <w:vAlign w:val="center"/>
            <w:hideMark/>
          </w:tcPr>
          <w:p w14:paraId="34F311A1" w14:textId="77777777" w:rsidR="0085539A" w:rsidRPr="0085539A" w:rsidRDefault="0085539A" w:rsidP="009C70BD">
            <w:pPr>
              <w:shd w:val="clear" w:color="auto" w:fill="D86DCB" w:themeFill="accent5" w:themeFillTint="99"/>
              <w:spacing w:after="0" w:line="240" w:lineRule="auto"/>
              <w:jc w:val="center"/>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Net Cash Flow</w:t>
            </w:r>
          </w:p>
        </w:tc>
      </w:tr>
    </w:tbl>
    <w:p w14:paraId="2863063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1C6CEAEA" w14:textId="77777777" w:rsidTr="00017667">
        <w:trPr>
          <w:tblCellSpacing w:w="15" w:type="dxa"/>
        </w:trPr>
        <w:tc>
          <w:tcPr>
            <w:tcW w:w="798" w:type="dxa"/>
            <w:vAlign w:val="center"/>
            <w:hideMark/>
          </w:tcPr>
          <w:p w14:paraId="79F1A3F9"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w:t>
            </w:r>
          </w:p>
        </w:tc>
        <w:tc>
          <w:tcPr>
            <w:tcW w:w="2521" w:type="dxa"/>
            <w:vAlign w:val="center"/>
            <w:hideMark/>
          </w:tcPr>
          <w:p w14:paraId="462C724E"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20,000</w:t>
            </w:r>
          </w:p>
        </w:tc>
        <w:tc>
          <w:tcPr>
            <w:tcW w:w="1813" w:type="dxa"/>
            <w:vAlign w:val="center"/>
            <w:hideMark/>
          </w:tcPr>
          <w:p w14:paraId="3229F51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15,000</w:t>
            </w:r>
          </w:p>
        </w:tc>
        <w:tc>
          <w:tcPr>
            <w:tcW w:w="1671" w:type="dxa"/>
            <w:vAlign w:val="center"/>
            <w:hideMark/>
          </w:tcPr>
          <w:p w14:paraId="0EABB279"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4,000</w:t>
            </w:r>
          </w:p>
        </w:tc>
        <w:tc>
          <w:tcPr>
            <w:tcW w:w="1656" w:type="dxa"/>
            <w:vAlign w:val="center"/>
            <w:hideMark/>
          </w:tcPr>
          <w:p w14:paraId="6BEA73E4"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1,000</w:t>
            </w:r>
          </w:p>
        </w:tc>
      </w:tr>
    </w:tbl>
    <w:p w14:paraId="197CDADE"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3EBF545E" w14:textId="77777777" w:rsidTr="00017667">
        <w:trPr>
          <w:tblCellSpacing w:w="15" w:type="dxa"/>
        </w:trPr>
        <w:tc>
          <w:tcPr>
            <w:tcW w:w="798" w:type="dxa"/>
            <w:vAlign w:val="center"/>
            <w:hideMark/>
          </w:tcPr>
          <w:p w14:paraId="65E5318A"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w:t>
            </w:r>
          </w:p>
        </w:tc>
        <w:tc>
          <w:tcPr>
            <w:tcW w:w="2521" w:type="dxa"/>
            <w:vAlign w:val="center"/>
            <w:hideMark/>
          </w:tcPr>
          <w:p w14:paraId="24AA727F"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25,000</w:t>
            </w:r>
          </w:p>
        </w:tc>
        <w:tc>
          <w:tcPr>
            <w:tcW w:w="1813" w:type="dxa"/>
            <w:vAlign w:val="center"/>
            <w:hideMark/>
          </w:tcPr>
          <w:p w14:paraId="39F7332D"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16,000</w:t>
            </w:r>
          </w:p>
        </w:tc>
        <w:tc>
          <w:tcPr>
            <w:tcW w:w="1671" w:type="dxa"/>
            <w:vAlign w:val="center"/>
            <w:hideMark/>
          </w:tcPr>
          <w:p w14:paraId="5B73124C"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4,000</w:t>
            </w:r>
          </w:p>
        </w:tc>
        <w:tc>
          <w:tcPr>
            <w:tcW w:w="1656" w:type="dxa"/>
            <w:vAlign w:val="center"/>
            <w:hideMark/>
          </w:tcPr>
          <w:p w14:paraId="6891DC5A"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5,000</w:t>
            </w:r>
          </w:p>
        </w:tc>
      </w:tr>
    </w:tbl>
    <w:p w14:paraId="4D1474A9"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033BAD59" w14:textId="77777777" w:rsidTr="00017667">
        <w:trPr>
          <w:tblCellSpacing w:w="15" w:type="dxa"/>
        </w:trPr>
        <w:tc>
          <w:tcPr>
            <w:tcW w:w="798" w:type="dxa"/>
            <w:vAlign w:val="center"/>
            <w:hideMark/>
          </w:tcPr>
          <w:p w14:paraId="24CC616C"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w:t>
            </w:r>
          </w:p>
        </w:tc>
        <w:tc>
          <w:tcPr>
            <w:tcW w:w="2521" w:type="dxa"/>
            <w:vAlign w:val="center"/>
            <w:hideMark/>
          </w:tcPr>
          <w:p w14:paraId="4FC22089"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30,000</w:t>
            </w:r>
          </w:p>
        </w:tc>
        <w:tc>
          <w:tcPr>
            <w:tcW w:w="1813" w:type="dxa"/>
            <w:vAlign w:val="center"/>
            <w:hideMark/>
          </w:tcPr>
          <w:p w14:paraId="6566F95D"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18,000</w:t>
            </w:r>
          </w:p>
        </w:tc>
        <w:tc>
          <w:tcPr>
            <w:tcW w:w="1671" w:type="dxa"/>
            <w:vAlign w:val="center"/>
            <w:hideMark/>
          </w:tcPr>
          <w:p w14:paraId="3A795D92"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5,000</w:t>
            </w:r>
          </w:p>
        </w:tc>
        <w:tc>
          <w:tcPr>
            <w:tcW w:w="1656" w:type="dxa"/>
            <w:vAlign w:val="center"/>
            <w:hideMark/>
          </w:tcPr>
          <w:p w14:paraId="5D077C62"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7,000</w:t>
            </w:r>
          </w:p>
        </w:tc>
      </w:tr>
    </w:tbl>
    <w:p w14:paraId="2375D878"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5474BB4C" w14:textId="77777777" w:rsidTr="00017667">
        <w:trPr>
          <w:tblCellSpacing w:w="15" w:type="dxa"/>
        </w:trPr>
        <w:tc>
          <w:tcPr>
            <w:tcW w:w="798" w:type="dxa"/>
            <w:vAlign w:val="center"/>
            <w:hideMark/>
          </w:tcPr>
          <w:p w14:paraId="7AFE42B8"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4</w:t>
            </w:r>
          </w:p>
        </w:tc>
        <w:tc>
          <w:tcPr>
            <w:tcW w:w="2521" w:type="dxa"/>
            <w:vAlign w:val="center"/>
            <w:hideMark/>
          </w:tcPr>
          <w:p w14:paraId="0752767F"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35,000</w:t>
            </w:r>
          </w:p>
        </w:tc>
        <w:tc>
          <w:tcPr>
            <w:tcW w:w="1813" w:type="dxa"/>
            <w:vAlign w:val="center"/>
            <w:hideMark/>
          </w:tcPr>
          <w:p w14:paraId="01989E1D"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20,000</w:t>
            </w:r>
          </w:p>
        </w:tc>
        <w:tc>
          <w:tcPr>
            <w:tcW w:w="1671" w:type="dxa"/>
            <w:vAlign w:val="center"/>
            <w:hideMark/>
          </w:tcPr>
          <w:p w14:paraId="56F665F2"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5,000</w:t>
            </w:r>
          </w:p>
        </w:tc>
        <w:tc>
          <w:tcPr>
            <w:tcW w:w="1656" w:type="dxa"/>
            <w:vAlign w:val="center"/>
            <w:hideMark/>
          </w:tcPr>
          <w:p w14:paraId="45B1E396"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10,000</w:t>
            </w:r>
          </w:p>
        </w:tc>
      </w:tr>
    </w:tbl>
    <w:p w14:paraId="1D42293B"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5AA988D5" w14:textId="77777777" w:rsidTr="00017667">
        <w:trPr>
          <w:tblCellSpacing w:w="15" w:type="dxa"/>
        </w:trPr>
        <w:tc>
          <w:tcPr>
            <w:tcW w:w="798" w:type="dxa"/>
            <w:vAlign w:val="center"/>
            <w:hideMark/>
          </w:tcPr>
          <w:p w14:paraId="0E346F0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w:t>
            </w:r>
          </w:p>
        </w:tc>
        <w:tc>
          <w:tcPr>
            <w:tcW w:w="2521" w:type="dxa"/>
            <w:vAlign w:val="center"/>
            <w:hideMark/>
          </w:tcPr>
          <w:p w14:paraId="0C9390DF"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45,000</w:t>
            </w:r>
          </w:p>
        </w:tc>
        <w:tc>
          <w:tcPr>
            <w:tcW w:w="1813" w:type="dxa"/>
            <w:vAlign w:val="center"/>
            <w:hideMark/>
          </w:tcPr>
          <w:p w14:paraId="14297921"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23,000</w:t>
            </w:r>
          </w:p>
        </w:tc>
        <w:tc>
          <w:tcPr>
            <w:tcW w:w="1671" w:type="dxa"/>
            <w:vAlign w:val="center"/>
            <w:hideMark/>
          </w:tcPr>
          <w:p w14:paraId="1618B0B8"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6,000</w:t>
            </w:r>
          </w:p>
        </w:tc>
        <w:tc>
          <w:tcPr>
            <w:tcW w:w="1656" w:type="dxa"/>
            <w:vAlign w:val="center"/>
            <w:hideMark/>
          </w:tcPr>
          <w:p w14:paraId="4C40527E"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16,000</w:t>
            </w:r>
          </w:p>
        </w:tc>
      </w:tr>
    </w:tbl>
    <w:p w14:paraId="34F34426"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2C81F22F" w14:textId="77777777" w:rsidTr="00017667">
        <w:trPr>
          <w:tblCellSpacing w:w="15" w:type="dxa"/>
        </w:trPr>
        <w:tc>
          <w:tcPr>
            <w:tcW w:w="798" w:type="dxa"/>
            <w:vAlign w:val="center"/>
            <w:hideMark/>
          </w:tcPr>
          <w:p w14:paraId="738A2770"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6</w:t>
            </w:r>
          </w:p>
        </w:tc>
        <w:tc>
          <w:tcPr>
            <w:tcW w:w="2521" w:type="dxa"/>
            <w:vAlign w:val="center"/>
            <w:hideMark/>
          </w:tcPr>
          <w:p w14:paraId="1617F86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55,000</w:t>
            </w:r>
          </w:p>
        </w:tc>
        <w:tc>
          <w:tcPr>
            <w:tcW w:w="1813" w:type="dxa"/>
            <w:vAlign w:val="center"/>
            <w:hideMark/>
          </w:tcPr>
          <w:p w14:paraId="30A0BBD1"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24,000</w:t>
            </w:r>
          </w:p>
        </w:tc>
        <w:tc>
          <w:tcPr>
            <w:tcW w:w="1671" w:type="dxa"/>
            <w:vAlign w:val="center"/>
            <w:hideMark/>
          </w:tcPr>
          <w:p w14:paraId="21521034"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7,000</w:t>
            </w:r>
          </w:p>
        </w:tc>
        <w:tc>
          <w:tcPr>
            <w:tcW w:w="1656" w:type="dxa"/>
            <w:vAlign w:val="center"/>
            <w:hideMark/>
          </w:tcPr>
          <w:p w14:paraId="6444551C"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24,000</w:t>
            </w:r>
          </w:p>
        </w:tc>
      </w:tr>
    </w:tbl>
    <w:p w14:paraId="1034B4D7"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50790737" w14:textId="77777777" w:rsidTr="00017667">
        <w:trPr>
          <w:tblCellSpacing w:w="15" w:type="dxa"/>
        </w:trPr>
        <w:tc>
          <w:tcPr>
            <w:tcW w:w="798" w:type="dxa"/>
            <w:vAlign w:val="center"/>
            <w:hideMark/>
          </w:tcPr>
          <w:p w14:paraId="510A65AF"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7</w:t>
            </w:r>
          </w:p>
        </w:tc>
        <w:tc>
          <w:tcPr>
            <w:tcW w:w="2521" w:type="dxa"/>
            <w:vAlign w:val="center"/>
            <w:hideMark/>
          </w:tcPr>
          <w:p w14:paraId="16EBD2A7"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65,000</w:t>
            </w:r>
          </w:p>
        </w:tc>
        <w:tc>
          <w:tcPr>
            <w:tcW w:w="1813" w:type="dxa"/>
            <w:vAlign w:val="center"/>
            <w:hideMark/>
          </w:tcPr>
          <w:p w14:paraId="6FFD0F9B"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26,000</w:t>
            </w:r>
          </w:p>
        </w:tc>
        <w:tc>
          <w:tcPr>
            <w:tcW w:w="1671" w:type="dxa"/>
            <w:vAlign w:val="center"/>
            <w:hideMark/>
          </w:tcPr>
          <w:p w14:paraId="5A4C9D5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8,000</w:t>
            </w:r>
          </w:p>
        </w:tc>
        <w:tc>
          <w:tcPr>
            <w:tcW w:w="1656" w:type="dxa"/>
            <w:vAlign w:val="center"/>
            <w:hideMark/>
          </w:tcPr>
          <w:p w14:paraId="483C6845"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31,000</w:t>
            </w:r>
          </w:p>
        </w:tc>
      </w:tr>
    </w:tbl>
    <w:p w14:paraId="4E16B540"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655E34BF" w14:textId="77777777" w:rsidTr="00017667">
        <w:trPr>
          <w:tblCellSpacing w:w="15" w:type="dxa"/>
        </w:trPr>
        <w:tc>
          <w:tcPr>
            <w:tcW w:w="798" w:type="dxa"/>
            <w:vAlign w:val="center"/>
            <w:hideMark/>
          </w:tcPr>
          <w:p w14:paraId="58344425"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8</w:t>
            </w:r>
          </w:p>
        </w:tc>
        <w:tc>
          <w:tcPr>
            <w:tcW w:w="2521" w:type="dxa"/>
            <w:vAlign w:val="center"/>
            <w:hideMark/>
          </w:tcPr>
          <w:p w14:paraId="68272EDC"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75,000</w:t>
            </w:r>
          </w:p>
        </w:tc>
        <w:tc>
          <w:tcPr>
            <w:tcW w:w="1813" w:type="dxa"/>
            <w:vAlign w:val="center"/>
            <w:hideMark/>
          </w:tcPr>
          <w:p w14:paraId="423D8B95"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28,000</w:t>
            </w:r>
          </w:p>
        </w:tc>
        <w:tc>
          <w:tcPr>
            <w:tcW w:w="1671" w:type="dxa"/>
            <w:vAlign w:val="center"/>
            <w:hideMark/>
          </w:tcPr>
          <w:p w14:paraId="4E20AEEA"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8,000</w:t>
            </w:r>
          </w:p>
        </w:tc>
        <w:tc>
          <w:tcPr>
            <w:tcW w:w="1656" w:type="dxa"/>
            <w:vAlign w:val="center"/>
            <w:hideMark/>
          </w:tcPr>
          <w:p w14:paraId="56E33467"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39,000</w:t>
            </w:r>
          </w:p>
        </w:tc>
      </w:tr>
    </w:tbl>
    <w:p w14:paraId="6A1A81B7"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3FC0CE21" w14:textId="77777777" w:rsidTr="00017667">
        <w:trPr>
          <w:tblCellSpacing w:w="15" w:type="dxa"/>
        </w:trPr>
        <w:tc>
          <w:tcPr>
            <w:tcW w:w="798" w:type="dxa"/>
            <w:vAlign w:val="center"/>
            <w:hideMark/>
          </w:tcPr>
          <w:p w14:paraId="15EF2CC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9</w:t>
            </w:r>
          </w:p>
        </w:tc>
        <w:tc>
          <w:tcPr>
            <w:tcW w:w="2521" w:type="dxa"/>
            <w:vAlign w:val="center"/>
            <w:hideMark/>
          </w:tcPr>
          <w:p w14:paraId="1395022B"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85,000</w:t>
            </w:r>
          </w:p>
        </w:tc>
        <w:tc>
          <w:tcPr>
            <w:tcW w:w="1813" w:type="dxa"/>
            <w:vAlign w:val="center"/>
            <w:hideMark/>
          </w:tcPr>
          <w:p w14:paraId="5680F07B"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30,000</w:t>
            </w:r>
          </w:p>
        </w:tc>
        <w:tc>
          <w:tcPr>
            <w:tcW w:w="1671" w:type="dxa"/>
            <w:vAlign w:val="center"/>
            <w:hideMark/>
          </w:tcPr>
          <w:p w14:paraId="2B9675C0"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9,000</w:t>
            </w:r>
          </w:p>
        </w:tc>
        <w:tc>
          <w:tcPr>
            <w:tcW w:w="1656" w:type="dxa"/>
            <w:vAlign w:val="center"/>
            <w:hideMark/>
          </w:tcPr>
          <w:p w14:paraId="46302323"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46,000</w:t>
            </w:r>
          </w:p>
        </w:tc>
      </w:tr>
    </w:tbl>
    <w:p w14:paraId="62B0AEB7"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07A43085" w14:textId="77777777" w:rsidTr="00017667">
        <w:trPr>
          <w:tblCellSpacing w:w="15" w:type="dxa"/>
        </w:trPr>
        <w:tc>
          <w:tcPr>
            <w:tcW w:w="798" w:type="dxa"/>
            <w:vAlign w:val="center"/>
            <w:hideMark/>
          </w:tcPr>
          <w:p w14:paraId="2F2B7D72"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w:t>
            </w:r>
          </w:p>
        </w:tc>
        <w:tc>
          <w:tcPr>
            <w:tcW w:w="2521" w:type="dxa"/>
            <w:vAlign w:val="center"/>
            <w:hideMark/>
          </w:tcPr>
          <w:p w14:paraId="32784586"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95,000</w:t>
            </w:r>
          </w:p>
        </w:tc>
        <w:tc>
          <w:tcPr>
            <w:tcW w:w="1813" w:type="dxa"/>
            <w:vAlign w:val="center"/>
            <w:hideMark/>
          </w:tcPr>
          <w:p w14:paraId="4B0FE79E"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32,000</w:t>
            </w:r>
          </w:p>
        </w:tc>
        <w:tc>
          <w:tcPr>
            <w:tcW w:w="1671" w:type="dxa"/>
            <w:vAlign w:val="center"/>
            <w:hideMark/>
          </w:tcPr>
          <w:p w14:paraId="3C356C3E"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10,000</w:t>
            </w:r>
          </w:p>
        </w:tc>
        <w:tc>
          <w:tcPr>
            <w:tcW w:w="1656" w:type="dxa"/>
            <w:vAlign w:val="center"/>
            <w:hideMark/>
          </w:tcPr>
          <w:p w14:paraId="68866A2D"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53,000</w:t>
            </w:r>
          </w:p>
        </w:tc>
      </w:tr>
    </w:tbl>
    <w:p w14:paraId="40E60E92"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46BA6E6E" w14:textId="77777777" w:rsidTr="00017667">
        <w:trPr>
          <w:tblCellSpacing w:w="15" w:type="dxa"/>
        </w:trPr>
        <w:tc>
          <w:tcPr>
            <w:tcW w:w="798" w:type="dxa"/>
            <w:vAlign w:val="center"/>
            <w:hideMark/>
          </w:tcPr>
          <w:p w14:paraId="54C9CFFA"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11</w:t>
            </w:r>
          </w:p>
        </w:tc>
        <w:tc>
          <w:tcPr>
            <w:tcW w:w="2521" w:type="dxa"/>
            <w:vAlign w:val="center"/>
            <w:hideMark/>
          </w:tcPr>
          <w:p w14:paraId="5D3C9AF6"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105,000</w:t>
            </w:r>
          </w:p>
        </w:tc>
        <w:tc>
          <w:tcPr>
            <w:tcW w:w="1813" w:type="dxa"/>
            <w:vAlign w:val="center"/>
            <w:hideMark/>
          </w:tcPr>
          <w:p w14:paraId="7911B3D8"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34,000</w:t>
            </w:r>
          </w:p>
        </w:tc>
        <w:tc>
          <w:tcPr>
            <w:tcW w:w="1671" w:type="dxa"/>
            <w:vAlign w:val="center"/>
            <w:hideMark/>
          </w:tcPr>
          <w:p w14:paraId="372D5590"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10,000</w:t>
            </w:r>
          </w:p>
        </w:tc>
        <w:tc>
          <w:tcPr>
            <w:tcW w:w="1656" w:type="dxa"/>
            <w:vAlign w:val="center"/>
            <w:hideMark/>
          </w:tcPr>
          <w:p w14:paraId="613844F6"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61,000</w:t>
            </w:r>
          </w:p>
        </w:tc>
      </w:tr>
    </w:tbl>
    <w:p w14:paraId="792B3C5D"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vanish/>
          <w:color w:val="E8E8E8" w:themeColor="background2"/>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43"/>
        <w:gridCol w:w="2551"/>
        <w:gridCol w:w="1843"/>
        <w:gridCol w:w="1701"/>
        <w:gridCol w:w="1701"/>
      </w:tblGrid>
      <w:tr w:rsidR="009C70BD" w:rsidRPr="009C70BD" w14:paraId="61753F51" w14:textId="77777777" w:rsidTr="00017667">
        <w:trPr>
          <w:tblCellSpacing w:w="15" w:type="dxa"/>
        </w:trPr>
        <w:tc>
          <w:tcPr>
            <w:tcW w:w="798" w:type="dxa"/>
            <w:vAlign w:val="center"/>
            <w:hideMark/>
          </w:tcPr>
          <w:p w14:paraId="0AB7A3CA"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12</w:t>
            </w:r>
          </w:p>
        </w:tc>
        <w:tc>
          <w:tcPr>
            <w:tcW w:w="2521" w:type="dxa"/>
            <w:vAlign w:val="center"/>
            <w:hideMark/>
          </w:tcPr>
          <w:p w14:paraId="4213345B"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120,000</w:t>
            </w:r>
          </w:p>
        </w:tc>
        <w:tc>
          <w:tcPr>
            <w:tcW w:w="1813" w:type="dxa"/>
            <w:vAlign w:val="center"/>
            <w:hideMark/>
          </w:tcPr>
          <w:p w14:paraId="75CC54D5"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38,000</w:t>
            </w:r>
          </w:p>
        </w:tc>
        <w:tc>
          <w:tcPr>
            <w:tcW w:w="1671" w:type="dxa"/>
            <w:vAlign w:val="center"/>
            <w:hideMark/>
          </w:tcPr>
          <w:p w14:paraId="3ADF5E0C"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12,000</w:t>
            </w:r>
          </w:p>
        </w:tc>
        <w:tc>
          <w:tcPr>
            <w:tcW w:w="1656" w:type="dxa"/>
            <w:vAlign w:val="center"/>
            <w:hideMark/>
          </w:tcPr>
          <w:p w14:paraId="2627D724" w14:textId="77777777" w:rsidR="0085539A" w:rsidRPr="0085539A" w:rsidRDefault="0085539A" w:rsidP="009C70BD">
            <w:pPr>
              <w:shd w:val="clear" w:color="auto" w:fill="D86DCB" w:themeFill="accent5" w:themeFillTint="99"/>
              <w:spacing w:after="0" w:line="240" w:lineRule="auto"/>
              <w:rPr>
                <w:rFonts w:ascii="Times New Roman" w:eastAsia="Times New Roman" w:hAnsi="Times New Roman" w:cs="Times New Roman"/>
                <w:b/>
                <w:bCs/>
                <w:color w:val="E8E8E8" w:themeColor="background2"/>
                <w:kern w:val="0"/>
                <w:lang w:eastAsia="en-GB"/>
                <w14:ligatures w14:val="none"/>
              </w:rPr>
            </w:pPr>
            <w:r w:rsidRPr="0085539A">
              <w:rPr>
                <w:rFonts w:ascii="Times New Roman" w:eastAsia="Times New Roman" w:hAnsi="Times New Roman" w:cs="Times New Roman"/>
                <w:b/>
                <w:bCs/>
                <w:color w:val="E8E8E8" w:themeColor="background2"/>
                <w:kern w:val="0"/>
                <w:lang w:eastAsia="en-GB"/>
                <w14:ligatures w14:val="none"/>
              </w:rPr>
              <w:t>70,000</w:t>
            </w:r>
          </w:p>
        </w:tc>
      </w:tr>
    </w:tbl>
    <w:p w14:paraId="71DDF182" w14:textId="77777777" w:rsidR="0085539A" w:rsidRDefault="0085539A" w:rsidP="0085539A">
      <w:pPr>
        <w:spacing w:line="480" w:lineRule="auto"/>
        <w:jc w:val="both"/>
        <w:rPr>
          <w:rFonts w:ascii="Times New Roman" w:hAnsi="Times New Roman" w:cs="Times New Roman"/>
          <w:b/>
          <w:bCs/>
          <w:color w:val="E8E8E8" w:themeColor="background2"/>
        </w:rPr>
      </w:pPr>
    </w:p>
    <w:p w14:paraId="32449000" w14:textId="77777777"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Revenues are expected to increase in line with rising consumer awareness and ongoing marketing activities. Raw materials, labour, warehousing, shipping, and administrative expenses make up </w:t>
      </w:r>
      <w:r w:rsidRPr="009C70BD">
        <w:rPr>
          <w:rFonts w:ascii="Times New Roman" w:hAnsi="Times New Roman" w:cs="Times New Roman"/>
          <w:color w:val="000000" w:themeColor="text1"/>
        </w:rPr>
        <w:t>most</w:t>
      </w:r>
      <w:r w:rsidRPr="009C70BD">
        <w:rPr>
          <w:rFonts w:ascii="Times New Roman" w:hAnsi="Times New Roman" w:cs="Times New Roman"/>
          <w:color w:val="000000" w:themeColor="text1"/>
        </w:rPr>
        <w:t xml:space="preserve"> operating costs. Marketing budgets include social media marketing, influencer relationships, and the occasional event sponsorship. The net cash flow suggests that </w:t>
      </w:r>
      <w:r w:rsidRPr="009C70BD">
        <w:rPr>
          <w:rFonts w:ascii="Times New Roman" w:hAnsi="Times New Roman" w:cs="Times New Roman"/>
          <w:color w:val="000000" w:themeColor="text1"/>
        </w:rPr>
        <w:lastRenderedPageBreak/>
        <w:t>CycleWeave expects to achieve consistent profitability in the later part of the first year, in line with the goal of breaking even by the end of the second year (Nitzsch et al., 2005).</w:t>
      </w:r>
    </w:p>
    <w:p w14:paraId="18C60074" w14:textId="77777777" w:rsidR="009C70BD" w:rsidRDefault="009C70BD" w:rsidP="009C70BD">
      <w:pPr>
        <w:spacing w:line="480" w:lineRule="auto"/>
        <w:jc w:val="both"/>
        <w:rPr>
          <w:rFonts w:ascii="Times New Roman" w:hAnsi="Times New Roman" w:cs="Times New Roman"/>
          <w:color w:val="000000" w:themeColor="text1"/>
        </w:rPr>
      </w:pPr>
    </w:p>
    <w:p w14:paraId="5D7ACB8B" w14:textId="4ADF78F3" w:rsidR="009C70BD" w:rsidRDefault="009C70BD" w:rsidP="009C70BD">
      <w:pPr>
        <w:spacing w:line="480" w:lineRule="auto"/>
        <w:jc w:val="center"/>
        <w:rPr>
          <w:rFonts w:ascii="Times New Roman" w:hAnsi="Times New Roman" w:cs="Times New Roman"/>
          <w:b/>
          <w:bCs/>
          <w:color w:val="000000" w:themeColor="text1"/>
          <w:u w:val="dotted"/>
        </w:rPr>
      </w:pPr>
      <w:r w:rsidRPr="009C70BD">
        <w:rPr>
          <w:rFonts w:ascii="Times New Roman" w:hAnsi="Times New Roman" w:cs="Times New Roman"/>
          <w:b/>
          <w:bCs/>
          <w:color w:val="000000" w:themeColor="text1"/>
          <w:u w:val="dotted"/>
        </w:rPr>
        <w:t>Contingency Plan</w:t>
      </w:r>
    </w:p>
    <w:p w14:paraId="0EDC921B" w14:textId="77777777" w:rsidR="009C70BD" w:rsidRPr="009C70BD" w:rsidRDefault="009C70BD" w:rsidP="009C70BD">
      <w:pPr>
        <w:spacing w:line="480" w:lineRule="auto"/>
        <w:jc w:val="center"/>
        <w:rPr>
          <w:rFonts w:ascii="Times New Roman" w:hAnsi="Times New Roman" w:cs="Times New Roman"/>
          <w:b/>
          <w:bCs/>
          <w:color w:val="000000" w:themeColor="text1"/>
          <w:u w:val="dotted"/>
        </w:rPr>
      </w:pPr>
    </w:p>
    <w:p w14:paraId="310C3653" w14:textId="77777777"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CycleWeave understands that unexpected disruptions can harm operational continuity.</w:t>
      </w:r>
    </w:p>
    <w:p w14:paraId="6A2A1F44" w14:textId="77777777"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Maintaining a strong contingency plan is therefore critical to managing risks and ensuring stable growth (</w:t>
      </w:r>
      <w:proofErr w:type="spellStart"/>
      <w:r w:rsidRPr="009C70BD">
        <w:rPr>
          <w:rFonts w:ascii="Times New Roman" w:hAnsi="Times New Roman" w:cs="Times New Roman"/>
          <w:color w:val="000000" w:themeColor="text1"/>
        </w:rPr>
        <w:t>Linnanen</w:t>
      </w:r>
      <w:proofErr w:type="spellEnd"/>
      <w:r w:rsidRPr="009C70BD">
        <w:rPr>
          <w:rFonts w:ascii="Times New Roman" w:hAnsi="Times New Roman" w:cs="Times New Roman"/>
          <w:color w:val="000000" w:themeColor="text1"/>
        </w:rPr>
        <w:t>, 2002). One danger is potential supplier disruptions due to economic or political upheaval. To mitigate this threat, CycleWeave plans to maintain a diverse network of approved suppliers with variable contract periods, allowing it to replace or add partners without significantly disrupting production.</w:t>
      </w:r>
    </w:p>
    <w:p w14:paraId="6FDA2327" w14:textId="6085A6B9" w:rsidR="00131D43"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Another risk comes from a drop in consumer expenditure, particularly in premium market sectors. If economic conditions worsen, the management team intends to take a dual-track approach. The first step is to launch a limited-run, cost-effective product line that retains key sustainability attributes. The second step is to temporarily reduce marketing budgets in favour of organic, community-driven outreach. A second contingency considers material scarcity, such as fluctuations in organic cotton supply. In such a case, CycleWeave would </w:t>
      </w:r>
      <w:r w:rsidR="00131D43" w:rsidRPr="009C70BD">
        <w:rPr>
          <w:rFonts w:ascii="Times New Roman" w:hAnsi="Times New Roman" w:cs="Times New Roman"/>
          <w:color w:val="000000" w:themeColor="text1"/>
        </w:rPr>
        <w:t>investigate</w:t>
      </w:r>
      <w:r w:rsidRPr="009C70BD">
        <w:rPr>
          <w:rFonts w:ascii="Times New Roman" w:hAnsi="Times New Roman" w:cs="Times New Roman"/>
          <w:color w:val="000000" w:themeColor="text1"/>
        </w:rPr>
        <w:t xml:space="preserve"> alternate plant-based fibres and recycled synthetics to minimise inventory shortages and maintain production timetables (</w:t>
      </w:r>
      <w:proofErr w:type="spellStart"/>
      <w:r w:rsidRPr="009C70BD">
        <w:rPr>
          <w:rFonts w:ascii="Times New Roman" w:hAnsi="Times New Roman" w:cs="Times New Roman"/>
          <w:color w:val="000000" w:themeColor="text1"/>
        </w:rPr>
        <w:t>Nazarkina</w:t>
      </w:r>
      <w:proofErr w:type="spellEnd"/>
      <w:r w:rsidRPr="009C70BD">
        <w:rPr>
          <w:rFonts w:ascii="Times New Roman" w:hAnsi="Times New Roman" w:cs="Times New Roman"/>
          <w:color w:val="000000" w:themeColor="text1"/>
        </w:rPr>
        <w:t xml:space="preserve"> 2012).</w:t>
      </w:r>
    </w:p>
    <w:p w14:paraId="720649A0" w14:textId="66EEBD1E"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Operational failures due to technology or logistics will be controlled by creating safe data backups, cybersecurity measures, and relationships with third-party logistical suppliers that can scale quickly. Regular third-party audits and the transparent publication of full sustainability reports can help to avoid reputational concerns, including potential claims of greenwashing. </w:t>
      </w:r>
      <w:r w:rsidRPr="009C70BD">
        <w:rPr>
          <w:rFonts w:ascii="Times New Roman" w:hAnsi="Times New Roman" w:cs="Times New Roman"/>
          <w:color w:val="000000" w:themeColor="text1"/>
        </w:rPr>
        <w:lastRenderedPageBreak/>
        <w:t>CycleWeave aims to increase business resilience and maintain stakeholder confidence by implementing forward-thinking risk management.</w:t>
      </w:r>
    </w:p>
    <w:p w14:paraId="10877716" w14:textId="77777777" w:rsidR="009C70BD" w:rsidRDefault="009C70BD" w:rsidP="009C70BD">
      <w:pPr>
        <w:spacing w:line="480" w:lineRule="auto"/>
        <w:jc w:val="both"/>
        <w:rPr>
          <w:rFonts w:ascii="Times New Roman" w:hAnsi="Times New Roman" w:cs="Times New Roman"/>
          <w:color w:val="000000" w:themeColor="text1"/>
        </w:rPr>
      </w:pPr>
    </w:p>
    <w:p w14:paraId="12EF13EE" w14:textId="78DC3E57" w:rsidR="009C70BD" w:rsidRDefault="009C70BD" w:rsidP="009C70BD">
      <w:pPr>
        <w:spacing w:line="480" w:lineRule="auto"/>
        <w:jc w:val="center"/>
        <w:rPr>
          <w:rFonts w:ascii="Times New Roman" w:hAnsi="Times New Roman" w:cs="Times New Roman"/>
          <w:b/>
          <w:bCs/>
          <w:color w:val="000000" w:themeColor="text1"/>
          <w:u w:val="dotted"/>
        </w:rPr>
      </w:pPr>
      <w:r w:rsidRPr="009C70BD">
        <w:rPr>
          <w:rFonts w:ascii="Times New Roman" w:hAnsi="Times New Roman" w:cs="Times New Roman"/>
          <w:b/>
          <w:bCs/>
          <w:color w:val="000000" w:themeColor="text1"/>
          <w:u w:val="dotted"/>
        </w:rPr>
        <w:t>Conclusion</w:t>
      </w:r>
    </w:p>
    <w:p w14:paraId="1727F1F3" w14:textId="77777777" w:rsidR="009C70BD" w:rsidRPr="009C70BD" w:rsidRDefault="009C70BD" w:rsidP="009C70BD">
      <w:pPr>
        <w:spacing w:line="480" w:lineRule="auto"/>
        <w:jc w:val="center"/>
        <w:rPr>
          <w:rFonts w:ascii="Times New Roman" w:hAnsi="Times New Roman" w:cs="Times New Roman"/>
          <w:b/>
          <w:bCs/>
          <w:color w:val="000000" w:themeColor="text1"/>
          <w:u w:val="dotted"/>
        </w:rPr>
      </w:pPr>
    </w:p>
    <w:p w14:paraId="3D4AE488" w14:textId="15A8BDFF"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CycleWeave's business model prioritises sustainability in textile manufacturing and distribution, drawing from research on social enterprise development and environmental entrepreneurship (</w:t>
      </w:r>
      <w:proofErr w:type="spellStart"/>
      <w:r w:rsidRPr="009C70BD">
        <w:rPr>
          <w:rFonts w:ascii="Times New Roman" w:hAnsi="Times New Roman" w:cs="Times New Roman"/>
          <w:color w:val="000000" w:themeColor="text1"/>
        </w:rPr>
        <w:t>Kuckertz</w:t>
      </w:r>
      <w:proofErr w:type="spellEnd"/>
      <w:r w:rsidRPr="009C70BD">
        <w:rPr>
          <w:rFonts w:ascii="Times New Roman" w:hAnsi="Times New Roman" w:cs="Times New Roman"/>
          <w:color w:val="000000" w:themeColor="text1"/>
        </w:rPr>
        <w:t xml:space="preserve"> &amp; Wagner, 2010; </w:t>
      </w:r>
      <w:proofErr w:type="spellStart"/>
      <w:r w:rsidRPr="009C70BD">
        <w:rPr>
          <w:rFonts w:ascii="Times New Roman" w:hAnsi="Times New Roman" w:cs="Times New Roman"/>
          <w:color w:val="000000" w:themeColor="text1"/>
        </w:rPr>
        <w:t>Linnanen</w:t>
      </w:r>
      <w:proofErr w:type="spellEnd"/>
      <w:r w:rsidRPr="009C70BD">
        <w:rPr>
          <w:rFonts w:ascii="Times New Roman" w:hAnsi="Times New Roman" w:cs="Times New Roman"/>
          <w:color w:val="000000" w:themeColor="text1"/>
        </w:rPr>
        <w:t xml:space="preserve">, 2002). The plan's emphasis on organic materials, fair labour standards, and open methods meets growing criticism of traditional fashion models. A structured marketing strategy based on digital interaction, influencer cooperation, and open communication appeals to an increasingly aware consumer base (Meek et al., 2010). Meanwhile, the PESTLE and SWOT examinations give a framework for detecting and responding to critical external and internal issues, ensuring that strategic decisions are </w:t>
      </w:r>
      <w:r w:rsidRPr="009C70BD">
        <w:rPr>
          <w:rFonts w:ascii="Times New Roman" w:hAnsi="Times New Roman" w:cs="Times New Roman"/>
          <w:color w:val="000000" w:themeColor="text1"/>
        </w:rPr>
        <w:t>dynamic,</w:t>
      </w:r>
      <w:r w:rsidRPr="009C70BD">
        <w:rPr>
          <w:rFonts w:ascii="Times New Roman" w:hAnsi="Times New Roman" w:cs="Times New Roman"/>
          <w:color w:val="000000" w:themeColor="text1"/>
        </w:rPr>
        <w:t xml:space="preserve"> and </w:t>
      </w:r>
      <w:r w:rsidRPr="009C70BD">
        <w:rPr>
          <w:rFonts w:ascii="Times New Roman" w:hAnsi="Times New Roman" w:cs="Times New Roman"/>
          <w:color w:val="000000" w:themeColor="text1"/>
        </w:rPr>
        <w:t>evidence based</w:t>
      </w:r>
      <w:r w:rsidRPr="009C70BD">
        <w:rPr>
          <w:rFonts w:ascii="Times New Roman" w:hAnsi="Times New Roman" w:cs="Times New Roman"/>
          <w:color w:val="000000" w:themeColor="text1"/>
        </w:rPr>
        <w:t>.</w:t>
      </w:r>
    </w:p>
    <w:p w14:paraId="5B0AC5C2" w14:textId="45C1F7C4" w:rsidR="009C70BD" w:rsidRDefault="009C70BD" w:rsidP="009C70BD">
      <w:pPr>
        <w:spacing w:line="480" w:lineRule="auto"/>
        <w:jc w:val="both"/>
        <w:rPr>
          <w:rFonts w:ascii="Times New Roman" w:hAnsi="Times New Roman" w:cs="Times New Roman"/>
          <w:color w:val="000000" w:themeColor="text1"/>
        </w:rPr>
      </w:pPr>
      <w:r w:rsidRPr="009C70BD">
        <w:rPr>
          <w:rFonts w:ascii="Times New Roman" w:hAnsi="Times New Roman" w:cs="Times New Roman"/>
          <w:color w:val="000000" w:themeColor="text1"/>
        </w:rPr>
        <w:t>The proposed financial predictions show that rising demand can be channelled into a lucrative but responsible firm, with operating expenses offset by strong brand loyalty and moderate product pricing differentials (Megginson &amp; Smart, 2008). CycleWeave's commitment to long-term survival is strengthened by the development of a contingency plan that addresses supply disruptions, economic instability, and reputational risks. In essence, CycleWeave's strategy is based on integrating social, environmental, and financial benefits in accordance with growing norms in sustainable entrepreneurship. If properly implemented, the enterprise will not only provide investment returns but will also help to reshape the fashion industry towards more ethical and regenerative processes (</w:t>
      </w:r>
      <w:proofErr w:type="spellStart"/>
      <w:r w:rsidRPr="009C70BD">
        <w:rPr>
          <w:rFonts w:ascii="Times New Roman" w:hAnsi="Times New Roman" w:cs="Times New Roman"/>
          <w:color w:val="000000" w:themeColor="text1"/>
        </w:rPr>
        <w:t>Markard</w:t>
      </w:r>
      <w:proofErr w:type="spellEnd"/>
      <w:r w:rsidRPr="009C70BD">
        <w:rPr>
          <w:rFonts w:ascii="Times New Roman" w:hAnsi="Times New Roman" w:cs="Times New Roman"/>
          <w:color w:val="000000" w:themeColor="text1"/>
        </w:rPr>
        <w:t xml:space="preserve"> et al., 2012).</w:t>
      </w:r>
    </w:p>
    <w:p w14:paraId="29C6C32B" w14:textId="77777777" w:rsidR="009C70BD" w:rsidRDefault="009C70BD" w:rsidP="009C70BD">
      <w:pPr>
        <w:spacing w:line="480" w:lineRule="auto"/>
        <w:jc w:val="both"/>
        <w:rPr>
          <w:rFonts w:ascii="Times New Roman" w:hAnsi="Times New Roman" w:cs="Times New Roman"/>
          <w:color w:val="000000" w:themeColor="text1"/>
        </w:rPr>
      </w:pPr>
    </w:p>
    <w:p w14:paraId="542C72DA" w14:textId="7C8B8F1A" w:rsidR="009C70BD" w:rsidRPr="009C70BD" w:rsidRDefault="009C70BD" w:rsidP="009C70BD">
      <w:pPr>
        <w:spacing w:line="480" w:lineRule="auto"/>
        <w:jc w:val="both"/>
        <w:rPr>
          <w:rFonts w:ascii="Times New Roman" w:hAnsi="Times New Roman" w:cs="Times New Roman"/>
          <w:b/>
          <w:bCs/>
          <w:color w:val="000000" w:themeColor="text1"/>
          <w:u w:val="dotted"/>
        </w:rPr>
      </w:pPr>
      <w:r w:rsidRPr="009C70BD">
        <w:rPr>
          <w:rFonts w:ascii="Times New Roman" w:hAnsi="Times New Roman" w:cs="Times New Roman"/>
          <w:b/>
          <w:bCs/>
          <w:color w:val="000000" w:themeColor="text1"/>
          <w:u w:val="dotted"/>
        </w:rPr>
        <w:lastRenderedPageBreak/>
        <w:t xml:space="preserve">References </w:t>
      </w:r>
    </w:p>
    <w:p w14:paraId="0AA56510"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Biloshapka</w:t>
      </w:r>
      <w:proofErr w:type="spellEnd"/>
      <w:r w:rsidRPr="009C70BD">
        <w:rPr>
          <w:rFonts w:ascii="Times New Roman" w:hAnsi="Times New Roman" w:cs="Times New Roman"/>
          <w:color w:val="000000" w:themeColor="text1"/>
        </w:rPr>
        <w:t xml:space="preserve">, V., &amp; </w:t>
      </w:r>
      <w:proofErr w:type="spellStart"/>
      <w:r w:rsidRPr="009C70BD">
        <w:rPr>
          <w:rFonts w:ascii="Times New Roman" w:hAnsi="Times New Roman" w:cs="Times New Roman"/>
          <w:color w:val="000000" w:themeColor="text1"/>
        </w:rPr>
        <w:t>Osiyevskyy</w:t>
      </w:r>
      <w:proofErr w:type="spellEnd"/>
      <w:r w:rsidRPr="009C70BD">
        <w:rPr>
          <w:rFonts w:ascii="Times New Roman" w:hAnsi="Times New Roman" w:cs="Times New Roman"/>
          <w:color w:val="000000" w:themeColor="text1"/>
        </w:rPr>
        <w:t xml:space="preserve">, O. (2018). Value creation mechanisms of business models: proposition, targeting, appropriation, and delivery. </w:t>
      </w:r>
      <w:r w:rsidRPr="009C70BD">
        <w:rPr>
          <w:rFonts w:ascii="Times New Roman" w:hAnsi="Times New Roman" w:cs="Times New Roman"/>
          <w:i/>
          <w:iCs/>
          <w:color w:val="000000" w:themeColor="text1"/>
        </w:rPr>
        <w:t>International Journal of Entrepreneurship and Innovation, 19</w:t>
      </w:r>
      <w:r w:rsidRPr="009C70BD">
        <w:rPr>
          <w:rFonts w:ascii="Times New Roman" w:hAnsi="Times New Roman" w:cs="Times New Roman"/>
          <w:color w:val="000000" w:themeColor="text1"/>
        </w:rPr>
        <w:t>(3), 166–176.</w:t>
      </w:r>
    </w:p>
    <w:p w14:paraId="7DC3210E"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Bocken</w:t>
      </w:r>
      <w:proofErr w:type="spellEnd"/>
      <w:r w:rsidRPr="009C70BD">
        <w:rPr>
          <w:rFonts w:ascii="Times New Roman" w:hAnsi="Times New Roman" w:cs="Times New Roman"/>
          <w:color w:val="000000" w:themeColor="text1"/>
        </w:rPr>
        <w:t xml:space="preserve">, N. M. P., Rana, P., &amp; Short, S. W. (2015). Value mapping for sustainable business thinking. </w:t>
      </w:r>
      <w:r w:rsidRPr="009C70BD">
        <w:rPr>
          <w:rFonts w:ascii="Times New Roman" w:hAnsi="Times New Roman" w:cs="Times New Roman"/>
          <w:i/>
          <w:iCs/>
          <w:color w:val="000000" w:themeColor="text1"/>
        </w:rPr>
        <w:t>Journal of Industrial and Production Engineering, 32</w:t>
      </w:r>
      <w:r w:rsidRPr="009C70BD">
        <w:rPr>
          <w:rFonts w:ascii="Times New Roman" w:hAnsi="Times New Roman" w:cs="Times New Roman"/>
          <w:color w:val="000000" w:themeColor="text1"/>
        </w:rPr>
        <w:t>(1), 67–81.</w:t>
      </w:r>
    </w:p>
    <w:p w14:paraId="18047BD7" w14:textId="7F1E622A"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Kuckertz</w:t>
      </w:r>
      <w:proofErr w:type="spellEnd"/>
      <w:r w:rsidRPr="009C70BD">
        <w:rPr>
          <w:rFonts w:ascii="Times New Roman" w:hAnsi="Times New Roman" w:cs="Times New Roman"/>
          <w:color w:val="000000" w:themeColor="text1"/>
        </w:rPr>
        <w:t>, A., &amp; Wagner, M. (2010). The influence of sustainability orientation on entrepreneurial intentions</w:t>
      </w:r>
      <w:r>
        <w:rPr>
          <w:rFonts w:ascii="Times New Roman" w:hAnsi="Times New Roman" w:cs="Times New Roman"/>
          <w:color w:val="000000" w:themeColor="text1"/>
        </w:rPr>
        <w:t>-</w:t>
      </w:r>
      <w:r w:rsidRPr="009C70BD">
        <w:rPr>
          <w:rFonts w:ascii="Times New Roman" w:hAnsi="Times New Roman" w:cs="Times New Roman"/>
          <w:color w:val="000000" w:themeColor="text1"/>
        </w:rPr>
        <w:t xml:space="preserve">Investigating the role of business experience. </w:t>
      </w:r>
      <w:r w:rsidRPr="009C70BD">
        <w:rPr>
          <w:rFonts w:ascii="Times New Roman" w:hAnsi="Times New Roman" w:cs="Times New Roman"/>
          <w:i/>
          <w:iCs/>
          <w:color w:val="000000" w:themeColor="text1"/>
        </w:rPr>
        <w:t>Journal of Business Venturing, 25</w:t>
      </w:r>
      <w:r w:rsidRPr="009C70BD">
        <w:rPr>
          <w:rFonts w:ascii="Times New Roman" w:hAnsi="Times New Roman" w:cs="Times New Roman"/>
          <w:color w:val="000000" w:themeColor="text1"/>
        </w:rPr>
        <w:t>(5), 524–539.</w:t>
      </w:r>
    </w:p>
    <w:p w14:paraId="193083AF"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Lehner, O. M. (2012). </w:t>
      </w:r>
      <w:r w:rsidRPr="00131D43">
        <w:rPr>
          <w:rFonts w:ascii="Times New Roman" w:hAnsi="Times New Roman" w:cs="Times New Roman"/>
          <w:i/>
          <w:iCs/>
          <w:color w:val="000000" w:themeColor="text1"/>
        </w:rPr>
        <w:t>A literature review and research agenda for crowdfunding of social ventures</w:t>
      </w:r>
      <w:r w:rsidRPr="009C70BD">
        <w:rPr>
          <w:rFonts w:ascii="Times New Roman" w:hAnsi="Times New Roman" w:cs="Times New Roman"/>
          <w:color w:val="000000" w:themeColor="text1"/>
        </w:rPr>
        <w:t xml:space="preserve">. In Research Colloquium on Social Entrepreneurship, University of Oxford, Skoll </w:t>
      </w:r>
      <w:proofErr w:type="spellStart"/>
      <w:r w:rsidRPr="009C70BD">
        <w:rPr>
          <w:rFonts w:ascii="Times New Roman" w:hAnsi="Times New Roman" w:cs="Times New Roman"/>
          <w:color w:val="000000" w:themeColor="text1"/>
        </w:rPr>
        <w:t>Center</w:t>
      </w:r>
      <w:proofErr w:type="spellEnd"/>
      <w:r w:rsidRPr="009C70BD">
        <w:rPr>
          <w:rFonts w:ascii="Times New Roman" w:hAnsi="Times New Roman" w:cs="Times New Roman"/>
          <w:color w:val="000000" w:themeColor="text1"/>
        </w:rPr>
        <w:t xml:space="preserve"> of SAID Business School.</w:t>
      </w:r>
    </w:p>
    <w:p w14:paraId="1833CA19"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Lepoutre</w:t>
      </w:r>
      <w:proofErr w:type="spellEnd"/>
      <w:r w:rsidRPr="009C70BD">
        <w:rPr>
          <w:rFonts w:ascii="Times New Roman" w:hAnsi="Times New Roman" w:cs="Times New Roman"/>
          <w:color w:val="000000" w:themeColor="text1"/>
        </w:rPr>
        <w:t xml:space="preserve">, J., Justo, R., Terjesen, S., &amp; Bosma, N. (2013). Designing a global standardized methodology for measuring social entrepreneurship activity: the Global Entrepreneurship Monitor social entrepreneurship study. </w:t>
      </w:r>
      <w:r w:rsidRPr="00131D43">
        <w:rPr>
          <w:rFonts w:ascii="Times New Roman" w:hAnsi="Times New Roman" w:cs="Times New Roman"/>
          <w:i/>
          <w:iCs/>
          <w:color w:val="000000" w:themeColor="text1"/>
        </w:rPr>
        <w:t>Small Business Economics, 40</w:t>
      </w:r>
      <w:r w:rsidRPr="009C70BD">
        <w:rPr>
          <w:rFonts w:ascii="Times New Roman" w:hAnsi="Times New Roman" w:cs="Times New Roman"/>
          <w:color w:val="000000" w:themeColor="text1"/>
        </w:rPr>
        <w:t>(3), 693–714.</w:t>
      </w:r>
    </w:p>
    <w:p w14:paraId="56E12071"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Linnanen</w:t>
      </w:r>
      <w:proofErr w:type="spellEnd"/>
      <w:r w:rsidRPr="009C70BD">
        <w:rPr>
          <w:rFonts w:ascii="Times New Roman" w:hAnsi="Times New Roman" w:cs="Times New Roman"/>
          <w:color w:val="000000" w:themeColor="text1"/>
        </w:rPr>
        <w:t xml:space="preserve">, L. (2002). An insider’s experiences with environmental entrepreneurship. </w:t>
      </w:r>
      <w:r w:rsidRPr="00131D43">
        <w:rPr>
          <w:rFonts w:ascii="Times New Roman" w:hAnsi="Times New Roman" w:cs="Times New Roman"/>
          <w:i/>
          <w:iCs/>
          <w:color w:val="000000" w:themeColor="text1"/>
        </w:rPr>
        <w:t>Greener Management International, 38</w:t>
      </w:r>
      <w:r w:rsidRPr="009C70BD">
        <w:rPr>
          <w:rFonts w:ascii="Times New Roman" w:hAnsi="Times New Roman" w:cs="Times New Roman"/>
          <w:color w:val="000000" w:themeColor="text1"/>
        </w:rPr>
        <w:t>, 71–80.</w:t>
      </w:r>
    </w:p>
    <w:p w14:paraId="307F518C"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Markard</w:t>
      </w:r>
      <w:proofErr w:type="spellEnd"/>
      <w:r w:rsidRPr="009C70BD">
        <w:rPr>
          <w:rFonts w:ascii="Times New Roman" w:hAnsi="Times New Roman" w:cs="Times New Roman"/>
          <w:color w:val="000000" w:themeColor="text1"/>
        </w:rPr>
        <w:t xml:space="preserve">, J., Raven, R., &amp; Truffer, B. (2012). Sustainability transitions: An emerging field of research and its prospects. </w:t>
      </w:r>
      <w:r w:rsidRPr="00131D43">
        <w:rPr>
          <w:rFonts w:ascii="Times New Roman" w:hAnsi="Times New Roman" w:cs="Times New Roman"/>
          <w:i/>
          <w:iCs/>
          <w:color w:val="000000" w:themeColor="text1"/>
        </w:rPr>
        <w:t>Research Policy, 41</w:t>
      </w:r>
      <w:r w:rsidRPr="009C70BD">
        <w:rPr>
          <w:rFonts w:ascii="Times New Roman" w:hAnsi="Times New Roman" w:cs="Times New Roman"/>
          <w:color w:val="000000" w:themeColor="text1"/>
        </w:rPr>
        <w:t>(6), 955–967.</w:t>
      </w:r>
    </w:p>
    <w:p w14:paraId="7BBED7F1"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Megginson, W., &amp; Smart, S. (2008). </w:t>
      </w:r>
      <w:r w:rsidRPr="00131D43">
        <w:rPr>
          <w:rFonts w:ascii="Times New Roman" w:hAnsi="Times New Roman" w:cs="Times New Roman"/>
          <w:i/>
          <w:iCs/>
          <w:color w:val="000000" w:themeColor="text1"/>
        </w:rPr>
        <w:t>Introduction to Corporate Finance</w:t>
      </w:r>
      <w:r w:rsidRPr="009C70BD">
        <w:rPr>
          <w:rFonts w:ascii="Times New Roman" w:hAnsi="Times New Roman" w:cs="Times New Roman"/>
          <w:color w:val="000000" w:themeColor="text1"/>
        </w:rPr>
        <w:t>. Cengage Learning.</w:t>
      </w:r>
    </w:p>
    <w:p w14:paraId="39CD794C" w14:textId="30E7AAFA"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McPhedran Waitzer, J., &amp; Paul, R. (2011). Scaling social impact</w:t>
      </w:r>
      <w:r w:rsidR="00131D43">
        <w:rPr>
          <w:rFonts w:ascii="Times New Roman" w:hAnsi="Times New Roman" w:cs="Times New Roman"/>
          <w:color w:val="000000" w:themeColor="text1"/>
        </w:rPr>
        <w:t>-</w:t>
      </w:r>
      <w:r w:rsidRPr="009C70BD">
        <w:rPr>
          <w:rFonts w:ascii="Times New Roman" w:hAnsi="Times New Roman" w:cs="Times New Roman"/>
          <w:color w:val="000000" w:themeColor="text1"/>
        </w:rPr>
        <w:t xml:space="preserve">When everybody contributes, everybody wins. </w:t>
      </w:r>
      <w:r w:rsidRPr="00131D43">
        <w:rPr>
          <w:rFonts w:ascii="Times New Roman" w:hAnsi="Times New Roman" w:cs="Times New Roman"/>
          <w:i/>
          <w:iCs/>
          <w:color w:val="000000" w:themeColor="text1"/>
        </w:rPr>
        <w:t>Innovations, 6</w:t>
      </w:r>
      <w:r w:rsidRPr="009C70BD">
        <w:rPr>
          <w:rFonts w:ascii="Times New Roman" w:hAnsi="Times New Roman" w:cs="Times New Roman"/>
          <w:color w:val="000000" w:themeColor="text1"/>
        </w:rPr>
        <w:t>(2), 143–155.</w:t>
      </w:r>
    </w:p>
    <w:p w14:paraId="655BB1B3" w14:textId="372FA087"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lastRenderedPageBreak/>
        <w:t>Meek, W. R., Pacheco, D. F., &amp; York, J. G. (2010). The impact of social norms on entrepreneurial action</w:t>
      </w:r>
      <w:r w:rsidR="00131D43">
        <w:rPr>
          <w:rFonts w:ascii="Times New Roman" w:hAnsi="Times New Roman" w:cs="Times New Roman"/>
          <w:color w:val="000000" w:themeColor="text1"/>
        </w:rPr>
        <w:t>-</w:t>
      </w:r>
      <w:r w:rsidRPr="009C70BD">
        <w:rPr>
          <w:rFonts w:ascii="Times New Roman" w:hAnsi="Times New Roman" w:cs="Times New Roman"/>
          <w:color w:val="000000" w:themeColor="text1"/>
        </w:rPr>
        <w:t xml:space="preserve">Evidence from environmental entrepreneurship. </w:t>
      </w:r>
      <w:r w:rsidRPr="00131D43">
        <w:rPr>
          <w:rFonts w:ascii="Times New Roman" w:hAnsi="Times New Roman" w:cs="Times New Roman"/>
          <w:i/>
          <w:iCs/>
          <w:color w:val="000000" w:themeColor="text1"/>
        </w:rPr>
        <w:t>Journal of Business Venturing, 25</w:t>
      </w:r>
      <w:r w:rsidRPr="009C70BD">
        <w:rPr>
          <w:rFonts w:ascii="Times New Roman" w:hAnsi="Times New Roman" w:cs="Times New Roman"/>
          <w:color w:val="000000" w:themeColor="text1"/>
        </w:rPr>
        <w:t>(5), 493–509.</w:t>
      </w:r>
    </w:p>
    <w:p w14:paraId="365C76B0"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Moore, M.-L., Westley, F. R., &amp; Brodhead, T. (2012). Social finance intermediaries and social innovation</w:t>
      </w:r>
      <w:r w:rsidRPr="00131D43">
        <w:rPr>
          <w:rFonts w:ascii="Times New Roman" w:hAnsi="Times New Roman" w:cs="Times New Roman"/>
          <w:i/>
          <w:iCs/>
          <w:color w:val="000000" w:themeColor="text1"/>
        </w:rPr>
        <w:t>. Journal of Social Entrepreneurship, 3</w:t>
      </w:r>
      <w:r w:rsidRPr="009C70BD">
        <w:rPr>
          <w:rFonts w:ascii="Times New Roman" w:hAnsi="Times New Roman" w:cs="Times New Roman"/>
          <w:color w:val="000000" w:themeColor="text1"/>
        </w:rPr>
        <w:t>(2), 184–205.</w:t>
      </w:r>
    </w:p>
    <w:p w14:paraId="42610F76" w14:textId="77777777" w:rsidR="009C70BD" w:rsidRPr="009C70BD" w:rsidRDefault="009C70BD" w:rsidP="00131D43">
      <w:pPr>
        <w:spacing w:line="480" w:lineRule="auto"/>
        <w:ind w:left="720" w:hanging="720"/>
        <w:jc w:val="both"/>
        <w:rPr>
          <w:rFonts w:ascii="Times New Roman" w:hAnsi="Times New Roman" w:cs="Times New Roman"/>
          <w:color w:val="000000" w:themeColor="text1"/>
        </w:rPr>
      </w:pPr>
      <w:proofErr w:type="spellStart"/>
      <w:r w:rsidRPr="009C70BD">
        <w:rPr>
          <w:rFonts w:ascii="Times New Roman" w:hAnsi="Times New Roman" w:cs="Times New Roman"/>
          <w:color w:val="000000" w:themeColor="text1"/>
        </w:rPr>
        <w:t>Nazarkina</w:t>
      </w:r>
      <w:proofErr w:type="spellEnd"/>
      <w:r w:rsidRPr="009C70BD">
        <w:rPr>
          <w:rFonts w:ascii="Times New Roman" w:hAnsi="Times New Roman" w:cs="Times New Roman"/>
          <w:color w:val="000000" w:themeColor="text1"/>
        </w:rPr>
        <w:t xml:space="preserve">, L. (2012). </w:t>
      </w:r>
      <w:r w:rsidRPr="00131D43">
        <w:rPr>
          <w:rFonts w:ascii="Times New Roman" w:hAnsi="Times New Roman" w:cs="Times New Roman"/>
          <w:i/>
          <w:iCs/>
          <w:color w:val="000000" w:themeColor="text1"/>
        </w:rPr>
        <w:t>How sustainable are the growth strategies of sustainability entrepreneurs?</w:t>
      </w:r>
      <w:r w:rsidRPr="009C70BD">
        <w:rPr>
          <w:rFonts w:ascii="Times New Roman" w:hAnsi="Times New Roman" w:cs="Times New Roman"/>
          <w:color w:val="000000" w:themeColor="text1"/>
        </w:rPr>
        <w:t xml:space="preserve"> In G. Mennillo, T. Schlenzig &amp; E. Friedrich (Eds.), Balanced Growth: Finding Strategies for Sustainable Development. Berlin: Springer.</w:t>
      </w:r>
    </w:p>
    <w:p w14:paraId="48FAF6DB" w14:textId="77777777" w:rsidR="00131D43"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Nicholls, A., &amp; Pharoah, C. (2008). </w:t>
      </w:r>
      <w:r w:rsidRPr="00131D43">
        <w:rPr>
          <w:rFonts w:ascii="Times New Roman" w:hAnsi="Times New Roman" w:cs="Times New Roman"/>
          <w:i/>
          <w:iCs/>
          <w:color w:val="000000" w:themeColor="text1"/>
        </w:rPr>
        <w:t xml:space="preserve">The landscape of social investment: A holistic topology of opportunities and challenges. </w:t>
      </w:r>
      <w:r w:rsidRPr="009C70BD">
        <w:rPr>
          <w:rFonts w:ascii="Times New Roman" w:hAnsi="Times New Roman" w:cs="Times New Roman"/>
          <w:color w:val="000000" w:themeColor="text1"/>
        </w:rPr>
        <w:t>Working paper. Oxford: Skoll Centre for Social Entrepreneurship.</w:t>
      </w:r>
    </w:p>
    <w:p w14:paraId="1CC60278" w14:textId="39C15587"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Nill, J., &amp; Kemp, R. (2009). Evolutionary approaches for sustainable innovation policies: From niche to paradigm? </w:t>
      </w:r>
      <w:r w:rsidRPr="00131D43">
        <w:rPr>
          <w:rFonts w:ascii="Times New Roman" w:hAnsi="Times New Roman" w:cs="Times New Roman"/>
          <w:i/>
          <w:iCs/>
          <w:color w:val="000000" w:themeColor="text1"/>
        </w:rPr>
        <w:t>Research Policy, 38</w:t>
      </w:r>
      <w:r w:rsidRPr="009C70BD">
        <w:rPr>
          <w:rFonts w:ascii="Times New Roman" w:hAnsi="Times New Roman" w:cs="Times New Roman"/>
          <w:color w:val="000000" w:themeColor="text1"/>
        </w:rPr>
        <w:t>(4), 668–680.</w:t>
      </w:r>
    </w:p>
    <w:p w14:paraId="7519CDE0" w14:textId="7359726F" w:rsidR="009C70BD" w:rsidRPr="009C70BD" w:rsidRDefault="009C70BD" w:rsidP="00131D43">
      <w:pPr>
        <w:spacing w:line="480" w:lineRule="auto"/>
        <w:ind w:left="720" w:hanging="720"/>
        <w:jc w:val="both"/>
        <w:rPr>
          <w:rFonts w:ascii="Times New Roman" w:hAnsi="Times New Roman" w:cs="Times New Roman"/>
          <w:color w:val="000000" w:themeColor="text1"/>
        </w:rPr>
      </w:pPr>
      <w:r w:rsidRPr="009C70BD">
        <w:rPr>
          <w:rFonts w:ascii="Times New Roman" w:hAnsi="Times New Roman" w:cs="Times New Roman"/>
          <w:color w:val="000000" w:themeColor="text1"/>
        </w:rPr>
        <w:t xml:space="preserve">OECD (2009). </w:t>
      </w:r>
      <w:r w:rsidRPr="00131D43">
        <w:rPr>
          <w:rFonts w:ascii="Times New Roman" w:hAnsi="Times New Roman" w:cs="Times New Roman"/>
          <w:i/>
          <w:iCs/>
          <w:color w:val="000000" w:themeColor="text1"/>
        </w:rPr>
        <w:t>Sustainable manufacturing and eco-innovation: Framework, Practices and Measurement Synthesis Report, Eco-innovation.</w:t>
      </w:r>
      <w:r w:rsidRPr="009C70BD">
        <w:rPr>
          <w:rFonts w:ascii="Times New Roman" w:hAnsi="Times New Roman" w:cs="Times New Roman"/>
          <w:color w:val="000000" w:themeColor="text1"/>
        </w:rPr>
        <w:t xml:space="preserve"> Paris: OECD.</w:t>
      </w:r>
    </w:p>
    <w:p w14:paraId="40824945" w14:textId="77777777" w:rsidR="009C70BD" w:rsidRPr="009C70BD" w:rsidRDefault="009C70BD" w:rsidP="0085539A">
      <w:pPr>
        <w:spacing w:line="480" w:lineRule="auto"/>
        <w:jc w:val="both"/>
        <w:rPr>
          <w:rFonts w:ascii="Times New Roman" w:hAnsi="Times New Roman" w:cs="Times New Roman"/>
          <w:b/>
          <w:bCs/>
          <w:color w:val="E8E8E8" w:themeColor="background2"/>
        </w:rPr>
      </w:pPr>
    </w:p>
    <w:p w14:paraId="3D71748C" w14:textId="77777777" w:rsidR="0085539A" w:rsidRDefault="0085539A" w:rsidP="0085539A">
      <w:pPr>
        <w:spacing w:line="480" w:lineRule="auto"/>
        <w:jc w:val="both"/>
        <w:rPr>
          <w:rFonts w:ascii="Times New Roman" w:hAnsi="Times New Roman" w:cs="Times New Roman"/>
        </w:rPr>
      </w:pPr>
    </w:p>
    <w:p w14:paraId="07E1255E" w14:textId="77777777" w:rsidR="0085539A" w:rsidRPr="0085539A" w:rsidRDefault="0085539A" w:rsidP="0085539A">
      <w:pPr>
        <w:spacing w:line="480" w:lineRule="auto"/>
        <w:jc w:val="both"/>
        <w:rPr>
          <w:rFonts w:ascii="Times New Roman" w:hAnsi="Times New Roman" w:cs="Times New Roman"/>
        </w:rPr>
      </w:pPr>
    </w:p>
    <w:p w14:paraId="599063A2" w14:textId="77777777" w:rsidR="00073DE0" w:rsidRPr="00073DE0" w:rsidRDefault="00073DE0" w:rsidP="00073DE0">
      <w:pPr>
        <w:spacing w:line="480" w:lineRule="auto"/>
        <w:jc w:val="both"/>
        <w:rPr>
          <w:rFonts w:ascii="Times New Roman" w:hAnsi="Times New Roman" w:cs="Times New Roman"/>
        </w:rPr>
      </w:pPr>
    </w:p>
    <w:p w14:paraId="6084E3FA" w14:textId="77777777" w:rsidR="00D57049" w:rsidRPr="00D57049" w:rsidRDefault="00D57049" w:rsidP="00D57049">
      <w:pPr>
        <w:spacing w:line="480" w:lineRule="auto"/>
        <w:jc w:val="both"/>
        <w:rPr>
          <w:rFonts w:ascii="Times New Roman" w:hAnsi="Times New Roman" w:cs="Times New Roman"/>
        </w:rPr>
      </w:pPr>
    </w:p>
    <w:sectPr w:rsidR="00D57049" w:rsidRPr="00D57049" w:rsidSect="00131D4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F85FD" w14:textId="77777777" w:rsidR="00E57850" w:rsidRDefault="00E57850" w:rsidP="00131D43">
      <w:pPr>
        <w:spacing w:after="0" w:line="240" w:lineRule="auto"/>
      </w:pPr>
      <w:r>
        <w:separator/>
      </w:r>
    </w:p>
  </w:endnote>
  <w:endnote w:type="continuationSeparator" w:id="0">
    <w:p w14:paraId="2B409D6C" w14:textId="77777777" w:rsidR="00E57850" w:rsidRDefault="00E57850" w:rsidP="00131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260924"/>
      <w:docPartObj>
        <w:docPartGallery w:val="Page Numbers (Bottom of Page)"/>
        <w:docPartUnique/>
      </w:docPartObj>
    </w:sdtPr>
    <w:sdtEndPr>
      <w:rPr>
        <w:noProof/>
      </w:rPr>
    </w:sdtEndPr>
    <w:sdtContent>
      <w:p w14:paraId="30D9F9D5" w14:textId="74145348" w:rsidR="00131D43" w:rsidRDefault="00131D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401177" w14:textId="77777777" w:rsidR="00131D43" w:rsidRDefault="00131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76DAD" w14:textId="77777777" w:rsidR="00E57850" w:rsidRDefault="00E57850" w:rsidP="00131D43">
      <w:pPr>
        <w:spacing w:after="0" w:line="240" w:lineRule="auto"/>
      </w:pPr>
      <w:r>
        <w:separator/>
      </w:r>
    </w:p>
  </w:footnote>
  <w:footnote w:type="continuationSeparator" w:id="0">
    <w:p w14:paraId="100C7067" w14:textId="77777777" w:rsidR="00E57850" w:rsidRDefault="00E57850" w:rsidP="00131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3A2F4D"/>
    <w:multiLevelType w:val="hybridMultilevel"/>
    <w:tmpl w:val="025AB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9693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049"/>
    <w:rsid w:val="00017667"/>
    <w:rsid w:val="00073DE0"/>
    <w:rsid w:val="00131D43"/>
    <w:rsid w:val="008357AF"/>
    <w:rsid w:val="0085539A"/>
    <w:rsid w:val="009C70BD"/>
    <w:rsid w:val="00D57049"/>
    <w:rsid w:val="00E5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ABABC"/>
  <w15:chartTrackingRefBased/>
  <w15:docId w15:val="{D0D01508-832A-470A-A7C3-C000F7C2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7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7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7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7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7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7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7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7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7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7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7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7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7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7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7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7049"/>
    <w:rPr>
      <w:rFonts w:eastAsiaTheme="majorEastAsia" w:cstheme="majorBidi"/>
      <w:color w:val="272727" w:themeColor="text1" w:themeTint="D8"/>
    </w:rPr>
  </w:style>
  <w:style w:type="paragraph" w:styleId="Title">
    <w:name w:val="Title"/>
    <w:basedOn w:val="Normal"/>
    <w:next w:val="Normal"/>
    <w:link w:val="TitleChar"/>
    <w:uiPriority w:val="10"/>
    <w:qFormat/>
    <w:rsid w:val="00D57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7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7049"/>
    <w:pPr>
      <w:spacing w:before="160"/>
      <w:jc w:val="center"/>
    </w:pPr>
    <w:rPr>
      <w:i/>
      <w:iCs/>
      <w:color w:val="404040" w:themeColor="text1" w:themeTint="BF"/>
    </w:rPr>
  </w:style>
  <w:style w:type="character" w:customStyle="1" w:styleId="QuoteChar">
    <w:name w:val="Quote Char"/>
    <w:basedOn w:val="DefaultParagraphFont"/>
    <w:link w:val="Quote"/>
    <w:uiPriority w:val="29"/>
    <w:rsid w:val="00D57049"/>
    <w:rPr>
      <w:i/>
      <w:iCs/>
      <w:color w:val="404040" w:themeColor="text1" w:themeTint="BF"/>
    </w:rPr>
  </w:style>
  <w:style w:type="paragraph" w:styleId="ListParagraph">
    <w:name w:val="List Paragraph"/>
    <w:basedOn w:val="Normal"/>
    <w:uiPriority w:val="34"/>
    <w:qFormat/>
    <w:rsid w:val="00D57049"/>
    <w:pPr>
      <w:ind w:left="720"/>
      <w:contextualSpacing/>
    </w:pPr>
  </w:style>
  <w:style w:type="character" w:styleId="IntenseEmphasis">
    <w:name w:val="Intense Emphasis"/>
    <w:basedOn w:val="DefaultParagraphFont"/>
    <w:uiPriority w:val="21"/>
    <w:qFormat/>
    <w:rsid w:val="00D57049"/>
    <w:rPr>
      <w:i/>
      <w:iCs/>
      <w:color w:val="0F4761" w:themeColor="accent1" w:themeShade="BF"/>
    </w:rPr>
  </w:style>
  <w:style w:type="paragraph" w:styleId="IntenseQuote">
    <w:name w:val="Intense Quote"/>
    <w:basedOn w:val="Normal"/>
    <w:next w:val="Normal"/>
    <w:link w:val="IntenseQuoteChar"/>
    <w:uiPriority w:val="30"/>
    <w:qFormat/>
    <w:rsid w:val="00D57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7049"/>
    <w:rPr>
      <w:i/>
      <w:iCs/>
      <w:color w:val="0F4761" w:themeColor="accent1" w:themeShade="BF"/>
    </w:rPr>
  </w:style>
  <w:style w:type="character" w:styleId="IntenseReference">
    <w:name w:val="Intense Reference"/>
    <w:basedOn w:val="DefaultParagraphFont"/>
    <w:uiPriority w:val="32"/>
    <w:qFormat/>
    <w:rsid w:val="00D57049"/>
    <w:rPr>
      <w:b/>
      <w:bCs/>
      <w:smallCaps/>
      <w:color w:val="0F4761" w:themeColor="accent1" w:themeShade="BF"/>
      <w:spacing w:val="5"/>
    </w:rPr>
  </w:style>
  <w:style w:type="table" w:styleId="TableGrid">
    <w:name w:val="Table Grid"/>
    <w:basedOn w:val="TableNormal"/>
    <w:uiPriority w:val="39"/>
    <w:rsid w:val="00855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1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D43"/>
  </w:style>
  <w:style w:type="paragraph" w:styleId="Footer">
    <w:name w:val="footer"/>
    <w:basedOn w:val="Normal"/>
    <w:link w:val="FooterChar"/>
    <w:uiPriority w:val="99"/>
    <w:unhideWhenUsed/>
    <w:rsid w:val="00131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D43"/>
  </w:style>
  <w:style w:type="paragraph" w:styleId="NoSpacing">
    <w:name w:val="No Spacing"/>
    <w:link w:val="NoSpacingChar"/>
    <w:uiPriority w:val="1"/>
    <w:qFormat/>
    <w:rsid w:val="00131D4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31D4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1069">
      <w:bodyDiv w:val="1"/>
      <w:marLeft w:val="0"/>
      <w:marRight w:val="0"/>
      <w:marTop w:val="0"/>
      <w:marBottom w:val="0"/>
      <w:divBdr>
        <w:top w:val="none" w:sz="0" w:space="0" w:color="auto"/>
        <w:left w:val="none" w:sz="0" w:space="0" w:color="auto"/>
        <w:bottom w:val="none" w:sz="0" w:space="0" w:color="auto"/>
        <w:right w:val="none" w:sz="0" w:space="0" w:color="auto"/>
      </w:divBdr>
    </w:div>
    <w:div w:id="319965016">
      <w:bodyDiv w:val="1"/>
      <w:marLeft w:val="0"/>
      <w:marRight w:val="0"/>
      <w:marTop w:val="0"/>
      <w:marBottom w:val="0"/>
      <w:divBdr>
        <w:top w:val="none" w:sz="0" w:space="0" w:color="auto"/>
        <w:left w:val="none" w:sz="0" w:space="0" w:color="auto"/>
        <w:bottom w:val="none" w:sz="0" w:space="0" w:color="auto"/>
        <w:right w:val="none" w:sz="0" w:space="0" w:color="auto"/>
      </w:divBdr>
    </w:div>
    <w:div w:id="330986336">
      <w:bodyDiv w:val="1"/>
      <w:marLeft w:val="0"/>
      <w:marRight w:val="0"/>
      <w:marTop w:val="0"/>
      <w:marBottom w:val="0"/>
      <w:divBdr>
        <w:top w:val="none" w:sz="0" w:space="0" w:color="auto"/>
        <w:left w:val="none" w:sz="0" w:space="0" w:color="auto"/>
        <w:bottom w:val="none" w:sz="0" w:space="0" w:color="auto"/>
        <w:right w:val="none" w:sz="0" w:space="0" w:color="auto"/>
      </w:divBdr>
    </w:div>
    <w:div w:id="1034816341">
      <w:bodyDiv w:val="1"/>
      <w:marLeft w:val="0"/>
      <w:marRight w:val="0"/>
      <w:marTop w:val="0"/>
      <w:marBottom w:val="0"/>
      <w:divBdr>
        <w:top w:val="none" w:sz="0" w:space="0" w:color="auto"/>
        <w:left w:val="none" w:sz="0" w:space="0" w:color="auto"/>
        <w:bottom w:val="none" w:sz="0" w:space="0" w:color="auto"/>
        <w:right w:val="none" w:sz="0" w:space="0" w:color="auto"/>
      </w:divBdr>
    </w:div>
    <w:div w:id="1210410443">
      <w:bodyDiv w:val="1"/>
      <w:marLeft w:val="0"/>
      <w:marRight w:val="0"/>
      <w:marTop w:val="0"/>
      <w:marBottom w:val="0"/>
      <w:divBdr>
        <w:top w:val="none" w:sz="0" w:space="0" w:color="auto"/>
        <w:left w:val="none" w:sz="0" w:space="0" w:color="auto"/>
        <w:bottom w:val="none" w:sz="0" w:space="0" w:color="auto"/>
        <w:right w:val="none" w:sz="0" w:space="0" w:color="auto"/>
      </w:divBdr>
    </w:div>
    <w:div w:id="1267350889">
      <w:bodyDiv w:val="1"/>
      <w:marLeft w:val="0"/>
      <w:marRight w:val="0"/>
      <w:marTop w:val="0"/>
      <w:marBottom w:val="0"/>
      <w:divBdr>
        <w:top w:val="none" w:sz="0" w:space="0" w:color="auto"/>
        <w:left w:val="none" w:sz="0" w:space="0" w:color="auto"/>
        <w:bottom w:val="none" w:sz="0" w:space="0" w:color="auto"/>
        <w:right w:val="none" w:sz="0" w:space="0" w:color="auto"/>
      </w:divBdr>
    </w:div>
    <w:div w:id="1512069380">
      <w:bodyDiv w:val="1"/>
      <w:marLeft w:val="0"/>
      <w:marRight w:val="0"/>
      <w:marTop w:val="0"/>
      <w:marBottom w:val="0"/>
      <w:divBdr>
        <w:top w:val="none" w:sz="0" w:space="0" w:color="auto"/>
        <w:left w:val="none" w:sz="0" w:space="0" w:color="auto"/>
        <w:bottom w:val="none" w:sz="0" w:space="0" w:color="auto"/>
        <w:right w:val="none" w:sz="0" w:space="0" w:color="auto"/>
      </w:divBdr>
    </w:div>
    <w:div w:id="1709179879">
      <w:bodyDiv w:val="1"/>
      <w:marLeft w:val="0"/>
      <w:marRight w:val="0"/>
      <w:marTop w:val="0"/>
      <w:marBottom w:val="0"/>
      <w:divBdr>
        <w:top w:val="none" w:sz="0" w:space="0" w:color="auto"/>
        <w:left w:val="none" w:sz="0" w:space="0" w:color="auto"/>
        <w:bottom w:val="none" w:sz="0" w:space="0" w:color="auto"/>
        <w:right w:val="none" w:sz="0" w:space="0" w:color="auto"/>
      </w:divBdr>
    </w:div>
    <w:div w:id="204505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9085F49BF746C49E0CE2ACA69807BC"/>
        <w:category>
          <w:name w:val="General"/>
          <w:gallery w:val="placeholder"/>
        </w:category>
        <w:types>
          <w:type w:val="bbPlcHdr"/>
        </w:types>
        <w:behaviors>
          <w:behavior w:val="content"/>
        </w:behaviors>
        <w:guid w:val="{1FB05FF6-3285-40DA-90C8-35D13FF6D978}"/>
      </w:docPartPr>
      <w:docPartBody>
        <w:p w:rsidR="00000000" w:rsidRDefault="002300E8" w:rsidP="002300E8">
          <w:pPr>
            <w:pStyle w:val="449085F49BF746C49E0CE2ACA69807BC"/>
          </w:pPr>
          <w:r>
            <w:rPr>
              <w:rFonts w:asciiTheme="majorHAnsi" w:eastAsiaTheme="majorEastAsia" w:hAnsiTheme="majorHAnsi" w:cstheme="majorBidi"/>
              <w:caps/>
              <w:color w:val="156082" w:themeColor="accent1"/>
              <w:sz w:val="80"/>
              <w:szCs w:val="80"/>
            </w:rPr>
            <w:t>[Document title]</w:t>
          </w:r>
        </w:p>
      </w:docPartBody>
    </w:docPart>
    <w:docPart>
      <w:docPartPr>
        <w:name w:val="FDDAE20B933C497F8C5D8488D16F5EDA"/>
        <w:category>
          <w:name w:val="General"/>
          <w:gallery w:val="placeholder"/>
        </w:category>
        <w:types>
          <w:type w:val="bbPlcHdr"/>
        </w:types>
        <w:behaviors>
          <w:behavior w:val="content"/>
        </w:behaviors>
        <w:guid w:val="{B7939E85-B813-4D86-9DD6-6D7D7A1ECAFE}"/>
      </w:docPartPr>
      <w:docPartBody>
        <w:p w:rsidR="00000000" w:rsidRDefault="002300E8" w:rsidP="002300E8">
          <w:pPr>
            <w:pStyle w:val="FDDAE20B933C497F8C5D8488D16F5ED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E8"/>
    <w:rsid w:val="0021437D"/>
    <w:rsid w:val="002300E8"/>
    <w:rsid w:val="0083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9085F49BF746C49E0CE2ACA69807BC">
    <w:name w:val="449085F49BF746C49E0CE2ACA69807BC"/>
    <w:rsid w:val="002300E8"/>
  </w:style>
  <w:style w:type="paragraph" w:customStyle="1" w:styleId="FDDAE20B933C497F8C5D8488D16F5EDA">
    <w:name w:val="FDDAE20B933C497F8C5D8488D16F5EDA"/>
    <w:rsid w:val="002300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Student name: Cristina Cioaca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3198</Words>
  <Characters>18230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Sustainable Enterprise/ Social Enterprise Management</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BUSINESS PLAN</dc:subject>
  <dc:creator>Mirabela Voican (1907947)</dc:creator>
  <cp:keywords/>
  <dc:description/>
  <cp:lastModifiedBy>Mirabela Voican (1907947)</cp:lastModifiedBy>
  <cp:revision>1</cp:revision>
  <dcterms:created xsi:type="dcterms:W3CDTF">2025-03-13T10:45:00Z</dcterms:created>
  <dcterms:modified xsi:type="dcterms:W3CDTF">2025-03-13T12:31:00Z</dcterms:modified>
</cp:coreProperties>
</file>