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B11BB6" w14:textId="4B810B47" w:rsidR="00296AB7" w:rsidRDefault="00296AB7" w:rsidP="00296AB7"/>
    <w:p w14:paraId="309A8DCB" w14:textId="343E66E9" w:rsidR="00296AB7" w:rsidRDefault="00296AB7" w:rsidP="00296AB7"/>
    <w:p w14:paraId="58FEBB08" w14:textId="3F59F933" w:rsidR="00296AB7" w:rsidRDefault="00296AB7" w:rsidP="00296AB7"/>
    <w:p w14:paraId="79B9E474" w14:textId="6B7E288E" w:rsidR="00296AB7" w:rsidRDefault="00296AB7" w:rsidP="00296AB7"/>
    <w:p w14:paraId="61E6B782" w14:textId="6B1AF407" w:rsidR="00296AB7" w:rsidRDefault="00296AB7" w:rsidP="00296AB7"/>
    <w:p w14:paraId="0410AFC6" w14:textId="0F3402E5" w:rsidR="00296AB7" w:rsidRDefault="00296AB7" w:rsidP="00296AB7"/>
    <w:p w14:paraId="595FB500" w14:textId="47AFA87A" w:rsidR="00296AB7" w:rsidRDefault="00296AB7" w:rsidP="00296AB7"/>
    <w:p w14:paraId="38DF243E" w14:textId="77777777" w:rsidR="00296AB7" w:rsidRDefault="00296AB7" w:rsidP="00296AB7"/>
    <w:p w14:paraId="49A0D387" w14:textId="37043934" w:rsidR="00463A29" w:rsidRPr="00296AB7" w:rsidRDefault="00E243E3" w:rsidP="00296AB7">
      <w:pPr>
        <w:jc w:val="center"/>
        <w:rPr>
          <w:b/>
        </w:rPr>
      </w:pPr>
      <w:r w:rsidRPr="00296AB7">
        <w:rPr>
          <w:b/>
        </w:rPr>
        <w:t>Student Name</w:t>
      </w:r>
      <w:r w:rsidR="00377E08">
        <w:rPr>
          <w:b/>
        </w:rPr>
        <w:t>: Samina Kousar</w:t>
      </w:r>
    </w:p>
    <w:p w14:paraId="50FA3074" w14:textId="1D23A50C" w:rsidR="00296AB7" w:rsidRPr="00296AB7" w:rsidRDefault="00E243E3" w:rsidP="00296AB7">
      <w:pPr>
        <w:jc w:val="center"/>
        <w:rPr>
          <w:b/>
        </w:rPr>
      </w:pPr>
      <w:r w:rsidRPr="00296AB7">
        <w:rPr>
          <w:b/>
        </w:rPr>
        <w:t>Student Number</w:t>
      </w:r>
      <w:r w:rsidR="00377E08">
        <w:rPr>
          <w:b/>
        </w:rPr>
        <w:t>: 2244901</w:t>
      </w:r>
    </w:p>
    <w:p w14:paraId="3FE3396E" w14:textId="42343361" w:rsidR="00296AB7" w:rsidRPr="00296AB7" w:rsidRDefault="00E243E3" w:rsidP="00296AB7">
      <w:pPr>
        <w:jc w:val="center"/>
        <w:rPr>
          <w:b/>
        </w:rPr>
      </w:pPr>
      <w:r w:rsidRPr="00296AB7">
        <w:rPr>
          <w:b/>
        </w:rPr>
        <w:t>Module Code</w:t>
      </w:r>
      <w:r w:rsidR="00802D6D">
        <w:rPr>
          <w:b/>
        </w:rPr>
        <w:t xml:space="preserve">: </w:t>
      </w:r>
      <w:r w:rsidR="00802D6D" w:rsidRPr="00802D6D">
        <w:rPr>
          <w:b/>
        </w:rPr>
        <w:t>BMHP6030</w:t>
      </w:r>
    </w:p>
    <w:p w14:paraId="078DEC69" w14:textId="07B55B2D" w:rsidR="00296AB7" w:rsidRPr="00296AB7" w:rsidRDefault="00E243E3" w:rsidP="00296AB7">
      <w:pPr>
        <w:jc w:val="center"/>
        <w:rPr>
          <w:b/>
        </w:rPr>
      </w:pPr>
      <w:r w:rsidRPr="00296AB7">
        <w:rPr>
          <w:b/>
        </w:rPr>
        <w:t>Module Title</w:t>
      </w:r>
      <w:r w:rsidR="00655F51">
        <w:rPr>
          <w:b/>
        </w:rPr>
        <w:t xml:space="preserve">: </w:t>
      </w:r>
      <w:r w:rsidR="00655F51" w:rsidRPr="00655F51">
        <w:rPr>
          <w:b/>
        </w:rPr>
        <w:t>Health, Wellbeing and Sustainable Development</w:t>
      </w:r>
    </w:p>
    <w:p w14:paraId="77EB19B9" w14:textId="7EAEB209" w:rsidR="00296AB7" w:rsidRPr="00296AB7" w:rsidRDefault="00E243E3" w:rsidP="00296AB7">
      <w:pPr>
        <w:jc w:val="center"/>
        <w:rPr>
          <w:b/>
        </w:rPr>
      </w:pPr>
      <w:r w:rsidRPr="00296AB7">
        <w:rPr>
          <w:b/>
        </w:rPr>
        <w:t>Lecturers Name</w:t>
      </w:r>
      <w:r w:rsidR="00377E08">
        <w:rPr>
          <w:b/>
        </w:rPr>
        <w:t>: Junaid Shaikh</w:t>
      </w:r>
    </w:p>
    <w:p w14:paraId="41F7410D" w14:textId="57FF7B04" w:rsidR="00296AB7" w:rsidRPr="00296AB7" w:rsidRDefault="00E243E3" w:rsidP="00296AB7">
      <w:pPr>
        <w:jc w:val="center"/>
        <w:rPr>
          <w:b/>
        </w:rPr>
      </w:pPr>
      <w:r w:rsidRPr="00296AB7">
        <w:rPr>
          <w:b/>
        </w:rPr>
        <w:t>Assignment Title</w:t>
      </w:r>
      <w:r w:rsidR="00E36BA6">
        <w:rPr>
          <w:b/>
        </w:rPr>
        <w:t xml:space="preserve">: </w:t>
      </w:r>
      <w:r w:rsidR="00E36BA6" w:rsidRPr="00E36BA6">
        <w:rPr>
          <w:b/>
        </w:rPr>
        <w:t>Component 2: Written Assignment (Report)</w:t>
      </w:r>
    </w:p>
    <w:p w14:paraId="604DBBD9" w14:textId="212C65BA" w:rsidR="002D53E8" w:rsidRDefault="002D53E8" w:rsidP="00781731"/>
    <w:p w14:paraId="3F4747A5" w14:textId="4A5D2FA7" w:rsidR="002D53E8" w:rsidRDefault="002D53E8" w:rsidP="00781731"/>
    <w:p w14:paraId="73F9FF7E" w14:textId="58CB7F35" w:rsidR="00283084" w:rsidRDefault="00283084">
      <w:pPr>
        <w:spacing w:line="259" w:lineRule="auto"/>
      </w:pPr>
      <w:r>
        <w:br w:type="page"/>
      </w:r>
    </w:p>
    <w:sdt>
      <w:sdtPr>
        <w:rPr>
          <w:rFonts w:ascii="Times New Roman" w:eastAsiaTheme="minorHAnsi" w:hAnsi="Times New Roman" w:cstheme="minorBidi"/>
          <w:color w:val="auto"/>
          <w:sz w:val="24"/>
          <w:szCs w:val="22"/>
          <w:lang w:val="en-GB"/>
        </w:rPr>
        <w:id w:val="468713998"/>
        <w:docPartObj>
          <w:docPartGallery w:val="Table of Contents"/>
          <w:docPartUnique/>
        </w:docPartObj>
      </w:sdtPr>
      <w:sdtEndPr>
        <w:rPr>
          <w:b/>
          <w:bCs/>
          <w:noProof/>
        </w:rPr>
      </w:sdtEndPr>
      <w:sdtContent>
        <w:p w14:paraId="40137D83" w14:textId="5BFAC9B0" w:rsidR="008458FA" w:rsidRPr="006B6BE8" w:rsidRDefault="008458FA">
          <w:pPr>
            <w:pStyle w:val="TOCHeading"/>
            <w:rPr>
              <w:rFonts w:ascii="Times New Roman" w:hAnsi="Times New Roman" w:cs="Times New Roman"/>
              <w:color w:val="auto"/>
              <w:sz w:val="24"/>
              <w:szCs w:val="24"/>
            </w:rPr>
          </w:pPr>
          <w:r w:rsidRPr="006B6BE8">
            <w:rPr>
              <w:rFonts w:ascii="Times New Roman" w:hAnsi="Times New Roman" w:cs="Times New Roman"/>
              <w:color w:val="auto"/>
              <w:sz w:val="24"/>
              <w:szCs w:val="24"/>
            </w:rPr>
            <w:t>Table of Contents</w:t>
          </w:r>
        </w:p>
        <w:p w14:paraId="240E1730" w14:textId="6C0508A4" w:rsidR="008458FA" w:rsidRPr="006B6BE8" w:rsidRDefault="008458FA">
          <w:pPr>
            <w:pStyle w:val="TOC1"/>
            <w:tabs>
              <w:tab w:val="right" w:leader="dot" w:pos="9350"/>
            </w:tabs>
            <w:rPr>
              <w:rFonts w:cs="Times New Roman"/>
              <w:noProof/>
              <w:szCs w:val="24"/>
            </w:rPr>
          </w:pPr>
          <w:r w:rsidRPr="006B6BE8">
            <w:rPr>
              <w:rFonts w:cs="Times New Roman"/>
              <w:szCs w:val="24"/>
            </w:rPr>
            <w:fldChar w:fldCharType="begin"/>
          </w:r>
          <w:r w:rsidRPr="006B6BE8">
            <w:rPr>
              <w:rFonts w:cs="Times New Roman"/>
              <w:szCs w:val="24"/>
            </w:rPr>
            <w:instrText xml:space="preserve"> TOC \o "1-3" \h \z \u </w:instrText>
          </w:r>
          <w:r w:rsidRPr="006B6BE8">
            <w:rPr>
              <w:rFonts w:cs="Times New Roman"/>
              <w:szCs w:val="24"/>
            </w:rPr>
            <w:fldChar w:fldCharType="separate"/>
          </w:r>
          <w:hyperlink w:anchor="_Toc232530825" w:history="1">
            <w:r w:rsidRPr="006B6BE8">
              <w:rPr>
                <w:rStyle w:val="Hyperlink"/>
                <w:rFonts w:cs="Times New Roman"/>
                <w:noProof/>
                <w:color w:val="auto"/>
                <w:szCs w:val="24"/>
              </w:rPr>
              <w:t>Introduction</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_Toc232530825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3</w:t>
            </w:r>
            <w:r w:rsidRPr="006B6BE8">
              <w:rPr>
                <w:rFonts w:cs="Times New Roman"/>
                <w:noProof/>
                <w:webHidden/>
                <w:szCs w:val="24"/>
              </w:rPr>
              <w:fldChar w:fldCharType="end"/>
            </w:r>
          </w:hyperlink>
        </w:p>
        <w:p w14:paraId="4B9C6082" w14:textId="0B565D87" w:rsidR="008458FA" w:rsidRPr="006B6BE8" w:rsidRDefault="008458FA">
          <w:pPr>
            <w:pStyle w:val="TOC1"/>
            <w:tabs>
              <w:tab w:val="right" w:leader="dot" w:pos="9350"/>
            </w:tabs>
            <w:rPr>
              <w:rFonts w:cs="Times New Roman"/>
              <w:noProof/>
              <w:szCs w:val="24"/>
            </w:rPr>
          </w:pPr>
          <w:hyperlink w:anchor="_Toc232530826" w:history="1">
            <w:r w:rsidRPr="006B6BE8">
              <w:rPr>
                <w:rStyle w:val="Hyperlink"/>
                <w:rFonts w:cs="Times New Roman"/>
                <w:noProof/>
                <w:color w:val="auto"/>
                <w:szCs w:val="24"/>
              </w:rPr>
              <w:t>Sustainable Development Goal 3</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_Toc232530826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3</w:t>
            </w:r>
            <w:r w:rsidRPr="006B6BE8">
              <w:rPr>
                <w:rFonts w:cs="Times New Roman"/>
                <w:noProof/>
                <w:webHidden/>
                <w:szCs w:val="24"/>
              </w:rPr>
              <w:fldChar w:fldCharType="end"/>
            </w:r>
          </w:hyperlink>
        </w:p>
        <w:p w14:paraId="492F2D6C" w14:textId="479F9893" w:rsidR="008458FA" w:rsidRPr="006B6BE8" w:rsidRDefault="008458FA">
          <w:pPr>
            <w:pStyle w:val="TOC2"/>
            <w:tabs>
              <w:tab w:val="right" w:leader="dot" w:pos="9350"/>
            </w:tabs>
            <w:rPr>
              <w:rFonts w:cs="Times New Roman"/>
              <w:noProof/>
              <w:szCs w:val="24"/>
            </w:rPr>
          </w:pPr>
          <w:hyperlink w:anchor="_Toc232530827" w:history="1">
            <w:r w:rsidRPr="006B6BE8">
              <w:rPr>
                <w:rStyle w:val="Hyperlink"/>
                <w:rFonts w:cs="Times New Roman"/>
                <w:noProof/>
                <w:color w:val="auto"/>
                <w:szCs w:val="24"/>
              </w:rPr>
              <w:t>SDG 3 Overview</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_Toc232530827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3</w:t>
            </w:r>
            <w:r w:rsidRPr="006B6BE8">
              <w:rPr>
                <w:rFonts w:cs="Times New Roman"/>
                <w:noProof/>
                <w:webHidden/>
                <w:szCs w:val="24"/>
              </w:rPr>
              <w:fldChar w:fldCharType="end"/>
            </w:r>
          </w:hyperlink>
        </w:p>
        <w:p w14:paraId="31EE6C0A" w14:textId="16A679F1" w:rsidR="008458FA" w:rsidRPr="006B6BE8" w:rsidRDefault="008458FA">
          <w:pPr>
            <w:pStyle w:val="TOC2"/>
            <w:tabs>
              <w:tab w:val="right" w:leader="dot" w:pos="9350"/>
            </w:tabs>
            <w:rPr>
              <w:rFonts w:cs="Times New Roman"/>
              <w:noProof/>
              <w:szCs w:val="24"/>
            </w:rPr>
          </w:pPr>
          <w:hyperlink w:anchor="_Toc232530828" w:history="1">
            <w:r w:rsidRPr="006B6BE8">
              <w:rPr>
                <w:rStyle w:val="Hyperlink"/>
                <w:rFonts w:cs="Times New Roman"/>
                <w:noProof/>
                <w:color w:val="auto"/>
                <w:szCs w:val="24"/>
              </w:rPr>
              <w:t>SDG 3 Global Policies and Initiatives</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_Toc232530828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3</w:t>
            </w:r>
            <w:r w:rsidRPr="006B6BE8">
              <w:rPr>
                <w:rFonts w:cs="Times New Roman"/>
                <w:noProof/>
                <w:webHidden/>
                <w:szCs w:val="24"/>
              </w:rPr>
              <w:fldChar w:fldCharType="end"/>
            </w:r>
          </w:hyperlink>
        </w:p>
        <w:p w14:paraId="22B39360" w14:textId="41B46E42" w:rsidR="008458FA" w:rsidRPr="006B6BE8" w:rsidRDefault="008458FA">
          <w:pPr>
            <w:pStyle w:val="TOC2"/>
            <w:tabs>
              <w:tab w:val="right" w:leader="dot" w:pos="9350"/>
            </w:tabs>
            <w:rPr>
              <w:rFonts w:cs="Times New Roman"/>
              <w:noProof/>
              <w:szCs w:val="24"/>
            </w:rPr>
          </w:pPr>
          <w:hyperlink w:anchor="_Toc232530829" w:history="1">
            <w:r w:rsidRPr="006B6BE8">
              <w:rPr>
                <w:rStyle w:val="Hyperlink"/>
                <w:rFonts w:cs="Times New Roman"/>
                <w:noProof/>
                <w:color w:val="auto"/>
                <w:szCs w:val="24"/>
              </w:rPr>
              <w:t>Critical Evaluation of SDG 3 in the UK</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_Toc232530829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4</w:t>
            </w:r>
            <w:r w:rsidRPr="006B6BE8">
              <w:rPr>
                <w:rFonts w:cs="Times New Roman"/>
                <w:noProof/>
                <w:webHidden/>
                <w:szCs w:val="24"/>
              </w:rPr>
              <w:fldChar w:fldCharType="end"/>
            </w:r>
          </w:hyperlink>
        </w:p>
        <w:p w14:paraId="5E299840" w14:textId="7A6F686A" w:rsidR="008458FA" w:rsidRPr="006B6BE8" w:rsidRDefault="008458FA">
          <w:pPr>
            <w:pStyle w:val="TOC2"/>
            <w:tabs>
              <w:tab w:val="right" w:leader="dot" w:pos="9350"/>
            </w:tabs>
            <w:rPr>
              <w:rFonts w:cs="Times New Roman"/>
              <w:noProof/>
              <w:szCs w:val="24"/>
            </w:rPr>
          </w:pPr>
          <w:hyperlink w:anchor="_Toc232530830" w:history="1">
            <w:r w:rsidRPr="006B6BE8">
              <w:rPr>
                <w:rStyle w:val="Hyperlink"/>
                <w:rFonts w:cs="Times New Roman"/>
                <w:noProof/>
                <w:color w:val="auto"/>
                <w:szCs w:val="24"/>
              </w:rPr>
              <w:t>Theoretical/Conceptual Frameworks</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_Toc232530830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5</w:t>
            </w:r>
            <w:r w:rsidRPr="006B6BE8">
              <w:rPr>
                <w:rFonts w:cs="Times New Roman"/>
                <w:noProof/>
                <w:webHidden/>
                <w:szCs w:val="24"/>
              </w:rPr>
              <w:fldChar w:fldCharType="end"/>
            </w:r>
          </w:hyperlink>
        </w:p>
        <w:p w14:paraId="7CC2A8F0" w14:textId="0B0E2A77" w:rsidR="008458FA" w:rsidRPr="006B6BE8" w:rsidRDefault="008458FA">
          <w:pPr>
            <w:pStyle w:val="TOC2"/>
            <w:tabs>
              <w:tab w:val="right" w:leader="dot" w:pos="9350"/>
            </w:tabs>
            <w:rPr>
              <w:rFonts w:cs="Times New Roman"/>
              <w:noProof/>
              <w:szCs w:val="24"/>
            </w:rPr>
          </w:pPr>
          <w:hyperlink w:anchor="_Toc232530831" w:history="1">
            <w:r w:rsidRPr="006B6BE8">
              <w:rPr>
                <w:rStyle w:val="Hyperlink"/>
                <w:rFonts w:cs="Times New Roman"/>
                <w:noProof/>
                <w:color w:val="auto"/>
                <w:szCs w:val="24"/>
              </w:rPr>
              <w:t>Recommendations</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_Toc232530831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5</w:t>
            </w:r>
            <w:r w:rsidRPr="006B6BE8">
              <w:rPr>
                <w:rFonts w:cs="Times New Roman"/>
                <w:noProof/>
                <w:webHidden/>
                <w:szCs w:val="24"/>
              </w:rPr>
              <w:fldChar w:fldCharType="end"/>
            </w:r>
          </w:hyperlink>
        </w:p>
        <w:p w14:paraId="52D7E949" w14:textId="09F58B10" w:rsidR="008458FA" w:rsidRPr="006B6BE8" w:rsidRDefault="008458FA">
          <w:pPr>
            <w:pStyle w:val="TOC1"/>
            <w:tabs>
              <w:tab w:val="right" w:leader="dot" w:pos="9350"/>
            </w:tabs>
            <w:rPr>
              <w:rFonts w:cs="Times New Roman"/>
              <w:noProof/>
              <w:szCs w:val="24"/>
            </w:rPr>
          </w:pPr>
          <w:hyperlink w:anchor="_Toc232530832" w:history="1">
            <w:r w:rsidRPr="006B6BE8">
              <w:rPr>
                <w:rStyle w:val="Hyperlink"/>
                <w:rFonts w:cs="Times New Roman"/>
                <w:noProof/>
                <w:color w:val="auto"/>
                <w:szCs w:val="24"/>
              </w:rPr>
              <w:t>Sustainable Development Goal 8</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_Toc232530832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5</w:t>
            </w:r>
            <w:r w:rsidRPr="006B6BE8">
              <w:rPr>
                <w:rFonts w:cs="Times New Roman"/>
                <w:noProof/>
                <w:webHidden/>
                <w:szCs w:val="24"/>
              </w:rPr>
              <w:fldChar w:fldCharType="end"/>
            </w:r>
          </w:hyperlink>
        </w:p>
        <w:p w14:paraId="401D7727" w14:textId="58768E08" w:rsidR="008458FA" w:rsidRPr="006B6BE8" w:rsidRDefault="008458FA">
          <w:pPr>
            <w:pStyle w:val="TOC2"/>
            <w:tabs>
              <w:tab w:val="right" w:leader="dot" w:pos="9350"/>
            </w:tabs>
            <w:rPr>
              <w:rFonts w:cs="Times New Roman"/>
              <w:noProof/>
              <w:szCs w:val="24"/>
            </w:rPr>
          </w:pPr>
          <w:hyperlink w:anchor="_Toc232530833" w:history="1">
            <w:r w:rsidRPr="006B6BE8">
              <w:rPr>
                <w:rStyle w:val="Hyperlink"/>
                <w:rFonts w:cs="Times New Roman"/>
                <w:noProof/>
                <w:color w:val="auto"/>
                <w:szCs w:val="24"/>
              </w:rPr>
              <w:t>SDG 8 Overview</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_Toc232530833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5</w:t>
            </w:r>
            <w:r w:rsidRPr="006B6BE8">
              <w:rPr>
                <w:rFonts w:cs="Times New Roman"/>
                <w:noProof/>
                <w:webHidden/>
                <w:szCs w:val="24"/>
              </w:rPr>
              <w:fldChar w:fldCharType="end"/>
            </w:r>
          </w:hyperlink>
        </w:p>
        <w:p w14:paraId="4570E0A5" w14:textId="700FDD07" w:rsidR="008458FA" w:rsidRPr="006B6BE8" w:rsidRDefault="008458FA">
          <w:pPr>
            <w:pStyle w:val="TOC2"/>
            <w:tabs>
              <w:tab w:val="right" w:leader="dot" w:pos="9350"/>
            </w:tabs>
            <w:rPr>
              <w:rFonts w:cs="Times New Roman"/>
              <w:noProof/>
              <w:szCs w:val="24"/>
            </w:rPr>
          </w:pPr>
          <w:hyperlink w:anchor="_Toc232530834" w:history="1">
            <w:r w:rsidRPr="006B6BE8">
              <w:rPr>
                <w:rStyle w:val="Hyperlink"/>
                <w:rFonts w:cs="Times New Roman"/>
                <w:noProof/>
                <w:color w:val="auto"/>
                <w:szCs w:val="24"/>
              </w:rPr>
              <w:t>Critical Evaluation of Global Policies and Initiatives</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_Toc232530834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6</w:t>
            </w:r>
            <w:r w:rsidRPr="006B6BE8">
              <w:rPr>
                <w:rFonts w:cs="Times New Roman"/>
                <w:noProof/>
                <w:webHidden/>
                <w:szCs w:val="24"/>
              </w:rPr>
              <w:fldChar w:fldCharType="end"/>
            </w:r>
          </w:hyperlink>
        </w:p>
        <w:p w14:paraId="1666ECBD" w14:textId="2A3DFA76" w:rsidR="008458FA" w:rsidRPr="006B6BE8" w:rsidRDefault="008458FA">
          <w:pPr>
            <w:pStyle w:val="TOC2"/>
            <w:tabs>
              <w:tab w:val="right" w:leader="dot" w:pos="9350"/>
            </w:tabs>
            <w:rPr>
              <w:rFonts w:cs="Times New Roman"/>
              <w:noProof/>
              <w:szCs w:val="24"/>
            </w:rPr>
          </w:pPr>
          <w:hyperlink w:anchor="_Toc232530835" w:history="1">
            <w:r w:rsidRPr="006B6BE8">
              <w:rPr>
                <w:rStyle w:val="Hyperlink"/>
                <w:rFonts w:cs="Times New Roman"/>
                <w:noProof/>
                <w:color w:val="auto"/>
                <w:szCs w:val="24"/>
              </w:rPr>
              <w:t>Critical Evaluation of SDG 8 in the UK</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_Toc232530835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6</w:t>
            </w:r>
            <w:r w:rsidRPr="006B6BE8">
              <w:rPr>
                <w:rFonts w:cs="Times New Roman"/>
                <w:noProof/>
                <w:webHidden/>
                <w:szCs w:val="24"/>
              </w:rPr>
              <w:fldChar w:fldCharType="end"/>
            </w:r>
          </w:hyperlink>
        </w:p>
        <w:p w14:paraId="0594DD7D" w14:textId="225E4F2A" w:rsidR="008458FA" w:rsidRPr="006B6BE8" w:rsidRDefault="008458FA">
          <w:pPr>
            <w:pStyle w:val="TOC2"/>
            <w:tabs>
              <w:tab w:val="right" w:leader="dot" w:pos="9350"/>
            </w:tabs>
            <w:rPr>
              <w:rFonts w:cs="Times New Roman"/>
              <w:noProof/>
              <w:szCs w:val="24"/>
            </w:rPr>
          </w:pPr>
          <w:hyperlink w:anchor="_Toc232530836" w:history="1">
            <w:r w:rsidRPr="006B6BE8">
              <w:rPr>
                <w:rStyle w:val="Hyperlink"/>
                <w:rFonts w:cs="Times New Roman"/>
                <w:noProof/>
                <w:color w:val="auto"/>
                <w:szCs w:val="24"/>
              </w:rPr>
              <w:t>Application of Relevant Theory or Model</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_Toc232530836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7</w:t>
            </w:r>
            <w:r w:rsidRPr="006B6BE8">
              <w:rPr>
                <w:rFonts w:cs="Times New Roman"/>
                <w:noProof/>
                <w:webHidden/>
                <w:szCs w:val="24"/>
              </w:rPr>
              <w:fldChar w:fldCharType="end"/>
            </w:r>
          </w:hyperlink>
        </w:p>
        <w:p w14:paraId="3B01BB2F" w14:textId="3F8506B0" w:rsidR="008458FA" w:rsidRPr="006B6BE8" w:rsidRDefault="008458FA">
          <w:pPr>
            <w:pStyle w:val="TOC2"/>
            <w:tabs>
              <w:tab w:val="right" w:leader="dot" w:pos="9350"/>
            </w:tabs>
            <w:rPr>
              <w:rFonts w:cs="Times New Roman"/>
              <w:noProof/>
              <w:szCs w:val="24"/>
            </w:rPr>
          </w:pPr>
          <w:hyperlink w:anchor="_Toc232530837" w:history="1">
            <w:r w:rsidRPr="006B6BE8">
              <w:rPr>
                <w:rStyle w:val="Hyperlink"/>
                <w:rFonts w:cs="Times New Roman"/>
                <w:noProof/>
                <w:color w:val="auto"/>
                <w:szCs w:val="24"/>
              </w:rPr>
              <w:t>Recommendations for Improving SDG 8 Outcomes</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_Toc232530837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7</w:t>
            </w:r>
            <w:r w:rsidRPr="006B6BE8">
              <w:rPr>
                <w:rFonts w:cs="Times New Roman"/>
                <w:noProof/>
                <w:webHidden/>
                <w:szCs w:val="24"/>
              </w:rPr>
              <w:fldChar w:fldCharType="end"/>
            </w:r>
          </w:hyperlink>
        </w:p>
        <w:p w14:paraId="4C76CB72" w14:textId="263D8EA2" w:rsidR="008458FA" w:rsidRPr="006B6BE8" w:rsidRDefault="008458FA">
          <w:pPr>
            <w:pStyle w:val="TOC1"/>
            <w:tabs>
              <w:tab w:val="right" w:leader="dot" w:pos="9350"/>
            </w:tabs>
            <w:rPr>
              <w:rFonts w:cs="Times New Roman"/>
              <w:noProof/>
              <w:szCs w:val="24"/>
            </w:rPr>
          </w:pPr>
          <w:hyperlink w:anchor="_Toc232530838" w:history="1">
            <w:r w:rsidRPr="006B6BE8">
              <w:rPr>
                <w:rStyle w:val="Hyperlink"/>
                <w:rFonts w:cs="Times New Roman"/>
                <w:noProof/>
                <w:color w:val="auto"/>
                <w:szCs w:val="24"/>
              </w:rPr>
              <w:t>Conclusion</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_Toc232530838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7</w:t>
            </w:r>
            <w:r w:rsidRPr="006B6BE8">
              <w:rPr>
                <w:rFonts w:cs="Times New Roman"/>
                <w:noProof/>
                <w:webHidden/>
                <w:szCs w:val="24"/>
              </w:rPr>
              <w:fldChar w:fldCharType="end"/>
            </w:r>
          </w:hyperlink>
        </w:p>
        <w:p w14:paraId="0467B84C" w14:textId="07C18ECD" w:rsidR="008458FA" w:rsidRPr="006B6BE8" w:rsidRDefault="008458FA">
          <w:pPr>
            <w:pStyle w:val="TOC1"/>
            <w:tabs>
              <w:tab w:val="right" w:leader="dot" w:pos="9350"/>
            </w:tabs>
            <w:rPr>
              <w:rFonts w:cs="Times New Roman"/>
              <w:noProof/>
              <w:szCs w:val="24"/>
            </w:rPr>
          </w:pPr>
          <w:hyperlink w:anchor="_Toc232530839" w:history="1">
            <w:r w:rsidRPr="006B6BE8">
              <w:rPr>
                <w:rStyle w:val="Hyperlink"/>
                <w:rFonts w:cs="Times New Roman"/>
                <w:noProof/>
                <w:color w:val="auto"/>
                <w:szCs w:val="24"/>
              </w:rPr>
              <w:t>References</w:t>
            </w:r>
            <w:r w:rsidRPr="006B6BE8">
              <w:rPr>
                <w:rFonts w:cs="Times New Roman"/>
                <w:noProof/>
                <w:webHidden/>
                <w:szCs w:val="24"/>
              </w:rPr>
              <w:tab/>
            </w:r>
            <w:r w:rsidRPr="006B6BE8">
              <w:rPr>
                <w:rFonts w:cs="Times New Roman"/>
                <w:noProof/>
                <w:webHidden/>
                <w:szCs w:val="24"/>
              </w:rPr>
              <w:fldChar w:fldCharType="begin"/>
            </w:r>
            <w:r w:rsidRPr="006B6BE8">
              <w:rPr>
                <w:rFonts w:cs="Times New Roman"/>
                <w:noProof/>
                <w:webHidden/>
                <w:szCs w:val="24"/>
              </w:rPr>
              <w:instrText xml:space="preserve"> PAGEREF _Toc232530839 \h </w:instrText>
            </w:r>
            <w:r w:rsidRPr="006B6BE8">
              <w:rPr>
                <w:rFonts w:cs="Times New Roman"/>
                <w:noProof/>
                <w:webHidden/>
                <w:szCs w:val="24"/>
              </w:rPr>
            </w:r>
            <w:r w:rsidRPr="006B6BE8">
              <w:rPr>
                <w:rFonts w:cs="Times New Roman"/>
                <w:noProof/>
                <w:webHidden/>
                <w:szCs w:val="24"/>
              </w:rPr>
              <w:fldChar w:fldCharType="separate"/>
            </w:r>
            <w:r w:rsidRPr="006B6BE8">
              <w:rPr>
                <w:rFonts w:cs="Times New Roman"/>
                <w:noProof/>
                <w:webHidden/>
                <w:szCs w:val="24"/>
              </w:rPr>
              <w:t>9</w:t>
            </w:r>
            <w:r w:rsidRPr="006B6BE8">
              <w:rPr>
                <w:rFonts w:cs="Times New Roman"/>
                <w:noProof/>
                <w:webHidden/>
                <w:szCs w:val="24"/>
              </w:rPr>
              <w:fldChar w:fldCharType="end"/>
            </w:r>
          </w:hyperlink>
        </w:p>
        <w:p w14:paraId="46C2E733" w14:textId="27900ACB" w:rsidR="008458FA" w:rsidRDefault="008458FA">
          <w:r w:rsidRPr="006B6BE8">
            <w:rPr>
              <w:rFonts w:cs="Times New Roman"/>
              <w:b/>
              <w:bCs/>
              <w:noProof/>
              <w:szCs w:val="24"/>
            </w:rPr>
            <w:fldChar w:fldCharType="end"/>
          </w:r>
        </w:p>
      </w:sdtContent>
    </w:sdt>
    <w:p w14:paraId="11DBE69A" w14:textId="15744DCC" w:rsidR="00283084" w:rsidRDefault="00283084" w:rsidP="00781731"/>
    <w:p w14:paraId="29D93765" w14:textId="77777777" w:rsidR="00283084" w:rsidRDefault="00283084" w:rsidP="00781731"/>
    <w:p w14:paraId="42B0D8A7" w14:textId="77777777" w:rsidR="00283084" w:rsidRDefault="00283084" w:rsidP="00781731"/>
    <w:p w14:paraId="70D8DB2D" w14:textId="77777777" w:rsidR="00283084" w:rsidRDefault="00283084" w:rsidP="00781731"/>
    <w:p w14:paraId="7118253C" w14:textId="77777777" w:rsidR="00283084" w:rsidRDefault="00283084" w:rsidP="00781731"/>
    <w:p w14:paraId="502DB10C" w14:textId="03EDF992" w:rsidR="002D53E8" w:rsidRDefault="00E243E3">
      <w:pPr>
        <w:spacing w:line="259" w:lineRule="auto"/>
      </w:pPr>
      <w:r>
        <w:br w:type="page"/>
      </w:r>
    </w:p>
    <w:p w14:paraId="527ADFCB" w14:textId="12A3452A" w:rsidR="002D53E8" w:rsidRDefault="00E243E3" w:rsidP="00E840E4">
      <w:pPr>
        <w:pStyle w:val="Heading1"/>
      </w:pPr>
      <w:bookmarkStart w:id="0" w:name="_Toc232530825"/>
      <w:r w:rsidRPr="002D53E8">
        <w:lastRenderedPageBreak/>
        <w:t>Introduction</w:t>
      </w:r>
      <w:bookmarkEnd w:id="0"/>
    </w:p>
    <w:p w14:paraId="4A01C34E" w14:textId="19AE459B" w:rsidR="00D87FE2" w:rsidRPr="00A00A7F" w:rsidRDefault="00D87FE2" w:rsidP="006239D7">
      <w:pPr>
        <w:rPr>
          <w:highlight w:val="yellow"/>
        </w:rPr>
      </w:pPr>
      <w:r w:rsidRPr="00D87FE2">
        <w:t xml:space="preserve">The SDGs are the set of 17 interlinked goals of the 2030 Agenda for Sustainable Development, which were adopted in 2015 to solve the problems of the world, with poverty, inequality, health and economic development just some of the main ones. The SDGs have importance as they acknowledge social, economic and environmental difficulties exist in one, and need action in all (UNDP, 2017). Prosperity measured in terms of improved SDGs also relates to improved wellbeing outcomes for people, as per (Boardman et al., 2022). These outcomes are connected to improved health outcomes through individual outcomes like access to health care services, employment, education and social inclusion. Promoting sustainability is much more than just protecting the environment. Emphasis is placed on providing opportunities for people and community to thrive and live healthy. </w:t>
      </w:r>
      <w:r>
        <w:t>This report r</w:t>
      </w:r>
      <w:r w:rsidRPr="00D87FE2">
        <w:t>eflects critically on SDG 3 (good health and wellbeing) and SDG 8 (Decent Work and Economic Growth) and implications for health and wellbeing of citizens of UK.</w:t>
      </w:r>
    </w:p>
    <w:p w14:paraId="0CD99537" w14:textId="77777777" w:rsidR="00436F6B" w:rsidRPr="00E840E4" w:rsidRDefault="00436F6B" w:rsidP="00436F6B"/>
    <w:p w14:paraId="7213BA32" w14:textId="432796B3" w:rsidR="004B2AA2" w:rsidRDefault="00E243E3" w:rsidP="00F74903">
      <w:pPr>
        <w:pStyle w:val="Heading1"/>
      </w:pPr>
      <w:bookmarkStart w:id="1" w:name="_Toc232530826"/>
      <w:r>
        <w:t>Sustainable Development Goal 3</w:t>
      </w:r>
      <w:bookmarkEnd w:id="1"/>
    </w:p>
    <w:p w14:paraId="72659183" w14:textId="2C0915F9" w:rsidR="00855496" w:rsidRDefault="00E243E3" w:rsidP="00855496">
      <w:pPr>
        <w:pStyle w:val="Heading2"/>
      </w:pPr>
      <w:bookmarkStart w:id="2" w:name="_Toc232530827"/>
      <w:r>
        <w:t>SDG 3 Overview</w:t>
      </w:r>
      <w:bookmarkEnd w:id="2"/>
    </w:p>
    <w:p w14:paraId="218C47D6" w14:textId="4E42717B" w:rsidR="002543D6" w:rsidRDefault="00E243E3" w:rsidP="00855496">
      <w:r w:rsidRPr="007E3E2A">
        <w:t xml:space="preserve">Goal 3 of the SDG 3, Good Health and Wellbeing, seeks to ensure healthy lives and achieve wellbeing for all at all ages </w:t>
      </w:r>
      <w:r w:rsidRPr="0035723C">
        <w:t>(</w:t>
      </w:r>
      <w:r w:rsidR="0035723C" w:rsidRPr="0035723C">
        <w:t>UN, 2025</w:t>
      </w:r>
      <w:r w:rsidRPr="0035723C">
        <w:t>)</w:t>
      </w:r>
      <w:r w:rsidRPr="007E3E2A">
        <w:t>. The objective is to provide Universal Health Coverage (UHC), to lower maternal and child mortality rates, promote mental health and combat communicable and non-communicable diseases. SDG 3 also aims to reinforce health systems to better provide access to essential medicines and health care services. SDG 3 is as relevant in the UK as health outcomes continue to be affected by ageing populations, mental ill health, chronic conditions, and the enduring socioeconomic health inequalities (</w:t>
      </w:r>
      <w:r w:rsidR="0035723C" w:rsidRPr="0035723C">
        <w:t>Dalgıç,</w:t>
      </w:r>
      <w:r w:rsidR="0035723C">
        <w:t xml:space="preserve"> 2025</w:t>
      </w:r>
      <w:r w:rsidRPr="007E3E2A">
        <w:t>).</w:t>
      </w:r>
    </w:p>
    <w:p w14:paraId="660848B5" w14:textId="77777777" w:rsidR="0034352D" w:rsidRPr="001A76DD" w:rsidRDefault="0034352D" w:rsidP="00855496">
      <w:pPr>
        <w:rPr>
          <w:highlight w:val="yellow"/>
        </w:rPr>
      </w:pPr>
    </w:p>
    <w:p w14:paraId="6F94A3F5" w14:textId="69EA14B1" w:rsidR="00855496" w:rsidRDefault="00E243E3" w:rsidP="00855496">
      <w:pPr>
        <w:pStyle w:val="Heading2"/>
      </w:pPr>
      <w:bookmarkStart w:id="3" w:name="_Toc232530828"/>
      <w:r>
        <w:t>SDG 3 Global Policies and Initiatives</w:t>
      </w:r>
      <w:bookmarkEnd w:id="3"/>
    </w:p>
    <w:p w14:paraId="3DB92137" w14:textId="77777777" w:rsidR="00F4140B" w:rsidRDefault="00E243E3" w:rsidP="004B0F17">
      <w:r w:rsidRPr="00332306">
        <w:t xml:space="preserve">The UHC agenda of the </w:t>
      </w:r>
      <w:r w:rsidRPr="0042651A">
        <w:t>WHO</w:t>
      </w:r>
      <w:r w:rsidRPr="00332306">
        <w:t xml:space="preserve"> has significantly shaped the universal health service goal (</w:t>
      </w:r>
      <w:r w:rsidR="006F3247">
        <w:t>World Health Organi</w:t>
      </w:r>
      <w:r w:rsidR="00740418">
        <w:t>s</w:t>
      </w:r>
      <w:r w:rsidR="006F3247">
        <w:t>ation, 202</w:t>
      </w:r>
      <w:r w:rsidR="008735DE">
        <w:t>4</w:t>
      </w:r>
      <w:r w:rsidRPr="00332306">
        <w:t>).</w:t>
      </w:r>
      <w:r>
        <w:t xml:space="preserve"> </w:t>
      </w:r>
      <w:r w:rsidRPr="00332306">
        <w:t xml:space="preserve">The SDG 3 goal for universal health service has been deeply influenced by the WHO agenda on UHC, focused on accessing essential health services without financial hardship. </w:t>
      </w:r>
      <w:r w:rsidR="00F941DB">
        <w:t>Research</w:t>
      </w:r>
      <w:r w:rsidRPr="00332306">
        <w:t xml:space="preserve"> </w:t>
      </w:r>
      <w:proofErr w:type="gramStart"/>
      <w:r w:rsidRPr="00332306">
        <w:t>suggest</w:t>
      </w:r>
      <w:proofErr w:type="gramEnd"/>
      <w:r w:rsidRPr="00332306">
        <w:t xml:space="preserve"> that countries with greater UHC coverage have lower levels of preventable deaths and thus better life expectancy </w:t>
      </w:r>
      <w:r w:rsidRPr="008735DE">
        <w:t>(World Health Organi</w:t>
      </w:r>
      <w:r w:rsidR="00740418">
        <w:t>s</w:t>
      </w:r>
      <w:r w:rsidRPr="008735DE">
        <w:t>ation, 202</w:t>
      </w:r>
      <w:r w:rsidR="008735DE" w:rsidRPr="008735DE">
        <w:t>5</w:t>
      </w:r>
      <w:r w:rsidRPr="008735DE">
        <w:t>)</w:t>
      </w:r>
      <w:r w:rsidRPr="00332306">
        <w:t xml:space="preserve">. </w:t>
      </w:r>
      <w:r w:rsidR="009614F9" w:rsidRPr="009614F9">
        <w:t xml:space="preserve">Despite this, Egharevba, (2024) found significant differences in the proportion of people with a guarantee of access to UHC between high-income and low-income countries, indicating that financial and workforce limitations are continuing to limit equitable access to care. </w:t>
      </w:r>
    </w:p>
    <w:p w14:paraId="1ACF0F53" w14:textId="10B3CA6D" w:rsidR="000F2076" w:rsidRDefault="000F2076" w:rsidP="007D1849">
      <w:r w:rsidRPr="000F2076">
        <w:t xml:space="preserve">It has also resulted in focus, more action, and a study on mental health policies by WHO (2013) which revealed that very few countries allocate more than 1 % of their health budgets to mental </w:t>
      </w:r>
      <w:r w:rsidRPr="000F2076">
        <w:lastRenderedPageBreak/>
        <w:t>health services making it difficult to put into practice. Other objectives set up by the Global Vaccine Action Plan brought about a significant decline in the prevalence of measles and polio in the world. The Lancet Commission on Vaccine Refusal (Hotez et al., 2021) identified a novel challenge of rising vaccine resistance. Furthermore, the COVID-19 pandemic revealed global health governance gaps linked to inequalities in vaccine access and strategies (</w:t>
      </w:r>
      <w:proofErr w:type="spellStart"/>
      <w:r w:rsidRPr="000F2076">
        <w:t>Dagovetz</w:t>
      </w:r>
      <w:proofErr w:type="spellEnd"/>
      <w:r w:rsidRPr="000F2076">
        <w:t xml:space="preserve"> et al., 2025).</w:t>
      </w:r>
    </w:p>
    <w:p w14:paraId="26318B00" w14:textId="77777777" w:rsidR="00F4140B" w:rsidRDefault="00F4140B" w:rsidP="004B0F17"/>
    <w:p w14:paraId="52532D15" w14:textId="06CBEE18" w:rsidR="004B0F17" w:rsidRDefault="00E243E3" w:rsidP="004B0F17">
      <w:pPr>
        <w:pStyle w:val="Heading2"/>
      </w:pPr>
      <w:bookmarkStart w:id="4" w:name="_Toc232530829"/>
      <w:r>
        <w:t>Critical Evaluation of SDG 3 in the UK</w:t>
      </w:r>
      <w:bookmarkEnd w:id="4"/>
    </w:p>
    <w:p w14:paraId="0B71A926" w14:textId="4C8A9F17" w:rsidR="00AA5F24" w:rsidRDefault="007D1849" w:rsidP="00E93B46">
      <w:r w:rsidRPr="007D1849">
        <w:t xml:space="preserve">The UK has implemented national policy actions in the areas that support SDG 3 (NHS Long Term Plan, Mental Health Changes). But progress in moving towards these targets has been mixed. In 2023, NHS Long Term Plan (2023/24) committed to providing an additional £4.5bn a year for primary, community and mental health services in England. The report by the World Health Organization in 2022 confirmed the ability to strengthen preventive and integrated care, but they point to the challenges brought on by workforce shortage and increased needs. NHS England data reveals that the backlog has been </w:t>
      </w:r>
      <w:proofErr w:type="gramStart"/>
      <w:r w:rsidRPr="007D1849">
        <w:t>in excess of</w:t>
      </w:r>
      <w:proofErr w:type="gramEnd"/>
      <w:r w:rsidRPr="007D1849">
        <w:t xml:space="preserve"> 7m for years</w:t>
      </w:r>
      <w:r>
        <w:t xml:space="preserve"> </w:t>
      </w:r>
      <w:r w:rsidR="00403378">
        <w:t>(</w:t>
      </w:r>
      <w:r w:rsidR="00403378" w:rsidRPr="00403378">
        <w:t>England, 2025</w:t>
      </w:r>
      <w:r w:rsidR="00403378">
        <w:t xml:space="preserve">). </w:t>
      </w:r>
      <w:r w:rsidR="00E243E3" w:rsidRPr="00BD75A9">
        <w:t xml:space="preserve">Despite this, </w:t>
      </w:r>
      <w:r w:rsidR="00C2273F" w:rsidRPr="00C2273F">
        <w:t>Creutzfeldt</w:t>
      </w:r>
      <w:r w:rsidR="00C2273F">
        <w:t xml:space="preserve"> et al. (2024) </w:t>
      </w:r>
      <w:r w:rsidR="00E243E3" w:rsidRPr="00BD75A9">
        <w:t>claim that service provision is still not equal, with disadvantaged groups having more unmet needs.</w:t>
      </w:r>
      <w:r w:rsidR="00E243E3">
        <w:t xml:space="preserve"> </w:t>
      </w:r>
    </w:p>
    <w:p w14:paraId="1BBCC9D7" w14:textId="16B2E609" w:rsidR="00BA51E4" w:rsidRDefault="00E243E3" w:rsidP="00E93B46">
      <w:r w:rsidRPr="009450DF">
        <w:t>Bansal</w:t>
      </w:r>
      <w:r>
        <w:t xml:space="preserve"> et al. (2022) </w:t>
      </w:r>
      <w:r w:rsidR="00F85E97">
        <w:t>support the argument</w:t>
      </w:r>
      <w:r w:rsidRPr="00BA51E4">
        <w:t xml:space="preserve">, revealing the increased disparities in health between rich and poor areas in England. Social prescribing, a potential tool to tackle social determinants of health, has been encouraged at the local level. There were positive wellbeing changes and reduced feelings of loneliness in participants in </w:t>
      </w:r>
      <w:r w:rsidR="00E41FE4" w:rsidRPr="00E41FE4">
        <w:t>Prizeman</w:t>
      </w:r>
      <w:r w:rsidR="00E41FE4">
        <w:t xml:space="preserve"> et al. (2023) </w:t>
      </w:r>
      <w:r w:rsidRPr="00BA51E4">
        <w:t xml:space="preserve">study. In contrast, the evidence base is methodologically weak and hampers conclusions on the long-term effectiveness, as noted by </w:t>
      </w:r>
      <w:r w:rsidR="00EB7DA9" w:rsidRPr="00EB7DA9">
        <w:t>Gonçalves</w:t>
      </w:r>
      <w:r w:rsidR="00EB7DA9">
        <w:t xml:space="preserve"> et al. (2025). </w:t>
      </w:r>
      <w:r>
        <w:t>Similarly</w:t>
      </w:r>
      <w:r w:rsidRPr="00BA51E4">
        <w:t>, the Integrated Care Systems (ICSs) are designed to better coordinate health and social care services. Although ICSs can benefit people's health, they are limited by the disintegration of funding systems and the big disparities in health capacity across wide areas</w:t>
      </w:r>
      <w:r w:rsidR="00387B81">
        <w:t xml:space="preserve"> (</w:t>
      </w:r>
      <w:proofErr w:type="spellStart"/>
      <w:r w:rsidRPr="00BA51E4">
        <w:t>Checkland</w:t>
      </w:r>
      <w:proofErr w:type="spellEnd"/>
      <w:r w:rsidRPr="00BA51E4">
        <w:t xml:space="preserve"> et al.</w:t>
      </w:r>
      <w:r w:rsidR="00387B81">
        <w:t xml:space="preserve">, </w:t>
      </w:r>
      <w:r w:rsidRPr="00BA51E4">
        <w:t>2023).</w:t>
      </w:r>
      <w:r>
        <w:t xml:space="preserve"> </w:t>
      </w:r>
    </w:p>
    <w:p w14:paraId="3676ACC0" w14:textId="77777777" w:rsidR="00C1118C" w:rsidRDefault="00C1118C" w:rsidP="002D53E8"/>
    <w:p w14:paraId="59D34BEF" w14:textId="0E161805" w:rsidR="00C21F5E" w:rsidRDefault="00E243E3" w:rsidP="00C21F5E">
      <w:pPr>
        <w:pStyle w:val="Heading2"/>
      </w:pPr>
      <w:bookmarkStart w:id="5" w:name="_Toc232530830"/>
      <w:r>
        <w:t>Theoretical/Conceptual Frameworks</w:t>
      </w:r>
      <w:bookmarkEnd w:id="5"/>
    </w:p>
    <w:p w14:paraId="1E7B1135" w14:textId="74244130" w:rsidR="002D7F2B" w:rsidRPr="00CA3A35" w:rsidRDefault="00E243E3" w:rsidP="002F3335">
      <w:pPr>
        <w:rPr>
          <w:highlight w:val="yellow"/>
        </w:rPr>
      </w:pPr>
      <w:r w:rsidRPr="00CA3A35">
        <w:t>The Ottawa Charter for Health Promotion (World Health Organi</w:t>
      </w:r>
      <w:r w:rsidR="00740418" w:rsidRPr="00CA3A35">
        <w:t>s</w:t>
      </w:r>
      <w:r w:rsidRPr="00CA3A35">
        <w:t xml:space="preserve">ation, 1986) is a valid framework for grasping SDG 3, as it recognises that health is more than the presence of healthcare services and is determined by social, economic and environmental determinants. The major focus of its actions </w:t>
      </w:r>
      <w:r w:rsidR="00334FD6" w:rsidRPr="00CA3A35">
        <w:t>is</w:t>
      </w:r>
      <w:r w:rsidRPr="00CA3A35">
        <w:t xml:space="preserve"> to develop healthy public policy, establish supportive environments, enhance community action, and engage health services in prevention. This outlook can contribute to understanding health initiatives in the UK, for example, social prescribing and Integrated Care Systems, designed to tackle broader determinants of health. Elongated SDG 3 focuses on prevention and wellbeing; prevention is a major strength of the Charter, closely </w:t>
      </w:r>
      <w:r w:rsidRPr="00CA3A35">
        <w:lastRenderedPageBreak/>
        <w:t>aligned to it. However, as</w:t>
      </w:r>
      <w:r w:rsidR="002132C5" w:rsidRPr="00CA3A35">
        <w:t xml:space="preserve"> Abdi et al. (2025</w:t>
      </w:r>
      <w:r w:rsidRPr="00CA3A35">
        <w:t xml:space="preserve">) state, the impact of implementation on combating entrenched health inequalities is often hampered by political agendas and resource allocation, as other commitments can limit support. </w:t>
      </w:r>
    </w:p>
    <w:p w14:paraId="536047D8" w14:textId="77777777" w:rsidR="00C1118C" w:rsidRDefault="00C1118C" w:rsidP="00C21F5E"/>
    <w:p w14:paraId="75117F8C" w14:textId="6583D000" w:rsidR="00C21F5E" w:rsidRDefault="00E243E3" w:rsidP="00C21F5E">
      <w:pPr>
        <w:pStyle w:val="Heading2"/>
      </w:pPr>
      <w:bookmarkStart w:id="6" w:name="_Toc232530831"/>
      <w:r>
        <w:t>Recommendations</w:t>
      </w:r>
      <w:bookmarkEnd w:id="6"/>
    </w:p>
    <w:p w14:paraId="6B904DB2" w14:textId="63FCFFB0" w:rsidR="007D1849" w:rsidRPr="007A4891" w:rsidRDefault="00F87AA0" w:rsidP="007A4891">
      <w:pPr>
        <w:rPr>
          <w:highlight w:val="yellow"/>
        </w:rPr>
      </w:pPr>
      <w:r w:rsidRPr="00F87AA0">
        <w:t xml:space="preserve">There needs to be an increased investment in preventative healthcare because according to </w:t>
      </w:r>
      <w:r w:rsidRPr="002132C5">
        <w:t>Jahnel</w:t>
      </w:r>
      <w:r>
        <w:t xml:space="preserve"> et al., (2022) </w:t>
      </w:r>
      <w:r w:rsidRPr="00F87AA0">
        <w:t>expanding health disparities are associated with inadequate intervention for health determinants.</w:t>
      </w:r>
      <w:r>
        <w:t xml:space="preserve"> </w:t>
      </w:r>
      <w:r w:rsidR="0029474E" w:rsidRPr="0029474E">
        <w:t xml:space="preserve">The further development of mental health services is also a requirement due to the ongoing and rising need for services </w:t>
      </w:r>
      <w:proofErr w:type="gramStart"/>
      <w:r w:rsidR="0029474E" w:rsidRPr="0029474E">
        <w:t>in excess of</w:t>
      </w:r>
      <w:proofErr w:type="gramEnd"/>
      <w:r w:rsidR="0029474E" w:rsidRPr="0029474E">
        <w:t xml:space="preserve"> available capacity, especially in disadvantaged communities. Additional efforts to improve health equity would help minimise regional inequities identified in past studies, but ongoing investments would be needed. </w:t>
      </w:r>
      <w:r w:rsidR="00681FC5" w:rsidRPr="00681FC5">
        <w:t>According to Giebel et al. (2022), community-based interventions lead to improvements in wellbeing and social connectedness, thus there is a need for these interventions to be scaled-up and continue to be delivered. The integration of health and social care via the 'instructional tool' of integrated care services (ICSs) would not be sufficient. Primary obstacles to integration, however, are levels and complexity in staffing in health services (Knight, 2025).</w:t>
      </w:r>
    </w:p>
    <w:p w14:paraId="2EB47219" w14:textId="5FFC7985" w:rsidR="00C21F5E" w:rsidRDefault="00C21F5E" w:rsidP="002D53E8"/>
    <w:p w14:paraId="73CEC7CB" w14:textId="48994F7E" w:rsidR="000F19E4" w:rsidRDefault="00E243E3" w:rsidP="000F19E4">
      <w:pPr>
        <w:pStyle w:val="Heading1"/>
      </w:pPr>
      <w:bookmarkStart w:id="7" w:name="_Toc232530832"/>
      <w:r>
        <w:t>Sustainable Development Goal 8</w:t>
      </w:r>
      <w:bookmarkEnd w:id="7"/>
    </w:p>
    <w:p w14:paraId="1B8E536E" w14:textId="0B7BF539" w:rsidR="000F19E4" w:rsidRDefault="00E243E3" w:rsidP="000F19E4">
      <w:pPr>
        <w:pStyle w:val="Heading2"/>
      </w:pPr>
      <w:bookmarkStart w:id="8" w:name="_Toc232530833"/>
      <w:r>
        <w:t>SDG 8 Overview</w:t>
      </w:r>
      <w:bookmarkEnd w:id="8"/>
    </w:p>
    <w:p w14:paraId="03E0DDF6" w14:textId="47E90357" w:rsidR="00146C59" w:rsidRDefault="00CA4E8B" w:rsidP="000F19E4">
      <w:r w:rsidRPr="00CA4E8B">
        <w:t xml:space="preserve">Decent Work and Economic Growth (SDG 8) </w:t>
      </w:r>
      <w:proofErr w:type="gramStart"/>
      <w:r w:rsidRPr="00CA4E8B">
        <w:t>concerns</w:t>
      </w:r>
      <w:proofErr w:type="gramEnd"/>
      <w:r w:rsidRPr="00CA4E8B">
        <w:t xml:space="preserve"> the encouragement of inclusive and sustainable economic growth, employment and decent work for all (UN, 2015). The priorities are expressed in terms of full and productive employment, safe and secured working environment, livelihood protection and rights to labour, unemployment and elimination of employment exploitation. The goal calls attention to the importance of being a determinant of health, such as income, housing, social inclusion and access to resources. In the research setting, positive effect of decent work on wellbeing is correlated with negative effect of poor quality or insecure jobs on physical and mental health (Su </w:t>
      </w:r>
      <w:r w:rsidR="001370ED">
        <w:t>and</w:t>
      </w:r>
      <w:r w:rsidRPr="00CA4E8B">
        <w:t xml:space="preserve"> Chan, 2023).</w:t>
      </w:r>
    </w:p>
    <w:p w14:paraId="2A572214" w14:textId="77777777" w:rsidR="009F25EE" w:rsidRPr="009F25EE" w:rsidRDefault="009F25EE" w:rsidP="000F19E4">
      <w:pPr>
        <w:rPr>
          <w:highlight w:val="yellow"/>
        </w:rPr>
      </w:pPr>
    </w:p>
    <w:p w14:paraId="58A31E26" w14:textId="3384DF6C" w:rsidR="000F19E4" w:rsidRDefault="00E243E3" w:rsidP="000F19E4">
      <w:pPr>
        <w:pStyle w:val="Heading2"/>
      </w:pPr>
      <w:bookmarkStart w:id="9" w:name="_Toc232530834"/>
      <w:r>
        <w:t>Critical Evaluation of Global Policies and Initiatives</w:t>
      </w:r>
      <w:bookmarkEnd w:id="9"/>
    </w:p>
    <w:p w14:paraId="609128C4" w14:textId="5AFD1C15" w:rsidR="00817BBB" w:rsidRPr="005C7927" w:rsidRDefault="00DF41F6" w:rsidP="007204F1">
      <w:pPr>
        <w:rPr>
          <w:b/>
          <w:highlight w:val="yellow"/>
        </w:rPr>
      </w:pPr>
      <w:r w:rsidRPr="00DF41F6">
        <w:t>The Decent Work Agenda (ILO), addressing job creation, workers' rights and social protection, and social dialogue, is a central international initiative towards advancing SDG 8. There is a direct link between decent work and wellbeing and poverty reduction (ILO, 2023).</w:t>
      </w:r>
      <w:r>
        <w:t xml:space="preserve"> </w:t>
      </w:r>
      <w:r w:rsidR="00A6095B" w:rsidRPr="00A6095B">
        <w:t>Shin</w:t>
      </w:r>
      <w:r w:rsidR="00A6095B">
        <w:t xml:space="preserve"> et al. (2023), </w:t>
      </w:r>
      <w:r w:rsidR="00E243E3" w:rsidRPr="00817BBB">
        <w:t>however, challenge the actual effectiveness of the agenda in tackling precarious work, especially in the globali</w:t>
      </w:r>
      <w:r w:rsidR="00740418">
        <w:t>s</w:t>
      </w:r>
      <w:r w:rsidR="00E243E3" w:rsidRPr="00817BBB">
        <w:t xml:space="preserve">ed labour market. </w:t>
      </w:r>
      <w:r w:rsidR="00790D58">
        <w:t>S</w:t>
      </w:r>
      <w:r w:rsidR="00E243E3" w:rsidRPr="00817BBB">
        <w:t xml:space="preserve">imilarly, the ILO Occupational Safety and Health </w:t>
      </w:r>
      <w:r w:rsidR="00E243E3" w:rsidRPr="00817BBB">
        <w:lastRenderedPageBreak/>
        <w:t xml:space="preserve">Conventions have enhanced international norms regarding the safe and healthy working </w:t>
      </w:r>
      <w:proofErr w:type="gramStart"/>
      <w:r w:rsidR="00E243E3" w:rsidRPr="00817BBB">
        <w:t>environment, and</w:t>
      </w:r>
      <w:proofErr w:type="gramEnd"/>
      <w:r w:rsidR="00E243E3" w:rsidRPr="00817BBB">
        <w:t xml:space="preserve"> helped decrease occupational injuries in various high-income countries. However, according to </w:t>
      </w:r>
      <w:r w:rsidR="00A6095B" w:rsidRPr="00A6095B">
        <w:t>Takala</w:t>
      </w:r>
      <w:r w:rsidR="009455D3">
        <w:t xml:space="preserve"> et al. </w:t>
      </w:r>
      <w:r w:rsidR="00A53BCA">
        <w:t>(</w:t>
      </w:r>
      <w:r w:rsidR="009455D3">
        <w:t>2023</w:t>
      </w:r>
      <w:r w:rsidR="00E243E3" w:rsidRPr="00817BBB">
        <w:t>), worldwide, millions of people annually continue to die from work-related accidents and illnesses. UN Global Compact has promoted responsible labour practices</w:t>
      </w:r>
      <w:r w:rsidR="00EF2A66">
        <w:t>; however</w:t>
      </w:r>
      <w:r w:rsidR="00E243E3" w:rsidRPr="00817BBB">
        <w:t xml:space="preserve">, it is still voluntary, which reduces accountability and implementation according to </w:t>
      </w:r>
      <w:r w:rsidR="00EF2A66" w:rsidRPr="00EF2A66">
        <w:t>Wirba</w:t>
      </w:r>
      <w:r w:rsidR="00EF2A66">
        <w:t xml:space="preserve"> (2024</w:t>
      </w:r>
      <w:r w:rsidR="00E243E3" w:rsidRPr="00817BBB">
        <w:t xml:space="preserve">). Similarly, the WHO Healthy Workplace Framework outlines corporate strategies for promoting the health of employees, and there is some evidence that this approach can have positive impacts on mental health and productivity </w:t>
      </w:r>
      <w:r w:rsidR="00E243E3" w:rsidRPr="00EF2A66">
        <w:t>(WHO, 2010).</w:t>
      </w:r>
      <w:r w:rsidR="00E243E3" w:rsidRPr="005C7927">
        <w:rPr>
          <w:b/>
        </w:rPr>
        <w:t xml:space="preserve"> </w:t>
      </w:r>
    </w:p>
    <w:p w14:paraId="10B506C2" w14:textId="77777777" w:rsidR="00C1118C" w:rsidRDefault="00C1118C" w:rsidP="002D53E8"/>
    <w:p w14:paraId="04A640B3" w14:textId="37D72F7C" w:rsidR="008B6BB0" w:rsidRDefault="00E243E3" w:rsidP="008B6BB0">
      <w:pPr>
        <w:pStyle w:val="Heading2"/>
      </w:pPr>
      <w:bookmarkStart w:id="10" w:name="_Toc232530835"/>
      <w:r w:rsidRPr="008B6BB0">
        <w:t xml:space="preserve">Critical Evaluation of </w:t>
      </w:r>
      <w:r>
        <w:t>SDG 8 in the UK</w:t>
      </w:r>
      <w:bookmarkEnd w:id="10"/>
    </w:p>
    <w:p w14:paraId="47C017FB" w14:textId="4EFB5BC3" w:rsidR="002D2ECE" w:rsidRDefault="00E243E3" w:rsidP="004D6FB9">
      <w:r w:rsidRPr="002D2ECE">
        <w:t xml:space="preserve">The UK has a set of policies that are linked to SDG 8, but the effect on health and wellbeing is not consistent. The 1974 Health and Safety at Work Act has helped to bring workplace deaths to historically low levels compared to many OECD countries </w:t>
      </w:r>
      <w:r w:rsidRPr="00240CCC">
        <w:t>(</w:t>
      </w:r>
      <w:r w:rsidR="00240CCC" w:rsidRPr="00240CCC">
        <w:rPr>
          <w:lang w:val="en-US"/>
        </w:rPr>
        <w:t>GOV.UK.</w:t>
      </w:r>
      <w:r w:rsidR="007204F1">
        <w:rPr>
          <w:lang w:val="en-US"/>
        </w:rPr>
        <w:t xml:space="preserve">, </w:t>
      </w:r>
      <w:r w:rsidR="00240CCC" w:rsidRPr="00240CCC">
        <w:rPr>
          <w:lang w:val="en-US"/>
        </w:rPr>
        <w:t>1974).</w:t>
      </w:r>
      <w:r w:rsidR="008D7069">
        <w:rPr>
          <w:lang w:val="en-US"/>
        </w:rPr>
        <w:t xml:space="preserve"> </w:t>
      </w:r>
      <w:proofErr w:type="spellStart"/>
      <w:r w:rsidR="008D7069" w:rsidRPr="008D7069">
        <w:t>Mustchin</w:t>
      </w:r>
      <w:proofErr w:type="spellEnd"/>
      <w:r w:rsidR="008D7069" w:rsidRPr="008D7069">
        <w:t xml:space="preserve"> and Martínez Lucio</w:t>
      </w:r>
      <w:r w:rsidR="008D7069">
        <w:t xml:space="preserve"> </w:t>
      </w:r>
      <w:r w:rsidR="00182F80">
        <w:t>(</w:t>
      </w:r>
      <w:r w:rsidR="008D7069">
        <w:t>2023</w:t>
      </w:r>
      <w:r w:rsidRPr="002D2ECE">
        <w:t xml:space="preserve">), however, argue that weak enforcement, including in sectors with weak employment security, is a result of reductions in regulatory inspection. The Good Work Plan aimed to enhance the protections and working conditions of employees; </w:t>
      </w:r>
      <w:r w:rsidR="00431DEE">
        <w:t>however</w:t>
      </w:r>
      <w:r w:rsidRPr="002D2ECE">
        <w:t xml:space="preserve">, </w:t>
      </w:r>
      <w:r w:rsidR="00CE7695">
        <w:t>Atkinson (2022</w:t>
      </w:r>
      <w:r w:rsidRPr="002D2ECE">
        <w:t xml:space="preserve">) argues that this lacked any real effectiveness in tackling the structural expansion of precarious jobs and zero-hour contracts. The National Living Wage has raised living standards of those on low pay, as </w:t>
      </w:r>
      <w:r w:rsidR="005D7C6D" w:rsidRPr="005D7C6D">
        <w:t>Carr</w:t>
      </w:r>
      <w:r w:rsidR="005D7C6D">
        <w:t xml:space="preserve"> (2023</w:t>
      </w:r>
      <w:r w:rsidRPr="002D2ECE">
        <w:t xml:space="preserve">) states that better wages can lead to better wellbeing </w:t>
      </w:r>
      <w:proofErr w:type="gramStart"/>
      <w:r w:rsidRPr="002D2ECE">
        <w:t>as a result of</w:t>
      </w:r>
      <w:proofErr w:type="gramEnd"/>
      <w:r w:rsidRPr="002D2ECE">
        <w:t xml:space="preserve"> greater financial security.</w:t>
      </w:r>
    </w:p>
    <w:p w14:paraId="38ADF730" w14:textId="04F0B5F2" w:rsidR="00DF41F6" w:rsidRDefault="00A67682" w:rsidP="004D6FB9">
      <w:r w:rsidRPr="00A67682">
        <w:t xml:space="preserve">However, according to Corlett and Judge (2024), research, many of these advances have been wiped out by increases in housing and living costs. This is important, as Bell and Marmot (2022) determined that financial insecurity is linked to poorer health outcomes across the areas of physical and mental health. Employment support initiatives at lower levels and community skills programmes have helped to increase the availability of jobs for disadvantaged groups. According to Attipoe et al. (2025), employers can cut absenteeism and improve employee engagement from workplace wellbeing programmes. </w:t>
      </w:r>
      <w:r w:rsidR="00DF41F6" w:rsidRPr="00DF41F6">
        <w:t>Bell and Marmot (2022), however, have identified significant interregional inequality based on income and health, especially for the post-industrial regions of the United Kingdom, which tend to have lower incomes and poorer health.</w:t>
      </w:r>
    </w:p>
    <w:p w14:paraId="5DFD8B22" w14:textId="77777777" w:rsidR="00F96C0B" w:rsidRDefault="00F96C0B" w:rsidP="005B00A3"/>
    <w:p w14:paraId="0EFCE47F" w14:textId="221BA195" w:rsidR="002D53E8" w:rsidRDefault="00E243E3" w:rsidP="00E20E5C">
      <w:pPr>
        <w:pStyle w:val="Heading2"/>
      </w:pPr>
      <w:bookmarkStart w:id="11" w:name="_Toc232530836"/>
      <w:r w:rsidRPr="00AA0468">
        <w:t>Application of Relevant Theory or Model</w:t>
      </w:r>
      <w:bookmarkEnd w:id="11"/>
    </w:p>
    <w:p w14:paraId="63457974" w14:textId="4063DD81" w:rsidR="00DF41F6" w:rsidRPr="00B118D4" w:rsidRDefault="00DF41F6" w:rsidP="00DF41F6">
      <w:pPr>
        <w:rPr>
          <w:highlight w:val="yellow"/>
        </w:rPr>
      </w:pPr>
      <w:r w:rsidRPr="00DF41F6">
        <w:t xml:space="preserve">According to the Marmot Social Determinants of Health Framework, the employment and working conditions are determinants of health (Garcia, 2022). This framework provides a description of the linkage between insecure work, unemployment or low-income and health inequalities, providing clarity to SDG 8. Work also provides a sense of protection and a sense of connection, recognition, and mental health according to Maslow's Hierarchy of Needs (Saif, </w:t>
      </w:r>
      <w:r w:rsidRPr="00DF41F6">
        <w:lastRenderedPageBreak/>
        <w:t>2024). These models illustrate decent work's material and psychosocial interaction. But agency is important too, and there could be under-emphasis on the structural determinants in Marmot's framework. However, the limitations of Maslow's second model are that the order of needs assumed to exist does not fit all working life contexts in the modern working markets (Karn et al., 2025).</w:t>
      </w:r>
    </w:p>
    <w:p w14:paraId="67E1E7EB" w14:textId="77777777" w:rsidR="0034352D" w:rsidRPr="0034352D" w:rsidRDefault="0034352D" w:rsidP="0034352D">
      <w:pPr>
        <w:rPr>
          <w:highlight w:val="yellow"/>
        </w:rPr>
      </w:pPr>
    </w:p>
    <w:p w14:paraId="1550CD0F" w14:textId="4587E758" w:rsidR="002D53E8" w:rsidRDefault="00E243E3" w:rsidP="00E20E5C">
      <w:pPr>
        <w:pStyle w:val="Heading2"/>
      </w:pPr>
      <w:bookmarkStart w:id="12" w:name="_Toc232530837"/>
      <w:r w:rsidRPr="002D53E8">
        <w:t>Recommendations for Improving SDG 8 Outcomes</w:t>
      </w:r>
      <w:bookmarkEnd w:id="12"/>
    </w:p>
    <w:p w14:paraId="3D9D35E5" w14:textId="32D081F1" w:rsidR="00783D29" w:rsidRPr="00E20E5C" w:rsidRDefault="00E243E3" w:rsidP="00783D29">
      <w:r>
        <w:t xml:space="preserve">The legal protection of employment should be improved </w:t>
      </w:r>
      <w:proofErr w:type="gramStart"/>
      <w:r>
        <w:t>so as to</w:t>
      </w:r>
      <w:proofErr w:type="gramEnd"/>
      <w:r>
        <w:t xml:space="preserve"> tackle the health risks caused by having insecure jobs or zero-hour contracts, as revealed by </w:t>
      </w:r>
      <w:r w:rsidR="00F0757A" w:rsidRPr="00F0757A">
        <w:t>Lavelle</w:t>
      </w:r>
      <w:r w:rsidR="00F0757A">
        <w:t xml:space="preserve"> et al. (2023</w:t>
      </w:r>
      <w:r>
        <w:t>). It is recommended that workplace mental health programmes be extended, given indications that these can have a positive impact on wellbeing and productivity (</w:t>
      </w:r>
      <w:r w:rsidR="0042167F" w:rsidRPr="0042167F">
        <w:t>World Health Organi</w:t>
      </w:r>
      <w:r w:rsidR="00740418">
        <w:t>s</w:t>
      </w:r>
      <w:r w:rsidR="0042167F" w:rsidRPr="0042167F">
        <w:t>ation, 2022</w:t>
      </w:r>
      <w:r w:rsidR="0042167F">
        <w:t xml:space="preserve">). </w:t>
      </w:r>
      <w:r>
        <w:t xml:space="preserve">Enhancing skills development and skills training will help to increase the employability and economic resilience of people, especially those in disadvantaged communities. Focusing on inclusive labour force participation of people with disabilities, the elderly and minorities will further narrow inequality gaps. However, the implementation can be limited by overheads, funding pressures, and the different capacities found at a regional level. </w:t>
      </w:r>
    </w:p>
    <w:p w14:paraId="57D7719E" w14:textId="7864A08A" w:rsidR="002D53E8" w:rsidRPr="002D53E8" w:rsidRDefault="002D53E8" w:rsidP="002D53E8"/>
    <w:p w14:paraId="5B8C1235" w14:textId="4FE1C148" w:rsidR="002D53E8" w:rsidRDefault="00E243E3" w:rsidP="001409CE">
      <w:pPr>
        <w:pStyle w:val="Heading1"/>
      </w:pPr>
      <w:bookmarkStart w:id="13" w:name="_Toc232530838"/>
      <w:r w:rsidRPr="002D53E8">
        <w:t>Conclusion</w:t>
      </w:r>
      <w:bookmarkEnd w:id="13"/>
    </w:p>
    <w:p w14:paraId="7863DA06" w14:textId="518DC845" w:rsidR="009B18D0" w:rsidRDefault="00E243E3" w:rsidP="007B23EA">
      <w:r w:rsidRPr="009B18D0">
        <w:t xml:space="preserve">This report has systematically evaluated SDG 3 and SDG 8 and outlined the effects for citizens' health and wellbeing in the UK. The analysis reveals that across </w:t>
      </w:r>
      <w:proofErr w:type="gramStart"/>
      <w:r w:rsidRPr="009B18D0">
        <w:t>a number of</w:t>
      </w:r>
      <w:proofErr w:type="gramEnd"/>
      <w:r w:rsidRPr="009B18D0">
        <w:t xml:space="preserve"> initiatives, including the NHS Long Term Plan, mental health plans, employment protection and workplace wellbeing programmes, significant progress has been made. These policies have led to better access to health care, safer jobs and increased wellbeing awareness. Persistent and ongoing challenges include health inequalities, workforce shortages, employment insecurity, regional inequalities and pressures due to increasing living costs. The results confirm that there is a very close connection between health and employment. Good health helps people to engage fully in learning and the </w:t>
      </w:r>
      <w:r w:rsidR="00A6095B" w:rsidRPr="009B18D0">
        <w:t>labour</w:t>
      </w:r>
      <w:r w:rsidRPr="009B18D0">
        <w:t xml:space="preserve"> market, and secure and fulfilling work helps to generate income, social integration, and physical and mental health. Therefore, actions towards SDG 3 contribute to the achievement of SDG 8 and vice versa. The broader significance of the findings underscores the need for intervention on social and economic inequalities in addition to health inequalities. Advancing population wellbeing in sustainable ways needs to be coordinated between health, employment, and community services.</w:t>
      </w:r>
      <w:r>
        <w:t xml:space="preserve"> </w:t>
      </w:r>
    </w:p>
    <w:p w14:paraId="1D4DBD02" w14:textId="4A58AEBF" w:rsidR="001409CE" w:rsidRDefault="00E243E3">
      <w:pPr>
        <w:spacing w:line="259" w:lineRule="auto"/>
      </w:pPr>
      <w:r>
        <w:br w:type="page"/>
      </w:r>
    </w:p>
    <w:p w14:paraId="4734B7FE" w14:textId="23CC5887" w:rsidR="001409CE" w:rsidRDefault="00E243E3" w:rsidP="006870EC">
      <w:pPr>
        <w:pStyle w:val="Heading1"/>
      </w:pPr>
      <w:bookmarkStart w:id="14" w:name="_Toc232530839"/>
      <w:r>
        <w:lastRenderedPageBreak/>
        <w:t>References</w:t>
      </w:r>
      <w:bookmarkEnd w:id="14"/>
    </w:p>
    <w:p w14:paraId="08C8D353" w14:textId="77777777" w:rsidR="00403378" w:rsidRDefault="00403378" w:rsidP="009455D3">
      <w:pPr>
        <w:ind w:left="720" w:hanging="720"/>
      </w:pPr>
      <w:r w:rsidRPr="009455D3">
        <w:t xml:space="preserve">Abdi, Y.H., Abdi, M.S., Bashir, S.G., Ahmed, N.I. and Abdullahi, Y.B. </w:t>
      </w:r>
      <w:r>
        <w:t>(</w:t>
      </w:r>
      <w:r w:rsidRPr="009455D3">
        <w:t>2025</w:t>
      </w:r>
      <w:r>
        <w:t>)</w:t>
      </w:r>
      <w:r w:rsidRPr="009455D3">
        <w:t>. Understanding Global Health Inequality and Inequity: Causes, Consequences, and the Path Toward Justice in Healthcare. </w:t>
      </w:r>
      <w:r w:rsidRPr="009455D3">
        <w:rPr>
          <w:i/>
          <w:iCs/>
        </w:rPr>
        <w:t>Public Health Challenges</w:t>
      </w:r>
      <w:r w:rsidRPr="009455D3">
        <w:t>, </w:t>
      </w:r>
      <w:r w:rsidRPr="009455D3">
        <w:rPr>
          <w:i/>
          <w:iCs/>
        </w:rPr>
        <w:t>4</w:t>
      </w:r>
      <w:r w:rsidRPr="009455D3">
        <w:t>(4), p. e70156.</w:t>
      </w:r>
      <w:r>
        <w:t xml:space="preserve"> </w:t>
      </w:r>
    </w:p>
    <w:p w14:paraId="1B5FDEDD" w14:textId="77777777" w:rsidR="00403378" w:rsidRDefault="00403378" w:rsidP="0042167F">
      <w:pPr>
        <w:ind w:left="720" w:hanging="720"/>
      </w:pPr>
      <w:r w:rsidRPr="0042167F">
        <w:t xml:space="preserve">Atkinson, J. </w:t>
      </w:r>
      <w:r>
        <w:t>(</w:t>
      </w:r>
      <w:r w:rsidRPr="0042167F">
        <w:t>2022</w:t>
      </w:r>
      <w:r>
        <w:t>)</w:t>
      </w:r>
      <w:r w:rsidRPr="0042167F">
        <w:t>. Zero-hours contracts and English employment Law: Developments and possibilities. </w:t>
      </w:r>
      <w:r w:rsidRPr="0042167F">
        <w:rPr>
          <w:i/>
          <w:iCs/>
        </w:rPr>
        <w:t>European Labour Law Journal</w:t>
      </w:r>
      <w:r w:rsidRPr="0042167F">
        <w:t>, </w:t>
      </w:r>
      <w:r w:rsidRPr="0042167F">
        <w:rPr>
          <w:i/>
          <w:iCs/>
        </w:rPr>
        <w:t>13</w:t>
      </w:r>
      <w:r w:rsidRPr="0042167F">
        <w:t>(3), pp.347-374.</w:t>
      </w:r>
    </w:p>
    <w:p w14:paraId="47F57CBE" w14:textId="77777777" w:rsidR="00403378" w:rsidRDefault="00403378" w:rsidP="0042167F">
      <w:pPr>
        <w:ind w:left="720" w:hanging="720"/>
      </w:pPr>
      <w:r w:rsidRPr="0042167F">
        <w:t xml:space="preserve">Attipoe, V., </w:t>
      </w:r>
      <w:proofErr w:type="spellStart"/>
      <w:r w:rsidRPr="0042167F">
        <w:t>Oyeyipo</w:t>
      </w:r>
      <w:proofErr w:type="spellEnd"/>
      <w:r w:rsidRPr="0042167F">
        <w:t xml:space="preserve">, I., Ayodeji, D.C., Isibor, N.J. and Apiyo, B. </w:t>
      </w:r>
      <w:r>
        <w:t>(</w:t>
      </w:r>
      <w:r w:rsidRPr="0042167F">
        <w:t>2025</w:t>
      </w:r>
      <w:r>
        <w:t>)</w:t>
      </w:r>
      <w:r w:rsidRPr="0042167F">
        <w:t>. Economic impacts of employee well-being programs: A review. </w:t>
      </w:r>
      <w:r w:rsidRPr="0042167F">
        <w:rPr>
          <w:i/>
          <w:iCs/>
        </w:rPr>
        <w:t>International Journal of Advanced Multidisciplinary Research and Studies</w:t>
      </w:r>
      <w:r w:rsidRPr="0042167F">
        <w:t>, </w:t>
      </w:r>
      <w:r w:rsidRPr="0042167F">
        <w:rPr>
          <w:i/>
          <w:iCs/>
        </w:rPr>
        <w:t>15</w:t>
      </w:r>
      <w:r w:rsidRPr="0042167F">
        <w:t>(2), pp.852-60.</w:t>
      </w:r>
    </w:p>
    <w:p w14:paraId="2FBF6CEA" w14:textId="77777777" w:rsidR="00403378" w:rsidRDefault="00403378" w:rsidP="009455D3">
      <w:pPr>
        <w:ind w:left="720" w:hanging="720"/>
      </w:pPr>
      <w:r w:rsidRPr="00A6095B">
        <w:t xml:space="preserve">Bansal, N., Karlsen, S., </w:t>
      </w:r>
      <w:proofErr w:type="spellStart"/>
      <w:r w:rsidRPr="00A6095B">
        <w:t>Sashidharan</w:t>
      </w:r>
      <w:proofErr w:type="spellEnd"/>
      <w:r w:rsidRPr="00A6095B">
        <w:t xml:space="preserve">, S.P., Cohen, R., Chew-Graham, C.A. and Malpass, A. </w:t>
      </w:r>
      <w:r>
        <w:t>(</w:t>
      </w:r>
      <w:r w:rsidRPr="00A6095B">
        <w:t>2022</w:t>
      </w:r>
      <w:r>
        <w:t>)</w:t>
      </w:r>
      <w:r w:rsidRPr="00A6095B">
        <w:t>. Understanding ethnic inequalities in mental healthcare in the UK: A meta-ethnography. </w:t>
      </w:r>
      <w:proofErr w:type="spellStart"/>
      <w:r w:rsidRPr="00A6095B">
        <w:rPr>
          <w:i/>
          <w:iCs/>
        </w:rPr>
        <w:t>PLoS</w:t>
      </w:r>
      <w:proofErr w:type="spellEnd"/>
      <w:r w:rsidRPr="00A6095B">
        <w:rPr>
          <w:i/>
          <w:iCs/>
        </w:rPr>
        <w:t xml:space="preserve"> Medicine</w:t>
      </w:r>
      <w:r w:rsidRPr="00A6095B">
        <w:t>, </w:t>
      </w:r>
      <w:r w:rsidRPr="00A6095B">
        <w:rPr>
          <w:i/>
          <w:iCs/>
        </w:rPr>
        <w:t>19</w:t>
      </w:r>
      <w:r w:rsidRPr="00A6095B">
        <w:t>(12), p.e1004139.</w:t>
      </w:r>
    </w:p>
    <w:p w14:paraId="5DC20DBF" w14:textId="77777777" w:rsidR="00403378" w:rsidRDefault="00403378" w:rsidP="0042167F">
      <w:pPr>
        <w:ind w:left="720" w:hanging="720"/>
      </w:pPr>
      <w:r w:rsidRPr="0042167F">
        <w:t xml:space="preserve">Bell, R. and Marmot, M. </w:t>
      </w:r>
      <w:r>
        <w:t>(</w:t>
      </w:r>
      <w:r w:rsidRPr="0042167F">
        <w:t>2022</w:t>
      </w:r>
      <w:r>
        <w:t>)</w:t>
      </w:r>
      <w:r w:rsidRPr="0042167F">
        <w:t>. Social determinants and mental health. </w:t>
      </w:r>
      <w:r w:rsidRPr="0042167F">
        <w:rPr>
          <w:i/>
          <w:iCs/>
        </w:rPr>
        <w:t>Oxford textbook of social psychiatry</w:t>
      </w:r>
      <w:r w:rsidRPr="0042167F">
        <w:t>, pp.171-180.</w:t>
      </w:r>
    </w:p>
    <w:p w14:paraId="78962FD3" w14:textId="77777777" w:rsidR="00403378" w:rsidRDefault="00403378" w:rsidP="009455D3">
      <w:pPr>
        <w:ind w:left="720" w:hanging="720"/>
      </w:pPr>
      <w:r w:rsidRPr="00A6095B">
        <w:t xml:space="preserve">Boardman, J., </w:t>
      </w:r>
      <w:proofErr w:type="spellStart"/>
      <w:r w:rsidRPr="00A6095B">
        <w:t>Killaspy</w:t>
      </w:r>
      <w:proofErr w:type="spellEnd"/>
      <w:r w:rsidRPr="00A6095B">
        <w:t xml:space="preserve">, H. and Mezey, G. </w:t>
      </w:r>
      <w:r>
        <w:t>(</w:t>
      </w:r>
      <w:r w:rsidRPr="00A6095B">
        <w:t>2022</w:t>
      </w:r>
      <w:r>
        <w:t>)</w:t>
      </w:r>
      <w:r w:rsidRPr="00A6095B">
        <w:t>. </w:t>
      </w:r>
      <w:r w:rsidRPr="00A6095B">
        <w:rPr>
          <w:i/>
          <w:iCs/>
        </w:rPr>
        <w:t>Social inclusion and mental health: Understanding poverty, inequality and social exclusion</w:t>
      </w:r>
      <w:r w:rsidRPr="00A6095B">
        <w:t xml:space="preserve">. </w:t>
      </w:r>
      <w:proofErr w:type="spellStart"/>
      <w:r w:rsidRPr="00A6095B">
        <w:t>RCPsych</w:t>
      </w:r>
      <w:proofErr w:type="spellEnd"/>
      <w:r w:rsidRPr="00A6095B">
        <w:t xml:space="preserve"> Publications.</w:t>
      </w:r>
    </w:p>
    <w:p w14:paraId="34B5B0E2" w14:textId="77777777" w:rsidR="00403378" w:rsidRDefault="00403378" w:rsidP="0042167F">
      <w:pPr>
        <w:ind w:left="720" w:hanging="720"/>
      </w:pPr>
      <w:r w:rsidRPr="0042167F">
        <w:t xml:space="preserve">Carr, S.C. </w:t>
      </w:r>
      <w:r>
        <w:t>(</w:t>
      </w:r>
      <w:r w:rsidRPr="0042167F">
        <w:t>2023</w:t>
      </w:r>
      <w:r>
        <w:t>)</w:t>
      </w:r>
      <w:r w:rsidRPr="0042167F">
        <w:t>. Living Wage. In </w:t>
      </w:r>
      <w:r w:rsidRPr="0042167F">
        <w:rPr>
          <w:i/>
          <w:iCs/>
        </w:rPr>
        <w:t>Wage and Well-being: Toward Sustainable Livelihood</w:t>
      </w:r>
      <w:r w:rsidRPr="0042167F">
        <w:t> (pp. 147-179). Cham: Springer International Publishing.</w:t>
      </w:r>
    </w:p>
    <w:p w14:paraId="394F9210" w14:textId="77777777" w:rsidR="00403378" w:rsidRDefault="00403378" w:rsidP="0042167F">
      <w:pPr>
        <w:ind w:left="720" w:hanging="720"/>
      </w:pPr>
      <w:r w:rsidRPr="0042167F">
        <w:t xml:space="preserve">Corlett, A. and Judge, L. </w:t>
      </w:r>
      <w:r>
        <w:t>(</w:t>
      </w:r>
      <w:r w:rsidRPr="0042167F">
        <w:t>2024</w:t>
      </w:r>
      <w:r>
        <w:t>)</w:t>
      </w:r>
      <w:r w:rsidRPr="0042167F">
        <w:t>. The Resolution Foundation Housing Outlook Q1 2024. </w:t>
      </w:r>
      <w:r w:rsidRPr="0042167F">
        <w:rPr>
          <w:i/>
          <w:iCs/>
        </w:rPr>
        <w:t>The Resolution Foundation</w:t>
      </w:r>
      <w:r w:rsidRPr="0042167F">
        <w:t>.</w:t>
      </w:r>
    </w:p>
    <w:p w14:paraId="3CA33FFC" w14:textId="77777777" w:rsidR="00403378" w:rsidRDefault="00403378" w:rsidP="009455D3">
      <w:pPr>
        <w:ind w:left="720" w:hanging="720"/>
      </w:pPr>
      <w:r w:rsidRPr="00A6095B">
        <w:t xml:space="preserve">Creutzfeldt, N., </w:t>
      </w:r>
      <w:proofErr w:type="spellStart"/>
      <w:r w:rsidRPr="00A6095B">
        <w:t>Kyprianides</w:t>
      </w:r>
      <w:proofErr w:type="spellEnd"/>
      <w:r w:rsidRPr="00A6095B">
        <w:t xml:space="preserve">, A., Bradford, B. and Jackson, J. </w:t>
      </w:r>
      <w:r>
        <w:t>(</w:t>
      </w:r>
      <w:r w:rsidRPr="00A6095B">
        <w:t>2024</w:t>
      </w:r>
      <w:r>
        <w:t>)</w:t>
      </w:r>
      <w:r w:rsidRPr="00A6095B">
        <w:t>. Marginali</w:t>
      </w:r>
      <w:r>
        <w:t>s</w:t>
      </w:r>
      <w:r w:rsidRPr="00A6095B">
        <w:t>ed Groups and Unmet Legal Needs. In </w:t>
      </w:r>
      <w:r w:rsidRPr="00A6095B">
        <w:rPr>
          <w:i/>
          <w:iCs/>
        </w:rPr>
        <w:t>Access to Justice, Digitali</w:t>
      </w:r>
      <w:r>
        <w:rPr>
          <w:i/>
          <w:iCs/>
        </w:rPr>
        <w:t>s</w:t>
      </w:r>
      <w:r w:rsidRPr="00A6095B">
        <w:rPr>
          <w:i/>
          <w:iCs/>
        </w:rPr>
        <w:t>ation and Vulnerability</w:t>
      </w:r>
      <w:r w:rsidRPr="00A6095B">
        <w:t> (pp. 174-192). Bristol University Press.</w:t>
      </w:r>
    </w:p>
    <w:p w14:paraId="5DDA8E05" w14:textId="77777777" w:rsidR="00403378" w:rsidRDefault="00403378" w:rsidP="009455D3">
      <w:pPr>
        <w:ind w:left="720" w:hanging="720"/>
      </w:pPr>
      <w:proofErr w:type="spellStart"/>
      <w:r w:rsidRPr="00A6095B">
        <w:t>Dagovetz</w:t>
      </w:r>
      <w:proofErr w:type="spellEnd"/>
      <w:r w:rsidRPr="00A6095B">
        <w:t xml:space="preserve">, M., Momchilov, K., Blank, L., Khorsandi, J., Rizzo, A., </w:t>
      </w:r>
      <w:proofErr w:type="spellStart"/>
      <w:r w:rsidRPr="00A6095B">
        <w:t>Khabbache</w:t>
      </w:r>
      <w:proofErr w:type="spellEnd"/>
      <w:r w:rsidRPr="00A6095B">
        <w:t xml:space="preserve">, H., </w:t>
      </w:r>
      <w:proofErr w:type="spellStart"/>
      <w:r w:rsidRPr="00A6095B">
        <w:t>Sitibondo</w:t>
      </w:r>
      <w:proofErr w:type="spellEnd"/>
      <w:r w:rsidRPr="00A6095B">
        <w:t xml:space="preserve">, A., Salgado, J.G., Chirico, F. and Batra, K. </w:t>
      </w:r>
      <w:r>
        <w:t>(</w:t>
      </w:r>
      <w:r w:rsidRPr="00A6095B">
        <w:t>2025</w:t>
      </w:r>
      <w:r>
        <w:t>)</w:t>
      </w:r>
      <w:r w:rsidRPr="00A6095B">
        <w:t>. Global COVID-19 vaccination challenges: Inequity of access and vaccine hesitancy. </w:t>
      </w:r>
      <w:r w:rsidRPr="00A6095B">
        <w:rPr>
          <w:i/>
          <w:iCs/>
        </w:rPr>
        <w:t>Journal of Medicine, Surgery, and Public Health</w:t>
      </w:r>
      <w:r w:rsidRPr="00A6095B">
        <w:t>, </w:t>
      </w:r>
      <w:r w:rsidRPr="00A6095B">
        <w:rPr>
          <w:i/>
          <w:iCs/>
        </w:rPr>
        <w:t>6</w:t>
      </w:r>
      <w:r w:rsidRPr="00A6095B">
        <w:t>, p.100197.</w:t>
      </w:r>
    </w:p>
    <w:p w14:paraId="2487501A" w14:textId="77777777" w:rsidR="00403378" w:rsidRDefault="00403378" w:rsidP="009455D3">
      <w:pPr>
        <w:ind w:left="720" w:hanging="720"/>
      </w:pPr>
      <w:r w:rsidRPr="00A6095B">
        <w:t xml:space="preserve">Dalgıç, P.N. </w:t>
      </w:r>
      <w:r>
        <w:t>(</w:t>
      </w:r>
      <w:r w:rsidRPr="00A6095B">
        <w:t>2025</w:t>
      </w:r>
      <w:r>
        <w:t>)</w:t>
      </w:r>
      <w:r w:rsidRPr="00A6095B">
        <w:t>. The Role of Sustainable Development Goals (SDGs) in Reducing Health Inequalities. In Sustainable Development Goals (SDG) and Its Intersection with Health and Well-Being (pp. 491-520). IGI Global Scientific Publishing.</w:t>
      </w:r>
    </w:p>
    <w:p w14:paraId="7618B9B4" w14:textId="77777777" w:rsidR="00403378" w:rsidRDefault="00403378" w:rsidP="00836FC4">
      <w:pPr>
        <w:ind w:left="720" w:hanging="720"/>
      </w:pPr>
      <w:r w:rsidRPr="00572EB9">
        <w:t xml:space="preserve">Egharevba, H.O., </w:t>
      </w:r>
      <w:r>
        <w:t>(</w:t>
      </w:r>
      <w:r w:rsidRPr="00572EB9">
        <w:t>2024</w:t>
      </w:r>
      <w:r>
        <w:t>)</w:t>
      </w:r>
      <w:r w:rsidRPr="00572EB9">
        <w:t>. A Comparison of Healthcare Funding Systems between Low-/Medium-Income and High-Income Countries: Equity, Equality, and Fairness in the Rationing of Healthcare Resources. </w:t>
      </w:r>
      <w:r w:rsidRPr="00572EB9">
        <w:rPr>
          <w:i/>
          <w:iCs/>
        </w:rPr>
        <w:t>Journal of Health and Medical Sciences</w:t>
      </w:r>
      <w:r w:rsidRPr="00572EB9">
        <w:t>, </w:t>
      </w:r>
      <w:r w:rsidRPr="00572EB9">
        <w:rPr>
          <w:i/>
          <w:iCs/>
        </w:rPr>
        <w:t>7</w:t>
      </w:r>
      <w:r w:rsidRPr="00572EB9">
        <w:t>(2).</w:t>
      </w:r>
    </w:p>
    <w:p w14:paraId="2D991A70" w14:textId="77777777" w:rsidR="00403378" w:rsidRPr="00572EB9" w:rsidRDefault="00403378" w:rsidP="00403378">
      <w:pPr>
        <w:ind w:left="720" w:hanging="720"/>
      </w:pPr>
      <w:r w:rsidRPr="00403378">
        <w:lastRenderedPageBreak/>
        <w:t xml:space="preserve">England, N. (2025). </w:t>
      </w:r>
      <w:r w:rsidRPr="00403378">
        <w:rPr>
          <w:i/>
          <w:iCs/>
        </w:rPr>
        <w:t>NHS England» NHS waiting list hits two-year low as staff work to ‘turn the tide’</w:t>
      </w:r>
      <w:r w:rsidRPr="00403378">
        <w:t xml:space="preserve">. [online] England.nhs.uk. Available at: </w:t>
      </w:r>
      <w:hyperlink r:id="rId11" w:history="1">
        <w:r w:rsidRPr="00702359">
          <w:rPr>
            <w:rStyle w:val="Hyperlink"/>
          </w:rPr>
          <w:t>https://www.england.nhs.uk/2025/06/nhs-waiting-list-hits-two-year-low-as-staff-work-to-turn-the-tide/</w:t>
        </w:r>
      </w:hyperlink>
      <w:r>
        <w:t xml:space="preserve"> </w:t>
      </w:r>
      <w:r w:rsidRPr="00403378">
        <w:t>[Accessed 16 Jun. 2026].</w:t>
      </w:r>
    </w:p>
    <w:p w14:paraId="659811D4" w14:textId="77777777" w:rsidR="00403378" w:rsidRDefault="00403378" w:rsidP="009455D3">
      <w:pPr>
        <w:ind w:left="720" w:hanging="720"/>
      </w:pPr>
      <w:r w:rsidRPr="00A6095B">
        <w:t xml:space="preserve">England, N.H.S. </w:t>
      </w:r>
      <w:r>
        <w:t>(</w:t>
      </w:r>
      <w:r w:rsidRPr="00A6095B">
        <w:t>2023</w:t>
      </w:r>
      <w:r>
        <w:t>)</w:t>
      </w:r>
      <w:r w:rsidRPr="00A6095B">
        <w:t>. </w:t>
      </w:r>
      <w:r w:rsidRPr="00A6095B">
        <w:rPr>
          <w:i/>
          <w:iCs/>
        </w:rPr>
        <w:t>NHS long term workforce plan</w:t>
      </w:r>
      <w:r w:rsidRPr="00A6095B">
        <w:t> [online]</w:t>
      </w:r>
    </w:p>
    <w:p w14:paraId="15F0D560" w14:textId="77777777" w:rsidR="00403378" w:rsidRDefault="00403378" w:rsidP="0042167F">
      <w:pPr>
        <w:ind w:left="720" w:hanging="720"/>
      </w:pPr>
      <w:r w:rsidRPr="0042167F">
        <w:t xml:space="preserve">Garcia, R. </w:t>
      </w:r>
      <w:r>
        <w:t>(</w:t>
      </w:r>
      <w:r w:rsidRPr="0042167F">
        <w:t>2022</w:t>
      </w:r>
      <w:r>
        <w:t>)</w:t>
      </w:r>
      <w:r w:rsidRPr="0042167F">
        <w:t>. Social determinants of health. </w:t>
      </w:r>
      <w:r w:rsidRPr="0042167F">
        <w:rPr>
          <w:i/>
          <w:iCs/>
        </w:rPr>
        <w:t>A population health approach to health disparities for nurses: Care of vulnerable populations</w:t>
      </w:r>
      <w:r w:rsidRPr="0042167F">
        <w:t>, pp.105-130.</w:t>
      </w:r>
    </w:p>
    <w:p w14:paraId="533671CE" w14:textId="77777777" w:rsidR="00403378" w:rsidRDefault="00403378" w:rsidP="009455D3">
      <w:pPr>
        <w:ind w:left="720" w:hanging="720"/>
      </w:pPr>
      <w:r w:rsidRPr="009455D3">
        <w:t xml:space="preserve">Giebel, C., Shrestha, N., Reilly, S., White, R.G., Zuluaga, M.I., Saldarriaga, G., Liu, G., Allen, D. and Gabbay, M. </w:t>
      </w:r>
      <w:r>
        <w:t>(</w:t>
      </w:r>
      <w:r w:rsidRPr="009455D3">
        <w:t>2022</w:t>
      </w:r>
      <w:r>
        <w:t>)</w:t>
      </w:r>
      <w:r w:rsidRPr="009455D3">
        <w:t>. Community-based mental health and well-being interventions for older adults in low-and middle-income countries: a systematic review and meta-analysis. </w:t>
      </w:r>
      <w:r w:rsidRPr="009455D3">
        <w:rPr>
          <w:i/>
          <w:iCs/>
        </w:rPr>
        <w:t>BMC geriatrics</w:t>
      </w:r>
      <w:r w:rsidRPr="009455D3">
        <w:t>, </w:t>
      </w:r>
      <w:r w:rsidRPr="009455D3">
        <w:rPr>
          <w:i/>
          <w:iCs/>
        </w:rPr>
        <w:t>22</w:t>
      </w:r>
      <w:r w:rsidRPr="009455D3">
        <w:t>(1), p.773.</w:t>
      </w:r>
      <w:r>
        <w:t xml:space="preserve"> </w:t>
      </w:r>
    </w:p>
    <w:p w14:paraId="6AB8D2EF" w14:textId="77777777" w:rsidR="00403378" w:rsidRDefault="00403378" w:rsidP="009455D3">
      <w:pPr>
        <w:ind w:left="720" w:hanging="720"/>
      </w:pPr>
      <w:r w:rsidRPr="00A6095B">
        <w:t xml:space="preserve">Gonçalves, J.R., Magalhães, N., Machado, S., </w:t>
      </w:r>
      <w:proofErr w:type="spellStart"/>
      <w:r w:rsidRPr="00A6095B">
        <w:t>Ramalhinho</w:t>
      </w:r>
      <w:proofErr w:type="spellEnd"/>
      <w:r w:rsidRPr="00A6095B">
        <w:t xml:space="preserve">, I. and Cavaco, A.M. </w:t>
      </w:r>
      <w:r>
        <w:t>(</w:t>
      </w:r>
      <w:r w:rsidRPr="00A6095B">
        <w:t>2025</w:t>
      </w:r>
      <w:r>
        <w:t>)</w:t>
      </w:r>
      <w:r w:rsidRPr="00A6095B">
        <w:t>. Pharmacist-mediated deprescribing in long-term care facilities: a systematic review. </w:t>
      </w:r>
      <w:r w:rsidRPr="00A6095B">
        <w:rPr>
          <w:i/>
          <w:iCs/>
        </w:rPr>
        <w:t>Pharmacy</w:t>
      </w:r>
      <w:r w:rsidRPr="00A6095B">
        <w:t>, </w:t>
      </w:r>
      <w:r w:rsidRPr="00A6095B">
        <w:rPr>
          <w:i/>
          <w:iCs/>
        </w:rPr>
        <w:t>13</w:t>
      </w:r>
      <w:r w:rsidRPr="00A6095B">
        <w:t>(1), p.3.</w:t>
      </w:r>
    </w:p>
    <w:p w14:paraId="4F8118A1" w14:textId="77777777" w:rsidR="00403378" w:rsidRDefault="00403378" w:rsidP="0042167F">
      <w:pPr>
        <w:ind w:left="720" w:hanging="720"/>
        <w:rPr>
          <w:lang w:val="en-US"/>
        </w:rPr>
      </w:pPr>
      <w:r w:rsidRPr="0042167F">
        <w:rPr>
          <w:lang w:val="en-US"/>
        </w:rPr>
        <w:t>GOV.UK. (1974</w:t>
      </w:r>
      <w:r>
        <w:rPr>
          <w:lang w:val="en-US"/>
        </w:rPr>
        <w:t>)</w:t>
      </w:r>
      <w:r w:rsidRPr="0042167F">
        <w:rPr>
          <w:lang w:val="en-US"/>
        </w:rPr>
        <w:t xml:space="preserve">. </w:t>
      </w:r>
      <w:r w:rsidRPr="0042167F">
        <w:rPr>
          <w:i/>
          <w:iCs/>
          <w:lang w:val="en-US"/>
        </w:rPr>
        <w:t>Health and safety at work etc. act 1974</w:t>
      </w:r>
      <w:r w:rsidRPr="0042167F">
        <w:rPr>
          <w:lang w:val="en-US"/>
        </w:rPr>
        <w:t xml:space="preserve">. Legislation.gov.uk. </w:t>
      </w:r>
      <w:hyperlink r:id="rId12" w:history="1">
        <w:r w:rsidRPr="00D12900">
          <w:rPr>
            <w:rStyle w:val="Hyperlink"/>
            <w:lang w:val="en-US"/>
          </w:rPr>
          <w:t>https://www.legislation.gov.uk/ukpga/1974/37/contents</w:t>
        </w:r>
      </w:hyperlink>
      <w:r>
        <w:rPr>
          <w:lang w:val="en-US"/>
        </w:rPr>
        <w:t xml:space="preserve"> </w:t>
      </w:r>
      <w:r w:rsidRPr="00836FC4">
        <w:t>[Accessed 16 Jun. 2026].</w:t>
      </w:r>
    </w:p>
    <w:p w14:paraId="269AB15B" w14:textId="77777777" w:rsidR="00403378" w:rsidRPr="00604472" w:rsidRDefault="00403378" w:rsidP="00604472">
      <w:pPr>
        <w:ind w:left="720" w:hanging="720"/>
      </w:pPr>
      <w:r w:rsidRPr="00604472">
        <w:t xml:space="preserve">Hotez, P.J., Cooney, R.E., Benjamin, R.M., Brewer, N.T., </w:t>
      </w:r>
      <w:proofErr w:type="spellStart"/>
      <w:r w:rsidRPr="00604472">
        <w:t>Buttenheim</w:t>
      </w:r>
      <w:proofErr w:type="spellEnd"/>
      <w:r w:rsidRPr="00604472">
        <w:t xml:space="preserve">, A.M., Callaghan, T., Caplan, A., </w:t>
      </w:r>
      <w:proofErr w:type="spellStart"/>
      <w:r w:rsidRPr="00604472">
        <w:t>Carpiano</w:t>
      </w:r>
      <w:proofErr w:type="spellEnd"/>
      <w:r w:rsidRPr="00604472">
        <w:t xml:space="preserve">, R.M., Clinton, C., DiResta, R. and </w:t>
      </w:r>
      <w:proofErr w:type="spellStart"/>
      <w:r w:rsidRPr="00604472">
        <w:t>Elharake</w:t>
      </w:r>
      <w:proofErr w:type="spellEnd"/>
      <w:r w:rsidRPr="00604472">
        <w:t xml:space="preserve">, J.A., </w:t>
      </w:r>
      <w:r>
        <w:t>(</w:t>
      </w:r>
      <w:r w:rsidRPr="00604472">
        <w:t>2021</w:t>
      </w:r>
      <w:r>
        <w:t>)</w:t>
      </w:r>
      <w:r w:rsidRPr="00604472">
        <w:t>. Announcing the lancet commission on vaccine refusal, acceptance, and demand in the USA. </w:t>
      </w:r>
      <w:r w:rsidRPr="00604472">
        <w:rPr>
          <w:i/>
          <w:iCs/>
        </w:rPr>
        <w:t>The Lancet</w:t>
      </w:r>
      <w:r w:rsidRPr="00604472">
        <w:t>, </w:t>
      </w:r>
      <w:r w:rsidRPr="00604472">
        <w:rPr>
          <w:i/>
          <w:iCs/>
        </w:rPr>
        <w:t>397</w:t>
      </w:r>
      <w:r w:rsidRPr="00604472">
        <w:t>(10280), pp.1165-1167.</w:t>
      </w:r>
    </w:p>
    <w:p w14:paraId="1792B3DF" w14:textId="77777777" w:rsidR="00403378" w:rsidRPr="009455D3" w:rsidRDefault="00403378" w:rsidP="009455D3">
      <w:pPr>
        <w:ind w:left="720" w:hanging="720"/>
        <w:rPr>
          <w:lang w:val="en-US"/>
        </w:rPr>
      </w:pPr>
      <w:r w:rsidRPr="009455D3">
        <w:rPr>
          <w:lang w:val="en-US"/>
        </w:rPr>
        <w:t xml:space="preserve">ILO. (2023, March 19). </w:t>
      </w:r>
      <w:r w:rsidRPr="009455D3">
        <w:rPr>
          <w:i/>
          <w:iCs/>
          <w:lang w:val="en-US"/>
        </w:rPr>
        <w:t>Decent work and the 2030 Agenda for Sustainable Development</w:t>
      </w:r>
      <w:r w:rsidRPr="009455D3">
        <w:rPr>
          <w:lang w:val="en-US"/>
        </w:rPr>
        <w:t xml:space="preserve">. International </w:t>
      </w:r>
      <w:proofErr w:type="spellStart"/>
      <w:r w:rsidRPr="009455D3">
        <w:rPr>
          <w:lang w:val="en-US"/>
        </w:rPr>
        <w:t>Labour</w:t>
      </w:r>
      <w:proofErr w:type="spellEnd"/>
      <w:r w:rsidRPr="009455D3">
        <w:rPr>
          <w:lang w:val="en-US"/>
        </w:rPr>
        <w:t xml:space="preserve"> </w:t>
      </w:r>
      <w:proofErr w:type="spellStart"/>
      <w:r w:rsidRPr="009455D3">
        <w:rPr>
          <w:lang w:val="en-US"/>
        </w:rPr>
        <w:t>Organi</w:t>
      </w:r>
      <w:r>
        <w:rPr>
          <w:lang w:val="en-US"/>
        </w:rPr>
        <w:t>s</w:t>
      </w:r>
      <w:r w:rsidRPr="009455D3">
        <w:rPr>
          <w:lang w:val="en-US"/>
        </w:rPr>
        <w:t>ation</w:t>
      </w:r>
      <w:proofErr w:type="spellEnd"/>
      <w:r w:rsidRPr="009455D3">
        <w:rPr>
          <w:lang w:val="en-US"/>
        </w:rPr>
        <w:t xml:space="preserve">. </w:t>
      </w:r>
      <w:hyperlink r:id="rId13" w:history="1">
        <w:r w:rsidRPr="00D12900">
          <w:rPr>
            <w:rStyle w:val="Hyperlink"/>
            <w:lang w:val="en-US"/>
          </w:rPr>
          <w:t>https://www.ilo.org/topics-and-sectors/decent-work-and-2030-agenda-sustainable-development</w:t>
        </w:r>
      </w:hyperlink>
      <w:r>
        <w:rPr>
          <w:lang w:val="en-US"/>
        </w:rPr>
        <w:t xml:space="preserve"> </w:t>
      </w:r>
      <w:r w:rsidRPr="00836FC4">
        <w:t>[Accessed 16 Jun. 2026].</w:t>
      </w:r>
    </w:p>
    <w:p w14:paraId="720B343F" w14:textId="77777777" w:rsidR="00403378" w:rsidRDefault="00403378" w:rsidP="009455D3">
      <w:pPr>
        <w:ind w:left="720" w:hanging="720"/>
      </w:pPr>
      <w:r w:rsidRPr="009455D3">
        <w:t xml:space="preserve">Jahnel, T., Dassow, H.H., Gerhardus, A. and </w:t>
      </w:r>
      <w:proofErr w:type="spellStart"/>
      <w:r w:rsidRPr="009455D3">
        <w:t>Schüz</w:t>
      </w:r>
      <w:proofErr w:type="spellEnd"/>
      <w:r w:rsidRPr="009455D3">
        <w:t xml:space="preserve">, B. </w:t>
      </w:r>
      <w:r>
        <w:t>(</w:t>
      </w:r>
      <w:r w:rsidRPr="009455D3">
        <w:t>2022</w:t>
      </w:r>
      <w:r>
        <w:t>)</w:t>
      </w:r>
      <w:r w:rsidRPr="009455D3">
        <w:t>. The digital rainbow: digital determinants of health inequities. </w:t>
      </w:r>
      <w:r w:rsidRPr="009455D3">
        <w:rPr>
          <w:i/>
          <w:iCs/>
        </w:rPr>
        <w:t>Digital Health</w:t>
      </w:r>
      <w:r w:rsidRPr="009455D3">
        <w:t>, </w:t>
      </w:r>
      <w:r w:rsidRPr="009455D3">
        <w:rPr>
          <w:i/>
          <w:iCs/>
        </w:rPr>
        <w:t>8</w:t>
      </w:r>
      <w:r w:rsidRPr="009455D3">
        <w:t>, p.20552076221129093.</w:t>
      </w:r>
    </w:p>
    <w:p w14:paraId="32E0449B" w14:textId="77777777" w:rsidR="00403378" w:rsidRDefault="00403378" w:rsidP="0042167F">
      <w:pPr>
        <w:ind w:left="720" w:hanging="720"/>
      </w:pPr>
      <w:r w:rsidRPr="0042167F">
        <w:t xml:space="preserve">Karn, D.K., Mishra, A.K. and Aithal, P.S. </w:t>
      </w:r>
      <w:r>
        <w:t>(</w:t>
      </w:r>
      <w:r w:rsidRPr="0042167F">
        <w:t>2025</w:t>
      </w:r>
      <w:r>
        <w:t>)</w:t>
      </w:r>
      <w:r w:rsidRPr="0042167F">
        <w:t xml:space="preserve">. Maslow’s need hierarchy </w:t>
      </w:r>
      <w:proofErr w:type="spellStart"/>
      <w:r w:rsidRPr="0042167F">
        <w:t>theor</w:t>
      </w:r>
      <w:proofErr w:type="spellEnd"/>
      <w:r w:rsidRPr="0042167F">
        <w:t xml:space="preserve"> y with reference to socio-cultural dynamics in Nepal. </w:t>
      </w:r>
      <w:proofErr w:type="spellStart"/>
      <w:r w:rsidRPr="0042167F">
        <w:rPr>
          <w:i/>
          <w:iCs/>
        </w:rPr>
        <w:t>Poornaprajna</w:t>
      </w:r>
      <w:proofErr w:type="spellEnd"/>
      <w:r w:rsidRPr="0042167F">
        <w:rPr>
          <w:i/>
          <w:iCs/>
        </w:rPr>
        <w:t xml:space="preserve"> International Journal of Management, Education &amp; Social </w:t>
      </w:r>
      <w:proofErr w:type="spellStart"/>
      <w:r w:rsidRPr="0042167F">
        <w:rPr>
          <w:i/>
          <w:iCs/>
        </w:rPr>
        <w:t>Scienc</w:t>
      </w:r>
      <w:proofErr w:type="spellEnd"/>
      <w:r w:rsidRPr="0042167F">
        <w:rPr>
          <w:i/>
          <w:iCs/>
        </w:rPr>
        <w:t xml:space="preserve"> e (PIJMESS)</w:t>
      </w:r>
      <w:r w:rsidRPr="0042167F">
        <w:t>, </w:t>
      </w:r>
      <w:r w:rsidRPr="0042167F">
        <w:rPr>
          <w:i/>
          <w:iCs/>
        </w:rPr>
        <w:t>2</w:t>
      </w:r>
      <w:r w:rsidRPr="0042167F">
        <w:t>(2), pp.148-157.</w:t>
      </w:r>
    </w:p>
    <w:p w14:paraId="60B4C18D" w14:textId="77777777" w:rsidR="00403378" w:rsidRDefault="00403378" w:rsidP="009455D3">
      <w:pPr>
        <w:ind w:left="720" w:hanging="720"/>
      </w:pPr>
      <w:r w:rsidRPr="009455D3">
        <w:t xml:space="preserve">Knight, L. </w:t>
      </w:r>
      <w:r>
        <w:t>(</w:t>
      </w:r>
      <w:r w:rsidRPr="009455D3">
        <w:t>2025</w:t>
      </w:r>
      <w:r>
        <w:t>)</w:t>
      </w:r>
      <w:r w:rsidRPr="009455D3">
        <w:t>. Emerging challenges in integrated care system leadership: a qualitative case study. </w:t>
      </w:r>
      <w:r w:rsidRPr="009455D3">
        <w:rPr>
          <w:i/>
          <w:iCs/>
        </w:rPr>
        <w:t>British Journal of Healthcare Management</w:t>
      </w:r>
      <w:r w:rsidRPr="009455D3">
        <w:t>, </w:t>
      </w:r>
      <w:r w:rsidRPr="009455D3">
        <w:rPr>
          <w:i/>
          <w:iCs/>
        </w:rPr>
        <w:t>31</w:t>
      </w:r>
      <w:r w:rsidRPr="009455D3">
        <w:t>(11), pp.1-9.</w:t>
      </w:r>
    </w:p>
    <w:p w14:paraId="117236DC" w14:textId="77777777" w:rsidR="00403378" w:rsidRDefault="00403378" w:rsidP="0042167F">
      <w:pPr>
        <w:ind w:left="720" w:hanging="720"/>
      </w:pPr>
      <w:r w:rsidRPr="0042167F">
        <w:t xml:space="preserve">Lavelle, J., McMahon, J., Murphy, C., Ryan, L., O'Sullivan, M., O'Brien, M., </w:t>
      </w:r>
      <w:proofErr w:type="spellStart"/>
      <w:r w:rsidRPr="0042167F">
        <w:t>Gunnigle</w:t>
      </w:r>
      <w:proofErr w:type="spellEnd"/>
      <w:r w:rsidRPr="0042167F">
        <w:t xml:space="preserve">, P. and Turner, T. </w:t>
      </w:r>
      <w:r>
        <w:t>(</w:t>
      </w:r>
      <w:r w:rsidRPr="0042167F">
        <w:t>2023</w:t>
      </w:r>
      <w:r>
        <w:t>)</w:t>
      </w:r>
      <w:r w:rsidRPr="0042167F">
        <w:t>. Challenges Associated with Regulating Zero Hours Work. In </w:t>
      </w:r>
      <w:r w:rsidRPr="0042167F">
        <w:rPr>
          <w:i/>
          <w:iCs/>
        </w:rPr>
        <w:t>Tackling Precarious Work</w:t>
      </w:r>
      <w:r w:rsidRPr="0042167F">
        <w:t> (pp. 384-409). Routledge.</w:t>
      </w:r>
    </w:p>
    <w:p w14:paraId="65AF5A54" w14:textId="77777777" w:rsidR="00403378" w:rsidRDefault="00403378" w:rsidP="0042167F">
      <w:pPr>
        <w:ind w:left="720" w:hanging="720"/>
      </w:pPr>
      <w:proofErr w:type="spellStart"/>
      <w:r w:rsidRPr="0042167F">
        <w:lastRenderedPageBreak/>
        <w:t>Mustchin</w:t>
      </w:r>
      <w:proofErr w:type="spellEnd"/>
      <w:r w:rsidRPr="0042167F">
        <w:t xml:space="preserve">, S. and Martínez Lucio, M. </w:t>
      </w:r>
      <w:r>
        <w:t>(</w:t>
      </w:r>
      <w:r w:rsidRPr="0042167F">
        <w:t>2023</w:t>
      </w:r>
      <w:r>
        <w:t>)</w:t>
      </w:r>
      <w:r w:rsidRPr="0042167F">
        <w:t>. The fragmenting occupation of labour inspection and the degradation of regulatory and enforcement work inside the British state. </w:t>
      </w:r>
      <w:r w:rsidRPr="0042167F">
        <w:rPr>
          <w:i/>
          <w:iCs/>
        </w:rPr>
        <w:t>Economic and Industrial Democracy</w:t>
      </w:r>
      <w:r w:rsidRPr="0042167F">
        <w:t>, </w:t>
      </w:r>
      <w:r w:rsidRPr="0042167F">
        <w:rPr>
          <w:i/>
          <w:iCs/>
        </w:rPr>
        <w:t>44</w:t>
      </w:r>
      <w:r w:rsidRPr="0042167F">
        <w:t>(2), pp.526-546.</w:t>
      </w:r>
    </w:p>
    <w:p w14:paraId="13294280" w14:textId="77777777" w:rsidR="00403378" w:rsidRDefault="00403378" w:rsidP="009455D3">
      <w:pPr>
        <w:ind w:left="720" w:hanging="720"/>
        <w:rPr>
          <w:rFonts w:ascii="Arial" w:hAnsi="Arial" w:cs="Arial"/>
          <w:color w:val="222222"/>
          <w:sz w:val="20"/>
          <w:szCs w:val="20"/>
          <w:shd w:val="clear" w:color="auto" w:fill="FFFFFF"/>
        </w:rPr>
      </w:pPr>
      <w:r w:rsidRPr="00A6095B">
        <w:rPr>
          <w:lang w:val="en-US"/>
        </w:rPr>
        <w:t xml:space="preserve">Prizeman, K., Weinstein, N. and McCabe, C. </w:t>
      </w:r>
      <w:r>
        <w:rPr>
          <w:lang w:val="en-US"/>
        </w:rPr>
        <w:t>(</w:t>
      </w:r>
      <w:r w:rsidRPr="00A6095B">
        <w:rPr>
          <w:lang w:val="en-US"/>
        </w:rPr>
        <w:t>2023</w:t>
      </w:r>
      <w:r>
        <w:rPr>
          <w:lang w:val="en-US"/>
        </w:rPr>
        <w:t>)</w:t>
      </w:r>
      <w:r w:rsidRPr="00A6095B">
        <w:rPr>
          <w:lang w:val="en-US"/>
        </w:rPr>
        <w:t>. Effects of mental health stigma on loneliness, social isolation, and relationships in young people with depression symptoms. BMC psychiatry, 23(1), p.527.</w:t>
      </w:r>
      <w:r w:rsidRPr="00A6095B">
        <w:rPr>
          <w:rFonts w:ascii="Arial" w:hAnsi="Arial" w:cs="Arial"/>
          <w:color w:val="222222"/>
          <w:sz w:val="20"/>
          <w:szCs w:val="20"/>
          <w:shd w:val="clear" w:color="auto" w:fill="FFFFFF"/>
        </w:rPr>
        <w:t xml:space="preserve"> </w:t>
      </w:r>
    </w:p>
    <w:p w14:paraId="30E8F740" w14:textId="77777777" w:rsidR="00403378" w:rsidRDefault="00403378" w:rsidP="0042167F">
      <w:pPr>
        <w:ind w:left="720" w:hanging="720"/>
      </w:pPr>
      <w:r w:rsidRPr="0042167F">
        <w:t xml:space="preserve">Saif, G.B.D. </w:t>
      </w:r>
      <w:r>
        <w:t>(</w:t>
      </w:r>
      <w:r w:rsidRPr="0042167F">
        <w:t>2024</w:t>
      </w:r>
      <w:r>
        <w:t>)</w:t>
      </w:r>
      <w:r w:rsidRPr="0042167F">
        <w:t>. Towards a dynamic model of human needs: A critical analysis of Maslow's hierarchy.</w:t>
      </w:r>
    </w:p>
    <w:p w14:paraId="7462286A" w14:textId="77777777" w:rsidR="00403378" w:rsidRDefault="00403378" w:rsidP="009455D3">
      <w:pPr>
        <w:ind w:left="720" w:hanging="720"/>
      </w:pPr>
      <w:r w:rsidRPr="009455D3">
        <w:t xml:space="preserve">Shin, K.Y., Kalleberg, A.L. and Hewison, K. </w:t>
      </w:r>
      <w:r>
        <w:t>(</w:t>
      </w:r>
      <w:r w:rsidRPr="009455D3">
        <w:t>2023</w:t>
      </w:r>
      <w:r>
        <w:t>)</w:t>
      </w:r>
      <w:r w:rsidRPr="009455D3">
        <w:t>. Precarious work: A global perspective. </w:t>
      </w:r>
      <w:r w:rsidRPr="009455D3">
        <w:rPr>
          <w:i/>
          <w:iCs/>
        </w:rPr>
        <w:t>Sociology Compass</w:t>
      </w:r>
      <w:r w:rsidRPr="009455D3">
        <w:t>, </w:t>
      </w:r>
      <w:r w:rsidRPr="009455D3">
        <w:rPr>
          <w:i/>
          <w:iCs/>
        </w:rPr>
        <w:t>17</w:t>
      </w:r>
      <w:r w:rsidRPr="009455D3">
        <w:t>(12), p. e13136.</w:t>
      </w:r>
    </w:p>
    <w:p w14:paraId="74B5665D" w14:textId="77777777" w:rsidR="00403378" w:rsidRDefault="00403378" w:rsidP="009455D3">
      <w:pPr>
        <w:ind w:left="720" w:hanging="720"/>
      </w:pPr>
      <w:r w:rsidRPr="009455D3">
        <w:t xml:space="preserve">Su, X. and Chan, K.L. </w:t>
      </w:r>
      <w:r>
        <w:t>(</w:t>
      </w:r>
      <w:r w:rsidRPr="009455D3">
        <w:t>2023</w:t>
      </w:r>
      <w:r>
        <w:t>)</w:t>
      </w:r>
      <w:r w:rsidRPr="009455D3">
        <w:t>. The associations of decent work with wellbeing and career capabilities: a meta-analysis. </w:t>
      </w:r>
      <w:r w:rsidRPr="009455D3">
        <w:rPr>
          <w:i/>
          <w:iCs/>
        </w:rPr>
        <w:t>Frontiers in psychology</w:t>
      </w:r>
      <w:r w:rsidRPr="009455D3">
        <w:t>, </w:t>
      </w:r>
      <w:r w:rsidRPr="009455D3">
        <w:rPr>
          <w:i/>
          <w:iCs/>
        </w:rPr>
        <w:t>14</w:t>
      </w:r>
      <w:r w:rsidRPr="009455D3">
        <w:t>, p.1068599.</w:t>
      </w:r>
    </w:p>
    <w:p w14:paraId="6E24E15D" w14:textId="77777777" w:rsidR="00403378" w:rsidRDefault="00403378" w:rsidP="009455D3">
      <w:pPr>
        <w:ind w:left="720" w:hanging="720"/>
      </w:pPr>
      <w:r w:rsidRPr="009455D3">
        <w:t xml:space="preserve">Takala, J., </w:t>
      </w:r>
      <w:proofErr w:type="spellStart"/>
      <w:r w:rsidRPr="009455D3">
        <w:t>Descatha</w:t>
      </w:r>
      <w:proofErr w:type="spellEnd"/>
      <w:r w:rsidRPr="009455D3">
        <w:t xml:space="preserve">, A., Oppliger, A., Hamzaoui, H., </w:t>
      </w:r>
      <w:proofErr w:type="spellStart"/>
      <w:r w:rsidRPr="009455D3">
        <w:t>Bråkenhielm</w:t>
      </w:r>
      <w:proofErr w:type="spellEnd"/>
      <w:r w:rsidRPr="009455D3">
        <w:t xml:space="preserve">, C. and Neupane, S. </w:t>
      </w:r>
      <w:r>
        <w:t>(</w:t>
      </w:r>
      <w:r w:rsidRPr="009455D3">
        <w:t>2023</w:t>
      </w:r>
      <w:r>
        <w:t>)</w:t>
      </w:r>
      <w:r w:rsidRPr="009455D3">
        <w:t>. Global estimates on biological risks at work. </w:t>
      </w:r>
      <w:r w:rsidRPr="009455D3">
        <w:rPr>
          <w:i/>
          <w:iCs/>
        </w:rPr>
        <w:t>Safety and Health at Work</w:t>
      </w:r>
      <w:r w:rsidRPr="009455D3">
        <w:t>, </w:t>
      </w:r>
      <w:r w:rsidRPr="009455D3">
        <w:rPr>
          <w:i/>
          <w:iCs/>
        </w:rPr>
        <w:t>14</w:t>
      </w:r>
      <w:r w:rsidRPr="009455D3">
        <w:t>(4), pp.390-397.</w:t>
      </w:r>
    </w:p>
    <w:p w14:paraId="17E69610" w14:textId="77777777" w:rsidR="00403378" w:rsidRDefault="00403378" w:rsidP="009455D3">
      <w:pPr>
        <w:ind w:left="720" w:hanging="720"/>
        <w:rPr>
          <w:lang w:val="en-US"/>
        </w:rPr>
      </w:pPr>
      <w:r w:rsidRPr="009455D3">
        <w:rPr>
          <w:lang w:val="en-US"/>
        </w:rPr>
        <w:t xml:space="preserve">UN. (2015). </w:t>
      </w:r>
      <w:r w:rsidRPr="009455D3">
        <w:rPr>
          <w:i/>
          <w:iCs/>
          <w:lang w:val="en-US"/>
        </w:rPr>
        <w:t>Goal 8 | Department of Economic and Social Affairs</w:t>
      </w:r>
      <w:r w:rsidRPr="009455D3">
        <w:rPr>
          <w:lang w:val="en-US"/>
        </w:rPr>
        <w:t xml:space="preserve">. United Nations. </w:t>
      </w:r>
      <w:hyperlink r:id="rId14" w:history="1">
        <w:r w:rsidRPr="00D12900">
          <w:rPr>
            <w:rStyle w:val="Hyperlink"/>
            <w:lang w:val="en-US"/>
          </w:rPr>
          <w:t>https://sdgs.un.org/goals/goal8</w:t>
        </w:r>
      </w:hyperlink>
      <w:r>
        <w:rPr>
          <w:lang w:val="en-US"/>
        </w:rPr>
        <w:t xml:space="preserve"> </w:t>
      </w:r>
      <w:r w:rsidRPr="00836FC4">
        <w:t>[Accessed 16 Jun. 2026].</w:t>
      </w:r>
    </w:p>
    <w:p w14:paraId="04179F3C" w14:textId="77777777" w:rsidR="00403378" w:rsidRDefault="00403378" w:rsidP="009455D3">
      <w:pPr>
        <w:ind w:left="720" w:hanging="720"/>
        <w:rPr>
          <w:lang w:val="en-US"/>
        </w:rPr>
      </w:pPr>
      <w:r w:rsidRPr="009455D3">
        <w:rPr>
          <w:lang w:val="en-US"/>
        </w:rPr>
        <w:t xml:space="preserve">UNDP. (2017). </w:t>
      </w:r>
      <w:r w:rsidRPr="009455D3">
        <w:rPr>
          <w:i/>
          <w:iCs/>
          <w:lang w:val="en-US"/>
        </w:rPr>
        <w:t>The 17 goals | sustainable development</w:t>
      </w:r>
      <w:r w:rsidRPr="009455D3">
        <w:rPr>
          <w:lang w:val="en-US"/>
        </w:rPr>
        <w:t xml:space="preserve">. United Nations. </w:t>
      </w:r>
      <w:hyperlink r:id="rId15" w:history="1">
        <w:r w:rsidRPr="00D12900">
          <w:rPr>
            <w:rStyle w:val="Hyperlink"/>
            <w:lang w:val="en-US"/>
          </w:rPr>
          <w:t>https://sdgs.un.org/goals</w:t>
        </w:r>
      </w:hyperlink>
      <w:r>
        <w:rPr>
          <w:lang w:val="en-US"/>
        </w:rPr>
        <w:t xml:space="preserve"> </w:t>
      </w:r>
      <w:r w:rsidRPr="00836FC4">
        <w:t>[Accessed 16 Jun. 2026].</w:t>
      </w:r>
    </w:p>
    <w:p w14:paraId="194475D9" w14:textId="77777777" w:rsidR="00403378" w:rsidRDefault="00403378" w:rsidP="009455D3">
      <w:pPr>
        <w:ind w:left="720" w:hanging="720"/>
        <w:rPr>
          <w:lang w:val="en-US"/>
        </w:rPr>
      </w:pPr>
      <w:r w:rsidRPr="009455D3">
        <w:rPr>
          <w:lang w:val="en-US"/>
        </w:rPr>
        <w:t xml:space="preserve">WHO. (1986). Ottawa Charter for Health Promotion, 1986 health promotion. </w:t>
      </w:r>
      <w:hyperlink r:id="rId16" w:history="1">
        <w:r w:rsidRPr="00D12900">
          <w:rPr>
            <w:rStyle w:val="Hyperlink"/>
            <w:lang w:val="en-US"/>
          </w:rPr>
          <w:t>https://www.naspa.org/images/uploads/kcs/WHPL_Canon_HP_Ottawa_Charter_5.pdf</w:t>
        </w:r>
      </w:hyperlink>
      <w:r>
        <w:rPr>
          <w:lang w:val="en-US"/>
        </w:rPr>
        <w:t xml:space="preserve"> </w:t>
      </w:r>
      <w:r w:rsidRPr="00836FC4">
        <w:t>[Accessed 16 Jun. 2026].</w:t>
      </w:r>
    </w:p>
    <w:p w14:paraId="7269D062" w14:textId="77777777" w:rsidR="00403378" w:rsidRDefault="00403378" w:rsidP="0042167F">
      <w:pPr>
        <w:ind w:left="720" w:hanging="720"/>
        <w:rPr>
          <w:lang w:val="en-US"/>
        </w:rPr>
      </w:pPr>
      <w:r w:rsidRPr="0042167F">
        <w:rPr>
          <w:lang w:val="en-US"/>
        </w:rPr>
        <w:t xml:space="preserve">WHO. (2010). </w:t>
      </w:r>
      <w:r w:rsidRPr="0042167F">
        <w:rPr>
          <w:i/>
          <w:iCs/>
          <w:lang w:val="en-US"/>
        </w:rPr>
        <w:t>Who healthy workplace framework and model</w:t>
      </w:r>
      <w:r w:rsidRPr="0042167F">
        <w:rPr>
          <w:lang w:val="en-US"/>
        </w:rPr>
        <w:t xml:space="preserve">. World Health </w:t>
      </w:r>
      <w:proofErr w:type="spellStart"/>
      <w:r w:rsidRPr="0042167F">
        <w:rPr>
          <w:lang w:val="en-US"/>
        </w:rPr>
        <w:t>Organi</w:t>
      </w:r>
      <w:r>
        <w:rPr>
          <w:lang w:val="en-US"/>
        </w:rPr>
        <w:t>s</w:t>
      </w:r>
      <w:r w:rsidRPr="0042167F">
        <w:rPr>
          <w:lang w:val="en-US"/>
        </w:rPr>
        <w:t>ation</w:t>
      </w:r>
      <w:proofErr w:type="spellEnd"/>
      <w:r w:rsidRPr="0042167F">
        <w:rPr>
          <w:lang w:val="en-US"/>
        </w:rPr>
        <w:t xml:space="preserve">. </w:t>
      </w:r>
      <w:hyperlink r:id="rId17" w:history="1">
        <w:r w:rsidRPr="00D12900">
          <w:rPr>
            <w:rStyle w:val="Hyperlink"/>
            <w:lang w:val="en-US"/>
          </w:rPr>
          <w:t>https://www.who.int/publications/i/item/who-healthy-workplace-framework-and-model</w:t>
        </w:r>
      </w:hyperlink>
      <w:r>
        <w:rPr>
          <w:lang w:val="en-US"/>
        </w:rPr>
        <w:t xml:space="preserve"> </w:t>
      </w:r>
      <w:r w:rsidRPr="00836FC4">
        <w:t>[Accessed 16 Jun. 2026].</w:t>
      </w:r>
    </w:p>
    <w:p w14:paraId="606C3589" w14:textId="77777777" w:rsidR="00403378" w:rsidRDefault="00403378" w:rsidP="0042167F">
      <w:pPr>
        <w:ind w:left="720" w:hanging="720"/>
      </w:pPr>
      <w:r w:rsidRPr="0042167F">
        <w:t xml:space="preserve">Wirba, A.V. </w:t>
      </w:r>
      <w:r>
        <w:t>(</w:t>
      </w:r>
      <w:r w:rsidRPr="0042167F">
        <w:t>2024</w:t>
      </w:r>
      <w:r>
        <w:t>)</w:t>
      </w:r>
      <w:r w:rsidRPr="0042167F">
        <w:t>. Corporate social responsibility (CSR): The role of government in promoting CSR. </w:t>
      </w:r>
      <w:r w:rsidRPr="0042167F">
        <w:rPr>
          <w:i/>
          <w:iCs/>
        </w:rPr>
        <w:t>Journal of the Knowledge Economy</w:t>
      </w:r>
      <w:r w:rsidRPr="0042167F">
        <w:t>, </w:t>
      </w:r>
      <w:r w:rsidRPr="0042167F">
        <w:rPr>
          <w:i/>
          <w:iCs/>
        </w:rPr>
        <w:t>15</w:t>
      </w:r>
      <w:r w:rsidRPr="0042167F">
        <w:t>(2), pp.7428-7454.</w:t>
      </w:r>
    </w:p>
    <w:p w14:paraId="324EC560" w14:textId="77777777" w:rsidR="00403378" w:rsidRDefault="00403378" w:rsidP="009455D3">
      <w:pPr>
        <w:ind w:left="720" w:hanging="720"/>
        <w:rPr>
          <w:lang w:val="en-US"/>
        </w:rPr>
      </w:pPr>
      <w:r w:rsidRPr="00A6095B">
        <w:rPr>
          <w:lang w:val="en-US"/>
        </w:rPr>
        <w:t xml:space="preserve">World Health </w:t>
      </w:r>
      <w:proofErr w:type="spellStart"/>
      <w:r w:rsidRPr="00A6095B">
        <w:rPr>
          <w:lang w:val="en-US"/>
        </w:rPr>
        <w:t>Organi</w:t>
      </w:r>
      <w:r>
        <w:rPr>
          <w:lang w:val="en-US"/>
        </w:rPr>
        <w:t>s</w:t>
      </w:r>
      <w:r w:rsidRPr="00A6095B">
        <w:rPr>
          <w:lang w:val="en-US"/>
        </w:rPr>
        <w:t>ation</w:t>
      </w:r>
      <w:proofErr w:type="spellEnd"/>
      <w:r w:rsidRPr="00A6095B">
        <w:rPr>
          <w:lang w:val="en-US"/>
        </w:rPr>
        <w:t xml:space="preserve"> (2013). </w:t>
      </w:r>
      <w:r w:rsidRPr="00A6095B">
        <w:rPr>
          <w:i/>
          <w:iCs/>
          <w:lang w:val="en-US"/>
        </w:rPr>
        <w:t>Comprehensive Mental Health Action Plan 2013–2020</w:t>
      </w:r>
      <w:r w:rsidRPr="00A6095B">
        <w:rPr>
          <w:lang w:val="en-US"/>
        </w:rPr>
        <w:t xml:space="preserve">. </w:t>
      </w:r>
      <w:hyperlink r:id="rId18" w:history="1">
        <w:r w:rsidRPr="00D12900">
          <w:rPr>
            <w:rStyle w:val="Hyperlink"/>
            <w:lang w:val="en-US"/>
          </w:rPr>
          <w:t>https://www.emro.who.int/emhj-volume-21-2015/volume-21-issue-7/comprehensive-mental-health-action-plan-20132020.html</w:t>
        </w:r>
      </w:hyperlink>
      <w:r>
        <w:rPr>
          <w:lang w:val="en-US"/>
        </w:rPr>
        <w:t xml:space="preserve"> </w:t>
      </w:r>
      <w:r w:rsidRPr="00836FC4">
        <w:t>[Accessed 16 Jun. 2026].</w:t>
      </w:r>
    </w:p>
    <w:p w14:paraId="12F6D057" w14:textId="77777777" w:rsidR="00403378" w:rsidRPr="0042167F" w:rsidRDefault="00403378" w:rsidP="0042167F">
      <w:pPr>
        <w:ind w:left="720" w:hanging="720"/>
      </w:pPr>
      <w:r w:rsidRPr="0042167F">
        <w:t>World Health Organi</w:t>
      </w:r>
      <w:r>
        <w:t>s</w:t>
      </w:r>
      <w:r w:rsidRPr="0042167F">
        <w:t xml:space="preserve">ation </w:t>
      </w:r>
      <w:r>
        <w:t>(</w:t>
      </w:r>
      <w:r w:rsidRPr="0042167F">
        <w:t>2022</w:t>
      </w:r>
      <w:r>
        <w:t>)</w:t>
      </w:r>
      <w:r w:rsidRPr="0042167F">
        <w:t>. </w:t>
      </w:r>
      <w:r w:rsidRPr="0042167F">
        <w:rPr>
          <w:i/>
          <w:iCs/>
        </w:rPr>
        <w:t>WHO guidelines on mental health at work</w:t>
      </w:r>
      <w:r w:rsidRPr="0042167F">
        <w:t>. World Health Organi</w:t>
      </w:r>
      <w:r>
        <w:t>s</w:t>
      </w:r>
      <w:r w:rsidRPr="0042167F">
        <w:t>ation.</w:t>
      </w:r>
    </w:p>
    <w:p w14:paraId="21A352A1" w14:textId="77777777" w:rsidR="00403378" w:rsidRDefault="00403378" w:rsidP="009455D3">
      <w:pPr>
        <w:ind w:left="720" w:hanging="720"/>
      </w:pPr>
      <w:r w:rsidRPr="00A6095B">
        <w:t>World Health Organi</w:t>
      </w:r>
      <w:r>
        <w:t>s</w:t>
      </w:r>
      <w:r w:rsidRPr="00A6095B">
        <w:t xml:space="preserve">ation </w:t>
      </w:r>
      <w:r>
        <w:t>(</w:t>
      </w:r>
      <w:r w:rsidRPr="00A6095B">
        <w:t>2022</w:t>
      </w:r>
      <w:r>
        <w:t>)</w:t>
      </w:r>
      <w:r w:rsidRPr="00A6095B">
        <w:t>. </w:t>
      </w:r>
      <w:r w:rsidRPr="00A6095B">
        <w:rPr>
          <w:i/>
          <w:iCs/>
        </w:rPr>
        <w:t>Working for health 2022-2030 action plan</w:t>
      </w:r>
      <w:r w:rsidRPr="00A6095B">
        <w:t>. World Health Organi</w:t>
      </w:r>
      <w:r>
        <w:t>s</w:t>
      </w:r>
      <w:r w:rsidRPr="00A6095B">
        <w:t>ation.</w:t>
      </w:r>
    </w:p>
    <w:p w14:paraId="11A5A6BC" w14:textId="77777777" w:rsidR="00403378" w:rsidRDefault="00403378" w:rsidP="009455D3">
      <w:pPr>
        <w:ind w:left="720" w:hanging="720"/>
      </w:pPr>
      <w:r w:rsidRPr="00A6095B">
        <w:lastRenderedPageBreak/>
        <w:t>World Health Organi</w:t>
      </w:r>
      <w:r>
        <w:t>s</w:t>
      </w:r>
      <w:r w:rsidRPr="00A6095B">
        <w:t xml:space="preserve">ation </w:t>
      </w:r>
      <w:r>
        <w:t>(</w:t>
      </w:r>
      <w:r w:rsidRPr="00A6095B">
        <w:t>2024</w:t>
      </w:r>
      <w:r>
        <w:t>)</w:t>
      </w:r>
      <w:r w:rsidRPr="00A6095B">
        <w:t>. </w:t>
      </w:r>
      <w:r w:rsidRPr="00A6095B">
        <w:rPr>
          <w:i/>
          <w:iCs/>
        </w:rPr>
        <w:t>Universal health coverage</w:t>
      </w:r>
      <w:r w:rsidRPr="00A6095B">
        <w:t> (No. WHO: AFRO/ULC: 2024-12). World Health Organi</w:t>
      </w:r>
      <w:r>
        <w:t>s</w:t>
      </w:r>
      <w:r w:rsidRPr="00A6095B">
        <w:t>ation. Regional Office for Africa.</w:t>
      </w:r>
    </w:p>
    <w:p w14:paraId="1AFA2F46" w14:textId="77777777" w:rsidR="00403378" w:rsidRDefault="00403378" w:rsidP="00572EB9">
      <w:pPr>
        <w:ind w:left="720" w:hanging="720"/>
        <w:rPr>
          <w:lang w:val="en-US"/>
        </w:rPr>
      </w:pPr>
      <w:r w:rsidRPr="00A6095B">
        <w:rPr>
          <w:lang w:val="en-US"/>
        </w:rPr>
        <w:t xml:space="preserve">World Health </w:t>
      </w:r>
      <w:proofErr w:type="spellStart"/>
      <w:r w:rsidRPr="00A6095B">
        <w:rPr>
          <w:lang w:val="en-US"/>
        </w:rPr>
        <w:t>Organi</w:t>
      </w:r>
      <w:r>
        <w:rPr>
          <w:lang w:val="en-US"/>
        </w:rPr>
        <w:t>s</w:t>
      </w:r>
      <w:r w:rsidRPr="00A6095B">
        <w:rPr>
          <w:lang w:val="en-US"/>
        </w:rPr>
        <w:t>ation</w:t>
      </w:r>
      <w:proofErr w:type="spellEnd"/>
      <w:r w:rsidRPr="00A6095B">
        <w:rPr>
          <w:lang w:val="en-US"/>
        </w:rPr>
        <w:t xml:space="preserve"> (2025). </w:t>
      </w:r>
      <w:r w:rsidRPr="00A6095B">
        <w:rPr>
          <w:i/>
          <w:iCs/>
          <w:lang w:val="en-US"/>
        </w:rPr>
        <w:t>Universal Health Coverage (UHC)</w:t>
      </w:r>
      <w:r w:rsidRPr="00A6095B">
        <w:rPr>
          <w:lang w:val="en-US"/>
        </w:rPr>
        <w:t xml:space="preserve">. </w:t>
      </w:r>
      <w:hyperlink r:id="rId19" w:history="1">
        <w:r w:rsidRPr="00D12900">
          <w:rPr>
            <w:rStyle w:val="Hyperlink"/>
            <w:lang w:val="en-US"/>
          </w:rPr>
          <w:t>https://www.who.int/news-room/fact-sheets/detail/universal-health-coverage-(uhc)</w:t>
        </w:r>
      </w:hyperlink>
      <w:r>
        <w:rPr>
          <w:rStyle w:val="Hyperlink"/>
          <w:lang w:val="en-US"/>
        </w:rPr>
        <w:t xml:space="preserve"> </w:t>
      </w:r>
      <w:r w:rsidRPr="00836FC4">
        <w:t>[Accessed 16 Jun. 2026].</w:t>
      </w:r>
    </w:p>
    <w:sectPr w:rsidR="00403378">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FD0505" w14:textId="77777777" w:rsidR="000C43E4" w:rsidRDefault="000C43E4">
      <w:pPr>
        <w:spacing w:after="0" w:line="240" w:lineRule="auto"/>
      </w:pPr>
      <w:r>
        <w:separator/>
      </w:r>
    </w:p>
  </w:endnote>
  <w:endnote w:type="continuationSeparator" w:id="0">
    <w:p w14:paraId="6EC7D07A" w14:textId="77777777" w:rsidR="000C43E4" w:rsidRDefault="000C4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D32B9" w14:textId="77777777" w:rsidR="000C43E4" w:rsidRDefault="000C43E4">
      <w:pPr>
        <w:spacing w:after="0" w:line="240" w:lineRule="auto"/>
      </w:pPr>
      <w:r>
        <w:separator/>
      </w:r>
    </w:p>
  </w:footnote>
  <w:footnote w:type="continuationSeparator" w:id="0">
    <w:p w14:paraId="1E7A21BB" w14:textId="77777777" w:rsidR="000C43E4" w:rsidRDefault="000C4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E243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E789A"/>
    <w:multiLevelType w:val="multilevel"/>
    <w:tmpl w:val="1B166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33B90"/>
    <w:multiLevelType w:val="multilevel"/>
    <w:tmpl w:val="9F2E1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D5892"/>
    <w:multiLevelType w:val="multilevel"/>
    <w:tmpl w:val="52A6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A11F25"/>
    <w:multiLevelType w:val="hybridMultilevel"/>
    <w:tmpl w:val="25F0AD82"/>
    <w:lvl w:ilvl="0" w:tplc="5BD442F2">
      <w:start w:val="1"/>
      <w:numFmt w:val="bullet"/>
      <w:lvlText w:val=""/>
      <w:lvlJc w:val="left"/>
      <w:pPr>
        <w:ind w:left="720" w:hanging="360"/>
      </w:pPr>
      <w:rPr>
        <w:rFonts w:ascii="Symbol" w:hAnsi="Symbol" w:hint="default"/>
      </w:rPr>
    </w:lvl>
    <w:lvl w:ilvl="1" w:tplc="C8088A70" w:tentative="1">
      <w:start w:val="1"/>
      <w:numFmt w:val="bullet"/>
      <w:lvlText w:val="o"/>
      <w:lvlJc w:val="left"/>
      <w:pPr>
        <w:ind w:left="1440" w:hanging="360"/>
      </w:pPr>
      <w:rPr>
        <w:rFonts w:ascii="Courier New" w:hAnsi="Courier New" w:cs="Courier New" w:hint="default"/>
      </w:rPr>
    </w:lvl>
    <w:lvl w:ilvl="2" w:tplc="66089674" w:tentative="1">
      <w:start w:val="1"/>
      <w:numFmt w:val="bullet"/>
      <w:lvlText w:val=""/>
      <w:lvlJc w:val="left"/>
      <w:pPr>
        <w:ind w:left="2160" w:hanging="360"/>
      </w:pPr>
      <w:rPr>
        <w:rFonts w:ascii="Wingdings" w:hAnsi="Wingdings" w:hint="default"/>
      </w:rPr>
    </w:lvl>
    <w:lvl w:ilvl="3" w:tplc="8BEA1950" w:tentative="1">
      <w:start w:val="1"/>
      <w:numFmt w:val="bullet"/>
      <w:lvlText w:val=""/>
      <w:lvlJc w:val="left"/>
      <w:pPr>
        <w:ind w:left="2880" w:hanging="360"/>
      </w:pPr>
      <w:rPr>
        <w:rFonts w:ascii="Symbol" w:hAnsi="Symbol" w:hint="default"/>
      </w:rPr>
    </w:lvl>
    <w:lvl w:ilvl="4" w:tplc="7BEC70BE" w:tentative="1">
      <w:start w:val="1"/>
      <w:numFmt w:val="bullet"/>
      <w:lvlText w:val="o"/>
      <w:lvlJc w:val="left"/>
      <w:pPr>
        <w:ind w:left="3600" w:hanging="360"/>
      </w:pPr>
      <w:rPr>
        <w:rFonts w:ascii="Courier New" w:hAnsi="Courier New" w:cs="Courier New" w:hint="default"/>
      </w:rPr>
    </w:lvl>
    <w:lvl w:ilvl="5" w:tplc="846C8578" w:tentative="1">
      <w:start w:val="1"/>
      <w:numFmt w:val="bullet"/>
      <w:lvlText w:val=""/>
      <w:lvlJc w:val="left"/>
      <w:pPr>
        <w:ind w:left="4320" w:hanging="360"/>
      </w:pPr>
      <w:rPr>
        <w:rFonts w:ascii="Wingdings" w:hAnsi="Wingdings" w:hint="default"/>
      </w:rPr>
    </w:lvl>
    <w:lvl w:ilvl="6" w:tplc="D69227E0" w:tentative="1">
      <w:start w:val="1"/>
      <w:numFmt w:val="bullet"/>
      <w:lvlText w:val=""/>
      <w:lvlJc w:val="left"/>
      <w:pPr>
        <w:ind w:left="5040" w:hanging="360"/>
      </w:pPr>
      <w:rPr>
        <w:rFonts w:ascii="Symbol" w:hAnsi="Symbol" w:hint="default"/>
      </w:rPr>
    </w:lvl>
    <w:lvl w:ilvl="7" w:tplc="1FD0CF12" w:tentative="1">
      <w:start w:val="1"/>
      <w:numFmt w:val="bullet"/>
      <w:lvlText w:val="o"/>
      <w:lvlJc w:val="left"/>
      <w:pPr>
        <w:ind w:left="5760" w:hanging="360"/>
      </w:pPr>
      <w:rPr>
        <w:rFonts w:ascii="Courier New" w:hAnsi="Courier New" w:cs="Courier New" w:hint="default"/>
      </w:rPr>
    </w:lvl>
    <w:lvl w:ilvl="8" w:tplc="8B7ED1DE" w:tentative="1">
      <w:start w:val="1"/>
      <w:numFmt w:val="bullet"/>
      <w:lvlText w:val=""/>
      <w:lvlJc w:val="left"/>
      <w:pPr>
        <w:ind w:left="6480" w:hanging="360"/>
      </w:pPr>
      <w:rPr>
        <w:rFonts w:ascii="Wingdings" w:hAnsi="Wingdings" w:hint="default"/>
      </w:rPr>
    </w:lvl>
  </w:abstractNum>
  <w:abstractNum w:abstractNumId="4" w15:restartNumberingAfterBreak="0">
    <w:nsid w:val="11C43EF1"/>
    <w:multiLevelType w:val="multilevel"/>
    <w:tmpl w:val="C08C4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7436C"/>
    <w:multiLevelType w:val="multilevel"/>
    <w:tmpl w:val="779AB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730A53"/>
    <w:multiLevelType w:val="multilevel"/>
    <w:tmpl w:val="A3DA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586BF2"/>
    <w:multiLevelType w:val="hybridMultilevel"/>
    <w:tmpl w:val="E5C8BE4E"/>
    <w:lvl w:ilvl="0" w:tplc="75D01BD2">
      <w:start w:val="1"/>
      <w:numFmt w:val="bullet"/>
      <w:lvlText w:val=""/>
      <w:lvlJc w:val="left"/>
      <w:pPr>
        <w:ind w:left="720" w:hanging="360"/>
      </w:pPr>
      <w:rPr>
        <w:rFonts w:ascii="Symbol" w:hAnsi="Symbol" w:hint="default"/>
      </w:rPr>
    </w:lvl>
    <w:lvl w:ilvl="1" w:tplc="C2501154" w:tentative="1">
      <w:start w:val="1"/>
      <w:numFmt w:val="bullet"/>
      <w:lvlText w:val="o"/>
      <w:lvlJc w:val="left"/>
      <w:pPr>
        <w:ind w:left="1440" w:hanging="360"/>
      </w:pPr>
      <w:rPr>
        <w:rFonts w:ascii="Courier New" w:hAnsi="Courier New" w:cs="Courier New" w:hint="default"/>
      </w:rPr>
    </w:lvl>
    <w:lvl w:ilvl="2" w:tplc="16B0AEBA" w:tentative="1">
      <w:start w:val="1"/>
      <w:numFmt w:val="bullet"/>
      <w:lvlText w:val=""/>
      <w:lvlJc w:val="left"/>
      <w:pPr>
        <w:ind w:left="2160" w:hanging="360"/>
      </w:pPr>
      <w:rPr>
        <w:rFonts w:ascii="Wingdings" w:hAnsi="Wingdings" w:hint="default"/>
      </w:rPr>
    </w:lvl>
    <w:lvl w:ilvl="3" w:tplc="9ED256EE" w:tentative="1">
      <w:start w:val="1"/>
      <w:numFmt w:val="bullet"/>
      <w:lvlText w:val=""/>
      <w:lvlJc w:val="left"/>
      <w:pPr>
        <w:ind w:left="2880" w:hanging="360"/>
      </w:pPr>
      <w:rPr>
        <w:rFonts w:ascii="Symbol" w:hAnsi="Symbol" w:hint="default"/>
      </w:rPr>
    </w:lvl>
    <w:lvl w:ilvl="4" w:tplc="4C6C59DE" w:tentative="1">
      <w:start w:val="1"/>
      <w:numFmt w:val="bullet"/>
      <w:lvlText w:val="o"/>
      <w:lvlJc w:val="left"/>
      <w:pPr>
        <w:ind w:left="3600" w:hanging="360"/>
      </w:pPr>
      <w:rPr>
        <w:rFonts w:ascii="Courier New" w:hAnsi="Courier New" w:cs="Courier New" w:hint="default"/>
      </w:rPr>
    </w:lvl>
    <w:lvl w:ilvl="5" w:tplc="1EAC07AE" w:tentative="1">
      <w:start w:val="1"/>
      <w:numFmt w:val="bullet"/>
      <w:lvlText w:val=""/>
      <w:lvlJc w:val="left"/>
      <w:pPr>
        <w:ind w:left="4320" w:hanging="360"/>
      </w:pPr>
      <w:rPr>
        <w:rFonts w:ascii="Wingdings" w:hAnsi="Wingdings" w:hint="default"/>
      </w:rPr>
    </w:lvl>
    <w:lvl w:ilvl="6" w:tplc="FC7CA856" w:tentative="1">
      <w:start w:val="1"/>
      <w:numFmt w:val="bullet"/>
      <w:lvlText w:val=""/>
      <w:lvlJc w:val="left"/>
      <w:pPr>
        <w:ind w:left="5040" w:hanging="360"/>
      </w:pPr>
      <w:rPr>
        <w:rFonts w:ascii="Symbol" w:hAnsi="Symbol" w:hint="default"/>
      </w:rPr>
    </w:lvl>
    <w:lvl w:ilvl="7" w:tplc="7ED2C82E" w:tentative="1">
      <w:start w:val="1"/>
      <w:numFmt w:val="bullet"/>
      <w:lvlText w:val="o"/>
      <w:lvlJc w:val="left"/>
      <w:pPr>
        <w:ind w:left="5760" w:hanging="360"/>
      </w:pPr>
      <w:rPr>
        <w:rFonts w:ascii="Courier New" w:hAnsi="Courier New" w:cs="Courier New" w:hint="default"/>
      </w:rPr>
    </w:lvl>
    <w:lvl w:ilvl="8" w:tplc="1E68F534" w:tentative="1">
      <w:start w:val="1"/>
      <w:numFmt w:val="bullet"/>
      <w:lvlText w:val=""/>
      <w:lvlJc w:val="left"/>
      <w:pPr>
        <w:ind w:left="6480" w:hanging="360"/>
      </w:pPr>
      <w:rPr>
        <w:rFonts w:ascii="Wingdings" w:hAnsi="Wingdings" w:hint="default"/>
      </w:rPr>
    </w:lvl>
  </w:abstractNum>
  <w:abstractNum w:abstractNumId="8" w15:restartNumberingAfterBreak="0">
    <w:nsid w:val="1B10724D"/>
    <w:multiLevelType w:val="multilevel"/>
    <w:tmpl w:val="91BC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165C2"/>
    <w:multiLevelType w:val="multilevel"/>
    <w:tmpl w:val="240C5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53F86"/>
    <w:multiLevelType w:val="multilevel"/>
    <w:tmpl w:val="88907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DB4899"/>
    <w:multiLevelType w:val="multilevel"/>
    <w:tmpl w:val="B454A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0565F0"/>
    <w:multiLevelType w:val="multilevel"/>
    <w:tmpl w:val="FBB8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736A80"/>
    <w:multiLevelType w:val="multilevel"/>
    <w:tmpl w:val="DF0C8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6E7533"/>
    <w:multiLevelType w:val="multilevel"/>
    <w:tmpl w:val="E8C0C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8E5086"/>
    <w:multiLevelType w:val="multilevel"/>
    <w:tmpl w:val="F0A47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833613"/>
    <w:multiLevelType w:val="multilevel"/>
    <w:tmpl w:val="5A46B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C70D21"/>
    <w:multiLevelType w:val="multilevel"/>
    <w:tmpl w:val="AF887A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2F472C"/>
    <w:multiLevelType w:val="multilevel"/>
    <w:tmpl w:val="2AA42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6F0B3A"/>
    <w:multiLevelType w:val="multilevel"/>
    <w:tmpl w:val="AC9E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096B9F"/>
    <w:multiLevelType w:val="multilevel"/>
    <w:tmpl w:val="E76A83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DE487A"/>
    <w:multiLevelType w:val="multilevel"/>
    <w:tmpl w:val="74C0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B94679"/>
    <w:multiLevelType w:val="multilevel"/>
    <w:tmpl w:val="9A62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DE4A3A"/>
    <w:multiLevelType w:val="multilevel"/>
    <w:tmpl w:val="C2A85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671407"/>
    <w:multiLevelType w:val="hybridMultilevel"/>
    <w:tmpl w:val="274E4772"/>
    <w:lvl w:ilvl="0" w:tplc="10D081F2">
      <w:start w:val="1"/>
      <w:numFmt w:val="decimal"/>
      <w:lvlText w:val="%1."/>
      <w:lvlJc w:val="left"/>
      <w:pPr>
        <w:ind w:left="720" w:hanging="360"/>
      </w:pPr>
    </w:lvl>
    <w:lvl w:ilvl="1" w:tplc="C5E42E98" w:tentative="1">
      <w:start w:val="1"/>
      <w:numFmt w:val="lowerLetter"/>
      <w:lvlText w:val="%2."/>
      <w:lvlJc w:val="left"/>
      <w:pPr>
        <w:ind w:left="1440" w:hanging="360"/>
      </w:pPr>
    </w:lvl>
    <w:lvl w:ilvl="2" w:tplc="DD546742" w:tentative="1">
      <w:start w:val="1"/>
      <w:numFmt w:val="lowerRoman"/>
      <w:lvlText w:val="%3."/>
      <w:lvlJc w:val="right"/>
      <w:pPr>
        <w:ind w:left="2160" w:hanging="180"/>
      </w:pPr>
    </w:lvl>
    <w:lvl w:ilvl="3" w:tplc="A97814C6" w:tentative="1">
      <w:start w:val="1"/>
      <w:numFmt w:val="decimal"/>
      <w:lvlText w:val="%4."/>
      <w:lvlJc w:val="left"/>
      <w:pPr>
        <w:ind w:left="2880" w:hanging="360"/>
      </w:pPr>
    </w:lvl>
    <w:lvl w:ilvl="4" w:tplc="2CF8A68E" w:tentative="1">
      <w:start w:val="1"/>
      <w:numFmt w:val="lowerLetter"/>
      <w:lvlText w:val="%5."/>
      <w:lvlJc w:val="left"/>
      <w:pPr>
        <w:ind w:left="3600" w:hanging="360"/>
      </w:pPr>
    </w:lvl>
    <w:lvl w:ilvl="5" w:tplc="18E2DDAE" w:tentative="1">
      <w:start w:val="1"/>
      <w:numFmt w:val="lowerRoman"/>
      <w:lvlText w:val="%6."/>
      <w:lvlJc w:val="right"/>
      <w:pPr>
        <w:ind w:left="4320" w:hanging="180"/>
      </w:pPr>
    </w:lvl>
    <w:lvl w:ilvl="6" w:tplc="EB4A2D3A" w:tentative="1">
      <w:start w:val="1"/>
      <w:numFmt w:val="decimal"/>
      <w:lvlText w:val="%7."/>
      <w:lvlJc w:val="left"/>
      <w:pPr>
        <w:ind w:left="5040" w:hanging="360"/>
      </w:pPr>
    </w:lvl>
    <w:lvl w:ilvl="7" w:tplc="6DD2A31E" w:tentative="1">
      <w:start w:val="1"/>
      <w:numFmt w:val="lowerLetter"/>
      <w:lvlText w:val="%8."/>
      <w:lvlJc w:val="left"/>
      <w:pPr>
        <w:ind w:left="5760" w:hanging="360"/>
      </w:pPr>
    </w:lvl>
    <w:lvl w:ilvl="8" w:tplc="2A0C525A" w:tentative="1">
      <w:start w:val="1"/>
      <w:numFmt w:val="lowerRoman"/>
      <w:lvlText w:val="%9."/>
      <w:lvlJc w:val="right"/>
      <w:pPr>
        <w:ind w:left="6480" w:hanging="180"/>
      </w:pPr>
    </w:lvl>
  </w:abstractNum>
  <w:abstractNum w:abstractNumId="25" w15:restartNumberingAfterBreak="0">
    <w:nsid w:val="5E192A55"/>
    <w:multiLevelType w:val="multilevel"/>
    <w:tmpl w:val="5B1CB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E70F72"/>
    <w:multiLevelType w:val="multilevel"/>
    <w:tmpl w:val="6A84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8245D7"/>
    <w:multiLevelType w:val="multilevel"/>
    <w:tmpl w:val="206AC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2B734D"/>
    <w:multiLevelType w:val="multilevel"/>
    <w:tmpl w:val="5860B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F219EA"/>
    <w:multiLevelType w:val="multilevel"/>
    <w:tmpl w:val="D648F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920F6C"/>
    <w:multiLevelType w:val="multilevel"/>
    <w:tmpl w:val="BDD06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0651856">
    <w:abstractNumId w:val="3"/>
  </w:num>
  <w:num w:numId="2" w16cid:durableId="898132539">
    <w:abstractNumId w:val="7"/>
  </w:num>
  <w:num w:numId="3" w16cid:durableId="615336029">
    <w:abstractNumId w:val="24"/>
  </w:num>
  <w:num w:numId="4" w16cid:durableId="720859231">
    <w:abstractNumId w:val="13"/>
  </w:num>
  <w:num w:numId="5" w16cid:durableId="688263316">
    <w:abstractNumId w:val="4"/>
  </w:num>
  <w:num w:numId="6" w16cid:durableId="992027506">
    <w:abstractNumId w:val="9"/>
  </w:num>
  <w:num w:numId="7" w16cid:durableId="142821384">
    <w:abstractNumId w:val="17"/>
  </w:num>
  <w:num w:numId="8" w16cid:durableId="1289169204">
    <w:abstractNumId w:val="2"/>
  </w:num>
  <w:num w:numId="9" w16cid:durableId="1118184773">
    <w:abstractNumId w:val="14"/>
  </w:num>
  <w:num w:numId="10" w16cid:durableId="1491797577">
    <w:abstractNumId w:val="11"/>
  </w:num>
  <w:num w:numId="11" w16cid:durableId="230778687">
    <w:abstractNumId w:val="27"/>
  </w:num>
  <w:num w:numId="12" w16cid:durableId="1199127754">
    <w:abstractNumId w:val="10"/>
  </w:num>
  <w:num w:numId="13" w16cid:durableId="446782059">
    <w:abstractNumId w:val="12"/>
  </w:num>
  <w:num w:numId="14" w16cid:durableId="624896013">
    <w:abstractNumId w:val="6"/>
  </w:num>
  <w:num w:numId="15" w16cid:durableId="594482743">
    <w:abstractNumId w:val="16"/>
  </w:num>
  <w:num w:numId="16" w16cid:durableId="409354510">
    <w:abstractNumId w:val="25"/>
  </w:num>
  <w:num w:numId="17" w16cid:durableId="1192525566">
    <w:abstractNumId w:val="22"/>
  </w:num>
  <w:num w:numId="18" w16cid:durableId="450436952">
    <w:abstractNumId w:val="20"/>
  </w:num>
  <w:num w:numId="19" w16cid:durableId="50348234">
    <w:abstractNumId w:val="19"/>
  </w:num>
  <w:num w:numId="20" w16cid:durableId="1393773125">
    <w:abstractNumId w:val="1"/>
  </w:num>
  <w:num w:numId="21" w16cid:durableId="1169826382">
    <w:abstractNumId w:val="29"/>
  </w:num>
  <w:num w:numId="22" w16cid:durableId="2117406241">
    <w:abstractNumId w:val="28"/>
  </w:num>
  <w:num w:numId="23" w16cid:durableId="177503597">
    <w:abstractNumId w:val="21"/>
  </w:num>
  <w:num w:numId="24" w16cid:durableId="1214586883">
    <w:abstractNumId w:val="26"/>
  </w:num>
  <w:num w:numId="25" w16cid:durableId="209267161">
    <w:abstractNumId w:val="15"/>
  </w:num>
  <w:num w:numId="26" w16cid:durableId="1086725393">
    <w:abstractNumId w:val="0"/>
  </w:num>
  <w:num w:numId="27" w16cid:durableId="1592549311">
    <w:abstractNumId w:val="18"/>
  </w:num>
  <w:num w:numId="28" w16cid:durableId="2035880836">
    <w:abstractNumId w:val="23"/>
  </w:num>
  <w:num w:numId="29" w16cid:durableId="2015760411">
    <w:abstractNumId w:val="8"/>
  </w:num>
  <w:num w:numId="30" w16cid:durableId="379400545">
    <w:abstractNumId w:val="5"/>
  </w:num>
  <w:num w:numId="31" w16cid:durableId="86521573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7183"/>
    <w:rsid w:val="00022609"/>
    <w:rsid w:val="00023B30"/>
    <w:rsid w:val="000336D6"/>
    <w:rsid w:val="00034E85"/>
    <w:rsid w:val="00035234"/>
    <w:rsid w:val="000403DC"/>
    <w:rsid w:val="00040DA7"/>
    <w:rsid w:val="00043794"/>
    <w:rsid w:val="00043B91"/>
    <w:rsid w:val="00044059"/>
    <w:rsid w:val="00051B58"/>
    <w:rsid w:val="0005260F"/>
    <w:rsid w:val="000528D5"/>
    <w:rsid w:val="00056D12"/>
    <w:rsid w:val="0006684D"/>
    <w:rsid w:val="000675B1"/>
    <w:rsid w:val="00071CEB"/>
    <w:rsid w:val="0008149D"/>
    <w:rsid w:val="0008275D"/>
    <w:rsid w:val="000852E6"/>
    <w:rsid w:val="0009170E"/>
    <w:rsid w:val="000917C8"/>
    <w:rsid w:val="00093C6D"/>
    <w:rsid w:val="00096EC3"/>
    <w:rsid w:val="000A1812"/>
    <w:rsid w:val="000A31C2"/>
    <w:rsid w:val="000B2B02"/>
    <w:rsid w:val="000C43E4"/>
    <w:rsid w:val="000D25B8"/>
    <w:rsid w:val="000D56EF"/>
    <w:rsid w:val="000E4057"/>
    <w:rsid w:val="000F0C31"/>
    <w:rsid w:val="000F19E4"/>
    <w:rsid w:val="000F2076"/>
    <w:rsid w:val="000F48D0"/>
    <w:rsid w:val="000F7F0D"/>
    <w:rsid w:val="00102444"/>
    <w:rsid w:val="00103ADA"/>
    <w:rsid w:val="00104C71"/>
    <w:rsid w:val="00107498"/>
    <w:rsid w:val="001128EE"/>
    <w:rsid w:val="00115EA9"/>
    <w:rsid w:val="00116104"/>
    <w:rsid w:val="001175F8"/>
    <w:rsid w:val="00124993"/>
    <w:rsid w:val="001266E5"/>
    <w:rsid w:val="001370ED"/>
    <w:rsid w:val="001409CE"/>
    <w:rsid w:val="00142930"/>
    <w:rsid w:val="00144F69"/>
    <w:rsid w:val="00145914"/>
    <w:rsid w:val="00145C7E"/>
    <w:rsid w:val="00146C59"/>
    <w:rsid w:val="00151B55"/>
    <w:rsid w:val="001574FE"/>
    <w:rsid w:val="00160724"/>
    <w:rsid w:val="0016208B"/>
    <w:rsid w:val="001732CE"/>
    <w:rsid w:val="001774A1"/>
    <w:rsid w:val="001817CB"/>
    <w:rsid w:val="0018235D"/>
    <w:rsid w:val="00182F80"/>
    <w:rsid w:val="0018545A"/>
    <w:rsid w:val="001863CD"/>
    <w:rsid w:val="00191971"/>
    <w:rsid w:val="001924E6"/>
    <w:rsid w:val="00192B0D"/>
    <w:rsid w:val="001A3032"/>
    <w:rsid w:val="001A525E"/>
    <w:rsid w:val="001A76DD"/>
    <w:rsid w:val="001B0942"/>
    <w:rsid w:val="001C159B"/>
    <w:rsid w:val="001D71F0"/>
    <w:rsid w:val="001D7C27"/>
    <w:rsid w:val="001E2747"/>
    <w:rsid w:val="001F47B9"/>
    <w:rsid w:val="00205FBC"/>
    <w:rsid w:val="00210C90"/>
    <w:rsid w:val="002132C5"/>
    <w:rsid w:val="0022050C"/>
    <w:rsid w:val="00225B1C"/>
    <w:rsid w:val="00227B3B"/>
    <w:rsid w:val="00240325"/>
    <w:rsid w:val="00240CCC"/>
    <w:rsid w:val="00250BAF"/>
    <w:rsid w:val="00252656"/>
    <w:rsid w:val="00252B91"/>
    <w:rsid w:val="002543D6"/>
    <w:rsid w:val="00256E5C"/>
    <w:rsid w:val="00257C58"/>
    <w:rsid w:val="00283084"/>
    <w:rsid w:val="00287DEB"/>
    <w:rsid w:val="0029474E"/>
    <w:rsid w:val="00296AB7"/>
    <w:rsid w:val="00297E38"/>
    <w:rsid w:val="002A4159"/>
    <w:rsid w:val="002B38F4"/>
    <w:rsid w:val="002B3EE3"/>
    <w:rsid w:val="002B6F86"/>
    <w:rsid w:val="002C6460"/>
    <w:rsid w:val="002D2ECE"/>
    <w:rsid w:val="002D45C2"/>
    <w:rsid w:val="002D4E24"/>
    <w:rsid w:val="002D53E8"/>
    <w:rsid w:val="002D7F2B"/>
    <w:rsid w:val="002E1CD4"/>
    <w:rsid w:val="002E5D64"/>
    <w:rsid w:val="002F31F6"/>
    <w:rsid w:val="002F3335"/>
    <w:rsid w:val="00304053"/>
    <w:rsid w:val="00307E34"/>
    <w:rsid w:val="00321FC4"/>
    <w:rsid w:val="00324C80"/>
    <w:rsid w:val="00327471"/>
    <w:rsid w:val="00332306"/>
    <w:rsid w:val="00334FD6"/>
    <w:rsid w:val="00340B1C"/>
    <w:rsid w:val="0034352D"/>
    <w:rsid w:val="0034700F"/>
    <w:rsid w:val="00350909"/>
    <w:rsid w:val="00354E9B"/>
    <w:rsid w:val="00355C63"/>
    <w:rsid w:val="0035723C"/>
    <w:rsid w:val="00367E0A"/>
    <w:rsid w:val="00371927"/>
    <w:rsid w:val="00377E08"/>
    <w:rsid w:val="00381AFE"/>
    <w:rsid w:val="00387B81"/>
    <w:rsid w:val="00392165"/>
    <w:rsid w:val="003966CB"/>
    <w:rsid w:val="00397A12"/>
    <w:rsid w:val="003A05F1"/>
    <w:rsid w:val="003A52C4"/>
    <w:rsid w:val="003B2840"/>
    <w:rsid w:val="003B2E32"/>
    <w:rsid w:val="003B6220"/>
    <w:rsid w:val="003B6D98"/>
    <w:rsid w:val="003B6E40"/>
    <w:rsid w:val="003C2DF4"/>
    <w:rsid w:val="003D3815"/>
    <w:rsid w:val="003F0F03"/>
    <w:rsid w:val="003F1E6B"/>
    <w:rsid w:val="003F2565"/>
    <w:rsid w:val="003F3465"/>
    <w:rsid w:val="00403378"/>
    <w:rsid w:val="00407E47"/>
    <w:rsid w:val="0041102E"/>
    <w:rsid w:val="0041386C"/>
    <w:rsid w:val="0042167F"/>
    <w:rsid w:val="0042651A"/>
    <w:rsid w:val="00431DEE"/>
    <w:rsid w:val="004353F7"/>
    <w:rsid w:val="00436F6B"/>
    <w:rsid w:val="00440D8C"/>
    <w:rsid w:val="00441861"/>
    <w:rsid w:val="0044353F"/>
    <w:rsid w:val="00447EE4"/>
    <w:rsid w:val="00450F3D"/>
    <w:rsid w:val="00454DC2"/>
    <w:rsid w:val="00457FCE"/>
    <w:rsid w:val="00463A29"/>
    <w:rsid w:val="0046442B"/>
    <w:rsid w:val="00466B61"/>
    <w:rsid w:val="00466B91"/>
    <w:rsid w:val="004765F3"/>
    <w:rsid w:val="004768E0"/>
    <w:rsid w:val="00480B4A"/>
    <w:rsid w:val="00485D13"/>
    <w:rsid w:val="00486402"/>
    <w:rsid w:val="004959F3"/>
    <w:rsid w:val="0049655F"/>
    <w:rsid w:val="00496A07"/>
    <w:rsid w:val="004A02E4"/>
    <w:rsid w:val="004A32A7"/>
    <w:rsid w:val="004A351B"/>
    <w:rsid w:val="004A6DB5"/>
    <w:rsid w:val="004B006F"/>
    <w:rsid w:val="004B0727"/>
    <w:rsid w:val="004B0F17"/>
    <w:rsid w:val="004B2AA2"/>
    <w:rsid w:val="004B4934"/>
    <w:rsid w:val="004C0046"/>
    <w:rsid w:val="004C085F"/>
    <w:rsid w:val="004C0D17"/>
    <w:rsid w:val="004C16B5"/>
    <w:rsid w:val="004C30B1"/>
    <w:rsid w:val="004C5212"/>
    <w:rsid w:val="004D1F75"/>
    <w:rsid w:val="004D6FB9"/>
    <w:rsid w:val="004E6A25"/>
    <w:rsid w:val="0051784E"/>
    <w:rsid w:val="00521BE3"/>
    <w:rsid w:val="005236E9"/>
    <w:rsid w:val="0052718B"/>
    <w:rsid w:val="00532E4D"/>
    <w:rsid w:val="0054023C"/>
    <w:rsid w:val="00540FF6"/>
    <w:rsid w:val="0054155A"/>
    <w:rsid w:val="005475A8"/>
    <w:rsid w:val="00556C5F"/>
    <w:rsid w:val="00557443"/>
    <w:rsid w:val="00571FEA"/>
    <w:rsid w:val="00572EB9"/>
    <w:rsid w:val="00574BCE"/>
    <w:rsid w:val="00582D82"/>
    <w:rsid w:val="005835A3"/>
    <w:rsid w:val="00594510"/>
    <w:rsid w:val="005A0FCA"/>
    <w:rsid w:val="005A6D79"/>
    <w:rsid w:val="005B00A3"/>
    <w:rsid w:val="005B29BD"/>
    <w:rsid w:val="005B2A8C"/>
    <w:rsid w:val="005B61EA"/>
    <w:rsid w:val="005B7081"/>
    <w:rsid w:val="005C0391"/>
    <w:rsid w:val="005C1D9B"/>
    <w:rsid w:val="005C7927"/>
    <w:rsid w:val="005D3375"/>
    <w:rsid w:val="005D7C6D"/>
    <w:rsid w:val="005E1D3B"/>
    <w:rsid w:val="005F066B"/>
    <w:rsid w:val="005F1FBF"/>
    <w:rsid w:val="0060390B"/>
    <w:rsid w:val="00604472"/>
    <w:rsid w:val="0060528A"/>
    <w:rsid w:val="00616421"/>
    <w:rsid w:val="006239D7"/>
    <w:rsid w:val="00624554"/>
    <w:rsid w:val="0062584A"/>
    <w:rsid w:val="00626E33"/>
    <w:rsid w:val="00632E5D"/>
    <w:rsid w:val="00632FB5"/>
    <w:rsid w:val="006418EB"/>
    <w:rsid w:val="006468C0"/>
    <w:rsid w:val="006475B8"/>
    <w:rsid w:val="00650690"/>
    <w:rsid w:val="0065581E"/>
    <w:rsid w:val="00655F51"/>
    <w:rsid w:val="00671F69"/>
    <w:rsid w:val="00681FC5"/>
    <w:rsid w:val="00682BFB"/>
    <w:rsid w:val="00684F01"/>
    <w:rsid w:val="006870EC"/>
    <w:rsid w:val="00687B05"/>
    <w:rsid w:val="00693C5D"/>
    <w:rsid w:val="006A3205"/>
    <w:rsid w:val="006A3C3F"/>
    <w:rsid w:val="006A7E2F"/>
    <w:rsid w:val="006B6BE8"/>
    <w:rsid w:val="006C5CD6"/>
    <w:rsid w:val="006D04F4"/>
    <w:rsid w:val="006D7BF8"/>
    <w:rsid w:val="006E4C6E"/>
    <w:rsid w:val="006E6917"/>
    <w:rsid w:val="006E7D34"/>
    <w:rsid w:val="006F3247"/>
    <w:rsid w:val="006F415C"/>
    <w:rsid w:val="006F5378"/>
    <w:rsid w:val="006F6F18"/>
    <w:rsid w:val="006F789B"/>
    <w:rsid w:val="007029F9"/>
    <w:rsid w:val="00713C96"/>
    <w:rsid w:val="007204F1"/>
    <w:rsid w:val="00720E5C"/>
    <w:rsid w:val="00722C5F"/>
    <w:rsid w:val="00730027"/>
    <w:rsid w:val="00740418"/>
    <w:rsid w:val="00742BA4"/>
    <w:rsid w:val="00745758"/>
    <w:rsid w:val="007521CF"/>
    <w:rsid w:val="0075767B"/>
    <w:rsid w:val="00781731"/>
    <w:rsid w:val="00783D29"/>
    <w:rsid w:val="00790D58"/>
    <w:rsid w:val="00791442"/>
    <w:rsid w:val="007914D4"/>
    <w:rsid w:val="007978B8"/>
    <w:rsid w:val="007A3A32"/>
    <w:rsid w:val="007A4891"/>
    <w:rsid w:val="007B11B2"/>
    <w:rsid w:val="007B21A0"/>
    <w:rsid w:val="007B23EA"/>
    <w:rsid w:val="007B3780"/>
    <w:rsid w:val="007C1D00"/>
    <w:rsid w:val="007C4ED7"/>
    <w:rsid w:val="007C5313"/>
    <w:rsid w:val="007C6F4B"/>
    <w:rsid w:val="007D152E"/>
    <w:rsid w:val="007D1849"/>
    <w:rsid w:val="007E07BB"/>
    <w:rsid w:val="007E3E2A"/>
    <w:rsid w:val="007E549F"/>
    <w:rsid w:val="007E69F0"/>
    <w:rsid w:val="007E74A7"/>
    <w:rsid w:val="007E7BCD"/>
    <w:rsid w:val="007F54F4"/>
    <w:rsid w:val="008006A9"/>
    <w:rsid w:val="00802D6D"/>
    <w:rsid w:val="00817BBB"/>
    <w:rsid w:val="00823052"/>
    <w:rsid w:val="00836FC4"/>
    <w:rsid w:val="00840E87"/>
    <w:rsid w:val="00843E71"/>
    <w:rsid w:val="008458FA"/>
    <w:rsid w:val="00845DBC"/>
    <w:rsid w:val="00846C7D"/>
    <w:rsid w:val="00853131"/>
    <w:rsid w:val="00854362"/>
    <w:rsid w:val="00855496"/>
    <w:rsid w:val="00855C92"/>
    <w:rsid w:val="00856CE5"/>
    <w:rsid w:val="008630B5"/>
    <w:rsid w:val="008678FD"/>
    <w:rsid w:val="008718F9"/>
    <w:rsid w:val="00871FD2"/>
    <w:rsid w:val="008735DE"/>
    <w:rsid w:val="00875F8E"/>
    <w:rsid w:val="0088274F"/>
    <w:rsid w:val="008A0424"/>
    <w:rsid w:val="008A0F67"/>
    <w:rsid w:val="008A2A52"/>
    <w:rsid w:val="008A41B0"/>
    <w:rsid w:val="008B3E1A"/>
    <w:rsid w:val="008B6BB0"/>
    <w:rsid w:val="008D27B5"/>
    <w:rsid w:val="008D404B"/>
    <w:rsid w:val="008D7069"/>
    <w:rsid w:val="008E78C9"/>
    <w:rsid w:val="0091483F"/>
    <w:rsid w:val="0091704F"/>
    <w:rsid w:val="00921602"/>
    <w:rsid w:val="0092632C"/>
    <w:rsid w:val="00927825"/>
    <w:rsid w:val="00930600"/>
    <w:rsid w:val="00931C9C"/>
    <w:rsid w:val="009337AF"/>
    <w:rsid w:val="00935075"/>
    <w:rsid w:val="00936E83"/>
    <w:rsid w:val="00937C07"/>
    <w:rsid w:val="00937C4B"/>
    <w:rsid w:val="009406F7"/>
    <w:rsid w:val="0094411A"/>
    <w:rsid w:val="009450DF"/>
    <w:rsid w:val="009455D3"/>
    <w:rsid w:val="009519A0"/>
    <w:rsid w:val="009554C3"/>
    <w:rsid w:val="00955871"/>
    <w:rsid w:val="009614F9"/>
    <w:rsid w:val="0097065F"/>
    <w:rsid w:val="009721F0"/>
    <w:rsid w:val="00983947"/>
    <w:rsid w:val="00991F89"/>
    <w:rsid w:val="00992CCB"/>
    <w:rsid w:val="0099341C"/>
    <w:rsid w:val="00993DE1"/>
    <w:rsid w:val="009953C5"/>
    <w:rsid w:val="009A4EAD"/>
    <w:rsid w:val="009A5B17"/>
    <w:rsid w:val="009A5F09"/>
    <w:rsid w:val="009A77B3"/>
    <w:rsid w:val="009B18D0"/>
    <w:rsid w:val="009B41D7"/>
    <w:rsid w:val="009B6724"/>
    <w:rsid w:val="009C4C10"/>
    <w:rsid w:val="009C60F1"/>
    <w:rsid w:val="009E3E76"/>
    <w:rsid w:val="009F25EE"/>
    <w:rsid w:val="009F6BDF"/>
    <w:rsid w:val="00A00A7F"/>
    <w:rsid w:val="00A030FF"/>
    <w:rsid w:val="00A041D1"/>
    <w:rsid w:val="00A05A71"/>
    <w:rsid w:val="00A06D2A"/>
    <w:rsid w:val="00A0768B"/>
    <w:rsid w:val="00A105DC"/>
    <w:rsid w:val="00A16900"/>
    <w:rsid w:val="00A24E16"/>
    <w:rsid w:val="00A4525C"/>
    <w:rsid w:val="00A478DB"/>
    <w:rsid w:val="00A52951"/>
    <w:rsid w:val="00A53BCA"/>
    <w:rsid w:val="00A53E0A"/>
    <w:rsid w:val="00A55078"/>
    <w:rsid w:val="00A56384"/>
    <w:rsid w:val="00A6095B"/>
    <w:rsid w:val="00A60B65"/>
    <w:rsid w:val="00A610B5"/>
    <w:rsid w:val="00A67682"/>
    <w:rsid w:val="00A67CE4"/>
    <w:rsid w:val="00A723F4"/>
    <w:rsid w:val="00A724A6"/>
    <w:rsid w:val="00A729C1"/>
    <w:rsid w:val="00A731A5"/>
    <w:rsid w:val="00A74605"/>
    <w:rsid w:val="00A83F08"/>
    <w:rsid w:val="00A85BE5"/>
    <w:rsid w:val="00A86A6A"/>
    <w:rsid w:val="00A87576"/>
    <w:rsid w:val="00A87622"/>
    <w:rsid w:val="00A94AE9"/>
    <w:rsid w:val="00AA0468"/>
    <w:rsid w:val="00AA481B"/>
    <w:rsid w:val="00AA5A59"/>
    <w:rsid w:val="00AA5F24"/>
    <w:rsid w:val="00AB721E"/>
    <w:rsid w:val="00AB758B"/>
    <w:rsid w:val="00AC3721"/>
    <w:rsid w:val="00AD3547"/>
    <w:rsid w:val="00AD4684"/>
    <w:rsid w:val="00AD5B39"/>
    <w:rsid w:val="00AE09F2"/>
    <w:rsid w:val="00AE3CC9"/>
    <w:rsid w:val="00AE5D81"/>
    <w:rsid w:val="00AF01F3"/>
    <w:rsid w:val="00AF1065"/>
    <w:rsid w:val="00AF278A"/>
    <w:rsid w:val="00AF6903"/>
    <w:rsid w:val="00B02205"/>
    <w:rsid w:val="00B04C54"/>
    <w:rsid w:val="00B118D4"/>
    <w:rsid w:val="00B12550"/>
    <w:rsid w:val="00B17531"/>
    <w:rsid w:val="00B214DE"/>
    <w:rsid w:val="00B439FE"/>
    <w:rsid w:val="00B44CA7"/>
    <w:rsid w:val="00B45FD2"/>
    <w:rsid w:val="00B46594"/>
    <w:rsid w:val="00B47BEB"/>
    <w:rsid w:val="00B55170"/>
    <w:rsid w:val="00B5518B"/>
    <w:rsid w:val="00B76A7A"/>
    <w:rsid w:val="00B83D0E"/>
    <w:rsid w:val="00B8754D"/>
    <w:rsid w:val="00B931EE"/>
    <w:rsid w:val="00BA4BE3"/>
    <w:rsid w:val="00BA5040"/>
    <w:rsid w:val="00BA51E4"/>
    <w:rsid w:val="00BB57F7"/>
    <w:rsid w:val="00BB68FA"/>
    <w:rsid w:val="00BB7F9F"/>
    <w:rsid w:val="00BC6237"/>
    <w:rsid w:val="00BC7204"/>
    <w:rsid w:val="00BD75A9"/>
    <w:rsid w:val="00BE1926"/>
    <w:rsid w:val="00BE2228"/>
    <w:rsid w:val="00C019D3"/>
    <w:rsid w:val="00C07098"/>
    <w:rsid w:val="00C101B6"/>
    <w:rsid w:val="00C1118C"/>
    <w:rsid w:val="00C21F5E"/>
    <w:rsid w:val="00C2273F"/>
    <w:rsid w:val="00C23CE5"/>
    <w:rsid w:val="00C33318"/>
    <w:rsid w:val="00C37B05"/>
    <w:rsid w:val="00C404C2"/>
    <w:rsid w:val="00C40DF5"/>
    <w:rsid w:val="00C4185F"/>
    <w:rsid w:val="00C430B6"/>
    <w:rsid w:val="00C46CBC"/>
    <w:rsid w:val="00C579D7"/>
    <w:rsid w:val="00C60C92"/>
    <w:rsid w:val="00C67B6F"/>
    <w:rsid w:val="00C67E0D"/>
    <w:rsid w:val="00C71C6A"/>
    <w:rsid w:val="00C76260"/>
    <w:rsid w:val="00C809C2"/>
    <w:rsid w:val="00C816E1"/>
    <w:rsid w:val="00C8705D"/>
    <w:rsid w:val="00C87318"/>
    <w:rsid w:val="00C91D4B"/>
    <w:rsid w:val="00C930FC"/>
    <w:rsid w:val="00C9395F"/>
    <w:rsid w:val="00C93A96"/>
    <w:rsid w:val="00CA0925"/>
    <w:rsid w:val="00CA3A35"/>
    <w:rsid w:val="00CA496F"/>
    <w:rsid w:val="00CA4D05"/>
    <w:rsid w:val="00CA4E8B"/>
    <w:rsid w:val="00CB2E62"/>
    <w:rsid w:val="00CC0900"/>
    <w:rsid w:val="00CC44AE"/>
    <w:rsid w:val="00CC5750"/>
    <w:rsid w:val="00CC6206"/>
    <w:rsid w:val="00CD7303"/>
    <w:rsid w:val="00CE149A"/>
    <w:rsid w:val="00CE17E4"/>
    <w:rsid w:val="00CE20FE"/>
    <w:rsid w:val="00CE7695"/>
    <w:rsid w:val="00CF40DB"/>
    <w:rsid w:val="00D12900"/>
    <w:rsid w:val="00D150D6"/>
    <w:rsid w:val="00D154A0"/>
    <w:rsid w:val="00D165ED"/>
    <w:rsid w:val="00D20B0B"/>
    <w:rsid w:val="00D22971"/>
    <w:rsid w:val="00D23686"/>
    <w:rsid w:val="00D33EED"/>
    <w:rsid w:val="00D33F82"/>
    <w:rsid w:val="00D35459"/>
    <w:rsid w:val="00D410CC"/>
    <w:rsid w:val="00D505D9"/>
    <w:rsid w:val="00D51288"/>
    <w:rsid w:val="00D82749"/>
    <w:rsid w:val="00D82995"/>
    <w:rsid w:val="00D87FE2"/>
    <w:rsid w:val="00D95765"/>
    <w:rsid w:val="00DA53FA"/>
    <w:rsid w:val="00DA7527"/>
    <w:rsid w:val="00DB6CEB"/>
    <w:rsid w:val="00DC3E9A"/>
    <w:rsid w:val="00DD5E48"/>
    <w:rsid w:val="00DD6690"/>
    <w:rsid w:val="00DE1E73"/>
    <w:rsid w:val="00DE284E"/>
    <w:rsid w:val="00DE4F0A"/>
    <w:rsid w:val="00DF41F6"/>
    <w:rsid w:val="00E029F2"/>
    <w:rsid w:val="00E13095"/>
    <w:rsid w:val="00E13BAC"/>
    <w:rsid w:val="00E20E5C"/>
    <w:rsid w:val="00E240B9"/>
    <w:rsid w:val="00E243E3"/>
    <w:rsid w:val="00E30880"/>
    <w:rsid w:val="00E33E40"/>
    <w:rsid w:val="00E36BA6"/>
    <w:rsid w:val="00E41FE4"/>
    <w:rsid w:val="00E47C7D"/>
    <w:rsid w:val="00E56D9A"/>
    <w:rsid w:val="00E7014C"/>
    <w:rsid w:val="00E840E4"/>
    <w:rsid w:val="00E851EE"/>
    <w:rsid w:val="00E93B46"/>
    <w:rsid w:val="00EA609E"/>
    <w:rsid w:val="00EB191A"/>
    <w:rsid w:val="00EB214F"/>
    <w:rsid w:val="00EB5E21"/>
    <w:rsid w:val="00EB6749"/>
    <w:rsid w:val="00EB7DA9"/>
    <w:rsid w:val="00EC57E2"/>
    <w:rsid w:val="00ED63A9"/>
    <w:rsid w:val="00EE2BE1"/>
    <w:rsid w:val="00EE53E4"/>
    <w:rsid w:val="00EE5805"/>
    <w:rsid w:val="00EF2A66"/>
    <w:rsid w:val="00EF4C83"/>
    <w:rsid w:val="00EF6D1E"/>
    <w:rsid w:val="00EF7B52"/>
    <w:rsid w:val="00F01B92"/>
    <w:rsid w:val="00F04923"/>
    <w:rsid w:val="00F0757A"/>
    <w:rsid w:val="00F1212A"/>
    <w:rsid w:val="00F150A3"/>
    <w:rsid w:val="00F16A60"/>
    <w:rsid w:val="00F307B6"/>
    <w:rsid w:val="00F3521B"/>
    <w:rsid w:val="00F3599C"/>
    <w:rsid w:val="00F4140B"/>
    <w:rsid w:val="00F42366"/>
    <w:rsid w:val="00F42650"/>
    <w:rsid w:val="00F47358"/>
    <w:rsid w:val="00F47FFB"/>
    <w:rsid w:val="00F525F9"/>
    <w:rsid w:val="00F542DD"/>
    <w:rsid w:val="00F664BA"/>
    <w:rsid w:val="00F66F3F"/>
    <w:rsid w:val="00F720F0"/>
    <w:rsid w:val="00F74903"/>
    <w:rsid w:val="00F75018"/>
    <w:rsid w:val="00F76964"/>
    <w:rsid w:val="00F859EC"/>
    <w:rsid w:val="00F85E97"/>
    <w:rsid w:val="00F87AA0"/>
    <w:rsid w:val="00F9239F"/>
    <w:rsid w:val="00F941DB"/>
    <w:rsid w:val="00F96C0B"/>
    <w:rsid w:val="00F9787E"/>
    <w:rsid w:val="00FB03BB"/>
    <w:rsid w:val="00FB5B07"/>
    <w:rsid w:val="00FC32D4"/>
    <w:rsid w:val="00FC46A5"/>
    <w:rsid w:val="00FC501E"/>
    <w:rsid w:val="00FD5CEC"/>
    <w:rsid w:val="00FE0C0A"/>
    <w:rsid w:val="00FE5044"/>
    <w:rsid w:val="00FF2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8458FA"/>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8458FA"/>
    <w:pPr>
      <w:spacing w:after="100"/>
    </w:pPr>
  </w:style>
  <w:style w:type="paragraph" w:styleId="TOC2">
    <w:name w:val="toc 2"/>
    <w:basedOn w:val="Normal"/>
    <w:next w:val="Normal"/>
    <w:autoRedefine/>
    <w:uiPriority w:val="39"/>
    <w:unhideWhenUsed/>
    <w:rsid w:val="008458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583592">
      <w:bodyDiv w:val="1"/>
      <w:marLeft w:val="0"/>
      <w:marRight w:val="0"/>
      <w:marTop w:val="0"/>
      <w:marBottom w:val="0"/>
      <w:divBdr>
        <w:top w:val="none" w:sz="0" w:space="0" w:color="auto"/>
        <w:left w:val="none" w:sz="0" w:space="0" w:color="auto"/>
        <w:bottom w:val="none" w:sz="0" w:space="0" w:color="auto"/>
        <w:right w:val="none" w:sz="0" w:space="0" w:color="auto"/>
      </w:divBdr>
      <w:divsChild>
        <w:div w:id="707337192">
          <w:marLeft w:val="0"/>
          <w:marRight w:val="0"/>
          <w:marTop w:val="0"/>
          <w:marBottom w:val="0"/>
          <w:divBdr>
            <w:top w:val="none" w:sz="0" w:space="0" w:color="auto"/>
            <w:left w:val="none" w:sz="0" w:space="0" w:color="auto"/>
            <w:bottom w:val="none" w:sz="0" w:space="0" w:color="auto"/>
            <w:right w:val="none" w:sz="0" w:space="0" w:color="auto"/>
          </w:divBdr>
        </w:div>
      </w:divsChild>
    </w:div>
    <w:div w:id="2051880094">
      <w:bodyDiv w:val="1"/>
      <w:marLeft w:val="0"/>
      <w:marRight w:val="0"/>
      <w:marTop w:val="0"/>
      <w:marBottom w:val="0"/>
      <w:divBdr>
        <w:top w:val="none" w:sz="0" w:space="0" w:color="auto"/>
        <w:left w:val="none" w:sz="0" w:space="0" w:color="auto"/>
        <w:bottom w:val="none" w:sz="0" w:space="0" w:color="auto"/>
        <w:right w:val="none" w:sz="0" w:space="0" w:color="auto"/>
      </w:divBdr>
      <w:divsChild>
        <w:div w:id="166867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lo.org/topics-and-sectors/decent-work-and-2030-agenda-sustainable-development" TargetMode="External"/><Relationship Id="rId18" Type="http://schemas.openxmlformats.org/officeDocument/2006/relationships/hyperlink" Target="https://www.emro.who.int/emhj-volume-21-2015/volume-21-issue-7/comprehensive-mental-health-action-plan-20132020.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www.legislation.gov.uk/ukpga/1974/37/contents" TargetMode="External"/><Relationship Id="rId17" Type="http://schemas.openxmlformats.org/officeDocument/2006/relationships/hyperlink" Target="https://www.who.int/publications/i/item/who-healthy-workplace-framework-and-model"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naspa.org/images/uploads/kcs/WHPL_Canon_HP_Ottawa_Charter_5.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gland.nhs.uk/2025/06/nhs-waiting-list-hits-two-year-low-as-staff-work-to-turn-the-tide/"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sdgs.un.org/goals"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who.int/news-room/fact-sheets/detail/universal-health-coverage-(uhc)"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dgs.un.org/goals/goal8"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2b03f78e7b68149a2ba41569ac967026">
  <xsd:schema xmlns:xsd="http://www.w3.org/2001/XMLSchema" xmlns:xs="http://www.w3.org/2001/XMLSchema" xmlns:p="http://schemas.microsoft.com/office/2006/metadata/properties" xmlns:ns3="ad7316b1-23f1-480c-8fa6-cbf037f4db9c" targetNamespace="http://schemas.microsoft.com/office/2006/metadata/properties" ma:root="true" ma:fieldsID="2b28b906acf21f2c39cac988a11cf03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0A20750-B5E3-4E4F-9A41-29D04FE85E23}">
  <ds:schemaRefs>
    <ds:schemaRef ds:uri="http://schemas.microsoft.com/sharepoint/v3/contenttype/forms"/>
  </ds:schemaRefs>
</ds:datastoreItem>
</file>

<file path=customXml/itemProps2.xml><?xml version="1.0" encoding="utf-8"?>
<ds:datastoreItem xmlns:ds="http://schemas.openxmlformats.org/officeDocument/2006/customXml" ds:itemID="{B77BC77B-B309-45E1-9B9C-77F2DAA394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1479B1-0AC2-45F5-80CC-AE5EC8E63CFD}">
  <ds:schemaRefs>
    <ds:schemaRef ds:uri="http://schemas.openxmlformats.org/officeDocument/2006/bibliography"/>
  </ds:schemaRefs>
</ds:datastoreItem>
</file>

<file path=customXml/itemProps4.xml><?xml version="1.0" encoding="utf-8"?>
<ds:datastoreItem xmlns:ds="http://schemas.openxmlformats.org/officeDocument/2006/customXml" ds:itemID="{54DEEE6E-233F-4A2E-AC02-3456DA831579}">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3497</Words>
  <Characters>19938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Samina Kousar (2244901)</cp:lastModifiedBy>
  <cp:revision>2</cp:revision>
  <dcterms:created xsi:type="dcterms:W3CDTF">2026-07-16T11:41:00Z</dcterms:created>
  <dcterms:modified xsi:type="dcterms:W3CDTF">2026-07-16T11:41:00Z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