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C5CC1" w:rsidRDefault="00423841"/>
    <w:p w:rsidR="004A30C0" w:rsidRDefault="004A30C0" w:rsidP="00800F39">
      <w:pPr>
        <w:pStyle w:val="Heading1"/>
      </w:pPr>
    </w:p>
    <w:p w:rsidR="00CA1382" w:rsidRPr="00BB3089" w:rsidRDefault="00CA1382" w:rsidP="00CA1382">
      <w:pPr>
        <w:spacing w:after="0"/>
        <w:jc w:val="center"/>
        <w:rPr>
          <w:rFonts w:ascii="Arial" w:eastAsia="Arial" w:hAnsi="Arial" w:cs="Arial"/>
          <w:color w:val="000000"/>
          <w:lang w:eastAsia="en-GB"/>
        </w:rPr>
      </w:pPr>
      <w:r w:rsidRPr="00BB3089">
        <w:rPr>
          <w:rFonts w:ascii="Arial" w:eastAsia="Arial" w:hAnsi="Arial" w:cs="Arial"/>
          <w:b/>
          <w:noProof/>
          <w:color w:val="000000"/>
          <w:sz w:val="4"/>
          <w:szCs w:val="4"/>
          <w:lang w:eastAsia="en-GB"/>
        </w:rPr>
        <w:drawing>
          <wp:inline distT="0" distB="0" distL="0" distR="0" wp14:anchorId="3B21DA20" wp14:editId="1CB9D3F2">
            <wp:extent cx="2344518" cy="952500"/>
            <wp:effectExtent l="0" t="0" r="0" b="0"/>
            <wp:docPr id="28" name="Picture 28" descr="Graphical user interfac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logo&#10;&#10;Description automatically generated"/>
                    <pic:cNvPicPr/>
                  </pic:nvPicPr>
                  <pic:blipFill>
                    <a:blip r:embed="rId8"/>
                    <a:stretch>
                      <a:fillRect/>
                    </a:stretch>
                  </pic:blipFill>
                  <pic:spPr>
                    <a:xfrm>
                      <a:off x="0" y="0"/>
                      <a:ext cx="2347409" cy="953675"/>
                    </a:xfrm>
                    <a:prstGeom prst="rect">
                      <a:avLst/>
                    </a:prstGeom>
                  </pic:spPr>
                </pic:pic>
              </a:graphicData>
            </a:graphic>
          </wp:inline>
        </w:drawing>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Pr>
        <w:spacing w:after="0"/>
        <w:jc w:val="center"/>
        <w:rPr>
          <w:rFonts w:ascii="Arial" w:eastAsia="Arial" w:hAnsi="Arial" w:cs="Arial"/>
          <w:b/>
          <w:color w:val="000000"/>
          <w:sz w:val="52"/>
          <w:lang w:eastAsia="en-GB"/>
        </w:rPr>
      </w:pPr>
      <w:r>
        <w:rPr>
          <w:rFonts w:ascii="Arial" w:eastAsia="Arial" w:hAnsi="Arial" w:cs="Arial"/>
          <w:b/>
          <w:color w:val="000000"/>
          <w:sz w:val="52"/>
          <w:lang w:eastAsia="en-GB"/>
        </w:rPr>
        <w:t xml:space="preserve"> </w:t>
      </w:r>
      <w:r w:rsidR="006B6B1E">
        <w:rPr>
          <w:rFonts w:ascii="Arial" w:eastAsia="Arial" w:hAnsi="Arial" w:cs="Arial"/>
          <w:b/>
          <w:color w:val="000000"/>
          <w:sz w:val="52"/>
          <w:lang w:eastAsia="en-GB"/>
        </w:rPr>
        <w:t>E</w:t>
      </w:r>
      <w:r w:rsidR="00AC27C1">
        <w:rPr>
          <w:rFonts w:ascii="Arial" w:eastAsia="Arial" w:hAnsi="Arial" w:cs="Arial"/>
          <w:b/>
          <w:color w:val="000000"/>
          <w:sz w:val="52"/>
          <w:lang w:eastAsia="en-GB"/>
        </w:rPr>
        <w:t>nvironmental Factors</w:t>
      </w:r>
    </w:p>
    <w:p w:rsidR="00CA1382" w:rsidRPr="00BB3089" w:rsidRDefault="00CA1382" w:rsidP="00CA1382">
      <w:pPr>
        <w:spacing w:after="0"/>
        <w:jc w:val="center"/>
        <w:rPr>
          <w:rFonts w:ascii="Arial" w:eastAsia="Arial" w:hAnsi="Arial" w:cs="Arial"/>
          <w:color w:val="000000"/>
          <w:lang w:eastAsia="en-GB"/>
        </w:rPr>
      </w:pPr>
    </w:p>
    <w:p w:rsidR="00CA1382" w:rsidRPr="00BB3089" w:rsidRDefault="00CA1382" w:rsidP="00CA1382">
      <w:pPr>
        <w:spacing w:after="0"/>
        <w:ind w:right="121"/>
        <w:jc w:val="center"/>
        <w:rPr>
          <w:rFonts w:ascii="Arial" w:eastAsia="Arial" w:hAnsi="Arial" w:cs="Arial"/>
          <w:color w:val="000000"/>
          <w:lang w:eastAsia="en-GB"/>
        </w:rPr>
      </w:pPr>
    </w:p>
    <w:p w:rsidR="00CA1382" w:rsidRPr="00BB3089" w:rsidRDefault="00CA1382" w:rsidP="00CA1382">
      <w:pPr>
        <w:spacing w:after="0"/>
        <w:ind w:right="121"/>
        <w:jc w:val="center"/>
        <w:rPr>
          <w:rFonts w:ascii="Arial" w:eastAsia="Arial" w:hAnsi="Arial" w:cs="Arial"/>
          <w:color w:val="000000"/>
          <w:lang w:eastAsia="en-GB"/>
        </w:rPr>
      </w:pPr>
      <w:r w:rsidRPr="00BB3089">
        <w:rPr>
          <w:rFonts w:ascii="Arial" w:eastAsia="Arial" w:hAnsi="Arial" w:cs="Arial"/>
          <w:b/>
          <w:color w:val="000000"/>
          <w:sz w:val="36"/>
          <w:lang w:eastAsia="en-GB"/>
        </w:rPr>
        <w:t xml:space="preserve"> </w:t>
      </w:r>
    </w:p>
    <w:p w:rsidR="00CA1382" w:rsidRPr="00BB3089" w:rsidRDefault="00CA1382" w:rsidP="00CA1382">
      <w:pPr>
        <w:spacing w:after="88"/>
        <w:ind w:right="155"/>
        <w:jc w:val="center"/>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0"/>
        <w:ind w:left="10" w:right="223" w:hanging="10"/>
        <w:jc w:val="center"/>
        <w:rPr>
          <w:rFonts w:ascii="Arial" w:eastAsia="Arial" w:hAnsi="Arial" w:cs="Arial"/>
          <w:color w:val="000000"/>
          <w:lang w:eastAsia="en-GB"/>
        </w:rPr>
      </w:pPr>
      <w:r w:rsidRPr="00BB3089">
        <w:rPr>
          <w:rFonts w:ascii="Arial" w:eastAsia="Arial" w:hAnsi="Arial" w:cs="Arial"/>
          <w:b/>
          <w:color w:val="000000"/>
          <w:sz w:val="36"/>
          <w:lang w:eastAsia="en-GB"/>
        </w:rPr>
        <w:t>Project: UWTSD Leisure Complex</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spacing w:after="88"/>
        <w:rPr>
          <w:rFonts w:ascii="Arial" w:eastAsia="Arial" w:hAnsi="Arial" w:cs="Arial"/>
          <w:color w:val="000000"/>
          <w:lang w:eastAsia="en-GB"/>
        </w:rPr>
      </w:pPr>
      <w:r w:rsidRPr="00BB3089">
        <w:rPr>
          <w:rFonts w:ascii="Arial" w:eastAsia="Arial" w:hAnsi="Arial" w:cs="Arial"/>
          <w:b/>
          <w:color w:val="000000"/>
          <w:sz w:val="24"/>
          <w:lang w:eastAsia="en-GB"/>
        </w:rPr>
        <w:t xml:space="preserve"> </w:t>
      </w:r>
    </w:p>
    <w:p w:rsidR="00CA1382" w:rsidRPr="00BB3089" w:rsidRDefault="00CA1382" w:rsidP="00CA1382">
      <w:pPr>
        <w:keepNext/>
        <w:keepLines/>
        <w:spacing w:after="0"/>
        <w:ind w:left="10" w:right="220" w:hanging="10"/>
        <w:jc w:val="center"/>
        <w:outlineLvl w:val="0"/>
        <w:rPr>
          <w:rFonts w:ascii="Arial" w:eastAsia="Arial" w:hAnsi="Arial" w:cs="Arial"/>
          <w:b/>
          <w:color w:val="000000"/>
          <w:sz w:val="36"/>
          <w:lang w:eastAsia="en-GB"/>
        </w:rPr>
      </w:pPr>
      <w:r w:rsidRPr="00BB3089">
        <w:rPr>
          <w:rFonts w:ascii="Arial" w:eastAsia="Arial" w:hAnsi="Arial" w:cs="Arial"/>
          <w:b/>
          <w:color w:val="000000"/>
          <w:sz w:val="36"/>
          <w:lang w:eastAsia="en-GB"/>
        </w:rPr>
        <w:t>Contract Number: 6023</w:t>
      </w:r>
    </w:p>
    <w:p w:rsidR="00CA1382" w:rsidRPr="00BB3089" w:rsidRDefault="00CA1382" w:rsidP="00CA1382">
      <w:pPr>
        <w:spacing w:after="0"/>
        <w:ind w:right="222"/>
        <w:rPr>
          <w:rFonts w:ascii="Arial" w:eastAsia="Arial" w:hAnsi="Arial" w:cs="Arial"/>
          <w:color w:val="000000"/>
          <w:lang w:eastAsia="en-GB"/>
        </w:rPr>
      </w:pP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r w:rsidRPr="00BB3089">
        <w:rPr>
          <w:rFonts w:ascii="Arial" w:eastAsia="Arial" w:hAnsi="Arial" w:cs="Arial"/>
          <w:color w:val="5B9BD5"/>
          <w:sz w:val="28"/>
          <w:lang w:eastAsia="en-GB"/>
        </w:rPr>
        <w:tab/>
      </w: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Pr>
        <w:spacing w:after="0"/>
        <w:rPr>
          <w:rFonts w:ascii="Arial" w:eastAsia="Arial" w:hAnsi="Arial" w:cs="Arial"/>
          <w:color w:val="000000"/>
          <w:sz w:val="24"/>
          <w:lang w:eastAsia="en-GB"/>
        </w:rPr>
      </w:pPr>
      <w:r w:rsidRPr="00BB3089">
        <w:rPr>
          <w:rFonts w:ascii="Arial" w:eastAsia="Arial" w:hAnsi="Arial" w:cs="Arial"/>
          <w:color w:val="000000"/>
          <w:sz w:val="24"/>
          <w:lang w:eastAsia="en-GB"/>
        </w:rPr>
        <w:t xml:space="preserve"> </w:t>
      </w:r>
    </w:p>
    <w:p w:rsidR="00CA1382" w:rsidRDefault="00CA1382" w:rsidP="00CA1382">
      <w:pPr>
        <w:spacing w:after="0"/>
        <w:rPr>
          <w:rFonts w:ascii="Arial" w:eastAsia="Arial" w:hAnsi="Arial" w:cs="Arial"/>
          <w:color w:val="000000"/>
          <w:sz w:val="24"/>
          <w:lang w:eastAsia="en-GB"/>
        </w:rPr>
      </w:pPr>
    </w:p>
    <w:p w:rsidR="00CA1382" w:rsidRDefault="00CA1382" w:rsidP="00CA1382">
      <w:pPr>
        <w:spacing w:after="0"/>
        <w:rPr>
          <w:rFonts w:ascii="Arial" w:eastAsia="Arial" w:hAnsi="Arial" w:cs="Arial"/>
          <w:color w:val="000000"/>
          <w:sz w:val="24"/>
          <w:lang w:eastAsia="en-GB"/>
        </w:rPr>
      </w:pPr>
    </w:p>
    <w:p w:rsidR="00CA1382" w:rsidRPr="00BB3089" w:rsidRDefault="00CA1382" w:rsidP="00CA1382">
      <w:pPr>
        <w:spacing w:after="0"/>
        <w:rPr>
          <w:rFonts w:ascii="Arial" w:eastAsia="Arial" w:hAnsi="Arial" w:cs="Arial"/>
          <w:color w:val="000000"/>
          <w:lang w:eastAsia="en-GB"/>
        </w:rPr>
      </w:pPr>
    </w:p>
    <w:p w:rsidR="00CA1382" w:rsidRPr="00BB3089" w:rsidRDefault="00CA1382" w:rsidP="00CA1382">
      <w:pPr>
        <w:spacing w:after="0"/>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Pr="00BB3089" w:rsidRDefault="00CA1382" w:rsidP="00CA1382">
      <w:pPr>
        <w:spacing w:after="0"/>
        <w:ind w:right="155"/>
        <w:jc w:val="center"/>
        <w:rPr>
          <w:rFonts w:ascii="Arial" w:eastAsia="Arial" w:hAnsi="Arial" w:cs="Arial"/>
          <w:color w:val="000000"/>
          <w:lang w:eastAsia="en-GB"/>
        </w:rPr>
      </w:pPr>
      <w:r w:rsidRPr="00BB3089">
        <w:rPr>
          <w:rFonts w:ascii="Arial" w:eastAsia="Arial" w:hAnsi="Arial" w:cs="Arial"/>
          <w:color w:val="000000"/>
          <w:sz w:val="24"/>
          <w:lang w:eastAsia="en-GB"/>
        </w:rPr>
        <w:t xml:space="preserve"> </w:t>
      </w:r>
    </w:p>
    <w:p w:rsidR="00CA1382" w:rsidRDefault="00CA1382" w:rsidP="00CA1382"/>
    <w:p w:rsidR="004A30C0" w:rsidRDefault="004A30C0" w:rsidP="00800F39">
      <w:pPr>
        <w:pStyle w:val="Heading1"/>
      </w:pPr>
    </w:p>
    <w:p w:rsidR="006B6B1E" w:rsidRDefault="006B6B1E" w:rsidP="006B6B1E">
      <w:pPr>
        <w:ind w:firstLine="720"/>
      </w:pPr>
    </w:p>
    <w:p w:rsidR="00AC27C1" w:rsidRPr="004D70F9" w:rsidRDefault="00AC27C1" w:rsidP="00AC27C1">
      <w:pPr>
        <w:pStyle w:val="NoSpacing"/>
        <w:rPr>
          <w:b/>
          <w:u w:val="single"/>
        </w:rPr>
      </w:pPr>
      <w:r w:rsidRPr="004D70F9">
        <w:rPr>
          <w:b/>
          <w:u w:val="single"/>
        </w:rPr>
        <w:lastRenderedPageBreak/>
        <w:t>Environmental Factors</w:t>
      </w:r>
    </w:p>
    <w:p w:rsidR="00AC27C1" w:rsidRDefault="00AC27C1" w:rsidP="00AC27C1">
      <w:pPr>
        <w:ind w:firstLine="720"/>
      </w:pPr>
      <w:r>
        <w:t>It is imperative that the environmental impacts of our proposed construction are fully identified, analysed and either controlled or avoided completely. Ideally, this scheme would have completed a site investigation giving identifying the ecology and general makeup of the site, but at this stage, we have our desktop study and our site walkover only. Given this information, to address environmental concerns, an Environmental Impact Assessment (EIA) would be hugely beneficial to the journey of the project. This section to the project document will serve as a foundational scope to a future EIA. This section will aim to consider all likely effects to the environment, exploring mitigation measures for the range of parties involved such as the client, local authority, local residents and organisations, as well as the wider public. Scope of the impacts of activity on site will include ecology, climate and general effects to local environment such a groundwater and landscape. In addition, the methods and materials adopted to construct the building will be scrutinised to consider the environment. It should be noted that all of the advised precautions in this section will require diligent monitoring and maintenance to ensure effectiveness and integrity.</w:t>
      </w:r>
    </w:p>
    <w:p w:rsidR="00AC27C1" w:rsidRPr="00D450D6" w:rsidRDefault="00AC27C1" w:rsidP="00AC27C1">
      <w:pPr>
        <w:rPr>
          <w:b/>
        </w:rPr>
      </w:pPr>
      <w:r w:rsidRPr="00D450D6">
        <w:rPr>
          <w:b/>
        </w:rPr>
        <w:t>Site Records</w:t>
      </w:r>
    </w:p>
    <w:p w:rsidR="00AC27C1" w:rsidRDefault="00AC27C1" w:rsidP="00AC27C1">
      <w:r>
        <w:t>Environmental records should be kept of any incidents on site as construction progresses, informing the environmental consultant and seeking advice in measures throughout. In addition, monitoring of both sample results and material transfer tickets should be kept throughout the project, including exported and imported materials to ensure diligence and transparency.</w:t>
      </w:r>
    </w:p>
    <w:p w:rsidR="00AC27C1" w:rsidRPr="001363B7" w:rsidRDefault="00AC27C1" w:rsidP="00AC27C1">
      <w:pPr>
        <w:rPr>
          <w:b/>
        </w:rPr>
      </w:pPr>
      <w:r w:rsidRPr="001363B7">
        <w:rPr>
          <w:b/>
        </w:rPr>
        <w:t>Water Management</w:t>
      </w:r>
    </w:p>
    <w:p w:rsidR="00AC27C1" w:rsidRDefault="00AC27C1" w:rsidP="00AC27C1">
      <w:r>
        <w:t xml:space="preserve">Given the close proximity to our site to watercourse, a crucial aspect to management the ecological effects of the construction process is surface run-off management or silt management, namely address in a Storm Water Management Plan. The key concepts to this management are minimising movement in subsoil, controlled silt water through silt fences, silt channels and settlement ponds, encouraging filtration and settlement. Road sweeping, namely to the site entrance and staff car parking entrance will be in place for the duration of the project to ensure roads are maintained and silts on roads and highways are avoided. </w:t>
      </w:r>
    </w:p>
    <w:p w:rsidR="00AC27C1" w:rsidRDefault="00AC27C1" w:rsidP="00AC27C1">
      <w:r w:rsidRPr="00DB6E3D">
        <w:rPr>
          <w:noProof/>
          <w:lang w:eastAsia="en-GB"/>
        </w:rPr>
        <w:drawing>
          <wp:anchor distT="0" distB="0" distL="114300" distR="114300" simplePos="0" relativeHeight="251659264" behindDoc="1" locked="0" layoutInCell="1" allowOverlap="1" wp14:anchorId="727B57EF" wp14:editId="00E95421">
            <wp:simplePos x="0" y="0"/>
            <wp:positionH relativeFrom="column">
              <wp:posOffset>3496310</wp:posOffset>
            </wp:positionH>
            <wp:positionV relativeFrom="paragraph">
              <wp:posOffset>3810</wp:posOffset>
            </wp:positionV>
            <wp:extent cx="2751455" cy="1503045"/>
            <wp:effectExtent l="0" t="0" r="0" b="1905"/>
            <wp:wrapTight wrapText="bothSides">
              <wp:wrapPolygon edited="0">
                <wp:start x="0" y="0"/>
                <wp:lineTo x="0" y="21354"/>
                <wp:lineTo x="21386" y="21354"/>
                <wp:lineTo x="21386" y="0"/>
                <wp:lineTo x="0" y="0"/>
              </wp:wrapPolygon>
            </wp:wrapTight>
            <wp:docPr id="2" name="Picture 2" descr="C:\Users\tadamson\Desktop\UNIVERSITY WORK\Group Project\BACKGROUND\Google maps - satellite vi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damson\Desktop\UNIVERSITY WORK\Group Project\BACKGROUND\Google maps - satellite view.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1455" cy="1503045"/>
                    </a:xfrm>
                    <a:prstGeom prst="rect">
                      <a:avLst/>
                    </a:prstGeom>
                    <a:noFill/>
                    <a:ln>
                      <a:noFill/>
                    </a:ln>
                  </pic:spPr>
                </pic:pic>
              </a:graphicData>
            </a:graphic>
            <wp14:sizeRelH relativeFrom="page">
              <wp14:pctWidth>0</wp14:pctWidth>
            </wp14:sizeRelH>
            <wp14:sizeRelV relativeFrom="page">
              <wp14:pctHeight>0</wp14:pctHeight>
            </wp14:sizeRelV>
          </wp:anchor>
        </w:drawing>
      </w:r>
      <w:r>
        <w:t>Areas which will likely produce sediments and should be cleaned and isolated as best as possible are:</w:t>
      </w:r>
    </w:p>
    <w:p w:rsidR="00AC27C1" w:rsidRDefault="00AC27C1" w:rsidP="00AC27C1">
      <w:pPr>
        <w:pStyle w:val="NoSpacing"/>
        <w:numPr>
          <w:ilvl w:val="0"/>
          <w:numId w:val="2"/>
        </w:numPr>
      </w:pPr>
      <w:r>
        <w:t>Open ditches in roads or footpaths</w:t>
      </w:r>
    </w:p>
    <w:p w:rsidR="00AC27C1" w:rsidRDefault="00AC27C1" w:rsidP="00AC27C1">
      <w:pPr>
        <w:pStyle w:val="NoSpacing"/>
        <w:numPr>
          <w:ilvl w:val="0"/>
          <w:numId w:val="2"/>
        </w:numPr>
      </w:pPr>
      <w:r>
        <w:t>Open excavations and areas for dewatering</w:t>
      </w:r>
    </w:p>
    <w:p w:rsidR="00AC27C1" w:rsidRDefault="00AC27C1" w:rsidP="00AC27C1">
      <w:pPr>
        <w:pStyle w:val="NoSpacing"/>
        <w:numPr>
          <w:ilvl w:val="0"/>
          <w:numId w:val="1"/>
        </w:numPr>
      </w:pPr>
      <w:r>
        <w:t>Wheel washing facilities</w:t>
      </w:r>
    </w:p>
    <w:p w:rsidR="00AC27C1" w:rsidRDefault="00AC27C1" w:rsidP="00AC27C1">
      <w:pPr>
        <w:pStyle w:val="NoSpacing"/>
        <w:numPr>
          <w:ilvl w:val="0"/>
          <w:numId w:val="1"/>
        </w:numPr>
      </w:pPr>
      <w:r>
        <w:t>Surface soil stripping</w:t>
      </w:r>
    </w:p>
    <w:p w:rsidR="00AC27C1" w:rsidRDefault="00AC27C1" w:rsidP="00AC27C1">
      <w:pPr>
        <w:pStyle w:val="NoSpacing"/>
        <w:numPr>
          <w:ilvl w:val="0"/>
          <w:numId w:val="1"/>
        </w:numPr>
      </w:pPr>
      <w:r>
        <w:t>Material storage areas and stockpiles (Frog Environmental, 2016)</w:t>
      </w:r>
    </w:p>
    <w:p w:rsidR="00AC27C1" w:rsidRDefault="00AC27C1" w:rsidP="00AC27C1">
      <w:pPr>
        <w:pStyle w:val="NoSpacing"/>
      </w:pPr>
    </w:p>
    <w:p w:rsidR="00AC27C1" w:rsidRPr="0006284D" w:rsidRDefault="00AC27C1" w:rsidP="00AC27C1">
      <w:pPr>
        <w:rPr>
          <w:b/>
        </w:rPr>
      </w:pPr>
      <w:r w:rsidRPr="0006284D">
        <w:rPr>
          <w:b/>
        </w:rPr>
        <w:t>Energy Efficiency</w:t>
      </w:r>
    </w:p>
    <w:p w:rsidR="00AC27C1" w:rsidRDefault="00AC27C1" w:rsidP="00AC27C1">
      <w:pPr>
        <w:ind w:firstLine="720"/>
      </w:pPr>
      <w:r>
        <w:t xml:space="preserve">This construction project will undoubtedly be fuel intensive but consideration will be made as to options in activity which will reduce fuel requirement, as well as general practices which should be principle to site throughout all activities. General energy consumption should be considered on site such as cabin and welfare electricity and generators. </w:t>
      </w:r>
    </w:p>
    <w:p w:rsidR="00AC27C1" w:rsidRDefault="00AC27C1" w:rsidP="00AC27C1">
      <w:pPr>
        <w:ind w:firstLine="720"/>
      </w:pPr>
      <w:r>
        <w:t xml:space="preserve">Idle time with machines standing and lack of productivity should be avoided as much as possible. This can be incentivised with plant operatives on site with idle monitors in productive </w:t>
      </w:r>
      <w:r>
        <w:lastRenderedPageBreak/>
        <w:t xml:space="preserve">plant, encouraging decreased standing times for plant. Further plant speeds and routes can be monitored and controlled to ensure maximum efficiency also. </w:t>
      </w:r>
    </w:p>
    <w:p w:rsidR="00AC27C1" w:rsidRDefault="00AC27C1" w:rsidP="00AC27C1">
      <w:pPr>
        <w:ind w:firstLine="720"/>
      </w:pPr>
      <w:r>
        <w:t>Material management is also an important aspect to be considered in this project, especially given the amount of material to be both exported and imported. The activity of material movement needs to be assessed, identifying the more efficient method. Considering to the movement of material to local stockpile, exportation, and importation, stockpile and placement needs to ensure least fuel is consumed and double handling of material is avoided as best as possible. As part of the tendering process with hauliers and material suppliers, a key criteria to their tender submission should include their proposal to mitigate pollution.</w:t>
      </w:r>
    </w:p>
    <w:p w:rsidR="00AC27C1" w:rsidRDefault="00AC27C1" w:rsidP="00AC27C1">
      <w:pPr>
        <w:rPr>
          <w:b/>
        </w:rPr>
      </w:pPr>
      <w:r>
        <w:rPr>
          <w:b/>
        </w:rPr>
        <w:t>Pollution Management</w:t>
      </w:r>
    </w:p>
    <w:p w:rsidR="00AC27C1" w:rsidRDefault="00AC27C1" w:rsidP="00AC27C1">
      <w:r w:rsidRPr="00A032BA">
        <w:t xml:space="preserve">It is critical that a thorough </w:t>
      </w:r>
      <w:r>
        <w:t>Site waste management p</w:t>
      </w:r>
      <w:r w:rsidRPr="00A032BA">
        <w:t xml:space="preserve">lan </w:t>
      </w:r>
      <w:r>
        <w:t xml:space="preserve">(SWMP) </w:t>
      </w:r>
      <w:r w:rsidRPr="00A032BA">
        <w:t>is drafted prior to the commencement of construction.</w:t>
      </w:r>
      <w:r>
        <w:t xml:space="preserve"> This will include segregation of builders’ rubble, hazardous waste, or general plastic litter and food waste from the workers on site. Consideration towards recycling or reuse waste on site should be made when exploring segregation categories. Waste movements offsite will be recorded, giving projections and monthly updates. Hauliers will be required to provide waste carrier licenses. To avoid continuous trips to a waste disposal facility, many site officers construct a “waste cage” at the site camp where waste is temporarily stored within an impermeable, weatherproof cage or container until it can be properly disposed of.</w:t>
      </w:r>
    </w:p>
    <w:p w:rsidR="00AC27C1" w:rsidRDefault="00AC27C1" w:rsidP="00AC27C1">
      <w:pPr>
        <w:ind w:firstLine="720"/>
      </w:pPr>
      <w:r>
        <w:t xml:space="preserve">An operative who is fully asbestos awareness trained will be present on site throughout the project, in the case that asbestos is encountered. In addition, disposal of any oils or greases should be in an enclosed skip.  Plant, materials, hazardous substances and chemicals should be given designated storage areas. Further, storage areas should not spread to walkways or obstruct any access routes, especially in terms of emergency escape (HSE, 2023b). Delivery of materials should be planned and scheduled, keeping amount to a minimum (HSE, 2023c). </w:t>
      </w:r>
    </w:p>
    <w:p w:rsidR="00AC27C1" w:rsidRDefault="00AC27C1" w:rsidP="00AC27C1">
      <w:pPr>
        <w:ind w:firstLine="720"/>
      </w:pPr>
      <w:r>
        <w:t xml:space="preserve">Hazardous material control should be enacted on site. Filling areas and plant should contain drip and spill trays, which filling area stocked with bund protection and absorbent pads. COSHH stores should be provided for others site substances with drip trays and </w:t>
      </w:r>
      <w:proofErr w:type="spellStart"/>
      <w:r>
        <w:t>bunding</w:t>
      </w:r>
      <w:proofErr w:type="spellEnd"/>
      <w:r>
        <w:t xml:space="preserve"> (HSE, 2023a). Brushing hazardous substances in dust form should be avoided, with potential vacuum devices preferred. Inert stockpiles should be disposed regularly to avoid built up. Other hazardous waste should be disposed of adequately, such as provision and use of concrete washout devices.</w:t>
      </w:r>
    </w:p>
    <w:p w:rsidR="00AC27C1" w:rsidRDefault="00AC27C1" w:rsidP="00AC27C1">
      <w:pPr>
        <w:ind w:firstLine="720"/>
      </w:pPr>
      <w:r>
        <w:t xml:space="preserve">Considerations will be made to dust, noise and odour pollution throughout the life of the project. This will require good communication with local residents and organisations. Strict working hours shall be kept on site, likely 08:00 </w:t>
      </w:r>
      <w:proofErr w:type="spellStart"/>
      <w:r>
        <w:t>til</w:t>
      </w:r>
      <w:proofErr w:type="spellEnd"/>
      <w:r>
        <w:t xml:space="preserve"> 17:00 weekdays and 09:00 </w:t>
      </w:r>
      <w:proofErr w:type="spellStart"/>
      <w:r>
        <w:t>til</w:t>
      </w:r>
      <w:proofErr w:type="spellEnd"/>
      <w:r>
        <w:t xml:space="preserve"> 13:00 on Saturdays, with working exempt on banks holidays or Sundays. Noise and vibration readings are to be taken in locations to the boundary of site, namely positioned towards residentially occupied areas, identifying those exceeding thresholds and implementing a management plan to mitigate. In addition, our site supervisor will ensure that precautions to inclement weather with strong winds and dryer weather producing dust, likely in the form of dust suppression kits and dampening methods on site haul roads. </w:t>
      </w:r>
    </w:p>
    <w:p w:rsidR="00AC27C1" w:rsidRDefault="00AC27C1" w:rsidP="00AC27C1">
      <w:pPr>
        <w:ind w:firstLine="720"/>
      </w:pPr>
    </w:p>
    <w:p w:rsidR="00AC27C1" w:rsidRDefault="00AC27C1" w:rsidP="00AC27C1">
      <w:pPr>
        <w:ind w:firstLine="720"/>
      </w:pPr>
    </w:p>
    <w:p w:rsidR="00AC27C1" w:rsidRDefault="00AC27C1" w:rsidP="00AC27C1">
      <w:pPr>
        <w:ind w:firstLine="720"/>
      </w:pPr>
    </w:p>
    <w:p w:rsidR="00AC27C1" w:rsidRPr="000804C8" w:rsidRDefault="00AC27C1" w:rsidP="00AC27C1">
      <w:pPr>
        <w:rPr>
          <w:b/>
        </w:rPr>
      </w:pPr>
      <w:r w:rsidRPr="000804C8">
        <w:rPr>
          <w:b/>
        </w:rPr>
        <w:lastRenderedPageBreak/>
        <w:t>Landscape Impacts</w:t>
      </w:r>
    </w:p>
    <w:p w:rsidR="00AC27C1" w:rsidRDefault="00AC27C1" w:rsidP="00AC27C1">
      <w:r>
        <w:t>The proposed scheme has included within its enabling works package full identification of the ecology and environment by way of a geotechnical investigation. Examination to identify of the any wildlife and any notable plants should be conducted, which will inform if requirements to allow for migration of wildlife should be considered. The material which is to be excavated from the site, both topsoil and sub-strata, is to be tested, informing the ability and degree of reuse or disposal. The development will ensure safe and efficient flow of traffic, both foot and vehicle, during and post construction. Furthermore, the completed project has included robust drainage and flood defence.</w:t>
      </w:r>
    </w:p>
    <w:p w:rsidR="00AC27C1" w:rsidRDefault="00AC27C1" w:rsidP="00AC27C1">
      <w:r>
        <w:t>The foundation design process for the project fully examined the likely effects on the existing site. With likely peat deposits and contaminants in the sub-strata, and potential effects on any groundwater sources, the bored pile method aims to avoid any movement of soils into this water source and disturbing the peat layers which often harbour biodiversity. It is found that bored piles will create less disturbances and provide better seals in installation and are preferred in such ground conditions (Environmental Agency, 2006).</w:t>
      </w:r>
    </w:p>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Default="00AC27C1" w:rsidP="00AC27C1"/>
    <w:p w:rsidR="00AC27C1" w:rsidRPr="00AC27C1" w:rsidRDefault="00AC27C1" w:rsidP="00AC27C1">
      <w:pPr>
        <w:rPr>
          <w:b/>
          <w:u w:val="single"/>
        </w:rPr>
      </w:pPr>
      <w:r w:rsidRPr="00AC27C1">
        <w:rPr>
          <w:b/>
          <w:u w:val="single"/>
        </w:rPr>
        <w:lastRenderedPageBreak/>
        <w:t>References</w:t>
      </w:r>
      <w:bookmarkStart w:id="0" w:name="_GoBack"/>
      <w:bookmarkEnd w:id="0"/>
    </w:p>
    <w:p w:rsidR="00CA3F97" w:rsidRDefault="00CA3F97" w:rsidP="00AC27C1">
      <w:r>
        <w:t xml:space="preserve">Environmental Agency (2006) </w:t>
      </w:r>
      <w:r w:rsidRPr="00AC27C1">
        <w:rPr>
          <w:i/>
        </w:rPr>
        <w:t>Piling in layered ground: risks to groundwater and archaeology.</w:t>
      </w:r>
      <w:r>
        <w:t xml:space="preserve"> Available at: </w:t>
      </w:r>
      <w:r w:rsidRPr="00AC27C1">
        <w:t>https://assets.publishing.service.gov.uk/government/uploads/system/uploads/attachment_data/file/320701/scho0906bllt-e-e.pdf</w:t>
      </w:r>
    </w:p>
    <w:p w:rsidR="00CA3F97" w:rsidRDefault="00CA3F97" w:rsidP="00AC27C1">
      <w:r>
        <w:t xml:space="preserve">HSE (2023a) </w:t>
      </w:r>
      <w:r w:rsidRPr="00AC27C1">
        <w:rPr>
          <w:i/>
        </w:rPr>
        <w:t>Emergency response / spill control.</w:t>
      </w:r>
      <w:r>
        <w:t xml:space="preserve"> Available at: </w:t>
      </w:r>
      <w:r w:rsidRPr="00AC27C1">
        <w:t>https://www.hse.gov.uk/comah/sragtech/techmeasspill.htm</w:t>
      </w:r>
    </w:p>
    <w:p w:rsidR="00CA3F97" w:rsidRDefault="00CA3F97" w:rsidP="00AC27C1">
      <w:r>
        <w:t xml:space="preserve">HSE (2023b) </w:t>
      </w:r>
      <w:r w:rsidRPr="00AC27C1">
        <w:rPr>
          <w:i/>
        </w:rPr>
        <w:t>Protecting the public</w:t>
      </w:r>
      <w:r>
        <w:t xml:space="preserve">. Available at: </w:t>
      </w:r>
      <w:r w:rsidRPr="00AC27C1">
        <w:t>https://www.hse.gov.uk/construction/safetytopics/publicprotection.htm</w:t>
      </w:r>
    </w:p>
    <w:p w:rsidR="00CA3F97" w:rsidRDefault="00CA3F97" w:rsidP="00AC27C1">
      <w:r>
        <w:t xml:space="preserve">HSE (2023c) </w:t>
      </w:r>
      <w:r w:rsidRPr="00AC27C1">
        <w:rPr>
          <w:i/>
        </w:rPr>
        <w:t>Materials storage and waste management</w:t>
      </w:r>
      <w:r>
        <w:t xml:space="preserve">. Available at: </w:t>
      </w:r>
      <w:r w:rsidRPr="00AC27C1">
        <w:t>https://www.hse.gov.uk/construction/safetytopics/storage.htm</w:t>
      </w:r>
    </w:p>
    <w:p w:rsidR="00C11353" w:rsidRDefault="00C11353" w:rsidP="00AC27C1"/>
    <w:sectPr w:rsidR="00C11353" w:rsidSect="00C11353">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3841" w:rsidRDefault="00423841" w:rsidP="00C11353">
      <w:pPr>
        <w:spacing w:after="0" w:line="240" w:lineRule="auto"/>
      </w:pPr>
      <w:r>
        <w:separator/>
      </w:r>
    </w:p>
  </w:endnote>
  <w:endnote w:type="continuationSeparator" w:id="0">
    <w:p w:rsidR="00423841" w:rsidRDefault="00423841" w:rsidP="00C113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3841" w:rsidRDefault="00423841" w:rsidP="00C11353">
      <w:pPr>
        <w:spacing w:after="0" w:line="240" w:lineRule="auto"/>
      </w:pPr>
      <w:r>
        <w:separator/>
      </w:r>
    </w:p>
  </w:footnote>
  <w:footnote w:type="continuationSeparator" w:id="0">
    <w:p w:rsidR="00423841" w:rsidRDefault="00423841" w:rsidP="00C113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11353" w:rsidRDefault="00C11353" w:rsidP="00C11353">
    <w:pPr>
      <w:pStyle w:val="Header"/>
      <w:jc w:val="right"/>
    </w:pPr>
    <w:r w:rsidRPr="00C11353">
      <w:rPr>
        <w:noProof/>
        <w:lang w:eastAsia="en-GB"/>
      </w:rPr>
      <w:drawing>
        <wp:inline distT="0" distB="0" distL="0" distR="0">
          <wp:extent cx="633645" cy="506797"/>
          <wp:effectExtent l="0" t="0" r="0" b="7620"/>
          <wp:docPr id="1" name="Picture 1" descr="C:\Users\tadamson\Downloads\icononl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adamson\Downloads\icononly.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42050" cy="513520"/>
                  </a:xfrm>
                  <a:prstGeom prst="rect">
                    <a:avLst/>
                  </a:prstGeom>
                  <a:noFill/>
                  <a:ln>
                    <a:noFill/>
                  </a:ln>
                </pic:spPr>
              </pic:pic>
            </a:graphicData>
          </a:graphic>
        </wp:inline>
      </w:drawing>
    </w:r>
  </w:p>
  <w:p w:rsidR="00C11353" w:rsidRDefault="00C113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2822AF"/>
    <w:multiLevelType w:val="hybridMultilevel"/>
    <w:tmpl w:val="B4D60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A41647"/>
    <w:multiLevelType w:val="hybridMultilevel"/>
    <w:tmpl w:val="9B0499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430C9"/>
    <w:rsid w:val="000F62DA"/>
    <w:rsid w:val="00163140"/>
    <w:rsid w:val="00177FC3"/>
    <w:rsid w:val="001C3DF4"/>
    <w:rsid w:val="001E4151"/>
    <w:rsid w:val="00270375"/>
    <w:rsid w:val="00352462"/>
    <w:rsid w:val="00423841"/>
    <w:rsid w:val="00484645"/>
    <w:rsid w:val="004A30C0"/>
    <w:rsid w:val="00590AB2"/>
    <w:rsid w:val="00655C68"/>
    <w:rsid w:val="006B6B1E"/>
    <w:rsid w:val="00790340"/>
    <w:rsid w:val="00800F39"/>
    <w:rsid w:val="008B406C"/>
    <w:rsid w:val="008D065D"/>
    <w:rsid w:val="00917AEE"/>
    <w:rsid w:val="00A4272E"/>
    <w:rsid w:val="00A46347"/>
    <w:rsid w:val="00AC27C1"/>
    <w:rsid w:val="00B0772E"/>
    <w:rsid w:val="00C11353"/>
    <w:rsid w:val="00C430C9"/>
    <w:rsid w:val="00C549DE"/>
    <w:rsid w:val="00CA1382"/>
    <w:rsid w:val="00CA3F97"/>
    <w:rsid w:val="00CB5166"/>
    <w:rsid w:val="00DB63C1"/>
    <w:rsid w:val="00DE6B5D"/>
    <w:rsid w:val="00E26164"/>
    <w:rsid w:val="00E46245"/>
    <w:rsid w:val="00F74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51DDAE3-A967-4DD3-BCE7-854194BA3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0F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F39"/>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0F62DA"/>
    <w:pPr>
      <w:spacing w:after="0" w:line="240" w:lineRule="auto"/>
    </w:pPr>
  </w:style>
  <w:style w:type="paragraph" w:styleId="EndnoteText">
    <w:name w:val="endnote text"/>
    <w:basedOn w:val="Normal"/>
    <w:link w:val="EndnoteTextChar"/>
    <w:uiPriority w:val="99"/>
    <w:semiHidden/>
    <w:unhideWhenUsed/>
    <w:rsid w:val="00C1135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11353"/>
    <w:rPr>
      <w:sz w:val="20"/>
      <w:szCs w:val="20"/>
    </w:rPr>
  </w:style>
  <w:style w:type="character" w:styleId="EndnoteReference">
    <w:name w:val="endnote reference"/>
    <w:basedOn w:val="DefaultParagraphFont"/>
    <w:uiPriority w:val="99"/>
    <w:semiHidden/>
    <w:unhideWhenUsed/>
    <w:rsid w:val="00C11353"/>
    <w:rPr>
      <w:vertAlign w:val="superscript"/>
    </w:rPr>
  </w:style>
  <w:style w:type="paragraph" w:styleId="Header">
    <w:name w:val="header"/>
    <w:basedOn w:val="Normal"/>
    <w:link w:val="HeaderChar"/>
    <w:uiPriority w:val="99"/>
    <w:unhideWhenUsed/>
    <w:rsid w:val="00C113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353"/>
  </w:style>
  <w:style w:type="paragraph" w:styleId="Footer">
    <w:name w:val="footer"/>
    <w:basedOn w:val="Normal"/>
    <w:link w:val="FooterChar"/>
    <w:uiPriority w:val="99"/>
    <w:unhideWhenUsed/>
    <w:rsid w:val="00C113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353"/>
  </w:style>
  <w:style w:type="character" w:styleId="Hyperlink">
    <w:name w:val="Hyperlink"/>
    <w:basedOn w:val="DefaultParagraphFont"/>
    <w:uiPriority w:val="99"/>
    <w:unhideWhenUsed/>
    <w:rsid w:val="006B6B1E"/>
    <w:rPr>
      <w:color w:val="0563C1" w:themeColor="hyperlink"/>
      <w:u w:val="single"/>
    </w:rPr>
  </w:style>
  <w:style w:type="character" w:styleId="FollowedHyperlink">
    <w:name w:val="FollowedHyperlink"/>
    <w:basedOn w:val="DefaultParagraphFont"/>
    <w:uiPriority w:val="99"/>
    <w:semiHidden/>
    <w:unhideWhenUsed/>
    <w:rsid w:val="00AC27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219959">
      <w:bodyDiv w:val="1"/>
      <w:marLeft w:val="0"/>
      <w:marRight w:val="0"/>
      <w:marTop w:val="0"/>
      <w:marBottom w:val="0"/>
      <w:divBdr>
        <w:top w:val="none" w:sz="0" w:space="0" w:color="auto"/>
        <w:left w:val="none" w:sz="0" w:space="0" w:color="auto"/>
        <w:bottom w:val="none" w:sz="0" w:space="0" w:color="auto"/>
        <w:right w:val="none" w:sz="0" w:space="0" w:color="auto"/>
      </w:divBdr>
    </w:div>
    <w:div w:id="1590189927">
      <w:bodyDiv w:val="1"/>
      <w:marLeft w:val="0"/>
      <w:marRight w:val="0"/>
      <w:marTop w:val="0"/>
      <w:marBottom w:val="0"/>
      <w:divBdr>
        <w:top w:val="none" w:sz="0" w:space="0" w:color="auto"/>
        <w:left w:val="none" w:sz="0" w:space="0" w:color="auto"/>
        <w:bottom w:val="none" w:sz="0" w:space="0" w:color="auto"/>
        <w:right w:val="none" w:sz="0" w:space="0" w:color="auto"/>
      </w:divBdr>
    </w:div>
    <w:div w:id="2079473920">
      <w:bodyDiv w:val="1"/>
      <w:marLeft w:val="0"/>
      <w:marRight w:val="0"/>
      <w:marTop w:val="0"/>
      <w:marBottom w:val="0"/>
      <w:divBdr>
        <w:top w:val="none" w:sz="0" w:space="0" w:color="auto"/>
        <w:left w:val="none" w:sz="0" w:space="0" w:color="auto"/>
        <w:bottom w:val="none" w:sz="0" w:space="0" w:color="auto"/>
        <w:right w:val="none" w:sz="0" w:space="0" w:color="auto"/>
      </w:divBdr>
    </w:div>
    <w:div w:id="214291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EA3A8A-940A-412A-AF27-064313301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1288</Words>
  <Characters>7346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8617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Adamson</dc:creator>
  <cp:keywords/>
  <dc:description/>
  <cp:lastModifiedBy>Tobias Adamson</cp:lastModifiedBy>
  <cp:revision>3</cp:revision>
  <dcterms:created xsi:type="dcterms:W3CDTF">2023-05-03T11:40:00Z</dcterms:created>
  <dcterms:modified xsi:type="dcterms:W3CDTF">2023-05-03T19:15:00Z</dcterms:modified>
</cp:coreProperties>
</file>