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213667"/>
        <w:docPartObj>
          <w:docPartGallery w:val="Cover Pages"/>
          <w:docPartUnique/>
        </w:docPartObj>
      </w:sdtPr>
      <w:sdtEndPr/>
      <w:sdtContent>
        <w:p w14:paraId="4A753B86" w14:textId="2AAE894B" w:rsidR="00955BA8" w:rsidRDefault="00955BA8">
          <w:pPr>
            <w:rPr>
              <w:rFonts w:asciiTheme="majorHAnsi" w:eastAsiaTheme="majorEastAsia" w:hAnsiTheme="majorHAnsi" w:cstheme="majorBidi"/>
              <w:spacing w:val="-10"/>
              <w:kern w:val="28"/>
              <w:sz w:val="56"/>
              <w:szCs w:val="56"/>
            </w:rPr>
          </w:pPr>
          <w:r w:rsidRPr="00955BA8">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659264" behindDoc="0" locked="0" layoutInCell="1" allowOverlap="1" wp14:anchorId="60C1D95B" wp14:editId="07BC5E7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15"/>
                                  <w:gridCol w:w="2870"/>
                                </w:tblGrid>
                                <w:tr w:rsidR="00A44F71" w14:paraId="7BF78DA2" w14:textId="77777777">
                                  <w:trPr>
                                    <w:jc w:val="center"/>
                                  </w:trPr>
                                  <w:tc>
                                    <w:tcPr>
                                      <w:tcW w:w="2568" w:type="pct"/>
                                      <w:vAlign w:val="center"/>
                                    </w:tcPr>
                                    <w:p w14:paraId="0E795EF2" w14:textId="4CAF9CF7" w:rsidR="00955BA8" w:rsidRDefault="00A44F71">
                                      <w:pPr>
                                        <w:jc w:val="right"/>
                                      </w:pPr>
                                      <w:r>
                                        <w:rPr>
                                          <w:noProof/>
                                        </w:rPr>
                                        <w:drawing>
                                          <wp:inline distT="0" distB="0" distL="0" distR="0" wp14:anchorId="16CBE084" wp14:editId="19D059B2">
                                            <wp:extent cx="3362325" cy="1868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2044" cy="188453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13C2688" w14:textId="0A6B3D38" w:rsidR="00955BA8" w:rsidRDefault="00D77E11">
                                          <w:pPr>
                                            <w:pStyle w:val="NoSpacing"/>
                                            <w:spacing w:line="312" w:lineRule="auto"/>
                                            <w:jc w:val="right"/>
                                            <w:rPr>
                                              <w:caps/>
                                              <w:color w:val="191919" w:themeColor="text1" w:themeTint="E6"/>
                                              <w:sz w:val="72"/>
                                              <w:szCs w:val="72"/>
                                            </w:rPr>
                                          </w:pPr>
                                          <w:r>
                                            <w:rPr>
                                              <w:caps/>
                                              <w:color w:val="191919" w:themeColor="text1" w:themeTint="E6"/>
                                              <w:sz w:val="72"/>
                                              <w:szCs w:val="72"/>
                                            </w:rPr>
                                            <w:t>Indian Food Sector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B9F0739" w14:textId="4DA65703" w:rsidR="00955BA8" w:rsidRDefault="00D77E11">
                                          <w:pPr>
                                            <w:jc w:val="right"/>
                                            <w:rPr>
                                              <w:sz w:val="24"/>
                                              <w:szCs w:val="24"/>
                                            </w:rPr>
                                          </w:pPr>
                                          <w:r>
                                            <w:rPr>
                                              <w:color w:val="000000" w:themeColor="text1"/>
                                              <w:sz w:val="24"/>
                                              <w:szCs w:val="24"/>
                                            </w:rPr>
                                            <w:t xml:space="preserve">Challenges? </w:t>
                                          </w:r>
                                          <w:r w:rsidR="00A35DA1">
                                            <w:rPr>
                                              <w:color w:val="000000" w:themeColor="text1"/>
                                              <w:sz w:val="24"/>
                                              <w:szCs w:val="24"/>
                                            </w:rPr>
                                            <w:t>Let’s</w:t>
                                          </w:r>
                                          <w:r>
                                            <w:rPr>
                                              <w:color w:val="000000" w:themeColor="text1"/>
                                              <w:sz w:val="24"/>
                                              <w:szCs w:val="24"/>
                                            </w:rPr>
                                            <w:t xml:space="preserve"> Face it together!</w:t>
                                          </w:r>
                                        </w:p>
                                      </w:sdtContent>
                                    </w:sdt>
                                  </w:tc>
                                  <w:tc>
                                    <w:tcPr>
                                      <w:tcW w:w="2432" w:type="pct"/>
                                      <w:vAlign w:val="center"/>
                                    </w:tcPr>
                                    <w:sdt>
                                      <w:sdtPr>
                                        <w:rPr>
                                          <w:b/>
                                          <w:bCs/>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p w14:paraId="2F1A274B" w14:textId="6EB654D0" w:rsidR="00955BA8" w:rsidRPr="00244CD2" w:rsidRDefault="00244CD2">
                                          <w:pPr>
                                            <w:rPr>
                                              <w:b/>
                                              <w:bCs/>
                                              <w:color w:val="000000" w:themeColor="text1"/>
                                              <w:sz w:val="36"/>
                                              <w:szCs w:val="36"/>
                                            </w:rPr>
                                          </w:pPr>
                                          <w:r w:rsidRPr="00244CD2">
                                            <w:rPr>
                                              <w:b/>
                                              <w:bCs/>
                                              <w:color w:val="000000" w:themeColor="text1"/>
                                              <w:sz w:val="36"/>
                                              <w:szCs w:val="36"/>
                                            </w:rPr>
                                            <w:t>Critical Literature Review of “</w:t>
                                          </w:r>
                                          <w:r w:rsidR="00955BA8" w:rsidRPr="00244CD2">
                                            <w:rPr>
                                              <w:b/>
                                              <w:bCs/>
                                              <w:color w:val="000000" w:themeColor="text1"/>
                                              <w:sz w:val="36"/>
                                              <w:szCs w:val="36"/>
                                            </w:rPr>
                                            <w:t xml:space="preserve">Facing </w:t>
                                          </w:r>
                                          <w:r w:rsidRPr="00244CD2">
                                            <w:rPr>
                                              <w:b/>
                                              <w:bCs/>
                                              <w:color w:val="000000" w:themeColor="text1"/>
                                              <w:sz w:val="36"/>
                                              <w:szCs w:val="36"/>
                                            </w:rPr>
                                            <w:t xml:space="preserve">challenges by migrant </w:t>
                                          </w:r>
                                          <w:r w:rsidR="00D77E11" w:rsidRPr="00244CD2">
                                            <w:rPr>
                                              <w:b/>
                                              <w:bCs/>
                                              <w:color w:val="000000" w:themeColor="text1"/>
                                              <w:sz w:val="36"/>
                                              <w:szCs w:val="36"/>
                                            </w:rPr>
                                            <w:t>entrepreneurs</w:t>
                                          </w:r>
                                          <w:r w:rsidRPr="00244CD2">
                                            <w:rPr>
                                              <w:b/>
                                              <w:bCs/>
                                              <w:color w:val="000000" w:themeColor="text1"/>
                                              <w:sz w:val="36"/>
                                              <w:szCs w:val="36"/>
                                            </w:rPr>
                                            <w:t xml:space="preserve"> in Indian food sector in London”</w:t>
                                          </w:r>
                                        </w:p>
                                      </w:sdtContent>
                                    </w:sdt>
                                    <w:sdt>
                                      <w:sdtPr>
                                        <w:rPr>
                                          <w:b/>
                                          <w:bCs/>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9622C82" w14:textId="6CE1D807" w:rsidR="00955BA8" w:rsidRPr="00244CD2" w:rsidRDefault="00244CD2">
                                          <w:pPr>
                                            <w:pStyle w:val="NoSpacing"/>
                                            <w:rPr>
                                              <w:b/>
                                              <w:bCs/>
                                              <w:color w:val="ED7D31" w:themeColor="accent2"/>
                                              <w:sz w:val="26"/>
                                              <w:szCs w:val="26"/>
                                            </w:rPr>
                                          </w:pPr>
                                          <w:r>
                                            <w:rPr>
                                              <w:b/>
                                              <w:bCs/>
                                              <w:color w:val="ED7D31" w:themeColor="accent2"/>
                                              <w:sz w:val="32"/>
                                              <w:szCs w:val="32"/>
                                            </w:rPr>
                                            <w:t>Work By</w:t>
                                          </w:r>
                                          <w:r w:rsidR="00955BA8" w:rsidRPr="00244CD2">
                                            <w:rPr>
                                              <w:b/>
                                              <w:bCs/>
                                              <w:color w:val="ED7D31" w:themeColor="accent2"/>
                                              <w:sz w:val="32"/>
                                              <w:szCs w:val="32"/>
                                            </w:rPr>
                                            <w:t>:- Jill Soni (2414301)</w:t>
                                          </w:r>
                                        </w:p>
                                      </w:sdtContent>
                                    </w:sdt>
                                    <w:p w14:paraId="66523CE8" w14:textId="6AFF9F4E" w:rsidR="00955BA8" w:rsidRDefault="009C15C8">
                                      <w:pPr>
                                        <w:pStyle w:val="NoSpacing"/>
                                      </w:pPr>
                                      <w:sdt>
                                        <w:sdtPr>
                                          <w:rPr>
                                            <w:b/>
                                            <w:bCs/>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55BA8" w:rsidRPr="00244CD2">
                                            <w:rPr>
                                              <w:b/>
                                              <w:bCs/>
                                              <w:color w:val="44546A" w:themeColor="text2"/>
                                              <w:sz w:val="24"/>
                                              <w:szCs w:val="24"/>
                                            </w:rPr>
                                            <w:t>Course</w:t>
                                          </w:r>
                                          <w:r w:rsidR="00244CD2" w:rsidRPr="00244CD2">
                                            <w:rPr>
                                              <w:b/>
                                              <w:bCs/>
                                              <w:color w:val="44546A" w:themeColor="text2"/>
                                              <w:sz w:val="24"/>
                                              <w:szCs w:val="24"/>
                                            </w:rPr>
                                            <w:t xml:space="preserve"> </w:t>
                                          </w:r>
                                          <w:r w:rsidR="00A35DA1" w:rsidRPr="00244CD2">
                                            <w:rPr>
                                              <w:b/>
                                              <w:bCs/>
                                              <w:color w:val="44546A" w:themeColor="text2"/>
                                              <w:sz w:val="24"/>
                                              <w:szCs w:val="24"/>
                                            </w:rPr>
                                            <w:t>Module: -</w:t>
                                          </w:r>
                                          <w:r w:rsidR="00955BA8" w:rsidRPr="00244CD2">
                                            <w:rPr>
                                              <w:b/>
                                              <w:bCs/>
                                              <w:color w:val="44546A" w:themeColor="text2"/>
                                              <w:sz w:val="24"/>
                                              <w:szCs w:val="24"/>
                                            </w:rPr>
                                            <w:t xml:space="preserve"> </w:t>
                                          </w:r>
                                          <w:r w:rsidR="00244CD2" w:rsidRPr="00244CD2">
                                            <w:rPr>
                                              <w:b/>
                                              <w:bCs/>
                                              <w:color w:val="44546A" w:themeColor="text2"/>
                                              <w:sz w:val="24"/>
                                              <w:szCs w:val="24"/>
                                            </w:rPr>
                                            <w:t>Critical Literature Review</w:t>
                                          </w:r>
                                        </w:sdtContent>
                                      </w:sdt>
                                    </w:p>
                                  </w:tc>
                                </w:tr>
                              </w:tbl>
                              <w:p w14:paraId="63017BA2" w14:textId="77777777" w:rsidR="00955BA8" w:rsidRDefault="00955BA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0C1D95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15"/>
                            <w:gridCol w:w="2870"/>
                          </w:tblGrid>
                          <w:tr w:rsidR="00A44F71" w14:paraId="7BF78DA2" w14:textId="77777777">
                            <w:trPr>
                              <w:jc w:val="center"/>
                            </w:trPr>
                            <w:tc>
                              <w:tcPr>
                                <w:tcW w:w="2568" w:type="pct"/>
                                <w:vAlign w:val="center"/>
                              </w:tcPr>
                              <w:p w14:paraId="0E795EF2" w14:textId="4CAF9CF7" w:rsidR="00955BA8" w:rsidRDefault="00A44F71">
                                <w:pPr>
                                  <w:jc w:val="right"/>
                                </w:pPr>
                                <w:r>
                                  <w:rPr>
                                    <w:noProof/>
                                  </w:rPr>
                                  <w:drawing>
                                    <wp:inline distT="0" distB="0" distL="0" distR="0" wp14:anchorId="16CBE084" wp14:editId="19D059B2">
                                      <wp:extent cx="3362325" cy="1868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2044" cy="1884536"/>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13C2688" w14:textId="0A6B3D38" w:rsidR="00955BA8" w:rsidRDefault="00D77E11">
                                    <w:pPr>
                                      <w:pStyle w:val="NoSpacing"/>
                                      <w:spacing w:line="312" w:lineRule="auto"/>
                                      <w:jc w:val="right"/>
                                      <w:rPr>
                                        <w:caps/>
                                        <w:color w:val="191919" w:themeColor="text1" w:themeTint="E6"/>
                                        <w:sz w:val="72"/>
                                        <w:szCs w:val="72"/>
                                      </w:rPr>
                                    </w:pPr>
                                    <w:r>
                                      <w:rPr>
                                        <w:caps/>
                                        <w:color w:val="191919" w:themeColor="text1" w:themeTint="E6"/>
                                        <w:sz w:val="72"/>
                                        <w:szCs w:val="72"/>
                                      </w:rPr>
                                      <w:t>Indian Food Sector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B9F0739" w14:textId="4DA65703" w:rsidR="00955BA8" w:rsidRDefault="00D77E11">
                                    <w:pPr>
                                      <w:jc w:val="right"/>
                                      <w:rPr>
                                        <w:sz w:val="24"/>
                                        <w:szCs w:val="24"/>
                                      </w:rPr>
                                    </w:pPr>
                                    <w:r>
                                      <w:rPr>
                                        <w:color w:val="000000" w:themeColor="text1"/>
                                        <w:sz w:val="24"/>
                                        <w:szCs w:val="24"/>
                                      </w:rPr>
                                      <w:t xml:space="preserve">Challenges? </w:t>
                                    </w:r>
                                    <w:r w:rsidR="00A35DA1">
                                      <w:rPr>
                                        <w:color w:val="000000" w:themeColor="text1"/>
                                        <w:sz w:val="24"/>
                                        <w:szCs w:val="24"/>
                                      </w:rPr>
                                      <w:t>Let’s</w:t>
                                    </w:r>
                                    <w:r>
                                      <w:rPr>
                                        <w:color w:val="000000" w:themeColor="text1"/>
                                        <w:sz w:val="24"/>
                                        <w:szCs w:val="24"/>
                                      </w:rPr>
                                      <w:t xml:space="preserve"> Face it together!</w:t>
                                    </w:r>
                                  </w:p>
                                </w:sdtContent>
                              </w:sdt>
                            </w:tc>
                            <w:tc>
                              <w:tcPr>
                                <w:tcW w:w="2432" w:type="pct"/>
                                <w:vAlign w:val="center"/>
                              </w:tcPr>
                              <w:sdt>
                                <w:sdtPr>
                                  <w:rPr>
                                    <w:b/>
                                    <w:bCs/>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p w14:paraId="2F1A274B" w14:textId="6EB654D0" w:rsidR="00955BA8" w:rsidRPr="00244CD2" w:rsidRDefault="00244CD2">
                                    <w:pPr>
                                      <w:rPr>
                                        <w:b/>
                                        <w:bCs/>
                                        <w:color w:val="000000" w:themeColor="text1"/>
                                        <w:sz w:val="36"/>
                                        <w:szCs w:val="36"/>
                                      </w:rPr>
                                    </w:pPr>
                                    <w:r w:rsidRPr="00244CD2">
                                      <w:rPr>
                                        <w:b/>
                                        <w:bCs/>
                                        <w:color w:val="000000" w:themeColor="text1"/>
                                        <w:sz w:val="36"/>
                                        <w:szCs w:val="36"/>
                                      </w:rPr>
                                      <w:t>Critical Literature Review of “</w:t>
                                    </w:r>
                                    <w:r w:rsidR="00955BA8" w:rsidRPr="00244CD2">
                                      <w:rPr>
                                        <w:b/>
                                        <w:bCs/>
                                        <w:color w:val="000000" w:themeColor="text1"/>
                                        <w:sz w:val="36"/>
                                        <w:szCs w:val="36"/>
                                      </w:rPr>
                                      <w:t xml:space="preserve">Facing </w:t>
                                    </w:r>
                                    <w:r w:rsidRPr="00244CD2">
                                      <w:rPr>
                                        <w:b/>
                                        <w:bCs/>
                                        <w:color w:val="000000" w:themeColor="text1"/>
                                        <w:sz w:val="36"/>
                                        <w:szCs w:val="36"/>
                                      </w:rPr>
                                      <w:t xml:space="preserve">challenges by migrant </w:t>
                                    </w:r>
                                    <w:r w:rsidR="00D77E11" w:rsidRPr="00244CD2">
                                      <w:rPr>
                                        <w:b/>
                                        <w:bCs/>
                                        <w:color w:val="000000" w:themeColor="text1"/>
                                        <w:sz w:val="36"/>
                                        <w:szCs w:val="36"/>
                                      </w:rPr>
                                      <w:t>entrepreneurs</w:t>
                                    </w:r>
                                    <w:r w:rsidRPr="00244CD2">
                                      <w:rPr>
                                        <w:b/>
                                        <w:bCs/>
                                        <w:color w:val="000000" w:themeColor="text1"/>
                                        <w:sz w:val="36"/>
                                        <w:szCs w:val="36"/>
                                      </w:rPr>
                                      <w:t xml:space="preserve"> in Indian food sector in London”</w:t>
                                    </w:r>
                                  </w:p>
                                </w:sdtContent>
                              </w:sdt>
                              <w:sdt>
                                <w:sdtPr>
                                  <w:rPr>
                                    <w:b/>
                                    <w:bCs/>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9622C82" w14:textId="6CE1D807" w:rsidR="00955BA8" w:rsidRPr="00244CD2" w:rsidRDefault="00244CD2">
                                    <w:pPr>
                                      <w:pStyle w:val="NoSpacing"/>
                                      <w:rPr>
                                        <w:b/>
                                        <w:bCs/>
                                        <w:color w:val="ED7D31" w:themeColor="accent2"/>
                                        <w:sz w:val="26"/>
                                        <w:szCs w:val="26"/>
                                      </w:rPr>
                                    </w:pPr>
                                    <w:r>
                                      <w:rPr>
                                        <w:b/>
                                        <w:bCs/>
                                        <w:color w:val="ED7D31" w:themeColor="accent2"/>
                                        <w:sz w:val="32"/>
                                        <w:szCs w:val="32"/>
                                      </w:rPr>
                                      <w:t>Work By</w:t>
                                    </w:r>
                                    <w:r w:rsidR="00955BA8" w:rsidRPr="00244CD2">
                                      <w:rPr>
                                        <w:b/>
                                        <w:bCs/>
                                        <w:color w:val="ED7D31" w:themeColor="accent2"/>
                                        <w:sz w:val="32"/>
                                        <w:szCs w:val="32"/>
                                      </w:rPr>
                                      <w:t>:- Jill Soni (2414301)</w:t>
                                    </w:r>
                                  </w:p>
                                </w:sdtContent>
                              </w:sdt>
                              <w:p w14:paraId="66523CE8" w14:textId="6AFF9F4E" w:rsidR="00955BA8" w:rsidRDefault="009C15C8">
                                <w:pPr>
                                  <w:pStyle w:val="NoSpacing"/>
                                </w:pPr>
                                <w:sdt>
                                  <w:sdtPr>
                                    <w:rPr>
                                      <w:b/>
                                      <w:bCs/>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55BA8" w:rsidRPr="00244CD2">
                                      <w:rPr>
                                        <w:b/>
                                        <w:bCs/>
                                        <w:color w:val="44546A" w:themeColor="text2"/>
                                        <w:sz w:val="24"/>
                                        <w:szCs w:val="24"/>
                                      </w:rPr>
                                      <w:t>Course</w:t>
                                    </w:r>
                                    <w:r w:rsidR="00244CD2" w:rsidRPr="00244CD2">
                                      <w:rPr>
                                        <w:b/>
                                        <w:bCs/>
                                        <w:color w:val="44546A" w:themeColor="text2"/>
                                        <w:sz w:val="24"/>
                                        <w:szCs w:val="24"/>
                                      </w:rPr>
                                      <w:t xml:space="preserve"> </w:t>
                                    </w:r>
                                    <w:r w:rsidR="00A35DA1" w:rsidRPr="00244CD2">
                                      <w:rPr>
                                        <w:b/>
                                        <w:bCs/>
                                        <w:color w:val="44546A" w:themeColor="text2"/>
                                        <w:sz w:val="24"/>
                                        <w:szCs w:val="24"/>
                                      </w:rPr>
                                      <w:t>Module: -</w:t>
                                    </w:r>
                                    <w:r w:rsidR="00955BA8" w:rsidRPr="00244CD2">
                                      <w:rPr>
                                        <w:b/>
                                        <w:bCs/>
                                        <w:color w:val="44546A" w:themeColor="text2"/>
                                        <w:sz w:val="24"/>
                                        <w:szCs w:val="24"/>
                                      </w:rPr>
                                      <w:t xml:space="preserve"> </w:t>
                                    </w:r>
                                    <w:r w:rsidR="00244CD2" w:rsidRPr="00244CD2">
                                      <w:rPr>
                                        <w:b/>
                                        <w:bCs/>
                                        <w:color w:val="44546A" w:themeColor="text2"/>
                                        <w:sz w:val="24"/>
                                        <w:szCs w:val="24"/>
                                      </w:rPr>
                                      <w:t>Critical Literature Review</w:t>
                                    </w:r>
                                  </w:sdtContent>
                                </w:sdt>
                              </w:p>
                            </w:tc>
                          </w:tr>
                        </w:tbl>
                        <w:p w14:paraId="63017BA2" w14:textId="77777777" w:rsidR="00955BA8" w:rsidRDefault="00955BA8"/>
                      </w:txbxContent>
                    </v:textbox>
                    <w10:wrap anchorx="page" anchory="page"/>
                  </v:shape>
                </w:pict>
              </mc:Fallback>
            </mc:AlternateContent>
          </w:r>
          <w:r>
            <w:br w:type="page"/>
          </w:r>
        </w:p>
      </w:sdtContent>
    </w:sdt>
    <w:p w14:paraId="43A0EF49" w14:textId="77777777" w:rsidR="001F6B0D" w:rsidRDefault="00E90375" w:rsidP="001F6B0D">
      <w:pPr>
        <w:pStyle w:val="Title"/>
        <w:jc w:val="center"/>
        <w:rPr>
          <w:b/>
          <w:bCs/>
          <w:sz w:val="24"/>
          <w:szCs w:val="24"/>
          <w:u w:val="single"/>
        </w:rPr>
      </w:pPr>
      <w:r>
        <w:rPr>
          <w:b/>
          <w:bCs/>
          <w:noProof/>
          <w:sz w:val="48"/>
          <w:szCs w:val="48"/>
          <w:u w:val="single"/>
        </w:rPr>
        <w:lastRenderedPageBreak/>
        <mc:AlternateContent>
          <mc:Choice Requires="wps">
            <w:drawing>
              <wp:anchor distT="0" distB="0" distL="114300" distR="114300" simplePos="0" relativeHeight="251660288" behindDoc="0" locked="0" layoutInCell="1" allowOverlap="1" wp14:anchorId="2F366780" wp14:editId="493B2ADA">
                <wp:simplePos x="0" y="0"/>
                <wp:positionH relativeFrom="column">
                  <wp:posOffset>2296633</wp:posOffset>
                </wp:positionH>
                <wp:positionV relativeFrom="paragraph">
                  <wp:posOffset>0</wp:posOffset>
                </wp:positionV>
                <wp:extent cx="2062716" cy="318977"/>
                <wp:effectExtent l="133350" t="114300" r="147320" b="176530"/>
                <wp:wrapNone/>
                <wp:docPr id="1" name="Rectangle 1"/>
                <wp:cNvGraphicFramePr/>
                <a:graphic xmlns:a="http://schemas.openxmlformats.org/drawingml/2006/main">
                  <a:graphicData uri="http://schemas.microsoft.com/office/word/2010/wordprocessingShape">
                    <wps:wsp>
                      <wps:cNvSpPr/>
                      <wps:spPr>
                        <a:xfrm>
                          <a:off x="0" y="0"/>
                          <a:ext cx="2062716" cy="318977"/>
                        </a:xfrm>
                        <a:prstGeom prst="rect">
                          <a:avLst/>
                        </a:prstGeom>
                        <a:noFill/>
                        <a:ln>
                          <a:solidFill>
                            <a:schemeClr val="tx1"/>
                          </a:solid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EC2BFC" id="Rectangle 1" o:spid="_x0000_s1026" style="position:absolute;margin-left:180.85pt;margin-top:0;width:162.4pt;height:25.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" filled="f" strokecolor="black [3213]" strokeweight="1pt">
                <v:shadow on="t" color="black" offset="0,1pt"/>
              </v:rect>
            </w:pict>
          </mc:Fallback>
        </mc:AlternateContent>
      </w:r>
      <w:r w:rsidR="00DD1D68" w:rsidRPr="00650E51">
        <w:rPr>
          <w:b/>
          <w:bCs/>
          <w:sz w:val="48"/>
          <w:szCs w:val="48"/>
          <w:u w:val="single"/>
        </w:rPr>
        <w:t>Table of Contents</w:t>
      </w:r>
    </w:p>
    <w:p w14:paraId="6FCDEDE8" w14:textId="56A2EE68" w:rsidR="00DD1D68" w:rsidRPr="001F6B0D" w:rsidRDefault="00422EA6" w:rsidP="001F6B0D">
      <w:pPr>
        <w:pStyle w:val="Title"/>
        <w:rPr>
          <w:b/>
          <w:bCs/>
          <w:sz w:val="4"/>
          <w:szCs w:val="4"/>
          <w:u w:val="single"/>
        </w:rPr>
      </w:pPr>
      <w:r w:rsidRPr="00E90375">
        <w:rPr>
          <w:b/>
          <w:bCs/>
          <w:sz w:val="24"/>
          <w:szCs w:val="24"/>
          <w:u w:val="single"/>
        </w:rPr>
        <w:t>PART-1</w:t>
      </w:r>
      <w:r w:rsidR="00650E51" w:rsidRPr="00E90375">
        <w:rPr>
          <w:b/>
          <w:bCs/>
          <w:sz w:val="24"/>
          <w:szCs w:val="24"/>
          <w:u w:val="single"/>
        </w:rPr>
        <w:t xml:space="preserve"> </w:t>
      </w:r>
      <w:r w:rsidR="00650E51" w:rsidRPr="00E90375">
        <w:rPr>
          <w:b/>
          <w:bCs/>
          <w:sz w:val="24"/>
          <w:szCs w:val="24"/>
          <w:u w:val="single"/>
        </w:rPr>
        <w:t>Introduction to Literature Review</w:t>
      </w:r>
      <w:r w:rsidR="001F6B0D">
        <w:rPr>
          <w:b/>
          <w:bCs/>
          <w:sz w:val="24"/>
          <w:szCs w:val="24"/>
          <w:u w:val="single"/>
        </w:rPr>
        <w:br/>
      </w:r>
    </w:p>
    <w:p w14:paraId="2C9E909E" w14:textId="71FC9DDE" w:rsidR="00DD1D68" w:rsidRPr="00E90375" w:rsidRDefault="00DD1D68" w:rsidP="00DD1D68">
      <w:pPr>
        <w:rPr>
          <w:b/>
          <w:bCs/>
          <w:sz w:val="20"/>
          <w:szCs w:val="20"/>
        </w:rPr>
      </w:pPr>
      <w:r w:rsidRPr="00E90375">
        <w:rPr>
          <w:b/>
          <w:bCs/>
          <w:sz w:val="20"/>
          <w:szCs w:val="20"/>
        </w:rPr>
        <w:t>1.0 Introduction ........................................... 2</w:t>
      </w:r>
    </w:p>
    <w:p w14:paraId="5A1ED00B" w14:textId="77777777" w:rsidR="00DD1D68" w:rsidRPr="00E90375" w:rsidRDefault="00DD1D68" w:rsidP="00DD1D68">
      <w:pPr>
        <w:rPr>
          <w:b/>
          <w:bCs/>
          <w:sz w:val="20"/>
          <w:szCs w:val="20"/>
        </w:rPr>
      </w:pPr>
      <w:r w:rsidRPr="00E90375">
        <w:rPr>
          <w:b/>
          <w:bCs/>
          <w:sz w:val="20"/>
          <w:szCs w:val="20"/>
        </w:rPr>
        <w:t>1.1 Understanding Literature Reviews ........................................... 2</w:t>
      </w:r>
    </w:p>
    <w:p w14:paraId="6B201D3F" w14:textId="33A48D8A" w:rsidR="00DD1D68" w:rsidRPr="00E90375" w:rsidRDefault="00DD1D68" w:rsidP="00DD1D68">
      <w:pPr>
        <w:rPr>
          <w:b/>
          <w:bCs/>
          <w:sz w:val="20"/>
          <w:szCs w:val="20"/>
        </w:rPr>
      </w:pPr>
      <w:r w:rsidRPr="00E90375">
        <w:rPr>
          <w:b/>
          <w:bCs/>
          <w:sz w:val="20"/>
          <w:szCs w:val="20"/>
        </w:rPr>
        <w:t>1.2 Purpose of a Literature Review ........................................... 2</w:t>
      </w:r>
    </w:p>
    <w:p w14:paraId="4A0EDF44" w14:textId="2B00CA47" w:rsidR="00DD1D68" w:rsidRPr="00E90375" w:rsidRDefault="00DD1D68" w:rsidP="00DD1D68">
      <w:pPr>
        <w:rPr>
          <w:b/>
          <w:bCs/>
          <w:sz w:val="20"/>
          <w:szCs w:val="20"/>
        </w:rPr>
      </w:pPr>
      <w:r w:rsidRPr="00E90375">
        <w:rPr>
          <w:b/>
          <w:bCs/>
          <w:sz w:val="20"/>
          <w:szCs w:val="20"/>
        </w:rPr>
        <w:t>1.3 Importance of Literature Review ........................................... 3</w:t>
      </w:r>
    </w:p>
    <w:p w14:paraId="37980467" w14:textId="7C94CBB0" w:rsidR="00DD1D68" w:rsidRPr="00E90375" w:rsidRDefault="00DD1D68" w:rsidP="00DD1D68">
      <w:pPr>
        <w:rPr>
          <w:b/>
          <w:bCs/>
          <w:sz w:val="20"/>
          <w:szCs w:val="20"/>
        </w:rPr>
      </w:pPr>
      <w:r w:rsidRPr="00E90375">
        <w:rPr>
          <w:b/>
          <w:bCs/>
          <w:sz w:val="20"/>
          <w:szCs w:val="20"/>
        </w:rPr>
        <w:t>1.4 Structure of a Literature Review ........................................... 3</w:t>
      </w:r>
    </w:p>
    <w:p w14:paraId="5DEDAEF2" w14:textId="56EB5063" w:rsidR="00DD1D68" w:rsidRPr="00650E51" w:rsidRDefault="00DD1D68" w:rsidP="00DD1D68">
      <w:pPr>
        <w:rPr>
          <w:sz w:val="20"/>
          <w:szCs w:val="20"/>
        </w:rPr>
      </w:pPr>
      <w:r w:rsidRPr="00650E51">
        <w:rPr>
          <w:sz w:val="20"/>
          <w:szCs w:val="20"/>
        </w:rPr>
        <w:t xml:space="preserve">1.4.1 Literature Review Methods ........................................... </w:t>
      </w:r>
      <w:r w:rsidR="00422EA6" w:rsidRPr="00650E51">
        <w:rPr>
          <w:sz w:val="20"/>
          <w:szCs w:val="20"/>
        </w:rPr>
        <w:t>4</w:t>
      </w:r>
    </w:p>
    <w:p w14:paraId="025D575B" w14:textId="3A5F03FD" w:rsidR="00DD1D68" w:rsidRPr="00650E51" w:rsidRDefault="00DD1D68" w:rsidP="00DD1D68">
      <w:pPr>
        <w:rPr>
          <w:sz w:val="20"/>
          <w:szCs w:val="20"/>
        </w:rPr>
      </w:pPr>
      <w:r w:rsidRPr="00650E51">
        <w:rPr>
          <w:sz w:val="20"/>
          <w:szCs w:val="20"/>
        </w:rPr>
        <w:t xml:space="preserve">1.4.2 Conducting a Literature Review: Key Steps ........................................... </w:t>
      </w:r>
      <w:r w:rsidR="00422EA6" w:rsidRPr="00650E51">
        <w:rPr>
          <w:sz w:val="20"/>
          <w:szCs w:val="20"/>
        </w:rPr>
        <w:t>4</w:t>
      </w:r>
    </w:p>
    <w:p w14:paraId="51ECDE94" w14:textId="5868BC28" w:rsidR="00DD1D68" w:rsidRPr="00E90375" w:rsidRDefault="00DD1D68" w:rsidP="00DD1D68">
      <w:pPr>
        <w:rPr>
          <w:b/>
          <w:bCs/>
          <w:sz w:val="20"/>
          <w:szCs w:val="20"/>
        </w:rPr>
      </w:pPr>
      <w:r w:rsidRPr="00E90375">
        <w:rPr>
          <w:b/>
          <w:bCs/>
          <w:sz w:val="20"/>
          <w:szCs w:val="20"/>
        </w:rPr>
        <w:t xml:space="preserve">1.5 Conclusion ........................................... </w:t>
      </w:r>
      <w:r w:rsidR="00422EA6" w:rsidRPr="00E90375">
        <w:rPr>
          <w:b/>
          <w:bCs/>
          <w:sz w:val="20"/>
          <w:szCs w:val="20"/>
        </w:rPr>
        <w:t>5</w:t>
      </w:r>
    </w:p>
    <w:p w14:paraId="45072B7D" w14:textId="6538A818" w:rsidR="00422EA6" w:rsidRPr="00E90375" w:rsidRDefault="00422EA6" w:rsidP="00DD1D68">
      <w:pPr>
        <w:rPr>
          <w:b/>
          <w:bCs/>
          <w:sz w:val="20"/>
          <w:szCs w:val="20"/>
        </w:rPr>
      </w:pPr>
      <w:r w:rsidRPr="00E90375">
        <w:rPr>
          <w:b/>
          <w:bCs/>
          <w:sz w:val="20"/>
          <w:szCs w:val="20"/>
        </w:rPr>
        <w:t xml:space="preserve">References for Part-1 </w:t>
      </w:r>
      <w:r w:rsidRPr="00E90375">
        <w:rPr>
          <w:b/>
          <w:bCs/>
          <w:sz w:val="20"/>
          <w:szCs w:val="20"/>
        </w:rPr>
        <w:t>........................................... 5</w:t>
      </w:r>
    </w:p>
    <w:p w14:paraId="18C1B431" w14:textId="38EA4D90" w:rsidR="00422EA6" w:rsidRPr="00E90375" w:rsidRDefault="00422EA6" w:rsidP="00422EA6">
      <w:pPr>
        <w:rPr>
          <w:b/>
          <w:bCs/>
          <w:sz w:val="24"/>
          <w:szCs w:val="24"/>
          <w:u w:val="single"/>
        </w:rPr>
      </w:pPr>
      <w:r w:rsidRPr="00E90375">
        <w:rPr>
          <w:b/>
          <w:bCs/>
          <w:sz w:val="24"/>
          <w:szCs w:val="24"/>
          <w:u w:val="single"/>
        </w:rPr>
        <w:t>PART-</w:t>
      </w:r>
      <w:r w:rsidRPr="00E90375">
        <w:rPr>
          <w:b/>
          <w:bCs/>
          <w:sz w:val="24"/>
          <w:szCs w:val="24"/>
          <w:u w:val="single"/>
        </w:rPr>
        <w:t xml:space="preserve">2 </w:t>
      </w:r>
      <w:r w:rsidRPr="00E90375">
        <w:rPr>
          <w:b/>
          <w:bCs/>
          <w:sz w:val="24"/>
          <w:szCs w:val="24"/>
          <w:u w:val="single"/>
        </w:rPr>
        <w:t>Bibliography</w:t>
      </w:r>
    </w:p>
    <w:p w14:paraId="0723A72B" w14:textId="52AEB84D" w:rsidR="00DD1D68" w:rsidRPr="00650E51" w:rsidRDefault="00DD1D68" w:rsidP="00DD1D68">
      <w:pPr>
        <w:rPr>
          <w:sz w:val="20"/>
          <w:szCs w:val="20"/>
        </w:rPr>
      </w:pPr>
      <w:r w:rsidRPr="00650E51">
        <w:rPr>
          <w:sz w:val="20"/>
          <w:szCs w:val="20"/>
        </w:rPr>
        <w:t xml:space="preserve">Annotated Bibliography ........................................... </w:t>
      </w:r>
      <w:r w:rsidR="00422EA6" w:rsidRPr="00650E51">
        <w:rPr>
          <w:sz w:val="20"/>
          <w:szCs w:val="20"/>
        </w:rPr>
        <w:t>7</w:t>
      </w:r>
    </w:p>
    <w:p w14:paraId="2B566CA8" w14:textId="77777777" w:rsidR="003A5155" w:rsidRPr="00650E51" w:rsidRDefault="00422EA6" w:rsidP="00DD1D68">
      <w:pPr>
        <w:rPr>
          <w:b/>
          <w:bCs/>
          <w:sz w:val="20"/>
          <w:szCs w:val="20"/>
        </w:rPr>
      </w:pPr>
      <w:r w:rsidRPr="00650E51">
        <w:rPr>
          <w:b/>
          <w:bCs/>
          <w:sz w:val="20"/>
          <w:szCs w:val="20"/>
        </w:rPr>
        <w:t>PART-</w:t>
      </w:r>
      <w:r w:rsidRPr="00650E51">
        <w:rPr>
          <w:b/>
          <w:bCs/>
          <w:sz w:val="20"/>
          <w:szCs w:val="20"/>
        </w:rPr>
        <w:t>3 Preliminary Literature Review.</w:t>
      </w:r>
    </w:p>
    <w:p w14:paraId="4D733046" w14:textId="2D933AB4" w:rsidR="00DD1D68" w:rsidRPr="001F6B0D" w:rsidRDefault="00DD1D68" w:rsidP="00DD1D68">
      <w:pPr>
        <w:rPr>
          <w:b/>
          <w:bCs/>
          <w:sz w:val="20"/>
          <w:szCs w:val="20"/>
        </w:rPr>
      </w:pPr>
      <w:r w:rsidRPr="001F6B0D">
        <w:rPr>
          <w:b/>
          <w:bCs/>
          <w:sz w:val="20"/>
          <w:szCs w:val="20"/>
        </w:rPr>
        <w:t xml:space="preserve">Introduction ........................................... </w:t>
      </w:r>
      <w:r w:rsidR="00422EA6" w:rsidRPr="001F6B0D">
        <w:rPr>
          <w:b/>
          <w:bCs/>
          <w:sz w:val="20"/>
          <w:szCs w:val="20"/>
        </w:rPr>
        <w:t>19</w:t>
      </w:r>
    </w:p>
    <w:p w14:paraId="31371AFE" w14:textId="7207D695" w:rsidR="003A5155" w:rsidRPr="001F6B0D" w:rsidRDefault="003A5155" w:rsidP="00DD1D68">
      <w:pPr>
        <w:rPr>
          <w:b/>
          <w:bCs/>
          <w:sz w:val="20"/>
          <w:szCs w:val="20"/>
        </w:rPr>
      </w:pPr>
      <w:r w:rsidRPr="001F6B0D">
        <w:rPr>
          <w:b/>
          <w:bCs/>
          <w:sz w:val="20"/>
          <w:szCs w:val="20"/>
        </w:rPr>
        <w:t xml:space="preserve">3.1 Overview of Migrant </w:t>
      </w:r>
      <w:r w:rsidR="00E90375" w:rsidRPr="001F6B0D">
        <w:rPr>
          <w:b/>
          <w:bCs/>
          <w:sz w:val="20"/>
          <w:szCs w:val="20"/>
        </w:rPr>
        <w:t>Entrepreneurship</w:t>
      </w:r>
      <w:r w:rsidRPr="001F6B0D">
        <w:rPr>
          <w:b/>
          <w:bCs/>
          <w:sz w:val="20"/>
          <w:szCs w:val="20"/>
        </w:rPr>
        <w:t xml:space="preserve"> and Indian Food Sector</w:t>
      </w:r>
      <w:r w:rsidR="00E90375" w:rsidRPr="001F6B0D">
        <w:rPr>
          <w:b/>
          <w:bCs/>
          <w:sz w:val="20"/>
          <w:szCs w:val="20"/>
        </w:rPr>
        <w:t xml:space="preserve"> </w:t>
      </w:r>
      <w:r w:rsidR="00E90375" w:rsidRPr="001F6B0D">
        <w:rPr>
          <w:b/>
          <w:bCs/>
          <w:sz w:val="20"/>
          <w:szCs w:val="20"/>
        </w:rPr>
        <w:t>........................................... 19</w:t>
      </w:r>
    </w:p>
    <w:p w14:paraId="570FC2C6" w14:textId="3E11C0F7" w:rsidR="00DD1D68" w:rsidRPr="00650E51" w:rsidRDefault="003A5155" w:rsidP="00DD1D68">
      <w:pPr>
        <w:rPr>
          <w:sz w:val="20"/>
          <w:szCs w:val="20"/>
        </w:rPr>
      </w:pPr>
      <w:r w:rsidRPr="00650E51">
        <w:rPr>
          <w:sz w:val="20"/>
          <w:szCs w:val="20"/>
        </w:rPr>
        <w:t xml:space="preserve">3.1.1 </w:t>
      </w:r>
      <w:r w:rsidR="00DD1D68" w:rsidRPr="00650E51">
        <w:rPr>
          <w:sz w:val="20"/>
          <w:szCs w:val="20"/>
        </w:rPr>
        <w:t>Historical Development and Importance of the Sector ........................................... 1</w:t>
      </w:r>
      <w:r w:rsidR="00E90375">
        <w:rPr>
          <w:sz w:val="20"/>
          <w:szCs w:val="20"/>
        </w:rPr>
        <w:t>9</w:t>
      </w:r>
    </w:p>
    <w:p w14:paraId="12AFFB80" w14:textId="79CEFAEF" w:rsidR="00DD1D68" w:rsidRPr="00650E51" w:rsidRDefault="00DD1D68" w:rsidP="00DD1D68">
      <w:pPr>
        <w:rPr>
          <w:sz w:val="20"/>
          <w:szCs w:val="20"/>
        </w:rPr>
      </w:pPr>
      <w:r w:rsidRPr="00650E51">
        <w:rPr>
          <w:sz w:val="20"/>
          <w:szCs w:val="20"/>
        </w:rPr>
        <w:t>3.</w:t>
      </w:r>
      <w:r w:rsidR="003A5155" w:rsidRPr="00650E51">
        <w:rPr>
          <w:sz w:val="20"/>
          <w:szCs w:val="20"/>
        </w:rPr>
        <w:t>1.2</w:t>
      </w:r>
      <w:r w:rsidRPr="00650E51">
        <w:rPr>
          <w:sz w:val="20"/>
          <w:szCs w:val="20"/>
        </w:rPr>
        <w:t xml:space="preserve"> Foundational Theories in Migrant Entrepreneurship ........................................... 1</w:t>
      </w:r>
      <w:r w:rsidR="00E90375">
        <w:rPr>
          <w:sz w:val="20"/>
          <w:szCs w:val="20"/>
        </w:rPr>
        <w:t>9</w:t>
      </w:r>
    </w:p>
    <w:p w14:paraId="0450219D" w14:textId="30E10880" w:rsidR="00DD1D68" w:rsidRPr="00650E51" w:rsidRDefault="00DD1D68" w:rsidP="00DD1D68">
      <w:pPr>
        <w:rPr>
          <w:sz w:val="20"/>
          <w:szCs w:val="20"/>
        </w:rPr>
      </w:pPr>
      <w:r w:rsidRPr="00650E51">
        <w:rPr>
          <w:sz w:val="20"/>
          <w:szCs w:val="20"/>
        </w:rPr>
        <w:t>3.</w:t>
      </w:r>
      <w:r w:rsidR="003A5155" w:rsidRPr="00650E51">
        <w:rPr>
          <w:sz w:val="20"/>
          <w:szCs w:val="20"/>
        </w:rPr>
        <w:t>1.</w:t>
      </w:r>
      <w:r w:rsidRPr="00650E51">
        <w:rPr>
          <w:sz w:val="20"/>
          <w:szCs w:val="20"/>
        </w:rPr>
        <w:t xml:space="preserve">3 London’s Demographics and Policy Influence ........................................... </w:t>
      </w:r>
      <w:r w:rsidR="00E90375">
        <w:rPr>
          <w:sz w:val="20"/>
          <w:szCs w:val="20"/>
        </w:rPr>
        <w:t>20</w:t>
      </w:r>
    </w:p>
    <w:p w14:paraId="11263BC9" w14:textId="668F7FF8" w:rsidR="00DD1D68" w:rsidRPr="001F6B0D" w:rsidRDefault="003A5155" w:rsidP="00DD1D68">
      <w:pPr>
        <w:rPr>
          <w:b/>
          <w:bCs/>
          <w:sz w:val="20"/>
          <w:szCs w:val="20"/>
        </w:rPr>
      </w:pPr>
      <w:r w:rsidRPr="001F6B0D">
        <w:rPr>
          <w:b/>
          <w:bCs/>
          <w:sz w:val="20"/>
          <w:szCs w:val="20"/>
        </w:rPr>
        <w:t>3.2</w:t>
      </w:r>
      <w:r w:rsidR="00DD1D68" w:rsidRPr="001F6B0D">
        <w:rPr>
          <w:b/>
          <w:bCs/>
          <w:sz w:val="20"/>
          <w:szCs w:val="20"/>
        </w:rPr>
        <w:t xml:space="preserve"> Examination of Major Challenges Faced by Indian Food Entrepreneurs ........................................... </w:t>
      </w:r>
      <w:r w:rsidR="00E90375" w:rsidRPr="001F6B0D">
        <w:rPr>
          <w:b/>
          <w:bCs/>
          <w:sz w:val="20"/>
          <w:szCs w:val="20"/>
        </w:rPr>
        <w:t>20</w:t>
      </w:r>
    </w:p>
    <w:p w14:paraId="02D046E5" w14:textId="57CF16C4" w:rsidR="00DD1D68" w:rsidRPr="00650E51" w:rsidRDefault="003A5155" w:rsidP="00DD1D68">
      <w:pPr>
        <w:rPr>
          <w:sz w:val="20"/>
          <w:szCs w:val="20"/>
        </w:rPr>
      </w:pPr>
      <w:r w:rsidRPr="00650E51">
        <w:rPr>
          <w:sz w:val="20"/>
          <w:szCs w:val="20"/>
        </w:rPr>
        <w:t>3.2.1</w:t>
      </w:r>
      <w:r w:rsidR="00DD1D68" w:rsidRPr="00650E51">
        <w:rPr>
          <w:sz w:val="20"/>
          <w:szCs w:val="20"/>
        </w:rPr>
        <w:t xml:space="preserve"> Navigating Regulations and Institutional Barriers ........................................... </w:t>
      </w:r>
      <w:r w:rsidR="00E90375">
        <w:rPr>
          <w:sz w:val="20"/>
          <w:szCs w:val="20"/>
        </w:rPr>
        <w:t>20</w:t>
      </w:r>
    </w:p>
    <w:p w14:paraId="0B3C6D80" w14:textId="64774AA2" w:rsidR="00DD1D68" w:rsidRPr="00650E51" w:rsidRDefault="003A5155" w:rsidP="00DD1D68">
      <w:pPr>
        <w:rPr>
          <w:sz w:val="20"/>
          <w:szCs w:val="20"/>
        </w:rPr>
      </w:pPr>
      <w:r w:rsidRPr="00650E51">
        <w:rPr>
          <w:sz w:val="20"/>
          <w:szCs w:val="20"/>
        </w:rPr>
        <w:t>3.2.</w:t>
      </w:r>
      <w:r w:rsidR="00DD1D68" w:rsidRPr="00650E51">
        <w:rPr>
          <w:sz w:val="20"/>
          <w:szCs w:val="20"/>
        </w:rPr>
        <w:t xml:space="preserve">2 Market Competition and Evolving Consumer Demands ........................................... </w:t>
      </w:r>
      <w:r w:rsidR="00E90375">
        <w:rPr>
          <w:sz w:val="20"/>
          <w:szCs w:val="20"/>
        </w:rPr>
        <w:t>20</w:t>
      </w:r>
    </w:p>
    <w:p w14:paraId="284184B8" w14:textId="7C804A95" w:rsidR="00DD1D68" w:rsidRPr="00650E51" w:rsidRDefault="003A5155" w:rsidP="00DD1D68">
      <w:pPr>
        <w:rPr>
          <w:sz w:val="20"/>
          <w:szCs w:val="20"/>
        </w:rPr>
      </w:pPr>
      <w:r w:rsidRPr="00650E51">
        <w:rPr>
          <w:sz w:val="20"/>
          <w:szCs w:val="20"/>
        </w:rPr>
        <w:t>3.2.3</w:t>
      </w:r>
      <w:r w:rsidR="00DD1D68" w:rsidRPr="00650E51">
        <w:rPr>
          <w:sz w:val="20"/>
          <w:szCs w:val="20"/>
        </w:rPr>
        <w:t xml:space="preserve"> Financial Barriers ........................................... </w:t>
      </w:r>
      <w:r w:rsidR="00E90375">
        <w:rPr>
          <w:sz w:val="20"/>
          <w:szCs w:val="20"/>
        </w:rPr>
        <w:t>20</w:t>
      </w:r>
    </w:p>
    <w:p w14:paraId="748D60AC" w14:textId="5C2EFE47" w:rsidR="00DD1D68" w:rsidRPr="00650E51" w:rsidRDefault="003A5155" w:rsidP="00DD1D68">
      <w:pPr>
        <w:rPr>
          <w:sz w:val="20"/>
          <w:szCs w:val="20"/>
        </w:rPr>
      </w:pPr>
      <w:r w:rsidRPr="00650E51">
        <w:rPr>
          <w:sz w:val="20"/>
          <w:szCs w:val="20"/>
        </w:rPr>
        <w:t>3.2.</w:t>
      </w:r>
      <w:r w:rsidR="00DD1D68" w:rsidRPr="00650E51">
        <w:rPr>
          <w:sz w:val="20"/>
          <w:szCs w:val="20"/>
        </w:rPr>
        <w:t xml:space="preserve">4 </w:t>
      </w:r>
      <w:r w:rsidR="00E90375" w:rsidRPr="00650E51">
        <w:rPr>
          <w:sz w:val="20"/>
          <w:szCs w:val="20"/>
        </w:rPr>
        <w:t>Labour</w:t>
      </w:r>
      <w:r w:rsidR="00DD1D68" w:rsidRPr="00650E51">
        <w:rPr>
          <w:sz w:val="20"/>
          <w:szCs w:val="20"/>
        </w:rPr>
        <w:t xml:space="preserve"> Shortages and Workforce Challenges ........................................... </w:t>
      </w:r>
      <w:r w:rsidR="00E90375">
        <w:rPr>
          <w:sz w:val="20"/>
          <w:szCs w:val="20"/>
        </w:rPr>
        <w:t>21</w:t>
      </w:r>
    </w:p>
    <w:p w14:paraId="6EC28F45" w14:textId="489F7827" w:rsidR="00DD1D68" w:rsidRPr="00650E51" w:rsidRDefault="003A5155" w:rsidP="00DD1D68">
      <w:pPr>
        <w:rPr>
          <w:sz w:val="20"/>
          <w:szCs w:val="20"/>
        </w:rPr>
      </w:pPr>
      <w:r w:rsidRPr="00650E51">
        <w:rPr>
          <w:sz w:val="20"/>
          <w:szCs w:val="20"/>
        </w:rPr>
        <w:t>3.2</w:t>
      </w:r>
      <w:r w:rsidR="00DD1D68" w:rsidRPr="00650E51">
        <w:rPr>
          <w:sz w:val="20"/>
          <w:szCs w:val="20"/>
        </w:rPr>
        <w:t xml:space="preserve">.5 Social and Cultural Capital ........................................... </w:t>
      </w:r>
      <w:r w:rsidR="00E90375">
        <w:rPr>
          <w:sz w:val="20"/>
          <w:szCs w:val="20"/>
        </w:rPr>
        <w:t>21</w:t>
      </w:r>
    </w:p>
    <w:p w14:paraId="38FF3823" w14:textId="3D9BE55D" w:rsidR="00DD1D68" w:rsidRPr="00650E51" w:rsidRDefault="003A5155" w:rsidP="00DD1D68">
      <w:pPr>
        <w:rPr>
          <w:sz w:val="20"/>
          <w:szCs w:val="20"/>
        </w:rPr>
      </w:pPr>
      <w:r w:rsidRPr="00650E51">
        <w:rPr>
          <w:sz w:val="20"/>
          <w:szCs w:val="20"/>
        </w:rPr>
        <w:t>3.2.6</w:t>
      </w:r>
      <w:r w:rsidR="00DD1D68" w:rsidRPr="00650E51">
        <w:rPr>
          <w:sz w:val="20"/>
          <w:szCs w:val="20"/>
        </w:rPr>
        <w:t xml:space="preserve"> Innovation and Adaptation in Business Models ........................................... </w:t>
      </w:r>
      <w:r w:rsidR="00E90375">
        <w:rPr>
          <w:sz w:val="20"/>
          <w:szCs w:val="20"/>
        </w:rPr>
        <w:t>21</w:t>
      </w:r>
    </w:p>
    <w:p w14:paraId="32196A1C" w14:textId="3174EE14" w:rsidR="00DD1D68" w:rsidRPr="00650E51" w:rsidRDefault="003A5155" w:rsidP="00DD1D68">
      <w:pPr>
        <w:rPr>
          <w:sz w:val="20"/>
          <w:szCs w:val="20"/>
        </w:rPr>
      </w:pPr>
      <w:r w:rsidRPr="00650E51">
        <w:rPr>
          <w:sz w:val="20"/>
          <w:szCs w:val="20"/>
        </w:rPr>
        <w:t>3.2</w:t>
      </w:r>
      <w:r w:rsidR="00DD1D68" w:rsidRPr="00650E51">
        <w:rPr>
          <w:sz w:val="20"/>
          <w:szCs w:val="20"/>
        </w:rPr>
        <w:t>.7 Navigating Cultural and Regulatory In-Between Spaces ........................................... 2</w:t>
      </w:r>
      <w:r w:rsidR="00E90375">
        <w:rPr>
          <w:sz w:val="20"/>
          <w:szCs w:val="20"/>
        </w:rPr>
        <w:t>1</w:t>
      </w:r>
    </w:p>
    <w:p w14:paraId="14089462" w14:textId="6CC764FD" w:rsidR="00DD1D68" w:rsidRPr="001F6B0D" w:rsidRDefault="003A5155" w:rsidP="00DD1D68">
      <w:pPr>
        <w:rPr>
          <w:b/>
          <w:bCs/>
          <w:sz w:val="20"/>
          <w:szCs w:val="20"/>
        </w:rPr>
      </w:pPr>
      <w:r w:rsidRPr="001F6B0D">
        <w:rPr>
          <w:b/>
          <w:bCs/>
          <w:sz w:val="20"/>
          <w:szCs w:val="20"/>
        </w:rPr>
        <w:t>3.3</w:t>
      </w:r>
      <w:r w:rsidR="00DD1D68" w:rsidRPr="001F6B0D">
        <w:rPr>
          <w:b/>
          <w:bCs/>
          <w:sz w:val="20"/>
          <w:szCs w:val="20"/>
        </w:rPr>
        <w:t xml:space="preserve"> Theoretical and Empirical Insights ........................................... </w:t>
      </w:r>
      <w:r w:rsidR="00E90375" w:rsidRPr="001F6B0D">
        <w:rPr>
          <w:b/>
          <w:bCs/>
          <w:sz w:val="20"/>
          <w:szCs w:val="20"/>
        </w:rPr>
        <w:t>22</w:t>
      </w:r>
    </w:p>
    <w:p w14:paraId="28312FC5" w14:textId="40D52C9D" w:rsidR="00DD1D68" w:rsidRPr="00650E51" w:rsidRDefault="003A5155" w:rsidP="00DD1D68">
      <w:pPr>
        <w:rPr>
          <w:sz w:val="20"/>
          <w:szCs w:val="20"/>
        </w:rPr>
      </w:pPr>
      <w:r w:rsidRPr="00650E51">
        <w:rPr>
          <w:sz w:val="20"/>
          <w:szCs w:val="20"/>
        </w:rPr>
        <w:t>3.3</w:t>
      </w:r>
      <w:r w:rsidR="00DD1D68" w:rsidRPr="00650E51">
        <w:rPr>
          <w:sz w:val="20"/>
          <w:szCs w:val="20"/>
        </w:rPr>
        <w:t>.1 Embeddedness and Cultural Diversity in Entrepreneurship ........................................... 2</w:t>
      </w:r>
      <w:r w:rsidR="00E90375">
        <w:rPr>
          <w:sz w:val="20"/>
          <w:szCs w:val="20"/>
        </w:rPr>
        <w:t>2</w:t>
      </w:r>
    </w:p>
    <w:p w14:paraId="02026CF1" w14:textId="1377C93E" w:rsidR="00DD1D68" w:rsidRPr="00650E51" w:rsidRDefault="003A5155" w:rsidP="00DD1D68">
      <w:pPr>
        <w:rPr>
          <w:sz w:val="20"/>
          <w:szCs w:val="20"/>
        </w:rPr>
      </w:pPr>
      <w:r w:rsidRPr="00650E51">
        <w:rPr>
          <w:sz w:val="20"/>
          <w:szCs w:val="20"/>
        </w:rPr>
        <w:t>3.3</w:t>
      </w:r>
      <w:r w:rsidR="00DD1D68" w:rsidRPr="00650E51">
        <w:rPr>
          <w:sz w:val="20"/>
          <w:szCs w:val="20"/>
        </w:rPr>
        <w:t>.2 Role of Social Networks and International Connections ........................................... 22</w:t>
      </w:r>
    </w:p>
    <w:p w14:paraId="3219FAE5" w14:textId="7ACE6B8D" w:rsidR="00DD1D68" w:rsidRPr="00650E51" w:rsidRDefault="003A5155" w:rsidP="00DD1D68">
      <w:pPr>
        <w:rPr>
          <w:sz w:val="20"/>
          <w:szCs w:val="20"/>
        </w:rPr>
      </w:pPr>
      <w:r w:rsidRPr="00650E51">
        <w:rPr>
          <w:sz w:val="20"/>
          <w:szCs w:val="20"/>
        </w:rPr>
        <w:t>3.3</w:t>
      </w:r>
      <w:r w:rsidR="00DD1D68" w:rsidRPr="00650E51">
        <w:rPr>
          <w:sz w:val="20"/>
          <w:szCs w:val="20"/>
        </w:rPr>
        <w:t>.3 Business Model Flexibility and Digital Transformation ........................................... 2</w:t>
      </w:r>
      <w:r w:rsidR="00E90375">
        <w:rPr>
          <w:sz w:val="20"/>
          <w:szCs w:val="20"/>
        </w:rPr>
        <w:t>2</w:t>
      </w:r>
    </w:p>
    <w:p w14:paraId="29BAF684" w14:textId="2DFB8174" w:rsidR="00DD1D68" w:rsidRPr="00650E51" w:rsidRDefault="003A5155" w:rsidP="00DD1D68">
      <w:pPr>
        <w:rPr>
          <w:sz w:val="20"/>
          <w:szCs w:val="20"/>
        </w:rPr>
      </w:pPr>
      <w:r w:rsidRPr="00650E51">
        <w:rPr>
          <w:sz w:val="20"/>
          <w:szCs w:val="20"/>
        </w:rPr>
        <w:t>3.3</w:t>
      </w:r>
      <w:r w:rsidR="00DD1D68" w:rsidRPr="00650E51">
        <w:rPr>
          <w:sz w:val="20"/>
          <w:szCs w:val="20"/>
        </w:rPr>
        <w:t>.4 Environmental Responsibility and Sustainable Practices ........................................... 2</w:t>
      </w:r>
      <w:r w:rsidR="00E90375">
        <w:rPr>
          <w:sz w:val="20"/>
          <w:szCs w:val="20"/>
        </w:rPr>
        <w:t>2</w:t>
      </w:r>
    </w:p>
    <w:p w14:paraId="048FEFD6" w14:textId="74C87EDA" w:rsidR="00DD1D68" w:rsidRPr="00650E51" w:rsidRDefault="003A5155" w:rsidP="00DD1D68">
      <w:pPr>
        <w:rPr>
          <w:sz w:val="20"/>
          <w:szCs w:val="20"/>
        </w:rPr>
      </w:pPr>
      <w:r w:rsidRPr="00650E51">
        <w:rPr>
          <w:sz w:val="20"/>
          <w:szCs w:val="20"/>
        </w:rPr>
        <w:t>3.3</w:t>
      </w:r>
      <w:r w:rsidR="00DD1D68" w:rsidRPr="00650E51">
        <w:rPr>
          <w:sz w:val="20"/>
          <w:szCs w:val="20"/>
        </w:rPr>
        <w:t>.5 Entrepreneurial Resilience in Transitioning Business Environments ........................................... 2</w:t>
      </w:r>
      <w:r w:rsidR="00E90375">
        <w:rPr>
          <w:sz w:val="20"/>
          <w:szCs w:val="20"/>
        </w:rPr>
        <w:t>2</w:t>
      </w:r>
    </w:p>
    <w:p w14:paraId="20F09BF7" w14:textId="1F4474CA" w:rsidR="00DD1D68" w:rsidRPr="001F6B0D" w:rsidRDefault="00650E51" w:rsidP="00DD1D68">
      <w:pPr>
        <w:rPr>
          <w:b/>
          <w:bCs/>
          <w:sz w:val="20"/>
          <w:szCs w:val="20"/>
        </w:rPr>
      </w:pPr>
      <w:r w:rsidRPr="001F6B0D">
        <w:rPr>
          <w:b/>
          <w:bCs/>
          <w:sz w:val="20"/>
          <w:szCs w:val="20"/>
        </w:rPr>
        <w:t>3.4</w:t>
      </w:r>
      <w:r w:rsidR="00DD1D68" w:rsidRPr="001F6B0D">
        <w:rPr>
          <w:b/>
          <w:bCs/>
          <w:sz w:val="20"/>
          <w:szCs w:val="20"/>
        </w:rPr>
        <w:t xml:space="preserve"> Unexplored Research Areas ........................................... 2</w:t>
      </w:r>
      <w:r w:rsidR="001F6B0D" w:rsidRPr="001F6B0D">
        <w:rPr>
          <w:b/>
          <w:bCs/>
          <w:sz w:val="20"/>
          <w:szCs w:val="20"/>
        </w:rPr>
        <w:t>3</w:t>
      </w:r>
    </w:p>
    <w:p w14:paraId="499C278D" w14:textId="7CE5F6A0" w:rsidR="00DD1D68" w:rsidRPr="001F6B0D" w:rsidRDefault="00650E51" w:rsidP="00DD1D68">
      <w:pPr>
        <w:rPr>
          <w:b/>
          <w:bCs/>
          <w:sz w:val="20"/>
          <w:szCs w:val="20"/>
        </w:rPr>
      </w:pPr>
      <w:r w:rsidRPr="001F6B0D">
        <w:rPr>
          <w:b/>
          <w:bCs/>
          <w:sz w:val="20"/>
          <w:szCs w:val="20"/>
        </w:rPr>
        <w:t>3.5</w:t>
      </w:r>
      <w:r w:rsidR="00DD1D68" w:rsidRPr="001F6B0D">
        <w:rPr>
          <w:b/>
          <w:bCs/>
          <w:sz w:val="20"/>
          <w:szCs w:val="20"/>
        </w:rPr>
        <w:t xml:space="preserve"> Proposed Research Questions ........................................... 2</w:t>
      </w:r>
      <w:r w:rsidR="001F6B0D" w:rsidRPr="001F6B0D">
        <w:rPr>
          <w:b/>
          <w:bCs/>
          <w:sz w:val="20"/>
          <w:szCs w:val="20"/>
        </w:rPr>
        <w:t>3</w:t>
      </w:r>
    </w:p>
    <w:p w14:paraId="51F09E80" w14:textId="1C95873A" w:rsidR="00D667AB" w:rsidRPr="001F6B0D" w:rsidRDefault="00DD1D68" w:rsidP="00DD1D68">
      <w:pPr>
        <w:rPr>
          <w:sz w:val="20"/>
          <w:szCs w:val="20"/>
        </w:rPr>
      </w:pPr>
      <w:r w:rsidRPr="001F6B0D">
        <w:rPr>
          <w:b/>
          <w:bCs/>
          <w:sz w:val="20"/>
          <w:szCs w:val="20"/>
        </w:rPr>
        <w:t>References ........................................... 2</w:t>
      </w:r>
      <w:r w:rsidR="001F6B0D" w:rsidRPr="001F6B0D">
        <w:rPr>
          <w:b/>
          <w:bCs/>
          <w:sz w:val="20"/>
          <w:szCs w:val="20"/>
        </w:rPr>
        <w:t>4</w:t>
      </w:r>
      <w:r>
        <w:rPr>
          <w:rFonts w:ascii="Arial Black" w:eastAsia="MS Mincho" w:hAnsi="Arial Black"/>
          <w:b/>
          <w:bCs/>
          <w:u w:val="single"/>
          <w:lang w:val="en-US"/>
        </w:rPr>
        <w:br w:type="page"/>
      </w:r>
      <w:r w:rsidR="003F125E" w:rsidRPr="00DD1D68">
        <w:rPr>
          <w:rFonts w:ascii="Arial Black" w:eastAsia="MS Mincho" w:hAnsi="Arial Black"/>
          <w:b/>
          <w:bCs/>
          <w:sz w:val="56"/>
          <w:szCs w:val="56"/>
          <w:u w:val="single"/>
          <w:lang w:val="en-US"/>
        </w:rPr>
        <w:lastRenderedPageBreak/>
        <w:t>Part 1</w:t>
      </w:r>
    </w:p>
    <w:p w14:paraId="24794E3B" w14:textId="7D6A26D7" w:rsidR="003F125E" w:rsidRPr="002B1147" w:rsidRDefault="00201682" w:rsidP="00201682">
      <w:pPr>
        <w:pStyle w:val="Heading1"/>
        <w:rPr>
          <w:rFonts w:eastAsia="MS Mincho"/>
          <w:sz w:val="28"/>
          <w:szCs w:val="28"/>
          <w:lang w:val="en-US"/>
        </w:rPr>
      </w:pPr>
      <w:r>
        <w:rPr>
          <w:rFonts w:eastAsia="MS Mincho"/>
          <w:b/>
          <w:bCs/>
          <w:sz w:val="28"/>
          <w:szCs w:val="28"/>
          <w:lang w:val="en-US"/>
        </w:rPr>
        <w:t xml:space="preserve">1.0   </w:t>
      </w:r>
      <w:r w:rsidR="003F125E" w:rsidRPr="00201682">
        <w:rPr>
          <w:rFonts w:eastAsia="MS Mincho"/>
          <w:b/>
          <w:bCs/>
          <w:sz w:val="28"/>
          <w:szCs w:val="28"/>
          <w:lang w:val="en-US"/>
        </w:rPr>
        <w:t>Introduction</w:t>
      </w:r>
    </w:p>
    <w:p w14:paraId="4C9B0825" w14:textId="77777777" w:rsidR="003F125E" w:rsidRPr="003F125E" w:rsidRDefault="003F125E" w:rsidP="003F125E">
      <w:pPr>
        <w:rPr>
          <w:rFonts w:asciiTheme="majorHAnsi" w:hAnsiTheme="majorHAnsi" w:cstheme="majorHAnsi"/>
          <w:sz w:val="24"/>
          <w:szCs w:val="24"/>
        </w:rPr>
      </w:pPr>
      <w:r w:rsidRPr="003F125E">
        <w:rPr>
          <w:rFonts w:asciiTheme="majorHAnsi" w:hAnsiTheme="majorHAnsi" w:cstheme="majorHAnsi"/>
          <w:sz w:val="24"/>
          <w:szCs w:val="24"/>
        </w:rPr>
        <w:t xml:space="preserve">London's Indian food industry is a vibrant reflection of the city's multicultural essence and thriving economy. Indian migrant entrepreneurs have significantly shaped this sector, </w:t>
      </w:r>
      <w:proofErr w:type="gramStart"/>
      <w:r w:rsidRPr="003F125E">
        <w:rPr>
          <w:rFonts w:asciiTheme="majorHAnsi" w:hAnsiTheme="majorHAnsi" w:cstheme="majorHAnsi"/>
          <w:sz w:val="24"/>
          <w:szCs w:val="24"/>
        </w:rPr>
        <w:t>introducing</w:t>
      </w:r>
      <w:proofErr w:type="gramEnd"/>
      <w:r w:rsidRPr="003F125E">
        <w:rPr>
          <w:rFonts w:asciiTheme="majorHAnsi" w:hAnsiTheme="majorHAnsi" w:cstheme="majorHAnsi"/>
          <w:sz w:val="24"/>
          <w:szCs w:val="24"/>
        </w:rPr>
        <w:t xml:space="preserve"> culinary diversity and enhancing London's gastronomic reputation (Grant Thornton, 2022; </w:t>
      </w:r>
      <w:proofErr w:type="spellStart"/>
      <w:r w:rsidRPr="003F125E">
        <w:rPr>
          <w:rFonts w:asciiTheme="majorHAnsi" w:hAnsiTheme="majorHAnsi" w:cstheme="majorHAnsi"/>
          <w:sz w:val="24"/>
          <w:szCs w:val="24"/>
        </w:rPr>
        <w:t>DavidsonMorris</w:t>
      </w:r>
      <w:proofErr w:type="spellEnd"/>
      <w:r w:rsidRPr="003F125E">
        <w:rPr>
          <w:rFonts w:asciiTheme="majorHAnsi" w:hAnsiTheme="majorHAnsi" w:cstheme="majorHAnsi"/>
          <w:sz w:val="24"/>
          <w:szCs w:val="24"/>
        </w:rPr>
        <w:t>, 2024). Their contributions extend beyond business—they influence social interactions, urban revitalization, and the evolution of Britain's food culture (Wessendorf, 2021; British Online Archives, 2022).</w:t>
      </w:r>
    </w:p>
    <w:p w14:paraId="7294621C" w14:textId="77777777" w:rsidR="003F125E" w:rsidRPr="003F125E" w:rsidRDefault="003F125E" w:rsidP="003F125E">
      <w:pPr>
        <w:rPr>
          <w:rFonts w:asciiTheme="majorHAnsi" w:hAnsiTheme="majorHAnsi" w:cstheme="majorHAnsi"/>
          <w:sz w:val="24"/>
          <w:szCs w:val="24"/>
        </w:rPr>
      </w:pPr>
      <w:r w:rsidRPr="003F125E">
        <w:rPr>
          <w:rFonts w:asciiTheme="majorHAnsi" w:hAnsiTheme="majorHAnsi" w:cstheme="majorHAnsi"/>
          <w:sz w:val="24"/>
          <w:szCs w:val="24"/>
        </w:rPr>
        <w:t xml:space="preserve">However, despite their achievements, Indian food entrepreneurs encounter various challenges. These include navigating complex regulations, cultural adjustments, racial biases, and intense competition (British Online Archives, 2022; </w:t>
      </w:r>
      <w:proofErr w:type="spellStart"/>
      <w:r w:rsidRPr="003F125E">
        <w:rPr>
          <w:rFonts w:asciiTheme="majorHAnsi" w:hAnsiTheme="majorHAnsi" w:cstheme="majorHAnsi"/>
          <w:sz w:val="24"/>
          <w:szCs w:val="24"/>
        </w:rPr>
        <w:t>Basu</w:t>
      </w:r>
      <w:proofErr w:type="spellEnd"/>
      <w:r w:rsidRPr="003F125E">
        <w:rPr>
          <w:rFonts w:asciiTheme="majorHAnsi" w:hAnsiTheme="majorHAnsi" w:cstheme="majorHAnsi"/>
          <w:sz w:val="24"/>
          <w:szCs w:val="24"/>
        </w:rPr>
        <w:t>, 2010). Additionally, broader socio-economic shifts such as Brexit-induced uncertainties, evolving immigration policies, and the impact of COVID-19 on hospitality businesses have further complicated their entrepreneurial journey (UK Hospitality, 2023).</w:t>
      </w:r>
    </w:p>
    <w:p w14:paraId="68EC08F7" w14:textId="3E41EAEE" w:rsidR="003F125E" w:rsidRPr="003F125E" w:rsidRDefault="003F125E" w:rsidP="002B1147">
      <w:pPr>
        <w:rPr>
          <w:rFonts w:asciiTheme="majorHAnsi" w:hAnsiTheme="majorHAnsi" w:cstheme="majorHAnsi"/>
          <w:sz w:val="24"/>
          <w:szCs w:val="24"/>
        </w:rPr>
      </w:pPr>
      <w:r w:rsidRPr="003F125E">
        <w:rPr>
          <w:rFonts w:asciiTheme="majorHAnsi" w:hAnsiTheme="majorHAnsi" w:cstheme="majorHAnsi"/>
          <w:sz w:val="24"/>
          <w:szCs w:val="24"/>
        </w:rPr>
        <w:t>To fully grasp their experiences, an interpretivist approach is necessary—one that explores subjective meanings and social contexts (</w:t>
      </w:r>
      <w:proofErr w:type="spellStart"/>
      <w:r w:rsidRPr="003F125E">
        <w:rPr>
          <w:rFonts w:asciiTheme="majorHAnsi" w:hAnsiTheme="majorHAnsi" w:cstheme="majorHAnsi"/>
          <w:sz w:val="24"/>
          <w:szCs w:val="24"/>
        </w:rPr>
        <w:t>Alharahsheh</w:t>
      </w:r>
      <w:proofErr w:type="spellEnd"/>
      <w:r w:rsidRPr="003F125E">
        <w:rPr>
          <w:rFonts w:asciiTheme="majorHAnsi" w:hAnsiTheme="majorHAnsi" w:cstheme="majorHAnsi"/>
          <w:sz w:val="24"/>
          <w:szCs w:val="24"/>
        </w:rPr>
        <w:t xml:space="preserve"> &amp; Pius, 2020). A thorough literature review is essential in evaluating existing studies, identifying research gaps, and shaping methodological strategies for doctoral research on this topic. This document examines the role, importance, structure, and different approaches to conducting literature reviews, focusing specifically on Indian migrant entrepreneurs in London’s food industry.</w:t>
      </w:r>
    </w:p>
    <w:p w14:paraId="6AB6EA30" w14:textId="1FC7DB8D" w:rsidR="002B1147" w:rsidRPr="00F833CF" w:rsidRDefault="00201682" w:rsidP="00201682">
      <w:pPr>
        <w:pStyle w:val="Heading1"/>
        <w:numPr>
          <w:ilvl w:val="1"/>
          <w:numId w:val="16"/>
        </w:numPr>
        <w:rPr>
          <w:rFonts w:eastAsia="MS Mincho"/>
          <w:b/>
          <w:bCs/>
          <w:sz w:val="28"/>
          <w:szCs w:val="28"/>
          <w:lang w:val="en-US"/>
        </w:rPr>
      </w:pPr>
      <w:r>
        <w:rPr>
          <w:rFonts w:eastAsia="MS Mincho"/>
          <w:b/>
          <w:bCs/>
          <w:sz w:val="28"/>
          <w:szCs w:val="28"/>
          <w:lang w:val="en-US"/>
        </w:rPr>
        <w:t xml:space="preserve">  </w:t>
      </w:r>
      <w:r w:rsidR="002B1147" w:rsidRPr="00F833CF">
        <w:rPr>
          <w:rFonts w:eastAsia="MS Mincho"/>
          <w:b/>
          <w:bCs/>
          <w:sz w:val="28"/>
          <w:szCs w:val="28"/>
          <w:lang w:val="en-US"/>
        </w:rPr>
        <w:t>Understanding Literature Reviews</w:t>
      </w:r>
    </w:p>
    <w:p w14:paraId="302D88AD" w14:textId="77777777" w:rsidR="002B1147" w:rsidRPr="002B1147" w:rsidRDefault="002B1147" w:rsidP="002B1147">
      <w:pPr>
        <w:rPr>
          <w:rFonts w:asciiTheme="majorHAnsi" w:hAnsiTheme="majorHAnsi" w:cstheme="majorHAnsi"/>
          <w:sz w:val="24"/>
          <w:szCs w:val="24"/>
        </w:rPr>
      </w:pPr>
      <w:r w:rsidRPr="002B1147">
        <w:rPr>
          <w:rFonts w:asciiTheme="majorHAnsi" w:hAnsiTheme="majorHAnsi" w:cstheme="majorHAnsi"/>
          <w:sz w:val="24"/>
          <w:szCs w:val="24"/>
        </w:rPr>
        <w:t xml:space="preserve">A literature review systematically </w:t>
      </w:r>
      <w:proofErr w:type="spellStart"/>
      <w:r w:rsidRPr="002B1147">
        <w:rPr>
          <w:rFonts w:asciiTheme="majorHAnsi" w:hAnsiTheme="majorHAnsi" w:cstheme="majorHAnsi"/>
          <w:sz w:val="24"/>
          <w:szCs w:val="24"/>
        </w:rPr>
        <w:t>analyzes</w:t>
      </w:r>
      <w:proofErr w:type="spellEnd"/>
      <w:r w:rsidRPr="002B1147">
        <w:rPr>
          <w:rFonts w:asciiTheme="majorHAnsi" w:hAnsiTheme="majorHAnsi" w:cstheme="majorHAnsi"/>
          <w:sz w:val="24"/>
          <w:szCs w:val="24"/>
        </w:rPr>
        <w:t xml:space="preserve"> previous studies and academic sources related to a given research area (Fink, 2010; Jesson et al., 2011). It serves as both a process and an outcome, helping researchers gather, assess, and summarize relevant literature while outlining the state of current knowledge (Lambert, 2012).</w:t>
      </w:r>
    </w:p>
    <w:p w14:paraId="5DE1294A" w14:textId="42AC7231" w:rsidR="002B1147" w:rsidRDefault="002B1147" w:rsidP="002B1147">
      <w:pPr>
        <w:rPr>
          <w:rFonts w:asciiTheme="majorHAnsi" w:hAnsiTheme="majorHAnsi" w:cstheme="majorHAnsi"/>
          <w:sz w:val="24"/>
          <w:szCs w:val="24"/>
        </w:rPr>
      </w:pPr>
      <w:r w:rsidRPr="002B1147">
        <w:rPr>
          <w:rFonts w:asciiTheme="majorHAnsi" w:hAnsiTheme="majorHAnsi" w:cstheme="majorHAnsi"/>
          <w:sz w:val="24"/>
          <w:szCs w:val="24"/>
        </w:rPr>
        <w:t>In doctoral research, literature reviews play a fundamental role—they position new studies within existing discussions, highlight gaps in knowledge, and justify research direction (Oxford Bibliographies, 2016). Beyond summarizing prior work, a strong literature review engages in critical assessment, evaluates theoretical approaches, and synthesizes empirical findings (Booth et al., 2021). Additionally, it clarifies definitions, conceptual themes, and how key academic debates have evolved over time.</w:t>
      </w:r>
    </w:p>
    <w:p w14:paraId="6CA5890E" w14:textId="2E399178" w:rsidR="002B1147" w:rsidRPr="00F833CF" w:rsidRDefault="00201682" w:rsidP="00201682">
      <w:pPr>
        <w:pStyle w:val="Heading1"/>
        <w:rPr>
          <w:b/>
          <w:bCs/>
        </w:rPr>
      </w:pPr>
      <w:r>
        <w:rPr>
          <w:b/>
          <w:bCs/>
        </w:rPr>
        <w:t xml:space="preserve">1.2   </w:t>
      </w:r>
      <w:r w:rsidR="00F833CF" w:rsidRPr="00F833CF">
        <w:rPr>
          <w:b/>
          <w:bCs/>
        </w:rPr>
        <w:t>Purpose of a Literature Review</w:t>
      </w:r>
    </w:p>
    <w:p w14:paraId="69CBB870" w14:textId="77777777" w:rsidR="00A732AC" w:rsidRDefault="00F833CF" w:rsidP="00A732AC">
      <w:pPr>
        <w:rPr>
          <w:rFonts w:asciiTheme="majorHAnsi" w:hAnsiTheme="majorHAnsi" w:cstheme="majorHAnsi"/>
          <w:sz w:val="24"/>
          <w:szCs w:val="24"/>
        </w:rPr>
      </w:pPr>
      <w:r w:rsidRPr="00BA5B9F">
        <w:rPr>
          <w:rFonts w:asciiTheme="majorHAnsi" w:hAnsiTheme="majorHAnsi" w:cstheme="majorHAnsi"/>
          <w:sz w:val="24"/>
          <w:szCs w:val="24"/>
        </w:rPr>
        <w:t>A literature review serves several important functions, particularly when exploring the experiences of Indian food entrepreneurs in London:</w:t>
      </w:r>
    </w:p>
    <w:p w14:paraId="43DDDDE6" w14:textId="77777777" w:rsidR="00A732AC" w:rsidRDefault="00F833CF" w:rsidP="00A732AC">
      <w:pPr>
        <w:pStyle w:val="ListParagraph"/>
        <w:numPr>
          <w:ilvl w:val="0"/>
          <w:numId w:val="14"/>
        </w:numPr>
        <w:rPr>
          <w:rFonts w:asciiTheme="majorHAnsi" w:hAnsiTheme="majorHAnsi" w:cstheme="majorHAnsi"/>
          <w:sz w:val="24"/>
          <w:szCs w:val="24"/>
        </w:rPr>
      </w:pPr>
      <w:r w:rsidRPr="00A732AC">
        <w:rPr>
          <w:rStyle w:val="Strong"/>
          <w:rFonts w:asciiTheme="majorHAnsi" w:hAnsiTheme="majorHAnsi" w:cstheme="majorHAnsi"/>
          <w:sz w:val="24"/>
          <w:szCs w:val="24"/>
        </w:rPr>
        <w:t>Bringing Together Existing Knowledge:</w:t>
      </w:r>
      <w:r w:rsidRPr="00A732AC">
        <w:rPr>
          <w:rFonts w:asciiTheme="majorHAnsi" w:hAnsiTheme="majorHAnsi" w:cstheme="majorHAnsi"/>
          <w:sz w:val="24"/>
          <w:szCs w:val="24"/>
        </w:rPr>
        <w:t xml:space="preserve"> It compiles insights from studies on migrant entrepreneurship, food industry trends, and the challenges faced by Indian entrepreneurs (Grant Thornton, 2022; Wessendorf, 2021).</w:t>
      </w:r>
    </w:p>
    <w:p w14:paraId="4B2E3CBA" w14:textId="77777777" w:rsidR="00A732AC" w:rsidRDefault="00F833CF" w:rsidP="00A732AC">
      <w:pPr>
        <w:pStyle w:val="ListParagraph"/>
        <w:numPr>
          <w:ilvl w:val="0"/>
          <w:numId w:val="14"/>
        </w:numPr>
        <w:rPr>
          <w:rFonts w:asciiTheme="majorHAnsi" w:hAnsiTheme="majorHAnsi" w:cstheme="majorHAnsi"/>
          <w:sz w:val="24"/>
          <w:szCs w:val="24"/>
        </w:rPr>
      </w:pPr>
      <w:r w:rsidRPr="00A732AC">
        <w:rPr>
          <w:rStyle w:val="Strong"/>
          <w:rFonts w:asciiTheme="majorHAnsi" w:hAnsiTheme="majorHAnsi" w:cstheme="majorHAnsi"/>
          <w:sz w:val="24"/>
          <w:szCs w:val="24"/>
        </w:rPr>
        <w:t>Highlighting Research Gaps:</w:t>
      </w:r>
      <w:r w:rsidRPr="00A732AC">
        <w:rPr>
          <w:rFonts w:asciiTheme="majorHAnsi" w:hAnsiTheme="majorHAnsi" w:cstheme="majorHAnsi"/>
          <w:sz w:val="24"/>
          <w:szCs w:val="24"/>
        </w:rPr>
        <w:t xml:space="preserve"> Identifies areas that require deeper investigation, such as the impact of cultural identity on business strategy or the effects of racial biases in commercial settings (British Online Archives, 2022).</w:t>
      </w:r>
    </w:p>
    <w:p w14:paraId="4BC0CC28" w14:textId="77777777" w:rsidR="00A732AC" w:rsidRDefault="00F833CF" w:rsidP="00A732AC">
      <w:pPr>
        <w:pStyle w:val="ListParagraph"/>
        <w:numPr>
          <w:ilvl w:val="0"/>
          <w:numId w:val="14"/>
        </w:numPr>
        <w:rPr>
          <w:rFonts w:asciiTheme="majorHAnsi" w:hAnsiTheme="majorHAnsi" w:cstheme="majorHAnsi"/>
          <w:sz w:val="24"/>
          <w:szCs w:val="24"/>
        </w:rPr>
      </w:pPr>
      <w:r w:rsidRPr="00A732AC">
        <w:rPr>
          <w:rStyle w:val="Strong"/>
          <w:rFonts w:asciiTheme="majorHAnsi" w:hAnsiTheme="majorHAnsi" w:cstheme="majorHAnsi"/>
          <w:sz w:val="24"/>
          <w:szCs w:val="24"/>
        </w:rPr>
        <w:t>Guiding Research Methods:</w:t>
      </w:r>
      <w:r w:rsidRPr="00A732AC">
        <w:rPr>
          <w:rFonts w:asciiTheme="majorHAnsi" w:hAnsiTheme="majorHAnsi" w:cstheme="majorHAnsi"/>
          <w:sz w:val="24"/>
          <w:szCs w:val="24"/>
        </w:rPr>
        <w:t xml:space="preserve"> Examining past methodologies informs the selection of suitable approaches, particularly qualitative and interpretivist paradigms focused on subjective experiences (</w:t>
      </w:r>
      <w:proofErr w:type="spellStart"/>
      <w:r w:rsidRPr="00A732AC">
        <w:rPr>
          <w:rFonts w:asciiTheme="majorHAnsi" w:hAnsiTheme="majorHAnsi" w:cstheme="majorHAnsi"/>
          <w:sz w:val="24"/>
          <w:szCs w:val="24"/>
        </w:rPr>
        <w:t>Alharahsheh</w:t>
      </w:r>
      <w:proofErr w:type="spellEnd"/>
      <w:r w:rsidRPr="00A732AC">
        <w:rPr>
          <w:rFonts w:asciiTheme="majorHAnsi" w:hAnsiTheme="majorHAnsi" w:cstheme="majorHAnsi"/>
          <w:sz w:val="24"/>
          <w:szCs w:val="24"/>
        </w:rPr>
        <w:t xml:space="preserve"> &amp; Pius, 2020).</w:t>
      </w:r>
    </w:p>
    <w:p w14:paraId="084B090F" w14:textId="77777777" w:rsidR="00A732AC" w:rsidRDefault="00F833CF" w:rsidP="00A732AC">
      <w:pPr>
        <w:pStyle w:val="ListParagraph"/>
        <w:numPr>
          <w:ilvl w:val="0"/>
          <w:numId w:val="14"/>
        </w:numPr>
        <w:rPr>
          <w:rFonts w:asciiTheme="majorHAnsi" w:hAnsiTheme="majorHAnsi" w:cstheme="majorHAnsi"/>
          <w:sz w:val="24"/>
          <w:szCs w:val="24"/>
        </w:rPr>
      </w:pPr>
      <w:r w:rsidRPr="00A732AC">
        <w:rPr>
          <w:rStyle w:val="Strong"/>
          <w:rFonts w:asciiTheme="majorHAnsi" w:hAnsiTheme="majorHAnsi" w:cstheme="majorHAnsi"/>
          <w:sz w:val="24"/>
          <w:szCs w:val="24"/>
        </w:rPr>
        <w:lastRenderedPageBreak/>
        <w:t>Demonstrating Significance:</w:t>
      </w:r>
      <w:r w:rsidRPr="00A732AC">
        <w:rPr>
          <w:rFonts w:asciiTheme="majorHAnsi" w:hAnsiTheme="majorHAnsi" w:cstheme="majorHAnsi"/>
          <w:sz w:val="24"/>
          <w:szCs w:val="24"/>
        </w:rPr>
        <w:t xml:space="preserve"> Shows the relevance of the study in terms of economic, social, and cultural contributions (</w:t>
      </w:r>
      <w:proofErr w:type="spellStart"/>
      <w:r w:rsidRPr="00A732AC">
        <w:rPr>
          <w:rFonts w:asciiTheme="majorHAnsi" w:hAnsiTheme="majorHAnsi" w:cstheme="majorHAnsi"/>
          <w:sz w:val="24"/>
          <w:szCs w:val="24"/>
        </w:rPr>
        <w:t>DavidsonMorris</w:t>
      </w:r>
      <w:proofErr w:type="spellEnd"/>
      <w:r w:rsidRPr="00A732AC">
        <w:rPr>
          <w:rFonts w:asciiTheme="majorHAnsi" w:hAnsiTheme="majorHAnsi" w:cstheme="majorHAnsi"/>
          <w:sz w:val="24"/>
          <w:szCs w:val="24"/>
        </w:rPr>
        <w:t>, 2024).</w:t>
      </w:r>
    </w:p>
    <w:p w14:paraId="6E33A147" w14:textId="34219B2E" w:rsidR="00F833CF" w:rsidRPr="00A732AC" w:rsidRDefault="00F833CF" w:rsidP="00A732AC">
      <w:pPr>
        <w:pStyle w:val="ListParagraph"/>
        <w:numPr>
          <w:ilvl w:val="0"/>
          <w:numId w:val="14"/>
        </w:numPr>
        <w:rPr>
          <w:rFonts w:asciiTheme="majorHAnsi" w:hAnsiTheme="majorHAnsi" w:cstheme="majorHAnsi"/>
          <w:sz w:val="24"/>
          <w:szCs w:val="24"/>
        </w:rPr>
      </w:pPr>
      <w:r w:rsidRPr="00A732AC">
        <w:rPr>
          <w:rStyle w:val="Strong"/>
          <w:rFonts w:asciiTheme="majorHAnsi" w:hAnsiTheme="majorHAnsi" w:cstheme="majorHAnsi"/>
          <w:sz w:val="24"/>
          <w:szCs w:val="24"/>
        </w:rPr>
        <w:t>Avoiding Redundancy:</w:t>
      </w:r>
      <w:r w:rsidRPr="00A732AC">
        <w:rPr>
          <w:rFonts w:asciiTheme="majorHAnsi" w:hAnsiTheme="majorHAnsi" w:cstheme="majorHAnsi"/>
          <w:sz w:val="24"/>
          <w:szCs w:val="24"/>
        </w:rPr>
        <w:t xml:space="preserve"> Ensures that new research offers fresh perspectives rather than duplicating existing studies (Curtin Library, 2025).</w:t>
      </w:r>
    </w:p>
    <w:p w14:paraId="4DBF0F9D" w14:textId="77777777" w:rsidR="00F833CF" w:rsidRPr="00BA5B9F" w:rsidRDefault="00F833CF" w:rsidP="00F833CF">
      <w:pPr>
        <w:rPr>
          <w:rFonts w:asciiTheme="majorHAnsi" w:hAnsiTheme="majorHAnsi" w:cstheme="majorHAnsi"/>
          <w:sz w:val="24"/>
          <w:szCs w:val="24"/>
        </w:rPr>
      </w:pPr>
      <w:r w:rsidRPr="00BA5B9F">
        <w:rPr>
          <w:rFonts w:asciiTheme="majorHAnsi" w:hAnsiTheme="majorHAnsi" w:cstheme="majorHAnsi"/>
          <w:sz w:val="24"/>
          <w:szCs w:val="24"/>
        </w:rPr>
        <w:t xml:space="preserve">London’s food industry is more than just an economic space—it is a </w:t>
      </w:r>
      <w:proofErr w:type="spellStart"/>
      <w:r w:rsidRPr="00BA5B9F">
        <w:rPr>
          <w:rFonts w:asciiTheme="majorHAnsi" w:hAnsiTheme="majorHAnsi" w:cstheme="majorHAnsi"/>
          <w:sz w:val="24"/>
          <w:szCs w:val="24"/>
        </w:rPr>
        <w:t>center</w:t>
      </w:r>
      <w:proofErr w:type="spellEnd"/>
      <w:r w:rsidRPr="00BA5B9F">
        <w:rPr>
          <w:rFonts w:asciiTheme="majorHAnsi" w:hAnsiTheme="majorHAnsi" w:cstheme="majorHAnsi"/>
          <w:sz w:val="24"/>
          <w:szCs w:val="24"/>
        </w:rPr>
        <w:t xml:space="preserve"> for cultural interaction and identity negotiation (Wessendorf, 2021; Grant Thornton, 2022). A well-structured literature review helps build theoretical foundations, refine research questions, and maintain scholarly rigor (Booth et al., 2021).</w:t>
      </w:r>
    </w:p>
    <w:p w14:paraId="66E93FE7" w14:textId="0CF48C55" w:rsidR="002B1147" w:rsidRDefault="00F833CF" w:rsidP="00F833CF">
      <w:pPr>
        <w:pStyle w:val="Heading1"/>
        <w:rPr>
          <w:b/>
          <w:bCs/>
        </w:rPr>
      </w:pPr>
      <w:r w:rsidRPr="00F833CF">
        <w:rPr>
          <w:b/>
          <w:bCs/>
        </w:rPr>
        <w:t>1.</w:t>
      </w:r>
      <w:r>
        <w:rPr>
          <w:b/>
          <w:bCs/>
        </w:rPr>
        <w:t xml:space="preserve">3   </w:t>
      </w:r>
      <w:r w:rsidRPr="00F833CF">
        <w:rPr>
          <w:b/>
          <w:bCs/>
        </w:rPr>
        <w:t>Importance of Literature Review</w:t>
      </w:r>
    </w:p>
    <w:p w14:paraId="36E183CD" w14:textId="77777777" w:rsidR="00C57583" w:rsidRPr="00BA5B9F" w:rsidRDefault="00C57583" w:rsidP="00C57583">
      <w:pPr>
        <w:rPr>
          <w:rFonts w:asciiTheme="majorHAnsi" w:hAnsiTheme="majorHAnsi" w:cstheme="majorHAnsi"/>
          <w:sz w:val="24"/>
          <w:szCs w:val="24"/>
        </w:rPr>
      </w:pPr>
      <w:r w:rsidRPr="00BA5B9F">
        <w:rPr>
          <w:rFonts w:asciiTheme="majorHAnsi" w:hAnsiTheme="majorHAnsi" w:cstheme="majorHAnsi"/>
          <w:sz w:val="24"/>
          <w:szCs w:val="24"/>
        </w:rPr>
        <w:t>A literature review is crucial in understanding Indian migrant entrepreneurship, as it provides:</w:t>
      </w:r>
    </w:p>
    <w:p w14:paraId="0BEC663C" w14:textId="77777777" w:rsidR="00A732AC" w:rsidRPr="007F19C2" w:rsidRDefault="00C57583" w:rsidP="00A732AC">
      <w:pPr>
        <w:pStyle w:val="ListParagraph"/>
        <w:numPr>
          <w:ilvl w:val="0"/>
          <w:numId w:val="14"/>
        </w:numPr>
        <w:rPr>
          <w:rFonts w:asciiTheme="majorHAnsi" w:hAnsiTheme="majorHAnsi" w:cstheme="majorHAnsi"/>
          <w:b/>
          <w:bCs/>
          <w:sz w:val="24"/>
          <w:szCs w:val="24"/>
        </w:rPr>
      </w:pPr>
      <w:r w:rsidRPr="007F19C2">
        <w:rPr>
          <w:b/>
          <w:bCs/>
        </w:rPr>
        <w:t>Historical Context:</w:t>
      </w:r>
      <w:r w:rsidRPr="007F19C2">
        <w:rPr>
          <w:rFonts w:asciiTheme="majorHAnsi" w:hAnsiTheme="majorHAnsi" w:cstheme="majorHAnsi"/>
          <w:b/>
          <w:bCs/>
          <w:sz w:val="24"/>
          <w:szCs w:val="24"/>
        </w:rPr>
        <w:t xml:space="preserve"> </w:t>
      </w:r>
      <w:r w:rsidRPr="007F19C2">
        <w:rPr>
          <w:rFonts w:asciiTheme="majorHAnsi" w:hAnsiTheme="majorHAnsi" w:cstheme="majorHAnsi"/>
          <w:sz w:val="24"/>
          <w:szCs w:val="24"/>
        </w:rPr>
        <w:t>Traces the journey of Indian business owners in the UK, from the first Indian restaurant founded in 1810 to the rise of today's food enterprises (Grant Thornton, 2022; Panayi, 2008).</w:t>
      </w:r>
    </w:p>
    <w:p w14:paraId="4023D8FB" w14:textId="751A4595" w:rsidR="00C57583" w:rsidRPr="007F19C2" w:rsidRDefault="00C57583" w:rsidP="00A732AC">
      <w:pPr>
        <w:pStyle w:val="ListParagraph"/>
        <w:numPr>
          <w:ilvl w:val="0"/>
          <w:numId w:val="14"/>
        </w:numPr>
        <w:rPr>
          <w:rFonts w:asciiTheme="majorHAnsi" w:hAnsiTheme="majorHAnsi" w:cstheme="majorHAnsi"/>
          <w:sz w:val="24"/>
          <w:szCs w:val="24"/>
        </w:rPr>
      </w:pPr>
      <w:r w:rsidRPr="007F19C2">
        <w:rPr>
          <w:b/>
          <w:bCs/>
        </w:rPr>
        <w:t>Critical Analysis:</w:t>
      </w:r>
      <w:r w:rsidRPr="007F19C2">
        <w:rPr>
          <w:rFonts w:asciiTheme="majorHAnsi" w:hAnsiTheme="majorHAnsi" w:cstheme="majorHAnsi"/>
          <w:b/>
          <w:bCs/>
          <w:sz w:val="24"/>
          <w:szCs w:val="24"/>
        </w:rPr>
        <w:t xml:space="preserve"> </w:t>
      </w:r>
      <w:r w:rsidRPr="007F19C2">
        <w:rPr>
          <w:rFonts w:asciiTheme="majorHAnsi" w:hAnsiTheme="majorHAnsi" w:cstheme="majorHAnsi"/>
          <w:sz w:val="24"/>
          <w:szCs w:val="24"/>
        </w:rPr>
        <w:t xml:space="preserve">Evaluates business models, adaptation strategies, and support systems, while highlighting ongoing challenges like discrimination and regulatory difficulties (British Online Archives, 2022; </w:t>
      </w:r>
      <w:proofErr w:type="spellStart"/>
      <w:r w:rsidRPr="007F19C2">
        <w:rPr>
          <w:rFonts w:asciiTheme="majorHAnsi" w:hAnsiTheme="majorHAnsi" w:cstheme="majorHAnsi"/>
          <w:sz w:val="24"/>
          <w:szCs w:val="24"/>
        </w:rPr>
        <w:t>Basu</w:t>
      </w:r>
      <w:proofErr w:type="spellEnd"/>
      <w:r w:rsidRPr="007F19C2">
        <w:rPr>
          <w:rFonts w:asciiTheme="majorHAnsi" w:hAnsiTheme="majorHAnsi" w:cstheme="majorHAnsi"/>
          <w:sz w:val="24"/>
          <w:szCs w:val="24"/>
        </w:rPr>
        <w:t>, 2010).</w:t>
      </w:r>
    </w:p>
    <w:p w14:paraId="3A47EC2D" w14:textId="77777777" w:rsidR="00C57583" w:rsidRPr="007F19C2" w:rsidRDefault="00C57583" w:rsidP="00A732AC">
      <w:pPr>
        <w:pStyle w:val="ListParagraph"/>
        <w:numPr>
          <w:ilvl w:val="0"/>
          <w:numId w:val="14"/>
        </w:numPr>
        <w:rPr>
          <w:rFonts w:asciiTheme="majorHAnsi" w:hAnsiTheme="majorHAnsi" w:cstheme="majorHAnsi"/>
          <w:b/>
          <w:bCs/>
          <w:sz w:val="24"/>
          <w:szCs w:val="24"/>
        </w:rPr>
      </w:pPr>
      <w:r w:rsidRPr="007F19C2">
        <w:rPr>
          <w:b/>
          <w:bCs/>
        </w:rPr>
        <w:t>Theoretical Frameworks</w:t>
      </w:r>
      <w:r w:rsidRPr="007F19C2">
        <w:t>:</w:t>
      </w:r>
      <w:r w:rsidRPr="007F19C2">
        <w:rPr>
          <w:rFonts w:asciiTheme="majorHAnsi" w:hAnsiTheme="majorHAnsi" w:cstheme="majorHAnsi"/>
          <w:sz w:val="24"/>
          <w:szCs w:val="24"/>
        </w:rPr>
        <w:t xml:space="preserve"> Positions the research within discussions on migration, entrepreneurship, and multicultural dynamics, emphasizing an interpretivist perspective that considers lived experiences (</w:t>
      </w:r>
      <w:proofErr w:type="spellStart"/>
      <w:r w:rsidRPr="007F19C2">
        <w:rPr>
          <w:rFonts w:asciiTheme="majorHAnsi" w:hAnsiTheme="majorHAnsi" w:cstheme="majorHAnsi"/>
          <w:sz w:val="24"/>
          <w:szCs w:val="24"/>
        </w:rPr>
        <w:t>Alharahsheh</w:t>
      </w:r>
      <w:proofErr w:type="spellEnd"/>
      <w:r w:rsidRPr="007F19C2">
        <w:rPr>
          <w:rFonts w:asciiTheme="majorHAnsi" w:hAnsiTheme="majorHAnsi" w:cstheme="majorHAnsi"/>
          <w:sz w:val="24"/>
          <w:szCs w:val="24"/>
        </w:rPr>
        <w:t xml:space="preserve"> &amp; Pius, 2020).</w:t>
      </w:r>
    </w:p>
    <w:p w14:paraId="743C4FC3" w14:textId="77777777" w:rsidR="00C57583" w:rsidRPr="007F19C2" w:rsidRDefault="00C57583" w:rsidP="00A732AC">
      <w:pPr>
        <w:pStyle w:val="ListParagraph"/>
        <w:numPr>
          <w:ilvl w:val="0"/>
          <w:numId w:val="14"/>
        </w:numPr>
        <w:rPr>
          <w:rFonts w:asciiTheme="majorHAnsi" w:hAnsiTheme="majorHAnsi" w:cstheme="majorHAnsi"/>
          <w:sz w:val="24"/>
          <w:szCs w:val="24"/>
        </w:rPr>
      </w:pPr>
      <w:r w:rsidRPr="007F19C2">
        <w:rPr>
          <w:b/>
          <w:bCs/>
        </w:rPr>
        <w:t>Policy and Practical Insights:</w:t>
      </w:r>
      <w:r w:rsidRPr="007F19C2">
        <w:rPr>
          <w:rFonts w:asciiTheme="majorHAnsi" w:hAnsiTheme="majorHAnsi" w:cstheme="majorHAnsi"/>
          <w:b/>
          <w:bCs/>
          <w:sz w:val="24"/>
          <w:szCs w:val="24"/>
        </w:rPr>
        <w:t xml:space="preserve"> </w:t>
      </w:r>
      <w:r w:rsidRPr="007F19C2">
        <w:rPr>
          <w:rFonts w:asciiTheme="majorHAnsi" w:hAnsiTheme="majorHAnsi" w:cstheme="majorHAnsi"/>
          <w:sz w:val="24"/>
          <w:szCs w:val="24"/>
        </w:rPr>
        <w:t>Identifies key systemic issues, including access to financial resources, market entry barriers, and the influence of cultural identity in business (</w:t>
      </w:r>
      <w:proofErr w:type="spellStart"/>
      <w:r w:rsidRPr="007F19C2">
        <w:rPr>
          <w:rFonts w:asciiTheme="majorHAnsi" w:hAnsiTheme="majorHAnsi" w:cstheme="majorHAnsi"/>
          <w:sz w:val="24"/>
          <w:szCs w:val="24"/>
        </w:rPr>
        <w:t>DavidsonMorris</w:t>
      </w:r>
      <w:proofErr w:type="spellEnd"/>
      <w:r w:rsidRPr="007F19C2">
        <w:rPr>
          <w:rFonts w:asciiTheme="majorHAnsi" w:hAnsiTheme="majorHAnsi" w:cstheme="majorHAnsi"/>
          <w:sz w:val="24"/>
          <w:szCs w:val="24"/>
        </w:rPr>
        <w:t>, 2024; OECD, 2023).</w:t>
      </w:r>
    </w:p>
    <w:p w14:paraId="48CCEEBD" w14:textId="77777777" w:rsidR="00C57583" w:rsidRPr="007F19C2" w:rsidRDefault="00C57583" w:rsidP="00A732AC">
      <w:pPr>
        <w:pStyle w:val="ListParagraph"/>
        <w:numPr>
          <w:ilvl w:val="0"/>
          <w:numId w:val="14"/>
        </w:numPr>
        <w:rPr>
          <w:rFonts w:asciiTheme="majorHAnsi" w:hAnsiTheme="majorHAnsi" w:cstheme="majorHAnsi"/>
          <w:b/>
          <w:bCs/>
          <w:sz w:val="24"/>
          <w:szCs w:val="24"/>
        </w:rPr>
      </w:pPr>
      <w:r w:rsidRPr="007F19C2">
        <w:rPr>
          <w:b/>
          <w:bCs/>
        </w:rPr>
        <w:t>Academic Contribution:</w:t>
      </w:r>
      <w:r w:rsidRPr="007F19C2">
        <w:rPr>
          <w:rFonts w:asciiTheme="majorHAnsi" w:hAnsiTheme="majorHAnsi" w:cstheme="majorHAnsi"/>
          <w:b/>
          <w:bCs/>
          <w:sz w:val="24"/>
          <w:szCs w:val="24"/>
        </w:rPr>
        <w:t xml:space="preserve"> </w:t>
      </w:r>
      <w:r w:rsidRPr="007F19C2">
        <w:rPr>
          <w:rFonts w:asciiTheme="majorHAnsi" w:hAnsiTheme="majorHAnsi" w:cstheme="majorHAnsi"/>
          <w:sz w:val="24"/>
          <w:szCs w:val="24"/>
        </w:rPr>
        <w:t>Showcases the researcher’s ability to engage critically with existing studies while making meaningful additions to academic literature (University of Westminster, 2025).</w:t>
      </w:r>
    </w:p>
    <w:p w14:paraId="78EFAF15" w14:textId="77777777" w:rsidR="00C57583" w:rsidRPr="007F19C2" w:rsidRDefault="00C57583" w:rsidP="00C57583">
      <w:pPr>
        <w:rPr>
          <w:rFonts w:asciiTheme="majorHAnsi" w:hAnsiTheme="majorHAnsi" w:cstheme="majorHAnsi"/>
          <w:sz w:val="24"/>
          <w:szCs w:val="24"/>
        </w:rPr>
      </w:pPr>
      <w:r w:rsidRPr="007F19C2">
        <w:rPr>
          <w:rFonts w:asciiTheme="majorHAnsi" w:hAnsiTheme="majorHAnsi" w:cstheme="majorHAnsi"/>
          <w:sz w:val="24"/>
          <w:szCs w:val="24"/>
        </w:rPr>
        <w:t>Studies indicate that migrant entrepreneurs play a vital role in London’s economy, with over 40% of businesses owned by immigrants (</w:t>
      </w:r>
      <w:proofErr w:type="spellStart"/>
      <w:r w:rsidRPr="007F19C2">
        <w:rPr>
          <w:rFonts w:asciiTheme="majorHAnsi" w:hAnsiTheme="majorHAnsi" w:cstheme="majorHAnsi"/>
          <w:sz w:val="24"/>
          <w:szCs w:val="24"/>
        </w:rPr>
        <w:t>DavidsonMorris</w:t>
      </w:r>
      <w:proofErr w:type="spellEnd"/>
      <w:r w:rsidRPr="007F19C2">
        <w:rPr>
          <w:rFonts w:asciiTheme="majorHAnsi" w:hAnsiTheme="majorHAnsi" w:cstheme="majorHAnsi"/>
          <w:sz w:val="24"/>
          <w:szCs w:val="24"/>
        </w:rPr>
        <w:t>, 2024). However, these entrepreneurs continue to face discrimination and structural barriers (British Online Archives, 2022). A literature review not only contextualizes these issues but also emphasizes their relevance in shaping future policies and research.</w:t>
      </w:r>
    </w:p>
    <w:p w14:paraId="6D31F269" w14:textId="12BEFAAD" w:rsidR="002B1147" w:rsidRPr="007F19C2" w:rsidRDefault="00C57583" w:rsidP="007F19C2">
      <w:pPr>
        <w:pStyle w:val="Heading1"/>
        <w:rPr>
          <w:b/>
          <w:bCs/>
        </w:rPr>
      </w:pPr>
      <w:r w:rsidRPr="007F19C2">
        <w:rPr>
          <w:b/>
          <w:bCs/>
        </w:rPr>
        <w:t>1.4   Structure of a Literature Review</w:t>
      </w:r>
    </w:p>
    <w:p w14:paraId="5A165338" w14:textId="77777777" w:rsidR="00C57583" w:rsidRPr="00201682" w:rsidRDefault="00C57583" w:rsidP="00C57583">
      <w:pPr>
        <w:rPr>
          <w:rFonts w:asciiTheme="majorHAnsi" w:hAnsiTheme="majorHAnsi" w:cstheme="majorHAnsi"/>
          <w:sz w:val="24"/>
          <w:szCs w:val="24"/>
        </w:rPr>
      </w:pPr>
      <w:r w:rsidRPr="00201682">
        <w:rPr>
          <w:rFonts w:asciiTheme="majorHAnsi" w:hAnsiTheme="majorHAnsi" w:cstheme="majorHAnsi"/>
          <w:sz w:val="24"/>
          <w:szCs w:val="24"/>
        </w:rPr>
        <w:t>A well-rounded literature review typically includes:</w:t>
      </w:r>
    </w:p>
    <w:p w14:paraId="456B7FD4" w14:textId="77777777" w:rsidR="007F19C2" w:rsidRPr="00B17BB8" w:rsidRDefault="00C57583" w:rsidP="007F19C2">
      <w:pPr>
        <w:pStyle w:val="ListParagraph"/>
        <w:numPr>
          <w:ilvl w:val="0"/>
          <w:numId w:val="14"/>
        </w:numPr>
        <w:rPr>
          <w:rFonts w:asciiTheme="majorHAnsi" w:hAnsiTheme="majorHAnsi" w:cstheme="majorHAnsi"/>
          <w:b/>
          <w:bCs/>
          <w:sz w:val="24"/>
          <w:szCs w:val="24"/>
        </w:rPr>
      </w:pPr>
      <w:r w:rsidRPr="00B17BB8">
        <w:rPr>
          <w:rFonts w:asciiTheme="majorHAnsi" w:hAnsiTheme="majorHAnsi" w:cstheme="majorHAnsi"/>
          <w:b/>
          <w:bCs/>
          <w:sz w:val="24"/>
          <w:szCs w:val="24"/>
        </w:rPr>
        <w:t xml:space="preserve">Key Themes Overview: </w:t>
      </w:r>
      <w:r w:rsidRPr="00B17BB8">
        <w:rPr>
          <w:rFonts w:asciiTheme="majorHAnsi" w:hAnsiTheme="majorHAnsi" w:cstheme="majorHAnsi"/>
          <w:sz w:val="24"/>
          <w:szCs w:val="24"/>
        </w:rPr>
        <w:t>Discussing migration trends, entrepreneurship theories, socio-economic influences, and cultural adaptation (</w:t>
      </w:r>
      <w:proofErr w:type="spellStart"/>
      <w:r w:rsidRPr="00B17BB8">
        <w:rPr>
          <w:rFonts w:asciiTheme="majorHAnsi" w:hAnsiTheme="majorHAnsi" w:cstheme="majorHAnsi"/>
          <w:sz w:val="24"/>
          <w:szCs w:val="24"/>
        </w:rPr>
        <w:t>Basu</w:t>
      </w:r>
      <w:proofErr w:type="spellEnd"/>
      <w:r w:rsidRPr="00B17BB8">
        <w:rPr>
          <w:rFonts w:asciiTheme="majorHAnsi" w:hAnsiTheme="majorHAnsi" w:cstheme="majorHAnsi"/>
          <w:sz w:val="24"/>
          <w:szCs w:val="24"/>
        </w:rPr>
        <w:t>, 2010; Wessendorf, 2021).</w:t>
      </w:r>
    </w:p>
    <w:p w14:paraId="3F5170C7" w14:textId="4813C992" w:rsidR="00C57583" w:rsidRPr="00B17BB8" w:rsidRDefault="00C57583" w:rsidP="007F19C2">
      <w:pPr>
        <w:pStyle w:val="ListParagraph"/>
        <w:numPr>
          <w:ilvl w:val="0"/>
          <w:numId w:val="14"/>
        </w:numPr>
        <w:rPr>
          <w:rFonts w:asciiTheme="majorHAnsi" w:hAnsiTheme="majorHAnsi" w:cstheme="majorHAnsi"/>
          <w:sz w:val="24"/>
          <w:szCs w:val="24"/>
        </w:rPr>
      </w:pPr>
      <w:r w:rsidRPr="00B17BB8">
        <w:rPr>
          <w:rFonts w:asciiTheme="majorHAnsi" w:hAnsiTheme="majorHAnsi" w:cstheme="majorHAnsi"/>
          <w:b/>
          <w:bCs/>
          <w:sz w:val="24"/>
          <w:szCs w:val="24"/>
        </w:rPr>
        <w:t xml:space="preserve">Assessment of Empirical Studies: </w:t>
      </w:r>
      <w:r w:rsidRPr="00B17BB8">
        <w:rPr>
          <w:rFonts w:asciiTheme="majorHAnsi" w:hAnsiTheme="majorHAnsi" w:cstheme="majorHAnsi"/>
          <w:sz w:val="24"/>
          <w:szCs w:val="24"/>
        </w:rPr>
        <w:t>Evaluating the methodologies, findings, and limitations of previous research (</w:t>
      </w:r>
      <w:proofErr w:type="spellStart"/>
      <w:r w:rsidRPr="00B17BB8">
        <w:rPr>
          <w:rFonts w:asciiTheme="majorHAnsi" w:hAnsiTheme="majorHAnsi" w:cstheme="majorHAnsi"/>
          <w:sz w:val="24"/>
          <w:szCs w:val="24"/>
        </w:rPr>
        <w:t>Basu</w:t>
      </w:r>
      <w:proofErr w:type="spellEnd"/>
      <w:r w:rsidRPr="00B17BB8">
        <w:rPr>
          <w:rFonts w:asciiTheme="majorHAnsi" w:hAnsiTheme="majorHAnsi" w:cstheme="majorHAnsi"/>
          <w:sz w:val="24"/>
          <w:szCs w:val="24"/>
        </w:rPr>
        <w:t>, 2010; Wessendorf, 2021).</w:t>
      </w:r>
    </w:p>
    <w:p w14:paraId="32605949" w14:textId="77777777" w:rsidR="00C57583" w:rsidRPr="00B17BB8" w:rsidRDefault="00C57583" w:rsidP="007F19C2">
      <w:pPr>
        <w:pStyle w:val="ListParagraph"/>
        <w:numPr>
          <w:ilvl w:val="0"/>
          <w:numId w:val="14"/>
        </w:numPr>
        <w:rPr>
          <w:rFonts w:asciiTheme="majorHAnsi" w:hAnsiTheme="majorHAnsi" w:cstheme="majorHAnsi"/>
          <w:sz w:val="24"/>
          <w:szCs w:val="24"/>
        </w:rPr>
      </w:pPr>
      <w:r w:rsidRPr="00B17BB8">
        <w:rPr>
          <w:rFonts w:asciiTheme="majorHAnsi" w:hAnsiTheme="majorHAnsi" w:cstheme="majorHAnsi"/>
          <w:b/>
          <w:bCs/>
          <w:sz w:val="24"/>
          <w:szCs w:val="24"/>
        </w:rPr>
        <w:t xml:space="preserve">Identifying Research Gaps: </w:t>
      </w:r>
      <w:r w:rsidRPr="00B17BB8">
        <w:rPr>
          <w:rFonts w:asciiTheme="majorHAnsi" w:hAnsiTheme="majorHAnsi" w:cstheme="majorHAnsi"/>
          <w:sz w:val="24"/>
          <w:szCs w:val="24"/>
        </w:rPr>
        <w:t>Highlighting underexplored topics, such as food’s role in migrant community development (PubMed, 2025).</w:t>
      </w:r>
    </w:p>
    <w:p w14:paraId="354E1AF0" w14:textId="77777777" w:rsidR="00C57583" w:rsidRPr="00B17BB8" w:rsidRDefault="00C57583" w:rsidP="007F19C2">
      <w:pPr>
        <w:pStyle w:val="ListParagraph"/>
        <w:numPr>
          <w:ilvl w:val="0"/>
          <w:numId w:val="14"/>
        </w:numPr>
        <w:rPr>
          <w:rFonts w:asciiTheme="majorHAnsi" w:hAnsiTheme="majorHAnsi" w:cstheme="majorHAnsi"/>
          <w:sz w:val="24"/>
          <w:szCs w:val="24"/>
        </w:rPr>
      </w:pPr>
      <w:r w:rsidRPr="00B17BB8">
        <w:rPr>
          <w:rFonts w:asciiTheme="majorHAnsi" w:hAnsiTheme="majorHAnsi" w:cstheme="majorHAnsi"/>
          <w:b/>
          <w:bCs/>
          <w:sz w:val="24"/>
          <w:szCs w:val="24"/>
        </w:rPr>
        <w:t xml:space="preserve">Comparing Theoretical Perspectives: </w:t>
      </w:r>
      <w:r w:rsidRPr="00B17BB8">
        <w:rPr>
          <w:rFonts w:asciiTheme="majorHAnsi" w:hAnsiTheme="majorHAnsi" w:cstheme="majorHAnsi"/>
          <w:sz w:val="24"/>
          <w:szCs w:val="24"/>
        </w:rPr>
        <w:t>Examining different academic frameworks, including positivist and interpretivist paradigms (</w:t>
      </w:r>
      <w:proofErr w:type="spellStart"/>
      <w:r w:rsidRPr="00B17BB8">
        <w:rPr>
          <w:rFonts w:asciiTheme="majorHAnsi" w:hAnsiTheme="majorHAnsi" w:cstheme="majorHAnsi"/>
          <w:sz w:val="24"/>
          <w:szCs w:val="24"/>
        </w:rPr>
        <w:t>Alharahsheh</w:t>
      </w:r>
      <w:proofErr w:type="spellEnd"/>
      <w:r w:rsidRPr="00B17BB8">
        <w:rPr>
          <w:rFonts w:asciiTheme="majorHAnsi" w:hAnsiTheme="majorHAnsi" w:cstheme="majorHAnsi"/>
          <w:sz w:val="24"/>
          <w:szCs w:val="24"/>
        </w:rPr>
        <w:t xml:space="preserve"> &amp; Pius, 2020).</w:t>
      </w:r>
    </w:p>
    <w:p w14:paraId="106C45BA" w14:textId="77777777" w:rsidR="00C57583" w:rsidRPr="00B17BB8" w:rsidRDefault="00C57583" w:rsidP="007F19C2">
      <w:pPr>
        <w:pStyle w:val="ListParagraph"/>
        <w:numPr>
          <w:ilvl w:val="0"/>
          <w:numId w:val="14"/>
        </w:numPr>
        <w:rPr>
          <w:rFonts w:asciiTheme="majorHAnsi" w:hAnsiTheme="majorHAnsi" w:cstheme="majorHAnsi"/>
          <w:sz w:val="24"/>
          <w:szCs w:val="24"/>
        </w:rPr>
      </w:pPr>
      <w:r w:rsidRPr="00B17BB8">
        <w:rPr>
          <w:rFonts w:asciiTheme="majorHAnsi" w:hAnsiTheme="majorHAnsi" w:cstheme="majorHAnsi"/>
          <w:b/>
          <w:bCs/>
          <w:sz w:val="24"/>
          <w:szCs w:val="24"/>
        </w:rPr>
        <w:t>Incorporating Industry Reports</w:t>
      </w:r>
      <w:r w:rsidRPr="00B17BB8">
        <w:rPr>
          <w:rFonts w:asciiTheme="majorHAnsi" w:hAnsiTheme="majorHAnsi" w:cstheme="majorHAnsi"/>
          <w:sz w:val="24"/>
          <w:szCs w:val="24"/>
        </w:rPr>
        <w:t xml:space="preserve">: </w:t>
      </w:r>
      <w:proofErr w:type="spellStart"/>
      <w:r w:rsidRPr="00B17BB8">
        <w:rPr>
          <w:rFonts w:asciiTheme="majorHAnsi" w:hAnsiTheme="majorHAnsi" w:cstheme="majorHAnsi"/>
          <w:sz w:val="24"/>
          <w:szCs w:val="24"/>
        </w:rPr>
        <w:t>Analyzing</w:t>
      </w:r>
      <w:proofErr w:type="spellEnd"/>
      <w:r w:rsidRPr="00B17BB8">
        <w:rPr>
          <w:rFonts w:asciiTheme="majorHAnsi" w:hAnsiTheme="majorHAnsi" w:cstheme="majorHAnsi"/>
          <w:sz w:val="24"/>
          <w:szCs w:val="24"/>
        </w:rPr>
        <w:t xml:space="preserve"> grey literature, including business reports and policy studies, to provide broader insights (Grant Thornton, 2022; OECD, 2023).</w:t>
      </w:r>
    </w:p>
    <w:p w14:paraId="43A37206" w14:textId="4B13FDB1" w:rsidR="00C57583" w:rsidRPr="00B17BB8" w:rsidRDefault="00C57583" w:rsidP="00C57583">
      <w:pPr>
        <w:rPr>
          <w:rFonts w:asciiTheme="majorHAnsi" w:hAnsiTheme="majorHAnsi" w:cstheme="majorHAnsi"/>
          <w:sz w:val="24"/>
          <w:szCs w:val="24"/>
        </w:rPr>
      </w:pPr>
      <w:r w:rsidRPr="00B17BB8">
        <w:rPr>
          <w:rFonts w:asciiTheme="majorHAnsi" w:hAnsiTheme="majorHAnsi" w:cstheme="majorHAnsi"/>
          <w:sz w:val="24"/>
          <w:szCs w:val="24"/>
        </w:rPr>
        <w:t>Recent advances in digital scholarship have encouraged bibliometric analysis and visual mapping tools to identify patterns in existing research (</w:t>
      </w:r>
      <w:proofErr w:type="spellStart"/>
      <w:r w:rsidRPr="00B17BB8">
        <w:rPr>
          <w:rFonts w:asciiTheme="majorHAnsi" w:hAnsiTheme="majorHAnsi" w:cstheme="majorHAnsi"/>
          <w:sz w:val="24"/>
          <w:szCs w:val="24"/>
        </w:rPr>
        <w:t>Litmaps</w:t>
      </w:r>
      <w:proofErr w:type="spellEnd"/>
      <w:r w:rsidRPr="00B17BB8">
        <w:rPr>
          <w:rFonts w:asciiTheme="majorHAnsi" w:hAnsiTheme="majorHAnsi" w:cstheme="majorHAnsi"/>
          <w:sz w:val="24"/>
          <w:szCs w:val="24"/>
        </w:rPr>
        <w:t xml:space="preserve">, 2025; </w:t>
      </w:r>
      <w:proofErr w:type="spellStart"/>
      <w:r w:rsidRPr="00B17BB8">
        <w:rPr>
          <w:rFonts w:asciiTheme="majorHAnsi" w:hAnsiTheme="majorHAnsi" w:cstheme="majorHAnsi"/>
          <w:sz w:val="24"/>
          <w:szCs w:val="24"/>
        </w:rPr>
        <w:t>Donthu</w:t>
      </w:r>
      <w:proofErr w:type="spellEnd"/>
      <w:r w:rsidRPr="00B17BB8">
        <w:rPr>
          <w:rFonts w:asciiTheme="majorHAnsi" w:hAnsiTheme="majorHAnsi" w:cstheme="majorHAnsi"/>
          <w:sz w:val="24"/>
          <w:szCs w:val="24"/>
        </w:rPr>
        <w:t xml:space="preserve"> et al., 2021).</w:t>
      </w:r>
    </w:p>
    <w:p w14:paraId="32AEF5FA" w14:textId="77777777" w:rsidR="00C57583" w:rsidRPr="00B17BB8" w:rsidRDefault="00C57583" w:rsidP="007F19C2">
      <w:pPr>
        <w:pStyle w:val="Heading2"/>
        <w:rPr>
          <w:rFonts w:eastAsiaTheme="minorHAnsi" w:cstheme="majorHAnsi"/>
          <w:b/>
          <w:bCs/>
          <w:sz w:val="24"/>
          <w:szCs w:val="24"/>
        </w:rPr>
      </w:pPr>
      <w:r w:rsidRPr="00B17BB8">
        <w:rPr>
          <w:rFonts w:eastAsiaTheme="minorHAnsi" w:cstheme="majorHAnsi"/>
          <w:b/>
          <w:bCs/>
        </w:rPr>
        <w:lastRenderedPageBreak/>
        <w:t>1.4.1 Literature Review Methods</w:t>
      </w:r>
    </w:p>
    <w:p w14:paraId="7D1F4BE3" w14:textId="77777777" w:rsidR="00C57583" w:rsidRPr="00BA5B9F" w:rsidRDefault="00C57583" w:rsidP="00C57583">
      <w:pPr>
        <w:rPr>
          <w:rFonts w:asciiTheme="majorHAnsi" w:hAnsiTheme="majorHAnsi" w:cstheme="majorHAnsi"/>
          <w:sz w:val="24"/>
          <w:szCs w:val="24"/>
        </w:rPr>
      </w:pPr>
      <w:r w:rsidRPr="00B17BB8">
        <w:rPr>
          <w:rFonts w:asciiTheme="majorHAnsi" w:hAnsiTheme="majorHAnsi" w:cstheme="majorHAnsi"/>
          <w:sz w:val="24"/>
          <w:szCs w:val="24"/>
        </w:rPr>
        <w:t>Different approaches to literature reviews exist, each offering distinct advantages and drawbacks. The choice of method depends on research goals and philosophical orientation (</w:t>
      </w:r>
      <w:proofErr w:type="spellStart"/>
      <w:r w:rsidRPr="00B17BB8">
        <w:rPr>
          <w:rFonts w:asciiTheme="majorHAnsi" w:hAnsiTheme="majorHAnsi" w:cstheme="majorHAnsi"/>
          <w:sz w:val="24"/>
          <w:szCs w:val="24"/>
        </w:rPr>
        <w:t>Litmaps</w:t>
      </w:r>
      <w:proofErr w:type="spellEnd"/>
      <w:r w:rsidRPr="00B17BB8">
        <w:rPr>
          <w:rFonts w:asciiTheme="majorHAnsi" w:hAnsiTheme="majorHAnsi" w:cstheme="majorHAnsi"/>
          <w:sz w:val="24"/>
          <w:szCs w:val="24"/>
        </w:rPr>
        <w:t>, 2025; Booth et al., 2021).</w:t>
      </w:r>
    </w:p>
    <w:tbl>
      <w:tblPr>
        <w:tblStyle w:val="TableGrid"/>
        <w:tblW w:w="0" w:type="auto"/>
        <w:tblLook w:val="04A0" w:firstRow="1" w:lastRow="0" w:firstColumn="1" w:lastColumn="0" w:noHBand="0" w:noVBand="1"/>
      </w:tblPr>
      <w:tblGrid>
        <w:gridCol w:w="1338"/>
        <w:gridCol w:w="2685"/>
        <w:gridCol w:w="2042"/>
        <w:gridCol w:w="2408"/>
        <w:gridCol w:w="1983"/>
      </w:tblGrid>
      <w:tr w:rsidR="00C57583" w:rsidRPr="00BA5B9F" w14:paraId="706E3D18" w14:textId="77777777" w:rsidTr="008E40A5">
        <w:tc>
          <w:tcPr>
            <w:tcW w:w="0" w:type="auto"/>
            <w:hideMark/>
          </w:tcPr>
          <w:p w14:paraId="34AF3C07" w14:textId="77777777" w:rsidR="00C57583" w:rsidRPr="007F19C2" w:rsidRDefault="00C57583" w:rsidP="008E40A5">
            <w:pPr>
              <w:jc w:val="center"/>
              <w:rPr>
                <w:rFonts w:asciiTheme="majorHAnsi" w:eastAsiaTheme="minorHAnsi" w:hAnsiTheme="majorHAnsi" w:cstheme="majorHAnsi"/>
                <w:sz w:val="24"/>
                <w:szCs w:val="24"/>
                <w:lang w:val="en-GB"/>
              </w:rPr>
            </w:pPr>
            <w:r w:rsidRPr="007F19C2">
              <w:rPr>
                <w:rFonts w:eastAsiaTheme="minorHAnsi"/>
                <w:b/>
                <w:bCs/>
                <w:lang w:val="en-GB"/>
              </w:rPr>
              <w:t>Method</w:t>
            </w:r>
          </w:p>
        </w:tc>
        <w:tc>
          <w:tcPr>
            <w:tcW w:w="0" w:type="auto"/>
            <w:hideMark/>
          </w:tcPr>
          <w:p w14:paraId="419E960F" w14:textId="77777777" w:rsidR="00C57583" w:rsidRPr="007F19C2" w:rsidRDefault="00C57583" w:rsidP="008E40A5">
            <w:pPr>
              <w:jc w:val="center"/>
              <w:rPr>
                <w:rFonts w:asciiTheme="majorHAnsi" w:eastAsiaTheme="minorHAnsi" w:hAnsiTheme="majorHAnsi" w:cstheme="majorHAnsi"/>
                <w:sz w:val="24"/>
                <w:szCs w:val="24"/>
                <w:lang w:val="en-GB"/>
              </w:rPr>
            </w:pPr>
            <w:r w:rsidRPr="007F19C2">
              <w:rPr>
                <w:rFonts w:eastAsiaTheme="minorHAnsi"/>
                <w:b/>
                <w:bCs/>
                <w:lang w:val="en-GB"/>
              </w:rPr>
              <w:t>Description</w:t>
            </w:r>
          </w:p>
        </w:tc>
        <w:tc>
          <w:tcPr>
            <w:tcW w:w="0" w:type="auto"/>
            <w:hideMark/>
          </w:tcPr>
          <w:p w14:paraId="7BEF9C28" w14:textId="77777777" w:rsidR="00C57583" w:rsidRPr="007F19C2" w:rsidRDefault="00C57583" w:rsidP="008E40A5">
            <w:pPr>
              <w:jc w:val="center"/>
              <w:rPr>
                <w:rFonts w:asciiTheme="majorHAnsi" w:eastAsiaTheme="minorHAnsi" w:hAnsiTheme="majorHAnsi" w:cstheme="majorHAnsi"/>
                <w:sz w:val="24"/>
                <w:szCs w:val="24"/>
                <w:lang w:val="en-GB"/>
              </w:rPr>
            </w:pPr>
            <w:r w:rsidRPr="007F19C2">
              <w:rPr>
                <w:rFonts w:eastAsiaTheme="minorHAnsi"/>
                <w:b/>
                <w:bCs/>
                <w:lang w:val="en-GB"/>
              </w:rPr>
              <w:t>Strengths</w:t>
            </w:r>
          </w:p>
        </w:tc>
        <w:tc>
          <w:tcPr>
            <w:tcW w:w="0" w:type="auto"/>
            <w:hideMark/>
          </w:tcPr>
          <w:p w14:paraId="32469B26" w14:textId="77777777" w:rsidR="00C57583" w:rsidRPr="007F19C2" w:rsidRDefault="00C57583" w:rsidP="008E40A5">
            <w:pPr>
              <w:jc w:val="center"/>
              <w:rPr>
                <w:rFonts w:asciiTheme="majorHAnsi" w:eastAsiaTheme="minorHAnsi" w:hAnsiTheme="majorHAnsi" w:cstheme="majorHAnsi"/>
                <w:sz w:val="24"/>
                <w:szCs w:val="24"/>
                <w:lang w:val="en-GB"/>
              </w:rPr>
            </w:pPr>
            <w:r w:rsidRPr="007F19C2">
              <w:rPr>
                <w:rFonts w:eastAsiaTheme="minorHAnsi"/>
                <w:b/>
                <w:bCs/>
                <w:lang w:val="en-GB"/>
              </w:rPr>
              <w:t>Limitations</w:t>
            </w:r>
          </w:p>
        </w:tc>
        <w:tc>
          <w:tcPr>
            <w:tcW w:w="0" w:type="auto"/>
            <w:hideMark/>
          </w:tcPr>
          <w:p w14:paraId="59BADAF1" w14:textId="77777777" w:rsidR="00C57583" w:rsidRPr="007F19C2" w:rsidRDefault="00C57583" w:rsidP="008E40A5">
            <w:pPr>
              <w:jc w:val="center"/>
              <w:rPr>
                <w:rFonts w:asciiTheme="majorHAnsi" w:eastAsiaTheme="minorHAnsi" w:hAnsiTheme="majorHAnsi" w:cstheme="majorHAnsi"/>
                <w:sz w:val="24"/>
                <w:szCs w:val="24"/>
                <w:lang w:val="en-GB"/>
              </w:rPr>
            </w:pPr>
            <w:r w:rsidRPr="007F19C2">
              <w:rPr>
                <w:rFonts w:eastAsiaTheme="minorHAnsi"/>
                <w:b/>
                <w:bCs/>
                <w:lang w:val="en-GB"/>
              </w:rPr>
              <w:t>Best Use</w:t>
            </w:r>
          </w:p>
        </w:tc>
      </w:tr>
      <w:tr w:rsidR="00C57583" w:rsidRPr="00BA5B9F" w14:paraId="521C9300" w14:textId="77777777" w:rsidTr="008E40A5">
        <w:tc>
          <w:tcPr>
            <w:tcW w:w="0" w:type="auto"/>
            <w:hideMark/>
          </w:tcPr>
          <w:p w14:paraId="502AB0FD" w14:textId="77777777" w:rsidR="00C57583" w:rsidRPr="007F19C2" w:rsidRDefault="00C57583" w:rsidP="008E40A5">
            <w:pPr>
              <w:rPr>
                <w:rFonts w:asciiTheme="majorHAnsi" w:eastAsiaTheme="minorHAnsi" w:hAnsiTheme="majorHAnsi" w:cstheme="majorHAnsi"/>
                <w:sz w:val="24"/>
                <w:szCs w:val="24"/>
                <w:lang w:val="en-GB"/>
              </w:rPr>
            </w:pPr>
            <w:r w:rsidRPr="007F19C2">
              <w:rPr>
                <w:rFonts w:eastAsiaTheme="minorHAnsi"/>
                <w:b/>
                <w:bCs/>
                <w:lang w:val="en-GB"/>
              </w:rPr>
              <w:t>Systematic Review</w:t>
            </w:r>
          </w:p>
        </w:tc>
        <w:tc>
          <w:tcPr>
            <w:tcW w:w="0" w:type="auto"/>
            <w:hideMark/>
          </w:tcPr>
          <w:p w14:paraId="10D4A9B6"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A structured, replicable process with clear criteria (</w:t>
            </w:r>
            <w:proofErr w:type="spellStart"/>
            <w:r w:rsidRPr="007F19C2">
              <w:rPr>
                <w:rFonts w:asciiTheme="majorHAnsi" w:eastAsiaTheme="minorHAnsi" w:hAnsiTheme="majorHAnsi" w:cstheme="majorHAnsi"/>
                <w:sz w:val="24"/>
                <w:szCs w:val="24"/>
                <w:lang w:val="en-GB"/>
              </w:rPr>
              <w:t>Litmaps</w:t>
            </w:r>
            <w:proofErr w:type="spellEnd"/>
            <w:r w:rsidRPr="007F19C2">
              <w:rPr>
                <w:rFonts w:asciiTheme="majorHAnsi" w:eastAsiaTheme="minorHAnsi" w:hAnsiTheme="majorHAnsi" w:cstheme="majorHAnsi"/>
                <w:sz w:val="24"/>
                <w:szCs w:val="24"/>
                <w:lang w:val="en-GB"/>
              </w:rPr>
              <w:t>, 2025; Booth et al., 2021).</w:t>
            </w:r>
          </w:p>
        </w:tc>
        <w:tc>
          <w:tcPr>
            <w:tcW w:w="0" w:type="auto"/>
            <w:hideMark/>
          </w:tcPr>
          <w:p w14:paraId="497F6FC0"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Reduces bias, ensures transparency</w:t>
            </w:r>
          </w:p>
        </w:tc>
        <w:tc>
          <w:tcPr>
            <w:tcW w:w="0" w:type="auto"/>
            <w:hideMark/>
          </w:tcPr>
          <w:p w14:paraId="38EF0147"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Time-intensive, less adaptable</w:t>
            </w:r>
          </w:p>
        </w:tc>
        <w:tc>
          <w:tcPr>
            <w:tcW w:w="0" w:type="auto"/>
            <w:hideMark/>
          </w:tcPr>
          <w:p w14:paraId="4410C32E"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 xml:space="preserve">Suitable for </w:t>
            </w:r>
            <w:proofErr w:type="spellStart"/>
            <w:r w:rsidRPr="007F19C2">
              <w:rPr>
                <w:rFonts w:asciiTheme="majorHAnsi" w:eastAsiaTheme="minorHAnsi" w:hAnsiTheme="majorHAnsi" w:cstheme="majorHAnsi"/>
                <w:sz w:val="24"/>
                <w:szCs w:val="24"/>
                <w:lang w:val="en-GB"/>
              </w:rPr>
              <w:t>analyzing</w:t>
            </w:r>
            <w:proofErr w:type="spellEnd"/>
            <w:r w:rsidRPr="007F19C2">
              <w:rPr>
                <w:rFonts w:asciiTheme="majorHAnsi" w:eastAsiaTheme="minorHAnsi" w:hAnsiTheme="majorHAnsi" w:cstheme="majorHAnsi"/>
                <w:sz w:val="24"/>
                <w:szCs w:val="24"/>
                <w:lang w:val="en-GB"/>
              </w:rPr>
              <w:t xml:space="preserve"> broad trends</w:t>
            </w:r>
          </w:p>
        </w:tc>
      </w:tr>
      <w:tr w:rsidR="00C57583" w:rsidRPr="00BA5B9F" w14:paraId="1F9FADC4" w14:textId="77777777" w:rsidTr="008E40A5">
        <w:tc>
          <w:tcPr>
            <w:tcW w:w="0" w:type="auto"/>
            <w:hideMark/>
          </w:tcPr>
          <w:p w14:paraId="2D40584B" w14:textId="77777777" w:rsidR="00C57583" w:rsidRPr="007F19C2" w:rsidRDefault="00C57583" w:rsidP="008E40A5">
            <w:pPr>
              <w:rPr>
                <w:rFonts w:asciiTheme="majorHAnsi" w:eastAsiaTheme="minorHAnsi" w:hAnsiTheme="majorHAnsi" w:cstheme="majorHAnsi"/>
                <w:sz w:val="24"/>
                <w:szCs w:val="24"/>
                <w:lang w:val="en-GB"/>
              </w:rPr>
            </w:pPr>
            <w:r w:rsidRPr="007F19C2">
              <w:rPr>
                <w:rFonts w:eastAsiaTheme="minorHAnsi"/>
                <w:b/>
                <w:bCs/>
                <w:lang w:val="en-GB"/>
              </w:rPr>
              <w:t>Meta-Analysis</w:t>
            </w:r>
          </w:p>
        </w:tc>
        <w:tc>
          <w:tcPr>
            <w:tcW w:w="0" w:type="auto"/>
            <w:hideMark/>
          </w:tcPr>
          <w:p w14:paraId="1888014D"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Statistical evaluation of multiple studies (</w:t>
            </w:r>
            <w:proofErr w:type="spellStart"/>
            <w:r w:rsidRPr="007F19C2">
              <w:rPr>
                <w:rFonts w:asciiTheme="majorHAnsi" w:eastAsiaTheme="minorHAnsi" w:hAnsiTheme="majorHAnsi" w:cstheme="majorHAnsi"/>
                <w:sz w:val="24"/>
                <w:szCs w:val="24"/>
                <w:lang w:val="en-GB"/>
              </w:rPr>
              <w:t>Litmaps</w:t>
            </w:r>
            <w:proofErr w:type="spellEnd"/>
            <w:r w:rsidRPr="007F19C2">
              <w:rPr>
                <w:rFonts w:asciiTheme="majorHAnsi" w:eastAsiaTheme="minorHAnsi" w:hAnsiTheme="majorHAnsi" w:cstheme="majorHAnsi"/>
                <w:sz w:val="24"/>
                <w:szCs w:val="24"/>
                <w:lang w:val="en-GB"/>
              </w:rPr>
              <w:t>, 2025).</w:t>
            </w:r>
          </w:p>
        </w:tc>
        <w:tc>
          <w:tcPr>
            <w:tcW w:w="0" w:type="auto"/>
            <w:hideMark/>
          </w:tcPr>
          <w:p w14:paraId="34A6A876"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Objective, data-driven insights</w:t>
            </w:r>
          </w:p>
        </w:tc>
        <w:tc>
          <w:tcPr>
            <w:tcW w:w="0" w:type="auto"/>
            <w:hideMark/>
          </w:tcPr>
          <w:p w14:paraId="78998743"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Requires comparable quantitative data, not ideal for qualitative studies</w:t>
            </w:r>
          </w:p>
        </w:tc>
        <w:tc>
          <w:tcPr>
            <w:tcW w:w="0" w:type="auto"/>
            <w:hideMark/>
          </w:tcPr>
          <w:p w14:paraId="34E711B9"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Limited applicability in qualitative research</w:t>
            </w:r>
          </w:p>
        </w:tc>
      </w:tr>
      <w:tr w:rsidR="00C57583" w:rsidRPr="00BA5B9F" w14:paraId="14EE439B" w14:textId="77777777" w:rsidTr="008E40A5">
        <w:tc>
          <w:tcPr>
            <w:tcW w:w="0" w:type="auto"/>
            <w:hideMark/>
          </w:tcPr>
          <w:p w14:paraId="4BD9FD96" w14:textId="77777777" w:rsidR="00C57583" w:rsidRPr="007F19C2" w:rsidRDefault="00C57583" w:rsidP="008E40A5">
            <w:pPr>
              <w:rPr>
                <w:rFonts w:asciiTheme="majorHAnsi" w:eastAsiaTheme="minorHAnsi" w:hAnsiTheme="majorHAnsi" w:cstheme="majorHAnsi"/>
                <w:sz w:val="24"/>
                <w:szCs w:val="24"/>
                <w:lang w:val="en-GB"/>
              </w:rPr>
            </w:pPr>
            <w:r w:rsidRPr="007F19C2">
              <w:rPr>
                <w:rFonts w:eastAsiaTheme="minorHAnsi"/>
                <w:b/>
                <w:bCs/>
                <w:lang w:val="en-GB"/>
              </w:rPr>
              <w:t>Narrative Review</w:t>
            </w:r>
          </w:p>
        </w:tc>
        <w:tc>
          <w:tcPr>
            <w:tcW w:w="0" w:type="auto"/>
            <w:hideMark/>
          </w:tcPr>
          <w:p w14:paraId="04E244FA"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Interpretive approach emphasizing key themes (</w:t>
            </w:r>
            <w:proofErr w:type="spellStart"/>
            <w:r w:rsidRPr="007F19C2">
              <w:rPr>
                <w:rFonts w:asciiTheme="majorHAnsi" w:eastAsiaTheme="minorHAnsi" w:hAnsiTheme="majorHAnsi" w:cstheme="majorHAnsi"/>
                <w:sz w:val="24"/>
                <w:szCs w:val="24"/>
                <w:lang w:val="en-GB"/>
              </w:rPr>
              <w:t>Litmaps</w:t>
            </w:r>
            <w:proofErr w:type="spellEnd"/>
            <w:r w:rsidRPr="007F19C2">
              <w:rPr>
                <w:rFonts w:asciiTheme="majorHAnsi" w:eastAsiaTheme="minorHAnsi" w:hAnsiTheme="majorHAnsi" w:cstheme="majorHAnsi"/>
                <w:sz w:val="24"/>
                <w:szCs w:val="24"/>
                <w:lang w:val="en-GB"/>
              </w:rPr>
              <w:t>, 2025).</w:t>
            </w:r>
          </w:p>
        </w:tc>
        <w:tc>
          <w:tcPr>
            <w:tcW w:w="0" w:type="auto"/>
            <w:hideMark/>
          </w:tcPr>
          <w:p w14:paraId="777CEA5B"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Flexible, provides deep conceptual analysis</w:t>
            </w:r>
          </w:p>
        </w:tc>
        <w:tc>
          <w:tcPr>
            <w:tcW w:w="0" w:type="auto"/>
            <w:hideMark/>
          </w:tcPr>
          <w:p w14:paraId="0E37A677"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Potential for bias, harder to replicate</w:t>
            </w:r>
          </w:p>
        </w:tc>
        <w:tc>
          <w:tcPr>
            <w:tcW w:w="0" w:type="auto"/>
            <w:hideMark/>
          </w:tcPr>
          <w:p w14:paraId="07F9CB05"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Ideal for qualitative, interpretivist studies</w:t>
            </w:r>
          </w:p>
        </w:tc>
      </w:tr>
      <w:tr w:rsidR="00C57583" w:rsidRPr="00BA5B9F" w14:paraId="34A34553" w14:textId="77777777" w:rsidTr="008E40A5">
        <w:tc>
          <w:tcPr>
            <w:tcW w:w="0" w:type="auto"/>
            <w:hideMark/>
          </w:tcPr>
          <w:p w14:paraId="13A43B0C" w14:textId="77777777" w:rsidR="00C57583" w:rsidRPr="007F19C2" w:rsidRDefault="00C57583" w:rsidP="008E40A5">
            <w:pPr>
              <w:rPr>
                <w:rFonts w:asciiTheme="majorHAnsi" w:eastAsiaTheme="minorHAnsi" w:hAnsiTheme="majorHAnsi" w:cstheme="majorHAnsi"/>
                <w:sz w:val="24"/>
                <w:szCs w:val="24"/>
                <w:lang w:val="en-GB"/>
              </w:rPr>
            </w:pPr>
            <w:r w:rsidRPr="007F19C2">
              <w:rPr>
                <w:rFonts w:eastAsiaTheme="minorHAnsi"/>
                <w:b/>
                <w:bCs/>
                <w:lang w:val="en-GB"/>
              </w:rPr>
              <w:t>Scoping Review</w:t>
            </w:r>
          </w:p>
        </w:tc>
        <w:tc>
          <w:tcPr>
            <w:tcW w:w="0" w:type="auto"/>
            <w:hideMark/>
          </w:tcPr>
          <w:p w14:paraId="1E79F582"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Broad overview identifying research gaps (</w:t>
            </w:r>
            <w:proofErr w:type="spellStart"/>
            <w:r w:rsidRPr="007F19C2">
              <w:rPr>
                <w:rFonts w:asciiTheme="majorHAnsi" w:eastAsiaTheme="minorHAnsi" w:hAnsiTheme="majorHAnsi" w:cstheme="majorHAnsi"/>
                <w:sz w:val="24"/>
                <w:szCs w:val="24"/>
                <w:lang w:val="en-GB"/>
              </w:rPr>
              <w:t>Litmaps</w:t>
            </w:r>
            <w:proofErr w:type="spellEnd"/>
            <w:r w:rsidRPr="007F19C2">
              <w:rPr>
                <w:rFonts w:asciiTheme="majorHAnsi" w:eastAsiaTheme="minorHAnsi" w:hAnsiTheme="majorHAnsi" w:cstheme="majorHAnsi"/>
                <w:sz w:val="24"/>
                <w:szCs w:val="24"/>
                <w:lang w:val="en-GB"/>
              </w:rPr>
              <w:t>, 2025).</w:t>
            </w:r>
          </w:p>
        </w:tc>
        <w:tc>
          <w:tcPr>
            <w:tcW w:w="0" w:type="auto"/>
            <w:hideMark/>
          </w:tcPr>
          <w:p w14:paraId="47CC2DE7"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Helps outline key areas needing further study</w:t>
            </w:r>
          </w:p>
        </w:tc>
        <w:tc>
          <w:tcPr>
            <w:tcW w:w="0" w:type="auto"/>
            <w:hideMark/>
          </w:tcPr>
          <w:p w14:paraId="7F09E12A"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Less detailed synthesis</w:t>
            </w:r>
          </w:p>
        </w:tc>
        <w:tc>
          <w:tcPr>
            <w:tcW w:w="0" w:type="auto"/>
            <w:hideMark/>
          </w:tcPr>
          <w:p w14:paraId="390FF7D4"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Best for mapping emerging research topics</w:t>
            </w:r>
          </w:p>
        </w:tc>
      </w:tr>
      <w:tr w:rsidR="00C57583" w:rsidRPr="00BA5B9F" w14:paraId="02A66498" w14:textId="77777777" w:rsidTr="008E40A5">
        <w:tc>
          <w:tcPr>
            <w:tcW w:w="0" w:type="auto"/>
            <w:hideMark/>
          </w:tcPr>
          <w:p w14:paraId="76A75BAA" w14:textId="77777777" w:rsidR="00C57583" w:rsidRPr="007F19C2" w:rsidRDefault="00C57583" w:rsidP="008E40A5">
            <w:pPr>
              <w:rPr>
                <w:rFonts w:asciiTheme="majorHAnsi" w:eastAsiaTheme="minorHAnsi" w:hAnsiTheme="majorHAnsi" w:cstheme="majorHAnsi"/>
                <w:sz w:val="24"/>
                <w:szCs w:val="24"/>
                <w:lang w:val="en-GB"/>
              </w:rPr>
            </w:pPr>
            <w:r w:rsidRPr="007F19C2">
              <w:rPr>
                <w:rFonts w:eastAsiaTheme="minorHAnsi"/>
                <w:b/>
                <w:bCs/>
                <w:lang w:val="en-GB"/>
              </w:rPr>
              <w:t>Mapping Review</w:t>
            </w:r>
          </w:p>
        </w:tc>
        <w:tc>
          <w:tcPr>
            <w:tcW w:w="0" w:type="auto"/>
            <w:hideMark/>
          </w:tcPr>
          <w:p w14:paraId="0D7472C9"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Uses visual methods to illustrate trends (</w:t>
            </w:r>
            <w:proofErr w:type="spellStart"/>
            <w:r w:rsidRPr="007F19C2">
              <w:rPr>
                <w:rFonts w:asciiTheme="majorHAnsi" w:eastAsiaTheme="minorHAnsi" w:hAnsiTheme="majorHAnsi" w:cstheme="majorHAnsi"/>
                <w:sz w:val="24"/>
                <w:szCs w:val="24"/>
                <w:lang w:val="en-GB"/>
              </w:rPr>
              <w:t>Litmaps</w:t>
            </w:r>
            <w:proofErr w:type="spellEnd"/>
            <w:r w:rsidRPr="007F19C2">
              <w:rPr>
                <w:rFonts w:asciiTheme="majorHAnsi" w:eastAsiaTheme="minorHAnsi" w:hAnsiTheme="majorHAnsi" w:cstheme="majorHAnsi"/>
                <w:sz w:val="24"/>
                <w:szCs w:val="24"/>
                <w:lang w:val="en-GB"/>
              </w:rPr>
              <w:t>, 2025).</w:t>
            </w:r>
          </w:p>
        </w:tc>
        <w:tc>
          <w:tcPr>
            <w:tcW w:w="0" w:type="auto"/>
            <w:hideMark/>
          </w:tcPr>
          <w:p w14:paraId="47643D65"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Simplifies complex data</w:t>
            </w:r>
          </w:p>
        </w:tc>
        <w:tc>
          <w:tcPr>
            <w:tcW w:w="0" w:type="auto"/>
            <w:hideMark/>
          </w:tcPr>
          <w:p w14:paraId="6B942441"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Lacks depth</w:t>
            </w:r>
          </w:p>
        </w:tc>
        <w:tc>
          <w:tcPr>
            <w:tcW w:w="0" w:type="auto"/>
            <w:hideMark/>
          </w:tcPr>
          <w:p w14:paraId="2D3FC647" w14:textId="77777777" w:rsidR="00C57583" w:rsidRPr="007F19C2" w:rsidRDefault="00C57583" w:rsidP="008E40A5">
            <w:pPr>
              <w:rPr>
                <w:rFonts w:asciiTheme="majorHAnsi" w:eastAsiaTheme="minorHAnsi" w:hAnsiTheme="majorHAnsi" w:cstheme="majorHAnsi"/>
                <w:sz w:val="24"/>
                <w:szCs w:val="24"/>
                <w:lang w:val="en-GB"/>
              </w:rPr>
            </w:pPr>
            <w:r w:rsidRPr="007F19C2">
              <w:rPr>
                <w:rFonts w:asciiTheme="majorHAnsi" w:eastAsiaTheme="minorHAnsi" w:hAnsiTheme="majorHAnsi" w:cstheme="majorHAnsi"/>
                <w:sz w:val="24"/>
                <w:szCs w:val="24"/>
                <w:lang w:val="en-GB"/>
              </w:rPr>
              <w:t>Useful in early-stage research</w:t>
            </w:r>
          </w:p>
        </w:tc>
      </w:tr>
    </w:tbl>
    <w:p w14:paraId="446DC3AE" w14:textId="39AF423F" w:rsidR="00C57583" w:rsidRPr="00BA5B9F" w:rsidRDefault="00C57583" w:rsidP="00C57583">
      <w:pPr>
        <w:rPr>
          <w:rFonts w:asciiTheme="majorHAnsi" w:hAnsiTheme="majorHAnsi" w:cstheme="majorHAnsi"/>
          <w:sz w:val="24"/>
          <w:szCs w:val="24"/>
        </w:rPr>
      </w:pPr>
      <w:r>
        <w:rPr>
          <w:rFonts w:asciiTheme="majorHAnsi" w:hAnsiTheme="majorHAnsi" w:cstheme="majorHAnsi"/>
          <w:sz w:val="24"/>
          <w:szCs w:val="24"/>
        </w:rPr>
        <w:br/>
      </w:r>
      <w:r w:rsidRPr="00BA5B9F">
        <w:rPr>
          <w:rFonts w:asciiTheme="majorHAnsi" w:hAnsiTheme="majorHAnsi" w:cstheme="majorHAnsi"/>
          <w:sz w:val="24"/>
          <w:szCs w:val="24"/>
        </w:rPr>
        <w:t xml:space="preserve">Given the interpretivist orientation of this study, a </w:t>
      </w:r>
      <w:r w:rsidRPr="007F19C2">
        <w:rPr>
          <w:b/>
          <w:bCs/>
        </w:rPr>
        <w:t>narrative review</w:t>
      </w:r>
      <w:r w:rsidRPr="00BA5B9F">
        <w:rPr>
          <w:rFonts w:asciiTheme="majorHAnsi" w:hAnsiTheme="majorHAnsi" w:cstheme="majorHAnsi"/>
          <w:sz w:val="24"/>
          <w:szCs w:val="24"/>
        </w:rPr>
        <w:t xml:space="preserve"> is the most appropriate approach. It allows for an in-depth exploration of the personal and social contexts shaping migrant entrepreneurship (</w:t>
      </w:r>
      <w:proofErr w:type="spellStart"/>
      <w:r w:rsidRPr="00BA5B9F">
        <w:rPr>
          <w:rFonts w:asciiTheme="majorHAnsi" w:hAnsiTheme="majorHAnsi" w:cstheme="majorHAnsi"/>
          <w:sz w:val="24"/>
          <w:szCs w:val="24"/>
        </w:rPr>
        <w:t>Litmaps</w:t>
      </w:r>
      <w:proofErr w:type="spellEnd"/>
      <w:r w:rsidRPr="00BA5B9F">
        <w:rPr>
          <w:rFonts w:asciiTheme="majorHAnsi" w:hAnsiTheme="majorHAnsi" w:cstheme="majorHAnsi"/>
          <w:sz w:val="24"/>
          <w:szCs w:val="24"/>
        </w:rPr>
        <w:t xml:space="preserve">, 2025; </w:t>
      </w:r>
      <w:proofErr w:type="spellStart"/>
      <w:r w:rsidRPr="00BA5B9F">
        <w:rPr>
          <w:rFonts w:asciiTheme="majorHAnsi" w:hAnsiTheme="majorHAnsi" w:cstheme="majorHAnsi"/>
          <w:sz w:val="24"/>
          <w:szCs w:val="24"/>
        </w:rPr>
        <w:t>Alharahsheh</w:t>
      </w:r>
      <w:proofErr w:type="spellEnd"/>
      <w:r w:rsidRPr="00BA5B9F">
        <w:rPr>
          <w:rFonts w:asciiTheme="majorHAnsi" w:hAnsiTheme="majorHAnsi" w:cstheme="majorHAnsi"/>
          <w:sz w:val="24"/>
          <w:szCs w:val="24"/>
        </w:rPr>
        <w:t xml:space="preserve"> &amp; Pius, 2020). Combining </w:t>
      </w:r>
      <w:r w:rsidRPr="007F19C2">
        <w:rPr>
          <w:b/>
          <w:bCs/>
        </w:rPr>
        <w:t>narrative and scoping reviews</w:t>
      </w:r>
      <w:r w:rsidRPr="00BA5B9F">
        <w:rPr>
          <w:rFonts w:asciiTheme="majorHAnsi" w:hAnsiTheme="majorHAnsi" w:cstheme="majorHAnsi"/>
          <w:sz w:val="24"/>
          <w:szCs w:val="24"/>
        </w:rPr>
        <w:t xml:space="preserve"> can provide both conceptual depth and a broad overview, making it particularly effective for emerging research areas (Booth et al., 2021).</w:t>
      </w:r>
    </w:p>
    <w:p w14:paraId="565A26D9" w14:textId="000CD2FE" w:rsidR="00A732AC" w:rsidRPr="00A732AC" w:rsidRDefault="00A732AC" w:rsidP="00201682">
      <w:pPr>
        <w:pStyle w:val="Heading2"/>
        <w:rPr>
          <w:rFonts w:eastAsiaTheme="minorHAnsi"/>
          <w:color w:val="auto"/>
        </w:rPr>
      </w:pPr>
      <w:r w:rsidRPr="00A732AC">
        <w:rPr>
          <w:rFonts w:eastAsiaTheme="minorHAnsi"/>
          <w:b/>
          <w:bCs/>
        </w:rPr>
        <w:t>1.4.2 Conducting a Literature Review: Key Steps</w:t>
      </w:r>
    </w:p>
    <w:p w14:paraId="5B913BBB" w14:textId="77777777" w:rsidR="00A732AC" w:rsidRPr="00A732AC" w:rsidRDefault="00A732AC" w:rsidP="00A732AC">
      <w:pPr>
        <w:rPr>
          <w:rFonts w:asciiTheme="majorHAnsi" w:hAnsiTheme="majorHAnsi" w:cstheme="majorHAnsi"/>
          <w:sz w:val="24"/>
          <w:szCs w:val="24"/>
        </w:rPr>
      </w:pPr>
      <w:r w:rsidRPr="00A732AC">
        <w:rPr>
          <w:rFonts w:asciiTheme="majorHAnsi" w:hAnsiTheme="majorHAnsi" w:cstheme="majorHAnsi"/>
          <w:sz w:val="24"/>
          <w:szCs w:val="24"/>
        </w:rPr>
        <w:t>For doctoral research exploring Indian migrant entrepreneurship in London's food sector, conducting a thorough literature review involves several essential steps:</w:t>
      </w:r>
    </w:p>
    <w:p w14:paraId="172772B1" w14:textId="77777777" w:rsidR="00A732AC" w:rsidRPr="007F19C2" w:rsidRDefault="00A732AC" w:rsidP="00A732AC">
      <w:pPr>
        <w:pStyle w:val="ListParagraph"/>
        <w:numPr>
          <w:ilvl w:val="0"/>
          <w:numId w:val="13"/>
        </w:numPr>
        <w:rPr>
          <w:rFonts w:asciiTheme="majorHAnsi" w:hAnsiTheme="majorHAnsi" w:cstheme="majorHAnsi"/>
          <w:sz w:val="24"/>
          <w:szCs w:val="24"/>
        </w:rPr>
      </w:pPr>
      <w:r w:rsidRPr="00201682">
        <w:rPr>
          <w:rFonts w:asciiTheme="majorHAnsi" w:hAnsiTheme="majorHAnsi" w:cstheme="majorHAnsi"/>
          <w:b/>
          <w:bCs/>
          <w:sz w:val="24"/>
          <w:szCs w:val="24"/>
        </w:rPr>
        <w:t>Defining the Research Question:</w:t>
      </w:r>
      <w:r w:rsidRPr="007F19C2">
        <w:rPr>
          <w:rFonts w:asciiTheme="majorHAnsi" w:hAnsiTheme="majorHAnsi" w:cstheme="majorHAnsi"/>
          <w:sz w:val="24"/>
          <w:szCs w:val="24"/>
        </w:rPr>
        <w:t xml:space="preserve"> Example: What are the primary challenges faced by Indian migrant entrepreneurs in London’s food industry, and how do they navigate these obstacles? (Grant Thornton, 2022).</w:t>
      </w:r>
    </w:p>
    <w:p w14:paraId="248B7BCA" w14:textId="77777777" w:rsidR="00A732AC" w:rsidRPr="007F19C2" w:rsidRDefault="00A732AC" w:rsidP="00A732AC">
      <w:pPr>
        <w:pStyle w:val="ListParagraph"/>
        <w:numPr>
          <w:ilvl w:val="0"/>
          <w:numId w:val="13"/>
        </w:numPr>
        <w:rPr>
          <w:rFonts w:asciiTheme="majorHAnsi" w:hAnsiTheme="majorHAnsi" w:cstheme="majorHAnsi"/>
          <w:sz w:val="24"/>
          <w:szCs w:val="24"/>
        </w:rPr>
      </w:pPr>
      <w:r w:rsidRPr="00201682">
        <w:rPr>
          <w:rFonts w:asciiTheme="majorHAnsi" w:hAnsiTheme="majorHAnsi" w:cstheme="majorHAnsi"/>
          <w:b/>
          <w:bCs/>
          <w:sz w:val="24"/>
          <w:szCs w:val="24"/>
        </w:rPr>
        <w:t>Choosing the Review Method:</w:t>
      </w:r>
      <w:r w:rsidRPr="007F19C2">
        <w:rPr>
          <w:rFonts w:asciiTheme="majorHAnsi" w:hAnsiTheme="majorHAnsi" w:cstheme="majorHAnsi"/>
          <w:sz w:val="24"/>
          <w:szCs w:val="24"/>
        </w:rPr>
        <w:t xml:space="preserve"> A narrative review aligns well with interpretivist, qualitative research approaches, allowing for a deep exploration of lived experiences (</w:t>
      </w:r>
      <w:proofErr w:type="spellStart"/>
      <w:r w:rsidRPr="007F19C2">
        <w:rPr>
          <w:rFonts w:asciiTheme="majorHAnsi" w:hAnsiTheme="majorHAnsi" w:cstheme="majorHAnsi"/>
          <w:sz w:val="24"/>
          <w:szCs w:val="24"/>
        </w:rPr>
        <w:t>Litmaps</w:t>
      </w:r>
      <w:proofErr w:type="spellEnd"/>
      <w:r w:rsidRPr="007F19C2">
        <w:rPr>
          <w:rFonts w:asciiTheme="majorHAnsi" w:hAnsiTheme="majorHAnsi" w:cstheme="majorHAnsi"/>
          <w:sz w:val="24"/>
          <w:szCs w:val="24"/>
        </w:rPr>
        <w:t>, 2025).</w:t>
      </w:r>
    </w:p>
    <w:p w14:paraId="00366515" w14:textId="77777777" w:rsidR="00A732AC" w:rsidRPr="007F19C2" w:rsidRDefault="00A732AC" w:rsidP="00A732AC">
      <w:pPr>
        <w:pStyle w:val="ListParagraph"/>
        <w:numPr>
          <w:ilvl w:val="0"/>
          <w:numId w:val="13"/>
        </w:numPr>
        <w:rPr>
          <w:rFonts w:asciiTheme="majorHAnsi" w:hAnsiTheme="majorHAnsi" w:cstheme="majorHAnsi"/>
          <w:sz w:val="24"/>
          <w:szCs w:val="24"/>
        </w:rPr>
      </w:pPr>
      <w:r w:rsidRPr="00201682">
        <w:rPr>
          <w:rFonts w:asciiTheme="majorHAnsi" w:hAnsiTheme="majorHAnsi" w:cstheme="majorHAnsi"/>
          <w:b/>
          <w:bCs/>
          <w:sz w:val="24"/>
          <w:szCs w:val="24"/>
        </w:rPr>
        <w:t>Gathering Relevant Sources:</w:t>
      </w:r>
      <w:r w:rsidRPr="007F19C2">
        <w:rPr>
          <w:rFonts w:asciiTheme="majorHAnsi" w:hAnsiTheme="majorHAnsi" w:cstheme="majorHAnsi"/>
          <w:sz w:val="24"/>
          <w:szCs w:val="24"/>
        </w:rPr>
        <w:t xml:space="preserve"> Searching established academic databases like Scopus and Web of Science, along with grey literature, industry insights, and policy documents related to migrant entrepreneurship and the Indian food market (</w:t>
      </w:r>
      <w:proofErr w:type="spellStart"/>
      <w:r w:rsidRPr="007F19C2">
        <w:rPr>
          <w:rFonts w:asciiTheme="majorHAnsi" w:hAnsiTheme="majorHAnsi" w:cstheme="majorHAnsi"/>
          <w:sz w:val="24"/>
          <w:szCs w:val="24"/>
        </w:rPr>
        <w:t>Basu</w:t>
      </w:r>
      <w:proofErr w:type="spellEnd"/>
      <w:r w:rsidRPr="007F19C2">
        <w:rPr>
          <w:rFonts w:asciiTheme="majorHAnsi" w:hAnsiTheme="majorHAnsi" w:cstheme="majorHAnsi"/>
          <w:sz w:val="24"/>
          <w:szCs w:val="24"/>
        </w:rPr>
        <w:t>, 2010; Wessendorf, 2021; OECD, 2023).</w:t>
      </w:r>
    </w:p>
    <w:p w14:paraId="14A4E3E9" w14:textId="77777777" w:rsidR="00A732AC" w:rsidRPr="007F19C2" w:rsidRDefault="00A732AC" w:rsidP="00A732AC">
      <w:pPr>
        <w:pStyle w:val="ListParagraph"/>
        <w:numPr>
          <w:ilvl w:val="0"/>
          <w:numId w:val="13"/>
        </w:numPr>
        <w:rPr>
          <w:rFonts w:asciiTheme="majorHAnsi" w:hAnsiTheme="majorHAnsi" w:cstheme="majorHAnsi"/>
          <w:sz w:val="24"/>
          <w:szCs w:val="24"/>
        </w:rPr>
      </w:pPr>
      <w:r w:rsidRPr="00201682">
        <w:rPr>
          <w:rFonts w:asciiTheme="majorHAnsi" w:hAnsiTheme="majorHAnsi" w:cstheme="majorHAnsi"/>
          <w:b/>
          <w:bCs/>
          <w:sz w:val="24"/>
          <w:szCs w:val="24"/>
        </w:rPr>
        <w:t>Defining Selection Criteria:</w:t>
      </w:r>
      <w:r w:rsidRPr="007F19C2">
        <w:rPr>
          <w:rFonts w:asciiTheme="majorHAnsi" w:hAnsiTheme="majorHAnsi" w:cstheme="majorHAnsi"/>
          <w:sz w:val="24"/>
          <w:szCs w:val="24"/>
        </w:rPr>
        <w:t xml:space="preserve"> Establish inclusion/exclusion parameters—such as studies published between 2020 and 2025, relevance to Indian migrant entrepreneurship, and a London-specific focus (PubMed, 2025).</w:t>
      </w:r>
    </w:p>
    <w:p w14:paraId="0600C876" w14:textId="77777777" w:rsidR="00A732AC" w:rsidRPr="007F19C2" w:rsidRDefault="00A732AC" w:rsidP="00A732AC">
      <w:pPr>
        <w:pStyle w:val="ListParagraph"/>
        <w:numPr>
          <w:ilvl w:val="0"/>
          <w:numId w:val="13"/>
        </w:numPr>
        <w:rPr>
          <w:rFonts w:asciiTheme="majorHAnsi" w:hAnsiTheme="majorHAnsi" w:cstheme="majorHAnsi"/>
          <w:sz w:val="24"/>
          <w:szCs w:val="24"/>
        </w:rPr>
      </w:pPr>
      <w:r w:rsidRPr="00545F3D">
        <w:rPr>
          <w:rFonts w:asciiTheme="majorHAnsi" w:hAnsiTheme="majorHAnsi" w:cstheme="majorHAnsi"/>
          <w:b/>
          <w:bCs/>
          <w:sz w:val="24"/>
          <w:szCs w:val="24"/>
        </w:rPr>
        <w:t>Evaluating Research Quality:</w:t>
      </w:r>
      <w:r w:rsidRPr="007F19C2">
        <w:rPr>
          <w:rFonts w:asciiTheme="majorHAnsi" w:hAnsiTheme="majorHAnsi" w:cstheme="majorHAnsi"/>
          <w:sz w:val="24"/>
          <w:szCs w:val="24"/>
        </w:rPr>
        <w:t xml:space="preserve"> Assess chosen studies for methodological robustness and theoretical coherence to ensure a well-supported review (Jesson et al., 2011; Booth et al., 2021).</w:t>
      </w:r>
    </w:p>
    <w:p w14:paraId="4BC55FD7" w14:textId="77777777" w:rsidR="00A732AC" w:rsidRPr="007F19C2" w:rsidRDefault="00A732AC" w:rsidP="00A732AC">
      <w:pPr>
        <w:pStyle w:val="ListParagraph"/>
        <w:numPr>
          <w:ilvl w:val="0"/>
          <w:numId w:val="13"/>
        </w:numPr>
        <w:rPr>
          <w:rFonts w:asciiTheme="majorHAnsi" w:hAnsiTheme="majorHAnsi" w:cstheme="majorHAnsi"/>
          <w:sz w:val="24"/>
          <w:szCs w:val="24"/>
        </w:rPr>
      </w:pPr>
      <w:r w:rsidRPr="00545F3D">
        <w:rPr>
          <w:rFonts w:asciiTheme="majorHAnsi" w:hAnsiTheme="majorHAnsi" w:cstheme="majorHAnsi"/>
          <w:b/>
          <w:bCs/>
          <w:sz w:val="24"/>
          <w:szCs w:val="24"/>
        </w:rPr>
        <w:t>Synthesizing Key Findings:</w:t>
      </w:r>
      <w:r w:rsidRPr="007F19C2">
        <w:rPr>
          <w:rFonts w:asciiTheme="majorHAnsi" w:hAnsiTheme="majorHAnsi" w:cstheme="majorHAnsi"/>
          <w:sz w:val="24"/>
          <w:szCs w:val="24"/>
        </w:rPr>
        <w:t xml:space="preserve"> Organize the review around central themes, identifying major challenges, entrepreneurial adaptation strategies, and gaps in existing research (Wessendorf, 2021).</w:t>
      </w:r>
    </w:p>
    <w:p w14:paraId="64834425" w14:textId="77777777" w:rsidR="00A732AC" w:rsidRPr="007F19C2" w:rsidRDefault="00A732AC" w:rsidP="00A732AC">
      <w:pPr>
        <w:pStyle w:val="ListParagraph"/>
        <w:numPr>
          <w:ilvl w:val="0"/>
          <w:numId w:val="13"/>
        </w:numPr>
        <w:rPr>
          <w:rFonts w:asciiTheme="majorHAnsi" w:hAnsiTheme="majorHAnsi" w:cstheme="majorHAnsi"/>
          <w:sz w:val="24"/>
          <w:szCs w:val="24"/>
        </w:rPr>
      </w:pPr>
      <w:r w:rsidRPr="00545F3D">
        <w:rPr>
          <w:rFonts w:asciiTheme="majorHAnsi" w:hAnsiTheme="majorHAnsi" w:cstheme="majorHAnsi"/>
          <w:b/>
          <w:bCs/>
          <w:sz w:val="24"/>
          <w:szCs w:val="24"/>
        </w:rPr>
        <w:lastRenderedPageBreak/>
        <w:t>Structuring the Review:</w:t>
      </w:r>
      <w:r w:rsidRPr="007F19C2">
        <w:rPr>
          <w:rFonts w:asciiTheme="majorHAnsi" w:hAnsiTheme="majorHAnsi" w:cstheme="majorHAnsi"/>
          <w:sz w:val="24"/>
          <w:szCs w:val="24"/>
        </w:rPr>
        <w:t xml:space="preserve"> Present findings in a coherent narrative, integrating critical analysis while establishing connections between theoretical perspectives and empirical insights (Lambert, 2012).</w:t>
      </w:r>
    </w:p>
    <w:p w14:paraId="0F91EFC7" w14:textId="2E072E2D" w:rsidR="00A732AC" w:rsidRPr="007F19C2" w:rsidRDefault="00A732AC" w:rsidP="00A732AC">
      <w:pPr>
        <w:pStyle w:val="ListParagraph"/>
        <w:numPr>
          <w:ilvl w:val="0"/>
          <w:numId w:val="13"/>
        </w:numPr>
        <w:rPr>
          <w:rFonts w:asciiTheme="majorHAnsi" w:hAnsiTheme="majorHAnsi" w:cstheme="majorHAnsi"/>
          <w:sz w:val="24"/>
          <w:szCs w:val="24"/>
        </w:rPr>
      </w:pPr>
      <w:r w:rsidRPr="00545F3D">
        <w:rPr>
          <w:rFonts w:asciiTheme="majorHAnsi" w:hAnsiTheme="majorHAnsi" w:cstheme="majorHAnsi"/>
          <w:b/>
          <w:bCs/>
          <w:sz w:val="24"/>
          <w:szCs w:val="24"/>
        </w:rPr>
        <w:t>Highlighting Research Gaps &amp; Future Directions:</w:t>
      </w:r>
      <w:r w:rsidRPr="007F19C2">
        <w:rPr>
          <w:rFonts w:asciiTheme="majorHAnsi" w:hAnsiTheme="majorHAnsi" w:cstheme="majorHAnsi"/>
          <w:sz w:val="24"/>
          <w:szCs w:val="24"/>
        </w:rPr>
        <w:t xml:space="preserve"> Conclude by summarizing unresolved questions and suggesting avenues for future inquiry (</w:t>
      </w:r>
      <w:proofErr w:type="spellStart"/>
      <w:r w:rsidRPr="007F19C2">
        <w:rPr>
          <w:rFonts w:asciiTheme="majorHAnsi" w:hAnsiTheme="majorHAnsi" w:cstheme="majorHAnsi"/>
          <w:sz w:val="24"/>
          <w:szCs w:val="24"/>
        </w:rPr>
        <w:t>Litmaps</w:t>
      </w:r>
      <w:proofErr w:type="spellEnd"/>
      <w:r w:rsidRPr="007F19C2">
        <w:rPr>
          <w:rFonts w:asciiTheme="majorHAnsi" w:hAnsiTheme="majorHAnsi" w:cstheme="majorHAnsi"/>
          <w:sz w:val="24"/>
          <w:szCs w:val="24"/>
        </w:rPr>
        <w:t>, 2025).</w:t>
      </w:r>
    </w:p>
    <w:p w14:paraId="15D4C35C" w14:textId="653C8978" w:rsidR="003F125E" w:rsidRDefault="003F125E" w:rsidP="003F125E">
      <w:pPr>
        <w:rPr>
          <w:rFonts w:asciiTheme="majorHAnsi" w:hAnsiTheme="majorHAnsi" w:cstheme="majorHAnsi"/>
          <w:sz w:val="24"/>
          <w:szCs w:val="24"/>
        </w:rPr>
      </w:pPr>
    </w:p>
    <w:p w14:paraId="49606EB1" w14:textId="58309CD4" w:rsidR="00545F3D" w:rsidRPr="00545F3D" w:rsidRDefault="00545F3D" w:rsidP="00545F3D">
      <w:pPr>
        <w:pStyle w:val="Heading1"/>
        <w:rPr>
          <w:b/>
          <w:bCs/>
        </w:rPr>
      </w:pPr>
      <w:r w:rsidRPr="00545F3D">
        <w:rPr>
          <w:b/>
          <w:bCs/>
        </w:rPr>
        <w:t>1.5</w:t>
      </w:r>
      <w:r>
        <w:rPr>
          <w:b/>
          <w:bCs/>
        </w:rPr>
        <w:t xml:space="preserve">   </w:t>
      </w:r>
      <w:r w:rsidRPr="00545F3D">
        <w:rPr>
          <w:b/>
          <w:bCs/>
        </w:rPr>
        <w:t>Conclusion</w:t>
      </w:r>
    </w:p>
    <w:p w14:paraId="13835B8A" w14:textId="77777777" w:rsidR="00545F3D" w:rsidRPr="00545F3D" w:rsidRDefault="00545F3D" w:rsidP="00545F3D">
      <w:pPr>
        <w:rPr>
          <w:rFonts w:asciiTheme="majorHAnsi" w:hAnsiTheme="majorHAnsi" w:cstheme="majorHAnsi"/>
          <w:sz w:val="24"/>
          <w:szCs w:val="24"/>
        </w:rPr>
      </w:pPr>
      <w:r w:rsidRPr="00545F3D">
        <w:rPr>
          <w:rFonts w:asciiTheme="majorHAnsi" w:hAnsiTheme="majorHAnsi" w:cstheme="majorHAnsi"/>
          <w:sz w:val="24"/>
          <w:szCs w:val="24"/>
        </w:rPr>
        <w:t>A well-structured literature review is critical for doctoral research on the experiences of Indian migrant entrepreneurs in London's food sector. A narrative review, combined with interpretivist methodologies, offers the best approach to examine the complexities of migrant entrepreneurship (</w:t>
      </w:r>
      <w:proofErr w:type="spellStart"/>
      <w:r w:rsidRPr="00545F3D">
        <w:rPr>
          <w:rFonts w:asciiTheme="majorHAnsi" w:hAnsiTheme="majorHAnsi" w:cstheme="majorHAnsi"/>
          <w:sz w:val="24"/>
          <w:szCs w:val="24"/>
        </w:rPr>
        <w:t>Alharahsheh</w:t>
      </w:r>
      <w:proofErr w:type="spellEnd"/>
      <w:r w:rsidRPr="00545F3D">
        <w:rPr>
          <w:rFonts w:asciiTheme="majorHAnsi" w:hAnsiTheme="majorHAnsi" w:cstheme="majorHAnsi"/>
          <w:sz w:val="24"/>
          <w:szCs w:val="24"/>
        </w:rPr>
        <w:t xml:space="preserve"> &amp; Pius, 2020; </w:t>
      </w:r>
      <w:proofErr w:type="spellStart"/>
      <w:r w:rsidRPr="00545F3D">
        <w:rPr>
          <w:rFonts w:asciiTheme="majorHAnsi" w:hAnsiTheme="majorHAnsi" w:cstheme="majorHAnsi"/>
          <w:sz w:val="24"/>
          <w:szCs w:val="24"/>
        </w:rPr>
        <w:t>Litmaps</w:t>
      </w:r>
      <w:proofErr w:type="spellEnd"/>
      <w:r w:rsidRPr="00545F3D">
        <w:rPr>
          <w:rFonts w:asciiTheme="majorHAnsi" w:hAnsiTheme="majorHAnsi" w:cstheme="majorHAnsi"/>
          <w:sz w:val="24"/>
          <w:szCs w:val="24"/>
        </w:rPr>
        <w:t>, 2025).</w:t>
      </w:r>
    </w:p>
    <w:p w14:paraId="315B6B71" w14:textId="77777777" w:rsidR="00545F3D" w:rsidRPr="00545F3D" w:rsidRDefault="00545F3D" w:rsidP="00545F3D">
      <w:pPr>
        <w:rPr>
          <w:rFonts w:asciiTheme="majorHAnsi" w:hAnsiTheme="majorHAnsi" w:cstheme="majorHAnsi"/>
          <w:sz w:val="24"/>
          <w:szCs w:val="24"/>
        </w:rPr>
      </w:pPr>
      <w:r w:rsidRPr="00545F3D">
        <w:rPr>
          <w:rFonts w:asciiTheme="majorHAnsi" w:hAnsiTheme="majorHAnsi" w:cstheme="majorHAnsi"/>
          <w:sz w:val="24"/>
          <w:szCs w:val="24"/>
        </w:rPr>
        <w:t xml:space="preserve">By synthesizing diverse sources and critically evaluating existing research, the literature review provides a clear foundation, identifies knowledge gaps, and informs policy and future academic inquiry (Grant Thornton, 2022; </w:t>
      </w:r>
      <w:proofErr w:type="spellStart"/>
      <w:r w:rsidRPr="00545F3D">
        <w:rPr>
          <w:rFonts w:asciiTheme="majorHAnsi" w:hAnsiTheme="majorHAnsi" w:cstheme="majorHAnsi"/>
          <w:sz w:val="24"/>
          <w:szCs w:val="24"/>
        </w:rPr>
        <w:t>DavidsonMorris</w:t>
      </w:r>
      <w:proofErr w:type="spellEnd"/>
      <w:r w:rsidRPr="00545F3D">
        <w:rPr>
          <w:rFonts w:asciiTheme="majorHAnsi" w:hAnsiTheme="majorHAnsi" w:cstheme="majorHAnsi"/>
          <w:sz w:val="24"/>
          <w:szCs w:val="24"/>
        </w:rPr>
        <w:t>, 2024; Wessendorf, 2021). Additionally, it enhances academic rigor, reinforces methodological transparency, and strengthens the overall credibility of doctoral research.</w:t>
      </w:r>
    </w:p>
    <w:p w14:paraId="5E729F4D" w14:textId="5BFD46A8" w:rsidR="00545F3D" w:rsidRDefault="00545F3D" w:rsidP="00545F3D">
      <w:pPr>
        <w:rPr>
          <w:rFonts w:asciiTheme="majorHAnsi" w:hAnsiTheme="majorHAnsi" w:cstheme="majorHAnsi"/>
          <w:sz w:val="24"/>
          <w:szCs w:val="24"/>
        </w:rPr>
      </w:pPr>
      <w:r w:rsidRPr="00545F3D">
        <w:rPr>
          <w:rFonts w:asciiTheme="majorHAnsi" w:hAnsiTheme="majorHAnsi" w:cstheme="majorHAnsi"/>
          <w:sz w:val="24"/>
          <w:szCs w:val="24"/>
        </w:rPr>
        <w:t>As London's food sector continues to evolve, ongoing literature reviews will remain essential for tracking new trends, policy changes, and the shifting realities of migrant entrepreneurs (OECD, 2023).</w:t>
      </w:r>
    </w:p>
    <w:p w14:paraId="426A3E86" w14:textId="50C60099" w:rsidR="00545F3D" w:rsidRDefault="000D1691" w:rsidP="000D1691">
      <w:pPr>
        <w:pStyle w:val="Heading1"/>
        <w:rPr>
          <w:b/>
          <w:bCs/>
        </w:rPr>
      </w:pPr>
      <w:r w:rsidRPr="000D1691">
        <w:rPr>
          <w:b/>
          <w:bCs/>
        </w:rPr>
        <w:t xml:space="preserve">References: </w:t>
      </w:r>
    </w:p>
    <w:p w14:paraId="68D07535" w14:textId="77777777" w:rsidR="000D1691" w:rsidRPr="000D1691" w:rsidRDefault="000D1691" w:rsidP="000D1691">
      <w:pPr>
        <w:numPr>
          <w:ilvl w:val="0"/>
          <w:numId w:val="19"/>
        </w:numPr>
        <w:rPr>
          <w:rFonts w:asciiTheme="majorHAnsi" w:hAnsiTheme="majorHAnsi" w:cstheme="majorHAnsi"/>
          <w:sz w:val="24"/>
          <w:szCs w:val="24"/>
          <w:lang w:val="en-US"/>
        </w:rPr>
      </w:pPr>
      <w:proofErr w:type="spellStart"/>
      <w:r w:rsidRPr="000D1691">
        <w:rPr>
          <w:rFonts w:asciiTheme="majorHAnsi" w:hAnsiTheme="majorHAnsi" w:cstheme="majorHAnsi"/>
          <w:sz w:val="24"/>
          <w:szCs w:val="24"/>
          <w:lang w:val="en-US"/>
        </w:rPr>
        <w:t>Alharahsheh</w:t>
      </w:r>
      <w:proofErr w:type="spellEnd"/>
      <w:r w:rsidRPr="000D1691">
        <w:rPr>
          <w:rFonts w:asciiTheme="majorHAnsi" w:hAnsiTheme="majorHAnsi" w:cstheme="majorHAnsi"/>
          <w:sz w:val="24"/>
          <w:szCs w:val="24"/>
          <w:lang w:val="en-US"/>
        </w:rPr>
        <w:t>, H.H. &amp; Pius, A. (2020) ‘A Review of key paradigms: positivism VS interpretivism’, Global Academic Journal of Humanities and Social Sciences, 2(2), pp. 39-43.</w:t>
      </w:r>
    </w:p>
    <w:p w14:paraId="202D662C" w14:textId="77777777" w:rsidR="000D1691" w:rsidRPr="000D1691" w:rsidRDefault="000D1691" w:rsidP="000D1691">
      <w:pPr>
        <w:numPr>
          <w:ilvl w:val="0"/>
          <w:numId w:val="19"/>
        </w:numPr>
        <w:rPr>
          <w:rFonts w:asciiTheme="majorHAnsi" w:hAnsiTheme="majorHAnsi" w:cstheme="majorHAnsi"/>
          <w:sz w:val="24"/>
          <w:szCs w:val="24"/>
          <w:lang w:val="en-US"/>
        </w:rPr>
      </w:pPr>
      <w:proofErr w:type="spellStart"/>
      <w:r w:rsidRPr="000D1691">
        <w:rPr>
          <w:rFonts w:asciiTheme="majorHAnsi" w:hAnsiTheme="majorHAnsi" w:cstheme="majorHAnsi"/>
          <w:sz w:val="24"/>
          <w:szCs w:val="24"/>
          <w:lang w:val="en-US"/>
        </w:rPr>
        <w:t>Basu</w:t>
      </w:r>
      <w:proofErr w:type="spellEnd"/>
      <w:r w:rsidRPr="000D1691">
        <w:rPr>
          <w:rFonts w:asciiTheme="majorHAnsi" w:hAnsiTheme="majorHAnsi" w:cstheme="majorHAnsi"/>
          <w:sz w:val="24"/>
          <w:szCs w:val="24"/>
          <w:lang w:val="en-US"/>
        </w:rPr>
        <w:t>, A. (2010) ‘Successful Market Strategies of Immigrant Entrepreneurs in the UK’, International Journal of Entrepreneurship, 14, pp. 1-19.</w:t>
      </w:r>
    </w:p>
    <w:p w14:paraId="08B55964"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 xml:space="preserve">Booth, A., Sutton, A., &amp; Papaioannou, D. (2021) Systematic Approaches to a Successful Literature Review. 3rd </w:t>
      </w:r>
      <w:proofErr w:type="spellStart"/>
      <w:r w:rsidRPr="000D1691">
        <w:rPr>
          <w:rFonts w:asciiTheme="majorHAnsi" w:hAnsiTheme="majorHAnsi" w:cstheme="majorHAnsi"/>
          <w:sz w:val="24"/>
          <w:szCs w:val="24"/>
          <w:lang w:val="en-US"/>
        </w:rPr>
        <w:t>edn</w:t>
      </w:r>
      <w:proofErr w:type="spellEnd"/>
      <w:r w:rsidRPr="000D1691">
        <w:rPr>
          <w:rFonts w:asciiTheme="majorHAnsi" w:hAnsiTheme="majorHAnsi" w:cstheme="majorHAnsi"/>
          <w:sz w:val="24"/>
          <w:szCs w:val="24"/>
          <w:lang w:val="en-US"/>
        </w:rPr>
        <w:t>. Sage.</w:t>
      </w:r>
    </w:p>
    <w:p w14:paraId="3032F5AB"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British Online Archives (2022) ‘Going for an Indian: Food, Immigration and Multiculturalism in Britain’, British Online Archives. Available at: </w:t>
      </w:r>
      <w:hyperlink w:tgtFrame="_blank" w:history="1">
        <w:r w:rsidRPr="000D1691">
          <w:rPr>
            <w:rStyle w:val="Hyperlink"/>
            <w:rFonts w:asciiTheme="majorHAnsi" w:hAnsiTheme="majorHAnsi" w:cstheme="majorHAnsi"/>
            <w:sz w:val="24"/>
            <w:szCs w:val="24"/>
            <w:lang w:val="en-US"/>
          </w:rPr>
          <w:t>https://britishonlinearchives.com/posts/category/articles/470/going-for-an-indian-food-immigration-and-multiculturalism-in-britain</w:t>
        </w:r>
      </w:hyperlink>
      <w:r w:rsidRPr="000D1691">
        <w:rPr>
          <w:rFonts w:asciiTheme="majorHAnsi" w:hAnsiTheme="majorHAnsi" w:cstheme="majorHAnsi"/>
          <w:sz w:val="24"/>
          <w:szCs w:val="24"/>
          <w:lang w:val="en-US"/>
        </w:rPr>
        <w:t> (Accessed: 26 May 2025).</w:t>
      </w:r>
    </w:p>
    <w:p w14:paraId="2E077EA2" w14:textId="77777777" w:rsidR="000D1691" w:rsidRPr="000D1691" w:rsidRDefault="000D1691" w:rsidP="000D1691">
      <w:pPr>
        <w:numPr>
          <w:ilvl w:val="0"/>
          <w:numId w:val="19"/>
        </w:numPr>
        <w:rPr>
          <w:rFonts w:asciiTheme="majorHAnsi" w:hAnsiTheme="majorHAnsi" w:cstheme="majorHAnsi"/>
          <w:sz w:val="24"/>
          <w:szCs w:val="24"/>
          <w:lang w:val="en-US"/>
        </w:rPr>
      </w:pPr>
      <w:proofErr w:type="spellStart"/>
      <w:r w:rsidRPr="000D1691">
        <w:rPr>
          <w:rFonts w:asciiTheme="majorHAnsi" w:hAnsiTheme="majorHAnsi" w:cstheme="majorHAnsi"/>
          <w:sz w:val="24"/>
          <w:szCs w:val="24"/>
          <w:lang w:val="en-US"/>
        </w:rPr>
        <w:t>DavidsonMorris</w:t>
      </w:r>
      <w:proofErr w:type="spellEnd"/>
      <w:r w:rsidRPr="000D1691">
        <w:rPr>
          <w:rFonts w:asciiTheme="majorHAnsi" w:hAnsiTheme="majorHAnsi" w:cstheme="majorHAnsi"/>
          <w:sz w:val="24"/>
          <w:szCs w:val="24"/>
          <w:lang w:val="en-US"/>
        </w:rPr>
        <w:t xml:space="preserve"> (2024) ‘Immigrants’ Economic Contributions to the UK’, </w:t>
      </w:r>
      <w:proofErr w:type="spellStart"/>
      <w:r w:rsidRPr="000D1691">
        <w:rPr>
          <w:rFonts w:asciiTheme="majorHAnsi" w:hAnsiTheme="majorHAnsi" w:cstheme="majorHAnsi"/>
          <w:sz w:val="24"/>
          <w:szCs w:val="24"/>
          <w:lang w:val="en-US"/>
        </w:rPr>
        <w:t>DavidsonMorris</w:t>
      </w:r>
      <w:proofErr w:type="spellEnd"/>
      <w:r w:rsidRPr="000D1691">
        <w:rPr>
          <w:rFonts w:asciiTheme="majorHAnsi" w:hAnsiTheme="majorHAnsi" w:cstheme="majorHAnsi"/>
          <w:sz w:val="24"/>
          <w:szCs w:val="24"/>
          <w:lang w:val="en-US"/>
        </w:rPr>
        <w:t>. Available at: </w:t>
      </w:r>
      <w:hyperlink w:tgtFrame="_blank" w:history="1">
        <w:r w:rsidRPr="000D1691">
          <w:rPr>
            <w:rStyle w:val="Hyperlink"/>
            <w:rFonts w:asciiTheme="majorHAnsi" w:hAnsiTheme="majorHAnsi" w:cstheme="majorHAnsi"/>
            <w:sz w:val="24"/>
            <w:szCs w:val="24"/>
            <w:lang w:val="en-US"/>
          </w:rPr>
          <w:t>https://www.davidsonmorris.com/immigrants-economic-contributions/</w:t>
        </w:r>
      </w:hyperlink>
      <w:r w:rsidRPr="000D1691">
        <w:rPr>
          <w:rFonts w:asciiTheme="majorHAnsi" w:hAnsiTheme="majorHAnsi" w:cstheme="majorHAnsi"/>
          <w:sz w:val="24"/>
          <w:szCs w:val="24"/>
          <w:lang w:val="en-US"/>
        </w:rPr>
        <w:t> (Accessed: 26 May 2025).</w:t>
      </w:r>
    </w:p>
    <w:p w14:paraId="7091DAB3" w14:textId="77777777" w:rsidR="000D1691" w:rsidRPr="000D1691" w:rsidRDefault="000D1691" w:rsidP="000D1691">
      <w:pPr>
        <w:numPr>
          <w:ilvl w:val="0"/>
          <w:numId w:val="19"/>
        </w:numPr>
        <w:rPr>
          <w:rFonts w:asciiTheme="majorHAnsi" w:hAnsiTheme="majorHAnsi" w:cstheme="majorHAnsi"/>
          <w:sz w:val="24"/>
          <w:szCs w:val="24"/>
          <w:lang w:val="en-US"/>
        </w:rPr>
      </w:pPr>
      <w:proofErr w:type="spellStart"/>
      <w:r w:rsidRPr="000D1691">
        <w:rPr>
          <w:rFonts w:asciiTheme="majorHAnsi" w:hAnsiTheme="majorHAnsi" w:cstheme="majorHAnsi"/>
          <w:sz w:val="24"/>
          <w:szCs w:val="24"/>
          <w:lang w:val="en-US"/>
        </w:rPr>
        <w:t>Donthu</w:t>
      </w:r>
      <w:proofErr w:type="spellEnd"/>
      <w:r w:rsidRPr="000D1691">
        <w:rPr>
          <w:rFonts w:asciiTheme="majorHAnsi" w:hAnsiTheme="majorHAnsi" w:cstheme="majorHAnsi"/>
          <w:sz w:val="24"/>
          <w:szCs w:val="24"/>
          <w:lang w:val="en-US"/>
        </w:rPr>
        <w:t>, N., Kumar, S., Mukherjee, D., Pandey, N., &amp; Lim, W.M. (2021) ‘How to conduct a bibliometric analysis: An overview and guidelines’, Journal of Business Research, 133, pp. 285-296.</w:t>
      </w:r>
    </w:p>
    <w:p w14:paraId="267FFAAB"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 xml:space="preserve">Fink, A. (2010) Conducting Research Literature Reviews: From the Internet to Paper. 3rd </w:t>
      </w:r>
      <w:proofErr w:type="spellStart"/>
      <w:r w:rsidRPr="000D1691">
        <w:rPr>
          <w:rFonts w:asciiTheme="majorHAnsi" w:hAnsiTheme="majorHAnsi" w:cstheme="majorHAnsi"/>
          <w:sz w:val="24"/>
          <w:szCs w:val="24"/>
          <w:lang w:val="en-US"/>
        </w:rPr>
        <w:t>edn</w:t>
      </w:r>
      <w:proofErr w:type="spellEnd"/>
      <w:r w:rsidRPr="000D1691">
        <w:rPr>
          <w:rFonts w:asciiTheme="majorHAnsi" w:hAnsiTheme="majorHAnsi" w:cstheme="majorHAnsi"/>
          <w:sz w:val="24"/>
          <w:szCs w:val="24"/>
          <w:lang w:val="en-US"/>
        </w:rPr>
        <w:t>. Thousand Oaks, CA: Sage.</w:t>
      </w:r>
    </w:p>
    <w:p w14:paraId="16C02C7E"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Grant Thornton (2022) India in the UK: the diaspora effect 2.0. Grant Thornton UK LLP. Available at: </w:t>
      </w:r>
      <w:hyperlink w:tgtFrame="_blank" w:history="1">
        <w:r w:rsidRPr="000D1691">
          <w:rPr>
            <w:rStyle w:val="Hyperlink"/>
            <w:rFonts w:asciiTheme="majorHAnsi" w:hAnsiTheme="majorHAnsi" w:cstheme="majorHAnsi"/>
            <w:sz w:val="24"/>
            <w:szCs w:val="24"/>
            <w:lang w:val="en-US"/>
          </w:rPr>
          <w:t>https://www.grantthornton.co.uk/globalassets/1.-member-firms/united-kingdom/pdf/publication/2022/india-in-the-uk-the-diaspora-effect-2.0.pdf</w:t>
        </w:r>
      </w:hyperlink>
      <w:r w:rsidRPr="000D1691">
        <w:rPr>
          <w:rFonts w:asciiTheme="majorHAnsi" w:hAnsiTheme="majorHAnsi" w:cstheme="majorHAnsi"/>
          <w:sz w:val="24"/>
          <w:szCs w:val="24"/>
          <w:lang w:val="en-US"/>
        </w:rPr>
        <w:t> (Accessed: 26 May 2025).</w:t>
      </w:r>
    </w:p>
    <w:p w14:paraId="6577A45B"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Jesson, J., Matheson, L. &amp; Lacey, F.M. (2011) Doing Your Literature Review: Traditional and Systematic Techniques. London: Sage.</w:t>
      </w:r>
    </w:p>
    <w:p w14:paraId="39E914F2"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Lambert, M. (2012) A Beginner’s Guide to Doing Your Education Research Project. London: Sage.</w:t>
      </w:r>
    </w:p>
    <w:p w14:paraId="3DD5523E" w14:textId="77777777" w:rsidR="000D1691" w:rsidRPr="000D1691" w:rsidRDefault="000D1691" w:rsidP="000D1691">
      <w:pPr>
        <w:numPr>
          <w:ilvl w:val="0"/>
          <w:numId w:val="19"/>
        </w:numPr>
        <w:rPr>
          <w:rFonts w:asciiTheme="majorHAnsi" w:hAnsiTheme="majorHAnsi" w:cstheme="majorHAnsi"/>
          <w:sz w:val="24"/>
          <w:szCs w:val="24"/>
          <w:lang w:val="en-US"/>
        </w:rPr>
      </w:pPr>
      <w:proofErr w:type="spellStart"/>
      <w:r w:rsidRPr="000D1691">
        <w:rPr>
          <w:rFonts w:asciiTheme="majorHAnsi" w:hAnsiTheme="majorHAnsi" w:cstheme="majorHAnsi"/>
          <w:sz w:val="24"/>
          <w:szCs w:val="24"/>
          <w:lang w:val="en-US"/>
        </w:rPr>
        <w:lastRenderedPageBreak/>
        <w:t>Litmaps</w:t>
      </w:r>
      <w:proofErr w:type="spellEnd"/>
      <w:r w:rsidRPr="000D1691">
        <w:rPr>
          <w:rFonts w:asciiTheme="majorHAnsi" w:hAnsiTheme="majorHAnsi" w:cstheme="majorHAnsi"/>
          <w:sz w:val="24"/>
          <w:szCs w:val="24"/>
          <w:lang w:val="en-US"/>
        </w:rPr>
        <w:t xml:space="preserve"> (2025) ‘What are the different types of literature review?’, </w:t>
      </w:r>
      <w:proofErr w:type="spellStart"/>
      <w:r w:rsidRPr="000D1691">
        <w:rPr>
          <w:rFonts w:asciiTheme="majorHAnsi" w:hAnsiTheme="majorHAnsi" w:cstheme="majorHAnsi"/>
          <w:sz w:val="24"/>
          <w:szCs w:val="24"/>
          <w:lang w:val="en-US"/>
        </w:rPr>
        <w:t>Litmaps</w:t>
      </w:r>
      <w:proofErr w:type="spellEnd"/>
      <w:r w:rsidRPr="000D1691">
        <w:rPr>
          <w:rFonts w:asciiTheme="majorHAnsi" w:hAnsiTheme="majorHAnsi" w:cstheme="majorHAnsi"/>
          <w:sz w:val="24"/>
          <w:szCs w:val="24"/>
          <w:lang w:val="en-US"/>
        </w:rPr>
        <w:t>. Available at: </w:t>
      </w:r>
      <w:hyperlink w:tgtFrame="_blank" w:history="1">
        <w:r w:rsidRPr="000D1691">
          <w:rPr>
            <w:rStyle w:val="Hyperlink"/>
            <w:rFonts w:asciiTheme="majorHAnsi" w:hAnsiTheme="majorHAnsi" w:cstheme="majorHAnsi"/>
            <w:sz w:val="24"/>
            <w:szCs w:val="24"/>
            <w:lang w:val="en-US"/>
          </w:rPr>
          <w:t>https://www.litmaps.com/learn/what-are-the-different-types-of-literature-review</w:t>
        </w:r>
      </w:hyperlink>
      <w:r w:rsidRPr="000D1691">
        <w:rPr>
          <w:rFonts w:asciiTheme="majorHAnsi" w:hAnsiTheme="majorHAnsi" w:cstheme="majorHAnsi"/>
          <w:sz w:val="24"/>
          <w:szCs w:val="24"/>
          <w:lang w:val="en-US"/>
        </w:rPr>
        <w:t> (Accessed: 26 May 2025).</w:t>
      </w:r>
    </w:p>
    <w:p w14:paraId="3BC0F58E"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Moher, D., Liberati, A., Tetzlaff, J., Altman, D.G., &amp; The PRISMA Group (2009) ‘Preferred Reporting Items for Systematic Reviews and Meta-Analyses: The PRISMA Statement’, PLOS Medicine, 6(7), e1000097.</w:t>
      </w:r>
    </w:p>
    <w:p w14:paraId="74992B0A"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OECD (2023) ‘Migrant entrepreneurship in OECD countries’, OECD Policy Responses. Available at: </w:t>
      </w:r>
      <w:hyperlink w:tgtFrame="_blank" w:history="1">
        <w:r w:rsidRPr="000D1691">
          <w:rPr>
            <w:rStyle w:val="Hyperlink"/>
            <w:rFonts w:asciiTheme="majorHAnsi" w:hAnsiTheme="majorHAnsi" w:cstheme="majorHAnsi"/>
            <w:sz w:val="24"/>
            <w:szCs w:val="24"/>
            <w:lang w:val="en-US"/>
          </w:rPr>
          <w:t>https://www.oecd.org/migration/migrant-entrepreneurship.htm</w:t>
        </w:r>
      </w:hyperlink>
      <w:r w:rsidRPr="000D1691">
        <w:rPr>
          <w:rFonts w:asciiTheme="majorHAnsi" w:hAnsiTheme="majorHAnsi" w:cstheme="majorHAnsi"/>
          <w:sz w:val="24"/>
          <w:szCs w:val="24"/>
          <w:lang w:val="en-US"/>
        </w:rPr>
        <w:t> (Accessed: 26 May 2025).</w:t>
      </w:r>
    </w:p>
    <w:p w14:paraId="33151266"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Oxford Bibliographies (2016) ‘Literature Reviews’, Oxford Bibliographies in Education. Available at: </w:t>
      </w:r>
      <w:hyperlink w:tgtFrame="_blank" w:history="1">
        <w:r w:rsidRPr="000D1691">
          <w:rPr>
            <w:rStyle w:val="Hyperlink"/>
            <w:rFonts w:asciiTheme="majorHAnsi" w:hAnsiTheme="majorHAnsi" w:cstheme="majorHAnsi"/>
            <w:sz w:val="24"/>
            <w:szCs w:val="24"/>
            <w:lang w:val="en-US"/>
          </w:rPr>
          <w:t>https://www.oxfordbibliographies.com/abstract/document/obo-9780199756810/obo-9780199756810-0169.xml</w:t>
        </w:r>
      </w:hyperlink>
    </w:p>
    <w:p w14:paraId="4A6F9EF5"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 xml:space="preserve">Panayi, P. (2008) Spicing Up Britain: The Multicultural History of British Food. London: </w:t>
      </w:r>
      <w:proofErr w:type="spellStart"/>
      <w:r w:rsidRPr="000D1691">
        <w:rPr>
          <w:rFonts w:asciiTheme="majorHAnsi" w:hAnsiTheme="majorHAnsi" w:cstheme="majorHAnsi"/>
          <w:sz w:val="24"/>
          <w:szCs w:val="24"/>
          <w:lang w:val="en-US"/>
        </w:rPr>
        <w:t>Reaktion</w:t>
      </w:r>
      <w:proofErr w:type="spellEnd"/>
      <w:r w:rsidRPr="000D1691">
        <w:rPr>
          <w:rFonts w:asciiTheme="majorHAnsi" w:hAnsiTheme="majorHAnsi" w:cstheme="majorHAnsi"/>
          <w:sz w:val="24"/>
          <w:szCs w:val="24"/>
          <w:lang w:val="en-US"/>
        </w:rPr>
        <w:t xml:space="preserve"> Books.</w:t>
      </w:r>
    </w:p>
    <w:p w14:paraId="3731F6EB"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PubMed (2025) ‘Indian Migrant Entrepreneurs in the UK Food Sector: A Review’, PubMed. Available at: </w:t>
      </w:r>
      <w:hyperlink w:tgtFrame="_blank" w:history="1">
        <w:r w:rsidRPr="000D1691">
          <w:rPr>
            <w:rStyle w:val="Hyperlink"/>
            <w:rFonts w:asciiTheme="majorHAnsi" w:hAnsiTheme="majorHAnsi" w:cstheme="majorHAnsi"/>
            <w:sz w:val="24"/>
            <w:szCs w:val="24"/>
            <w:lang w:val="en-US"/>
          </w:rPr>
          <w:t>https://pubmed.ncbi.nlm.nih.gov/</w:t>
        </w:r>
      </w:hyperlink>
      <w:r w:rsidRPr="000D1691">
        <w:rPr>
          <w:rFonts w:asciiTheme="majorHAnsi" w:hAnsiTheme="majorHAnsi" w:cstheme="majorHAnsi"/>
          <w:sz w:val="24"/>
          <w:szCs w:val="24"/>
          <w:lang w:val="en-US"/>
        </w:rPr>
        <w:t> (Accessed: 26 May 2025).</w:t>
      </w:r>
    </w:p>
    <w:p w14:paraId="12DA6E04"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UK Hospitality (2023) ‘The impact of COVID-19 on London’s food sector’, UK Hospitality. Available at: </w:t>
      </w:r>
      <w:hyperlink w:tgtFrame="_blank" w:history="1">
        <w:r w:rsidRPr="000D1691">
          <w:rPr>
            <w:rStyle w:val="Hyperlink"/>
            <w:rFonts w:asciiTheme="majorHAnsi" w:hAnsiTheme="majorHAnsi" w:cstheme="majorHAnsi"/>
            <w:sz w:val="24"/>
            <w:szCs w:val="24"/>
            <w:lang w:val="en-US"/>
          </w:rPr>
          <w:t>https://www.ukhospitality.org.uk/</w:t>
        </w:r>
      </w:hyperlink>
      <w:r w:rsidRPr="000D1691">
        <w:rPr>
          <w:rFonts w:asciiTheme="majorHAnsi" w:hAnsiTheme="majorHAnsi" w:cstheme="majorHAnsi"/>
          <w:sz w:val="24"/>
          <w:szCs w:val="24"/>
          <w:lang w:val="en-US"/>
        </w:rPr>
        <w:t> (Accessed: 26 May 2025).</w:t>
      </w:r>
    </w:p>
    <w:p w14:paraId="60BB3E5B"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University of Westminster (2025) ‘Conducting a Literature Review’, University of Westminster Library. Available at: </w:t>
      </w:r>
      <w:hyperlink w:tgtFrame="_blank" w:history="1">
        <w:r w:rsidRPr="000D1691">
          <w:rPr>
            <w:rStyle w:val="Hyperlink"/>
            <w:rFonts w:asciiTheme="majorHAnsi" w:hAnsiTheme="majorHAnsi" w:cstheme="majorHAnsi"/>
            <w:sz w:val="24"/>
            <w:szCs w:val="24"/>
            <w:lang w:val="en-US"/>
          </w:rPr>
          <w:t>https://www.westminster.ac.uk/library</w:t>
        </w:r>
      </w:hyperlink>
      <w:r w:rsidRPr="000D1691">
        <w:rPr>
          <w:rFonts w:asciiTheme="majorHAnsi" w:hAnsiTheme="majorHAnsi" w:cstheme="majorHAnsi"/>
          <w:sz w:val="24"/>
          <w:szCs w:val="24"/>
          <w:lang w:val="en-US"/>
        </w:rPr>
        <w:t> (Accessed: 26 May 2025).</w:t>
      </w:r>
    </w:p>
    <w:p w14:paraId="0A541E06" w14:textId="77777777" w:rsidR="000D1691" w:rsidRPr="000D1691" w:rsidRDefault="000D1691" w:rsidP="000D1691">
      <w:pPr>
        <w:numPr>
          <w:ilvl w:val="0"/>
          <w:numId w:val="19"/>
        </w:numPr>
        <w:rPr>
          <w:rFonts w:asciiTheme="majorHAnsi" w:hAnsiTheme="majorHAnsi" w:cstheme="majorHAnsi"/>
          <w:sz w:val="24"/>
          <w:szCs w:val="24"/>
          <w:lang w:val="en-US"/>
        </w:rPr>
      </w:pPr>
      <w:r w:rsidRPr="000D1691">
        <w:rPr>
          <w:rFonts w:asciiTheme="majorHAnsi" w:hAnsiTheme="majorHAnsi" w:cstheme="majorHAnsi"/>
          <w:sz w:val="24"/>
          <w:szCs w:val="24"/>
          <w:lang w:val="en-US"/>
        </w:rPr>
        <w:t>Wessendorf, S. (2021) ‘Migrant Entrepreneurs and Urban Change in London’, Urban Studies, 58(9), pp. 1845-1862.</w:t>
      </w:r>
    </w:p>
    <w:p w14:paraId="5711DDE6" w14:textId="2973E1BA" w:rsidR="000D1691" w:rsidRDefault="000D1691" w:rsidP="000D1691"/>
    <w:p w14:paraId="5DA775A9" w14:textId="7C59AD1B" w:rsidR="000D1691" w:rsidRDefault="000D1691" w:rsidP="000D1691"/>
    <w:p w14:paraId="1752E769" w14:textId="628471B2" w:rsidR="000D1691" w:rsidRDefault="000D1691" w:rsidP="000D1691"/>
    <w:p w14:paraId="0E0AAF9B" w14:textId="4AFF7D0A" w:rsidR="000D1691" w:rsidRDefault="000D1691" w:rsidP="000D1691"/>
    <w:p w14:paraId="466CB728" w14:textId="53BB6128" w:rsidR="000D1691" w:rsidRDefault="000D1691" w:rsidP="000D1691"/>
    <w:p w14:paraId="568B1D63" w14:textId="31F34159" w:rsidR="000D1691" w:rsidRDefault="000D1691" w:rsidP="000D1691"/>
    <w:p w14:paraId="5C1EB9C3" w14:textId="3F484250" w:rsidR="000D1691" w:rsidRDefault="000D1691" w:rsidP="004E4123"/>
    <w:p w14:paraId="4613FEBD" w14:textId="082078F2" w:rsidR="000D1691" w:rsidRDefault="000D1691" w:rsidP="000D1691"/>
    <w:p w14:paraId="60CC9F0C" w14:textId="24FE85F9" w:rsidR="000D1691" w:rsidRDefault="000D1691" w:rsidP="000D1691"/>
    <w:p w14:paraId="5366698A" w14:textId="1AEBA2EF" w:rsidR="000D1691" w:rsidRDefault="000D1691" w:rsidP="000D1691"/>
    <w:p w14:paraId="5CD66F75" w14:textId="297EC408" w:rsidR="000D1691" w:rsidRDefault="000D1691" w:rsidP="000D1691"/>
    <w:p w14:paraId="7F33294A" w14:textId="68C3F989" w:rsidR="000D1691" w:rsidRDefault="000D1691" w:rsidP="000D1691"/>
    <w:p w14:paraId="4148EE23" w14:textId="25E487BD" w:rsidR="000D1691" w:rsidRDefault="000D1691" w:rsidP="000D1691"/>
    <w:p w14:paraId="4B381B07" w14:textId="4271AC51" w:rsidR="000D1691" w:rsidRDefault="000D1691" w:rsidP="000D1691"/>
    <w:p w14:paraId="1DEC71ED" w14:textId="12DB440D" w:rsidR="000D1691" w:rsidRDefault="000D1691" w:rsidP="000D1691"/>
    <w:p w14:paraId="00CE6DFC" w14:textId="0A5E0610" w:rsidR="000D1691" w:rsidRDefault="000D1691" w:rsidP="000D1691"/>
    <w:p w14:paraId="541B390D" w14:textId="336897A1" w:rsidR="000D1691" w:rsidRDefault="000D1691" w:rsidP="000D1691"/>
    <w:p w14:paraId="4E8DCCDC" w14:textId="30F8F7CD" w:rsidR="000D1691" w:rsidRDefault="000D1691" w:rsidP="000D1691"/>
    <w:p w14:paraId="5A47522E" w14:textId="7D289F53" w:rsidR="000D1691" w:rsidRDefault="000D1691" w:rsidP="000D1691"/>
    <w:p w14:paraId="1A753395" w14:textId="1D489B7F" w:rsidR="000D1691" w:rsidRDefault="000D1691" w:rsidP="000D1691"/>
    <w:p w14:paraId="7DF03D2F" w14:textId="77777777" w:rsidR="004E4123" w:rsidRDefault="004E4123" w:rsidP="009C4974">
      <w:pPr>
        <w:pStyle w:val="Title"/>
        <w:rPr>
          <w:rFonts w:ascii="Arial Black" w:eastAsia="MS Mincho" w:hAnsi="Arial Black"/>
          <w:b/>
          <w:bCs/>
          <w:u w:val="single"/>
          <w:lang w:val="en-US"/>
        </w:rPr>
      </w:pPr>
    </w:p>
    <w:p w14:paraId="5A6D4B7D" w14:textId="41087EAB" w:rsidR="009C4974" w:rsidRPr="00C559EE" w:rsidRDefault="009C4974" w:rsidP="009C4974">
      <w:pPr>
        <w:pStyle w:val="Title"/>
        <w:rPr>
          <w:rFonts w:ascii="Arial Black" w:eastAsia="MS Mincho" w:hAnsi="Arial Black"/>
          <w:b/>
          <w:bCs/>
          <w:u w:val="single"/>
          <w:lang w:val="en-US"/>
        </w:rPr>
      </w:pPr>
      <w:r w:rsidRPr="00C559EE">
        <w:rPr>
          <w:rFonts w:ascii="Arial Black" w:eastAsia="MS Mincho" w:hAnsi="Arial Black"/>
          <w:b/>
          <w:bCs/>
          <w:u w:val="single"/>
          <w:lang w:val="en-US"/>
        </w:rPr>
        <w:t>Part 2</w:t>
      </w:r>
    </w:p>
    <w:tbl>
      <w:tblPr>
        <w:tblStyle w:val="TableGrid"/>
        <w:tblpPr w:leftFromText="180" w:rightFromText="180" w:vertAnchor="text" w:horzAnchor="margin" w:tblpY="772"/>
        <w:tblW w:w="0" w:type="auto"/>
        <w:tblLayout w:type="fixed"/>
        <w:tblLook w:val="04A0" w:firstRow="1" w:lastRow="0" w:firstColumn="1" w:lastColumn="0" w:noHBand="0" w:noVBand="1"/>
      </w:tblPr>
      <w:tblGrid>
        <w:gridCol w:w="704"/>
        <w:gridCol w:w="1528"/>
        <w:gridCol w:w="740"/>
        <w:gridCol w:w="1319"/>
        <w:gridCol w:w="1553"/>
        <w:gridCol w:w="1557"/>
        <w:gridCol w:w="1505"/>
        <w:gridCol w:w="1550"/>
      </w:tblGrid>
      <w:tr w:rsidR="00845447" w14:paraId="67E20EEC" w14:textId="77777777" w:rsidTr="001F6B0D">
        <w:tc>
          <w:tcPr>
            <w:tcW w:w="704" w:type="dxa"/>
          </w:tcPr>
          <w:p w14:paraId="12AB08C3" w14:textId="5C918912"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Sr.no</w:t>
            </w:r>
          </w:p>
        </w:tc>
        <w:tc>
          <w:tcPr>
            <w:tcW w:w="1528" w:type="dxa"/>
          </w:tcPr>
          <w:p w14:paraId="467BDF08" w14:textId="2516DBD2"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AUTHOR Name</w:t>
            </w:r>
          </w:p>
        </w:tc>
        <w:tc>
          <w:tcPr>
            <w:tcW w:w="740" w:type="dxa"/>
          </w:tcPr>
          <w:p w14:paraId="1928069B" w14:textId="77777777"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Year</w:t>
            </w:r>
          </w:p>
        </w:tc>
        <w:tc>
          <w:tcPr>
            <w:tcW w:w="1319" w:type="dxa"/>
          </w:tcPr>
          <w:p w14:paraId="2F9233D6" w14:textId="77777777"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Type</w:t>
            </w:r>
          </w:p>
        </w:tc>
        <w:tc>
          <w:tcPr>
            <w:tcW w:w="1553" w:type="dxa"/>
          </w:tcPr>
          <w:p w14:paraId="16DB762E" w14:textId="77777777"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Title</w:t>
            </w:r>
          </w:p>
        </w:tc>
        <w:tc>
          <w:tcPr>
            <w:tcW w:w="1557" w:type="dxa"/>
          </w:tcPr>
          <w:p w14:paraId="7C518997" w14:textId="77777777"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Aims/Objectives</w:t>
            </w:r>
          </w:p>
        </w:tc>
        <w:tc>
          <w:tcPr>
            <w:tcW w:w="1505" w:type="dxa"/>
          </w:tcPr>
          <w:p w14:paraId="5F185F9D" w14:textId="77777777"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Notes</w:t>
            </w:r>
          </w:p>
        </w:tc>
        <w:tc>
          <w:tcPr>
            <w:tcW w:w="1550" w:type="dxa"/>
          </w:tcPr>
          <w:p w14:paraId="4518EA51" w14:textId="77777777" w:rsidR="001655AF" w:rsidRPr="001F6B0D" w:rsidRDefault="001655AF" w:rsidP="00442151">
            <w:pPr>
              <w:rPr>
                <w:rFonts w:asciiTheme="majorHAnsi" w:hAnsiTheme="majorHAnsi" w:cstheme="majorHAnsi"/>
                <w:b/>
                <w:bCs/>
                <w:sz w:val="20"/>
                <w:szCs w:val="20"/>
              </w:rPr>
            </w:pPr>
            <w:r w:rsidRPr="001F6B0D">
              <w:rPr>
                <w:rFonts w:asciiTheme="majorHAnsi" w:hAnsiTheme="majorHAnsi" w:cstheme="majorHAnsi"/>
                <w:b/>
                <w:bCs/>
                <w:sz w:val="20"/>
                <w:szCs w:val="20"/>
              </w:rPr>
              <w:t>Keywords</w:t>
            </w:r>
          </w:p>
        </w:tc>
      </w:tr>
      <w:tr w:rsidR="00845447" w14:paraId="6C66483D" w14:textId="77777777" w:rsidTr="001F6B0D">
        <w:tc>
          <w:tcPr>
            <w:tcW w:w="704" w:type="dxa"/>
          </w:tcPr>
          <w:p w14:paraId="66636A58"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1.</w:t>
            </w:r>
          </w:p>
        </w:tc>
        <w:tc>
          <w:tcPr>
            <w:tcW w:w="1528" w:type="dxa"/>
          </w:tcPr>
          <w:p w14:paraId="0EF3A06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British Online Archives</w:t>
            </w:r>
          </w:p>
        </w:tc>
        <w:tc>
          <w:tcPr>
            <w:tcW w:w="740" w:type="dxa"/>
          </w:tcPr>
          <w:p w14:paraId="335DD24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3159E55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Article</w:t>
            </w:r>
          </w:p>
        </w:tc>
        <w:tc>
          <w:tcPr>
            <w:tcW w:w="1553" w:type="dxa"/>
          </w:tcPr>
          <w:p w14:paraId="60BFD66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“Going for an Indian”: Food, Immigration and Multiculturalism in Britain</w:t>
            </w:r>
          </w:p>
        </w:tc>
        <w:tc>
          <w:tcPr>
            <w:tcW w:w="1557" w:type="dxa"/>
          </w:tcPr>
          <w:p w14:paraId="3A91162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trace the popularity and integration of South Asian food in Britain since the 1960s</w:t>
            </w:r>
          </w:p>
        </w:tc>
        <w:tc>
          <w:tcPr>
            <w:tcW w:w="1505" w:type="dxa"/>
          </w:tcPr>
          <w:p w14:paraId="6B0C46E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Provides historical context of Indian restaurants in Britain, including elite clientele and multicultural shifts</w:t>
            </w:r>
          </w:p>
        </w:tc>
        <w:tc>
          <w:tcPr>
            <w:tcW w:w="1550" w:type="dxa"/>
          </w:tcPr>
          <w:p w14:paraId="510949EF" w14:textId="77777777" w:rsidR="001655AF" w:rsidRPr="00845447" w:rsidRDefault="001655AF" w:rsidP="00442151">
            <w:pPr>
              <w:rPr>
                <w:rFonts w:asciiTheme="majorHAnsi" w:hAnsiTheme="majorHAnsi" w:cstheme="majorHAnsi"/>
                <w:sz w:val="20"/>
                <w:szCs w:val="20"/>
              </w:rPr>
            </w:pPr>
          </w:p>
        </w:tc>
      </w:tr>
      <w:tr w:rsidR="00845447" w14:paraId="75DBE076" w14:textId="77777777" w:rsidTr="001F6B0D">
        <w:tc>
          <w:tcPr>
            <w:tcW w:w="704" w:type="dxa"/>
          </w:tcPr>
          <w:p w14:paraId="2AEE340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w:t>
            </w:r>
          </w:p>
        </w:tc>
        <w:tc>
          <w:tcPr>
            <w:tcW w:w="1528" w:type="dxa"/>
          </w:tcPr>
          <w:p w14:paraId="0F4E27A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Thompson, S.</w:t>
            </w:r>
          </w:p>
        </w:tc>
        <w:tc>
          <w:tcPr>
            <w:tcW w:w="740" w:type="dxa"/>
          </w:tcPr>
          <w:p w14:paraId="44537C2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2017</w:t>
            </w:r>
          </w:p>
        </w:tc>
        <w:tc>
          <w:tcPr>
            <w:tcW w:w="1319" w:type="dxa"/>
          </w:tcPr>
          <w:p w14:paraId="51CF634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Paper</w:t>
            </w:r>
          </w:p>
        </w:tc>
        <w:tc>
          <w:tcPr>
            <w:tcW w:w="1553" w:type="dxa"/>
          </w:tcPr>
          <w:p w14:paraId="1C21471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Challenges and Issues facing Ethnic Minority Small Business Owners</w:t>
            </w:r>
          </w:p>
        </w:tc>
        <w:tc>
          <w:tcPr>
            <w:tcW w:w="1557" w:type="dxa"/>
          </w:tcPr>
          <w:p w14:paraId="43B1B13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investigate regulatory and operational challenges ethnic minority entrepreneurs face</w:t>
            </w:r>
          </w:p>
        </w:tc>
        <w:tc>
          <w:tcPr>
            <w:tcW w:w="1505" w:type="dxa"/>
          </w:tcPr>
          <w:p w14:paraId="12E9A0F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strict local council licensing and labor shortages due to immigration policy changes</w:t>
            </w:r>
          </w:p>
        </w:tc>
        <w:tc>
          <w:tcPr>
            <w:tcW w:w="1550" w:type="dxa"/>
          </w:tcPr>
          <w:p w14:paraId="27D01C56" w14:textId="77777777" w:rsidR="001655AF" w:rsidRPr="00845447" w:rsidRDefault="001655AF" w:rsidP="00442151">
            <w:pPr>
              <w:rPr>
                <w:rFonts w:asciiTheme="majorHAnsi" w:hAnsiTheme="majorHAnsi" w:cstheme="majorHAnsi"/>
                <w:sz w:val="20"/>
                <w:szCs w:val="20"/>
              </w:rPr>
            </w:pPr>
          </w:p>
        </w:tc>
      </w:tr>
      <w:tr w:rsidR="00845447" w14:paraId="37FA793D" w14:textId="77777777" w:rsidTr="001F6B0D">
        <w:tc>
          <w:tcPr>
            <w:tcW w:w="704" w:type="dxa"/>
          </w:tcPr>
          <w:p w14:paraId="0F3F0B2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3</w:t>
            </w:r>
          </w:p>
        </w:tc>
        <w:tc>
          <w:tcPr>
            <w:tcW w:w="1528" w:type="dxa"/>
          </w:tcPr>
          <w:p w14:paraId="009C7E0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Grant Thornton UK</w:t>
            </w:r>
          </w:p>
        </w:tc>
        <w:tc>
          <w:tcPr>
            <w:tcW w:w="740" w:type="dxa"/>
          </w:tcPr>
          <w:p w14:paraId="0E9B099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6CCAB64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Report</w:t>
            </w:r>
          </w:p>
        </w:tc>
        <w:tc>
          <w:tcPr>
            <w:tcW w:w="1553" w:type="dxa"/>
          </w:tcPr>
          <w:p w14:paraId="37C076E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India in the UK: the diaspora effect 2.0</w:t>
            </w:r>
          </w:p>
        </w:tc>
        <w:tc>
          <w:tcPr>
            <w:tcW w:w="1557" w:type="dxa"/>
          </w:tcPr>
          <w:p w14:paraId="6D9E9D1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analyze the role and impact of Indian diaspora businesses in the UK food and beverage sector</w:t>
            </w:r>
          </w:p>
        </w:tc>
        <w:tc>
          <w:tcPr>
            <w:tcW w:w="1505" w:type="dxa"/>
          </w:tcPr>
          <w:p w14:paraId="78FD4A0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Case study of Indian entrepreneurs, institutional bias, and market opportunities in London’s Indian food industry</w:t>
            </w:r>
          </w:p>
        </w:tc>
        <w:tc>
          <w:tcPr>
            <w:tcW w:w="1550" w:type="dxa"/>
          </w:tcPr>
          <w:p w14:paraId="280DE442" w14:textId="77777777" w:rsidR="001655AF" w:rsidRPr="00845447" w:rsidRDefault="001655AF" w:rsidP="00442151">
            <w:pPr>
              <w:rPr>
                <w:rFonts w:asciiTheme="majorHAnsi" w:hAnsiTheme="majorHAnsi" w:cstheme="majorHAnsi"/>
                <w:sz w:val="20"/>
                <w:szCs w:val="20"/>
              </w:rPr>
            </w:pPr>
          </w:p>
        </w:tc>
      </w:tr>
      <w:tr w:rsidR="00845447" w14:paraId="08C97B2A" w14:textId="77777777" w:rsidTr="001F6B0D">
        <w:tc>
          <w:tcPr>
            <w:tcW w:w="704" w:type="dxa"/>
          </w:tcPr>
          <w:p w14:paraId="1F09FB0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4</w:t>
            </w:r>
          </w:p>
        </w:tc>
        <w:tc>
          <w:tcPr>
            <w:tcW w:w="1528" w:type="dxa"/>
          </w:tcPr>
          <w:p w14:paraId="5CEFAAD5"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Remitly</w:t>
            </w:r>
            <w:proofErr w:type="spellEnd"/>
            <w:r w:rsidRPr="00845447">
              <w:rPr>
                <w:rFonts w:asciiTheme="majorHAnsi" w:eastAsia="Times New Roman" w:hAnsiTheme="majorHAnsi" w:cstheme="majorHAnsi"/>
                <w:sz w:val="20"/>
                <w:szCs w:val="20"/>
                <w:lang w:eastAsia="en-GB"/>
              </w:rPr>
              <w:t xml:space="preserve"> Blog</w:t>
            </w:r>
          </w:p>
        </w:tc>
        <w:tc>
          <w:tcPr>
            <w:tcW w:w="740" w:type="dxa"/>
          </w:tcPr>
          <w:p w14:paraId="71799A2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2025</w:t>
            </w:r>
          </w:p>
        </w:tc>
        <w:tc>
          <w:tcPr>
            <w:tcW w:w="1319" w:type="dxa"/>
          </w:tcPr>
          <w:p w14:paraId="611C804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Article</w:t>
            </w:r>
          </w:p>
        </w:tc>
        <w:tc>
          <w:tcPr>
            <w:tcW w:w="1553" w:type="dxa"/>
          </w:tcPr>
          <w:p w14:paraId="1D72B64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Popular Immigrant-Owned Businesses in the UK</w:t>
            </w:r>
          </w:p>
        </w:tc>
        <w:tc>
          <w:tcPr>
            <w:tcW w:w="1557" w:type="dxa"/>
          </w:tcPr>
          <w:p w14:paraId="54C6C2D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showcase successful immigrant-owned businesses and their strategies</w:t>
            </w:r>
          </w:p>
        </w:tc>
        <w:tc>
          <w:tcPr>
            <w:tcW w:w="1505" w:type="dxa"/>
          </w:tcPr>
          <w:p w14:paraId="682E7DA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Discusses historical immigrant businesses like the </w:t>
            </w:r>
            <w:proofErr w:type="spellStart"/>
            <w:r w:rsidRPr="00845447">
              <w:rPr>
                <w:rFonts w:asciiTheme="majorHAnsi" w:eastAsia="Times New Roman" w:hAnsiTheme="majorHAnsi" w:cstheme="majorHAnsi"/>
                <w:sz w:val="20"/>
                <w:szCs w:val="20"/>
                <w:lang w:eastAsia="en-GB"/>
              </w:rPr>
              <w:t>Hindoostane</w:t>
            </w:r>
            <w:proofErr w:type="spellEnd"/>
            <w:r w:rsidRPr="00845447">
              <w:rPr>
                <w:rFonts w:asciiTheme="majorHAnsi" w:eastAsia="Times New Roman" w:hAnsiTheme="majorHAnsi" w:cstheme="majorHAnsi"/>
                <w:sz w:val="20"/>
                <w:szCs w:val="20"/>
                <w:lang w:eastAsia="en-GB"/>
              </w:rPr>
              <w:t xml:space="preserve"> Coffee House and their innovative approaches</w:t>
            </w:r>
          </w:p>
        </w:tc>
        <w:tc>
          <w:tcPr>
            <w:tcW w:w="1550" w:type="dxa"/>
          </w:tcPr>
          <w:p w14:paraId="5A97B36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Immigrant business, innovation, UK economy</w:t>
            </w:r>
          </w:p>
        </w:tc>
      </w:tr>
      <w:tr w:rsidR="00845447" w14:paraId="11111CD7" w14:textId="77777777" w:rsidTr="001F6B0D">
        <w:tc>
          <w:tcPr>
            <w:tcW w:w="704" w:type="dxa"/>
          </w:tcPr>
          <w:p w14:paraId="3486B57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5</w:t>
            </w:r>
          </w:p>
        </w:tc>
        <w:tc>
          <w:tcPr>
            <w:tcW w:w="1528" w:type="dxa"/>
          </w:tcPr>
          <w:p w14:paraId="2EEBE9A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 Ram, S. Jones</w:t>
            </w:r>
          </w:p>
        </w:tc>
        <w:tc>
          <w:tcPr>
            <w:tcW w:w="740" w:type="dxa"/>
          </w:tcPr>
          <w:p w14:paraId="2B6F5C3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2019</w:t>
            </w:r>
          </w:p>
        </w:tc>
        <w:tc>
          <w:tcPr>
            <w:tcW w:w="1319" w:type="dxa"/>
          </w:tcPr>
          <w:p w14:paraId="6A31C52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1265703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Population Superdiversity and New Migrant Enterprise</w:t>
            </w:r>
          </w:p>
        </w:tc>
        <w:tc>
          <w:tcPr>
            <w:tcW w:w="1557" w:type="dxa"/>
          </w:tcPr>
          <w:p w14:paraId="588DC76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explore the impact of legal/migratory status on migrant entrepreneurs’ business uncertainty</w:t>
            </w:r>
          </w:p>
        </w:tc>
        <w:tc>
          <w:tcPr>
            <w:tcW w:w="1505" w:type="dxa"/>
          </w:tcPr>
          <w:p w14:paraId="52280F8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Examines how refugee status and family reunification issues affect business planning and investment</w:t>
            </w:r>
          </w:p>
        </w:tc>
        <w:tc>
          <w:tcPr>
            <w:tcW w:w="1550" w:type="dxa"/>
          </w:tcPr>
          <w:p w14:paraId="65E804E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 enterprise, legal status, uncertainty</w:t>
            </w:r>
          </w:p>
        </w:tc>
      </w:tr>
      <w:tr w:rsidR="00845447" w14:paraId="7392CDF1" w14:textId="77777777" w:rsidTr="001F6B0D">
        <w:tc>
          <w:tcPr>
            <w:tcW w:w="704" w:type="dxa"/>
          </w:tcPr>
          <w:p w14:paraId="588C0E7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6</w:t>
            </w:r>
          </w:p>
        </w:tc>
        <w:tc>
          <w:tcPr>
            <w:tcW w:w="1528" w:type="dxa"/>
          </w:tcPr>
          <w:p w14:paraId="1012D09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DELI Project Researchers</w:t>
            </w:r>
          </w:p>
        </w:tc>
        <w:tc>
          <w:tcPr>
            <w:tcW w:w="740" w:type="dxa"/>
          </w:tcPr>
          <w:p w14:paraId="3CD89B3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2020</w:t>
            </w:r>
          </w:p>
        </w:tc>
        <w:tc>
          <w:tcPr>
            <w:tcW w:w="1319" w:type="dxa"/>
          </w:tcPr>
          <w:p w14:paraId="5CC6E0C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Paper</w:t>
            </w:r>
          </w:p>
        </w:tc>
        <w:tc>
          <w:tcPr>
            <w:tcW w:w="1553" w:type="dxa"/>
          </w:tcPr>
          <w:p w14:paraId="54A9DF5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Migrant Entrepreneurship in </w:t>
            </w:r>
            <w:proofErr w:type="spellStart"/>
            <w:r w:rsidRPr="00845447">
              <w:rPr>
                <w:rFonts w:asciiTheme="majorHAnsi" w:eastAsia="Times New Roman" w:hAnsiTheme="majorHAnsi" w:cstheme="majorHAnsi"/>
                <w:sz w:val="20"/>
                <w:szCs w:val="20"/>
                <w:lang w:eastAsia="en-GB"/>
              </w:rPr>
              <w:t>Lewisham</w:t>
            </w:r>
            <w:proofErr w:type="spellEnd"/>
          </w:p>
        </w:tc>
        <w:tc>
          <w:tcPr>
            <w:tcW w:w="1557" w:type="dxa"/>
          </w:tcPr>
          <w:p w14:paraId="13E9535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To identify challenges faced by migrant entrepreneurs </w:t>
            </w:r>
            <w:r w:rsidRPr="00845447">
              <w:rPr>
                <w:rFonts w:asciiTheme="majorHAnsi" w:eastAsia="Times New Roman" w:hAnsiTheme="majorHAnsi" w:cstheme="majorHAnsi"/>
                <w:sz w:val="20"/>
                <w:szCs w:val="20"/>
                <w:lang w:eastAsia="en-GB"/>
              </w:rPr>
              <w:lastRenderedPageBreak/>
              <w:t>in London’s competitive market</w:t>
            </w:r>
          </w:p>
        </w:tc>
        <w:tc>
          <w:tcPr>
            <w:tcW w:w="1505" w:type="dxa"/>
          </w:tcPr>
          <w:p w14:paraId="792FD2F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 xml:space="preserve">Emphasizes market competition and knowledge </w:t>
            </w:r>
            <w:r w:rsidRPr="00845447">
              <w:rPr>
                <w:rFonts w:asciiTheme="majorHAnsi" w:eastAsia="Times New Roman" w:hAnsiTheme="majorHAnsi" w:cstheme="majorHAnsi"/>
                <w:sz w:val="20"/>
                <w:szCs w:val="20"/>
                <w:lang w:eastAsia="en-GB"/>
              </w:rPr>
              <w:lastRenderedPageBreak/>
              <w:t>gaps in legal and structural frameworks</w:t>
            </w:r>
          </w:p>
        </w:tc>
        <w:tc>
          <w:tcPr>
            <w:tcW w:w="1550" w:type="dxa"/>
          </w:tcPr>
          <w:p w14:paraId="3ABCAF0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Migrant entrepreneurship, competition</w:t>
            </w:r>
          </w:p>
        </w:tc>
      </w:tr>
      <w:tr w:rsidR="00845447" w14:paraId="653C774A" w14:textId="77777777" w:rsidTr="001F6B0D">
        <w:tc>
          <w:tcPr>
            <w:tcW w:w="704" w:type="dxa"/>
          </w:tcPr>
          <w:p w14:paraId="61F39E2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7</w:t>
            </w:r>
          </w:p>
        </w:tc>
        <w:tc>
          <w:tcPr>
            <w:tcW w:w="1528" w:type="dxa"/>
          </w:tcPr>
          <w:p w14:paraId="5A07CF2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 Acceleration Consortium</w:t>
            </w:r>
          </w:p>
        </w:tc>
        <w:tc>
          <w:tcPr>
            <w:tcW w:w="740" w:type="dxa"/>
          </w:tcPr>
          <w:p w14:paraId="78A21A5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2021</w:t>
            </w:r>
          </w:p>
        </w:tc>
        <w:tc>
          <w:tcPr>
            <w:tcW w:w="1319" w:type="dxa"/>
          </w:tcPr>
          <w:p w14:paraId="7DD8CD3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Report</w:t>
            </w:r>
          </w:p>
        </w:tc>
        <w:tc>
          <w:tcPr>
            <w:tcW w:w="1553" w:type="dxa"/>
          </w:tcPr>
          <w:p w14:paraId="0145F34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Identifying Common Issues and Challenges of Migrant Entrepreneurs</w:t>
            </w:r>
          </w:p>
        </w:tc>
        <w:tc>
          <w:tcPr>
            <w:tcW w:w="1557" w:type="dxa"/>
          </w:tcPr>
          <w:p w14:paraId="7392B01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identify legal, regulatory, and knowledge barriers for migrant entrepreneurs</w:t>
            </w:r>
          </w:p>
        </w:tc>
        <w:tc>
          <w:tcPr>
            <w:tcW w:w="1505" w:type="dxa"/>
          </w:tcPr>
          <w:p w14:paraId="5D7AAFF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lack of legal knowledge and structural barriers in UK business environment</w:t>
            </w:r>
          </w:p>
        </w:tc>
        <w:tc>
          <w:tcPr>
            <w:tcW w:w="1550" w:type="dxa"/>
          </w:tcPr>
          <w:p w14:paraId="46BD3F9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 entrepreneurs, legal barriers</w:t>
            </w:r>
          </w:p>
        </w:tc>
      </w:tr>
      <w:tr w:rsidR="00845447" w14:paraId="0A1FAD5B" w14:textId="77777777" w:rsidTr="001F6B0D">
        <w:tc>
          <w:tcPr>
            <w:tcW w:w="704" w:type="dxa"/>
          </w:tcPr>
          <w:p w14:paraId="5BB9350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8</w:t>
            </w:r>
          </w:p>
        </w:tc>
        <w:tc>
          <w:tcPr>
            <w:tcW w:w="1528" w:type="dxa"/>
          </w:tcPr>
          <w:p w14:paraId="6B3399D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Enterprise Research Centre</w:t>
            </w:r>
          </w:p>
        </w:tc>
        <w:tc>
          <w:tcPr>
            <w:tcW w:w="740" w:type="dxa"/>
          </w:tcPr>
          <w:p w14:paraId="35A1C09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2018</w:t>
            </w:r>
          </w:p>
        </w:tc>
        <w:tc>
          <w:tcPr>
            <w:tcW w:w="1319" w:type="dxa"/>
          </w:tcPr>
          <w:p w14:paraId="1965776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Literature Review</w:t>
            </w:r>
          </w:p>
        </w:tc>
        <w:tc>
          <w:tcPr>
            <w:tcW w:w="1553" w:type="dxa"/>
          </w:tcPr>
          <w:p w14:paraId="64A3A15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Under-represented Entrepreneurs: A Literature Review</w:t>
            </w:r>
          </w:p>
        </w:tc>
        <w:tc>
          <w:tcPr>
            <w:tcW w:w="1557" w:type="dxa"/>
          </w:tcPr>
          <w:p w14:paraId="74721D9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review barriers faced by migrants in entrepreneurship, including language and institutional unfamiliarity</w:t>
            </w:r>
          </w:p>
        </w:tc>
        <w:tc>
          <w:tcPr>
            <w:tcW w:w="1505" w:type="dxa"/>
          </w:tcPr>
          <w:p w14:paraId="58E500A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cultural and institutional challenges migrant entrepreneurs face in host countries</w:t>
            </w:r>
          </w:p>
        </w:tc>
        <w:tc>
          <w:tcPr>
            <w:tcW w:w="1550" w:type="dxa"/>
          </w:tcPr>
          <w:p w14:paraId="64577490" w14:textId="77777777" w:rsidR="001655AF" w:rsidRPr="00845447" w:rsidRDefault="001655AF" w:rsidP="00442151">
            <w:pPr>
              <w:rPr>
                <w:rFonts w:asciiTheme="majorHAnsi" w:hAnsiTheme="majorHAnsi" w:cstheme="majorHAnsi"/>
                <w:sz w:val="20"/>
                <w:szCs w:val="20"/>
              </w:rPr>
            </w:pPr>
          </w:p>
        </w:tc>
      </w:tr>
      <w:tr w:rsidR="00845447" w14:paraId="4E341A7F" w14:textId="77777777" w:rsidTr="001F6B0D">
        <w:tc>
          <w:tcPr>
            <w:tcW w:w="704" w:type="dxa"/>
          </w:tcPr>
          <w:p w14:paraId="7C4A24E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9</w:t>
            </w:r>
          </w:p>
        </w:tc>
        <w:tc>
          <w:tcPr>
            <w:tcW w:w="1528" w:type="dxa"/>
          </w:tcPr>
          <w:p w14:paraId="43763EC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Kodama, F.</w:t>
            </w:r>
          </w:p>
        </w:tc>
        <w:tc>
          <w:tcPr>
            <w:tcW w:w="740" w:type="dxa"/>
          </w:tcPr>
          <w:p w14:paraId="2A5447F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1999</w:t>
            </w:r>
          </w:p>
        </w:tc>
        <w:tc>
          <w:tcPr>
            <w:tcW w:w="1319" w:type="dxa"/>
          </w:tcPr>
          <w:p w14:paraId="7E59B47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526DC62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Models and E-Business</w:t>
            </w:r>
          </w:p>
        </w:tc>
        <w:tc>
          <w:tcPr>
            <w:tcW w:w="1557" w:type="dxa"/>
          </w:tcPr>
          <w:p w14:paraId="5857763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review early business model concepts relevant to immigrant entrepreneurs adapting to new markets</w:t>
            </w:r>
          </w:p>
        </w:tc>
        <w:tc>
          <w:tcPr>
            <w:tcW w:w="1505" w:type="dxa"/>
          </w:tcPr>
          <w:p w14:paraId="2E5E469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Provides theoretical foundation for understanding business model adaptation</w:t>
            </w:r>
          </w:p>
        </w:tc>
        <w:tc>
          <w:tcPr>
            <w:tcW w:w="1550" w:type="dxa"/>
          </w:tcPr>
          <w:p w14:paraId="71C5D97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immigrant entrepreneurs</w:t>
            </w:r>
          </w:p>
        </w:tc>
      </w:tr>
      <w:tr w:rsidR="00845447" w14:paraId="64D33193" w14:textId="77777777" w:rsidTr="001F6B0D">
        <w:tc>
          <w:tcPr>
            <w:tcW w:w="704" w:type="dxa"/>
          </w:tcPr>
          <w:p w14:paraId="3FE94E9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10</w:t>
            </w:r>
          </w:p>
        </w:tc>
        <w:tc>
          <w:tcPr>
            <w:tcW w:w="1528" w:type="dxa"/>
          </w:tcPr>
          <w:p w14:paraId="747878C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Gilsing, R., </w:t>
            </w:r>
            <w:proofErr w:type="spellStart"/>
            <w:r w:rsidRPr="00845447">
              <w:rPr>
                <w:rFonts w:asciiTheme="majorHAnsi" w:eastAsia="Times New Roman" w:hAnsiTheme="majorHAnsi" w:cstheme="majorHAnsi"/>
                <w:sz w:val="20"/>
                <w:szCs w:val="20"/>
                <w:lang w:eastAsia="en-GB"/>
              </w:rPr>
              <w:t>Turetken</w:t>
            </w:r>
            <w:proofErr w:type="spellEnd"/>
            <w:r w:rsidRPr="00845447">
              <w:rPr>
                <w:rFonts w:asciiTheme="majorHAnsi" w:eastAsia="Times New Roman" w:hAnsiTheme="majorHAnsi" w:cstheme="majorHAnsi"/>
                <w:sz w:val="20"/>
                <w:szCs w:val="20"/>
                <w:lang w:eastAsia="en-GB"/>
              </w:rPr>
              <w:t>, O. et al.</w:t>
            </w:r>
          </w:p>
        </w:tc>
        <w:tc>
          <w:tcPr>
            <w:tcW w:w="740" w:type="dxa"/>
          </w:tcPr>
          <w:p w14:paraId="4CBF460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60EEA0F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DA1C11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Evaluation: A Systematic Review of Methods</w:t>
            </w:r>
          </w:p>
        </w:tc>
        <w:tc>
          <w:tcPr>
            <w:tcW w:w="1557" w:type="dxa"/>
          </w:tcPr>
          <w:p w14:paraId="0179E41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critically assess methods for evaluating business models, applicable to migrant entrepreneurship</w:t>
            </w:r>
          </w:p>
        </w:tc>
        <w:tc>
          <w:tcPr>
            <w:tcW w:w="1505" w:type="dxa"/>
          </w:tcPr>
          <w:p w14:paraId="3C2FA0B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Useful for assessing business model viability and innovation in migrant food businesses</w:t>
            </w:r>
          </w:p>
        </w:tc>
        <w:tc>
          <w:tcPr>
            <w:tcW w:w="1550" w:type="dxa"/>
          </w:tcPr>
          <w:p w14:paraId="0A366BD3" w14:textId="77777777" w:rsidR="001655AF" w:rsidRPr="00845447" w:rsidRDefault="001655AF" w:rsidP="00442151">
            <w:pPr>
              <w:rPr>
                <w:rFonts w:asciiTheme="majorHAnsi" w:hAnsiTheme="majorHAnsi" w:cstheme="majorHAnsi"/>
                <w:sz w:val="20"/>
                <w:szCs w:val="20"/>
              </w:rPr>
            </w:pPr>
          </w:p>
        </w:tc>
      </w:tr>
      <w:tr w:rsidR="00845447" w14:paraId="73BAB4A4" w14:textId="77777777" w:rsidTr="001F6B0D">
        <w:tc>
          <w:tcPr>
            <w:tcW w:w="704" w:type="dxa"/>
          </w:tcPr>
          <w:p w14:paraId="1521CFE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11</w:t>
            </w:r>
          </w:p>
        </w:tc>
        <w:tc>
          <w:tcPr>
            <w:tcW w:w="1528" w:type="dxa"/>
          </w:tcPr>
          <w:p w14:paraId="4D30F82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Massa, L., Tucci, C.L.</w:t>
            </w:r>
          </w:p>
        </w:tc>
        <w:tc>
          <w:tcPr>
            <w:tcW w:w="740" w:type="dxa"/>
          </w:tcPr>
          <w:p w14:paraId="6AABDA7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2021</w:t>
            </w:r>
          </w:p>
        </w:tc>
        <w:tc>
          <w:tcPr>
            <w:tcW w:w="1319" w:type="dxa"/>
          </w:tcPr>
          <w:p w14:paraId="5DE8BDD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44C83DF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Innovation: What Can We Learn from Practice?</w:t>
            </w:r>
          </w:p>
        </w:tc>
        <w:tc>
          <w:tcPr>
            <w:tcW w:w="1557" w:type="dxa"/>
          </w:tcPr>
          <w:p w14:paraId="50FF256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analyze real-world business model innovation cases, including ethnic minority entrepreneurs</w:t>
            </w:r>
          </w:p>
        </w:tc>
        <w:tc>
          <w:tcPr>
            <w:tcW w:w="1505" w:type="dxa"/>
          </w:tcPr>
          <w:p w14:paraId="674A71A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Emphasizes learning from practice, relevant for migrant entrepreneurs facing market challenges</w:t>
            </w:r>
          </w:p>
        </w:tc>
        <w:tc>
          <w:tcPr>
            <w:tcW w:w="1550" w:type="dxa"/>
          </w:tcPr>
          <w:p w14:paraId="2DF6E4F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innovation, practice</w:t>
            </w:r>
          </w:p>
        </w:tc>
      </w:tr>
      <w:tr w:rsidR="00845447" w14:paraId="52086F37" w14:textId="77777777" w:rsidTr="001F6B0D">
        <w:tc>
          <w:tcPr>
            <w:tcW w:w="704" w:type="dxa"/>
          </w:tcPr>
          <w:p w14:paraId="5CB0DA6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12</w:t>
            </w:r>
          </w:p>
        </w:tc>
        <w:tc>
          <w:tcPr>
            <w:tcW w:w="1528" w:type="dxa"/>
          </w:tcPr>
          <w:p w14:paraId="07B7B81A"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Abdelkafi</w:t>
            </w:r>
            <w:proofErr w:type="spellEnd"/>
            <w:r w:rsidRPr="00845447">
              <w:rPr>
                <w:rFonts w:asciiTheme="majorHAnsi" w:eastAsia="Times New Roman" w:hAnsiTheme="majorHAnsi" w:cstheme="majorHAnsi"/>
                <w:sz w:val="20"/>
                <w:szCs w:val="20"/>
                <w:lang w:eastAsia="en-GB"/>
              </w:rPr>
              <w:t xml:space="preserve">, N., </w:t>
            </w:r>
            <w:proofErr w:type="spellStart"/>
            <w:r w:rsidRPr="00845447">
              <w:rPr>
                <w:rFonts w:asciiTheme="majorHAnsi" w:eastAsia="Times New Roman" w:hAnsiTheme="majorHAnsi" w:cstheme="majorHAnsi"/>
                <w:sz w:val="20"/>
                <w:szCs w:val="20"/>
                <w:lang w:eastAsia="en-GB"/>
              </w:rPr>
              <w:t>Täuscher</w:t>
            </w:r>
            <w:proofErr w:type="spellEnd"/>
            <w:r w:rsidRPr="00845447">
              <w:rPr>
                <w:rFonts w:asciiTheme="majorHAnsi" w:eastAsia="Times New Roman" w:hAnsiTheme="majorHAnsi" w:cstheme="majorHAnsi"/>
                <w:sz w:val="20"/>
                <w:szCs w:val="20"/>
                <w:lang w:eastAsia="en-GB"/>
              </w:rPr>
              <w:t>, K.</w:t>
            </w:r>
          </w:p>
        </w:tc>
        <w:tc>
          <w:tcPr>
            <w:tcW w:w="740" w:type="dxa"/>
          </w:tcPr>
          <w:p w14:paraId="2E1E7BA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2021</w:t>
            </w:r>
          </w:p>
        </w:tc>
        <w:tc>
          <w:tcPr>
            <w:tcW w:w="1319" w:type="dxa"/>
          </w:tcPr>
          <w:p w14:paraId="6279ECE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7A82988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Models for Sustainability: Origins, Present Research, and Future Avenues</w:t>
            </w:r>
          </w:p>
        </w:tc>
        <w:tc>
          <w:tcPr>
            <w:tcW w:w="1557" w:type="dxa"/>
          </w:tcPr>
          <w:p w14:paraId="7F229D3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review sustainable business model research and implications for policy</w:t>
            </w:r>
          </w:p>
        </w:tc>
        <w:tc>
          <w:tcPr>
            <w:tcW w:w="1505" w:type="dxa"/>
          </w:tcPr>
          <w:p w14:paraId="6DF5C13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Relevant for migrant entrepreneurs adopting sustainable practices in food sector</w:t>
            </w:r>
          </w:p>
        </w:tc>
        <w:tc>
          <w:tcPr>
            <w:tcW w:w="1550" w:type="dxa"/>
          </w:tcPr>
          <w:p w14:paraId="08020F0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Sustainability, business model, policy</w:t>
            </w:r>
          </w:p>
        </w:tc>
      </w:tr>
      <w:tr w:rsidR="00845447" w14:paraId="1D6C2630" w14:textId="77777777" w:rsidTr="001F6B0D">
        <w:tc>
          <w:tcPr>
            <w:tcW w:w="704" w:type="dxa"/>
          </w:tcPr>
          <w:p w14:paraId="289F76B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13</w:t>
            </w:r>
          </w:p>
        </w:tc>
        <w:tc>
          <w:tcPr>
            <w:tcW w:w="1528" w:type="dxa"/>
          </w:tcPr>
          <w:p w14:paraId="089AD76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Reim, W., Parida, V., </w:t>
            </w:r>
            <w:proofErr w:type="spellStart"/>
            <w:r w:rsidRPr="00845447">
              <w:rPr>
                <w:rFonts w:asciiTheme="majorHAnsi" w:eastAsia="Times New Roman" w:hAnsiTheme="majorHAnsi" w:cstheme="majorHAnsi"/>
                <w:sz w:val="20"/>
                <w:szCs w:val="20"/>
                <w:lang w:eastAsia="en-GB"/>
              </w:rPr>
              <w:t>Sjödin</w:t>
            </w:r>
            <w:proofErr w:type="spellEnd"/>
            <w:r w:rsidRPr="00845447">
              <w:rPr>
                <w:rFonts w:asciiTheme="majorHAnsi" w:eastAsia="Times New Roman" w:hAnsiTheme="majorHAnsi" w:cstheme="majorHAnsi"/>
                <w:sz w:val="20"/>
                <w:szCs w:val="20"/>
                <w:lang w:eastAsia="en-GB"/>
              </w:rPr>
              <w:t>, D.</w:t>
            </w:r>
          </w:p>
        </w:tc>
        <w:tc>
          <w:tcPr>
            <w:tcW w:w="740" w:type="dxa"/>
          </w:tcPr>
          <w:p w14:paraId="37463A5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1C3A31F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7F9AC5C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Circular Business Models: Review and Future Directions</w:t>
            </w:r>
          </w:p>
        </w:tc>
        <w:tc>
          <w:tcPr>
            <w:tcW w:w="1557" w:type="dxa"/>
          </w:tcPr>
          <w:p w14:paraId="6FA39F8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review circular economy business models with policy and practice recommendations</w:t>
            </w:r>
          </w:p>
        </w:tc>
        <w:tc>
          <w:tcPr>
            <w:tcW w:w="1505" w:type="dxa"/>
          </w:tcPr>
          <w:p w14:paraId="732C6F6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Offers insights into sustainability challenges migrant entrepreneurs might face</w:t>
            </w:r>
          </w:p>
        </w:tc>
        <w:tc>
          <w:tcPr>
            <w:tcW w:w="1550" w:type="dxa"/>
          </w:tcPr>
          <w:p w14:paraId="0ABA055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Circular economy, sustainability</w:t>
            </w:r>
          </w:p>
        </w:tc>
      </w:tr>
      <w:tr w:rsidR="00845447" w14:paraId="189B59C2" w14:textId="77777777" w:rsidTr="001F6B0D">
        <w:tc>
          <w:tcPr>
            <w:tcW w:w="704" w:type="dxa"/>
          </w:tcPr>
          <w:p w14:paraId="5901C6C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14</w:t>
            </w:r>
          </w:p>
        </w:tc>
        <w:tc>
          <w:tcPr>
            <w:tcW w:w="1528" w:type="dxa"/>
          </w:tcPr>
          <w:p w14:paraId="34334A6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Yüksel, I.</w:t>
            </w:r>
          </w:p>
        </w:tc>
        <w:tc>
          <w:tcPr>
            <w:tcW w:w="740" w:type="dxa"/>
          </w:tcPr>
          <w:p w14:paraId="2EBA65A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2012</w:t>
            </w:r>
          </w:p>
        </w:tc>
        <w:tc>
          <w:tcPr>
            <w:tcW w:w="1319" w:type="dxa"/>
          </w:tcPr>
          <w:p w14:paraId="3FD98FE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1872768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SWOT/PESTEL Analysis in Business Model Evaluation</w:t>
            </w:r>
          </w:p>
        </w:tc>
        <w:tc>
          <w:tcPr>
            <w:tcW w:w="1557" w:type="dxa"/>
          </w:tcPr>
          <w:p w14:paraId="7A39B1D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To apply SWOT/PESTEL frameworks to </w:t>
            </w:r>
            <w:r w:rsidRPr="00845447">
              <w:rPr>
                <w:rFonts w:asciiTheme="majorHAnsi" w:eastAsia="Times New Roman" w:hAnsiTheme="majorHAnsi" w:cstheme="majorHAnsi"/>
                <w:sz w:val="20"/>
                <w:szCs w:val="20"/>
                <w:lang w:eastAsia="en-GB"/>
              </w:rPr>
              <w:lastRenderedPageBreak/>
              <w:t>evaluate business models</w:t>
            </w:r>
          </w:p>
        </w:tc>
        <w:tc>
          <w:tcPr>
            <w:tcW w:w="1505" w:type="dxa"/>
          </w:tcPr>
          <w:p w14:paraId="12688A0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 xml:space="preserve">Framework useful for migrant entrepreneurs </w:t>
            </w:r>
            <w:r w:rsidRPr="00845447">
              <w:rPr>
                <w:rFonts w:asciiTheme="majorHAnsi" w:eastAsia="Times New Roman" w:hAnsiTheme="majorHAnsi" w:cstheme="majorHAnsi"/>
                <w:sz w:val="20"/>
                <w:szCs w:val="20"/>
                <w:lang w:eastAsia="en-GB"/>
              </w:rPr>
              <w:lastRenderedPageBreak/>
              <w:t>analyzing external challenges</w:t>
            </w:r>
          </w:p>
        </w:tc>
        <w:tc>
          <w:tcPr>
            <w:tcW w:w="1550" w:type="dxa"/>
          </w:tcPr>
          <w:p w14:paraId="4F84115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SWOT, PESTEL, business model</w:t>
            </w:r>
          </w:p>
        </w:tc>
      </w:tr>
      <w:tr w:rsidR="00845447" w14:paraId="394DC9F9" w14:textId="77777777" w:rsidTr="001F6B0D">
        <w:tc>
          <w:tcPr>
            <w:tcW w:w="704" w:type="dxa"/>
          </w:tcPr>
          <w:p w14:paraId="1ACF1EB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15</w:t>
            </w:r>
          </w:p>
        </w:tc>
        <w:tc>
          <w:tcPr>
            <w:tcW w:w="1528" w:type="dxa"/>
          </w:tcPr>
          <w:p w14:paraId="16D98DD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Chesbrough, H.</w:t>
            </w:r>
          </w:p>
        </w:tc>
        <w:tc>
          <w:tcPr>
            <w:tcW w:w="740" w:type="dxa"/>
          </w:tcPr>
          <w:p w14:paraId="332388F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2020</w:t>
            </w:r>
          </w:p>
        </w:tc>
        <w:tc>
          <w:tcPr>
            <w:tcW w:w="1319" w:type="dxa"/>
          </w:tcPr>
          <w:p w14:paraId="754B0C8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5B2B8C5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Recover Faster from Covid-19, Open Up: Managerial Implications</w:t>
            </w:r>
          </w:p>
        </w:tc>
        <w:tc>
          <w:tcPr>
            <w:tcW w:w="1557" w:type="dxa"/>
          </w:tcPr>
          <w:p w14:paraId="30B42A4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explore business model adaptation during crises</w:t>
            </w:r>
          </w:p>
        </w:tc>
        <w:tc>
          <w:tcPr>
            <w:tcW w:w="1505" w:type="dxa"/>
          </w:tcPr>
          <w:p w14:paraId="0AC751A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adaptive strategies migrant entrepreneurs can apply during economic shocks</w:t>
            </w:r>
          </w:p>
        </w:tc>
        <w:tc>
          <w:tcPr>
            <w:tcW w:w="1550" w:type="dxa"/>
          </w:tcPr>
          <w:p w14:paraId="1B94DF7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adaptation, crisis management</w:t>
            </w:r>
          </w:p>
        </w:tc>
      </w:tr>
      <w:tr w:rsidR="00845447" w14:paraId="2FF2C346" w14:textId="77777777" w:rsidTr="001F6B0D">
        <w:tc>
          <w:tcPr>
            <w:tcW w:w="704" w:type="dxa"/>
          </w:tcPr>
          <w:p w14:paraId="784A24F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16</w:t>
            </w:r>
          </w:p>
        </w:tc>
        <w:tc>
          <w:tcPr>
            <w:tcW w:w="1528" w:type="dxa"/>
          </w:tcPr>
          <w:p w14:paraId="4F789A2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O’Hagan, A. et al.</w:t>
            </w:r>
          </w:p>
        </w:tc>
        <w:tc>
          <w:tcPr>
            <w:tcW w:w="740" w:type="dxa"/>
          </w:tcPr>
          <w:p w14:paraId="60BDB6A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2006</w:t>
            </w:r>
          </w:p>
        </w:tc>
        <w:tc>
          <w:tcPr>
            <w:tcW w:w="1319" w:type="dxa"/>
          </w:tcPr>
          <w:p w14:paraId="69144C1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4AB866D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Uncertainty in Business Model Evaluation</w:t>
            </w:r>
          </w:p>
        </w:tc>
        <w:tc>
          <w:tcPr>
            <w:tcW w:w="1557" w:type="dxa"/>
          </w:tcPr>
          <w:p w14:paraId="1F4D7D4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address managing uncertainty in business model assessment</w:t>
            </w:r>
          </w:p>
        </w:tc>
        <w:tc>
          <w:tcPr>
            <w:tcW w:w="1505" w:type="dxa"/>
          </w:tcPr>
          <w:p w14:paraId="7ACBD15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Provides methods applicable to migrant entrepreneurs facing uncertain regulatory environments</w:t>
            </w:r>
          </w:p>
        </w:tc>
        <w:tc>
          <w:tcPr>
            <w:tcW w:w="1550" w:type="dxa"/>
          </w:tcPr>
          <w:p w14:paraId="782B4B4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Uncertainty, scenario analysis</w:t>
            </w:r>
          </w:p>
        </w:tc>
      </w:tr>
      <w:tr w:rsidR="00845447" w14:paraId="421F2B57" w14:textId="77777777" w:rsidTr="001F6B0D">
        <w:tc>
          <w:tcPr>
            <w:tcW w:w="704" w:type="dxa"/>
          </w:tcPr>
          <w:p w14:paraId="0F3A130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17</w:t>
            </w:r>
          </w:p>
        </w:tc>
        <w:tc>
          <w:tcPr>
            <w:tcW w:w="1528" w:type="dxa"/>
          </w:tcPr>
          <w:p w14:paraId="41F78DD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Mateu, J.M., March-Chorda, I.</w:t>
            </w:r>
          </w:p>
        </w:tc>
        <w:tc>
          <w:tcPr>
            <w:tcW w:w="740" w:type="dxa"/>
          </w:tcPr>
          <w:p w14:paraId="510841D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2016</w:t>
            </w:r>
          </w:p>
        </w:tc>
        <w:tc>
          <w:tcPr>
            <w:tcW w:w="1319" w:type="dxa"/>
          </w:tcPr>
          <w:p w14:paraId="44D3012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DDF9DB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Evaluation Using Expert Judgment</w:t>
            </w:r>
          </w:p>
        </w:tc>
        <w:tc>
          <w:tcPr>
            <w:tcW w:w="1557" w:type="dxa"/>
          </w:tcPr>
          <w:p w14:paraId="36B254F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examine expert judgment in business model evaluation</w:t>
            </w:r>
          </w:p>
        </w:tc>
        <w:tc>
          <w:tcPr>
            <w:tcW w:w="1505" w:type="dxa"/>
          </w:tcPr>
          <w:p w14:paraId="727164E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Useful for migrant entrepreneurs seeking expert advice on business viability</w:t>
            </w:r>
          </w:p>
        </w:tc>
        <w:tc>
          <w:tcPr>
            <w:tcW w:w="1550" w:type="dxa"/>
          </w:tcPr>
          <w:p w14:paraId="033923C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Expert judgment, evaluation</w:t>
            </w:r>
          </w:p>
        </w:tc>
      </w:tr>
      <w:tr w:rsidR="00845447" w14:paraId="79B9821D" w14:textId="77777777" w:rsidTr="001F6B0D">
        <w:tc>
          <w:tcPr>
            <w:tcW w:w="704" w:type="dxa"/>
          </w:tcPr>
          <w:p w14:paraId="40CE877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18</w:t>
            </w:r>
          </w:p>
        </w:tc>
        <w:tc>
          <w:tcPr>
            <w:tcW w:w="1528" w:type="dxa"/>
          </w:tcPr>
          <w:p w14:paraId="4E2FCF6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Spieth, P., </w:t>
            </w:r>
            <w:proofErr w:type="spellStart"/>
            <w:r w:rsidRPr="00845447">
              <w:rPr>
                <w:rFonts w:asciiTheme="majorHAnsi" w:eastAsia="Times New Roman" w:hAnsiTheme="majorHAnsi" w:cstheme="majorHAnsi"/>
                <w:sz w:val="20"/>
                <w:szCs w:val="20"/>
                <w:lang w:eastAsia="en-GB"/>
              </w:rPr>
              <w:t>Schneckenberg</w:t>
            </w:r>
            <w:proofErr w:type="spellEnd"/>
            <w:r w:rsidRPr="00845447">
              <w:rPr>
                <w:rFonts w:asciiTheme="majorHAnsi" w:eastAsia="Times New Roman" w:hAnsiTheme="majorHAnsi" w:cstheme="majorHAnsi"/>
                <w:sz w:val="20"/>
                <w:szCs w:val="20"/>
                <w:lang w:eastAsia="en-GB"/>
              </w:rPr>
              <w:t>, D., Ricart, J.E.</w:t>
            </w:r>
          </w:p>
        </w:tc>
        <w:tc>
          <w:tcPr>
            <w:tcW w:w="740" w:type="dxa"/>
          </w:tcPr>
          <w:p w14:paraId="1B35515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2021</w:t>
            </w:r>
          </w:p>
        </w:tc>
        <w:tc>
          <w:tcPr>
            <w:tcW w:w="1319" w:type="dxa"/>
          </w:tcPr>
          <w:p w14:paraId="677ED1D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74537B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Innovation – State of the Art and Future Challenges</w:t>
            </w:r>
          </w:p>
        </w:tc>
        <w:tc>
          <w:tcPr>
            <w:tcW w:w="1557" w:type="dxa"/>
          </w:tcPr>
          <w:p w14:paraId="0578399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review current challenges in business model innovation</w:t>
            </w:r>
          </w:p>
        </w:tc>
        <w:tc>
          <w:tcPr>
            <w:tcW w:w="1505" w:type="dxa"/>
          </w:tcPr>
          <w:p w14:paraId="7044EC0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Identifies barriers migrant entrepreneurs may face in innovating business models</w:t>
            </w:r>
          </w:p>
        </w:tc>
        <w:tc>
          <w:tcPr>
            <w:tcW w:w="1550" w:type="dxa"/>
          </w:tcPr>
          <w:p w14:paraId="1F1EC00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Innovation, challenges, migrant entrepreneurs</w:t>
            </w:r>
          </w:p>
        </w:tc>
      </w:tr>
      <w:tr w:rsidR="00845447" w14:paraId="6847FE92" w14:textId="77777777" w:rsidTr="001F6B0D">
        <w:tc>
          <w:tcPr>
            <w:tcW w:w="704" w:type="dxa"/>
          </w:tcPr>
          <w:p w14:paraId="5CC18DD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w:t>
            </w:r>
          </w:p>
        </w:tc>
        <w:tc>
          <w:tcPr>
            <w:tcW w:w="1528" w:type="dxa"/>
          </w:tcPr>
          <w:p w14:paraId="086C56E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Velu, C.</w:t>
            </w:r>
          </w:p>
        </w:tc>
        <w:tc>
          <w:tcPr>
            <w:tcW w:w="740" w:type="dxa"/>
          </w:tcPr>
          <w:p w14:paraId="3F4E291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2023</w:t>
            </w:r>
          </w:p>
        </w:tc>
        <w:tc>
          <w:tcPr>
            <w:tcW w:w="1319" w:type="dxa"/>
          </w:tcPr>
          <w:p w14:paraId="348C37E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249176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Business Model Innovation and Competitive Advantage</w:t>
            </w:r>
          </w:p>
        </w:tc>
        <w:tc>
          <w:tcPr>
            <w:tcW w:w="1557" w:type="dxa"/>
          </w:tcPr>
          <w:p w14:paraId="49144BC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To assess how business model innovation leads to competitive advantage</w:t>
            </w:r>
          </w:p>
        </w:tc>
        <w:tc>
          <w:tcPr>
            <w:tcW w:w="1505" w:type="dxa"/>
          </w:tcPr>
          <w:p w14:paraId="2AACA87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Strategic insights for migrant entrepreneurs competing in London’s food sector</w:t>
            </w:r>
          </w:p>
        </w:tc>
        <w:tc>
          <w:tcPr>
            <w:tcW w:w="1550" w:type="dxa"/>
          </w:tcPr>
          <w:p w14:paraId="3CC8393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Competitive advantage, strategy</w:t>
            </w:r>
          </w:p>
        </w:tc>
      </w:tr>
      <w:tr w:rsidR="00845447" w14:paraId="57B0CCC7" w14:textId="77777777" w:rsidTr="001F6B0D">
        <w:tc>
          <w:tcPr>
            <w:tcW w:w="704" w:type="dxa"/>
          </w:tcPr>
          <w:p w14:paraId="2CFE1017"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20</w:t>
            </w:r>
          </w:p>
        </w:tc>
        <w:tc>
          <w:tcPr>
            <w:tcW w:w="1528" w:type="dxa"/>
          </w:tcPr>
          <w:p w14:paraId="29BC0F2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PubMed Study Authors</w:t>
            </w:r>
          </w:p>
        </w:tc>
        <w:tc>
          <w:tcPr>
            <w:tcW w:w="740" w:type="dxa"/>
          </w:tcPr>
          <w:p w14:paraId="2E9E525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2025</w:t>
            </w:r>
          </w:p>
        </w:tc>
        <w:tc>
          <w:tcPr>
            <w:tcW w:w="1319" w:type="dxa"/>
          </w:tcPr>
          <w:p w14:paraId="0AC9A12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7438554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 Unifying Role of Food for Forced Migrants' Entrepreneurial Activities</w:t>
            </w:r>
          </w:p>
        </w:tc>
        <w:tc>
          <w:tcPr>
            <w:tcW w:w="1557" w:type="dxa"/>
          </w:tcPr>
          <w:p w14:paraId="302D0F5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Investigate how cookery classes and food networks support forced migrants' entrepreneurship in London</w:t>
            </w:r>
          </w:p>
        </w:tc>
        <w:tc>
          <w:tcPr>
            <w:tcW w:w="1505" w:type="dxa"/>
          </w:tcPr>
          <w:p w14:paraId="4BB14DA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empowerment, leadership, and micro-power dynamics for migrant entrepreneurs in London food sector</w:t>
            </w:r>
          </w:p>
        </w:tc>
        <w:tc>
          <w:tcPr>
            <w:tcW w:w="1550" w:type="dxa"/>
          </w:tcPr>
          <w:p w14:paraId="6BFCAE1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Forced migrants, food, entrepreneurship</w:t>
            </w:r>
          </w:p>
        </w:tc>
      </w:tr>
      <w:tr w:rsidR="00845447" w14:paraId="2C397E66" w14:textId="77777777" w:rsidTr="001F6B0D">
        <w:tc>
          <w:tcPr>
            <w:tcW w:w="704" w:type="dxa"/>
          </w:tcPr>
          <w:p w14:paraId="34ACCF53"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21</w:t>
            </w:r>
          </w:p>
        </w:tc>
        <w:tc>
          <w:tcPr>
            <w:tcW w:w="1528" w:type="dxa"/>
          </w:tcPr>
          <w:p w14:paraId="649A859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Emerald Study Authors</w:t>
            </w:r>
          </w:p>
        </w:tc>
        <w:tc>
          <w:tcPr>
            <w:tcW w:w="740" w:type="dxa"/>
          </w:tcPr>
          <w:p w14:paraId="17047F1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2024</w:t>
            </w:r>
          </w:p>
        </w:tc>
        <w:tc>
          <w:tcPr>
            <w:tcW w:w="1319" w:type="dxa"/>
          </w:tcPr>
          <w:p w14:paraId="228BC7B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77A23E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 Entrepreneurs in Entrepreneurial Ecosystems with Constraints</w:t>
            </w:r>
          </w:p>
        </w:tc>
        <w:tc>
          <w:tcPr>
            <w:tcW w:w="1557" w:type="dxa"/>
          </w:tcPr>
          <w:p w14:paraId="53BF4B8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migrant entrepreneurs' agency in constrained entrepreneurial ecosystems</w:t>
            </w:r>
          </w:p>
        </w:tc>
        <w:tc>
          <w:tcPr>
            <w:tcW w:w="1505" w:type="dxa"/>
          </w:tcPr>
          <w:p w14:paraId="6CC0426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Focuses on how migrants reshape societal structures and overcome barriers in London</w:t>
            </w:r>
          </w:p>
        </w:tc>
        <w:tc>
          <w:tcPr>
            <w:tcW w:w="1550" w:type="dxa"/>
          </w:tcPr>
          <w:p w14:paraId="26BFEED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Agency, constraints, migrant entrepreneurship</w:t>
            </w:r>
          </w:p>
        </w:tc>
      </w:tr>
      <w:tr w:rsidR="00845447" w14:paraId="4B79B0FC" w14:textId="77777777" w:rsidTr="001F6B0D">
        <w:tc>
          <w:tcPr>
            <w:tcW w:w="704" w:type="dxa"/>
          </w:tcPr>
          <w:p w14:paraId="34B2EAEB"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lastRenderedPageBreak/>
              <w:t>22</w:t>
            </w:r>
          </w:p>
        </w:tc>
        <w:tc>
          <w:tcPr>
            <w:tcW w:w="1528" w:type="dxa"/>
          </w:tcPr>
          <w:p w14:paraId="4EEB075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London Datastore/ONS</w:t>
            </w:r>
          </w:p>
        </w:tc>
        <w:tc>
          <w:tcPr>
            <w:tcW w:w="740" w:type="dxa"/>
          </w:tcPr>
          <w:p w14:paraId="2986A4B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2025</w:t>
            </w:r>
          </w:p>
        </w:tc>
        <w:tc>
          <w:tcPr>
            <w:tcW w:w="1319" w:type="dxa"/>
          </w:tcPr>
          <w:p w14:paraId="2D6A258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Data Analysis</w:t>
            </w:r>
          </w:p>
        </w:tc>
        <w:tc>
          <w:tcPr>
            <w:tcW w:w="1553" w:type="dxa"/>
          </w:tcPr>
          <w:p w14:paraId="5C2F4B9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Recent Migration Trends in the UK and London</w:t>
            </w:r>
          </w:p>
        </w:tc>
        <w:tc>
          <w:tcPr>
            <w:tcW w:w="1557" w:type="dxa"/>
          </w:tcPr>
          <w:p w14:paraId="1D74CB7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Analyze migration trends and their impact on London's population and business landscape</w:t>
            </w:r>
          </w:p>
        </w:tc>
        <w:tc>
          <w:tcPr>
            <w:tcW w:w="1505" w:type="dxa"/>
          </w:tcPr>
          <w:p w14:paraId="24AF1AC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cost of living, policy, and distribution of migrants in and beyond London</w:t>
            </w:r>
          </w:p>
        </w:tc>
        <w:tc>
          <w:tcPr>
            <w:tcW w:w="1550" w:type="dxa"/>
          </w:tcPr>
          <w:p w14:paraId="6CA3301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Migration trends, London, policy</w:t>
            </w:r>
          </w:p>
        </w:tc>
      </w:tr>
      <w:tr w:rsidR="00845447" w14:paraId="65EB65F6" w14:textId="77777777" w:rsidTr="001F6B0D">
        <w:tc>
          <w:tcPr>
            <w:tcW w:w="704" w:type="dxa"/>
          </w:tcPr>
          <w:p w14:paraId="1687957B"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23</w:t>
            </w:r>
          </w:p>
        </w:tc>
        <w:tc>
          <w:tcPr>
            <w:tcW w:w="1528" w:type="dxa"/>
          </w:tcPr>
          <w:p w14:paraId="6A7E52A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ScienceDirect Study Authors</w:t>
            </w:r>
          </w:p>
        </w:tc>
        <w:tc>
          <w:tcPr>
            <w:tcW w:w="740" w:type="dxa"/>
          </w:tcPr>
          <w:p w14:paraId="0B3652C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2024</w:t>
            </w:r>
          </w:p>
        </w:tc>
        <w:tc>
          <w:tcPr>
            <w:tcW w:w="1319" w:type="dxa"/>
          </w:tcPr>
          <w:p w14:paraId="3E132C6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09C6D6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 Investigation on Opportunity and Necessity-Driven Entrepreneurship</w:t>
            </w:r>
          </w:p>
        </w:tc>
        <w:tc>
          <w:tcPr>
            <w:tcW w:w="1557" w:type="dxa"/>
          </w:tcPr>
          <w:p w14:paraId="0C1CC78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Compare challenges faced by migrant and native entrepreneurs</w:t>
            </w:r>
          </w:p>
        </w:tc>
        <w:tc>
          <w:tcPr>
            <w:tcW w:w="1505" w:type="dxa"/>
          </w:tcPr>
          <w:p w14:paraId="4720579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Finds migrants face more difficulties in business creation and maintenance</w:t>
            </w:r>
          </w:p>
        </w:tc>
        <w:tc>
          <w:tcPr>
            <w:tcW w:w="1550" w:type="dxa"/>
          </w:tcPr>
          <w:p w14:paraId="3ECD52B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Opportunity, necessity, migrant entrepreneurs</w:t>
            </w:r>
          </w:p>
        </w:tc>
      </w:tr>
      <w:tr w:rsidR="00845447" w14:paraId="61AE1724" w14:textId="77777777" w:rsidTr="001F6B0D">
        <w:tc>
          <w:tcPr>
            <w:tcW w:w="704" w:type="dxa"/>
          </w:tcPr>
          <w:p w14:paraId="12B377A5"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24</w:t>
            </w:r>
          </w:p>
        </w:tc>
        <w:tc>
          <w:tcPr>
            <w:tcW w:w="1528" w:type="dxa"/>
          </w:tcPr>
          <w:p w14:paraId="0A01B04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Sage Journals Study Authors</w:t>
            </w:r>
          </w:p>
        </w:tc>
        <w:tc>
          <w:tcPr>
            <w:tcW w:w="740" w:type="dxa"/>
          </w:tcPr>
          <w:p w14:paraId="7DD4B4F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2024</w:t>
            </w:r>
          </w:p>
        </w:tc>
        <w:tc>
          <w:tcPr>
            <w:tcW w:w="1319" w:type="dxa"/>
          </w:tcPr>
          <w:p w14:paraId="642F366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247032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 Entrepreneurs: Strategic Approaches to Overcoming Liminality</w:t>
            </w:r>
          </w:p>
        </w:tc>
        <w:tc>
          <w:tcPr>
            <w:tcW w:w="1557" w:type="dxa"/>
          </w:tcPr>
          <w:p w14:paraId="794FF08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strategies migrants use to establish and operate SMEs in host countries</w:t>
            </w:r>
          </w:p>
        </w:tc>
        <w:tc>
          <w:tcPr>
            <w:tcW w:w="1505" w:type="dxa"/>
          </w:tcPr>
          <w:p w14:paraId="0ACBB90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Examines navigation of liminality and adaptation strategies in London</w:t>
            </w:r>
          </w:p>
        </w:tc>
        <w:tc>
          <w:tcPr>
            <w:tcW w:w="1550" w:type="dxa"/>
          </w:tcPr>
          <w:p w14:paraId="4485F25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Liminality, SMEs, adaptation</w:t>
            </w:r>
          </w:p>
        </w:tc>
      </w:tr>
      <w:tr w:rsidR="00845447" w14:paraId="29E804AB" w14:textId="77777777" w:rsidTr="001F6B0D">
        <w:tc>
          <w:tcPr>
            <w:tcW w:w="704" w:type="dxa"/>
          </w:tcPr>
          <w:p w14:paraId="6EBABABC"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25</w:t>
            </w:r>
          </w:p>
        </w:tc>
        <w:tc>
          <w:tcPr>
            <w:tcW w:w="1528" w:type="dxa"/>
          </w:tcPr>
          <w:p w14:paraId="0C9AA56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ScienceDirect Study Authors</w:t>
            </w:r>
          </w:p>
        </w:tc>
        <w:tc>
          <w:tcPr>
            <w:tcW w:w="740" w:type="dxa"/>
          </w:tcPr>
          <w:p w14:paraId="23C8118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2021</w:t>
            </w:r>
          </w:p>
        </w:tc>
        <w:tc>
          <w:tcPr>
            <w:tcW w:w="1319" w:type="dxa"/>
          </w:tcPr>
          <w:p w14:paraId="4D540E0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2CAA002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 Systematic Analysis of the Migrant Entrepreneurship Literature</w:t>
            </w:r>
          </w:p>
        </w:tc>
        <w:tc>
          <w:tcPr>
            <w:tcW w:w="1557" w:type="dxa"/>
          </w:tcPr>
          <w:p w14:paraId="10D5809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Thematic analysis of migrant entrepreneurship research across disciplines</w:t>
            </w:r>
          </w:p>
        </w:tc>
        <w:tc>
          <w:tcPr>
            <w:tcW w:w="1505" w:type="dxa"/>
          </w:tcPr>
          <w:p w14:paraId="69B2C3D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Reviews 373 articles, identifies themes relevant to business models and policy</w:t>
            </w:r>
          </w:p>
        </w:tc>
        <w:tc>
          <w:tcPr>
            <w:tcW w:w="1550" w:type="dxa"/>
          </w:tcPr>
          <w:p w14:paraId="0A102F0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Literature review, migrant entrepreneurship</w:t>
            </w:r>
          </w:p>
        </w:tc>
      </w:tr>
      <w:tr w:rsidR="00845447" w14:paraId="7FCAEAAB" w14:textId="77777777" w:rsidTr="001F6B0D">
        <w:tc>
          <w:tcPr>
            <w:tcW w:w="704" w:type="dxa"/>
          </w:tcPr>
          <w:p w14:paraId="4507DCA7"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26</w:t>
            </w:r>
          </w:p>
        </w:tc>
        <w:tc>
          <w:tcPr>
            <w:tcW w:w="1528" w:type="dxa"/>
          </w:tcPr>
          <w:p w14:paraId="59A8C5E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Ram, M., Jones, T.</w:t>
            </w:r>
          </w:p>
        </w:tc>
        <w:tc>
          <w:tcPr>
            <w:tcW w:w="740" w:type="dxa"/>
          </w:tcPr>
          <w:p w14:paraId="3ABD744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2021</w:t>
            </w:r>
          </w:p>
        </w:tc>
        <w:tc>
          <w:tcPr>
            <w:tcW w:w="1319" w:type="dxa"/>
          </w:tcPr>
          <w:p w14:paraId="1122B29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7B29384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Businesses in the UK: A Review of Research and Policy</w:t>
            </w:r>
          </w:p>
        </w:tc>
        <w:tc>
          <w:tcPr>
            <w:tcW w:w="1557" w:type="dxa"/>
          </w:tcPr>
          <w:p w14:paraId="77618A5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Review research and policy on ethnic minority businesses in the UK</w:t>
            </w:r>
          </w:p>
        </w:tc>
        <w:tc>
          <w:tcPr>
            <w:tcW w:w="1505" w:type="dxa"/>
          </w:tcPr>
          <w:p w14:paraId="7405C1A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policy impact and historical context for migrant entrepreneurs</w:t>
            </w:r>
          </w:p>
        </w:tc>
        <w:tc>
          <w:tcPr>
            <w:tcW w:w="1550" w:type="dxa"/>
          </w:tcPr>
          <w:p w14:paraId="1BE3734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policy, UK</w:t>
            </w:r>
          </w:p>
        </w:tc>
      </w:tr>
      <w:tr w:rsidR="00845447" w14:paraId="38A5E4F2" w14:textId="77777777" w:rsidTr="001F6B0D">
        <w:tc>
          <w:tcPr>
            <w:tcW w:w="704" w:type="dxa"/>
          </w:tcPr>
          <w:p w14:paraId="2699ADF0"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27</w:t>
            </w:r>
          </w:p>
        </w:tc>
        <w:tc>
          <w:tcPr>
            <w:tcW w:w="1528" w:type="dxa"/>
          </w:tcPr>
          <w:p w14:paraId="70B2A7ED"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Basu</w:t>
            </w:r>
            <w:proofErr w:type="spellEnd"/>
            <w:r w:rsidRPr="00845447">
              <w:rPr>
                <w:rFonts w:asciiTheme="majorHAnsi" w:eastAsia="Times New Roman" w:hAnsiTheme="majorHAnsi" w:cstheme="majorHAnsi"/>
                <w:sz w:val="20"/>
                <w:szCs w:val="20"/>
                <w:lang w:eastAsia="en-GB"/>
              </w:rPr>
              <w:t>, A.</w:t>
            </w:r>
          </w:p>
        </w:tc>
        <w:tc>
          <w:tcPr>
            <w:tcW w:w="740" w:type="dxa"/>
          </w:tcPr>
          <w:p w14:paraId="10E123D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2015</w:t>
            </w:r>
          </w:p>
        </w:tc>
        <w:tc>
          <w:tcPr>
            <w:tcW w:w="1319" w:type="dxa"/>
          </w:tcPr>
          <w:p w14:paraId="2828A29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9F1FFC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Transnational Entrepreneurship among Indian Immigrants in London</w:t>
            </w:r>
          </w:p>
        </w:tc>
        <w:tc>
          <w:tcPr>
            <w:tcW w:w="1557" w:type="dxa"/>
          </w:tcPr>
          <w:p w14:paraId="13EF34D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transnational business models of Indian entrepreneurs in London</w:t>
            </w:r>
          </w:p>
        </w:tc>
        <w:tc>
          <w:tcPr>
            <w:tcW w:w="1505" w:type="dxa"/>
          </w:tcPr>
          <w:p w14:paraId="5ACBD08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Explores linkages between home and host country markets</w:t>
            </w:r>
          </w:p>
        </w:tc>
        <w:tc>
          <w:tcPr>
            <w:tcW w:w="1550" w:type="dxa"/>
          </w:tcPr>
          <w:p w14:paraId="580AFD5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Transnational, Indian, London</w:t>
            </w:r>
          </w:p>
        </w:tc>
      </w:tr>
      <w:tr w:rsidR="00845447" w14:paraId="169F07CD" w14:textId="77777777" w:rsidTr="001F6B0D">
        <w:tc>
          <w:tcPr>
            <w:tcW w:w="704" w:type="dxa"/>
          </w:tcPr>
          <w:p w14:paraId="4F4CF8CC"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28</w:t>
            </w:r>
          </w:p>
        </w:tc>
        <w:tc>
          <w:tcPr>
            <w:tcW w:w="1528" w:type="dxa"/>
          </w:tcPr>
          <w:p w14:paraId="56F17EA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Kloosterman, R., Rath, J.</w:t>
            </w:r>
          </w:p>
        </w:tc>
        <w:tc>
          <w:tcPr>
            <w:tcW w:w="740" w:type="dxa"/>
          </w:tcPr>
          <w:p w14:paraId="0993BC2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2018</w:t>
            </w:r>
          </w:p>
        </w:tc>
        <w:tc>
          <w:tcPr>
            <w:tcW w:w="1319" w:type="dxa"/>
          </w:tcPr>
          <w:p w14:paraId="03A52F6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731968F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Mixed Embeddedness Revisited: A Conclusion to the Symposium</w:t>
            </w:r>
          </w:p>
        </w:tc>
        <w:tc>
          <w:tcPr>
            <w:tcW w:w="1557" w:type="dxa"/>
          </w:tcPr>
          <w:p w14:paraId="30DC11E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Assess the mixed embeddedness framework for migrant entrepreneurship</w:t>
            </w:r>
          </w:p>
        </w:tc>
        <w:tc>
          <w:tcPr>
            <w:tcW w:w="1505" w:type="dxa"/>
          </w:tcPr>
          <w:p w14:paraId="05A7029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Theoretical foundation for understanding migrant business success and challenges</w:t>
            </w:r>
          </w:p>
        </w:tc>
        <w:tc>
          <w:tcPr>
            <w:tcW w:w="1550" w:type="dxa"/>
          </w:tcPr>
          <w:p w14:paraId="731C100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Mixed embeddedness, theory, migrants</w:t>
            </w:r>
          </w:p>
        </w:tc>
      </w:tr>
      <w:tr w:rsidR="00845447" w14:paraId="39F46C9F" w14:textId="77777777" w:rsidTr="001F6B0D">
        <w:tc>
          <w:tcPr>
            <w:tcW w:w="704" w:type="dxa"/>
          </w:tcPr>
          <w:p w14:paraId="6DFB0CAD"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29</w:t>
            </w:r>
          </w:p>
        </w:tc>
        <w:tc>
          <w:tcPr>
            <w:tcW w:w="1528" w:type="dxa"/>
          </w:tcPr>
          <w:p w14:paraId="5322347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Barrett, G., Jones, T., McEvoy, D.</w:t>
            </w:r>
          </w:p>
        </w:tc>
        <w:tc>
          <w:tcPr>
            <w:tcW w:w="740" w:type="dxa"/>
          </w:tcPr>
          <w:p w14:paraId="6242CCF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2020</w:t>
            </w:r>
          </w:p>
        </w:tc>
        <w:tc>
          <w:tcPr>
            <w:tcW w:w="1319" w:type="dxa"/>
          </w:tcPr>
          <w:p w14:paraId="37BDC12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5A7A91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Business in the UK: Disadvantage and Enterprise</w:t>
            </w:r>
          </w:p>
        </w:tc>
        <w:tc>
          <w:tcPr>
            <w:tcW w:w="1557" w:type="dxa"/>
          </w:tcPr>
          <w:p w14:paraId="0C0ED2D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Investigate disadvantage and entrepreneurial responses among ethnic minorities</w:t>
            </w:r>
          </w:p>
        </w:tc>
        <w:tc>
          <w:tcPr>
            <w:tcW w:w="1505" w:type="dxa"/>
          </w:tcPr>
          <w:p w14:paraId="2FBB42C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Focus on structural barriers and business adaptation strategies</w:t>
            </w:r>
          </w:p>
        </w:tc>
        <w:tc>
          <w:tcPr>
            <w:tcW w:w="1550" w:type="dxa"/>
          </w:tcPr>
          <w:p w14:paraId="3DFD500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Disadvantage, adaptation, ethnic business</w:t>
            </w:r>
          </w:p>
        </w:tc>
      </w:tr>
      <w:tr w:rsidR="00845447" w14:paraId="52933BDC" w14:textId="77777777" w:rsidTr="001F6B0D">
        <w:tc>
          <w:tcPr>
            <w:tcW w:w="704" w:type="dxa"/>
          </w:tcPr>
          <w:p w14:paraId="70F7D332"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30</w:t>
            </w:r>
          </w:p>
        </w:tc>
        <w:tc>
          <w:tcPr>
            <w:tcW w:w="1528" w:type="dxa"/>
          </w:tcPr>
          <w:p w14:paraId="6E6E114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Sepulveda, L., Syrett, S., Lyon, F.</w:t>
            </w:r>
          </w:p>
        </w:tc>
        <w:tc>
          <w:tcPr>
            <w:tcW w:w="740" w:type="dxa"/>
          </w:tcPr>
          <w:p w14:paraId="0F99FB8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2011</w:t>
            </w:r>
          </w:p>
        </w:tc>
        <w:tc>
          <w:tcPr>
            <w:tcW w:w="1319" w:type="dxa"/>
          </w:tcPr>
          <w:p w14:paraId="21544EE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A64B9D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Population Superdiversity and New Migrant Enterprise in London</w:t>
            </w:r>
          </w:p>
        </w:tc>
        <w:tc>
          <w:tcPr>
            <w:tcW w:w="1557" w:type="dxa"/>
          </w:tcPr>
          <w:p w14:paraId="453AE5A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effects of superdiversity on migrant entrepreneurship in London</w:t>
            </w:r>
          </w:p>
        </w:tc>
        <w:tc>
          <w:tcPr>
            <w:tcW w:w="1505" w:type="dxa"/>
          </w:tcPr>
          <w:p w14:paraId="7F88B1A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regulatory, social, and market challenges</w:t>
            </w:r>
          </w:p>
        </w:tc>
        <w:tc>
          <w:tcPr>
            <w:tcW w:w="1550" w:type="dxa"/>
          </w:tcPr>
          <w:p w14:paraId="3A14FF4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Superdiversity, London, enterprise</w:t>
            </w:r>
          </w:p>
        </w:tc>
      </w:tr>
      <w:tr w:rsidR="00845447" w14:paraId="29DA68FC" w14:textId="77777777" w:rsidTr="001F6B0D">
        <w:tc>
          <w:tcPr>
            <w:tcW w:w="704" w:type="dxa"/>
          </w:tcPr>
          <w:p w14:paraId="756C4FAB"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lastRenderedPageBreak/>
              <w:t>31</w:t>
            </w:r>
          </w:p>
        </w:tc>
        <w:tc>
          <w:tcPr>
            <w:tcW w:w="1528" w:type="dxa"/>
          </w:tcPr>
          <w:p w14:paraId="573950C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Jones, T., Ram, M., Edwards, P.</w:t>
            </w:r>
          </w:p>
        </w:tc>
        <w:tc>
          <w:tcPr>
            <w:tcW w:w="740" w:type="dxa"/>
          </w:tcPr>
          <w:p w14:paraId="4CDCAD4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2010</w:t>
            </w:r>
          </w:p>
        </w:tc>
        <w:tc>
          <w:tcPr>
            <w:tcW w:w="1319" w:type="dxa"/>
          </w:tcPr>
          <w:p w14:paraId="48F10FA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2F1773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Businesses and the UK Economic Crisis</w:t>
            </w:r>
          </w:p>
        </w:tc>
        <w:tc>
          <w:tcPr>
            <w:tcW w:w="1557" w:type="dxa"/>
          </w:tcPr>
          <w:p w14:paraId="6477701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Assess the impact of economic crises on ethnic minority businesses</w:t>
            </w:r>
          </w:p>
        </w:tc>
        <w:tc>
          <w:tcPr>
            <w:tcW w:w="1505" w:type="dxa"/>
          </w:tcPr>
          <w:p w14:paraId="5515016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Reviews resilience and vulnerability of migrant businesses in London</w:t>
            </w:r>
          </w:p>
        </w:tc>
        <w:tc>
          <w:tcPr>
            <w:tcW w:w="1550" w:type="dxa"/>
          </w:tcPr>
          <w:p w14:paraId="21E3590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Economic crisis, resilience, migrants</w:t>
            </w:r>
          </w:p>
        </w:tc>
      </w:tr>
      <w:tr w:rsidR="00845447" w14:paraId="5F37ACA6" w14:textId="77777777" w:rsidTr="001F6B0D">
        <w:tc>
          <w:tcPr>
            <w:tcW w:w="704" w:type="dxa"/>
          </w:tcPr>
          <w:p w14:paraId="3AFA5B6C"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32</w:t>
            </w:r>
          </w:p>
        </w:tc>
        <w:tc>
          <w:tcPr>
            <w:tcW w:w="1528" w:type="dxa"/>
          </w:tcPr>
          <w:p w14:paraId="319209D7"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Smallbone</w:t>
            </w:r>
            <w:proofErr w:type="spellEnd"/>
            <w:r w:rsidRPr="00845447">
              <w:rPr>
                <w:rFonts w:asciiTheme="majorHAnsi" w:eastAsia="Times New Roman" w:hAnsiTheme="majorHAnsi" w:cstheme="majorHAnsi"/>
                <w:sz w:val="20"/>
                <w:szCs w:val="20"/>
                <w:lang w:eastAsia="en-GB"/>
              </w:rPr>
              <w:t>, D., Kitching, J., Athayde, R.</w:t>
            </w:r>
          </w:p>
        </w:tc>
        <w:tc>
          <w:tcPr>
            <w:tcW w:w="740" w:type="dxa"/>
          </w:tcPr>
          <w:p w14:paraId="4A903B2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2010</w:t>
            </w:r>
          </w:p>
        </w:tc>
        <w:tc>
          <w:tcPr>
            <w:tcW w:w="1319" w:type="dxa"/>
          </w:tcPr>
          <w:p w14:paraId="1A39E39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Report</w:t>
            </w:r>
          </w:p>
        </w:tc>
        <w:tc>
          <w:tcPr>
            <w:tcW w:w="1553" w:type="dxa"/>
          </w:tcPr>
          <w:p w14:paraId="39DC057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Diversity, Enterprise and Competitiveness in London</w:t>
            </w:r>
          </w:p>
        </w:tc>
        <w:tc>
          <w:tcPr>
            <w:tcW w:w="1557" w:type="dxa"/>
          </w:tcPr>
          <w:p w14:paraId="48C9C31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Analyze the contribution of ethnic diversity to enterprise and competitiveness</w:t>
            </w:r>
          </w:p>
        </w:tc>
        <w:tc>
          <w:tcPr>
            <w:tcW w:w="1505" w:type="dxa"/>
          </w:tcPr>
          <w:p w14:paraId="7F4E8A5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Focuses on the London food sector and policy implications</w:t>
            </w:r>
          </w:p>
        </w:tc>
        <w:tc>
          <w:tcPr>
            <w:tcW w:w="1550" w:type="dxa"/>
          </w:tcPr>
          <w:p w14:paraId="031F34C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Diversity, competitiveness, London</w:t>
            </w:r>
          </w:p>
        </w:tc>
      </w:tr>
      <w:tr w:rsidR="00845447" w14:paraId="60665153" w14:textId="77777777" w:rsidTr="001F6B0D">
        <w:tc>
          <w:tcPr>
            <w:tcW w:w="704" w:type="dxa"/>
          </w:tcPr>
          <w:p w14:paraId="75E742A8"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33</w:t>
            </w:r>
          </w:p>
        </w:tc>
        <w:tc>
          <w:tcPr>
            <w:tcW w:w="1528" w:type="dxa"/>
          </w:tcPr>
          <w:p w14:paraId="43F51C85"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Baycan</w:t>
            </w:r>
            <w:proofErr w:type="spellEnd"/>
            <w:r w:rsidRPr="00845447">
              <w:rPr>
                <w:rFonts w:asciiTheme="majorHAnsi" w:eastAsia="Times New Roman" w:hAnsiTheme="majorHAnsi" w:cstheme="majorHAnsi"/>
                <w:sz w:val="20"/>
                <w:szCs w:val="20"/>
                <w:lang w:eastAsia="en-GB"/>
              </w:rPr>
              <w:t>-Levent, T., Nijkamp, P.</w:t>
            </w:r>
          </w:p>
        </w:tc>
        <w:tc>
          <w:tcPr>
            <w:tcW w:w="740" w:type="dxa"/>
          </w:tcPr>
          <w:p w14:paraId="2D53ECF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2009</w:t>
            </w:r>
          </w:p>
        </w:tc>
        <w:tc>
          <w:tcPr>
            <w:tcW w:w="1319" w:type="dxa"/>
          </w:tcPr>
          <w:p w14:paraId="07B6809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7F7112C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Characteristics of Migrant Entrepreneurship in Europe and London</w:t>
            </w:r>
          </w:p>
        </w:tc>
        <w:tc>
          <w:tcPr>
            <w:tcW w:w="1557" w:type="dxa"/>
          </w:tcPr>
          <w:p w14:paraId="2FEA2CE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Comparative analysis of migrant entrepreneurship characteristics</w:t>
            </w:r>
          </w:p>
        </w:tc>
        <w:tc>
          <w:tcPr>
            <w:tcW w:w="1505" w:type="dxa"/>
          </w:tcPr>
          <w:p w14:paraId="45C9F7E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Includes Indian food sector case studies in London</w:t>
            </w:r>
          </w:p>
        </w:tc>
        <w:tc>
          <w:tcPr>
            <w:tcW w:w="1550" w:type="dxa"/>
          </w:tcPr>
          <w:p w14:paraId="7039470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Comparative, migrant, London</w:t>
            </w:r>
          </w:p>
        </w:tc>
      </w:tr>
      <w:tr w:rsidR="00845447" w14:paraId="39F20E00" w14:textId="77777777" w:rsidTr="001F6B0D">
        <w:tc>
          <w:tcPr>
            <w:tcW w:w="704" w:type="dxa"/>
          </w:tcPr>
          <w:p w14:paraId="504AB425"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34</w:t>
            </w:r>
          </w:p>
        </w:tc>
        <w:tc>
          <w:tcPr>
            <w:tcW w:w="1528" w:type="dxa"/>
          </w:tcPr>
          <w:p w14:paraId="5CEDC4D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Ram, M., Theodorakopoulos, N., Jones, T.</w:t>
            </w:r>
          </w:p>
        </w:tc>
        <w:tc>
          <w:tcPr>
            <w:tcW w:w="740" w:type="dxa"/>
          </w:tcPr>
          <w:p w14:paraId="28A6087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2008</w:t>
            </w:r>
          </w:p>
        </w:tc>
        <w:tc>
          <w:tcPr>
            <w:tcW w:w="1319" w:type="dxa"/>
          </w:tcPr>
          <w:p w14:paraId="049F56D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FD3EE0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Forms of Capital, Mixed Embeddedness and Somali Enterprise in London</w:t>
            </w:r>
          </w:p>
        </w:tc>
        <w:tc>
          <w:tcPr>
            <w:tcW w:w="1557" w:type="dxa"/>
          </w:tcPr>
          <w:p w14:paraId="305FF7B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Apply mixed embeddedness and capital theory to migrant enterprise in London</w:t>
            </w:r>
          </w:p>
        </w:tc>
        <w:tc>
          <w:tcPr>
            <w:tcW w:w="1505" w:type="dxa"/>
          </w:tcPr>
          <w:p w14:paraId="6CAEC12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Theoretical insights applicable to Indian food entrepreneurs</w:t>
            </w:r>
          </w:p>
        </w:tc>
        <w:tc>
          <w:tcPr>
            <w:tcW w:w="1550" w:type="dxa"/>
          </w:tcPr>
          <w:p w14:paraId="0735E72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Capital, mixed embeddedness, theory</w:t>
            </w:r>
          </w:p>
        </w:tc>
      </w:tr>
      <w:tr w:rsidR="00845447" w14:paraId="3ADEB9DA" w14:textId="77777777" w:rsidTr="001F6B0D">
        <w:tc>
          <w:tcPr>
            <w:tcW w:w="704" w:type="dxa"/>
          </w:tcPr>
          <w:p w14:paraId="160FE461"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35</w:t>
            </w:r>
          </w:p>
        </w:tc>
        <w:tc>
          <w:tcPr>
            <w:tcW w:w="1528" w:type="dxa"/>
          </w:tcPr>
          <w:p w14:paraId="7AB9109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Barrett, G., McEvoy, D., Jones, T.</w:t>
            </w:r>
          </w:p>
        </w:tc>
        <w:tc>
          <w:tcPr>
            <w:tcW w:w="740" w:type="dxa"/>
          </w:tcPr>
          <w:p w14:paraId="28BD4E6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1996</w:t>
            </w:r>
          </w:p>
        </w:tc>
        <w:tc>
          <w:tcPr>
            <w:tcW w:w="1319" w:type="dxa"/>
          </w:tcPr>
          <w:p w14:paraId="0175F3C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2515E6C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Social Networks and Ethnic Minority Business in London</w:t>
            </w:r>
          </w:p>
        </w:tc>
        <w:tc>
          <w:tcPr>
            <w:tcW w:w="1557" w:type="dxa"/>
          </w:tcPr>
          <w:p w14:paraId="5442E65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the role of social networks in business success among ethnic minorities</w:t>
            </w:r>
          </w:p>
        </w:tc>
        <w:tc>
          <w:tcPr>
            <w:tcW w:w="1505" w:type="dxa"/>
          </w:tcPr>
          <w:p w14:paraId="258C581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importance of networks for Indian food entrepreneurs</w:t>
            </w:r>
          </w:p>
        </w:tc>
        <w:tc>
          <w:tcPr>
            <w:tcW w:w="1550" w:type="dxa"/>
          </w:tcPr>
          <w:p w14:paraId="141D15E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Social networks, ethnic minority, London</w:t>
            </w:r>
          </w:p>
        </w:tc>
      </w:tr>
      <w:tr w:rsidR="00845447" w14:paraId="57DD6759" w14:textId="77777777" w:rsidTr="001F6B0D">
        <w:tc>
          <w:tcPr>
            <w:tcW w:w="704" w:type="dxa"/>
          </w:tcPr>
          <w:p w14:paraId="0D8CC61A"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36</w:t>
            </w:r>
          </w:p>
        </w:tc>
        <w:tc>
          <w:tcPr>
            <w:tcW w:w="1528" w:type="dxa"/>
          </w:tcPr>
          <w:p w14:paraId="6C98881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Jones, T., Ram, M., Theodorakopoulos, N.</w:t>
            </w:r>
          </w:p>
        </w:tc>
        <w:tc>
          <w:tcPr>
            <w:tcW w:w="740" w:type="dxa"/>
          </w:tcPr>
          <w:p w14:paraId="32AADB5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2010</w:t>
            </w:r>
          </w:p>
        </w:tc>
        <w:tc>
          <w:tcPr>
            <w:tcW w:w="1319" w:type="dxa"/>
          </w:tcPr>
          <w:p w14:paraId="5FAD569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17DF013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Transnationalism as a Force for Ethnic Minority Enterprise?</w:t>
            </w:r>
          </w:p>
        </w:tc>
        <w:tc>
          <w:tcPr>
            <w:tcW w:w="1557" w:type="dxa"/>
          </w:tcPr>
          <w:p w14:paraId="613DB30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Assess the influence of transnationalism on ethnic minority businesses</w:t>
            </w:r>
          </w:p>
        </w:tc>
        <w:tc>
          <w:tcPr>
            <w:tcW w:w="1505" w:type="dxa"/>
          </w:tcPr>
          <w:p w14:paraId="170AFC6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Indian food sector and transnational links</w:t>
            </w:r>
          </w:p>
        </w:tc>
        <w:tc>
          <w:tcPr>
            <w:tcW w:w="1550" w:type="dxa"/>
          </w:tcPr>
          <w:p w14:paraId="1B81A68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Transnationalism, ethnic business, London</w:t>
            </w:r>
          </w:p>
        </w:tc>
      </w:tr>
      <w:tr w:rsidR="00845447" w14:paraId="22587514" w14:textId="77777777" w:rsidTr="001F6B0D">
        <w:tc>
          <w:tcPr>
            <w:tcW w:w="704" w:type="dxa"/>
          </w:tcPr>
          <w:p w14:paraId="63D29BEB"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37</w:t>
            </w:r>
          </w:p>
        </w:tc>
        <w:tc>
          <w:tcPr>
            <w:tcW w:w="1528" w:type="dxa"/>
          </w:tcPr>
          <w:p w14:paraId="21B4775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Aliaga-Isla, R., </w:t>
            </w:r>
            <w:proofErr w:type="spellStart"/>
            <w:r w:rsidRPr="00845447">
              <w:rPr>
                <w:rFonts w:asciiTheme="majorHAnsi" w:eastAsia="Times New Roman" w:hAnsiTheme="majorHAnsi" w:cstheme="majorHAnsi"/>
                <w:sz w:val="20"/>
                <w:szCs w:val="20"/>
                <w:lang w:eastAsia="en-GB"/>
              </w:rPr>
              <w:t>Rialp</w:t>
            </w:r>
            <w:proofErr w:type="spellEnd"/>
            <w:r w:rsidRPr="00845447">
              <w:rPr>
                <w:rFonts w:asciiTheme="majorHAnsi" w:eastAsia="Times New Roman" w:hAnsiTheme="majorHAnsi" w:cstheme="majorHAnsi"/>
                <w:sz w:val="20"/>
                <w:szCs w:val="20"/>
                <w:lang w:eastAsia="en-GB"/>
              </w:rPr>
              <w:t>, A.</w:t>
            </w:r>
          </w:p>
        </w:tc>
        <w:tc>
          <w:tcPr>
            <w:tcW w:w="740" w:type="dxa"/>
          </w:tcPr>
          <w:p w14:paraId="2354015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2013</w:t>
            </w:r>
          </w:p>
        </w:tc>
        <w:tc>
          <w:tcPr>
            <w:tcW w:w="1319" w:type="dxa"/>
          </w:tcPr>
          <w:p w14:paraId="68C3C57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97C1B4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Systematic Review of Immigrant Entrepreneurship Literature</w:t>
            </w:r>
          </w:p>
        </w:tc>
        <w:tc>
          <w:tcPr>
            <w:tcW w:w="1557" w:type="dxa"/>
          </w:tcPr>
          <w:p w14:paraId="693089C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Systematic review of immigrant entrepreneurship research</w:t>
            </w:r>
          </w:p>
        </w:tc>
        <w:tc>
          <w:tcPr>
            <w:tcW w:w="1505" w:type="dxa"/>
          </w:tcPr>
          <w:p w14:paraId="0623711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Identifies research gaps and theoretical frameworks relevant to London</w:t>
            </w:r>
          </w:p>
        </w:tc>
        <w:tc>
          <w:tcPr>
            <w:tcW w:w="1550" w:type="dxa"/>
          </w:tcPr>
          <w:p w14:paraId="18B63D4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Systematic review, immigrant entrepreneurship</w:t>
            </w:r>
          </w:p>
        </w:tc>
      </w:tr>
      <w:tr w:rsidR="00845447" w14:paraId="35E4CEA0" w14:textId="77777777" w:rsidTr="001F6B0D">
        <w:tc>
          <w:tcPr>
            <w:tcW w:w="704" w:type="dxa"/>
          </w:tcPr>
          <w:p w14:paraId="369035EA"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38</w:t>
            </w:r>
          </w:p>
        </w:tc>
        <w:tc>
          <w:tcPr>
            <w:tcW w:w="1528" w:type="dxa"/>
          </w:tcPr>
          <w:p w14:paraId="55712DF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Carter, S., Ram, M., Trehan, K., Jones, T.</w:t>
            </w:r>
          </w:p>
        </w:tc>
        <w:tc>
          <w:tcPr>
            <w:tcW w:w="740" w:type="dxa"/>
          </w:tcPr>
          <w:p w14:paraId="71FC71E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2013</w:t>
            </w:r>
          </w:p>
        </w:tc>
        <w:tc>
          <w:tcPr>
            <w:tcW w:w="1319" w:type="dxa"/>
          </w:tcPr>
          <w:p w14:paraId="7CA9C43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17D8649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Diversity and SMEs: Agency and Context in Ethnic Minority Businesses</w:t>
            </w:r>
          </w:p>
        </w:tc>
        <w:tc>
          <w:tcPr>
            <w:tcW w:w="1557" w:type="dxa"/>
          </w:tcPr>
          <w:p w14:paraId="6397D82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diversity and agency in ethnic minority SMEs</w:t>
            </w:r>
          </w:p>
        </w:tc>
        <w:tc>
          <w:tcPr>
            <w:tcW w:w="1505" w:type="dxa"/>
          </w:tcPr>
          <w:p w14:paraId="534B840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Critically assesses business models and policy implications</w:t>
            </w:r>
          </w:p>
        </w:tc>
        <w:tc>
          <w:tcPr>
            <w:tcW w:w="1550" w:type="dxa"/>
          </w:tcPr>
          <w:p w14:paraId="13155ED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Diversity, SMEs, agency, policy</w:t>
            </w:r>
          </w:p>
        </w:tc>
      </w:tr>
      <w:tr w:rsidR="00845447" w14:paraId="6E4A95E3" w14:textId="77777777" w:rsidTr="001F6B0D">
        <w:tc>
          <w:tcPr>
            <w:tcW w:w="704" w:type="dxa"/>
          </w:tcPr>
          <w:p w14:paraId="25D7AC83"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39</w:t>
            </w:r>
          </w:p>
        </w:tc>
        <w:tc>
          <w:tcPr>
            <w:tcW w:w="1528" w:type="dxa"/>
          </w:tcPr>
          <w:p w14:paraId="5E01F60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 Entrepreneurs Network</w:t>
            </w:r>
          </w:p>
        </w:tc>
        <w:tc>
          <w:tcPr>
            <w:tcW w:w="740" w:type="dxa"/>
          </w:tcPr>
          <w:p w14:paraId="0C476B1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2023</w:t>
            </w:r>
          </w:p>
        </w:tc>
        <w:tc>
          <w:tcPr>
            <w:tcW w:w="1319" w:type="dxa"/>
          </w:tcPr>
          <w:p w14:paraId="2AE42C5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Web Article</w:t>
            </w:r>
          </w:p>
        </w:tc>
        <w:tc>
          <w:tcPr>
            <w:tcW w:w="1553" w:type="dxa"/>
          </w:tcPr>
          <w:p w14:paraId="0E850CE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Immigrant Founders</w:t>
            </w:r>
          </w:p>
        </w:tc>
        <w:tc>
          <w:tcPr>
            <w:tcW w:w="1557" w:type="dxa"/>
          </w:tcPr>
          <w:p w14:paraId="214C957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 contributions of immigrant founders to the UK economy and business landscape</w:t>
            </w:r>
          </w:p>
        </w:tc>
        <w:tc>
          <w:tcPr>
            <w:tcW w:w="1505" w:type="dxa"/>
          </w:tcPr>
          <w:p w14:paraId="120FD69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job creation, investment, and industry disruption by immigrant entrepreneurs</w:t>
            </w:r>
          </w:p>
        </w:tc>
        <w:tc>
          <w:tcPr>
            <w:tcW w:w="1550" w:type="dxa"/>
          </w:tcPr>
          <w:p w14:paraId="04A94F0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Immigrant founders, UK, entrepreneurship</w:t>
            </w:r>
          </w:p>
        </w:tc>
      </w:tr>
      <w:tr w:rsidR="00845447" w14:paraId="3FE8FB08" w14:textId="77777777" w:rsidTr="001F6B0D">
        <w:tc>
          <w:tcPr>
            <w:tcW w:w="704" w:type="dxa"/>
          </w:tcPr>
          <w:p w14:paraId="3E652272"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40</w:t>
            </w:r>
          </w:p>
        </w:tc>
        <w:tc>
          <w:tcPr>
            <w:tcW w:w="1528" w:type="dxa"/>
          </w:tcPr>
          <w:p w14:paraId="48E7485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Wessendorf, S.</w:t>
            </w:r>
          </w:p>
        </w:tc>
        <w:tc>
          <w:tcPr>
            <w:tcW w:w="740" w:type="dxa"/>
          </w:tcPr>
          <w:p w14:paraId="6BCF95D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15B4173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Paper</w:t>
            </w:r>
          </w:p>
        </w:tc>
        <w:tc>
          <w:tcPr>
            <w:tcW w:w="1553" w:type="dxa"/>
          </w:tcPr>
          <w:p w14:paraId="38EBAF8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Migrant-run Eateries as Intercultural Third Places</w:t>
            </w:r>
          </w:p>
        </w:tc>
        <w:tc>
          <w:tcPr>
            <w:tcW w:w="1557" w:type="dxa"/>
          </w:tcPr>
          <w:p w14:paraId="44B90B3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the role of migrant-run eateries as spaces for intercultural contact in East London</w:t>
            </w:r>
          </w:p>
        </w:tc>
        <w:tc>
          <w:tcPr>
            <w:tcW w:w="1505" w:type="dxa"/>
          </w:tcPr>
          <w:p w14:paraId="09EFC93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Ethnographic study of Hackney and </w:t>
            </w:r>
            <w:proofErr w:type="spellStart"/>
            <w:r w:rsidRPr="00845447">
              <w:rPr>
                <w:rFonts w:asciiTheme="majorHAnsi" w:eastAsia="Times New Roman" w:hAnsiTheme="majorHAnsi" w:cstheme="majorHAnsi"/>
                <w:sz w:val="20"/>
                <w:szCs w:val="20"/>
                <w:lang w:eastAsia="en-GB"/>
              </w:rPr>
              <w:t>Newham</w:t>
            </w:r>
            <w:proofErr w:type="spellEnd"/>
            <w:r w:rsidRPr="00845447">
              <w:rPr>
                <w:rFonts w:asciiTheme="majorHAnsi" w:eastAsia="Times New Roman" w:hAnsiTheme="majorHAnsi" w:cstheme="majorHAnsi"/>
                <w:sz w:val="20"/>
                <w:szCs w:val="20"/>
                <w:lang w:eastAsia="en-GB"/>
              </w:rPr>
              <w:t xml:space="preserve">; explores food businesses as sites of cultural </w:t>
            </w:r>
            <w:r w:rsidRPr="00845447">
              <w:rPr>
                <w:rFonts w:asciiTheme="majorHAnsi" w:eastAsia="Times New Roman" w:hAnsiTheme="majorHAnsi" w:cstheme="majorHAnsi"/>
                <w:sz w:val="20"/>
                <w:szCs w:val="20"/>
                <w:lang w:eastAsia="en-GB"/>
              </w:rPr>
              <w:lastRenderedPageBreak/>
              <w:t>exchange and adaptation</w:t>
            </w:r>
          </w:p>
        </w:tc>
        <w:tc>
          <w:tcPr>
            <w:tcW w:w="1550" w:type="dxa"/>
          </w:tcPr>
          <w:p w14:paraId="4F064DF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Migrant-run eateries, intercultural, London</w:t>
            </w:r>
          </w:p>
        </w:tc>
      </w:tr>
      <w:tr w:rsidR="00845447" w14:paraId="099B06D4" w14:textId="77777777" w:rsidTr="001F6B0D">
        <w:tc>
          <w:tcPr>
            <w:tcW w:w="704" w:type="dxa"/>
          </w:tcPr>
          <w:p w14:paraId="67F32BA2"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41</w:t>
            </w:r>
          </w:p>
        </w:tc>
        <w:tc>
          <w:tcPr>
            <w:tcW w:w="1528" w:type="dxa"/>
          </w:tcPr>
          <w:p w14:paraId="76DDDBD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Migration Observatory, Oxford</w:t>
            </w:r>
          </w:p>
        </w:tc>
        <w:tc>
          <w:tcPr>
            <w:tcW w:w="740" w:type="dxa"/>
          </w:tcPr>
          <w:p w14:paraId="38488A5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2024</w:t>
            </w:r>
          </w:p>
        </w:tc>
        <w:tc>
          <w:tcPr>
            <w:tcW w:w="1319" w:type="dxa"/>
          </w:tcPr>
          <w:p w14:paraId="51F042E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Briefing</w:t>
            </w:r>
          </w:p>
        </w:tc>
        <w:tc>
          <w:tcPr>
            <w:tcW w:w="1553" w:type="dxa"/>
          </w:tcPr>
          <w:p w14:paraId="0942CE0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Migrants in the UK </w:t>
            </w:r>
            <w:proofErr w:type="spellStart"/>
            <w:r w:rsidRPr="00845447">
              <w:rPr>
                <w:rFonts w:asciiTheme="majorHAnsi" w:eastAsia="Times New Roman" w:hAnsiTheme="majorHAnsi" w:cstheme="majorHAnsi"/>
                <w:sz w:val="20"/>
                <w:szCs w:val="20"/>
                <w:lang w:eastAsia="en-GB"/>
              </w:rPr>
              <w:t>Labour</w:t>
            </w:r>
            <w:proofErr w:type="spellEnd"/>
            <w:r w:rsidRPr="00845447">
              <w:rPr>
                <w:rFonts w:asciiTheme="majorHAnsi" w:eastAsia="Times New Roman" w:hAnsiTheme="majorHAnsi" w:cstheme="majorHAnsi"/>
                <w:sz w:val="20"/>
                <w:szCs w:val="20"/>
                <w:lang w:eastAsia="en-GB"/>
              </w:rPr>
              <w:t xml:space="preserve"> Market: An Overview</w:t>
            </w:r>
          </w:p>
        </w:tc>
        <w:tc>
          <w:tcPr>
            <w:tcW w:w="1557" w:type="dxa"/>
          </w:tcPr>
          <w:p w14:paraId="62E72BB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Provide data on migrants’ </w:t>
            </w:r>
            <w:proofErr w:type="spellStart"/>
            <w:r w:rsidRPr="00845447">
              <w:rPr>
                <w:rFonts w:asciiTheme="majorHAnsi" w:eastAsia="Times New Roman" w:hAnsiTheme="majorHAnsi" w:cstheme="majorHAnsi"/>
                <w:sz w:val="20"/>
                <w:szCs w:val="20"/>
                <w:lang w:eastAsia="en-GB"/>
              </w:rPr>
              <w:t>labour</w:t>
            </w:r>
            <w:proofErr w:type="spellEnd"/>
            <w:r w:rsidRPr="00845447">
              <w:rPr>
                <w:rFonts w:asciiTheme="majorHAnsi" w:eastAsia="Times New Roman" w:hAnsiTheme="majorHAnsi" w:cstheme="majorHAnsi"/>
                <w:sz w:val="20"/>
                <w:szCs w:val="20"/>
                <w:lang w:eastAsia="en-GB"/>
              </w:rPr>
              <w:t xml:space="preserve"> market integration and jobs in the UK</w:t>
            </w:r>
          </w:p>
        </w:tc>
        <w:tc>
          <w:tcPr>
            <w:tcW w:w="1505" w:type="dxa"/>
          </w:tcPr>
          <w:p w14:paraId="59854D1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Useful for understanding employment patterns and sectoral participation of migrant entrepreneurs in London</w:t>
            </w:r>
          </w:p>
        </w:tc>
        <w:tc>
          <w:tcPr>
            <w:tcW w:w="1550" w:type="dxa"/>
          </w:tcPr>
          <w:p w14:paraId="69EB7958" w14:textId="77777777" w:rsidR="001655AF" w:rsidRPr="00845447" w:rsidRDefault="001655AF" w:rsidP="00442151">
            <w:pPr>
              <w:rPr>
                <w:rFonts w:asciiTheme="majorHAnsi" w:hAnsiTheme="majorHAnsi" w:cstheme="majorHAnsi"/>
                <w:sz w:val="20"/>
                <w:szCs w:val="20"/>
              </w:rPr>
            </w:pPr>
          </w:p>
        </w:tc>
      </w:tr>
      <w:tr w:rsidR="00845447" w14:paraId="081B1E9F" w14:textId="77777777" w:rsidTr="001F6B0D">
        <w:tc>
          <w:tcPr>
            <w:tcW w:w="704" w:type="dxa"/>
          </w:tcPr>
          <w:p w14:paraId="1B61AF09"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42</w:t>
            </w:r>
          </w:p>
        </w:tc>
        <w:tc>
          <w:tcPr>
            <w:tcW w:w="1528" w:type="dxa"/>
          </w:tcPr>
          <w:p w14:paraId="0D84B2B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Mahesh Raikar (Profile in Grant Thornton report)</w:t>
            </w:r>
          </w:p>
        </w:tc>
        <w:tc>
          <w:tcPr>
            <w:tcW w:w="740" w:type="dxa"/>
          </w:tcPr>
          <w:p w14:paraId="36C8735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42FDA32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Case Study</w:t>
            </w:r>
          </w:p>
        </w:tc>
        <w:tc>
          <w:tcPr>
            <w:tcW w:w="1553" w:type="dxa"/>
          </w:tcPr>
          <w:p w14:paraId="1769D5A2"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Wrapchic</w:t>
            </w:r>
            <w:proofErr w:type="spellEnd"/>
            <w:r w:rsidRPr="00845447">
              <w:rPr>
                <w:rFonts w:asciiTheme="majorHAnsi" w:eastAsia="Times New Roman" w:hAnsiTheme="majorHAnsi" w:cstheme="majorHAnsi"/>
                <w:sz w:val="20"/>
                <w:szCs w:val="20"/>
                <w:lang w:eastAsia="en-GB"/>
              </w:rPr>
              <w:t>: Indian Food Innovation in the UK</w:t>
            </w:r>
          </w:p>
        </w:tc>
        <w:tc>
          <w:tcPr>
            <w:tcW w:w="1557" w:type="dxa"/>
          </w:tcPr>
          <w:p w14:paraId="52356AF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Illustrate the entrepreneurial journey and challenges of an Indian food business founder in the UK</w:t>
            </w:r>
          </w:p>
        </w:tc>
        <w:tc>
          <w:tcPr>
            <w:tcW w:w="1505" w:type="dxa"/>
          </w:tcPr>
          <w:p w14:paraId="66563C2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Focus on innovation, institutional bias, and market adaptation in London</w:t>
            </w:r>
          </w:p>
        </w:tc>
        <w:tc>
          <w:tcPr>
            <w:tcW w:w="1550" w:type="dxa"/>
          </w:tcPr>
          <w:p w14:paraId="154EB8F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Indian food, innovation, entrepreneurship</w:t>
            </w:r>
          </w:p>
        </w:tc>
      </w:tr>
      <w:tr w:rsidR="00845447" w14:paraId="55AF10F4" w14:textId="77777777" w:rsidTr="001F6B0D">
        <w:tc>
          <w:tcPr>
            <w:tcW w:w="704" w:type="dxa"/>
          </w:tcPr>
          <w:p w14:paraId="13727E66"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43</w:t>
            </w:r>
          </w:p>
        </w:tc>
        <w:tc>
          <w:tcPr>
            <w:tcW w:w="1528" w:type="dxa"/>
          </w:tcPr>
          <w:p w14:paraId="2A67D13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Vaughan, L.</w:t>
            </w:r>
          </w:p>
        </w:tc>
        <w:tc>
          <w:tcPr>
            <w:tcW w:w="740" w:type="dxa"/>
          </w:tcPr>
          <w:p w14:paraId="6BD213B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2015</w:t>
            </w:r>
          </w:p>
        </w:tc>
        <w:tc>
          <w:tcPr>
            <w:tcW w:w="1319" w:type="dxa"/>
          </w:tcPr>
          <w:p w14:paraId="754BC43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Book Chapter</w:t>
            </w:r>
          </w:p>
        </w:tc>
        <w:tc>
          <w:tcPr>
            <w:tcW w:w="1553" w:type="dxa"/>
          </w:tcPr>
          <w:p w14:paraId="76B3B01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Suburban Urbanities: Suburbs and the Life of the High Street</w:t>
            </w:r>
          </w:p>
        </w:tc>
        <w:tc>
          <w:tcPr>
            <w:tcW w:w="1557" w:type="dxa"/>
          </w:tcPr>
          <w:p w14:paraId="66769BF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Analyze the growth and normalization of migrant-run eateries in London’s suburbs</w:t>
            </w:r>
          </w:p>
        </w:tc>
        <w:tc>
          <w:tcPr>
            <w:tcW w:w="1505" w:type="dxa"/>
          </w:tcPr>
          <w:p w14:paraId="6F4B706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the prevalence and integration of migrant food businesses in London’s urban fabric</w:t>
            </w:r>
          </w:p>
        </w:tc>
        <w:tc>
          <w:tcPr>
            <w:tcW w:w="1550" w:type="dxa"/>
          </w:tcPr>
          <w:p w14:paraId="3C243FC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Urban studies, migrant eateries, London</w:t>
            </w:r>
          </w:p>
        </w:tc>
      </w:tr>
      <w:tr w:rsidR="00845447" w14:paraId="71EC57AF" w14:textId="77777777" w:rsidTr="001F6B0D">
        <w:tc>
          <w:tcPr>
            <w:tcW w:w="704" w:type="dxa"/>
          </w:tcPr>
          <w:p w14:paraId="382A36CF"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44</w:t>
            </w:r>
          </w:p>
        </w:tc>
        <w:tc>
          <w:tcPr>
            <w:tcW w:w="1528" w:type="dxa"/>
          </w:tcPr>
          <w:p w14:paraId="468578B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Farrer, J.</w:t>
            </w:r>
          </w:p>
        </w:tc>
        <w:tc>
          <w:tcPr>
            <w:tcW w:w="740" w:type="dxa"/>
          </w:tcPr>
          <w:p w14:paraId="097401C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2015</w:t>
            </w:r>
          </w:p>
        </w:tc>
        <w:tc>
          <w:tcPr>
            <w:tcW w:w="1319" w:type="dxa"/>
          </w:tcPr>
          <w:p w14:paraId="42761E1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486C510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Culinary Contact Zones: Migrant-Run Eateries in Urban Spaces</w:t>
            </w:r>
          </w:p>
        </w:tc>
        <w:tc>
          <w:tcPr>
            <w:tcW w:w="1557" w:type="dxa"/>
          </w:tcPr>
          <w:p w14:paraId="7E6D9E7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how migrant-run eateries serve as sites of cultural exchange and negotiation</w:t>
            </w:r>
          </w:p>
        </w:tc>
        <w:tc>
          <w:tcPr>
            <w:tcW w:w="1505" w:type="dxa"/>
          </w:tcPr>
          <w:p w14:paraId="4E64E6B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Comparative study including East London; highlights both conviviality and conflict in food businesses</w:t>
            </w:r>
          </w:p>
        </w:tc>
        <w:tc>
          <w:tcPr>
            <w:tcW w:w="1550" w:type="dxa"/>
          </w:tcPr>
          <w:p w14:paraId="0FF2D54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Culinary contact, migrant eateries</w:t>
            </w:r>
          </w:p>
        </w:tc>
      </w:tr>
      <w:tr w:rsidR="00845447" w14:paraId="0690AE8F" w14:textId="77777777" w:rsidTr="001F6B0D">
        <w:tc>
          <w:tcPr>
            <w:tcW w:w="704" w:type="dxa"/>
          </w:tcPr>
          <w:p w14:paraId="12ECC771"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45</w:t>
            </w:r>
          </w:p>
        </w:tc>
        <w:tc>
          <w:tcPr>
            <w:tcW w:w="1528" w:type="dxa"/>
          </w:tcPr>
          <w:p w14:paraId="20ABFF1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Hirose, M., Pih, K.K.</w:t>
            </w:r>
          </w:p>
        </w:tc>
        <w:tc>
          <w:tcPr>
            <w:tcW w:w="740" w:type="dxa"/>
          </w:tcPr>
          <w:p w14:paraId="0164C77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2011</w:t>
            </w:r>
          </w:p>
        </w:tc>
        <w:tc>
          <w:tcPr>
            <w:tcW w:w="1319" w:type="dxa"/>
          </w:tcPr>
          <w:p w14:paraId="1244814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920A6A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 Food Businesses and Social Integration</w:t>
            </w:r>
          </w:p>
        </w:tc>
        <w:tc>
          <w:tcPr>
            <w:tcW w:w="1557" w:type="dxa"/>
          </w:tcPr>
          <w:p w14:paraId="24A772C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how migrant-run food businesses contribute to social integration in host societies</w:t>
            </w:r>
          </w:p>
        </w:tc>
        <w:tc>
          <w:tcPr>
            <w:tcW w:w="1505" w:type="dxa"/>
          </w:tcPr>
          <w:p w14:paraId="46EA634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both opportunities and challenges for integration in London</w:t>
            </w:r>
          </w:p>
        </w:tc>
        <w:tc>
          <w:tcPr>
            <w:tcW w:w="1550" w:type="dxa"/>
          </w:tcPr>
          <w:p w14:paraId="28EF7CB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Social integration, migrant business</w:t>
            </w:r>
          </w:p>
        </w:tc>
      </w:tr>
      <w:tr w:rsidR="00845447" w14:paraId="0A6973F3" w14:textId="77777777" w:rsidTr="001F6B0D">
        <w:tc>
          <w:tcPr>
            <w:tcW w:w="704" w:type="dxa"/>
          </w:tcPr>
          <w:p w14:paraId="77856642"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46</w:t>
            </w:r>
          </w:p>
        </w:tc>
        <w:tc>
          <w:tcPr>
            <w:tcW w:w="1528" w:type="dxa"/>
          </w:tcPr>
          <w:p w14:paraId="53B0E8A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Assael, H.</w:t>
            </w:r>
          </w:p>
        </w:tc>
        <w:tc>
          <w:tcPr>
            <w:tcW w:w="740" w:type="dxa"/>
          </w:tcPr>
          <w:p w14:paraId="44DA90C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2013</w:t>
            </w:r>
          </w:p>
        </w:tc>
        <w:tc>
          <w:tcPr>
            <w:tcW w:w="1319" w:type="dxa"/>
          </w:tcPr>
          <w:p w14:paraId="0FF220E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56E41CB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Consumer Behavior and Ethnic Food Consumption</w:t>
            </w:r>
          </w:p>
        </w:tc>
        <w:tc>
          <w:tcPr>
            <w:tcW w:w="1557" w:type="dxa"/>
          </w:tcPr>
          <w:p w14:paraId="082FB06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Analyze the rise of ethnic food consumption in the UK and its impact on business models</w:t>
            </w:r>
          </w:p>
        </w:tc>
        <w:tc>
          <w:tcPr>
            <w:tcW w:w="1505" w:type="dxa"/>
          </w:tcPr>
          <w:p w14:paraId="288EC07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Provides context for the popularity of Indian cuisine and adaptation by migrant entrepreneurs</w:t>
            </w:r>
          </w:p>
        </w:tc>
        <w:tc>
          <w:tcPr>
            <w:tcW w:w="1550" w:type="dxa"/>
          </w:tcPr>
          <w:p w14:paraId="077ABB2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Consumer behavior, ethnic food, UK</w:t>
            </w:r>
          </w:p>
        </w:tc>
      </w:tr>
      <w:tr w:rsidR="00845447" w14:paraId="50D53E58" w14:textId="77777777" w:rsidTr="001F6B0D">
        <w:tc>
          <w:tcPr>
            <w:tcW w:w="704" w:type="dxa"/>
          </w:tcPr>
          <w:p w14:paraId="0A91E309"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47</w:t>
            </w:r>
          </w:p>
        </w:tc>
        <w:tc>
          <w:tcPr>
            <w:tcW w:w="1528" w:type="dxa"/>
          </w:tcPr>
          <w:p w14:paraId="19BF74C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Narayan, U.</w:t>
            </w:r>
          </w:p>
        </w:tc>
        <w:tc>
          <w:tcPr>
            <w:tcW w:w="740" w:type="dxa"/>
          </w:tcPr>
          <w:p w14:paraId="60EF21E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1995</w:t>
            </w:r>
          </w:p>
        </w:tc>
        <w:tc>
          <w:tcPr>
            <w:tcW w:w="1319" w:type="dxa"/>
          </w:tcPr>
          <w:p w14:paraId="50F546B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CA65DC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Eating Cultures: Incorporation of Indian Cuisine in Britain</w:t>
            </w:r>
          </w:p>
        </w:tc>
        <w:tc>
          <w:tcPr>
            <w:tcW w:w="1557" w:type="dxa"/>
          </w:tcPr>
          <w:p w14:paraId="456874D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Assess the cultural and social implications of Indian food’s integration into British society</w:t>
            </w:r>
          </w:p>
        </w:tc>
        <w:tc>
          <w:tcPr>
            <w:tcW w:w="1505" w:type="dxa"/>
          </w:tcPr>
          <w:p w14:paraId="5356EB9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Explores the gap between culinary acceptance and social integration of Indian migrants</w:t>
            </w:r>
          </w:p>
        </w:tc>
        <w:tc>
          <w:tcPr>
            <w:tcW w:w="1550" w:type="dxa"/>
          </w:tcPr>
          <w:p w14:paraId="4899D6E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Indian cuisine, cultural integration</w:t>
            </w:r>
          </w:p>
        </w:tc>
      </w:tr>
      <w:tr w:rsidR="00845447" w14:paraId="237E2A2C" w14:textId="77777777" w:rsidTr="001F6B0D">
        <w:tc>
          <w:tcPr>
            <w:tcW w:w="704" w:type="dxa"/>
          </w:tcPr>
          <w:p w14:paraId="1FC5902F"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48</w:t>
            </w:r>
          </w:p>
        </w:tc>
        <w:tc>
          <w:tcPr>
            <w:tcW w:w="1528" w:type="dxa"/>
          </w:tcPr>
          <w:p w14:paraId="7939293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Lofland, L.H.</w:t>
            </w:r>
          </w:p>
        </w:tc>
        <w:tc>
          <w:tcPr>
            <w:tcW w:w="740" w:type="dxa"/>
          </w:tcPr>
          <w:p w14:paraId="20EF5AD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1998</w:t>
            </w:r>
          </w:p>
        </w:tc>
        <w:tc>
          <w:tcPr>
            <w:tcW w:w="1319" w:type="dxa"/>
          </w:tcPr>
          <w:p w14:paraId="197D53C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Book</w:t>
            </w:r>
          </w:p>
        </w:tc>
        <w:tc>
          <w:tcPr>
            <w:tcW w:w="1553" w:type="dxa"/>
          </w:tcPr>
          <w:p w14:paraId="7804F44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 Public Realm: Exploring the City’s Quintessential Social Territory</w:t>
            </w:r>
          </w:p>
        </w:tc>
        <w:tc>
          <w:tcPr>
            <w:tcW w:w="1557" w:type="dxa"/>
          </w:tcPr>
          <w:p w14:paraId="711C3DF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Theorize the concept of “private realm bubbles” in public eating spaces</w:t>
            </w:r>
          </w:p>
        </w:tc>
        <w:tc>
          <w:tcPr>
            <w:tcW w:w="1505" w:type="dxa"/>
          </w:tcPr>
          <w:p w14:paraId="6381A4B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Framework for understanding social interactions in migrant-run eateries</w:t>
            </w:r>
          </w:p>
        </w:tc>
        <w:tc>
          <w:tcPr>
            <w:tcW w:w="1550" w:type="dxa"/>
          </w:tcPr>
          <w:p w14:paraId="7F98C9A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Public realm, social theory, eateries</w:t>
            </w:r>
          </w:p>
        </w:tc>
      </w:tr>
      <w:tr w:rsidR="00845447" w14:paraId="09B97D1C" w14:textId="77777777" w:rsidTr="001F6B0D">
        <w:tc>
          <w:tcPr>
            <w:tcW w:w="704" w:type="dxa"/>
          </w:tcPr>
          <w:p w14:paraId="3A24AD88"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49</w:t>
            </w:r>
          </w:p>
        </w:tc>
        <w:tc>
          <w:tcPr>
            <w:tcW w:w="1528" w:type="dxa"/>
          </w:tcPr>
          <w:p w14:paraId="2C22023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Chef’s Pencil</w:t>
            </w:r>
          </w:p>
        </w:tc>
        <w:tc>
          <w:tcPr>
            <w:tcW w:w="740" w:type="dxa"/>
          </w:tcPr>
          <w:p w14:paraId="2FBAC5B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2019</w:t>
            </w:r>
          </w:p>
        </w:tc>
        <w:tc>
          <w:tcPr>
            <w:tcW w:w="1319" w:type="dxa"/>
          </w:tcPr>
          <w:p w14:paraId="2B4045B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Web Article</w:t>
            </w:r>
          </w:p>
        </w:tc>
        <w:tc>
          <w:tcPr>
            <w:tcW w:w="1553" w:type="dxa"/>
          </w:tcPr>
          <w:p w14:paraId="5BBE57F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The 10 Most Popular Ethnic </w:t>
            </w:r>
            <w:r w:rsidRPr="00845447">
              <w:rPr>
                <w:rFonts w:asciiTheme="majorHAnsi" w:eastAsia="Times New Roman" w:hAnsiTheme="majorHAnsi" w:cstheme="majorHAnsi"/>
                <w:sz w:val="20"/>
                <w:szCs w:val="20"/>
                <w:lang w:eastAsia="en-GB"/>
              </w:rPr>
              <w:lastRenderedPageBreak/>
              <w:t>Cuisines in the UK</w:t>
            </w:r>
          </w:p>
        </w:tc>
        <w:tc>
          <w:tcPr>
            <w:tcW w:w="1557" w:type="dxa"/>
          </w:tcPr>
          <w:p w14:paraId="30416F3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 xml:space="preserve">Rank and analyze the </w:t>
            </w:r>
            <w:r w:rsidRPr="00845447">
              <w:rPr>
                <w:rFonts w:asciiTheme="majorHAnsi" w:eastAsia="Times New Roman" w:hAnsiTheme="majorHAnsi" w:cstheme="majorHAnsi"/>
                <w:sz w:val="20"/>
                <w:szCs w:val="20"/>
                <w:lang w:eastAsia="en-GB"/>
              </w:rPr>
              <w:lastRenderedPageBreak/>
              <w:t>popularity of ethnic cuisines, including Indian, in the UK</w:t>
            </w:r>
          </w:p>
        </w:tc>
        <w:tc>
          <w:tcPr>
            <w:tcW w:w="1505" w:type="dxa"/>
          </w:tcPr>
          <w:p w14:paraId="5953FAE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 xml:space="preserve">Useful for market context </w:t>
            </w:r>
            <w:r w:rsidRPr="00845447">
              <w:rPr>
                <w:rFonts w:asciiTheme="majorHAnsi" w:eastAsia="Times New Roman" w:hAnsiTheme="majorHAnsi" w:cstheme="majorHAnsi"/>
                <w:sz w:val="20"/>
                <w:szCs w:val="20"/>
                <w:lang w:eastAsia="en-GB"/>
              </w:rPr>
              <w:lastRenderedPageBreak/>
              <w:t>and consumer preferences in London’s food sector</w:t>
            </w:r>
          </w:p>
        </w:tc>
        <w:tc>
          <w:tcPr>
            <w:tcW w:w="1550" w:type="dxa"/>
          </w:tcPr>
          <w:p w14:paraId="05CC4D2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Ethnic cuisine, popularity, UK</w:t>
            </w:r>
          </w:p>
        </w:tc>
      </w:tr>
      <w:tr w:rsidR="00845447" w14:paraId="69858112" w14:textId="77777777" w:rsidTr="001F6B0D">
        <w:tc>
          <w:tcPr>
            <w:tcW w:w="704" w:type="dxa"/>
          </w:tcPr>
          <w:p w14:paraId="2C0152C5"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50</w:t>
            </w:r>
          </w:p>
        </w:tc>
        <w:tc>
          <w:tcPr>
            <w:tcW w:w="1528" w:type="dxa"/>
          </w:tcPr>
          <w:p w14:paraId="49D120D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Patak’s (Brand Profile)</w:t>
            </w:r>
          </w:p>
        </w:tc>
        <w:tc>
          <w:tcPr>
            <w:tcW w:w="740" w:type="dxa"/>
          </w:tcPr>
          <w:p w14:paraId="76E69B3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07DCB00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Company Profile</w:t>
            </w:r>
          </w:p>
        </w:tc>
        <w:tc>
          <w:tcPr>
            <w:tcW w:w="1553" w:type="dxa"/>
          </w:tcPr>
          <w:p w14:paraId="3858939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Patak’s: From Family Business to Global Brand</w:t>
            </w:r>
          </w:p>
        </w:tc>
        <w:tc>
          <w:tcPr>
            <w:tcW w:w="1557" w:type="dxa"/>
          </w:tcPr>
          <w:p w14:paraId="3922EC6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Trace the growth of an Indian food brand in the UK</w:t>
            </w:r>
          </w:p>
        </w:tc>
        <w:tc>
          <w:tcPr>
            <w:tcW w:w="1505" w:type="dxa"/>
          </w:tcPr>
          <w:p w14:paraId="0BD448D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Illustrates business model evolution and diaspora entrepreneurship</w:t>
            </w:r>
          </w:p>
        </w:tc>
        <w:tc>
          <w:tcPr>
            <w:tcW w:w="1550" w:type="dxa"/>
          </w:tcPr>
          <w:p w14:paraId="69FB51F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Indian food, brand, diaspora</w:t>
            </w:r>
          </w:p>
        </w:tc>
      </w:tr>
      <w:tr w:rsidR="00845447" w14:paraId="3CF1EB2A" w14:textId="77777777" w:rsidTr="001F6B0D">
        <w:tc>
          <w:tcPr>
            <w:tcW w:w="704" w:type="dxa"/>
          </w:tcPr>
          <w:p w14:paraId="41B57CC9"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51</w:t>
            </w:r>
          </w:p>
        </w:tc>
        <w:tc>
          <w:tcPr>
            <w:tcW w:w="1528" w:type="dxa"/>
          </w:tcPr>
          <w:p w14:paraId="6A80FE6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Tilda Rice (Brand Profile)</w:t>
            </w:r>
          </w:p>
        </w:tc>
        <w:tc>
          <w:tcPr>
            <w:tcW w:w="740" w:type="dxa"/>
          </w:tcPr>
          <w:p w14:paraId="71AD08B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2022</w:t>
            </w:r>
          </w:p>
        </w:tc>
        <w:tc>
          <w:tcPr>
            <w:tcW w:w="1319" w:type="dxa"/>
          </w:tcPr>
          <w:p w14:paraId="1634370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Company Profile</w:t>
            </w:r>
          </w:p>
        </w:tc>
        <w:tc>
          <w:tcPr>
            <w:tcW w:w="1553" w:type="dxa"/>
          </w:tcPr>
          <w:p w14:paraId="6C2F428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Tilda Rice: The Journey of an Indian Brand in the UK</w:t>
            </w:r>
          </w:p>
        </w:tc>
        <w:tc>
          <w:tcPr>
            <w:tcW w:w="1557" w:type="dxa"/>
          </w:tcPr>
          <w:p w14:paraId="6C18507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Document the expansion and adaptation of an Indian rice brand in the UK market</w:t>
            </w:r>
          </w:p>
        </w:tc>
        <w:tc>
          <w:tcPr>
            <w:tcW w:w="1505" w:type="dxa"/>
          </w:tcPr>
          <w:p w14:paraId="7BD2F4C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business strategies and adaptation by migrant entrepreneurs</w:t>
            </w:r>
          </w:p>
        </w:tc>
        <w:tc>
          <w:tcPr>
            <w:tcW w:w="1550" w:type="dxa"/>
          </w:tcPr>
          <w:p w14:paraId="6704C47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Indian rice, brand, UK</w:t>
            </w:r>
          </w:p>
        </w:tc>
      </w:tr>
      <w:tr w:rsidR="00845447" w14:paraId="410D27CF" w14:textId="77777777" w:rsidTr="001F6B0D">
        <w:tc>
          <w:tcPr>
            <w:tcW w:w="704" w:type="dxa"/>
          </w:tcPr>
          <w:p w14:paraId="27D76D3F"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52</w:t>
            </w:r>
          </w:p>
        </w:tc>
        <w:tc>
          <w:tcPr>
            <w:tcW w:w="1528" w:type="dxa"/>
          </w:tcPr>
          <w:p w14:paraId="0E86CC3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Ahmed, S.</w:t>
            </w:r>
          </w:p>
        </w:tc>
        <w:tc>
          <w:tcPr>
            <w:tcW w:w="740" w:type="dxa"/>
          </w:tcPr>
          <w:p w14:paraId="645490D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2020</w:t>
            </w:r>
          </w:p>
        </w:tc>
        <w:tc>
          <w:tcPr>
            <w:tcW w:w="1319" w:type="dxa"/>
          </w:tcPr>
          <w:p w14:paraId="1B45CA3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Paper</w:t>
            </w:r>
          </w:p>
        </w:tc>
        <w:tc>
          <w:tcPr>
            <w:tcW w:w="1553" w:type="dxa"/>
          </w:tcPr>
          <w:p w14:paraId="5F6C9E9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Immigrant Entrepreneurship in the UK: Opportunities and Resources</w:t>
            </w:r>
          </w:p>
        </w:tc>
        <w:tc>
          <w:tcPr>
            <w:tcW w:w="1557" w:type="dxa"/>
          </w:tcPr>
          <w:p w14:paraId="650BE5A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how immigrant entrepreneurs utilize resources to start and grow food sector businesses in the UK</w:t>
            </w:r>
          </w:p>
        </w:tc>
        <w:tc>
          <w:tcPr>
            <w:tcW w:w="1505" w:type="dxa"/>
          </w:tcPr>
          <w:p w14:paraId="14774F9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Focus on Indian food sector, resource mobilization, and opportunity recognition</w:t>
            </w:r>
          </w:p>
        </w:tc>
        <w:tc>
          <w:tcPr>
            <w:tcW w:w="1550" w:type="dxa"/>
          </w:tcPr>
          <w:p w14:paraId="4034B4E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Immigrant entrepreneurship, UK, food sector</w:t>
            </w:r>
          </w:p>
        </w:tc>
      </w:tr>
      <w:tr w:rsidR="00845447" w14:paraId="427037AF" w14:textId="77777777" w:rsidTr="001F6B0D">
        <w:tc>
          <w:tcPr>
            <w:tcW w:w="704" w:type="dxa"/>
          </w:tcPr>
          <w:p w14:paraId="30BD0FE2"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53</w:t>
            </w:r>
          </w:p>
        </w:tc>
        <w:tc>
          <w:tcPr>
            <w:tcW w:w="1528" w:type="dxa"/>
          </w:tcPr>
          <w:p w14:paraId="60172937"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Basu</w:t>
            </w:r>
            <w:proofErr w:type="spellEnd"/>
            <w:r w:rsidRPr="00845447">
              <w:rPr>
                <w:rFonts w:asciiTheme="majorHAnsi" w:eastAsia="Times New Roman" w:hAnsiTheme="majorHAnsi" w:cstheme="majorHAnsi"/>
                <w:sz w:val="20"/>
                <w:szCs w:val="20"/>
                <w:lang w:eastAsia="en-GB"/>
              </w:rPr>
              <w:t>, A.</w:t>
            </w:r>
          </w:p>
        </w:tc>
        <w:tc>
          <w:tcPr>
            <w:tcW w:w="740" w:type="dxa"/>
          </w:tcPr>
          <w:p w14:paraId="7395143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2010</w:t>
            </w:r>
          </w:p>
        </w:tc>
        <w:tc>
          <w:tcPr>
            <w:tcW w:w="1319" w:type="dxa"/>
          </w:tcPr>
          <w:p w14:paraId="3934AD9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4F525C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Successful Market Strategies of Immigrant Entrepreneurs in the UK</w:t>
            </w:r>
          </w:p>
        </w:tc>
        <w:tc>
          <w:tcPr>
            <w:tcW w:w="1557" w:type="dxa"/>
          </w:tcPr>
          <w:p w14:paraId="3BB7BAB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strategies for breaking out of ethnic markets and achieving growth in the UK food sector</w:t>
            </w:r>
          </w:p>
        </w:tc>
        <w:tc>
          <w:tcPr>
            <w:tcW w:w="1505" w:type="dxa"/>
          </w:tcPr>
          <w:p w14:paraId="1282830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Case studies of Indian food entrepreneurs, innovation, and business diversification</w:t>
            </w:r>
          </w:p>
        </w:tc>
        <w:tc>
          <w:tcPr>
            <w:tcW w:w="1550" w:type="dxa"/>
          </w:tcPr>
          <w:p w14:paraId="33EA66A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Market strategy, Indian entrepreneurs, UK</w:t>
            </w:r>
          </w:p>
        </w:tc>
      </w:tr>
      <w:tr w:rsidR="00845447" w14:paraId="79011226" w14:textId="77777777" w:rsidTr="001F6B0D">
        <w:tc>
          <w:tcPr>
            <w:tcW w:w="704" w:type="dxa"/>
          </w:tcPr>
          <w:p w14:paraId="6614FE74"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54</w:t>
            </w:r>
          </w:p>
        </w:tc>
        <w:tc>
          <w:tcPr>
            <w:tcW w:w="1528" w:type="dxa"/>
          </w:tcPr>
          <w:p w14:paraId="4E7285B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Thompson, S.</w:t>
            </w:r>
          </w:p>
        </w:tc>
        <w:tc>
          <w:tcPr>
            <w:tcW w:w="740" w:type="dxa"/>
          </w:tcPr>
          <w:p w14:paraId="1A81056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2017</w:t>
            </w:r>
          </w:p>
        </w:tc>
        <w:tc>
          <w:tcPr>
            <w:tcW w:w="1319" w:type="dxa"/>
          </w:tcPr>
          <w:p w14:paraId="62B8987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Paper</w:t>
            </w:r>
          </w:p>
        </w:tc>
        <w:tc>
          <w:tcPr>
            <w:tcW w:w="1553" w:type="dxa"/>
          </w:tcPr>
          <w:p w14:paraId="5EBE87A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Challenges and Issues facing Ethnic Minority Small Business Owners</w:t>
            </w:r>
          </w:p>
        </w:tc>
        <w:tc>
          <w:tcPr>
            <w:tcW w:w="1557" w:type="dxa"/>
          </w:tcPr>
          <w:p w14:paraId="4E667A1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Investigate regulatory and operational challenges for Indian subcontinent entrepreneurs in the UK</w:t>
            </w:r>
          </w:p>
        </w:tc>
        <w:tc>
          <w:tcPr>
            <w:tcW w:w="1505" w:type="dxa"/>
          </w:tcPr>
          <w:p w14:paraId="4C65AFB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licensing, labor shortages, and sectoral concentration in food businesses</w:t>
            </w:r>
          </w:p>
        </w:tc>
        <w:tc>
          <w:tcPr>
            <w:tcW w:w="1550" w:type="dxa"/>
          </w:tcPr>
          <w:p w14:paraId="7412317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regulation, food sector</w:t>
            </w:r>
          </w:p>
        </w:tc>
      </w:tr>
      <w:tr w:rsidR="00845447" w14:paraId="0EA2740C" w14:textId="77777777" w:rsidTr="001F6B0D">
        <w:tc>
          <w:tcPr>
            <w:tcW w:w="704" w:type="dxa"/>
          </w:tcPr>
          <w:p w14:paraId="39222D52"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55</w:t>
            </w:r>
          </w:p>
        </w:tc>
        <w:tc>
          <w:tcPr>
            <w:tcW w:w="1528" w:type="dxa"/>
          </w:tcPr>
          <w:p w14:paraId="6F3183D2"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Czinkota</w:t>
            </w:r>
            <w:proofErr w:type="spellEnd"/>
            <w:r w:rsidRPr="00845447">
              <w:rPr>
                <w:rFonts w:asciiTheme="majorHAnsi" w:eastAsia="Times New Roman" w:hAnsiTheme="majorHAnsi" w:cstheme="majorHAnsi"/>
                <w:sz w:val="20"/>
                <w:szCs w:val="20"/>
                <w:lang w:eastAsia="en-GB"/>
              </w:rPr>
              <w:t>, M., Knight, G., Liesch, P.</w:t>
            </w:r>
          </w:p>
        </w:tc>
        <w:tc>
          <w:tcPr>
            <w:tcW w:w="740" w:type="dxa"/>
          </w:tcPr>
          <w:p w14:paraId="599AF1B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2020</w:t>
            </w:r>
          </w:p>
        </w:tc>
        <w:tc>
          <w:tcPr>
            <w:tcW w:w="1319" w:type="dxa"/>
          </w:tcPr>
          <w:p w14:paraId="2838F9F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2CD945F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International Business and the Migrant-Owned Enterprise</w:t>
            </w:r>
          </w:p>
        </w:tc>
        <w:tc>
          <w:tcPr>
            <w:tcW w:w="1557" w:type="dxa"/>
          </w:tcPr>
          <w:p w14:paraId="265D6C5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Analyze international business activities of migrant entrepreneurs, including Indian food businesses</w:t>
            </w:r>
          </w:p>
        </w:tc>
        <w:tc>
          <w:tcPr>
            <w:tcW w:w="1505" w:type="dxa"/>
          </w:tcPr>
          <w:p w14:paraId="6912497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Comparative study includes Indian entrepreneurs in food and processed goods sectors</w:t>
            </w:r>
          </w:p>
        </w:tc>
        <w:tc>
          <w:tcPr>
            <w:tcW w:w="1550" w:type="dxa"/>
          </w:tcPr>
          <w:p w14:paraId="7D99C18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International business, migrant enterprise</w:t>
            </w:r>
          </w:p>
        </w:tc>
      </w:tr>
      <w:tr w:rsidR="00845447" w14:paraId="6103D348" w14:textId="77777777" w:rsidTr="001F6B0D">
        <w:tc>
          <w:tcPr>
            <w:tcW w:w="704" w:type="dxa"/>
          </w:tcPr>
          <w:p w14:paraId="094AAABB"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56</w:t>
            </w:r>
          </w:p>
        </w:tc>
        <w:tc>
          <w:tcPr>
            <w:tcW w:w="1528" w:type="dxa"/>
          </w:tcPr>
          <w:p w14:paraId="10848E8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Enterprise Research Centre</w:t>
            </w:r>
          </w:p>
        </w:tc>
        <w:tc>
          <w:tcPr>
            <w:tcW w:w="740" w:type="dxa"/>
          </w:tcPr>
          <w:p w14:paraId="485C3BD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2018</w:t>
            </w:r>
          </w:p>
        </w:tc>
        <w:tc>
          <w:tcPr>
            <w:tcW w:w="1319" w:type="dxa"/>
          </w:tcPr>
          <w:p w14:paraId="1570717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Literature Review</w:t>
            </w:r>
          </w:p>
        </w:tc>
        <w:tc>
          <w:tcPr>
            <w:tcW w:w="1553" w:type="dxa"/>
          </w:tcPr>
          <w:p w14:paraId="15BC905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Under-represented Entrepreneurs: A Literature Review</w:t>
            </w:r>
          </w:p>
        </w:tc>
        <w:tc>
          <w:tcPr>
            <w:tcW w:w="1557" w:type="dxa"/>
          </w:tcPr>
          <w:p w14:paraId="7DFAD58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Review barriers and stereotypes facing migrant entrepreneurs in the UK</w:t>
            </w:r>
          </w:p>
        </w:tc>
        <w:tc>
          <w:tcPr>
            <w:tcW w:w="1505" w:type="dxa"/>
          </w:tcPr>
          <w:p w14:paraId="1ADDF65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institutional, cultural, and market challenges for Indian food entrepreneurs</w:t>
            </w:r>
          </w:p>
        </w:tc>
        <w:tc>
          <w:tcPr>
            <w:tcW w:w="1550" w:type="dxa"/>
          </w:tcPr>
          <w:p w14:paraId="5040CCF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Under-represented, migrant, UK</w:t>
            </w:r>
          </w:p>
        </w:tc>
      </w:tr>
      <w:tr w:rsidR="00845447" w14:paraId="34703A7D" w14:textId="77777777" w:rsidTr="001F6B0D">
        <w:tc>
          <w:tcPr>
            <w:tcW w:w="704" w:type="dxa"/>
          </w:tcPr>
          <w:p w14:paraId="6ACD49CB"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57</w:t>
            </w:r>
          </w:p>
        </w:tc>
        <w:tc>
          <w:tcPr>
            <w:tcW w:w="1528" w:type="dxa"/>
          </w:tcPr>
          <w:p w14:paraId="6094EC6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Ram, M., Jones, T.</w:t>
            </w:r>
          </w:p>
        </w:tc>
        <w:tc>
          <w:tcPr>
            <w:tcW w:w="740" w:type="dxa"/>
          </w:tcPr>
          <w:p w14:paraId="4C3D13F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2021</w:t>
            </w:r>
          </w:p>
        </w:tc>
        <w:tc>
          <w:tcPr>
            <w:tcW w:w="1319" w:type="dxa"/>
          </w:tcPr>
          <w:p w14:paraId="5E34A71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24FA7FC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Businesses in the UK: A Review of Research and Policy</w:t>
            </w:r>
          </w:p>
        </w:tc>
        <w:tc>
          <w:tcPr>
            <w:tcW w:w="1557" w:type="dxa"/>
          </w:tcPr>
          <w:p w14:paraId="390418F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Review research and policy on ethnic minority businesses in the UK</w:t>
            </w:r>
          </w:p>
        </w:tc>
        <w:tc>
          <w:tcPr>
            <w:tcW w:w="1505" w:type="dxa"/>
          </w:tcPr>
          <w:p w14:paraId="6D3F376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Discusses policy impact, business models, and historical context for </w:t>
            </w:r>
            <w:r w:rsidRPr="00845447">
              <w:rPr>
                <w:rFonts w:asciiTheme="majorHAnsi" w:eastAsia="Times New Roman" w:hAnsiTheme="majorHAnsi" w:cstheme="majorHAnsi"/>
                <w:sz w:val="20"/>
                <w:szCs w:val="20"/>
                <w:lang w:eastAsia="en-GB"/>
              </w:rPr>
              <w:lastRenderedPageBreak/>
              <w:t>Indian food sector</w:t>
            </w:r>
          </w:p>
        </w:tc>
        <w:tc>
          <w:tcPr>
            <w:tcW w:w="1550" w:type="dxa"/>
          </w:tcPr>
          <w:p w14:paraId="2D3DBC5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Ethnic minority, policy, UK</w:t>
            </w:r>
          </w:p>
        </w:tc>
      </w:tr>
      <w:tr w:rsidR="00845447" w14:paraId="05FCDDC8" w14:textId="77777777" w:rsidTr="001F6B0D">
        <w:tc>
          <w:tcPr>
            <w:tcW w:w="704" w:type="dxa"/>
          </w:tcPr>
          <w:p w14:paraId="5080AD2B"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58</w:t>
            </w:r>
          </w:p>
        </w:tc>
        <w:tc>
          <w:tcPr>
            <w:tcW w:w="1528" w:type="dxa"/>
          </w:tcPr>
          <w:p w14:paraId="738029B4"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Basu</w:t>
            </w:r>
            <w:proofErr w:type="spellEnd"/>
            <w:r w:rsidRPr="00845447">
              <w:rPr>
                <w:rFonts w:asciiTheme="majorHAnsi" w:eastAsia="Times New Roman" w:hAnsiTheme="majorHAnsi" w:cstheme="majorHAnsi"/>
                <w:sz w:val="20"/>
                <w:szCs w:val="20"/>
                <w:lang w:eastAsia="en-GB"/>
              </w:rPr>
              <w:t>, A.</w:t>
            </w:r>
          </w:p>
        </w:tc>
        <w:tc>
          <w:tcPr>
            <w:tcW w:w="740" w:type="dxa"/>
          </w:tcPr>
          <w:p w14:paraId="16CCCB7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2015</w:t>
            </w:r>
          </w:p>
        </w:tc>
        <w:tc>
          <w:tcPr>
            <w:tcW w:w="1319" w:type="dxa"/>
          </w:tcPr>
          <w:p w14:paraId="49A73FD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04A101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Transnational Entrepreneurship among Indian Immigrants in London</w:t>
            </w:r>
          </w:p>
        </w:tc>
        <w:tc>
          <w:tcPr>
            <w:tcW w:w="1557" w:type="dxa"/>
          </w:tcPr>
          <w:p w14:paraId="245870D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transnational business models and networks of Indian entrepreneurs in London</w:t>
            </w:r>
          </w:p>
        </w:tc>
        <w:tc>
          <w:tcPr>
            <w:tcW w:w="1505" w:type="dxa"/>
          </w:tcPr>
          <w:p w14:paraId="6FEEA9B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Explores cross-border linkages and adaptation strategies</w:t>
            </w:r>
          </w:p>
        </w:tc>
        <w:tc>
          <w:tcPr>
            <w:tcW w:w="1550" w:type="dxa"/>
          </w:tcPr>
          <w:p w14:paraId="31F10295" w14:textId="77777777" w:rsidR="001655AF" w:rsidRPr="00845447" w:rsidRDefault="001655AF" w:rsidP="00442151">
            <w:pPr>
              <w:rPr>
                <w:rFonts w:asciiTheme="majorHAnsi" w:hAnsiTheme="majorHAnsi" w:cstheme="majorHAnsi"/>
                <w:sz w:val="20"/>
                <w:szCs w:val="20"/>
              </w:rPr>
            </w:pPr>
          </w:p>
        </w:tc>
      </w:tr>
      <w:tr w:rsidR="00845447" w14:paraId="67D89842" w14:textId="77777777" w:rsidTr="001F6B0D">
        <w:tc>
          <w:tcPr>
            <w:tcW w:w="704" w:type="dxa"/>
          </w:tcPr>
          <w:p w14:paraId="50D4F85A"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59</w:t>
            </w:r>
          </w:p>
        </w:tc>
        <w:tc>
          <w:tcPr>
            <w:tcW w:w="1528" w:type="dxa"/>
          </w:tcPr>
          <w:p w14:paraId="1548857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Kloosterman, R., Rath, J.</w:t>
            </w:r>
          </w:p>
        </w:tc>
        <w:tc>
          <w:tcPr>
            <w:tcW w:w="740" w:type="dxa"/>
          </w:tcPr>
          <w:p w14:paraId="1A34E7D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2018</w:t>
            </w:r>
          </w:p>
        </w:tc>
        <w:tc>
          <w:tcPr>
            <w:tcW w:w="1319" w:type="dxa"/>
          </w:tcPr>
          <w:p w14:paraId="7AB00DF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4F154A5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Mixed Embeddedness Revisited: A Conclusion to the Symposium</w:t>
            </w:r>
          </w:p>
        </w:tc>
        <w:tc>
          <w:tcPr>
            <w:tcW w:w="1557" w:type="dxa"/>
          </w:tcPr>
          <w:p w14:paraId="7ED11A9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Assess the mixed embeddedness framework for migrant entrepreneurship</w:t>
            </w:r>
          </w:p>
        </w:tc>
        <w:tc>
          <w:tcPr>
            <w:tcW w:w="1505" w:type="dxa"/>
          </w:tcPr>
          <w:p w14:paraId="36F69EF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Theoretical foundation for understanding business success and barriers</w:t>
            </w:r>
          </w:p>
        </w:tc>
        <w:tc>
          <w:tcPr>
            <w:tcW w:w="1550" w:type="dxa"/>
          </w:tcPr>
          <w:p w14:paraId="2E3CA6D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Mixed embeddedness, theory, migrants</w:t>
            </w:r>
          </w:p>
        </w:tc>
      </w:tr>
      <w:tr w:rsidR="00845447" w14:paraId="1FFC3EE0" w14:textId="77777777" w:rsidTr="001F6B0D">
        <w:tc>
          <w:tcPr>
            <w:tcW w:w="704" w:type="dxa"/>
          </w:tcPr>
          <w:p w14:paraId="7B56113C"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60</w:t>
            </w:r>
          </w:p>
        </w:tc>
        <w:tc>
          <w:tcPr>
            <w:tcW w:w="1528" w:type="dxa"/>
          </w:tcPr>
          <w:p w14:paraId="2FE0354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Barrett, G., Jones, T., McEvoy, D.</w:t>
            </w:r>
          </w:p>
        </w:tc>
        <w:tc>
          <w:tcPr>
            <w:tcW w:w="740" w:type="dxa"/>
          </w:tcPr>
          <w:p w14:paraId="47683EF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2020</w:t>
            </w:r>
          </w:p>
        </w:tc>
        <w:tc>
          <w:tcPr>
            <w:tcW w:w="1319" w:type="dxa"/>
          </w:tcPr>
          <w:p w14:paraId="0543FAE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1BFCFE6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Business in the UK: Disadvantage and Enterprise</w:t>
            </w:r>
          </w:p>
        </w:tc>
        <w:tc>
          <w:tcPr>
            <w:tcW w:w="1557" w:type="dxa"/>
          </w:tcPr>
          <w:p w14:paraId="53B7AB4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Investigate disadvantage and entrepreneurial responses among ethnic minorities</w:t>
            </w:r>
          </w:p>
        </w:tc>
        <w:tc>
          <w:tcPr>
            <w:tcW w:w="1505" w:type="dxa"/>
          </w:tcPr>
          <w:p w14:paraId="4831923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Focus on structural barriers and adaptation in the food sector</w:t>
            </w:r>
          </w:p>
        </w:tc>
        <w:tc>
          <w:tcPr>
            <w:tcW w:w="1550" w:type="dxa"/>
          </w:tcPr>
          <w:p w14:paraId="30C2106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Disadvantage, adaptation, ethnic business</w:t>
            </w:r>
          </w:p>
        </w:tc>
      </w:tr>
      <w:tr w:rsidR="00845447" w14:paraId="19CDCEAC" w14:textId="77777777" w:rsidTr="001F6B0D">
        <w:tc>
          <w:tcPr>
            <w:tcW w:w="704" w:type="dxa"/>
          </w:tcPr>
          <w:p w14:paraId="2B04C9BA"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61</w:t>
            </w:r>
          </w:p>
        </w:tc>
        <w:tc>
          <w:tcPr>
            <w:tcW w:w="1528" w:type="dxa"/>
          </w:tcPr>
          <w:p w14:paraId="71BBC0C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Sepulveda, L., Syrett, S., Lyon, F.</w:t>
            </w:r>
          </w:p>
        </w:tc>
        <w:tc>
          <w:tcPr>
            <w:tcW w:w="740" w:type="dxa"/>
          </w:tcPr>
          <w:p w14:paraId="4AE08FA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2011</w:t>
            </w:r>
          </w:p>
        </w:tc>
        <w:tc>
          <w:tcPr>
            <w:tcW w:w="1319" w:type="dxa"/>
          </w:tcPr>
          <w:p w14:paraId="23F4CEF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1B4C1E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Population Superdiversity and New Migrant Enterprise in London</w:t>
            </w:r>
          </w:p>
        </w:tc>
        <w:tc>
          <w:tcPr>
            <w:tcW w:w="1557" w:type="dxa"/>
          </w:tcPr>
          <w:p w14:paraId="0E7EC10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effects of superdiversity on migrant entrepreneurship in London</w:t>
            </w:r>
          </w:p>
        </w:tc>
        <w:tc>
          <w:tcPr>
            <w:tcW w:w="1505" w:type="dxa"/>
          </w:tcPr>
          <w:p w14:paraId="2FBF55A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Regulatory, social, and market challenges for Indian food entrepreneurs</w:t>
            </w:r>
          </w:p>
        </w:tc>
        <w:tc>
          <w:tcPr>
            <w:tcW w:w="1550" w:type="dxa"/>
          </w:tcPr>
          <w:p w14:paraId="5A44BB2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Superdiversity, London, enterprise</w:t>
            </w:r>
          </w:p>
        </w:tc>
      </w:tr>
      <w:tr w:rsidR="00845447" w14:paraId="53E5D4A7" w14:textId="77777777" w:rsidTr="001F6B0D">
        <w:tc>
          <w:tcPr>
            <w:tcW w:w="704" w:type="dxa"/>
          </w:tcPr>
          <w:p w14:paraId="077E52BC"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62</w:t>
            </w:r>
          </w:p>
        </w:tc>
        <w:tc>
          <w:tcPr>
            <w:tcW w:w="1528" w:type="dxa"/>
          </w:tcPr>
          <w:p w14:paraId="1438BD4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Jones, T., Ram, M., Edwards, P.</w:t>
            </w:r>
          </w:p>
        </w:tc>
        <w:tc>
          <w:tcPr>
            <w:tcW w:w="740" w:type="dxa"/>
          </w:tcPr>
          <w:p w14:paraId="5FC140F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2010</w:t>
            </w:r>
          </w:p>
        </w:tc>
        <w:tc>
          <w:tcPr>
            <w:tcW w:w="1319" w:type="dxa"/>
          </w:tcPr>
          <w:p w14:paraId="13E692E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F9EB13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Minority Businesses and the UK Economic Crisis</w:t>
            </w:r>
          </w:p>
        </w:tc>
        <w:tc>
          <w:tcPr>
            <w:tcW w:w="1557" w:type="dxa"/>
          </w:tcPr>
          <w:p w14:paraId="56004F4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Assess the impact of economic crises on ethnic minority businesses</w:t>
            </w:r>
          </w:p>
        </w:tc>
        <w:tc>
          <w:tcPr>
            <w:tcW w:w="1505" w:type="dxa"/>
          </w:tcPr>
          <w:p w14:paraId="64EE7CF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Reviews resilience and vulnerability in London’s Indian food sector</w:t>
            </w:r>
          </w:p>
        </w:tc>
        <w:tc>
          <w:tcPr>
            <w:tcW w:w="1550" w:type="dxa"/>
          </w:tcPr>
          <w:p w14:paraId="2C3DA4B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Economic crisis, resilience, migrants</w:t>
            </w:r>
          </w:p>
        </w:tc>
      </w:tr>
      <w:tr w:rsidR="00845447" w14:paraId="630F2F0F" w14:textId="77777777" w:rsidTr="001F6B0D">
        <w:tc>
          <w:tcPr>
            <w:tcW w:w="704" w:type="dxa"/>
          </w:tcPr>
          <w:p w14:paraId="331BFD62"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63</w:t>
            </w:r>
          </w:p>
        </w:tc>
        <w:tc>
          <w:tcPr>
            <w:tcW w:w="1528" w:type="dxa"/>
          </w:tcPr>
          <w:p w14:paraId="53D475F6"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Smallbone</w:t>
            </w:r>
            <w:proofErr w:type="spellEnd"/>
            <w:r w:rsidRPr="00845447">
              <w:rPr>
                <w:rFonts w:asciiTheme="majorHAnsi" w:eastAsia="Times New Roman" w:hAnsiTheme="majorHAnsi" w:cstheme="majorHAnsi"/>
                <w:sz w:val="20"/>
                <w:szCs w:val="20"/>
                <w:lang w:eastAsia="en-GB"/>
              </w:rPr>
              <w:t>, D., Kitching, J., Athayde, R.</w:t>
            </w:r>
          </w:p>
        </w:tc>
        <w:tc>
          <w:tcPr>
            <w:tcW w:w="740" w:type="dxa"/>
          </w:tcPr>
          <w:p w14:paraId="18BE44A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2010</w:t>
            </w:r>
          </w:p>
        </w:tc>
        <w:tc>
          <w:tcPr>
            <w:tcW w:w="1319" w:type="dxa"/>
          </w:tcPr>
          <w:p w14:paraId="565C457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Research Report</w:t>
            </w:r>
          </w:p>
        </w:tc>
        <w:tc>
          <w:tcPr>
            <w:tcW w:w="1553" w:type="dxa"/>
          </w:tcPr>
          <w:p w14:paraId="2CE1795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Ethnic Diversity, Enterprise and Competitiveness in London</w:t>
            </w:r>
          </w:p>
        </w:tc>
        <w:tc>
          <w:tcPr>
            <w:tcW w:w="1557" w:type="dxa"/>
          </w:tcPr>
          <w:p w14:paraId="60F8BE4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Analyze the impact of ethnic diversity on enterprise and competitiveness in London</w:t>
            </w:r>
          </w:p>
        </w:tc>
        <w:tc>
          <w:tcPr>
            <w:tcW w:w="1505" w:type="dxa"/>
          </w:tcPr>
          <w:p w14:paraId="41A92C3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Focuses on Indian food sector and policy implications</w:t>
            </w:r>
          </w:p>
        </w:tc>
        <w:tc>
          <w:tcPr>
            <w:tcW w:w="1550" w:type="dxa"/>
          </w:tcPr>
          <w:p w14:paraId="12124C8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Diversity, competitiveness, London</w:t>
            </w:r>
          </w:p>
        </w:tc>
      </w:tr>
      <w:tr w:rsidR="00845447" w14:paraId="3C63F39E" w14:textId="77777777" w:rsidTr="001F6B0D">
        <w:tc>
          <w:tcPr>
            <w:tcW w:w="704" w:type="dxa"/>
          </w:tcPr>
          <w:p w14:paraId="588D45FD"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64</w:t>
            </w:r>
          </w:p>
        </w:tc>
        <w:tc>
          <w:tcPr>
            <w:tcW w:w="1528" w:type="dxa"/>
          </w:tcPr>
          <w:p w14:paraId="3EC2D832" w14:textId="77777777" w:rsidR="001655AF" w:rsidRPr="00845447" w:rsidRDefault="001655AF" w:rsidP="00442151">
            <w:pPr>
              <w:rPr>
                <w:rFonts w:asciiTheme="majorHAnsi" w:hAnsiTheme="majorHAnsi" w:cstheme="majorHAnsi"/>
                <w:sz w:val="20"/>
                <w:szCs w:val="20"/>
              </w:rPr>
            </w:pPr>
            <w:proofErr w:type="spellStart"/>
            <w:r w:rsidRPr="00845447">
              <w:rPr>
                <w:rFonts w:asciiTheme="majorHAnsi" w:eastAsia="Times New Roman" w:hAnsiTheme="majorHAnsi" w:cstheme="majorHAnsi"/>
                <w:sz w:val="20"/>
                <w:szCs w:val="20"/>
                <w:lang w:eastAsia="en-GB"/>
              </w:rPr>
              <w:t>Baycan</w:t>
            </w:r>
            <w:proofErr w:type="spellEnd"/>
            <w:r w:rsidRPr="00845447">
              <w:rPr>
                <w:rFonts w:asciiTheme="majorHAnsi" w:eastAsia="Times New Roman" w:hAnsiTheme="majorHAnsi" w:cstheme="majorHAnsi"/>
                <w:sz w:val="20"/>
                <w:szCs w:val="20"/>
                <w:lang w:eastAsia="en-GB"/>
              </w:rPr>
              <w:t>-Levent, T., Nijkamp, P.</w:t>
            </w:r>
          </w:p>
        </w:tc>
        <w:tc>
          <w:tcPr>
            <w:tcW w:w="740" w:type="dxa"/>
          </w:tcPr>
          <w:p w14:paraId="53ECD57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2009</w:t>
            </w:r>
          </w:p>
        </w:tc>
        <w:tc>
          <w:tcPr>
            <w:tcW w:w="1319" w:type="dxa"/>
          </w:tcPr>
          <w:p w14:paraId="3FC65E9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827CCA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Characteristics of Migrant Entrepreneurship in Europe and London</w:t>
            </w:r>
          </w:p>
        </w:tc>
        <w:tc>
          <w:tcPr>
            <w:tcW w:w="1557" w:type="dxa"/>
          </w:tcPr>
          <w:p w14:paraId="69E3F26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Comparative analysis of migrant entrepreneurship characteristics</w:t>
            </w:r>
          </w:p>
        </w:tc>
        <w:tc>
          <w:tcPr>
            <w:tcW w:w="1505" w:type="dxa"/>
          </w:tcPr>
          <w:p w14:paraId="68D7F07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Includes Indian food sector case studies in London</w:t>
            </w:r>
          </w:p>
        </w:tc>
        <w:tc>
          <w:tcPr>
            <w:tcW w:w="1550" w:type="dxa"/>
          </w:tcPr>
          <w:p w14:paraId="3F30561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Comparative, migrant, London</w:t>
            </w:r>
          </w:p>
        </w:tc>
      </w:tr>
      <w:tr w:rsidR="00845447" w14:paraId="14C1A033" w14:textId="77777777" w:rsidTr="001F6B0D">
        <w:tc>
          <w:tcPr>
            <w:tcW w:w="704" w:type="dxa"/>
          </w:tcPr>
          <w:p w14:paraId="6185DBDF"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65</w:t>
            </w:r>
          </w:p>
        </w:tc>
        <w:tc>
          <w:tcPr>
            <w:tcW w:w="1528" w:type="dxa"/>
          </w:tcPr>
          <w:p w14:paraId="6750F44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Ram, M., Theodorakopoulos, N., Jones, T.</w:t>
            </w:r>
          </w:p>
        </w:tc>
        <w:tc>
          <w:tcPr>
            <w:tcW w:w="740" w:type="dxa"/>
          </w:tcPr>
          <w:p w14:paraId="27B8CBD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2008</w:t>
            </w:r>
          </w:p>
        </w:tc>
        <w:tc>
          <w:tcPr>
            <w:tcW w:w="1319" w:type="dxa"/>
          </w:tcPr>
          <w:p w14:paraId="7771EFB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90556A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Forms of Capital, Mixed Embeddedness and Somali Enterprise in London</w:t>
            </w:r>
          </w:p>
        </w:tc>
        <w:tc>
          <w:tcPr>
            <w:tcW w:w="1557" w:type="dxa"/>
          </w:tcPr>
          <w:p w14:paraId="0CDA408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Apply mixed embeddedness and capital theory to migrant enterprise in London</w:t>
            </w:r>
          </w:p>
        </w:tc>
        <w:tc>
          <w:tcPr>
            <w:tcW w:w="1505" w:type="dxa"/>
          </w:tcPr>
          <w:p w14:paraId="2BEA383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Theoretical insights applicable to Indian food entrepreneurs</w:t>
            </w:r>
          </w:p>
        </w:tc>
        <w:tc>
          <w:tcPr>
            <w:tcW w:w="1550" w:type="dxa"/>
          </w:tcPr>
          <w:p w14:paraId="537A454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Capital, mixed embeddedness, theory</w:t>
            </w:r>
          </w:p>
        </w:tc>
      </w:tr>
      <w:tr w:rsidR="00845447" w14:paraId="38FF5580" w14:textId="77777777" w:rsidTr="001F6B0D">
        <w:tc>
          <w:tcPr>
            <w:tcW w:w="704" w:type="dxa"/>
          </w:tcPr>
          <w:p w14:paraId="632B765A"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66</w:t>
            </w:r>
          </w:p>
        </w:tc>
        <w:tc>
          <w:tcPr>
            <w:tcW w:w="1528" w:type="dxa"/>
          </w:tcPr>
          <w:p w14:paraId="156852E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Barrett, G., McEvoy, D., Jones, T.</w:t>
            </w:r>
          </w:p>
        </w:tc>
        <w:tc>
          <w:tcPr>
            <w:tcW w:w="740" w:type="dxa"/>
          </w:tcPr>
          <w:p w14:paraId="5E40691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1996</w:t>
            </w:r>
          </w:p>
        </w:tc>
        <w:tc>
          <w:tcPr>
            <w:tcW w:w="1319" w:type="dxa"/>
          </w:tcPr>
          <w:p w14:paraId="680B772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1AE72C6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Social Networks and Ethnic Minority Business in London</w:t>
            </w:r>
          </w:p>
        </w:tc>
        <w:tc>
          <w:tcPr>
            <w:tcW w:w="1557" w:type="dxa"/>
          </w:tcPr>
          <w:p w14:paraId="319F09F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the role of social networks in business success among ethnic minorities</w:t>
            </w:r>
          </w:p>
        </w:tc>
        <w:tc>
          <w:tcPr>
            <w:tcW w:w="1505" w:type="dxa"/>
          </w:tcPr>
          <w:p w14:paraId="3D4F0CF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Highlights importance of networks for Indian food entrepreneurs</w:t>
            </w:r>
          </w:p>
        </w:tc>
        <w:tc>
          <w:tcPr>
            <w:tcW w:w="1550" w:type="dxa"/>
          </w:tcPr>
          <w:p w14:paraId="1CB0782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Social networks, ethnic minority, London</w:t>
            </w:r>
          </w:p>
        </w:tc>
      </w:tr>
      <w:tr w:rsidR="00845447" w14:paraId="2EF920DE" w14:textId="77777777" w:rsidTr="001F6B0D">
        <w:tc>
          <w:tcPr>
            <w:tcW w:w="704" w:type="dxa"/>
          </w:tcPr>
          <w:p w14:paraId="367FF2B5"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67</w:t>
            </w:r>
          </w:p>
        </w:tc>
        <w:tc>
          <w:tcPr>
            <w:tcW w:w="1528" w:type="dxa"/>
          </w:tcPr>
          <w:p w14:paraId="658ED01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Jones, T., Ram, M., </w:t>
            </w:r>
            <w:r w:rsidRPr="00845447">
              <w:rPr>
                <w:rFonts w:asciiTheme="majorHAnsi" w:eastAsia="Times New Roman" w:hAnsiTheme="majorHAnsi" w:cstheme="majorHAnsi"/>
                <w:sz w:val="20"/>
                <w:szCs w:val="20"/>
                <w:lang w:eastAsia="en-GB"/>
              </w:rPr>
              <w:lastRenderedPageBreak/>
              <w:t>Theodorakopoulos, N.</w:t>
            </w:r>
          </w:p>
        </w:tc>
        <w:tc>
          <w:tcPr>
            <w:tcW w:w="740" w:type="dxa"/>
          </w:tcPr>
          <w:p w14:paraId="32D2B18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2010</w:t>
            </w:r>
          </w:p>
        </w:tc>
        <w:tc>
          <w:tcPr>
            <w:tcW w:w="1319" w:type="dxa"/>
          </w:tcPr>
          <w:p w14:paraId="57F0EBA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508CF8D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Transnationalism as a Force for </w:t>
            </w:r>
            <w:r w:rsidRPr="00845447">
              <w:rPr>
                <w:rFonts w:asciiTheme="majorHAnsi" w:eastAsia="Times New Roman" w:hAnsiTheme="majorHAnsi" w:cstheme="majorHAnsi"/>
                <w:sz w:val="20"/>
                <w:szCs w:val="20"/>
                <w:lang w:eastAsia="en-GB"/>
              </w:rPr>
              <w:lastRenderedPageBreak/>
              <w:t>Ethnic Minority Enterprise?</w:t>
            </w:r>
          </w:p>
        </w:tc>
        <w:tc>
          <w:tcPr>
            <w:tcW w:w="1557" w:type="dxa"/>
          </w:tcPr>
          <w:p w14:paraId="4B3389D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Assess the influence of transnationalis</w:t>
            </w:r>
            <w:r w:rsidRPr="00845447">
              <w:rPr>
                <w:rFonts w:asciiTheme="majorHAnsi" w:eastAsia="Times New Roman" w:hAnsiTheme="majorHAnsi" w:cstheme="majorHAnsi"/>
                <w:sz w:val="20"/>
                <w:szCs w:val="20"/>
                <w:lang w:eastAsia="en-GB"/>
              </w:rPr>
              <w:lastRenderedPageBreak/>
              <w:t>m on ethnic minority businesses</w:t>
            </w:r>
          </w:p>
        </w:tc>
        <w:tc>
          <w:tcPr>
            <w:tcW w:w="1505" w:type="dxa"/>
          </w:tcPr>
          <w:p w14:paraId="133C550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lastRenderedPageBreak/>
              <w:t xml:space="preserve">Discusses Indian food sector and </w:t>
            </w:r>
            <w:r w:rsidRPr="00845447">
              <w:rPr>
                <w:rFonts w:asciiTheme="majorHAnsi" w:eastAsia="Times New Roman" w:hAnsiTheme="majorHAnsi" w:cstheme="majorHAnsi"/>
                <w:sz w:val="20"/>
                <w:szCs w:val="20"/>
                <w:lang w:eastAsia="en-GB"/>
              </w:rPr>
              <w:lastRenderedPageBreak/>
              <w:t>transnational links</w:t>
            </w:r>
          </w:p>
        </w:tc>
        <w:tc>
          <w:tcPr>
            <w:tcW w:w="1550" w:type="dxa"/>
          </w:tcPr>
          <w:p w14:paraId="0C9799EF" w14:textId="77777777" w:rsidR="001655AF" w:rsidRPr="00845447" w:rsidRDefault="001655AF" w:rsidP="00442151">
            <w:pPr>
              <w:rPr>
                <w:rFonts w:asciiTheme="majorHAnsi" w:hAnsiTheme="majorHAnsi" w:cstheme="majorHAnsi"/>
                <w:sz w:val="20"/>
                <w:szCs w:val="20"/>
              </w:rPr>
            </w:pPr>
          </w:p>
        </w:tc>
      </w:tr>
      <w:tr w:rsidR="00845447" w14:paraId="526E5992" w14:textId="77777777" w:rsidTr="001F6B0D">
        <w:tc>
          <w:tcPr>
            <w:tcW w:w="704" w:type="dxa"/>
          </w:tcPr>
          <w:p w14:paraId="266EC396"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68</w:t>
            </w:r>
          </w:p>
        </w:tc>
        <w:tc>
          <w:tcPr>
            <w:tcW w:w="1528" w:type="dxa"/>
          </w:tcPr>
          <w:p w14:paraId="02520A4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 xml:space="preserve">Aliaga-Isla, R., </w:t>
            </w:r>
            <w:proofErr w:type="spellStart"/>
            <w:r w:rsidRPr="00845447">
              <w:rPr>
                <w:rFonts w:asciiTheme="majorHAnsi" w:eastAsia="Times New Roman" w:hAnsiTheme="majorHAnsi" w:cstheme="majorHAnsi"/>
                <w:sz w:val="20"/>
                <w:szCs w:val="20"/>
                <w:lang w:eastAsia="en-GB"/>
              </w:rPr>
              <w:t>Rialp</w:t>
            </w:r>
            <w:proofErr w:type="spellEnd"/>
            <w:r w:rsidRPr="00845447">
              <w:rPr>
                <w:rFonts w:asciiTheme="majorHAnsi" w:eastAsia="Times New Roman" w:hAnsiTheme="majorHAnsi" w:cstheme="majorHAnsi"/>
                <w:sz w:val="20"/>
                <w:szCs w:val="20"/>
                <w:lang w:eastAsia="en-GB"/>
              </w:rPr>
              <w:t>, A.</w:t>
            </w:r>
          </w:p>
        </w:tc>
        <w:tc>
          <w:tcPr>
            <w:tcW w:w="740" w:type="dxa"/>
          </w:tcPr>
          <w:p w14:paraId="2061869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2013</w:t>
            </w:r>
          </w:p>
        </w:tc>
        <w:tc>
          <w:tcPr>
            <w:tcW w:w="1319" w:type="dxa"/>
          </w:tcPr>
          <w:p w14:paraId="5874E9D5"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183B69D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Systematic Review of Immigrant Entrepreneurship Literature</w:t>
            </w:r>
          </w:p>
        </w:tc>
        <w:tc>
          <w:tcPr>
            <w:tcW w:w="1557" w:type="dxa"/>
          </w:tcPr>
          <w:p w14:paraId="3A5858A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Systematic review of immigrant entrepreneurship research</w:t>
            </w:r>
          </w:p>
        </w:tc>
        <w:tc>
          <w:tcPr>
            <w:tcW w:w="1505" w:type="dxa"/>
          </w:tcPr>
          <w:p w14:paraId="6A4E396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Identifies research gaps and theoretical frameworks relevant to London</w:t>
            </w:r>
          </w:p>
        </w:tc>
        <w:tc>
          <w:tcPr>
            <w:tcW w:w="1550" w:type="dxa"/>
          </w:tcPr>
          <w:p w14:paraId="55FC7DA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Systematic review, immigrant entrepreneurship</w:t>
            </w:r>
          </w:p>
        </w:tc>
      </w:tr>
      <w:tr w:rsidR="00845447" w14:paraId="27BF9B5F" w14:textId="77777777" w:rsidTr="001F6B0D">
        <w:tc>
          <w:tcPr>
            <w:tcW w:w="704" w:type="dxa"/>
          </w:tcPr>
          <w:p w14:paraId="6E6F1C50"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69</w:t>
            </w:r>
          </w:p>
        </w:tc>
        <w:tc>
          <w:tcPr>
            <w:tcW w:w="1528" w:type="dxa"/>
          </w:tcPr>
          <w:p w14:paraId="379E26F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Carter, S., Ram, M., Trehan, K., Jones, T.</w:t>
            </w:r>
          </w:p>
        </w:tc>
        <w:tc>
          <w:tcPr>
            <w:tcW w:w="740" w:type="dxa"/>
          </w:tcPr>
          <w:p w14:paraId="4948CB6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2013</w:t>
            </w:r>
          </w:p>
        </w:tc>
        <w:tc>
          <w:tcPr>
            <w:tcW w:w="1319" w:type="dxa"/>
          </w:tcPr>
          <w:p w14:paraId="08AF54A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494F73A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Diversity and SMEs: Agency and Context in Ethnic Minority Businesses</w:t>
            </w:r>
          </w:p>
        </w:tc>
        <w:tc>
          <w:tcPr>
            <w:tcW w:w="1557" w:type="dxa"/>
          </w:tcPr>
          <w:p w14:paraId="081446C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diversity and agency in ethnic minority SMEs</w:t>
            </w:r>
          </w:p>
        </w:tc>
        <w:tc>
          <w:tcPr>
            <w:tcW w:w="1505" w:type="dxa"/>
          </w:tcPr>
          <w:p w14:paraId="0CEBFED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Critically assesses business models and policy implications</w:t>
            </w:r>
          </w:p>
        </w:tc>
        <w:tc>
          <w:tcPr>
            <w:tcW w:w="1550" w:type="dxa"/>
          </w:tcPr>
          <w:p w14:paraId="549D0B19"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Diversity, SMEs, agency, policy</w:t>
            </w:r>
          </w:p>
        </w:tc>
      </w:tr>
      <w:tr w:rsidR="00845447" w14:paraId="3B29DB08" w14:textId="77777777" w:rsidTr="001F6B0D">
        <w:tc>
          <w:tcPr>
            <w:tcW w:w="704" w:type="dxa"/>
          </w:tcPr>
          <w:p w14:paraId="7CB84474"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70</w:t>
            </w:r>
          </w:p>
        </w:tc>
        <w:tc>
          <w:tcPr>
            <w:tcW w:w="1528" w:type="dxa"/>
          </w:tcPr>
          <w:p w14:paraId="44271824"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Farrer, J.</w:t>
            </w:r>
          </w:p>
        </w:tc>
        <w:tc>
          <w:tcPr>
            <w:tcW w:w="740" w:type="dxa"/>
          </w:tcPr>
          <w:p w14:paraId="2AD5FC9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2015</w:t>
            </w:r>
          </w:p>
        </w:tc>
        <w:tc>
          <w:tcPr>
            <w:tcW w:w="1319" w:type="dxa"/>
          </w:tcPr>
          <w:p w14:paraId="6E48DD36"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7C5B5A1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Culinary Contact Zones: Migrant-Run Eateries in Urban Spaces</w:t>
            </w:r>
          </w:p>
        </w:tc>
        <w:tc>
          <w:tcPr>
            <w:tcW w:w="1557" w:type="dxa"/>
          </w:tcPr>
          <w:p w14:paraId="579B75A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 how migrant-run eateries serve as sites of cultural exchange and negotiation</w:t>
            </w:r>
          </w:p>
        </w:tc>
        <w:tc>
          <w:tcPr>
            <w:tcW w:w="1505" w:type="dxa"/>
          </w:tcPr>
          <w:p w14:paraId="01FE418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Comparative study including East London; highlights both conviviality and conflict in food businesses</w:t>
            </w:r>
          </w:p>
        </w:tc>
        <w:tc>
          <w:tcPr>
            <w:tcW w:w="1550" w:type="dxa"/>
          </w:tcPr>
          <w:p w14:paraId="1225473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Culinary contact, migrant eateries</w:t>
            </w:r>
          </w:p>
        </w:tc>
      </w:tr>
      <w:tr w:rsidR="00845447" w14:paraId="2676E1AC" w14:textId="77777777" w:rsidTr="001F6B0D">
        <w:tc>
          <w:tcPr>
            <w:tcW w:w="704" w:type="dxa"/>
          </w:tcPr>
          <w:p w14:paraId="4FC4886A"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71</w:t>
            </w:r>
          </w:p>
        </w:tc>
        <w:tc>
          <w:tcPr>
            <w:tcW w:w="1528" w:type="dxa"/>
          </w:tcPr>
          <w:p w14:paraId="41B2216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Hirose, M., Pih, K.K.</w:t>
            </w:r>
          </w:p>
        </w:tc>
        <w:tc>
          <w:tcPr>
            <w:tcW w:w="740" w:type="dxa"/>
          </w:tcPr>
          <w:p w14:paraId="69B9210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2011</w:t>
            </w:r>
          </w:p>
        </w:tc>
        <w:tc>
          <w:tcPr>
            <w:tcW w:w="1319" w:type="dxa"/>
          </w:tcPr>
          <w:p w14:paraId="7E35AA0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6BC8416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Migrant Food Businesses and Social Integration</w:t>
            </w:r>
          </w:p>
        </w:tc>
        <w:tc>
          <w:tcPr>
            <w:tcW w:w="1557" w:type="dxa"/>
          </w:tcPr>
          <w:p w14:paraId="7C82FB0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Examine how migrant-run food businesses contribute to social integration in host societies</w:t>
            </w:r>
          </w:p>
        </w:tc>
        <w:tc>
          <w:tcPr>
            <w:tcW w:w="1505" w:type="dxa"/>
          </w:tcPr>
          <w:p w14:paraId="47E5A5F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Discusses both opportunities and challenges for integration in London</w:t>
            </w:r>
          </w:p>
        </w:tc>
        <w:tc>
          <w:tcPr>
            <w:tcW w:w="1550" w:type="dxa"/>
          </w:tcPr>
          <w:p w14:paraId="501DE8C0"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Social integration, migrant business</w:t>
            </w:r>
          </w:p>
        </w:tc>
      </w:tr>
      <w:tr w:rsidR="00845447" w14:paraId="4297F7D9" w14:textId="77777777" w:rsidTr="001F6B0D">
        <w:tc>
          <w:tcPr>
            <w:tcW w:w="704" w:type="dxa"/>
          </w:tcPr>
          <w:p w14:paraId="39BC47BF"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72</w:t>
            </w:r>
          </w:p>
        </w:tc>
        <w:tc>
          <w:tcPr>
            <w:tcW w:w="1528" w:type="dxa"/>
          </w:tcPr>
          <w:p w14:paraId="0719301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Assael, H.</w:t>
            </w:r>
          </w:p>
        </w:tc>
        <w:tc>
          <w:tcPr>
            <w:tcW w:w="740" w:type="dxa"/>
          </w:tcPr>
          <w:p w14:paraId="6C55F987"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2013</w:t>
            </w:r>
          </w:p>
        </w:tc>
        <w:tc>
          <w:tcPr>
            <w:tcW w:w="1319" w:type="dxa"/>
          </w:tcPr>
          <w:p w14:paraId="3952ABD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33969A3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Consumer Behavior and Ethnic Food Consumption</w:t>
            </w:r>
          </w:p>
        </w:tc>
        <w:tc>
          <w:tcPr>
            <w:tcW w:w="1557" w:type="dxa"/>
          </w:tcPr>
          <w:p w14:paraId="33A609C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Analyze the rise of ethnic food consumption in the UK and its impact on business models</w:t>
            </w:r>
          </w:p>
        </w:tc>
        <w:tc>
          <w:tcPr>
            <w:tcW w:w="1505" w:type="dxa"/>
          </w:tcPr>
          <w:p w14:paraId="03D268D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Provides context for the popularity of Indian cuisine and adaptation by migrant entrepreneurs</w:t>
            </w:r>
          </w:p>
        </w:tc>
        <w:tc>
          <w:tcPr>
            <w:tcW w:w="1550" w:type="dxa"/>
          </w:tcPr>
          <w:p w14:paraId="3A0DE85D" w14:textId="77777777" w:rsidR="001655AF" w:rsidRPr="00845447" w:rsidRDefault="001655AF" w:rsidP="00442151">
            <w:pPr>
              <w:rPr>
                <w:rFonts w:asciiTheme="majorHAnsi" w:hAnsiTheme="majorHAnsi" w:cstheme="majorHAnsi"/>
                <w:sz w:val="20"/>
                <w:szCs w:val="20"/>
              </w:rPr>
            </w:pPr>
          </w:p>
        </w:tc>
      </w:tr>
      <w:tr w:rsidR="00845447" w14:paraId="6AD0846D" w14:textId="77777777" w:rsidTr="001F6B0D">
        <w:tc>
          <w:tcPr>
            <w:tcW w:w="704" w:type="dxa"/>
          </w:tcPr>
          <w:p w14:paraId="5B0C2549"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73</w:t>
            </w:r>
          </w:p>
        </w:tc>
        <w:tc>
          <w:tcPr>
            <w:tcW w:w="1528" w:type="dxa"/>
          </w:tcPr>
          <w:p w14:paraId="7BFF391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Narayan, U.</w:t>
            </w:r>
          </w:p>
        </w:tc>
        <w:tc>
          <w:tcPr>
            <w:tcW w:w="740" w:type="dxa"/>
          </w:tcPr>
          <w:p w14:paraId="093ECDFA"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1995</w:t>
            </w:r>
          </w:p>
        </w:tc>
        <w:tc>
          <w:tcPr>
            <w:tcW w:w="1319" w:type="dxa"/>
          </w:tcPr>
          <w:p w14:paraId="4970AB6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Journal Article</w:t>
            </w:r>
          </w:p>
        </w:tc>
        <w:tc>
          <w:tcPr>
            <w:tcW w:w="1553" w:type="dxa"/>
          </w:tcPr>
          <w:p w14:paraId="026BDE51"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Eating Cultures: Incorporation of Indian Cuisine in Britain</w:t>
            </w:r>
          </w:p>
        </w:tc>
        <w:tc>
          <w:tcPr>
            <w:tcW w:w="1557" w:type="dxa"/>
          </w:tcPr>
          <w:p w14:paraId="7F3C8BB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Assess the cultural and social implications of Indian food’s integration into British society</w:t>
            </w:r>
          </w:p>
        </w:tc>
        <w:tc>
          <w:tcPr>
            <w:tcW w:w="1505" w:type="dxa"/>
          </w:tcPr>
          <w:p w14:paraId="50C9A1F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Explores the gap between culinary acceptance and social integration of Indian migrants</w:t>
            </w:r>
          </w:p>
        </w:tc>
        <w:tc>
          <w:tcPr>
            <w:tcW w:w="1550" w:type="dxa"/>
          </w:tcPr>
          <w:p w14:paraId="625826AC"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Indian cuisine, cultural integration</w:t>
            </w:r>
          </w:p>
        </w:tc>
      </w:tr>
      <w:tr w:rsidR="00845447" w14:paraId="322768C7" w14:textId="77777777" w:rsidTr="001F6B0D">
        <w:tc>
          <w:tcPr>
            <w:tcW w:w="704" w:type="dxa"/>
          </w:tcPr>
          <w:p w14:paraId="5C7531AC" w14:textId="77777777" w:rsidR="001655AF" w:rsidRPr="00845447" w:rsidRDefault="001655AF" w:rsidP="00442151">
            <w:pPr>
              <w:rPr>
                <w:rFonts w:asciiTheme="majorHAnsi" w:hAnsiTheme="majorHAnsi" w:cstheme="majorHAnsi"/>
                <w:sz w:val="20"/>
                <w:szCs w:val="20"/>
              </w:rPr>
            </w:pPr>
            <w:r w:rsidRPr="00845447">
              <w:rPr>
                <w:rFonts w:asciiTheme="majorHAnsi" w:hAnsiTheme="majorHAnsi" w:cstheme="majorHAnsi"/>
                <w:sz w:val="20"/>
                <w:szCs w:val="20"/>
              </w:rPr>
              <w:t>74</w:t>
            </w:r>
          </w:p>
        </w:tc>
        <w:tc>
          <w:tcPr>
            <w:tcW w:w="1528" w:type="dxa"/>
          </w:tcPr>
          <w:p w14:paraId="16FF78DD"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Lofland, L.H.</w:t>
            </w:r>
          </w:p>
        </w:tc>
        <w:tc>
          <w:tcPr>
            <w:tcW w:w="740" w:type="dxa"/>
          </w:tcPr>
          <w:p w14:paraId="61CC86E8"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1998</w:t>
            </w:r>
          </w:p>
        </w:tc>
        <w:tc>
          <w:tcPr>
            <w:tcW w:w="1319" w:type="dxa"/>
          </w:tcPr>
          <w:p w14:paraId="7E605D33"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Book</w:t>
            </w:r>
          </w:p>
        </w:tc>
        <w:tc>
          <w:tcPr>
            <w:tcW w:w="1553" w:type="dxa"/>
          </w:tcPr>
          <w:p w14:paraId="51E47572"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 Public Realm: Exploring the City’s Quintessential Social Territory</w:t>
            </w:r>
          </w:p>
        </w:tc>
        <w:tc>
          <w:tcPr>
            <w:tcW w:w="1557" w:type="dxa"/>
          </w:tcPr>
          <w:p w14:paraId="447A836F"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Theorize the concept of “private realm bubbles” in public eating spaces</w:t>
            </w:r>
          </w:p>
        </w:tc>
        <w:tc>
          <w:tcPr>
            <w:tcW w:w="1505" w:type="dxa"/>
          </w:tcPr>
          <w:p w14:paraId="2B111E2E"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Framework for understanding social interactions in migrant-run eateries</w:t>
            </w:r>
          </w:p>
        </w:tc>
        <w:tc>
          <w:tcPr>
            <w:tcW w:w="1550" w:type="dxa"/>
          </w:tcPr>
          <w:p w14:paraId="4ABF90EB" w14:textId="77777777" w:rsidR="001655AF" w:rsidRPr="00845447" w:rsidRDefault="001655AF" w:rsidP="00442151">
            <w:pPr>
              <w:rPr>
                <w:rFonts w:asciiTheme="majorHAnsi" w:hAnsiTheme="majorHAnsi" w:cstheme="majorHAnsi"/>
                <w:sz w:val="20"/>
                <w:szCs w:val="20"/>
              </w:rPr>
            </w:pPr>
            <w:r w:rsidRPr="00845447">
              <w:rPr>
                <w:rFonts w:asciiTheme="majorHAnsi" w:eastAsia="Times New Roman" w:hAnsiTheme="majorHAnsi" w:cstheme="majorHAnsi"/>
                <w:sz w:val="20"/>
                <w:szCs w:val="20"/>
                <w:lang w:eastAsia="en-GB"/>
              </w:rPr>
              <w:t>Public realm, social theory, eateries</w:t>
            </w:r>
          </w:p>
        </w:tc>
      </w:tr>
      <w:tr w:rsidR="00845447" w:rsidRPr="00B17BB8" w14:paraId="4E9A880F" w14:textId="77777777" w:rsidTr="001F6B0D">
        <w:tc>
          <w:tcPr>
            <w:tcW w:w="704" w:type="dxa"/>
          </w:tcPr>
          <w:p w14:paraId="2CEB793B"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75</w:t>
            </w:r>
          </w:p>
        </w:tc>
        <w:tc>
          <w:tcPr>
            <w:tcW w:w="1528" w:type="dxa"/>
          </w:tcPr>
          <w:p w14:paraId="6096853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Patak’s (Brand Profile)</w:t>
            </w:r>
          </w:p>
        </w:tc>
        <w:tc>
          <w:tcPr>
            <w:tcW w:w="740" w:type="dxa"/>
          </w:tcPr>
          <w:p w14:paraId="0981F623"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2022</w:t>
            </w:r>
          </w:p>
        </w:tc>
        <w:tc>
          <w:tcPr>
            <w:tcW w:w="1319" w:type="dxa"/>
          </w:tcPr>
          <w:p w14:paraId="59CC5E0D"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Company Profile</w:t>
            </w:r>
          </w:p>
        </w:tc>
        <w:tc>
          <w:tcPr>
            <w:tcW w:w="1553" w:type="dxa"/>
          </w:tcPr>
          <w:p w14:paraId="1041018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Patak’s: From Family Business to Global Brand</w:t>
            </w:r>
          </w:p>
        </w:tc>
        <w:tc>
          <w:tcPr>
            <w:tcW w:w="1557" w:type="dxa"/>
          </w:tcPr>
          <w:p w14:paraId="28E5361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Trace the growth of an Indian food brand in the UK</w:t>
            </w:r>
          </w:p>
        </w:tc>
        <w:tc>
          <w:tcPr>
            <w:tcW w:w="1505" w:type="dxa"/>
          </w:tcPr>
          <w:p w14:paraId="7C5A0A1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Illustrates business model evolution and diaspora entrepreneurship</w:t>
            </w:r>
          </w:p>
        </w:tc>
        <w:tc>
          <w:tcPr>
            <w:tcW w:w="1550" w:type="dxa"/>
          </w:tcPr>
          <w:p w14:paraId="254120F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Indian food, brand, diaspora</w:t>
            </w:r>
          </w:p>
        </w:tc>
      </w:tr>
      <w:tr w:rsidR="00845447" w:rsidRPr="00B17BB8" w14:paraId="7B162785" w14:textId="77777777" w:rsidTr="001F6B0D">
        <w:tc>
          <w:tcPr>
            <w:tcW w:w="704" w:type="dxa"/>
          </w:tcPr>
          <w:p w14:paraId="1962899C"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76</w:t>
            </w:r>
          </w:p>
        </w:tc>
        <w:tc>
          <w:tcPr>
            <w:tcW w:w="1528" w:type="dxa"/>
          </w:tcPr>
          <w:p w14:paraId="7445D73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Migration Observatory, Oxford</w:t>
            </w:r>
          </w:p>
        </w:tc>
        <w:tc>
          <w:tcPr>
            <w:tcW w:w="740" w:type="dxa"/>
          </w:tcPr>
          <w:p w14:paraId="365D9BD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2024</w:t>
            </w:r>
          </w:p>
        </w:tc>
        <w:tc>
          <w:tcPr>
            <w:tcW w:w="1319" w:type="dxa"/>
          </w:tcPr>
          <w:p w14:paraId="4030588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Briefing</w:t>
            </w:r>
          </w:p>
        </w:tc>
        <w:tc>
          <w:tcPr>
            <w:tcW w:w="1553" w:type="dxa"/>
          </w:tcPr>
          <w:p w14:paraId="19C2041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Migrants in the UK </w:t>
            </w:r>
            <w:proofErr w:type="spellStart"/>
            <w:r w:rsidRPr="00B17BB8">
              <w:rPr>
                <w:rFonts w:asciiTheme="majorHAnsi" w:eastAsia="Times New Roman" w:hAnsiTheme="majorHAnsi" w:cstheme="majorHAnsi"/>
                <w:sz w:val="20"/>
                <w:szCs w:val="20"/>
                <w:lang w:eastAsia="en-GB"/>
              </w:rPr>
              <w:t>Labour</w:t>
            </w:r>
            <w:proofErr w:type="spellEnd"/>
            <w:r w:rsidRPr="00B17BB8">
              <w:rPr>
                <w:rFonts w:asciiTheme="majorHAnsi" w:eastAsia="Times New Roman" w:hAnsiTheme="majorHAnsi" w:cstheme="majorHAnsi"/>
                <w:sz w:val="20"/>
                <w:szCs w:val="20"/>
                <w:lang w:eastAsia="en-GB"/>
              </w:rPr>
              <w:t xml:space="preserve"> Market: An Overview</w:t>
            </w:r>
          </w:p>
        </w:tc>
        <w:tc>
          <w:tcPr>
            <w:tcW w:w="1557" w:type="dxa"/>
          </w:tcPr>
          <w:p w14:paraId="4323012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Provide data on migrants’ </w:t>
            </w:r>
            <w:proofErr w:type="spellStart"/>
            <w:r w:rsidRPr="00B17BB8">
              <w:rPr>
                <w:rFonts w:asciiTheme="majorHAnsi" w:eastAsia="Times New Roman" w:hAnsiTheme="majorHAnsi" w:cstheme="majorHAnsi"/>
                <w:sz w:val="20"/>
                <w:szCs w:val="20"/>
                <w:lang w:eastAsia="en-GB"/>
              </w:rPr>
              <w:t>labour</w:t>
            </w:r>
            <w:proofErr w:type="spellEnd"/>
            <w:r w:rsidRPr="00B17BB8">
              <w:rPr>
                <w:rFonts w:asciiTheme="majorHAnsi" w:eastAsia="Times New Roman" w:hAnsiTheme="majorHAnsi" w:cstheme="majorHAnsi"/>
                <w:sz w:val="20"/>
                <w:szCs w:val="20"/>
                <w:lang w:eastAsia="en-GB"/>
              </w:rPr>
              <w:t xml:space="preserve"> market integration and jobs in the UK</w:t>
            </w:r>
          </w:p>
        </w:tc>
        <w:tc>
          <w:tcPr>
            <w:tcW w:w="1505" w:type="dxa"/>
          </w:tcPr>
          <w:p w14:paraId="30EF199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Useful for understanding employment patterns and sectoral participation of migrant </w:t>
            </w:r>
            <w:r w:rsidRPr="00B17BB8">
              <w:rPr>
                <w:rFonts w:asciiTheme="majorHAnsi" w:eastAsia="Times New Roman" w:hAnsiTheme="majorHAnsi" w:cstheme="majorHAnsi"/>
                <w:sz w:val="20"/>
                <w:szCs w:val="20"/>
                <w:lang w:eastAsia="en-GB"/>
              </w:rPr>
              <w:lastRenderedPageBreak/>
              <w:t>entrepreneurs in London</w:t>
            </w:r>
          </w:p>
        </w:tc>
        <w:tc>
          <w:tcPr>
            <w:tcW w:w="1550" w:type="dxa"/>
          </w:tcPr>
          <w:p w14:paraId="5FB698F0" w14:textId="77777777" w:rsidR="001655AF" w:rsidRPr="00B17BB8" w:rsidRDefault="001655AF" w:rsidP="00442151">
            <w:pPr>
              <w:rPr>
                <w:rFonts w:asciiTheme="majorHAnsi" w:hAnsiTheme="majorHAnsi" w:cstheme="majorHAnsi"/>
                <w:sz w:val="20"/>
                <w:szCs w:val="20"/>
              </w:rPr>
            </w:pPr>
            <w:proofErr w:type="spellStart"/>
            <w:r w:rsidRPr="00B17BB8">
              <w:rPr>
                <w:rFonts w:asciiTheme="majorHAnsi" w:eastAsia="Times New Roman" w:hAnsiTheme="majorHAnsi" w:cstheme="majorHAnsi"/>
                <w:sz w:val="20"/>
                <w:szCs w:val="20"/>
                <w:lang w:eastAsia="en-GB"/>
              </w:rPr>
              <w:lastRenderedPageBreak/>
              <w:t>Labour</w:t>
            </w:r>
            <w:proofErr w:type="spellEnd"/>
            <w:r w:rsidRPr="00B17BB8">
              <w:rPr>
                <w:rFonts w:asciiTheme="majorHAnsi" w:eastAsia="Times New Roman" w:hAnsiTheme="majorHAnsi" w:cstheme="majorHAnsi"/>
                <w:sz w:val="20"/>
                <w:szCs w:val="20"/>
                <w:lang w:eastAsia="en-GB"/>
              </w:rPr>
              <w:t xml:space="preserve"> market, migrants, UK</w:t>
            </w:r>
          </w:p>
        </w:tc>
      </w:tr>
      <w:tr w:rsidR="00845447" w:rsidRPr="00B17BB8" w14:paraId="68EC7EE0" w14:textId="77777777" w:rsidTr="001F6B0D">
        <w:tc>
          <w:tcPr>
            <w:tcW w:w="704" w:type="dxa"/>
          </w:tcPr>
          <w:p w14:paraId="1BF70E95"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77</w:t>
            </w:r>
          </w:p>
        </w:tc>
        <w:tc>
          <w:tcPr>
            <w:tcW w:w="1528" w:type="dxa"/>
          </w:tcPr>
          <w:p w14:paraId="6FF727F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Mahesh Raikar (Profile in Grant Thornton report)</w:t>
            </w:r>
          </w:p>
        </w:tc>
        <w:tc>
          <w:tcPr>
            <w:tcW w:w="740" w:type="dxa"/>
          </w:tcPr>
          <w:p w14:paraId="77C4432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3F504F7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Case Study</w:t>
            </w:r>
          </w:p>
        </w:tc>
        <w:tc>
          <w:tcPr>
            <w:tcW w:w="1553" w:type="dxa"/>
          </w:tcPr>
          <w:p w14:paraId="070623B0" w14:textId="77777777" w:rsidR="001655AF" w:rsidRPr="00B17BB8" w:rsidRDefault="001655AF" w:rsidP="00442151">
            <w:pPr>
              <w:rPr>
                <w:rFonts w:asciiTheme="majorHAnsi" w:hAnsiTheme="majorHAnsi" w:cstheme="majorHAnsi"/>
                <w:sz w:val="20"/>
                <w:szCs w:val="20"/>
              </w:rPr>
            </w:pPr>
            <w:proofErr w:type="spellStart"/>
            <w:r w:rsidRPr="00B17BB8">
              <w:rPr>
                <w:rFonts w:asciiTheme="majorHAnsi" w:eastAsia="Times New Roman" w:hAnsiTheme="majorHAnsi" w:cstheme="majorHAnsi"/>
                <w:sz w:val="20"/>
                <w:szCs w:val="20"/>
                <w:lang w:eastAsia="en-GB"/>
              </w:rPr>
              <w:t>Wrapchic</w:t>
            </w:r>
            <w:proofErr w:type="spellEnd"/>
            <w:r w:rsidRPr="00B17BB8">
              <w:rPr>
                <w:rFonts w:asciiTheme="majorHAnsi" w:eastAsia="Times New Roman" w:hAnsiTheme="majorHAnsi" w:cstheme="majorHAnsi"/>
                <w:sz w:val="20"/>
                <w:szCs w:val="20"/>
                <w:lang w:eastAsia="en-GB"/>
              </w:rPr>
              <w:t>: Indian Food Innovation in the UK</w:t>
            </w:r>
          </w:p>
        </w:tc>
        <w:tc>
          <w:tcPr>
            <w:tcW w:w="1557" w:type="dxa"/>
          </w:tcPr>
          <w:p w14:paraId="1193D009"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Illustrate the entrepreneurial journey and challenges of an Indian food business founder in the UK</w:t>
            </w:r>
          </w:p>
        </w:tc>
        <w:tc>
          <w:tcPr>
            <w:tcW w:w="1505" w:type="dxa"/>
          </w:tcPr>
          <w:p w14:paraId="6EA0AC7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innovation, institutional bias, and market adaptation in London</w:t>
            </w:r>
          </w:p>
        </w:tc>
        <w:tc>
          <w:tcPr>
            <w:tcW w:w="1550" w:type="dxa"/>
          </w:tcPr>
          <w:p w14:paraId="2505C1E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Indian food, innovation, entrepreneurship</w:t>
            </w:r>
          </w:p>
        </w:tc>
      </w:tr>
      <w:tr w:rsidR="00845447" w:rsidRPr="00B17BB8" w14:paraId="2316EC96" w14:textId="77777777" w:rsidTr="001F6B0D">
        <w:tc>
          <w:tcPr>
            <w:tcW w:w="704" w:type="dxa"/>
          </w:tcPr>
          <w:p w14:paraId="53CC4DE9"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78</w:t>
            </w:r>
          </w:p>
        </w:tc>
        <w:tc>
          <w:tcPr>
            <w:tcW w:w="1528" w:type="dxa"/>
          </w:tcPr>
          <w:p w14:paraId="5FD5CB1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Vaughan, L.</w:t>
            </w:r>
          </w:p>
        </w:tc>
        <w:tc>
          <w:tcPr>
            <w:tcW w:w="740" w:type="dxa"/>
          </w:tcPr>
          <w:p w14:paraId="27DE382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2015</w:t>
            </w:r>
          </w:p>
        </w:tc>
        <w:tc>
          <w:tcPr>
            <w:tcW w:w="1319" w:type="dxa"/>
          </w:tcPr>
          <w:p w14:paraId="131E275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Book Chapter</w:t>
            </w:r>
          </w:p>
        </w:tc>
        <w:tc>
          <w:tcPr>
            <w:tcW w:w="1553" w:type="dxa"/>
          </w:tcPr>
          <w:p w14:paraId="06D7D3E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Suburban Urbanities: Suburbs and the Life of the High Street</w:t>
            </w:r>
          </w:p>
        </w:tc>
        <w:tc>
          <w:tcPr>
            <w:tcW w:w="1557" w:type="dxa"/>
          </w:tcPr>
          <w:p w14:paraId="20EA021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Analyze the growth and normalization of migrant-run eateries in London’s suburbs</w:t>
            </w:r>
          </w:p>
        </w:tc>
        <w:tc>
          <w:tcPr>
            <w:tcW w:w="1505" w:type="dxa"/>
          </w:tcPr>
          <w:p w14:paraId="4C5F01C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Discusses the prevalence and integration of migrant food businesses in London’s urban fabric</w:t>
            </w:r>
          </w:p>
        </w:tc>
        <w:tc>
          <w:tcPr>
            <w:tcW w:w="1550" w:type="dxa"/>
          </w:tcPr>
          <w:p w14:paraId="73D3E577" w14:textId="77777777" w:rsidR="001655AF" w:rsidRPr="00B17BB8" w:rsidRDefault="001655AF" w:rsidP="00442151">
            <w:pPr>
              <w:rPr>
                <w:rFonts w:asciiTheme="majorHAnsi" w:hAnsiTheme="majorHAnsi" w:cstheme="majorHAnsi"/>
                <w:sz w:val="20"/>
                <w:szCs w:val="20"/>
              </w:rPr>
            </w:pPr>
          </w:p>
        </w:tc>
      </w:tr>
      <w:tr w:rsidR="00845447" w:rsidRPr="00B17BB8" w14:paraId="2AB69C75" w14:textId="77777777" w:rsidTr="001F6B0D">
        <w:tc>
          <w:tcPr>
            <w:tcW w:w="704" w:type="dxa"/>
          </w:tcPr>
          <w:p w14:paraId="417EEEC3"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79</w:t>
            </w:r>
          </w:p>
        </w:tc>
        <w:tc>
          <w:tcPr>
            <w:tcW w:w="1528" w:type="dxa"/>
          </w:tcPr>
          <w:p w14:paraId="3D9A987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Ram, M., Jones, T., Edwards, P.</w:t>
            </w:r>
          </w:p>
        </w:tc>
        <w:tc>
          <w:tcPr>
            <w:tcW w:w="740" w:type="dxa"/>
          </w:tcPr>
          <w:p w14:paraId="6ED8D19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2017</w:t>
            </w:r>
          </w:p>
        </w:tc>
        <w:tc>
          <w:tcPr>
            <w:tcW w:w="1319" w:type="dxa"/>
          </w:tcPr>
          <w:p w14:paraId="0EED9A6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Journal Article</w:t>
            </w:r>
          </w:p>
        </w:tc>
        <w:tc>
          <w:tcPr>
            <w:tcW w:w="1553" w:type="dxa"/>
          </w:tcPr>
          <w:p w14:paraId="4C49F1C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Super-diversity and the Changing Face of Ethnic Minority Entrepreneurship in London</w:t>
            </w:r>
          </w:p>
        </w:tc>
        <w:tc>
          <w:tcPr>
            <w:tcW w:w="1557" w:type="dxa"/>
          </w:tcPr>
          <w:p w14:paraId="4BCD699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Examine the effects of super-diversity on entrepreneurial activity in London</w:t>
            </w:r>
          </w:p>
        </w:tc>
        <w:tc>
          <w:tcPr>
            <w:tcW w:w="1505" w:type="dxa"/>
          </w:tcPr>
          <w:p w14:paraId="22596B5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Indian and South Asian food businesses, adaptation, and market opportunities</w:t>
            </w:r>
          </w:p>
        </w:tc>
        <w:tc>
          <w:tcPr>
            <w:tcW w:w="1550" w:type="dxa"/>
          </w:tcPr>
          <w:p w14:paraId="5B7821D4"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Super-diversity, entrepreneurship, London</w:t>
            </w:r>
          </w:p>
        </w:tc>
      </w:tr>
      <w:tr w:rsidR="00845447" w:rsidRPr="00B17BB8" w14:paraId="6E59DA69" w14:textId="77777777" w:rsidTr="001F6B0D">
        <w:tc>
          <w:tcPr>
            <w:tcW w:w="704" w:type="dxa"/>
          </w:tcPr>
          <w:p w14:paraId="3A9CF132"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80</w:t>
            </w:r>
          </w:p>
        </w:tc>
        <w:tc>
          <w:tcPr>
            <w:tcW w:w="1528" w:type="dxa"/>
          </w:tcPr>
          <w:p w14:paraId="31DDE9F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Saxena, G.</w:t>
            </w:r>
          </w:p>
        </w:tc>
        <w:tc>
          <w:tcPr>
            <w:tcW w:w="740" w:type="dxa"/>
          </w:tcPr>
          <w:p w14:paraId="2964E08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2018</w:t>
            </w:r>
          </w:p>
        </w:tc>
        <w:tc>
          <w:tcPr>
            <w:tcW w:w="1319" w:type="dxa"/>
          </w:tcPr>
          <w:p w14:paraId="1E05647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Journal Article</w:t>
            </w:r>
          </w:p>
        </w:tc>
        <w:tc>
          <w:tcPr>
            <w:tcW w:w="1553" w:type="dxa"/>
          </w:tcPr>
          <w:p w14:paraId="4FEB2A0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Food, Ethnicity and Entrepreneurship: The Case of Indian Restaurants in London</w:t>
            </w:r>
          </w:p>
        </w:tc>
        <w:tc>
          <w:tcPr>
            <w:tcW w:w="1557" w:type="dxa"/>
          </w:tcPr>
          <w:p w14:paraId="0BB731D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Analyze the intersection of food, ethnicity, and entrepreneurship in London’s Indian restaurant sector</w:t>
            </w:r>
          </w:p>
        </w:tc>
        <w:tc>
          <w:tcPr>
            <w:tcW w:w="1505" w:type="dxa"/>
          </w:tcPr>
          <w:p w14:paraId="0E00F2C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Highlights business models, challenges, and adaptation strategies</w:t>
            </w:r>
          </w:p>
        </w:tc>
        <w:tc>
          <w:tcPr>
            <w:tcW w:w="1550" w:type="dxa"/>
          </w:tcPr>
          <w:p w14:paraId="556DBF89"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Food, ethnicity, entrepreneurship</w:t>
            </w:r>
          </w:p>
        </w:tc>
      </w:tr>
      <w:tr w:rsidR="00845447" w:rsidRPr="00B17BB8" w14:paraId="1004DC55" w14:textId="77777777" w:rsidTr="001F6B0D">
        <w:tc>
          <w:tcPr>
            <w:tcW w:w="704" w:type="dxa"/>
          </w:tcPr>
          <w:p w14:paraId="081CE0B7"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81</w:t>
            </w:r>
          </w:p>
        </w:tc>
        <w:tc>
          <w:tcPr>
            <w:tcW w:w="1528" w:type="dxa"/>
          </w:tcPr>
          <w:p w14:paraId="56E5759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Bhatia, S., Ram, M.</w:t>
            </w:r>
          </w:p>
        </w:tc>
        <w:tc>
          <w:tcPr>
            <w:tcW w:w="740" w:type="dxa"/>
          </w:tcPr>
          <w:p w14:paraId="3BDDFD8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2021</w:t>
            </w:r>
          </w:p>
        </w:tc>
        <w:tc>
          <w:tcPr>
            <w:tcW w:w="1319" w:type="dxa"/>
          </w:tcPr>
          <w:p w14:paraId="4E53D05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Journal Article</w:t>
            </w:r>
          </w:p>
        </w:tc>
        <w:tc>
          <w:tcPr>
            <w:tcW w:w="1553" w:type="dxa"/>
          </w:tcPr>
          <w:p w14:paraId="006BE76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Migrant Entrepreneurship and the Indian Food Industry in the UK</w:t>
            </w:r>
          </w:p>
        </w:tc>
        <w:tc>
          <w:tcPr>
            <w:tcW w:w="1557" w:type="dxa"/>
          </w:tcPr>
          <w:p w14:paraId="46993FC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Investigate the role of Indian migrants in shaping the UK food sector</w:t>
            </w:r>
          </w:p>
        </w:tc>
        <w:tc>
          <w:tcPr>
            <w:tcW w:w="1505" w:type="dxa"/>
          </w:tcPr>
          <w:p w14:paraId="003145B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innovation, business growth, and policy implications</w:t>
            </w:r>
          </w:p>
        </w:tc>
        <w:tc>
          <w:tcPr>
            <w:tcW w:w="1550" w:type="dxa"/>
          </w:tcPr>
          <w:p w14:paraId="7D4D0D5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Migrant entrepreneurship, Indian food, UK</w:t>
            </w:r>
          </w:p>
        </w:tc>
      </w:tr>
      <w:tr w:rsidR="00845447" w:rsidRPr="00B17BB8" w14:paraId="5B4F8826" w14:textId="77777777" w:rsidTr="001F6B0D">
        <w:tc>
          <w:tcPr>
            <w:tcW w:w="704" w:type="dxa"/>
          </w:tcPr>
          <w:p w14:paraId="25856D24"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82</w:t>
            </w:r>
          </w:p>
        </w:tc>
        <w:tc>
          <w:tcPr>
            <w:tcW w:w="1528" w:type="dxa"/>
          </w:tcPr>
          <w:p w14:paraId="0AB8C3C4"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Goyal, S., Singh, R.</w:t>
            </w:r>
          </w:p>
        </w:tc>
        <w:tc>
          <w:tcPr>
            <w:tcW w:w="740" w:type="dxa"/>
          </w:tcPr>
          <w:p w14:paraId="6D3AE6D4"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2019</w:t>
            </w:r>
          </w:p>
        </w:tc>
        <w:tc>
          <w:tcPr>
            <w:tcW w:w="1319" w:type="dxa"/>
          </w:tcPr>
          <w:p w14:paraId="07B64EC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Journal Article</w:t>
            </w:r>
          </w:p>
        </w:tc>
        <w:tc>
          <w:tcPr>
            <w:tcW w:w="1553" w:type="dxa"/>
          </w:tcPr>
          <w:p w14:paraId="77F9C4A5"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Challenges Faced by Indian Restaurant Owners in London</w:t>
            </w:r>
          </w:p>
        </w:tc>
        <w:tc>
          <w:tcPr>
            <w:tcW w:w="1557" w:type="dxa"/>
          </w:tcPr>
          <w:p w14:paraId="43F9D44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Identify operational and regulatory challenges for Indian restaurant owners</w:t>
            </w:r>
          </w:p>
        </w:tc>
        <w:tc>
          <w:tcPr>
            <w:tcW w:w="1505" w:type="dxa"/>
          </w:tcPr>
          <w:p w14:paraId="62521FE1" w14:textId="77777777" w:rsidR="001655AF" w:rsidRPr="00B17BB8" w:rsidRDefault="001655AF" w:rsidP="00442151">
            <w:pPr>
              <w:rPr>
                <w:rFonts w:asciiTheme="majorHAnsi" w:hAnsiTheme="majorHAnsi" w:cstheme="majorHAnsi"/>
                <w:sz w:val="20"/>
                <w:szCs w:val="20"/>
              </w:rPr>
            </w:pPr>
          </w:p>
        </w:tc>
        <w:tc>
          <w:tcPr>
            <w:tcW w:w="1550" w:type="dxa"/>
          </w:tcPr>
          <w:p w14:paraId="039DE464"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Indian restaurants, challenges, London</w:t>
            </w:r>
          </w:p>
        </w:tc>
      </w:tr>
      <w:tr w:rsidR="00845447" w:rsidRPr="00B17BB8" w14:paraId="7C5A53D5" w14:textId="77777777" w:rsidTr="001F6B0D">
        <w:tc>
          <w:tcPr>
            <w:tcW w:w="704" w:type="dxa"/>
          </w:tcPr>
          <w:p w14:paraId="15270003"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83</w:t>
            </w:r>
          </w:p>
        </w:tc>
        <w:tc>
          <w:tcPr>
            <w:tcW w:w="1528" w:type="dxa"/>
          </w:tcPr>
          <w:p w14:paraId="14381D4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Patel, D., Shah, A.</w:t>
            </w:r>
          </w:p>
        </w:tc>
        <w:tc>
          <w:tcPr>
            <w:tcW w:w="740" w:type="dxa"/>
          </w:tcPr>
          <w:p w14:paraId="47C7EA6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2020</w:t>
            </w:r>
          </w:p>
        </w:tc>
        <w:tc>
          <w:tcPr>
            <w:tcW w:w="1319" w:type="dxa"/>
          </w:tcPr>
          <w:p w14:paraId="5B77974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Journal Article</w:t>
            </w:r>
          </w:p>
        </w:tc>
        <w:tc>
          <w:tcPr>
            <w:tcW w:w="1553" w:type="dxa"/>
          </w:tcPr>
          <w:p w14:paraId="15F36B4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COVID-19 and Migrant-Owned Food Businesses in London</w:t>
            </w:r>
          </w:p>
        </w:tc>
        <w:tc>
          <w:tcPr>
            <w:tcW w:w="1557" w:type="dxa"/>
          </w:tcPr>
          <w:p w14:paraId="3667D05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Assess the impact of the pandemic on migrant-owned food businesses in London</w:t>
            </w:r>
          </w:p>
        </w:tc>
        <w:tc>
          <w:tcPr>
            <w:tcW w:w="1505" w:type="dxa"/>
          </w:tcPr>
          <w:p w14:paraId="47AFBCD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resilience, adaptation, and policy support</w:t>
            </w:r>
          </w:p>
        </w:tc>
        <w:tc>
          <w:tcPr>
            <w:tcW w:w="1550" w:type="dxa"/>
          </w:tcPr>
          <w:p w14:paraId="3BEC894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COVID-19, migrant business, resilience</w:t>
            </w:r>
          </w:p>
        </w:tc>
      </w:tr>
      <w:tr w:rsidR="00845447" w:rsidRPr="00B17BB8" w14:paraId="6076EB4F" w14:textId="77777777" w:rsidTr="001F6B0D">
        <w:tc>
          <w:tcPr>
            <w:tcW w:w="704" w:type="dxa"/>
          </w:tcPr>
          <w:p w14:paraId="304F0EB0"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84</w:t>
            </w:r>
          </w:p>
        </w:tc>
        <w:tc>
          <w:tcPr>
            <w:tcW w:w="1528" w:type="dxa"/>
          </w:tcPr>
          <w:p w14:paraId="63F33699"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Banerjee, S., Choudhury, S.</w:t>
            </w:r>
          </w:p>
        </w:tc>
        <w:tc>
          <w:tcPr>
            <w:tcW w:w="740" w:type="dxa"/>
          </w:tcPr>
          <w:p w14:paraId="0482826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2021</w:t>
            </w:r>
          </w:p>
        </w:tc>
        <w:tc>
          <w:tcPr>
            <w:tcW w:w="1319" w:type="dxa"/>
          </w:tcPr>
          <w:p w14:paraId="1DD21FD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Journal Article</w:t>
            </w:r>
          </w:p>
        </w:tc>
        <w:tc>
          <w:tcPr>
            <w:tcW w:w="1553" w:type="dxa"/>
          </w:tcPr>
          <w:p w14:paraId="211CFE5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Business Model Innovation in Ethnic Food Enterprises</w:t>
            </w:r>
          </w:p>
        </w:tc>
        <w:tc>
          <w:tcPr>
            <w:tcW w:w="1557" w:type="dxa"/>
          </w:tcPr>
          <w:p w14:paraId="7056D52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Explore business model innovation among ethnic food businesses in London</w:t>
            </w:r>
          </w:p>
        </w:tc>
        <w:tc>
          <w:tcPr>
            <w:tcW w:w="1505" w:type="dxa"/>
          </w:tcPr>
          <w:p w14:paraId="4E3D23A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Highlights adaptation, technology, and customer engagement</w:t>
            </w:r>
          </w:p>
        </w:tc>
        <w:tc>
          <w:tcPr>
            <w:tcW w:w="1550" w:type="dxa"/>
          </w:tcPr>
          <w:p w14:paraId="1A8E4EE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Business model innovation, ethnic food</w:t>
            </w:r>
          </w:p>
        </w:tc>
      </w:tr>
      <w:tr w:rsidR="00845447" w:rsidRPr="00B17BB8" w14:paraId="2E2042B7" w14:textId="77777777" w:rsidTr="001F6B0D">
        <w:tc>
          <w:tcPr>
            <w:tcW w:w="704" w:type="dxa"/>
          </w:tcPr>
          <w:p w14:paraId="4D2E1049"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85</w:t>
            </w:r>
          </w:p>
        </w:tc>
        <w:tc>
          <w:tcPr>
            <w:tcW w:w="1528" w:type="dxa"/>
          </w:tcPr>
          <w:p w14:paraId="7B33B18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Thakrar, S. (</w:t>
            </w:r>
            <w:proofErr w:type="spellStart"/>
            <w:r w:rsidRPr="00B17BB8">
              <w:rPr>
                <w:rFonts w:asciiTheme="majorHAnsi" w:eastAsia="Times New Roman" w:hAnsiTheme="majorHAnsi" w:cstheme="majorHAnsi"/>
                <w:sz w:val="20"/>
                <w:szCs w:val="20"/>
                <w:lang w:eastAsia="en-GB"/>
              </w:rPr>
              <w:t>Dishoom</w:t>
            </w:r>
            <w:proofErr w:type="spellEnd"/>
            <w:r w:rsidRPr="00B17BB8">
              <w:rPr>
                <w:rFonts w:asciiTheme="majorHAnsi" w:eastAsia="Times New Roman" w:hAnsiTheme="majorHAnsi" w:cstheme="majorHAnsi"/>
                <w:sz w:val="20"/>
                <w:szCs w:val="20"/>
                <w:lang w:eastAsia="en-GB"/>
              </w:rPr>
              <w:t>)</w:t>
            </w:r>
          </w:p>
        </w:tc>
        <w:tc>
          <w:tcPr>
            <w:tcW w:w="740" w:type="dxa"/>
          </w:tcPr>
          <w:p w14:paraId="092DC52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2023</w:t>
            </w:r>
          </w:p>
        </w:tc>
        <w:tc>
          <w:tcPr>
            <w:tcW w:w="1319" w:type="dxa"/>
          </w:tcPr>
          <w:p w14:paraId="3BF07B6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Interview/Article</w:t>
            </w:r>
          </w:p>
        </w:tc>
        <w:tc>
          <w:tcPr>
            <w:tcW w:w="1553" w:type="dxa"/>
          </w:tcPr>
          <w:p w14:paraId="13BACDE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Building Better Business: Interview with </w:t>
            </w:r>
            <w:proofErr w:type="spellStart"/>
            <w:r w:rsidRPr="00B17BB8">
              <w:rPr>
                <w:rFonts w:asciiTheme="majorHAnsi" w:eastAsia="Times New Roman" w:hAnsiTheme="majorHAnsi" w:cstheme="majorHAnsi"/>
                <w:sz w:val="20"/>
                <w:szCs w:val="20"/>
                <w:lang w:eastAsia="en-GB"/>
              </w:rPr>
              <w:lastRenderedPageBreak/>
              <w:t>Dishoom</w:t>
            </w:r>
            <w:proofErr w:type="spellEnd"/>
            <w:r w:rsidRPr="00B17BB8">
              <w:rPr>
                <w:rFonts w:asciiTheme="majorHAnsi" w:eastAsia="Times New Roman" w:hAnsiTheme="majorHAnsi" w:cstheme="majorHAnsi"/>
                <w:sz w:val="20"/>
                <w:szCs w:val="20"/>
                <w:lang w:eastAsia="en-GB"/>
              </w:rPr>
              <w:t xml:space="preserve"> founder</w:t>
            </w:r>
          </w:p>
        </w:tc>
        <w:tc>
          <w:tcPr>
            <w:tcW w:w="1557" w:type="dxa"/>
          </w:tcPr>
          <w:p w14:paraId="007AB6B9"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lastRenderedPageBreak/>
              <w:t xml:space="preserve">Explore </w:t>
            </w:r>
            <w:proofErr w:type="spellStart"/>
            <w:r w:rsidRPr="00B17BB8">
              <w:rPr>
                <w:rFonts w:asciiTheme="majorHAnsi" w:eastAsia="Times New Roman" w:hAnsiTheme="majorHAnsi" w:cstheme="majorHAnsi"/>
                <w:sz w:val="20"/>
                <w:szCs w:val="20"/>
                <w:lang w:eastAsia="en-GB"/>
              </w:rPr>
              <w:t>Dishoom’s</w:t>
            </w:r>
            <w:proofErr w:type="spellEnd"/>
            <w:r w:rsidRPr="00B17BB8">
              <w:rPr>
                <w:rFonts w:asciiTheme="majorHAnsi" w:eastAsia="Times New Roman" w:hAnsiTheme="majorHAnsi" w:cstheme="majorHAnsi"/>
                <w:sz w:val="20"/>
                <w:szCs w:val="20"/>
                <w:lang w:eastAsia="en-GB"/>
              </w:rPr>
              <w:t xml:space="preserve"> business philosophy and </w:t>
            </w:r>
            <w:r w:rsidRPr="00B17BB8">
              <w:rPr>
                <w:rFonts w:asciiTheme="majorHAnsi" w:eastAsia="Times New Roman" w:hAnsiTheme="majorHAnsi" w:cstheme="majorHAnsi"/>
                <w:sz w:val="20"/>
                <w:szCs w:val="20"/>
                <w:lang w:eastAsia="en-GB"/>
              </w:rPr>
              <w:lastRenderedPageBreak/>
              <w:t>crisis management during COVID-19</w:t>
            </w:r>
          </w:p>
        </w:tc>
        <w:tc>
          <w:tcPr>
            <w:tcW w:w="1505" w:type="dxa"/>
          </w:tcPr>
          <w:p w14:paraId="7EC07E7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lastRenderedPageBreak/>
              <w:t xml:space="preserve">Focus on quality, community, and ‘Seva’ </w:t>
            </w:r>
            <w:r w:rsidRPr="00B17BB8">
              <w:rPr>
                <w:rFonts w:asciiTheme="majorHAnsi" w:eastAsia="Times New Roman" w:hAnsiTheme="majorHAnsi" w:cstheme="majorHAnsi"/>
                <w:sz w:val="20"/>
                <w:szCs w:val="20"/>
                <w:lang w:eastAsia="en-GB"/>
              </w:rPr>
              <w:lastRenderedPageBreak/>
              <w:t>(selfless service) in business model</w:t>
            </w:r>
          </w:p>
        </w:tc>
        <w:tc>
          <w:tcPr>
            <w:tcW w:w="1550" w:type="dxa"/>
          </w:tcPr>
          <w:p w14:paraId="39C0A254" w14:textId="77777777" w:rsidR="001655AF" w:rsidRPr="00B17BB8" w:rsidRDefault="001655AF" w:rsidP="00442151">
            <w:pPr>
              <w:rPr>
                <w:rFonts w:asciiTheme="majorHAnsi" w:hAnsiTheme="majorHAnsi" w:cstheme="majorHAnsi"/>
                <w:sz w:val="20"/>
                <w:szCs w:val="20"/>
              </w:rPr>
            </w:pPr>
          </w:p>
        </w:tc>
      </w:tr>
      <w:tr w:rsidR="00845447" w:rsidRPr="00B17BB8" w14:paraId="4F9E32B1" w14:textId="77777777" w:rsidTr="001F6B0D">
        <w:tc>
          <w:tcPr>
            <w:tcW w:w="704" w:type="dxa"/>
          </w:tcPr>
          <w:p w14:paraId="26AC23EC"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86</w:t>
            </w:r>
          </w:p>
        </w:tc>
        <w:tc>
          <w:tcPr>
            <w:tcW w:w="1528" w:type="dxa"/>
          </w:tcPr>
          <w:p w14:paraId="34EAEC7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Chef Rajika</w:t>
            </w:r>
          </w:p>
        </w:tc>
        <w:tc>
          <w:tcPr>
            <w:tcW w:w="740" w:type="dxa"/>
          </w:tcPr>
          <w:p w14:paraId="337ED2B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2024</w:t>
            </w:r>
          </w:p>
        </w:tc>
        <w:tc>
          <w:tcPr>
            <w:tcW w:w="1319" w:type="dxa"/>
          </w:tcPr>
          <w:p w14:paraId="2365D05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Profile/Article</w:t>
            </w:r>
          </w:p>
        </w:tc>
        <w:tc>
          <w:tcPr>
            <w:tcW w:w="1553" w:type="dxa"/>
          </w:tcPr>
          <w:p w14:paraId="13F6F6C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Chef Rajika's Unique Journey </w:t>
            </w:r>
            <w:proofErr w:type="gramStart"/>
            <w:r w:rsidRPr="00B17BB8">
              <w:rPr>
                <w:rFonts w:asciiTheme="majorHAnsi" w:eastAsia="Times New Roman" w:hAnsiTheme="majorHAnsi" w:cstheme="majorHAnsi"/>
                <w:sz w:val="20"/>
                <w:szCs w:val="20"/>
                <w:lang w:eastAsia="en-GB"/>
              </w:rPr>
              <w:t>To</w:t>
            </w:r>
            <w:proofErr w:type="gramEnd"/>
            <w:r w:rsidRPr="00B17BB8">
              <w:rPr>
                <w:rFonts w:asciiTheme="majorHAnsi" w:eastAsia="Times New Roman" w:hAnsiTheme="majorHAnsi" w:cstheme="majorHAnsi"/>
                <w:sz w:val="20"/>
                <w:szCs w:val="20"/>
                <w:lang w:eastAsia="en-GB"/>
              </w:rPr>
              <w:t xml:space="preserve"> Becoming A </w:t>
            </w:r>
            <w:proofErr w:type="spellStart"/>
            <w:r w:rsidRPr="00B17BB8">
              <w:rPr>
                <w:rFonts w:asciiTheme="majorHAnsi" w:eastAsia="Times New Roman" w:hAnsiTheme="majorHAnsi" w:cstheme="majorHAnsi"/>
                <w:sz w:val="20"/>
                <w:szCs w:val="20"/>
                <w:lang w:eastAsia="en-GB"/>
              </w:rPr>
              <w:t>Yhangry</w:t>
            </w:r>
            <w:proofErr w:type="spellEnd"/>
            <w:r w:rsidRPr="00B17BB8">
              <w:rPr>
                <w:rFonts w:asciiTheme="majorHAnsi" w:eastAsia="Times New Roman" w:hAnsiTheme="majorHAnsi" w:cstheme="majorHAnsi"/>
                <w:sz w:val="20"/>
                <w:szCs w:val="20"/>
                <w:lang w:eastAsia="en-GB"/>
              </w:rPr>
              <w:t xml:space="preserve"> Private Chef</w:t>
            </w:r>
          </w:p>
        </w:tc>
        <w:tc>
          <w:tcPr>
            <w:tcW w:w="1557" w:type="dxa"/>
          </w:tcPr>
          <w:p w14:paraId="0466AB6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Share a migrant chef’s journey from aviation/HR to food entrepreneurship in London</w:t>
            </w:r>
          </w:p>
        </w:tc>
        <w:tc>
          <w:tcPr>
            <w:tcW w:w="1505" w:type="dxa"/>
          </w:tcPr>
          <w:p w14:paraId="71C975B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Illustrates career change, adaptation, and opportunity for Indian food entrepreneurs</w:t>
            </w:r>
          </w:p>
        </w:tc>
        <w:tc>
          <w:tcPr>
            <w:tcW w:w="1550" w:type="dxa"/>
          </w:tcPr>
          <w:p w14:paraId="58B5C04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Migrant chef, entrepreneurship, London</w:t>
            </w:r>
          </w:p>
        </w:tc>
      </w:tr>
      <w:tr w:rsidR="00845447" w:rsidRPr="00B17BB8" w14:paraId="1C1E7E8E" w14:textId="77777777" w:rsidTr="001F6B0D">
        <w:tc>
          <w:tcPr>
            <w:tcW w:w="704" w:type="dxa"/>
          </w:tcPr>
          <w:p w14:paraId="030B9469"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87</w:t>
            </w:r>
          </w:p>
        </w:tc>
        <w:tc>
          <w:tcPr>
            <w:tcW w:w="1528" w:type="dxa"/>
          </w:tcPr>
          <w:p w14:paraId="6E49270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Throup, S.</w:t>
            </w:r>
          </w:p>
        </w:tc>
        <w:tc>
          <w:tcPr>
            <w:tcW w:w="740" w:type="dxa"/>
          </w:tcPr>
          <w:p w14:paraId="076B422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2021</w:t>
            </w:r>
          </w:p>
        </w:tc>
        <w:tc>
          <w:tcPr>
            <w:tcW w:w="1319" w:type="dxa"/>
          </w:tcPr>
          <w:p w14:paraId="38D61129"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Thesis</w:t>
            </w:r>
          </w:p>
        </w:tc>
        <w:tc>
          <w:tcPr>
            <w:tcW w:w="1553" w:type="dxa"/>
          </w:tcPr>
          <w:p w14:paraId="075D2BD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The Complex Reality of British Multiculturalism: A Case Study of Indian Food in the UK</w:t>
            </w:r>
          </w:p>
        </w:tc>
        <w:tc>
          <w:tcPr>
            <w:tcW w:w="1557" w:type="dxa"/>
          </w:tcPr>
          <w:p w14:paraId="1C667CD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Characterize treatment and perception of Indian food in the UK over 20 years</w:t>
            </w:r>
          </w:p>
        </w:tc>
        <w:tc>
          <w:tcPr>
            <w:tcW w:w="1505" w:type="dxa"/>
          </w:tcPr>
          <w:p w14:paraId="22D0196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Examines multiculturalism, identity, and food sector challenges</w:t>
            </w:r>
          </w:p>
        </w:tc>
        <w:tc>
          <w:tcPr>
            <w:tcW w:w="1550" w:type="dxa"/>
          </w:tcPr>
          <w:p w14:paraId="246A467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Multiculturalism, Indian food, UK</w:t>
            </w:r>
          </w:p>
        </w:tc>
      </w:tr>
      <w:tr w:rsidR="00845447" w:rsidRPr="00B17BB8" w14:paraId="15615CFA" w14:textId="77777777" w:rsidTr="001F6B0D">
        <w:tc>
          <w:tcPr>
            <w:tcW w:w="704" w:type="dxa"/>
          </w:tcPr>
          <w:p w14:paraId="58E9C4F5"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88</w:t>
            </w:r>
          </w:p>
        </w:tc>
        <w:tc>
          <w:tcPr>
            <w:tcW w:w="1528" w:type="dxa"/>
          </w:tcPr>
          <w:p w14:paraId="1B35CDC3" w14:textId="77777777" w:rsidR="001655AF" w:rsidRPr="00B17BB8" w:rsidRDefault="001655AF" w:rsidP="00442151">
            <w:pPr>
              <w:rPr>
                <w:rFonts w:asciiTheme="majorHAnsi" w:hAnsiTheme="majorHAnsi" w:cstheme="majorHAnsi"/>
                <w:sz w:val="20"/>
                <w:szCs w:val="20"/>
              </w:rPr>
            </w:pPr>
            <w:proofErr w:type="spellStart"/>
            <w:r w:rsidRPr="00B17BB8">
              <w:rPr>
                <w:rFonts w:asciiTheme="majorHAnsi" w:eastAsia="Times New Roman" w:hAnsiTheme="majorHAnsi" w:cstheme="majorHAnsi"/>
                <w:sz w:val="20"/>
                <w:szCs w:val="20"/>
                <w:lang w:eastAsia="en-GB"/>
              </w:rPr>
              <w:t>Sumwot</w:t>
            </w:r>
            <w:proofErr w:type="spellEnd"/>
            <w:r w:rsidRPr="00B17BB8">
              <w:rPr>
                <w:rFonts w:asciiTheme="majorHAnsi" w:eastAsia="Times New Roman" w:hAnsiTheme="majorHAnsi" w:cstheme="majorHAnsi"/>
                <w:sz w:val="20"/>
                <w:szCs w:val="20"/>
                <w:lang w:eastAsia="en-GB"/>
              </w:rPr>
              <w:t xml:space="preserve"> Case Study Authors</w:t>
            </w:r>
          </w:p>
        </w:tc>
        <w:tc>
          <w:tcPr>
            <w:tcW w:w="740" w:type="dxa"/>
          </w:tcPr>
          <w:p w14:paraId="7A2374B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2023</w:t>
            </w:r>
          </w:p>
        </w:tc>
        <w:tc>
          <w:tcPr>
            <w:tcW w:w="1319" w:type="dxa"/>
          </w:tcPr>
          <w:p w14:paraId="3D42CB75"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Case Study</w:t>
            </w:r>
          </w:p>
        </w:tc>
        <w:tc>
          <w:tcPr>
            <w:tcW w:w="1553" w:type="dxa"/>
          </w:tcPr>
          <w:p w14:paraId="46841BF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The oldest North Indian restaurant in the UK: The Punjab, Covent Garden</w:t>
            </w:r>
          </w:p>
        </w:tc>
        <w:tc>
          <w:tcPr>
            <w:tcW w:w="1557" w:type="dxa"/>
          </w:tcPr>
          <w:p w14:paraId="553107F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Examine business evolution and marketing for a legacy Indian restaurant in London</w:t>
            </w:r>
          </w:p>
        </w:tc>
        <w:tc>
          <w:tcPr>
            <w:tcW w:w="1505" w:type="dxa"/>
          </w:tcPr>
          <w:p w14:paraId="550AEAD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digital transformation, community service, and adapting to new marketing trends</w:t>
            </w:r>
          </w:p>
        </w:tc>
        <w:tc>
          <w:tcPr>
            <w:tcW w:w="1550" w:type="dxa"/>
          </w:tcPr>
          <w:p w14:paraId="1EE013B9"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Indian restaurant, legacy, marketing</w:t>
            </w:r>
          </w:p>
        </w:tc>
      </w:tr>
      <w:tr w:rsidR="00845447" w:rsidRPr="00B17BB8" w14:paraId="19902414" w14:textId="77777777" w:rsidTr="001F6B0D">
        <w:tc>
          <w:tcPr>
            <w:tcW w:w="704" w:type="dxa"/>
          </w:tcPr>
          <w:p w14:paraId="5338A235"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89</w:t>
            </w:r>
          </w:p>
        </w:tc>
        <w:tc>
          <w:tcPr>
            <w:tcW w:w="1528" w:type="dxa"/>
          </w:tcPr>
          <w:p w14:paraId="3EB3BEB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Ignite Creates</w:t>
            </w:r>
          </w:p>
        </w:tc>
        <w:tc>
          <w:tcPr>
            <w:tcW w:w="740" w:type="dxa"/>
          </w:tcPr>
          <w:p w14:paraId="10A86F2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2023</w:t>
            </w:r>
          </w:p>
        </w:tc>
        <w:tc>
          <w:tcPr>
            <w:tcW w:w="1319" w:type="dxa"/>
          </w:tcPr>
          <w:p w14:paraId="28BD5B5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Case Study</w:t>
            </w:r>
          </w:p>
        </w:tc>
        <w:tc>
          <w:tcPr>
            <w:tcW w:w="1553" w:type="dxa"/>
          </w:tcPr>
          <w:p w14:paraId="03655A6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Case Study: Marketing Campaign for Indian Restaurant - Masala Zone</w:t>
            </w:r>
          </w:p>
        </w:tc>
        <w:tc>
          <w:tcPr>
            <w:tcW w:w="1557" w:type="dxa"/>
          </w:tcPr>
          <w:p w14:paraId="624A777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Analyze digital marketing strategies for an Indian restaurant in London</w:t>
            </w:r>
          </w:p>
        </w:tc>
        <w:tc>
          <w:tcPr>
            <w:tcW w:w="1505" w:type="dxa"/>
          </w:tcPr>
          <w:p w14:paraId="5DD6CE3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Demonstrates results from integrated digital campaigns for migrant-run food businesses</w:t>
            </w:r>
          </w:p>
        </w:tc>
        <w:tc>
          <w:tcPr>
            <w:tcW w:w="1550" w:type="dxa"/>
          </w:tcPr>
          <w:p w14:paraId="14B25C6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Marketing, Indian restaurant, London</w:t>
            </w:r>
          </w:p>
        </w:tc>
      </w:tr>
      <w:tr w:rsidR="00845447" w:rsidRPr="00B17BB8" w14:paraId="1519590A" w14:textId="77777777" w:rsidTr="001F6B0D">
        <w:tc>
          <w:tcPr>
            <w:tcW w:w="704" w:type="dxa"/>
          </w:tcPr>
          <w:p w14:paraId="49C4D760"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90</w:t>
            </w:r>
          </w:p>
        </w:tc>
        <w:tc>
          <w:tcPr>
            <w:tcW w:w="1528" w:type="dxa"/>
          </w:tcPr>
          <w:p w14:paraId="1F875BF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Raffa, A. (</w:t>
            </w:r>
            <w:proofErr w:type="spellStart"/>
            <w:r w:rsidRPr="00B17BB8">
              <w:rPr>
                <w:rFonts w:asciiTheme="majorHAnsi" w:eastAsia="Times New Roman" w:hAnsiTheme="majorHAnsi" w:cstheme="majorHAnsi"/>
                <w:sz w:val="20"/>
                <w:szCs w:val="20"/>
                <w:lang w:eastAsia="en-GB"/>
              </w:rPr>
              <w:t>Dishoom</w:t>
            </w:r>
            <w:proofErr w:type="spellEnd"/>
            <w:r w:rsidRPr="00B17BB8">
              <w:rPr>
                <w:rFonts w:asciiTheme="majorHAnsi" w:eastAsia="Times New Roman" w:hAnsiTheme="majorHAnsi" w:cstheme="majorHAnsi"/>
                <w:sz w:val="20"/>
                <w:szCs w:val="20"/>
                <w:lang w:eastAsia="en-GB"/>
              </w:rPr>
              <w:t>)</w:t>
            </w:r>
          </w:p>
        </w:tc>
        <w:tc>
          <w:tcPr>
            <w:tcW w:w="740" w:type="dxa"/>
          </w:tcPr>
          <w:p w14:paraId="26E0B1C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2024</w:t>
            </w:r>
          </w:p>
        </w:tc>
        <w:tc>
          <w:tcPr>
            <w:tcW w:w="1319" w:type="dxa"/>
          </w:tcPr>
          <w:p w14:paraId="15111A54"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Case Study</w:t>
            </w:r>
          </w:p>
        </w:tc>
        <w:tc>
          <w:tcPr>
            <w:tcW w:w="1553" w:type="dxa"/>
          </w:tcPr>
          <w:p w14:paraId="4C2BC5B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How </w:t>
            </w:r>
            <w:proofErr w:type="spellStart"/>
            <w:r w:rsidRPr="00B17BB8">
              <w:rPr>
                <w:rFonts w:asciiTheme="majorHAnsi" w:eastAsia="Times New Roman" w:hAnsiTheme="majorHAnsi" w:cstheme="majorHAnsi"/>
                <w:sz w:val="20"/>
                <w:szCs w:val="20"/>
                <w:lang w:eastAsia="en-GB"/>
              </w:rPr>
              <w:t>Dishoom</w:t>
            </w:r>
            <w:proofErr w:type="spellEnd"/>
            <w:r w:rsidRPr="00B17BB8">
              <w:rPr>
                <w:rFonts w:asciiTheme="majorHAnsi" w:eastAsia="Times New Roman" w:hAnsiTheme="majorHAnsi" w:cstheme="majorHAnsi"/>
                <w:sz w:val="20"/>
                <w:szCs w:val="20"/>
                <w:lang w:eastAsia="en-GB"/>
              </w:rPr>
              <w:t xml:space="preserve"> is Reducing its Footprint</w:t>
            </w:r>
          </w:p>
        </w:tc>
        <w:tc>
          <w:tcPr>
            <w:tcW w:w="1557" w:type="dxa"/>
          </w:tcPr>
          <w:p w14:paraId="464D802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Explore </w:t>
            </w:r>
            <w:proofErr w:type="spellStart"/>
            <w:r w:rsidRPr="00B17BB8">
              <w:rPr>
                <w:rFonts w:asciiTheme="majorHAnsi" w:eastAsia="Times New Roman" w:hAnsiTheme="majorHAnsi" w:cstheme="majorHAnsi"/>
                <w:sz w:val="20"/>
                <w:szCs w:val="20"/>
                <w:lang w:eastAsia="en-GB"/>
              </w:rPr>
              <w:t>Dishoom’s</w:t>
            </w:r>
            <w:proofErr w:type="spellEnd"/>
            <w:r w:rsidRPr="00B17BB8">
              <w:rPr>
                <w:rFonts w:asciiTheme="majorHAnsi" w:eastAsia="Times New Roman" w:hAnsiTheme="majorHAnsi" w:cstheme="majorHAnsi"/>
                <w:sz w:val="20"/>
                <w:szCs w:val="20"/>
                <w:lang w:eastAsia="en-GB"/>
              </w:rPr>
              <w:t xml:space="preserve"> sustainability initiatives in London’s Indian food sector</w:t>
            </w:r>
          </w:p>
        </w:tc>
        <w:tc>
          <w:tcPr>
            <w:tcW w:w="1505" w:type="dxa"/>
          </w:tcPr>
          <w:p w14:paraId="2639731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operational sustainability and environmental impact for migrant-led business</w:t>
            </w:r>
          </w:p>
        </w:tc>
        <w:tc>
          <w:tcPr>
            <w:tcW w:w="1550" w:type="dxa"/>
          </w:tcPr>
          <w:p w14:paraId="050111ED" w14:textId="77777777" w:rsidR="001655AF" w:rsidRPr="00B17BB8" w:rsidRDefault="001655AF" w:rsidP="00442151">
            <w:pPr>
              <w:rPr>
                <w:rFonts w:asciiTheme="majorHAnsi" w:hAnsiTheme="majorHAnsi" w:cstheme="majorHAnsi"/>
                <w:sz w:val="20"/>
                <w:szCs w:val="20"/>
              </w:rPr>
            </w:pPr>
          </w:p>
        </w:tc>
      </w:tr>
      <w:tr w:rsidR="00845447" w:rsidRPr="00B17BB8" w14:paraId="7893B73D" w14:textId="77777777" w:rsidTr="001F6B0D">
        <w:tc>
          <w:tcPr>
            <w:tcW w:w="704" w:type="dxa"/>
          </w:tcPr>
          <w:p w14:paraId="087980FE"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91</w:t>
            </w:r>
          </w:p>
        </w:tc>
        <w:tc>
          <w:tcPr>
            <w:tcW w:w="1528" w:type="dxa"/>
          </w:tcPr>
          <w:p w14:paraId="3856582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Srinivas, T.</w:t>
            </w:r>
          </w:p>
        </w:tc>
        <w:tc>
          <w:tcPr>
            <w:tcW w:w="740" w:type="dxa"/>
          </w:tcPr>
          <w:p w14:paraId="637FCB3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38A500E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Book Chapter</w:t>
            </w:r>
          </w:p>
        </w:tc>
        <w:tc>
          <w:tcPr>
            <w:tcW w:w="1553" w:type="dxa"/>
          </w:tcPr>
          <w:p w14:paraId="2D1FC58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Exploring Indian Culture through Food</w:t>
            </w:r>
          </w:p>
        </w:tc>
        <w:tc>
          <w:tcPr>
            <w:tcW w:w="1557" w:type="dxa"/>
          </w:tcPr>
          <w:p w14:paraId="36E8B2D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Examine food as an identity marker among the Indian diaspora in the UK</w:t>
            </w:r>
          </w:p>
        </w:tc>
        <w:tc>
          <w:tcPr>
            <w:tcW w:w="1505" w:type="dxa"/>
          </w:tcPr>
          <w:p w14:paraId="1820C44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Discusses caste, class, ethnicity, and secular group identification in food entrepreneurship</w:t>
            </w:r>
          </w:p>
        </w:tc>
        <w:tc>
          <w:tcPr>
            <w:tcW w:w="1550" w:type="dxa"/>
          </w:tcPr>
          <w:p w14:paraId="3C17D00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Indian culture, food, identity</w:t>
            </w:r>
          </w:p>
        </w:tc>
      </w:tr>
      <w:tr w:rsidR="00845447" w:rsidRPr="00B17BB8" w14:paraId="52639FA4" w14:textId="77777777" w:rsidTr="001F6B0D">
        <w:tc>
          <w:tcPr>
            <w:tcW w:w="704" w:type="dxa"/>
          </w:tcPr>
          <w:p w14:paraId="55E9892F"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92</w:t>
            </w:r>
          </w:p>
        </w:tc>
        <w:tc>
          <w:tcPr>
            <w:tcW w:w="1528" w:type="dxa"/>
          </w:tcPr>
          <w:p w14:paraId="7B40AAC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Mehta, A. &amp; Mehta, N.</w:t>
            </w:r>
          </w:p>
        </w:tc>
        <w:tc>
          <w:tcPr>
            <w:tcW w:w="740" w:type="dxa"/>
          </w:tcPr>
          <w:p w14:paraId="7AE5C62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5BEEAE7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Interview/Report</w:t>
            </w:r>
          </w:p>
        </w:tc>
        <w:tc>
          <w:tcPr>
            <w:tcW w:w="1553" w:type="dxa"/>
          </w:tcPr>
          <w:p w14:paraId="6EA6DF6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Diaspora Entrepreneurship: Fable &amp; Mane Case Study</w:t>
            </w:r>
          </w:p>
        </w:tc>
        <w:tc>
          <w:tcPr>
            <w:tcW w:w="1557" w:type="dxa"/>
          </w:tcPr>
          <w:p w14:paraId="12D5F8D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Share entrepreneurial journey and challenges in UK’s Indian business community</w:t>
            </w:r>
          </w:p>
        </w:tc>
        <w:tc>
          <w:tcPr>
            <w:tcW w:w="1505" w:type="dxa"/>
          </w:tcPr>
          <w:p w14:paraId="35B747F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generational entrepreneurship and overcoming bias</w:t>
            </w:r>
          </w:p>
        </w:tc>
        <w:tc>
          <w:tcPr>
            <w:tcW w:w="1550" w:type="dxa"/>
          </w:tcPr>
          <w:p w14:paraId="535080A2" w14:textId="77777777" w:rsidR="001655AF" w:rsidRPr="00B17BB8" w:rsidRDefault="001655AF" w:rsidP="00442151">
            <w:pPr>
              <w:rPr>
                <w:rFonts w:asciiTheme="majorHAnsi" w:hAnsiTheme="majorHAnsi" w:cstheme="majorHAnsi"/>
                <w:sz w:val="20"/>
                <w:szCs w:val="20"/>
              </w:rPr>
            </w:pPr>
          </w:p>
        </w:tc>
      </w:tr>
      <w:tr w:rsidR="00845447" w:rsidRPr="00B17BB8" w14:paraId="713D609A" w14:textId="77777777" w:rsidTr="001F6B0D">
        <w:tc>
          <w:tcPr>
            <w:tcW w:w="704" w:type="dxa"/>
          </w:tcPr>
          <w:p w14:paraId="52F039C8"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93</w:t>
            </w:r>
          </w:p>
        </w:tc>
        <w:tc>
          <w:tcPr>
            <w:tcW w:w="1528" w:type="dxa"/>
          </w:tcPr>
          <w:p w14:paraId="64E59A6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Malde, L.</w:t>
            </w:r>
          </w:p>
        </w:tc>
        <w:tc>
          <w:tcPr>
            <w:tcW w:w="740" w:type="dxa"/>
          </w:tcPr>
          <w:p w14:paraId="5760443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2325EF0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Profile/Report</w:t>
            </w:r>
          </w:p>
        </w:tc>
        <w:tc>
          <w:tcPr>
            <w:tcW w:w="1553" w:type="dxa"/>
          </w:tcPr>
          <w:p w14:paraId="01500C2F" w14:textId="77777777" w:rsidR="001655AF" w:rsidRPr="00B17BB8" w:rsidRDefault="001655AF" w:rsidP="00442151">
            <w:pPr>
              <w:rPr>
                <w:rFonts w:asciiTheme="majorHAnsi" w:hAnsiTheme="majorHAnsi" w:cstheme="majorHAnsi"/>
                <w:sz w:val="20"/>
                <w:szCs w:val="20"/>
              </w:rPr>
            </w:pPr>
            <w:proofErr w:type="spellStart"/>
            <w:r w:rsidRPr="00B17BB8">
              <w:rPr>
                <w:rFonts w:asciiTheme="majorHAnsi" w:eastAsia="Times New Roman" w:hAnsiTheme="majorHAnsi" w:cstheme="majorHAnsi"/>
                <w:sz w:val="20"/>
                <w:szCs w:val="20"/>
                <w:lang w:eastAsia="en-GB"/>
              </w:rPr>
              <w:t>Wealmoor</w:t>
            </w:r>
            <w:proofErr w:type="spellEnd"/>
            <w:r w:rsidRPr="00B17BB8">
              <w:rPr>
                <w:rFonts w:asciiTheme="majorHAnsi" w:eastAsia="Times New Roman" w:hAnsiTheme="majorHAnsi" w:cstheme="majorHAnsi"/>
                <w:sz w:val="20"/>
                <w:szCs w:val="20"/>
                <w:lang w:eastAsia="en-GB"/>
              </w:rPr>
              <w:t>: Family Values and Global Indian Food Supply</w:t>
            </w:r>
          </w:p>
        </w:tc>
        <w:tc>
          <w:tcPr>
            <w:tcW w:w="1557" w:type="dxa"/>
          </w:tcPr>
          <w:p w14:paraId="76F0075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Trace the growth of an Indian-origin horticulture business in the UK</w:t>
            </w:r>
          </w:p>
        </w:tc>
        <w:tc>
          <w:tcPr>
            <w:tcW w:w="1505" w:type="dxa"/>
          </w:tcPr>
          <w:p w14:paraId="7157860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Focus on family business, values, and global expansion</w:t>
            </w:r>
          </w:p>
        </w:tc>
        <w:tc>
          <w:tcPr>
            <w:tcW w:w="1550" w:type="dxa"/>
          </w:tcPr>
          <w:p w14:paraId="45BCA61C" w14:textId="77777777" w:rsidR="001655AF" w:rsidRPr="00B17BB8" w:rsidRDefault="001655AF" w:rsidP="00442151">
            <w:pPr>
              <w:rPr>
                <w:rFonts w:asciiTheme="majorHAnsi" w:hAnsiTheme="majorHAnsi" w:cstheme="majorHAnsi"/>
                <w:sz w:val="20"/>
                <w:szCs w:val="20"/>
              </w:rPr>
            </w:pPr>
          </w:p>
        </w:tc>
      </w:tr>
      <w:tr w:rsidR="00845447" w:rsidRPr="00B17BB8" w14:paraId="6580DB65" w14:textId="77777777" w:rsidTr="001F6B0D">
        <w:tc>
          <w:tcPr>
            <w:tcW w:w="704" w:type="dxa"/>
          </w:tcPr>
          <w:p w14:paraId="5AAFEB61"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lastRenderedPageBreak/>
              <w:t>94</w:t>
            </w:r>
          </w:p>
        </w:tc>
        <w:tc>
          <w:tcPr>
            <w:tcW w:w="1528" w:type="dxa"/>
          </w:tcPr>
          <w:p w14:paraId="29E5D6C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Raikar, M.</w:t>
            </w:r>
          </w:p>
        </w:tc>
        <w:tc>
          <w:tcPr>
            <w:tcW w:w="740" w:type="dxa"/>
          </w:tcPr>
          <w:p w14:paraId="716CA73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7058DC6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Profile/Report</w:t>
            </w:r>
          </w:p>
        </w:tc>
        <w:tc>
          <w:tcPr>
            <w:tcW w:w="1553" w:type="dxa"/>
          </w:tcPr>
          <w:p w14:paraId="1C0C1E08" w14:textId="77777777" w:rsidR="001655AF" w:rsidRPr="00B17BB8" w:rsidRDefault="001655AF" w:rsidP="00442151">
            <w:pPr>
              <w:rPr>
                <w:rFonts w:asciiTheme="majorHAnsi" w:hAnsiTheme="majorHAnsi" w:cstheme="majorHAnsi"/>
                <w:sz w:val="20"/>
                <w:szCs w:val="20"/>
              </w:rPr>
            </w:pPr>
            <w:proofErr w:type="spellStart"/>
            <w:r w:rsidRPr="00B17BB8">
              <w:rPr>
                <w:rFonts w:asciiTheme="majorHAnsi" w:eastAsia="Times New Roman" w:hAnsiTheme="majorHAnsi" w:cstheme="majorHAnsi"/>
                <w:sz w:val="20"/>
                <w:szCs w:val="20"/>
                <w:lang w:eastAsia="en-GB"/>
              </w:rPr>
              <w:t>Wrapchic</w:t>
            </w:r>
            <w:proofErr w:type="spellEnd"/>
            <w:r w:rsidRPr="00B17BB8">
              <w:rPr>
                <w:rFonts w:asciiTheme="majorHAnsi" w:eastAsia="Times New Roman" w:hAnsiTheme="majorHAnsi" w:cstheme="majorHAnsi"/>
                <w:sz w:val="20"/>
                <w:szCs w:val="20"/>
                <w:lang w:eastAsia="en-GB"/>
              </w:rPr>
              <w:t>: Fusion Food Entrepreneurship in the UK</w:t>
            </w:r>
          </w:p>
        </w:tc>
        <w:tc>
          <w:tcPr>
            <w:tcW w:w="1557" w:type="dxa"/>
          </w:tcPr>
          <w:p w14:paraId="17E8DED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 xml:space="preserve">Describe the journey of </w:t>
            </w:r>
            <w:proofErr w:type="spellStart"/>
            <w:r w:rsidRPr="00B17BB8">
              <w:rPr>
                <w:rFonts w:asciiTheme="majorHAnsi" w:eastAsia="Times New Roman" w:hAnsiTheme="majorHAnsi" w:cstheme="majorHAnsi"/>
                <w:sz w:val="20"/>
                <w:szCs w:val="20"/>
                <w:lang w:eastAsia="en-GB"/>
              </w:rPr>
              <w:t>Wrapchic</w:t>
            </w:r>
            <w:proofErr w:type="spellEnd"/>
            <w:r w:rsidRPr="00B17BB8">
              <w:rPr>
                <w:rFonts w:asciiTheme="majorHAnsi" w:eastAsia="Times New Roman" w:hAnsiTheme="majorHAnsi" w:cstheme="majorHAnsi"/>
                <w:sz w:val="20"/>
                <w:szCs w:val="20"/>
                <w:lang w:eastAsia="en-GB"/>
              </w:rPr>
              <w:t>, an Indian food chain in the UK</w:t>
            </w:r>
          </w:p>
        </w:tc>
        <w:tc>
          <w:tcPr>
            <w:tcW w:w="1505" w:type="dxa"/>
          </w:tcPr>
          <w:p w14:paraId="5BB8BD75"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Highlights innovation, resilience, and market adaptation</w:t>
            </w:r>
          </w:p>
        </w:tc>
        <w:tc>
          <w:tcPr>
            <w:tcW w:w="1550" w:type="dxa"/>
          </w:tcPr>
          <w:p w14:paraId="594920E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Fusion food, entrepreneurship, London</w:t>
            </w:r>
          </w:p>
        </w:tc>
      </w:tr>
      <w:tr w:rsidR="00845447" w:rsidRPr="00B17BB8" w14:paraId="0F647B93" w14:textId="77777777" w:rsidTr="001F6B0D">
        <w:tc>
          <w:tcPr>
            <w:tcW w:w="704" w:type="dxa"/>
          </w:tcPr>
          <w:p w14:paraId="1B6D8D7B"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95</w:t>
            </w:r>
          </w:p>
        </w:tc>
        <w:tc>
          <w:tcPr>
            <w:tcW w:w="1528" w:type="dxa"/>
          </w:tcPr>
          <w:p w14:paraId="54D96EB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Veeraswamy Restaurant</w:t>
            </w:r>
          </w:p>
        </w:tc>
        <w:tc>
          <w:tcPr>
            <w:tcW w:w="740" w:type="dxa"/>
          </w:tcPr>
          <w:p w14:paraId="347943D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2B2B5A8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Article/History</w:t>
            </w:r>
          </w:p>
        </w:tc>
        <w:tc>
          <w:tcPr>
            <w:tcW w:w="1553" w:type="dxa"/>
          </w:tcPr>
          <w:p w14:paraId="393CD05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Veeraswamy: The Oldest Indian Restaurant in London</w:t>
            </w:r>
          </w:p>
        </w:tc>
        <w:tc>
          <w:tcPr>
            <w:tcW w:w="1557" w:type="dxa"/>
          </w:tcPr>
          <w:p w14:paraId="6D10CD7A"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Document the history and clientele evolution of Veeraswamy since 1926</w:t>
            </w:r>
          </w:p>
        </w:tc>
        <w:tc>
          <w:tcPr>
            <w:tcW w:w="1505" w:type="dxa"/>
          </w:tcPr>
          <w:p w14:paraId="38A7AC8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Historical insights into elite clientele and post-war mainstreaming of Indian cuisine</w:t>
            </w:r>
          </w:p>
        </w:tc>
        <w:tc>
          <w:tcPr>
            <w:tcW w:w="1550" w:type="dxa"/>
          </w:tcPr>
          <w:p w14:paraId="139327A4" w14:textId="77777777" w:rsidR="001655AF" w:rsidRPr="00B17BB8" w:rsidRDefault="001655AF" w:rsidP="00442151">
            <w:pPr>
              <w:rPr>
                <w:rFonts w:asciiTheme="majorHAnsi" w:hAnsiTheme="majorHAnsi" w:cstheme="majorHAnsi"/>
                <w:sz w:val="20"/>
                <w:szCs w:val="20"/>
              </w:rPr>
            </w:pPr>
          </w:p>
        </w:tc>
      </w:tr>
      <w:tr w:rsidR="00845447" w:rsidRPr="00B17BB8" w14:paraId="32531618" w14:textId="77777777" w:rsidTr="001F6B0D">
        <w:tc>
          <w:tcPr>
            <w:tcW w:w="704" w:type="dxa"/>
          </w:tcPr>
          <w:p w14:paraId="1CE56456"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96</w:t>
            </w:r>
          </w:p>
        </w:tc>
        <w:tc>
          <w:tcPr>
            <w:tcW w:w="1528" w:type="dxa"/>
          </w:tcPr>
          <w:p w14:paraId="2746F7F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Punjab Restaurant</w:t>
            </w:r>
          </w:p>
        </w:tc>
        <w:tc>
          <w:tcPr>
            <w:tcW w:w="740" w:type="dxa"/>
          </w:tcPr>
          <w:p w14:paraId="68A42F9F"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2023</w:t>
            </w:r>
          </w:p>
        </w:tc>
        <w:tc>
          <w:tcPr>
            <w:tcW w:w="1319" w:type="dxa"/>
          </w:tcPr>
          <w:p w14:paraId="7DC3E5F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Case Study</w:t>
            </w:r>
          </w:p>
        </w:tc>
        <w:tc>
          <w:tcPr>
            <w:tcW w:w="1553" w:type="dxa"/>
          </w:tcPr>
          <w:p w14:paraId="5F5B0515"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The Punjab: Community Service and Digital Transformation</w:t>
            </w:r>
          </w:p>
        </w:tc>
        <w:tc>
          <w:tcPr>
            <w:tcW w:w="1557" w:type="dxa"/>
          </w:tcPr>
          <w:p w14:paraId="41DEDF4E"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Analyze adaptation strategies of a legacy Indian restaurant during COVID-19</w:t>
            </w:r>
          </w:p>
        </w:tc>
        <w:tc>
          <w:tcPr>
            <w:tcW w:w="1505" w:type="dxa"/>
          </w:tcPr>
          <w:p w14:paraId="1E2983A9" w14:textId="77777777" w:rsidR="001655AF" w:rsidRPr="00B17BB8" w:rsidRDefault="001655AF" w:rsidP="00442151">
            <w:pPr>
              <w:rPr>
                <w:rFonts w:asciiTheme="majorHAnsi" w:hAnsiTheme="majorHAnsi" w:cstheme="majorHAnsi"/>
                <w:sz w:val="20"/>
                <w:szCs w:val="20"/>
              </w:rPr>
            </w:pPr>
          </w:p>
        </w:tc>
        <w:tc>
          <w:tcPr>
            <w:tcW w:w="1550" w:type="dxa"/>
          </w:tcPr>
          <w:p w14:paraId="39ACB97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Community service, digital, restaurant</w:t>
            </w:r>
          </w:p>
        </w:tc>
      </w:tr>
      <w:tr w:rsidR="00845447" w:rsidRPr="00B17BB8" w14:paraId="5D82AA8F" w14:textId="77777777" w:rsidTr="001F6B0D">
        <w:tc>
          <w:tcPr>
            <w:tcW w:w="704" w:type="dxa"/>
          </w:tcPr>
          <w:p w14:paraId="38835BBA"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97</w:t>
            </w:r>
          </w:p>
        </w:tc>
        <w:tc>
          <w:tcPr>
            <w:tcW w:w="1528" w:type="dxa"/>
          </w:tcPr>
          <w:p w14:paraId="2262D393"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Michelin Guide (Indian Cuisine)</w:t>
            </w:r>
          </w:p>
        </w:tc>
        <w:tc>
          <w:tcPr>
            <w:tcW w:w="740" w:type="dxa"/>
          </w:tcPr>
          <w:p w14:paraId="445B828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2021</w:t>
            </w:r>
          </w:p>
        </w:tc>
        <w:tc>
          <w:tcPr>
            <w:tcW w:w="1319" w:type="dxa"/>
          </w:tcPr>
          <w:p w14:paraId="05AC0E0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Guide/Article</w:t>
            </w:r>
          </w:p>
        </w:tc>
        <w:tc>
          <w:tcPr>
            <w:tcW w:w="1553" w:type="dxa"/>
          </w:tcPr>
          <w:p w14:paraId="34A2DBDD"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Michelin-Starred Indian Restaurants in London</w:t>
            </w:r>
          </w:p>
        </w:tc>
        <w:tc>
          <w:tcPr>
            <w:tcW w:w="1557" w:type="dxa"/>
          </w:tcPr>
          <w:p w14:paraId="66D9856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Highlight the presence and success of Indian cuisine at the top of London’s food scene</w:t>
            </w:r>
          </w:p>
        </w:tc>
        <w:tc>
          <w:tcPr>
            <w:tcW w:w="1505" w:type="dxa"/>
          </w:tcPr>
          <w:p w14:paraId="41DF8B46"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Six Indian restaurants in London hold Michelin stars, reflecting sector evolution</w:t>
            </w:r>
          </w:p>
        </w:tc>
        <w:tc>
          <w:tcPr>
            <w:tcW w:w="1550" w:type="dxa"/>
          </w:tcPr>
          <w:p w14:paraId="37EEC184"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Michelin, Indian cuisine, London</w:t>
            </w:r>
          </w:p>
        </w:tc>
      </w:tr>
      <w:tr w:rsidR="00845447" w:rsidRPr="00B17BB8" w14:paraId="1F7A1D98" w14:textId="77777777" w:rsidTr="001F6B0D">
        <w:tc>
          <w:tcPr>
            <w:tcW w:w="704" w:type="dxa"/>
          </w:tcPr>
          <w:p w14:paraId="78D62655"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98</w:t>
            </w:r>
          </w:p>
        </w:tc>
        <w:tc>
          <w:tcPr>
            <w:tcW w:w="1528" w:type="dxa"/>
          </w:tcPr>
          <w:p w14:paraId="4A898AC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VB &amp; Sons</w:t>
            </w:r>
          </w:p>
        </w:tc>
        <w:tc>
          <w:tcPr>
            <w:tcW w:w="740" w:type="dxa"/>
          </w:tcPr>
          <w:p w14:paraId="199DF6E5"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5C1579AB"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Company Profile</w:t>
            </w:r>
          </w:p>
        </w:tc>
        <w:tc>
          <w:tcPr>
            <w:tcW w:w="1553" w:type="dxa"/>
          </w:tcPr>
          <w:p w14:paraId="3EE9841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VB &amp; Sons: Indian Grocery Chain in London</w:t>
            </w:r>
          </w:p>
        </w:tc>
        <w:tc>
          <w:tcPr>
            <w:tcW w:w="1557" w:type="dxa"/>
          </w:tcPr>
          <w:p w14:paraId="1F7D4092"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Document growth and adaptation of an Indian grocery chain in the UK</w:t>
            </w:r>
          </w:p>
        </w:tc>
        <w:tc>
          <w:tcPr>
            <w:tcW w:w="1505" w:type="dxa"/>
          </w:tcPr>
          <w:p w14:paraId="2322EF31"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Shows sector diversification and adaptation for migrant entrepreneurs</w:t>
            </w:r>
          </w:p>
        </w:tc>
        <w:tc>
          <w:tcPr>
            <w:tcW w:w="1550" w:type="dxa"/>
          </w:tcPr>
          <w:p w14:paraId="0E3EEF9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Grocery, Indian food, London</w:t>
            </w:r>
          </w:p>
        </w:tc>
      </w:tr>
      <w:tr w:rsidR="00845447" w:rsidRPr="00B17BB8" w14:paraId="7BE72B5F" w14:textId="77777777" w:rsidTr="001F6B0D">
        <w:tc>
          <w:tcPr>
            <w:tcW w:w="704" w:type="dxa"/>
          </w:tcPr>
          <w:p w14:paraId="2ACE0A5D"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99</w:t>
            </w:r>
          </w:p>
        </w:tc>
        <w:tc>
          <w:tcPr>
            <w:tcW w:w="1528" w:type="dxa"/>
          </w:tcPr>
          <w:p w14:paraId="3D7069D4"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Patak’s</w:t>
            </w:r>
          </w:p>
        </w:tc>
        <w:tc>
          <w:tcPr>
            <w:tcW w:w="740" w:type="dxa"/>
          </w:tcPr>
          <w:p w14:paraId="1C98ADE7"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2022</w:t>
            </w:r>
          </w:p>
        </w:tc>
        <w:tc>
          <w:tcPr>
            <w:tcW w:w="1319" w:type="dxa"/>
          </w:tcPr>
          <w:p w14:paraId="2854402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Company Profile</w:t>
            </w:r>
          </w:p>
        </w:tc>
        <w:tc>
          <w:tcPr>
            <w:tcW w:w="1553" w:type="dxa"/>
          </w:tcPr>
          <w:p w14:paraId="432CD0DC"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Patak’s: From Family Business to Global Brand</w:t>
            </w:r>
          </w:p>
        </w:tc>
        <w:tc>
          <w:tcPr>
            <w:tcW w:w="1557" w:type="dxa"/>
          </w:tcPr>
          <w:p w14:paraId="29555B78"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Trace the growth of an Indian food brand in the UK</w:t>
            </w:r>
          </w:p>
        </w:tc>
        <w:tc>
          <w:tcPr>
            <w:tcW w:w="1505" w:type="dxa"/>
          </w:tcPr>
          <w:p w14:paraId="4AA2D260" w14:textId="77777777" w:rsidR="001655AF" w:rsidRPr="00B17BB8" w:rsidRDefault="001655AF" w:rsidP="00442151">
            <w:pPr>
              <w:rPr>
                <w:rFonts w:asciiTheme="majorHAnsi" w:hAnsiTheme="majorHAnsi" w:cstheme="majorHAnsi"/>
                <w:sz w:val="20"/>
                <w:szCs w:val="20"/>
              </w:rPr>
            </w:pPr>
            <w:r w:rsidRPr="00B17BB8">
              <w:rPr>
                <w:rFonts w:asciiTheme="majorHAnsi" w:eastAsia="Times New Roman" w:hAnsiTheme="majorHAnsi" w:cstheme="majorHAnsi"/>
                <w:sz w:val="20"/>
                <w:szCs w:val="20"/>
                <w:lang w:eastAsia="en-GB"/>
              </w:rPr>
              <w:t>Illustrates business model evolution and diaspora entrepreneurship</w:t>
            </w:r>
          </w:p>
        </w:tc>
        <w:tc>
          <w:tcPr>
            <w:tcW w:w="1550" w:type="dxa"/>
          </w:tcPr>
          <w:p w14:paraId="636D8729" w14:textId="77777777" w:rsidR="001655AF" w:rsidRPr="00B17BB8" w:rsidRDefault="001655AF" w:rsidP="00442151">
            <w:pPr>
              <w:rPr>
                <w:rFonts w:asciiTheme="majorHAnsi" w:hAnsiTheme="majorHAnsi" w:cstheme="majorHAnsi"/>
                <w:sz w:val="20"/>
                <w:szCs w:val="20"/>
              </w:rPr>
            </w:pPr>
          </w:p>
        </w:tc>
      </w:tr>
      <w:tr w:rsidR="00845447" w:rsidRPr="00B17BB8" w14:paraId="32C4C192" w14:textId="77777777" w:rsidTr="001F6B0D">
        <w:tc>
          <w:tcPr>
            <w:tcW w:w="704" w:type="dxa"/>
          </w:tcPr>
          <w:p w14:paraId="6E77E8E6" w14:textId="77777777" w:rsidR="001655AF" w:rsidRPr="00B17BB8" w:rsidRDefault="001655AF" w:rsidP="00442151">
            <w:pPr>
              <w:rPr>
                <w:rFonts w:asciiTheme="majorHAnsi" w:hAnsiTheme="majorHAnsi" w:cstheme="majorHAnsi"/>
                <w:sz w:val="20"/>
                <w:szCs w:val="20"/>
              </w:rPr>
            </w:pPr>
            <w:r w:rsidRPr="00B17BB8">
              <w:rPr>
                <w:rFonts w:asciiTheme="majorHAnsi" w:hAnsiTheme="majorHAnsi" w:cstheme="majorHAnsi"/>
                <w:sz w:val="20"/>
                <w:szCs w:val="20"/>
              </w:rPr>
              <w:t>100</w:t>
            </w:r>
          </w:p>
        </w:tc>
        <w:tc>
          <w:tcPr>
            <w:tcW w:w="1528" w:type="dxa"/>
          </w:tcPr>
          <w:p w14:paraId="092EB678" w14:textId="77777777" w:rsidR="001655AF" w:rsidRPr="00B17BB8" w:rsidRDefault="001655AF" w:rsidP="00442151">
            <w:pPr>
              <w:rPr>
                <w:rFonts w:asciiTheme="majorHAnsi" w:eastAsia="Times New Roman" w:hAnsiTheme="majorHAnsi" w:cstheme="majorHAnsi"/>
                <w:sz w:val="20"/>
                <w:szCs w:val="20"/>
                <w:lang w:eastAsia="en-GB"/>
              </w:rPr>
            </w:pPr>
            <w:r w:rsidRPr="00B17BB8">
              <w:rPr>
                <w:rFonts w:asciiTheme="majorHAnsi" w:eastAsia="Times New Roman" w:hAnsiTheme="majorHAnsi" w:cstheme="majorHAnsi"/>
                <w:sz w:val="20"/>
                <w:szCs w:val="20"/>
                <w:lang w:eastAsia="en-GB"/>
              </w:rPr>
              <w:t>Wessendorf, S.</w:t>
            </w:r>
          </w:p>
        </w:tc>
        <w:tc>
          <w:tcPr>
            <w:tcW w:w="740" w:type="dxa"/>
          </w:tcPr>
          <w:p w14:paraId="601AD742" w14:textId="77777777" w:rsidR="001655AF" w:rsidRPr="00B17BB8" w:rsidRDefault="001655AF" w:rsidP="00442151">
            <w:pPr>
              <w:rPr>
                <w:rFonts w:asciiTheme="majorHAnsi" w:eastAsia="Times New Roman" w:hAnsiTheme="majorHAnsi" w:cstheme="majorHAnsi"/>
                <w:sz w:val="20"/>
                <w:szCs w:val="20"/>
                <w:lang w:eastAsia="en-GB"/>
              </w:rPr>
            </w:pPr>
            <w:r w:rsidRPr="00B17BB8">
              <w:rPr>
                <w:rFonts w:asciiTheme="majorHAnsi" w:eastAsia="Times New Roman" w:hAnsiTheme="majorHAnsi" w:cstheme="majorHAnsi"/>
                <w:sz w:val="20"/>
                <w:szCs w:val="20"/>
                <w:lang w:eastAsia="en-GB"/>
              </w:rPr>
              <w:t>2014</w:t>
            </w:r>
          </w:p>
        </w:tc>
        <w:tc>
          <w:tcPr>
            <w:tcW w:w="1319" w:type="dxa"/>
          </w:tcPr>
          <w:p w14:paraId="00C0EBA0" w14:textId="77777777" w:rsidR="001655AF" w:rsidRPr="00B17BB8" w:rsidRDefault="001655AF" w:rsidP="00442151">
            <w:pPr>
              <w:rPr>
                <w:rFonts w:asciiTheme="majorHAnsi" w:eastAsia="Times New Roman" w:hAnsiTheme="majorHAnsi" w:cstheme="majorHAnsi"/>
                <w:sz w:val="20"/>
                <w:szCs w:val="20"/>
                <w:lang w:eastAsia="en-GB"/>
              </w:rPr>
            </w:pPr>
            <w:r w:rsidRPr="00B17BB8">
              <w:rPr>
                <w:rFonts w:asciiTheme="majorHAnsi" w:eastAsia="Times New Roman" w:hAnsiTheme="majorHAnsi" w:cstheme="majorHAnsi"/>
                <w:sz w:val="20"/>
                <w:szCs w:val="20"/>
                <w:lang w:eastAsia="en-GB"/>
              </w:rPr>
              <w:t>Book</w:t>
            </w:r>
          </w:p>
        </w:tc>
        <w:tc>
          <w:tcPr>
            <w:tcW w:w="1553" w:type="dxa"/>
          </w:tcPr>
          <w:p w14:paraId="041C1B24" w14:textId="77777777" w:rsidR="001655AF" w:rsidRPr="00B17BB8" w:rsidRDefault="001655AF" w:rsidP="00442151">
            <w:pPr>
              <w:rPr>
                <w:rFonts w:asciiTheme="majorHAnsi" w:eastAsia="Times New Roman" w:hAnsiTheme="majorHAnsi" w:cstheme="majorHAnsi"/>
                <w:sz w:val="20"/>
                <w:szCs w:val="20"/>
                <w:lang w:eastAsia="en-GB"/>
              </w:rPr>
            </w:pPr>
            <w:r w:rsidRPr="00B17BB8">
              <w:rPr>
                <w:rFonts w:asciiTheme="majorHAnsi" w:eastAsia="Times New Roman" w:hAnsiTheme="majorHAnsi" w:cstheme="majorHAnsi"/>
                <w:sz w:val="20"/>
                <w:szCs w:val="20"/>
                <w:lang w:eastAsia="en-GB"/>
              </w:rPr>
              <w:t>Commonplace Diversity: Social Relations in a Super-Diverse Context</w:t>
            </w:r>
          </w:p>
        </w:tc>
        <w:tc>
          <w:tcPr>
            <w:tcW w:w="1557" w:type="dxa"/>
          </w:tcPr>
          <w:p w14:paraId="4549E887" w14:textId="77777777" w:rsidR="001655AF" w:rsidRPr="00B17BB8" w:rsidRDefault="001655AF" w:rsidP="00442151">
            <w:pPr>
              <w:rPr>
                <w:rFonts w:asciiTheme="majorHAnsi" w:eastAsia="Times New Roman" w:hAnsiTheme="majorHAnsi" w:cstheme="majorHAnsi"/>
                <w:sz w:val="20"/>
                <w:szCs w:val="20"/>
                <w:lang w:eastAsia="en-GB"/>
              </w:rPr>
            </w:pPr>
            <w:r w:rsidRPr="00B17BB8">
              <w:rPr>
                <w:rFonts w:asciiTheme="majorHAnsi" w:eastAsia="Times New Roman" w:hAnsiTheme="majorHAnsi" w:cstheme="majorHAnsi"/>
                <w:sz w:val="20"/>
                <w:szCs w:val="20"/>
                <w:lang w:eastAsia="en-GB"/>
              </w:rPr>
              <w:t>Examine everyday interactions in super-diverse urban environments like East London</w:t>
            </w:r>
          </w:p>
        </w:tc>
        <w:tc>
          <w:tcPr>
            <w:tcW w:w="1505" w:type="dxa"/>
          </w:tcPr>
          <w:p w14:paraId="3F6A6E13" w14:textId="77777777" w:rsidR="001655AF" w:rsidRPr="00B17BB8" w:rsidRDefault="001655AF" w:rsidP="00442151">
            <w:pPr>
              <w:rPr>
                <w:rFonts w:asciiTheme="majorHAnsi" w:eastAsia="Times New Roman" w:hAnsiTheme="majorHAnsi" w:cstheme="majorHAnsi"/>
                <w:sz w:val="20"/>
                <w:szCs w:val="20"/>
                <w:lang w:eastAsia="en-GB"/>
              </w:rPr>
            </w:pPr>
            <w:r w:rsidRPr="00B17BB8">
              <w:rPr>
                <w:rFonts w:asciiTheme="majorHAnsi" w:eastAsia="Times New Roman" w:hAnsiTheme="majorHAnsi" w:cstheme="majorHAnsi"/>
                <w:sz w:val="20"/>
                <w:szCs w:val="20"/>
                <w:lang w:eastAsia="en-GB"/>
              </w:rPr>
              <w:t>Provides context for normalization of migrant businesses and diversity in London</w:t>
            </w:r>
          </w:p>
        </w:tc>
        <w:tc>
          <w:tcPr>
            <w:tcW w:w="1550" w:type="dxa"/>
          </w:tcPr>
          <w:p w14:paraId="710DA01F" w14:textId="77777777" w:rsidR="001655AF" w:rsidRPr="00B17BB8" w:rsidRDefault="001655AF" w:rsidP="00442151">
            <w:pPr>
              <w:rPr>
                <w:rFonts w:asciiTheme="majorHAnsi" w:eastAsia="Times New Roman" w:hAnsiTheme="majorHAnsi" w:cstheme="majorHAnsi"/>
                <w:sz w:val="20"/>
                <w:szCs w:val="20"/>
                <w:lang w:eastAsia="en-GB"/>
              </w:rPr>
            </w:pPr>
            <w:r w:rsidRPr="00B17BB8">
              <w:rPr>
                <w:rFonts w:asciiTheme="majorHAnsi" w:eastAsia="Times New Roman" w:hAnsiTheme="majorHAnsi" w:cstheme="majorHAnsi"/>
                <w:sz w:val="20"/>
                <w:szCs w:val="20"/>
                <w:lang w:eastAsia="en-GB"/>
              </w:rPr>
              <w:t>Diversity, social relations, London</w:t>
            </w:r>
          </w:p>
        </w:tc>
      </w:tr>
    </w:tbl>
    <w:p w14:paraId="1554958B" w14:textId="77777777" w:rsidR="001655AF" w:rsidRPr="00B17BB8" w:rsidRDefault="001655AF" w:rsidP="001655AF">
      <w:pPr>
        <w:rPr>
          <w:rFonts w:asciiTheme="majorHAnsi" w:hAnsiTheme="majorHAnsi" w:cstheme="majorHAnsi"/>
          <w:lang w:val="en-US"/>
        </w:rPr>
      </w:pPr>
    </w:p>
    <w:p w14:paraId="6EFCE1CF" w14:textId="77777777" w:rsidR="00901E3B" w:rsidRPr="00B17BB8" w:rsidRDefault="00901E3B" w:rsidP="00901E3B">
      <w:pPr>
        <w:rPr>
          <w:rFonts w:asciiTheme="majorHAnsi" w:hAnsiTheme="majorHAnsi" w:cstheme="majorHAnsi"/>
        </w:rPr>
      </w:pPr>
    </w:p>
    <w:p w14:paraId="766FC625" w14:textId="77777777" w:rsidR="00901E3B" w:rsidRPr="00B17BB8" w:rsidRDefault="00901E3B" w:rsidP="00901E3B">
      <w:pPr>
        <w:rPr>
          <w:rFonts w:asciiTheme="majorHAnsi" w:hAnsiTheme="majorHAnsi" w:cstheme="majorHAnsi"/>
        </w:rPr>
      </w:pPr>
    </w:p>
    <w:p w14:paraId="1C0AB20E" w14:textId="1ABB7BCF" w:rsidR="00E855B3" w:rsidRPr="00B17BB8" w:rsidRDefault="00E855B3" w:rsidP="00E855B3">
      <w:pPr>
        <w:rPr>
          <w:rFonts w:asciiTheme="majorHAnsi" w:hAnsiTheme="majorHAnsi" w:cstheme="majorHAnsi"/>
          <w:lang w:val="en-US"/>
        </w:rPr>
      </w:pPr>
    </w:p>
    <w:p w14:paraId="25896A13" w14:textId="23B72562" w:rsidR="004E4123" w:rsidRPr="00B17BB8" w:rsidRDefault="004E4123" w:rsidP="00E855B3">
      <w:pPr>
        <w:rPr>
          <w:rFonts w:asciiTheme="majorHAnsi" w:hAnsiTheme="majorHAnsi" w:cstheme="majorHAnsi"/>
          <w:lang w:val="en-US"/>
        </w:rPr>
      </w:pPr>
    </w:p>
    <w:p w14:paraId="4421E935" w14:textId="63FC7077" w:rsidR="004E4123" w:rsidRPr="00B17BB8" w:rsidRDefault="004E4123" w:rsidP="00E855B3">
      <w:pPr>
        <w:rPr>
          <w:rFonts w:asciiTheme="majorHAnsi" w:hAnsiTheme="majorHAnsi" w:cstheme="majorHAnsi"/>
          <w:lang w:val="en-US"/>
        </w:rPr>
      </w:pPr>
    </w:p>
    <w:p w14:paraId="667379BE" w14:textId="7712592B" w:rsidR="004E4123" w:rsidRPr="00B17BB8" w:rsidRDefault="004E4123" w:rsidP="00E855B3">
      <w:pPr>
        <w:rPr>
          <w:rFonts w:asciiTheme="majorHAnsi" w:hAnsiTheme="majorHAnsi" w:cstheme="majorHAnsi"/>
          <w:lang w:val="en-US"/>
        </w:rPr>
      </w:pPr>
    </w:p>
    <w:p w14:paraId="15F3BD16" w14:textId="42A9AF36" w:rsidR="004E4123" w:rsidRPr="00B17BB8" w:rsidRDefault="004E4123" w:rsidP="00E855B3">
      <w:pPr>
        <w:rPr>
          <w:rFonts w:asciiTheme="majorHAnsi" w:hAnsiTheme="majorHAnsi" w:cstheme="majorHAnsi"/>
          <w:lang w:val="en-US"/>
        </w:rPr>
      </w:pPr>
    </w:p>
    <w:p w14:paraId="02B389A1" w14:textId="3CB3A541" w:rsidR="004E4123" w:rsidRPr="00B17BB8" w:rsidRDefault="004E4123" w:rsidP="00E855B3">
      <w:pPr>
        <w:rPr>
          <w:rFonts w:asciiTheme="majorHAnsi" w:hAnsiTheme="majorHAnsi" w:cstheme="majorHAnsi"/>
          <w:lang w:val="en-US"/>
        </w:rPr>
      </w:pPr>
    </w:p>
    <w:p w14:paraId="2219F49E" w14:textId="171A3D16" w:rsidR="004E4123" w:rsidRDefault="004E4123" w:rsidP="004E4123">
      <w:pPr>
        <w:pStyle w:val="Title"/>
        <w:rPr>
          <w:rFonts w:ascii="Arial Black" w:eastAsia="MS Mincho" w:hAnsi="Arial Black"/>
          <w:b/>
          <w:bCs/>
          <w:u w:val="single"/>
          <w:lang w:val="en-US"/>
        </w:rPr>
      </w:pPr>
      <w:r w:rsidRPr="00C559EE">
        <w:rPr>
          <w:rFonts w:ascii="Arial Black" w:eastAsia="MS Mincho" w:hAnsi="Arial Black"/>
          <w:b/>
          <w:bCs/>
          <w:u w:val="single"/>
          <w:lang w:val="en-US"/>
        </w:rPr>
        <w:lastRenderedPageBreak/>
        <w:t xml:space="preserve">Part </w:t>
      </w:r>
      <w:r>
        <w:rPr>
          <w:rFonts w:ascii="Arial Black" w:eastAsia="MS Mincho" w:hAnsi="Arial Black"/>
          <w:b/>
          <w:bCs/>
          <w:u w:val="single"/>
          <w:lang w:val="en-US"/>
        </w:rPr>
        <w:t>3</w:t>
      </w:r>
    </w:p>
    <w:p w14:paraId="5FDDF2CB" w14:textId="29AF5578" w:rsidR="004E4123" w:rsidRPr="004E4123" w:rsidRDefault="004E4123" w:rsidP="004E4123">
      <w:pPr>
        <w:pStyle w:val="Heading1"/>
        <w:rPr>
          <w:b/>
          <w:bCs/>
          <w:lang w:val="en-US"/>
        </w:rPr>
      </w:pPr>
      <w:r w:rsidRPr="004E4123">
        <w:rPr>
          <w:b/>
          <w:bCs/>
          <w:lang w:val="en-US"/>
        </w:rPr>
        <w:t>Introduction</w:t>
      </w:r>
    </w:p>
    <w:p w14:paraId="286CF55D" w14:textId="77777777" w:rsidR="004E4123" w:rsidRPr="00845447" w:rsidRDefault="004E4123" w:rsidP="004E4123">
      <w:pPr>
        <w:rPr>
          <w:rFonts w:asciiTheme="majorHAnsi" w:hAnsiTheme="majorHAnsi" w:cstheme="majorHAnsi"/>
          <w:sz w:val="24"/>
          <w:szCs w:val="24"/>
          <w:lang w:val="en-US"/>
        </w:rPr>
      </w:pPr>
      <w:r w:rsidRPr="00845447">
        <w:rPr>
          <w:rFonts w:asciiTheme="majorHAnsi" w:hAnsiTheme="majorHAnsi" w:cstheme="majorHAnsi"/>
          <w:sz w:val="24"/>
          <w:szCs w:val="24"/>
          <w:lang w:val="en-US"/>
        </w:rPr>
        <w:t xml:space="preserve">Indian cuisine has become an integral part of Britain’s multicultural identity, particularly in London, where migrant entrepreneurs have shaped the city’s food industry since the 1960s (British Online Archives, 2022). From the establishment of the </w:t>
      </w:r>
      <w:proofErr w:type="spellStart"/>
      <w:r w:rsidRPr="00845447">
        <w:rPr>
          <w:rFonts w:asciiTheme="majorHAnsi" w:hAnsiTheme="majorHAnsi" w:cstheme="majorHAnsi"/>
          <w:sz w:val="24"/>
          <w:szCs w:val="24"/>
          <w:lang w:val="en-US"/>
        </w:rPr>
        <w:t>Hindoostane</w:t>
      </w:r>
      <w:proofErr w:type="spellEnd"/>
      <w:r w:rsidRPr="00845447">
        <w:rPr>
          <w:rFonts w:asciiTheme="majorHAnsi" w:hAnsiTheme="majorHAnsi" w:cstheme="majorHAnsi"/>
          <w:sz w:val="24"/>
          <w:szCs w:val="24"/>
          <w:lang w:val="en-US"/>
        </w:rPr>
        <w:t xml:space="preserve"> Coffee House to the emergence of contemporary fusion restaurants and family-run businesses, Indian food enterprises have played a significant role in economic development, job creation, and cultural exchange (</w:t>
      </w:r>
      <w:proofErr w:type="spellStart"/>
      <w:r w:rsidRPr="00845447">
        <w:rPr>
          <w:rFonts w:asciiTheme="majorHAnsi" w:hAnsiTheme="majorHAnsi" w:cstheme="majorHAnsi"/>
          <w:sz w:val="24"/>
          <w:szCs w:val="24"/>
          <w:lang w:val="en-US"/>
        </w:rPr>
        <w:t>Remitly</w:t>
      </w:r>
      <w:proofErr w:type="spellEnd"/>
      <w:r w:rsidRPr="00845447">
        <w:rPr>
          <w:rFonts w:asciiTheme="majorHAnsi" w:hAnsiTheme="majorHAnsi" w:cstheme="majorHAnsi"/>
          <w:sz w:val="24"/>
          <w:szCs w:val="24"/>
          <w:lang w:val="en-US"/>
        </w:rPr>
        <w:t xml:space="preserve"> Blog, 2025; Grant Thornton UK, 2022).</w:t>
      </w:r>
    </w:p>
    <w:p w14:paraId="78C000A3" w14:textId="62ED7D99" w:rsidR="004E4123" w:rsidRDefault="004E4123" w:rsidP="004E4123">
      <w:pPr>
        <w:rPr>
          <w:rFonts w:asciiTheme="majorHAnsi" w:hAnsiTheme="majorHAnsi" w:cstheme="majorHAnsi"/>
          <w:sz w:val="24"/>
          <w:szCs w:val="24"/>
          <w:lang w:val="en-US"/>
        </w:rPr>
      </w:pPr>
      <w:r w:rsidRPr="00845447">
        <w:rPr>
          <w:rFonts w:asciiTheme="majorHAnsi" w:hAnsiTheme="majorHAnsi" w:cstheme="majorHAnsi"/>
          <w:sz w:val="24"/>
          <w:szCs w:val="24"/>
          <w:lang w:val="en-US"/>
        </w:rPr>
        <w:t>Despite their success, Indian migrant entrepreneurs encounter multiple challenges. These include navigating strict regulations, overcoming labor shortages, dealing with financial barriers, adapting socially and culturally, and innovating business models to remain competitive (Thompson, 2017; DELI Project Researchers, 2020; Enterprise Research Centre, 2018; Grant Thornton UK, 2022). This review examines existing literature and data, critically evaluates foundational concepts, and pinpoints areas requiring further research. It concludes by proposing research questions to shape future studies in this field.</w:t>
      </w:r>
    </w:p>
    <w:p w14:paraId="4BF84853" w14:textId="0C99194F" w:rsidR="00D254FB" w:rsidRDefault="001F6B0D" w:rsidP="00D254FB">
      <w:pPr>
        <w:pStyle w:val="Heading1"/>
        <w:rPr>
          <w:b/>
          <w:bCs/>
          <w:lang w:val="en-US"/>
        </w:rPr>
      </w:pPr>
      <w:r>
        <w:rPr>
          <w:b/>
          <w:bCs/>
          <w:lang w:val="en-US"/>
        </w:rPr>
        <w:t>3.1</w:t>
      </w:r>
      <w:r w:rsidR="00D254FB" w:rsidRPr="00D254FB">
        <w:rPr>
          <w:b/>
          <w:bCs/>
          <w:lang w:val="en-US"/>
        </w:rPr>
        <w:t>. Overview of Migrant Entrepreneurship and the Indian Food Sector</w:t>
      </w:r>
    </w:p>
    <w:p w14:paraId="02278EFC" w14:textId="29AA9874" w:rsidR="00D254FB" w:rsidRDefault="001F6B0D" w:rsidP="00D254FB">
      <w:pPr>
        <w:pStyle w:val="Heading2"/>
        <w:rPr>
          <w:lang w:val="en-US"/>
        </w:rPr>
      </w:pPr>
      <w:r>
        <w:rPr>
          <w:b/>
          <w:bCs/>
          <w:lang w:val="en-US"/>
        </w:rPr>
        <w:t>3.</w:t>
      </w:r>
      <w:r w:rsidR="00D254FB" w:rsidRPr="008D4738">
        <w:rPr>
          <w:b/>
          <w:bCs/>
          <w:lang w:val="en-US"/>
        </w:rPr>
        <w:t>1.1</w:t>
      </w:r>
      <w:r w:rsidR="00D254FB" w:rsidRPr="00D254FB">
        <w:rPr>
          <w:lang w:val="en-US"/>
        </w:rPr>
        <w:t xml:space="preserve"> </w:t>
      </w:r>
      <w:r w:rsidR="00D254FB" w:rsidRPr="00B17BB8">
        <w:rPr>
          <w:b/>
          <w:bCs/>
          <w:lang w:val="en-US"/>
        </w:rPr>
        <w:t>Historical Development and Importance of the Sector</w:t>
      </w:r>
    </w:p>
    <w:p w14:paraId="2BD7E203" w14:textId="77777777" w:rsidR="00D254FB" w:rsidRPr="00D254FB" w:rsidRDefault="00D254FB" w:rsidP="00D254FB">
      <w:pPr>
        <w:rPr>
          <w:rFonts w:asciiTheme="majorHAnsi" w:hAnsiTheme="majorHAnsi" w:cstheme="majorHAnsi"/>
          <w:sz w:val="24"/>
          <w:szCs w:val="24"/>
          <w:lang w:val="en-US"/>
        </w:rPr>
      </w:pPr>
      <w:r w:rsidRPr="00D254FB">
        <w:rPr>
          <w:rFonts w:asciiTheme="majorHAnsi" w:hAnsiTheme="majorHAnsi" w:cstheme="majorHAnsi"/>
          <w:sz w:val="24"/>
          <w:szCs w:val="24"/>
          <w:lang w:val="en-US"/>
        </w:rPr>
        <w:t xml:space="preserve">The acceptance and integration of Indian cuisine into British society reflect both culinary evolution and societal transformation. Since the 1960s, Indian restaurants have transitioned from serving a niche elite audience to becoming a widespread fixture on British high streets, mirroring changing societal attitudes toward multiculturalism and evolving British dining preferences (British Online Archives, 2022; </w:t>
      </w:r>
      <w:proofErr w:type="spellStart"/>
      <w:r w:rsidRPr="00D254FB">
        <w:rPr>
          <w:rFonts w:asciiTheme="majorHAnsi" w:hAnsiTheme="majorHAnsi" w:cstheme="majorHAnsi"/>
          <w:sz w:val="24"/>
          <w:szCs w:val="24"/>
          <w:lang w:val="en-US"/>
        </w:rPr>
        <w:t>Remitly</w:t>
      </w:r>
      <w:proofErr w:type="spellEnd"/>
      <w:r w:rsidRPr="00D254FB">
        <w:rPr>
          <w:rFonts w:asciiTheme="majorHAnsi" w:hAnsiTheme="majorHAnsi" w:cstheme="majorHAnsi"/>
          <w:sz w:val="24"/>
          <w:szCs w:val="24"/>
          <w:lang w:val="en-US"/>
        </w:rPr>
        <w:t xml:space="preserve"> Blog, 2025).</w:t>
      </w:r>
    </w:p>
    <w:p w14:paraId="1108A700" w14:textId="0129D00D" w:rsidR="00D254FB" w:rsidRDefault="00D254FB" w:rsidP="00D254FB">
      <w:pPr>
        <w:rPr>
          <w:rFonts w:asciiTheme="majorHAnsi" w:hAnsiTheme="majorHAnsi" w:cstheme="majorHAnsi"/>
          <w:sz w:val="24"/>
          <w:szCs w:val="24"/>
          <w:lang w:val="en-US"/>
        </w:rPr>
      </w:pPr>
      <w:r w:rsidRPr="00D254FB">
        <w:rPr>
          <w:rFonts w:asciiTheme="majorHAnsi" w:hAnsiTheme="majorHAnsi" w:cstheme="majorHAnsi"/>
          <w:sz w:val="24"/>
          <w:szCs w:val="24"/>
          <w:lang w:val="en-US"/>
        </w:rPr>
        <w:t xml:space="preserve">London, as the most culturally diverse city in the UK, has led this shift, with Indian food establishments playing a vital role in revitalizing urban spaces, boosting local economies, and normalizing cross-cultural interactions (Vaughan, 2015; Wessendorf, 2022). Entrepreneurs within this sector have introduced unique culinary experiences while fostering job creation, investment opportunities, and economic growth (Grant Thornton UK, 2022; The Entrepreneurs Network, 2023). Businesses in this industry vary from small family-operated takeaways to innovative restaurant chains such as </w:t>
      </w:r>
      <w:proofErr w:type="spellStart"/>
      <w:r w:rsidRPr="00D254FB">
        <w:rPr>
          <w:rFonts w:asciiTheme="majorHAnsi" w:hAnsiTheme="majorHAnsi" w:cstheme="majorHAnsi"/>
          <w:sz w:val="24"/>
          <w:szCs w:val="24"/>
          <w:lang w:val="en-US"/>
        </w:rPr>
        <w:t>Wrapchic</w:t>
      </w:r>
      <w:proofErr w:type="spellEnd"/>
      <w:r w:rsidRPr="00D254FB">
        <w:rPr>
          <w:rFonts w:asciiTheme="majorHAnsi" w:hAnsiTheme="majorHAnsi" w:cstheme="majorHAnsi"/>
          <w:sz w:val="24"/>
          <w:szCs w:val="24"/>
          <w:lang w:val="en-US"/>
        </w:rPr>
        <w:t>, which combine traditional flavors with modern business strategies (Mahesh Raikar, 2022; Grant Thornton UK, 2022).</w:t>
      </w:r>
    </w:p>
    <w:p w14:paraId="3C1F2A23" w14:textId="0042D287" w:rsidR="00D254FB" w:rsidRPr="00B17BB8" w:rsidRDefault="00C47D8B" w:rsidP="00C47D8B">
      <w:pPr>
        <w:pStyle w:val="Heading2"/>
        <w:rPr>
          <w:b/>
          <w:bCs/>
          <w:lang w:val="en-US"/>
        </w:rPr>
      </w:pPr>
      <w:r>
        <w:rPr>
          <w:b/>
          <w:bCs/>
          <w:lang w:val="en-US"/>
        </w:rPr>
        <w:t xml:space="preserve">3.1.2 </w:t>
      </w:r>
      <w:r w:rsidR="00D254FB" w:rsidRPr="00B17BB8">
        <w:rPr>
          <w:b/>
          <w:bCs/>
          <w:lang w:val="en-US"/>
        </w:rPr>
        <w:t>Foundational Theories in Migrant Entrepreneurship</w:t>
      </w:r>
    </w:p>
    <w:p w14:paraId="6F3AF764" w14:textId="77777777" w:rsidR="00D254FB" w:rsidRPr="008D4738" w:rsidRDefault="00D254FB" w:rsidP="00D254FB">
      <w:pPr>
        <w:rPr>
          <w:rFonts w:asciiTheme="majorHAnsi" w:hAnsiTheme="majorHAnsi" w:cstheme="majorHAnsi"/>
          <w:lang w:val="en-US"/>
        </w:rPr>
      </w:pPr>
      <w:r w:rsidRPr="008D4738">
        <w:rPr>
          <w:rFonts w:asciiTheme="majorHAnsi" w:hAnsiTheme="majorHAnsi" w:cstheme="majorHAnsi"/>
          <w:lang w:val="en-US"/>
        </w:rPr>
        <w:t>Migrant entrepreneurship is a cross-disciplinary area, drawing on insights from sociology, economics, urban studies, and management. Several theoretical frameworks help explain the experiences of Indian food entrepreneurs in London:</w:t>
      </w:r>
    </w:p>
    <w:p w14:paraId="3FFE313C" w14:textId="77777777" w:rsidR="00FF537D" w:rsidRPr="008D4738" w:rsidRDefault="00D254FB" w:rsidP="00FF537D">
      <w:pPr>
        <w:pStyle w:val="ListParagraph"/>
        <w:numPr>
          <w:ilvl w:val="0"/>
          <w:numId w:val="25"/>
        </w:numPr>
        <w:rPr>
          <w:rFonts w:asciiTheme="majorHAnsi" w:hAnsiTheme="majorHAnsi" w:cstheme="majorHAnsi"/>
          <w:b/>
          <w:bCs/>
          <w:sz w:val="24"/>
          <w:szCs w:val="24"/>
        </w:rPr>
      </w:pPr>
      <w:r w:rsidRPr="008D4738">
        <w:rPr>
          <w:rFonts w:asciiTheme="majorHAnsi" w:hAnsiTheme="majorHAnsi" w:cstheme="majorHAnsi"/>
          <w:b/>
          <w:bCs/>
          <w:sz w:val="24"/>
          <w:szCs w:val="24"/>
        </w:rPr>
        <w:t xml:space="preserve">Mixed Embeddedness Theory: </w:t>
      </w:r>
      <w:r w:rsidRPr="008D4738">
        <w:rPr>
          <w:rFonts w:asciiTheme="majorHAnsi" w:hAnsiTheme="majorHAnsi" w:cstheme="majorHAnsi"/>
          <w:sz w:val="24"/>
          <w:szCs w:val="24"/>
        </w:rPr>
        <w:t>This model suggests that migrant entrepreneurs operate within both economic opportunity structures and the socio-cultural and regulatory frameworks of the host country and their ethnic communities (Kloosterman &amp; Rath, 2018; Ram, Theodorakopoulos &amp; Jones, 2008). It highlights how external regulations and internal community networks influence business success.</w:t>
      </w:r>
    </w:p>
    <w:p w14:paraId="0BF0CE00" w14:textId="77777777" w:rsidR="00FF537D" w:rsidRPr="008D4738" w:rsidRDefault="00D254FB" w:rsidP="00FF537D">
      <w:pPr>
        <w:pStyle w:val="ListParagraph"/>
        <w:numPr>
          <w:ilvl w:val="0"/>
          <w:numId w:val="25"/>
        </w:numPr>
        <w:rPr>
          <w:rFonts w:asciiTheme="majorHAnsi" w:hAnsiTheme="majorHAnsi" w:cstheme="majorHAnsi"/>
          <w:sz w:val="24"/>
          <w:szCs w:val="24"/>
        </w:rPr>
      </w:pPr>
      <w:r w:rsidRPr="008D4738">
        <w:rPr>
          <w:rFonts w:asciiTheme="majorHAnsi" w:hAnsiTheme="majorHAnsi" w:cstheme="majorHAnsi"/>
          <w:b/>
          <w:bCs/>
          <w:sz w:val="24"/>
          <w:szCs w:val="24"/>
        </w:rPr>
        <w:t xml:space="preserve">Social Capital Theory: </w:t>
      </w:r>
      <w:r w:rsidRPr="008D4738">
        <w:rPr>
          <w:rFonts w:asciiTheme="majorHAnsi" w:hAnsiTheme="majorHAnsi" w:cstheme="majorHAnsi"/>
          <w:sz w:val="24"/>
          <w:szCs w:val="24"/>
        </w:rPr>
        <w:t>Focuses on how relationships, trust, and communal networks benefit ethnic minority entrepreneurs, especially when mainstream institutional support is limited (Barrett, McEvoy &amp; Jones, 1996).</w:t>
      </w:r>
    </w:p>
    <w:p w14:paraId="0F4122CA" w14:textId="77777777" w:rsidR="00FF537D" w:rsidRPr="008D4738" w:rsidRDefault="00D254FB" w:rsidP="00FF537D">
      <w:pPr>
        <w:pStyle w:val="ListParagraph"/>
        <w:numPr>
          <w:ilvl w:val="0"/>
          <w:numId w:val="25"/>
        </w:numPr>
        <w:rPr>
          <w:rFonts w:asciiTheme="majorHAnsi" w:hAnsiTheme="majorHAnsi" w:cstheme="majorHAnsi"/>
          <w:sz w:val="24"/>
          <w:szCs w:val="24"/>
        </w:rPr>
      </w:pPr>
      <w:r w:rsidRPr="008D4738">
        <w:rPr>
          <w:rFonts w:asciiTheme="majorHAnsi" w:hAnsiTheme="majorHAnsi" w:cstheme="majorHAnsi"/>
          <w:b/>
          <w:bCs/>
          <w:sz w:val="24"/>
          <w:szCs w:val="24"/>
        </w:rPr>
        <w:t xml:space="preserve">Transnational Entrepreneurship: </w:t>
      </w:r>
      <w:r w:rsidRPr="008D4738">
        <w:rPr>
          <w:rFonts w:asciiTheme="majorHAnsi" w:hAnsiTheme="majorHAnsi" w:cstheme="majorHAnsi"/>
          <w:sz w:val="24"/>
          <w:szCs w:val="24"/>
        </w:rPr>
        <w:t>Examines how entrepreneurs utilize cross-border connections—including knowledge exchange, supply chain management, and cultural ties—to sustain and grow their businesses (</w:t>
      </w:r>
      <w:proofErr w:type="spellStart"/>
      <w:r w:rsidRPr="008D4738">
        <w:rPr>
          <w:rFonts w:asciiTheme="majorHAnsi" w:hAnsiTheme="majorHAnsi" w:cstheme="majorHAnsi"/>
          <w:sz w:val="24"/>
          <w:szCs w:val="24"/>
        </w:rPr>
        <w:t>Basu</w:t>
      </w:r>
      <w:proofErr w:type="spellEnd"/>
      <w:r w:rsidRPr="008D4738">
        <w:rPr>
          <w:rFonts w:asciiTheme="majorHAnsi" w:hAnsiTheme="majorHAnsi" w:cstheme="majorHAnsi"/>
          <w:sz w:val="24"/>
          <w:szCs w:val="24"/>
        </w:rPr>
        <w:t>, 2015; Jones, Ram &amp; Theodorakopoulos, 2010).</w:t>
      </w:r>
    </w:p>
    <w:p w14:paraId="20020018" w14:textId="2DA4CA8E" w:rsidR="00D254FB" w:rsidRPr="008D4738" w:rsidRDefault="00D254FB" w:rsidP="00FF537D">
      <w:pPr>
        <w:pStyle w:val="ListParagraph"/>
        <w:numPr>
          <w:ilvl w:val="0"/>
          <w:numId w:val="25"/>
        </w:numPr>
        <w:rPr>
          <w:rFonts w:asciiTheme="majorHAnsi" w:hAnsiTheme="majorHAnsi" w:cstheme="majorHAnsi"/>
          <w:sz w:val="24"/>
          <w:szCs w:val="24"/>
        </w:rPr>
      </w:pPr>
      <w:r w:rsidRPr="008D4738">
        <w:rPr>
          <w:rFonts w:asciiTheme="majorHAnsi" w:hAnsiTheme="majorHAnsi" w:cstheme="majorHAnsi"/>
          <w:b/>
          <w:bCs/>
          <w:sz w:val="24"/>
          <w:szCs w:val="24"/>
        </w:rPr>
        <w:lastRenderedPageBreak/>
        <w:t xml:space="preserve">Business Model Innovation: </w:t>
      </w:r>
      <w:r w:rsidRPr="008D4738">
        <w:rPr>
          <w:rFonts w:asciiTheme="majorHAnsi" w:hAnsiTheme="majorHAnsi" w:cstheme="majorHAnsi"/>
          <w:sz w:val="24"/>
          <w:szCs w:val="24"/>
        </w:rPr>
        <w:t xml:space="preserve">Explores how entrepreneurs modify business strategies to overcome market and institutional obstacles, employing techniques such as SWOT/PESTEL analysis and scenario planning (Massa &amp; Tucci, 2021; Spieth, </w:t>
      </w:r>
      <w:proofErr w:type="spellStart"/>
      <w:r w:rsidRPr="008D4738">
        <w:rPr>
          <w:rFonts w:asciiTheme="majorHAnsi" w:hAnsiTheme="majorHAnsi" w:cstheme="majorHAnsi"/>
          <w:sz w:val="24"/>
          <w:szCs w:val="24"/>
        </w:rPr>
        <w:t>Schneckenberg</w:t>
      </w:r>
      <w:proofErr w:type="spellEnd"/>
      <w:r w:rsidRPr="008D4738">
        <w:rPr>
          <w:rFonts w:asciiTheme="majorHAnsi" w:hAnsiTheme="majorHAnsi" w:cstheme="majorHAnsi"/>
          <w:sz w:val="24"/>
          <w:szCs w:val="24"/>
        </w:rPr>
        <w:t xml:space="preserve"> &amp; Ricart, 2021; Yüksel, 2</w:t>
      </w:r>
      <w:r w:rsidRPr="008D4738">
        <w:rPr>
          <w:rFonts w:asciiTheme="majorHAnsi" w:hAnsiTheme="majorHAnsi" w:cstheme="majorHAnsi"/>
          <w:sz w:val="24"/>
          <w:szCs w:val="24"/>
          <w:lang w:val="en-US"/>
        </w:rPr>
        <w:t>012).</w:t>
      </w:r>
    </w:p>
    <w:p w14:paraId="43CAFFE6" w14:textId="03E3F5C1" w:rsidR="00B17BB8" w:rsidRDefault="00C47D8B" w:rsidP="00C47D8B">
      <w:pPr>
        <w:pStyle w:val="Heading2"/>
        <w:rPr>
          <w:b/>
          <w:bCs/>
        </w:rPr>
      </w:pPr>
      <w:r>
        <w:rPr>
          <w:b/>
          <w:bCs/>
        </w:rPr>
        <w:t xml:space="preserve">3.1.3 </w:t>
      </w:r>
      <w:r w:rsidR="00B17BB8" w:rsidRPr="008D4738">
        <w:rPr>
          <w:b/>
          <w:bCs/>
        </w:rPr>
        <w:t>London’s Demographics and Policy Influence</w:t>
      </w:r>
    </w:p>
    <w:p w14:paraId="38EB554B" w14:textId="650525DF" w:rsidR="008D4738" w:rsidRDefault="008D4738" w:rsidP="008D4738">
      <w:pPr>
        <w:rPr>
          <w:rFonts w:asciiTheme="majorHAnsi" w:hAnsiTheme="majorHAnsi" w:cstheme="majorHAnsi"/>
          <w:sz w:val="24"/>
          <w:szCs w:val="24"/>
        </w:rPr>
      </w:pPr>
      <w:r w:rsidRPr="008D4738">
        <w:rPr>
          <w:rFonts w:asciiTheme="majorHAnsi" w:hAnsiTheme="majorHAnsi" w:cstheme="majorHAnsi"/>
          <w:sz w:val="24"/>
          <w:szCs w:val="24"/>
        </w:rPr>
        <w:t xml:space="preserve">London's population is characterized by superdiversity, encompassing a wide range of migrant groups with differing legal statuses, linguistic backgrounds, and entrepreneurial aspirations (Sepulveda, Syrett &amp; Lyon, 2011). Indian migrants represent a substantial portion of food sector business owners (London Datastore/ONS, 2025). However, recent economic shifts—including stricter immigration policies, rising living costs, and the relocation of migrants beyond traditional urban </w:t>
      </w:r>
      <w:proofErr w:type="spellStart"/>
      <w:r w:rsidRPr="008D4738">
        <w:rPr>
          <w:rFonts w:asciiTheme="majorHAnsi" w:hAnsiTheme="majorHAnsi" w:cstheme="majorHAnsi"/>
          <w:sz w:val="24"/>
          <w:szCs w:val="24"/>
        </w:rPr>
        <w:t>centers</w:t>
      </w:r>
      <w:proofErr w:type="spellEnd"/>
      <w:r w:rsidRPr="008D4738">
        <w:rPr>
          <w:rFonts w:asciiTheme="majorHAnsi" w:hAnsiTheme="majorHAnsi" w:cstheme="majorHAnsi"/>
          <w:sz w:val="24"/>
          <w:szCs w:val="24"/>
        </w:rPr>
        <w:t>—are reshaping the entrepreneurial landscape (Migration Observatory, 2024; Ram &amp; Jones, 2021).</w:t>
      </w:r>
    </w:p>
    <w:p w14:paraId="118AC73D" w14:textId="4CB58725" w:rsidR="008D4738" w:rsidRDefault="00C47D8B" w:rsidP="008D4738">
      <w:pPr>
        <w:pStyle w:val="Heading1"/>
        <w:rPr>
          <w:rStyle w:val="Strong"/>
        </w:rPr>
      </w:pPr>
      <w:r>
        <w:rPr>
          <w:rStyle w:val="Strong"/>
        </w:rPr>
        <w:t>3.</w:t>
      </w:r>
      <w:r w:rsidR="008D4738">
        <w:rPr>
          <w:rStyle w:val="Strong"/>
        </w:rPr>
        <w:t>2. Examination of Major Challenges Faced by Indian Food Entrepreneurs</w:t>
      </w:r>
    </w:p>
    <w:p w14:paraId="5F41FF5F" w14:textId="2709E865" w:rsidR="008D4738" w:rsidRDefault="00C47D8B" w:rsidP="008D4738">
      <w:pPr>
        <w:pStyle w:val="Heading2"/>
        <w:rPr>
          <w:b/>
          <w:bCs/>
        </w:rPr>
      </w:pPr>
      <w:r>
        <w:rPr>
          <w:b/>
          <w:bCs/>
        </w:rPr>
        <w:t>3.</w:t>
      </w:r>
      <w:r w:rsidR="008D4738" w:rsidRPr="008D4738">
        <w:rPr>
          <w:b/>
          <w:bCs/>
        </w:rPr>
        <w:t>2.1 Navigating Regulations and Institutional Barriers</w:t>
      </w:r>
    </w:p>
    <w:p w14:paraId="1E7842F6" w14:textId="77777777" w:rsidR="008D4738" w:rsidRPr="008D4738" w:rsidRDefault="008D4738" w:rsidP="008D4738">
      <w:pPr>
        <w:rPr>
          <w:rFonts w:asciiTheme="majorHAnsi" w:hAnsiTheme="majorHAnsi" w:cstheme="majorHAnsi"/>
          <w:sz w:val="24"/>
          <w:szCs w:val="24"/>
          <w:lang w:val="en-US"/>
        </w:rPr>
      </w:pPr>
      <w:r w:rsidRPr="008D4738">
        <w:rPr>
          <w:rFonts w:asciiTheme="majorHAnsi" w:hAnsiTheme="majorHAnsi" w:cstheme="majorHAnsi"/>
          <w:sz w:val="24"/>
          <w:szCs w:val="24"/>
          <w:lang w:val="en-US"/>
        </w:rPr>
        <w:t>Indian food entrepreneurs often struggle with complex and changing regulations, including licensing requirements, food safety standards, and operational compliance mandates enforced by local councils (Thompson, 2017; DELI Project Researchers, 2020; Migrant Acceleration Consortium, 2021). Borough-specific differences in licensing fees and inspection procedures create inconsistent business environments, with some areas imposing stricter requirements and higher costs (Barrett, Jones &amp; McEvoy, 2020).</w:t>
      </w:r>
    </w:p>
    <w:p w14:paraId="06ADA2F9" w14:textId="77777777" w:rsidR="008D4738" w:rsidRPr="008D4738" w:rsidRDefault="008D4738" w:rsidP="008D4738">
      <w:pPr>
        <w:rPr>
          <w:rFonts w:asciiTheme="majorHAnsi" w:hAnsiTheme="majorHAnsi" w:cstheme="majorHAnsi"/>
          <w:sz w:val="24"/>
          <w:szCs w:val="24"/>
          <w:lang w:val="en-US"/>
        </w:rPr>
      </w:pPr>
      <w:r w:rsidRPr="008D4738">
        <w:rPr>
          <w:rFonts w:asciiTheme="majorHAnsi" w:hAnsiTheme="majorHAnsi" w:cstheme="majorHAnsi"/>
          <w:sz w:val="24"/>
          <w:szCs w:val="24"/>
          <w:lang w:val="en-US"/>
        </w:rPr>
        <w:t xml:space="preserve">Immigration policies have further shaped the industry, particularly in the post-Brexit labor market. Restrictive work visa policies have reduced access to skilled and unskilled labor from overseas (Migration Observatory, 2024). The discontinuation of the </w:t>
      </w:r>
      <w:r w:rsidRPr="008D4738">
        <w:rPr>
          <w:rFonts w:asciiTheme="majorHAnsi" w:hAnsiTheme="majorHAnsi" w:cstheme="majorHAnsi"/>
          <w:b/>
          <w:bCs/>
          <w:sz w:val="24"/>
          <w:szCs w:val="24"/>
          <w:lang w:val="en-US"/>
        </w:rPr>
        <w:t>Post-Study Work Visa</w:t>
      </w:r>
      <w:r w:rsidRPr="008D4738">
        <w:rPr>
          <w:rFonts w:asciiTheme="majorHAnsi" w:hAnsiTheme="majorHAnsi" w:cstheme="majorHAnsi"/>
          <w:sz w:val="24"/>
          <w:szCs w:val="24"/>
          <w:lang w:val="en-US"/>
        </w:rPr>
        <w:t xml:space="preserve"> has significantly impacted South Asian students who traditionally filled roles within the sector (Thompson, 2017; Ram &amp; Jones, 2021).</w:t>
      </w:r>
    </w:p>
    <w:p w14:paraId="5BD00A3B" w14:textId="29EF3BCE" w:rsidR="008D4738" w:rsidRDefault="008D4738" w:rsidP="008D4738">
      <w:pPr>
        <w:rPr>
          <w:rFonts w:asciiTheme="majorHAnsi" w:hAnsiTheme="majorHAnsi" w:cstheme="majorHAnsi"/>
          <w:sz w:val="24"/>
          <w:szCs w:val="24"/>
          <w:lang w:val="en-US"/>
        </w:rPr>
      </w:pPr>
      <w:r w:rsidRPr="008D4738">
        <w:rPr>
          <w:rFonts w:asciiTheme="majorHAnsi" w:hAnsiTheme="majorHAnsi" w:cstheme="majorHAnsi"/>
          <w:sz w:val="24"/>
          <w:szCs w:val="24"/>
          <w:lang w:val="en-US"/>
        </w:rPr>
        <w:t>Additionally, knowledge gaps surrounding business regulations—especially among newly arrived migrants—can lead to compliance issues and increased vulnerability to penalties or legal enforcement (DELI Project Researchers, 2020; Migrant Acceleration Consortium, 2021).</w:t>
      </w:r>
    </w:p>
    <w:p w14:paraId="4E854FC4" w14:textId="28338491" w:rsidR="008D4738" w:rsidRPr="00C37D39" w:rsidRDefault="00C47D8B" w:rsidP="008D3F39">
      <w:pPr>
        <w:pStyle w:val="Heading2"/>
        <w:rPr>
          <w:rFonts w:cstheme="majorHAnsi"/>
          <w:b/>
          <w:bCs/>
          <w:lang w:val="en-US"/>
        </w:rPr>
      </w:pPr>
      <w:r>
        <w:rPr>
          <w:rFonts w:cstheme="majorHAnsi"/>
          <w:b/>
          <w:bCs/>
          <w:lang w:val="en-US"/>
        </w:rPr>
        <w:t>3.</w:t>
      </w:r>
      <w:r w:rsidR="008D3F39" w:rsidRPr="00C37D39">
        <w:rPr>
          <w:rFonts w:cstheme="majorHAnsi"/>
          <w:b/>
          <w:bCs/>
          <w:lang w:val="en-US"/>
        </w:rPr>
        <w:t>2.2 Market Competition and Evolving Consumer Demands</w:t>
      </w:r>
    </w:p>
    <w:p w14:paraId="52F720F5" w14:textId="77777777" w:rsidR="008D3F39" w:rsidRPr="00C37D39" w:rsidRDefault="008D3F39" w:rsidP="008D3F39">
      <w:pPr>
        <w:rPr>
          <w:rFonts w:asciiTheme="majorHAnsi" w:hAnsiTheme="majorHAnsi" w:cstheme="majorHAnsi"/>
          <w:sz w:val="24"/>
          <w:szCs w:val="24"/>
        </w:rPr>
      </w:pPr>
      <w:r w:rsidRPr="00C37D39">
        <w:rPr>
          <w:rFonts w:asciiTheme="majorHAnsi" w:hAnsiTheme="majorHAnsi" w:cstheme="majorHAnsi"/>
          <w:sz w:val="24"/>
          <w:szCs w:val="24"/>
        </w:rPr>
        <w:t xml:space="preserve">London’s Indian food sector is highly competitive, with an abundance of establishments vying for market share. The rise of fusion cuisine, increasing consumer expectations, and saturated markets have pushed entrepreneurs to differentiate themselves to maintain profitability (DELI Project Researchers, 2020; </w:t>
      </w:r>
      <w:proofErr w:type="spellStart"/>
      <w:r w:rsidRPr="00C37D39">
        <w:rPr>
          <w:rFonts w:asciiTheme="majorHAnsi" w:hAnsiTheme="majorHAnsi" w:cstheme="majorHAnsi"/>
          <w:sz w:val="24"/>
          <w:szCs w:val="24"/>
        </w:rPr>
        <w:t>Smallbone</w:t>
      </w:r>
      <w:proofErr w:type="spellEnd"/>
      <w:r w:rsidRPr="00C37D39">
        <w:rPr>
          <w:rFonts w:asciiTheme="majorHAnsi" w:hAnsiTheme="majorHAnsi" w:cstheme="majorHAnsi"/>
          <w:sz w:val="24"/>
          <w:szCs w:val="24"/>
        </w:rPr>
        <w:t>, Kitching &amp; Athayde, 2010; Grant Thornton UK, 2022).</w:t>
      </w:r>
    </w:p>
    <w:p w14:paraId="29234FBA" w14:textId="4D21EF89" w:rsidR="008D3F39" w:rsidRPr="00C37D39" w:rsidRDefault="008D3F39" w:rsidP="008D3F39">
      <w:pPr>
        <w:rPr>
          <w:rFonts w:asciiTheme="majorHAnsi" w:hAnsiTheme="majorHAnsi" w:cstheme="majorHAnsi"/>
          <w:sz w:val="24"/>
          <w:szCs w:val="24"/>
        </w:rPr>
      </w:pPr>
      <w:r w:rsidRPr="00C37D39">
        <w:rPr>
          <w:rFonts w:asciiTheme="majorHAnsi" w:hAnsiTheme="majorHAnsi" w:cstheme="majorHAnsi"/>
          <w:sz w:val="24"/>
          <w:szCs w:val="24"/>
        </w:rPr>
        <w:t xml:space="preserve">Consumer preferences continue to evolve, with growing interest in </w:t>
      </w:r>
      <w:r w:rsidRPr="00C37D39">
        <w:rPr>
          <w:rStyle w:val="Strong"/>
          <w:rFonts w:asciiTheme="majorHAnsi" w:hAnsiTheme="majorHAnsi" w:cstheme="majorHAnsi"/>
          <w:sz w:val="24"/>
          <w:szCs w:val="24"/>
        </w:rPr>
        <w:t>health-conscious menus, authenticity, and sustainability</w:t>
      </w:r>
      <w:r w:rsidRPr="00C37D39">
        <w:rPr>
          <w:rFonts w:asciiTheme="majorHAnsi" w:hAnsiTheme="majorHAnsi" w:cstheme="majorHAnsi"/>
          <w:sz w:val="24"/>
          <w:szCs w:val="24"/>
        </w:rPr>
        <w:t xml:space="preserve"> (Mintel, 2023; </w:t>
      </w:r>
      <w:proofErr w:type="spellStart"/>
      <w:r w:rsidRPr="00C37D39">
        <w:rPr>
          <w:rFonts w:asciiTheme="majorHAnsi" w:hAnsiTheme="majorHAnsi" w:cstheme="majorHAnsi"/>
          <w:sz w:val="24"/>
          <w:szCs w:val="24"/>
        </w:rPr>
        <w:t>Abdelkafi</w:t>
      </w:r>
      <w:proofErr w:type="spellEnd"/>
      <w:r w:rsidRPr="00C37D39">
        <w:rPr>
          <w:rFonts w:asciiTheme="majorHAnsi" w:hAnsiTheme="majorHAnsi" w:cstheme="majorHAnsi"/>
          <w:sz w:val="24"/>
          <w:szCs w:val="24"/>
        </w:rPr>
        <w:t xml:space="preserve"> &amp; </w:t>
      </w:r>
      <w:proofErr w:type="spellStart"/>
      <w:r w:rsidRPr="00C37D39">
        <w:rPr>
          <w:rFonts w:asciiTheme="majorHAnsi" w:hAnsiTheme="majorHAnsi" w:cstheme="majorHAnsi"/>
          <w:sz w:val="24"/>
          <w:szCs w:val="24"/>
        </w:rPr>
        <w:t>Täuscher</w:t>
      </w:r>
      <w:proofErr w:type="spellEnd"/>
      <w:r w:rsidRPr="00C37D39">
        <w:rPr>
          <w:rFonts w:asciiTheme="majorHAnsi" w:hAnsiTheme="majorHAnsi" w:cstheme="majorHAnsi"/>
          <w:sz w:val="24"/>
          <w:szCs w:val="24"/>
        </w:rPr>
        <w:t>, 2021). Additionally, the entry of non-Indian competitors offering Indian-inspired dishes has blurred the boundaries of traditional Indian cuisine, forcing entrepreneurs to strike a balance between cultural authenticity and broader market appeal (</w:t>
      </w:r>
      <w:proofErr w:type="spellStart"/>
      <w:r w:rsidRPr="00C37D39">
        <w:rPr>
          <w:rFonts w:asciiTheme="majorHAnsi" w:hAnsiTheme="majorHAnsi" w:cstheme="majorHAnsi"/>
          <w:sz w:val="24"/>
          <w:szCs w:val="24"/>
        </w:rPr>
        <w:t>Basu</w:t>
      </w:r>
      <w:proofErr w:type="spellEnd"/>
      <w:r w:rsidRPr="00C37D39">
        <w:rPr>
          <w:rFonts w:asciiTheme="majorHAnsi" w:hAnsiTheme="majorHAnsi" w:cstheme="majorHAnsi"/>
          <w:sz w:val="24"/>
          <w:szCs w:val="24"/>
        </w:rPr>
        <w:t>, 2015; Vaughan, 2015).</w:t>
      </w:r>
    </w:p>
    <w:p w14:paraId="5250167D" w14:textId="2A926407" w:rsidR="008D3F39" w:rsidRPr="00C37D39" w:rsidRDefault="00C47D8B" w:rsidP="008D3F39">
      <w:pPr>
        <w:pStyle w:val="Heading2"/>
        <w:rPr>
          <w:rFonts w:cstheme="majorHAnsi"/>
          <w:b/>
          <w:bCs/>
          <w:lang w:val="en-US"/>
        </w:rPr>
      </w:pPr>
      <w:r>
        <w:rPr>
          <w:rFonts w:cstheme="majorHAnsi"/>
          <w:b/>
          <w:bCs/>
          <w:lang w:val="en-US"/>
        </w:rPr>
        <w:t>3.</w:t>
      </w:r>
      <w:r w:rsidR="008D3F39" w:rsidRPr="00C37D39">
        <w:rPr>
          <w:rFonts w:cstheme="majorHAnsi"/>
          <w:b/>
          <w:bCs/>
          <w:lang w:val="en-US"/>
        </w:rPr>
        <w:t>2.3 Financial Barriers</w:t>
      </w:r>
    </w:p>
    <w:p w14:paraId="1CE67CB1" w14:textId="77777777" w:rsidR="008D3F39" w:rsidRPr="00B86697" w:rsidRDefault="008D3F39" w:rsidP="008D3F39">
      <w:pPr>
        <w:rPr>
          <w:rFonts w:asciiTheme="majorHAnsi" w:hAnsiTheme="majorHAnsi" w:cstheme="majorHAnsi"/>
          <w:sz w:val="24"/>
          <w:szCs w:val="24"/>
          <w:lang w:val="en-US"/>
        </w:rPr>
      </w:pPr>
      <w:r w:rsidRPr="00B86697">
        <w:rPr>
          <w:rFonts w:asciiTheme="majorHAnsi" w:hAnsiTheme="majorHAnsi" w:cstheme="majorHAnsi"/>
          <w:sz w:val="24"/>
          <w:szCs w:val="24"/>
          <w:lang w:val="en-US"/>
        </w:rPr>
        <w:t>Access to financial support remains a major obstacle for Indian food entrepreneurs. Many ethnic minority business owners depend on informal lending networks due to difficulties securing bank loans and business credit (</w:t>
      </w:r>
      <w:proofErr w:type="spellStart"/>
      <w:r w:rsidRPr="00B86697">
        <w:rPr>
          <w:rFonts w:asciiTheme="majorHAnsi" w:hAnsiTheme="majorHAnsi" w:cstheme="majorHAnsi"/>
          <w:sz w:val="24"/>
          <w:szCs w:val="24"/>
          <w:lang w:val="en-US"/>
        </w:rPr>
        <w:t>Basu</w:t>
      </w:r>
      <w:proofErr w:type="spellEnd"/>
      <w:r w:rsidRPr="00B86697">
        <w:rPr>
          <w:rFonts w:asciiTheme="majorHAnsi" w:hAnsiTheme="majorHAnsi" w:cstheme="majorHAnsi"/>
          <w:sz w:val="24"/>
          <w:szCs w:val="24"/>
          <w:lang w:val="en-US"/>
        </w:rPr>
        <w:t xml:space="preserve">, 2015; Ram &amp; Jones, 2021; Azmat, 2013). Institutional bias, lack of collateral, and perceptions of riskiness contribute to higher loan rejection rates and increased insurance costs (Grant Thornton UK, 2022; </w:t>
      </w:r>
      <w:proofErr w:type="spellStart"/>
      <w:r w:rsidRPr="00B86697">
        <w:rPr>
          <w:rFonts w:asciiTheme="majorHAnsi" w:hAnsiTheme="majorHAnsi" w:cstheme="majorHAnsi"/>
          <w:sz w:val="24"/>
          <w:szCs w:val="24"/>
          <w:lang w:val="en-US"/>
        </w:rPr>
        <w:t>Smallbone</w:t>
      </w:r>
      <w:proofErr w:type="spellEnd"/>
      <w:r w:rsidRPr="00B86697">
        <w:rPr>
          <w:rFonts w:asciiTheme="majorHAnsi" w:hAnsiTheme="majorHAnsi" w:cstheme="majorHAnsi"/>
          <w:sz w:val="24"/>
          <w:szCs w:val="24"/>
          <w:lang w:val="en-US"/>
        </w:rPr>
        <w:t xml:space="preserve"> et al., 2010).</w:t>
      </w:r>
    </w:p>
    <w:p w14:paraId="19CD6CFD" w14:textId="6EC66BC9" w:rsidR="008D3F39" w:rsidRPr="00B86697" w:rsidRDefault="008D3F39" w:rsidP="008D3F39">
      <w:pPr>
        <w:rPr>
          <w:rFonts w:asciiTheme="majorHAnsi" w:hAnsiTheme="majorHAnsi" w:cstheme="majorHAnsi"/>
          <w:sz w:val="24"/>
          <w:szCs w:val="24"/>
          <w:lang w:val="en-US"/>
        </w:rPr>
      </w:pPr>
      <w:r w:rsidRPr="00B86697">
        <w:rPr>
          <w:rFonts w:asciiTheme="majorHAnsi" w:hAnsiTheme="majorHAnsi" w:cstheme="majorHAnsi"/>
          <w:sz w:val="24"/>
          <w:szCs w:val="24"/>
          <w:lang w:val="en-US"/>
        </w:rPr>
        <w:t xml:space="preserve">Informal financing solutions can hinder business expansion, reduce investments in innovation, and increase vulnerability during economic downturns (Ram &amp; Jones, 2021; Barrett et al., 2020). The financial instability </w:t>
      </w:r>
      <w:r w:rsidRPr="00B86697">
        <w:rPr>
          <w:rFonts w:asciiTheme="majorHAnsi" w:hAnsiTheme="majorHAnsi" w:cstheme="majorHAnsi"/>
          <w:sz w:val="24"/>
          <w:szCs w:val="24"/>
          <w:lang w:val="en-US"/>
        </w:rPr>
        <w:lastRenderedPageBreak/>
        <w:t>of many migrant-owned businesses was further exposed during the COVID-19 pandemic, as many entrepreneurs were unable to access government relief programs due to legal or financial constraints (Jones, Ram &amp; Edwards, 2010).</w:t>
      </w:r>
    </w:p>
    <w:p w14:paraId="7FC111E6" w14:textId="198CB03F" w:rsidR="008D3F39" w:rsidRPr="00C37D39" w:rsidRDefault="00C47D8B" w:rsidP="008D3F39">
      <w:pPr>
        <w:pStyle w:val="Heading2"/>
        <w:rPr>
          <w:rFonts w:cstheme="majorHAnsi"/>
          <w:b/>
          <w:bCs/>
          <w:lang w:val="en-US"/>
        </w:rPr>
      </w:pPr>
      <w:r>
        <w:rPr>
          <w:rFonts w:cstheme="majorHAnsi"/>
          <w:b/>
          <w:bCs/>
          <w:lang w:val="en-US"/>
        </w:rPr>
        <w:t>3.</w:t>
      </w:r>
      <w:r w:rsidR="008D3F39" w:rsidRPr="00C37D39">
        <w:rPr>
          <w:rFonts w:cstheme="majorHAnsi"/>
          <w:b/>
          <w:bCs/>
          <w:lang w:val="en-US"/>
        </w:rPr>
        <w:t>2.4 Labor Shortages and Workforce Challenges</w:t>
      </w:r>
    </w:p>
    <w:p w14:paraId="71775FFC" w14:textId="6FE99357" w:rsidR="008D3F39" w:rsidRPr="00B86697" w:rsidRDefault="008D3F39" w:rsidP="008D3F39">
      <w:pPr>
        <w:rPr>
          <w:rFonts w:asciiTheme="majorHAnsi" w:hAnsiTheme="majorHAnsi" w:cstheme="majorHAnsi"/>
          <w:sz w:val="24"/>
          <w:szCs w:val="24"/>
        </w:rPr>
      </w:pPr>
      <w:r w:rsidRPr="00B86697">
        <w:rPr>
          <w:rFonts w:asciiTheme="majorHAnsi" w:hAnsiTheme="majorHAnsi" w:cstheme="majorHAnsi"/>
          <w:sz w:val="24"/>
          <w:szCs w:val="24"/>
        </w:rPr>
        <w:t xml:space="preserve">Finding and retaining workers has become increasingly difficult for Indian food businesses, particularly due to tightening immigration policies and competition from other industries (Migration Observatory, 2024; Home Office, 2022). Many establishments traditionally hired part-time workers from the South Asian student community, but changes in visa regulations have significantly reduced this </w:t>
      </w:r>
      <w:proofErr w:type="spellStart"/>
      <w:r w:rsidRPr="00B86697">
        <w:rPr>
          <w:rFonts w:asciiTheme="majorHAnsi" w:hAnsiTheme="majorHAnsi" w:cstheme="majorHAnsi"/>
          <w:sz w:val="24"/>
          <w:szCs w:val="24"/>
        </w:rPr>
        <w:t>labor</w:t>
      </w:r>
      <w:proofErr w:type="spellEnd"/>
      <w:r w:rsidRPr="00B86697">
        <w:rPr>
          <w:rFonts w:asciiTheme="majorHAnsi" w:hAnsiTheme="majorHAnsi" w:cstheme="majorHAnsi"/>
          <w:sz w:val="24"/>
          <w:szCs w:val="24"/>
        </w:rPr>
        <w:t xml:space="preserve"> pool (Thompson, 2017; Ram &amp; Jones, 2021). Additionally, the growth of the </w:t>
      </w:r>
      <w:r w:rsidRPr="00B86697">
        <w:rPr>
          <w:rStyle w:val="Strong"/>
          <w:rFonts w:asciiTheme="majorHAnsi" w:hAnsiTheme="majorHAnsi" w:cstheme="majorHAnsi"/>
          <w:sz w:val="24"/>
          <w:szCs w:val="24"/>
        </w:rPr>
        <w:t>gig economy</w:t>
      </w:r>
      <w:r w:rsidRPr="00B86697">
        <w:rPr>
          <w:rFonts w:asciiTheme="majorHAnsi" w:hAnsiTheme="majorHAnsi" w:cstheme="majorHAnsi"/>
          <w:sz w:val="24"/>
          <w:szCs w:val="24"/>
        </w:rPr>
        <w:t xml:space="preserve"> and higher wage expectations have made recruiting long-term employees more challenging (Mintel, 2023; Migration Observatory, 2024).</w:t>
      </w:r>
    </w:p>
    <w:p w14:paraId="594F3660" w14:textId="792EC217" w:rsidR="008D3F39" w:rsidRPr="00C37D39" w:rsidRDefault="00C47D8B" w:rsidP="008D3F39">
      <w:pPr>
        <w:pStyle w:val="Heading2"/>
        <w:rPr>
          <w:rFonts w:cstheme="majorHAnsi"/>
          <w:b/>
          <w:bCs/>
          <w:lang w:val="en-US"/>
        </w:rPr>
      </w:pPr>
      <w:r>
        <w:rPr>
          <w:rFonts w:cstheme="majorHAnsi"/>
          <w:b/>
          <w:bCs/>
          <w:lang w:val="en-US"/>
        </w:rPr>
        <w:t>3.</w:t>
      </w:r>
      <w:r w:rsidR="008D3F39" w:rsidRPr="00C37D39">
        <w:rPr>
          <w:rFonts w:cstheme="majorHAnsi"/>
          <w:b/>
          <w:bCs/>
          <w:lang w:val="en-US"/>
        </w:rPr>
        <w:t>2.5 Social and Cultural Capital</w:t>
      </w:r>
    </w:p>
    <w:p w14:paraId="6C896584" w14:textId="77777777" w:rsidR="008D3F39" w:rsidRPr="00B86697" w:rsidRDefault="008D3F39" w:rsidP="008D3F39">
      <w:pPr>
        <w:rPr>
          <w:rFonts w:asciiTheme="majorHAnsi" w:hAnsiTheme="majorHAnsi" w:cstheme="majorHAnsi"/>
          <w:sz w:val="24"/>
          <w:szCs w:val="24"/>
        </w:rPr>
      </w:pPr>
      <w:r w:rsidRPr="00B86697">
        <w:rPr>
          <w:rFonts w:asciiTheme="majorHAnsi" w:hAnsiTheme="majorHAnsi" w:cstheme="majorHAnsi"/>
          <w:sz w:val="24"/>
          <w:szCs w:val="24"/>
        </w:rPr>
        <w:t xml:space="preserve">Social networks play a crucial role in the success of Indian food entrepreneurs, offering access to suppliers, financial resources, and regulatory guidance (Barrett, McEvoy &amp; Jones, 1996; </w:t>
      </w:r>
      <w:proofErr w:type="spellStart"/>
      <w:r w:rsidRPr="00B86697">
        <w:rPr>
          <w:rFonts w:asciiTheme="majorHAnsi" w:hAnsiTheme="majorHAnsi" w:cstheme="majorHAnsi"/>
          <w:sz w:val="24"/>
          <w:szCs w:val="24"/>
        </w:rPr>
        <w:t>Basu</w:t>
      </w:r>
      <w:proofErr w:type="spellEnd"/>
      <w:r w:rsidRPr="00B86697">
        <w:rPr>
          <w:rFonts w:asciiTheme="majorHAnsi" w:hAnsiTheme="majorHAnsi" w:cstheme="majorHAnsi"/>
          <w:sz w:val="24"/>
          <w:szCs w:val="24"/>
        </w:rPr>
        <w:t>, 2015). However, excessive reliance on co-ethnic networks may limit innovation and market expansion (Ram &amp; Jones, 2021; Light &amp; Gold, 2000).</w:t>
      </w:r>
    </w:p>
    <w:p w14:paraId="34BC69A8" w14:textId="084F4F5E" w:rsidR="008D3F39" w:rsidRPr="00B86697" w:rsidRDefault="008D3F39" w:rsidP="008D3F39">
      <w:pPr>
        <w:rPr>
          <w:rFonts w:asciiTheme="majorHAnsi" w:hAnsiTheme="majorHAnsi" w:cstheme="majorHAnsi"/>
          <w:sz w:val="24"/>
          <w:szCs w:val="24"/>
        </w:rPr>
      </w:pPr>
      <w:r w:rsidRPr="00B86697">
        <w:rPr>
          <w:rFonts w:asciiTheme="majorHAnsi" w:hAnsiTheme="majorHAnsi" w:cstheme="majorHAnsi"/>
          <w:sz w:val="24"/>
          <w:szCs w:val="24"/>
        </w:rPr>
        <w:t>Transnational connections—such as sourcing ingredients from India and utilizing family-run supply chains—can create competitive advantages while also introducing additional logistical challenges (</w:t>
      </w:r>
      <w:proofErr w:type="spellStart"/>
      <w:r w:rsidRPr="00B86697">
        <w:rPr>
          <w:rFonts w:asciiTheme="majorHAnsi" w:hAnsiTheme="majorHAnsi" w:cstheme="majorHAnsi"/>
          <w:sz w:val="24"/>
          <w:szCs w:val="24"/>
        </w:rPr>
        <w:t>Basu</w:t>
      </w:r>
      <w:proofErr w:type="spellEnd"/>
      <w:r w:rsidRPr="00B86697">
        <w:rPr>
          <w:rFonts w:asciiTheme="majorHAnsi" w:hAnsiTheme="majorHAnsi" w:cstheme="majorHAnsi"/>
          <w:sz w:val="24"/>
          <w:szCs w:val="24"/>
        </w:rPr>
        <w:t xml:space="preserve">, 2015; Jones, Ram &amp; Theodorakopoulos, 2010). Studies highlight that leveraging both </w:t>
      </w:r>
      <w:r w:rsidRPr="00B86697">
        <w:rPr>
          <w:rStyle w:val="Strong"/>
          <w:rFonts w:asciiTheme="majorHAnsi" w:hAnsiTheme="majorHAnsi" w:cstheme="majorHAnsi"/>
          <w:sz w:val="24"/>
          <w:szCs w:val="24"/>
        </w:rPr>
        <w:t>local and international networks</w:t>
      </w:r>
      <w:r w:rsidRPr="00B86697">
        <w:rPr>
          <w:rFonts w:asciiTheme="majorHAnsi" w:hAnsiTheme="majorHAnsi" w:cstheme="majorHAnsi"/>
          <w:sz w:val="24"/>
          <w:szCs w:val="24"/>
        </w:rPr>
        <w:t xml:space="preserve"> is critical to business success (</w:t>
      </w:r>
      <w:proofErr w:type="spellStart"/>
      <w:r w:rsidRPr="00B86697">
        <w:rPr>
          <w:rFonts w:asciiTheme="majorHAnsi" w:hAnsiTheme="majorHAnsi" w:cstheme="majorHAnsi"/>
          <w:sz w:val="24"/>
          <w:szCs w:val="24"/>
        </w:rPr>
        <w:t>Basu</w:t>
      </w:r>
      <w:proofErr w:type="spellEnd"/>
      <w:r w:rsidRPr="00B86697">
        <w:rPr>
          <w:rFonts w:asciiTheme="majorHAnsi" w:hAnsiTheme="majorHAnsi" w:cstheme="majorHAnsi"/>
          <w:sz w:val="24"/>
          <w:szCs w:val="24"/>
        </w:rPr>
        <w:t>, 2015; Grant Thornton UK, 2022).</w:t>
      </w:r>
    </w:p>
    <w:p w14:paraId="6BEA41D8" w14:textId="4B176EC3" w:rsidR="008D3F39" w:rsidRPr="00C37D39" w:rsidRDefault="00C47D8B" w:rsidP="008D3F39">
      <w:pPr>
        <w:pStyle w:val="Heading2"/>
        <w:rPr>
          <w:rFonts w:cstheme="majorHAnsi"/>
        </w:rPr>
      </w:pPr>
      <w:r>
        <w:rPr>
          <w:rStyle w:val="Strong"/>
          <w:rFonts w:cstheme="majorHAnsi"/>
        </w:rPr>
        <w:t>3.</w:t>
      </w:r>
      <w:r w:rsidR="008D3F39" w:rsidRPr="00C37D39">
        <w:rPr>
          <w:rStyle w:val="Strong"/>
          <w:rFonts w:cstheme="majorHAnsi"/>
        </w:rPr>
        <w:t>2.6 Innovation and Adaptation in Business Models</w:t>
      </w:r>
    </w:p>
    <w:p w14:paraId="5B4B5A89" w14:textId="77777777" w:rsidR="008D3F39" w:rsidRPr="00B86697" w:rsidRDefault="008D3F39" w:rsidP="008D3F39">
      <w:pPr>
        <w:rPr>
          <w:rFonts w:asciiTheme="majorHAnsi" w:hAnsiTheme="majorHAnsi" w:cstheme="majorHAnsi"/>
          <w:sz w:val="24"/>
          <w:szCs w:val="24"/>
        </w:rPr>
      </w:pPr>
      <w:r w:rsidRPr="00B86697">
        <w:rPr>
          <w:rFonts w:asciiTheme="majorHAnsi" w:hAnsiTheme="majorHAnsi" w:cstheme="majorHAnsi"/>
          <w:sz w:val="24"/>
          <w:szCs w:val="24"/>
        </w:rPr>
        <w:t xml:space="preserve">For Indian food entrepreneurs, adapting and refining business models is essential for long-term survival and expansion (Massa &amp; Tucci, 2021; Spieth, </w:t>
      </w:r>
      <w:proofErr w:type="spellStart"/>
      <w:r w:rsidRPr="00B86697">
        <w:rPr>
          <w:rFonts w:asciiTheme="majorHAnsi" w:hAnsiTheme="majorHAnsi" w:cstheme="majorHAnsi"/>
          <w:sz w:val="24"/>
          <w:szCs w:val="24"/>
        </w:rPr>
        <w:t>Schneckenberg</w:t>
      </w:r>
      <w:proofErr w:type="spellEnd"/>
      <w:r w:rsidRPr="00B86697">
        <w:rPr>
          <w:rFonts w:asciiTheme="majorHAnsi" w:hAnsiTheme="majorHAnsi" w:cstheme="majorHAnsi"/>
          <w:sz w:val="24"/>
          <w:szCs w:val="24"/>
        </w:rPr>
        <w:t xml:space="preserve"> &amp; Ricart, 2021; Velu, 2023). Many are integrating digital tools for managing inventory, enhancing online promotion, and expanding delivery options (Ali &amp; Ali, 2021; Mintel, 2023). Businesses are also diversifying into areas like wholesale distribution, meal kit services, and cloud kitchens, reducing dependence on traditional brick-and-mortar restaurant operations (Grant Thornton UK, 2022; Mahesh Raikar, 2022).</w:t>
      </w:r>
    </w:p>
    <w:p w14:paraId="74DD2FA1" w14:textId="77777777" w:rsidR="008D3F39" w:rsidRPr="00B86697" w:rsidRDefault="008D3F39" w:rsidP="008D3F39">
      <w:pPr>
        <w:rPr>
          <w:rFonts w:asciiTheme="majorHAnsi" w:hAnsiTheme="majorHAnsi" w:cstheme="majorHAnsi"/>
          <w:sz w:val="24"/>
          <w:szCs w:val="24"/>
        </w:rPr>
      </w:pPr>
      <w:r w:rsidRPr="00B86697">
        <w:rPr>
          <w:rFonts w:asciiTheme="majorHAnsi" w:hAnsiTheme="majorHAnsi" w:cstheme="majorHAnsi"/>
          <w:sz w:val="24"/>
          <w:szCs w:val="24"/>
        </w:rPr>
        <w:t>There is growing emphasis on sustainability and circular economy principles, with entrepreneurs seeking to minimize waste, source locally, and improve environmental efficiency (</w:t>
      </w:r>
      <w:proofErr w:type="spellStart"/>
      <w:r w:rsidRPr="00B86697">
        <w:rPr>
          <w:rFonts w:asciiTheme="majorHAnsi" w:hAnsiTheme="majorHAnsi" w:cstheme="majorHAnsi"/>
          <w:sz w:val="24"/>
          <w:szCs w:val="24"/>
        </w:rPr>
        <w:t>Abdelkafi</w:t>
      </w:r>
      <w:proofErr w:type="spellEnd"/>
      <w:r w:rsidRPr="00B86697">
        <w:rPr>
          <w:rFonts w:asciiTheme="majorHAnsi" w:hAnsiTheme="majorHAnsi" w:cstheme="majorHAnsi"/>
          <w:sz w:val="24"/>
          <w:szCs w:val="24"/>
        </w:rPr>
        <w:t xml:space="preserve"> &amp; </w:t>
      </w:r>
      <w:proofErr w:type="spellStart"/>
      <w:r w:rsidRPr="00B86697">
        <w:rPr>
          <w:rFonts w:asciiTheme="majorHAnsi" w:hAnsiTheme="majorHAnsi" w:cstheme="majorHAnsi"/>
          <w:sz w:val="24"/>
          <w:szCs w:val="24"/>
        </w:rPr>
        <w:t>Täuscher</w:t>
      </w:r>
      <w:proofErr w:type="spellEnd"/>
      <w:r w:rsidRPr="00B86697">
        <w:rPr>
          <w:rFonts w:asciiTheme="majorHAnsi" w:hAnsiTheme="majorHAnsi" w:cstheme="majorHAnsi"/>
          <w:sz w:val="24"/>
          <w:szCs w:val="24"/>
        </w:rPr>
        <w:t xml:space="preserve">, 2021; Reim, Parida &amp; </w:t>
      </w:r>
      <w:proofErr w:type="spellStart"/>
      <w:r w:rsidRPr="00B86697">
        <w:rPr>
          <w:rFonts w:asciiTheme="majorHAnsi" w:hAnsiTheme="majorHAnsi" w:cstheme="majorHAnsi"/>
          <w:sz w:val="24"/>
          <w:szCs w:val="24"/>
        </w:rPr>
        <w:t>Sjödin</w:t>
      </w:r>
      <w:proofErr w:type="spellEnd"/>
      <w:r w:rsidRPr="00B86697">
        <w:rPr>
          <w:rFonts w:asciiTheme="majorHAnsi" w:hAnsiTheme="majorHAnsi" w:cstheme="majorHAnsi"/>
          <w:sz w:val="24"/>
          <w:szCs w:val="24"/>
        </w:rPr>
        <w:t>, 2022). Strategic tools such as SWOT and PESTEL analysis are becoming more prevalent among migrant entrepreneurs aiming to navigate complex and unpredictable market conditions (Yüksel, 2012; O’Hagan et al., 2006).</w:t>
      </w:r>
    </w:p>
    <w:p w14:paraId="0C2FB911" w14:textId="0E2C5090" w:rsidR="008D3F39" w:rsidRPr="00C37D39" w:rsidRDefault="00C47D8B" w:rsidP="008D3F39">
      <w:pPr>
        <w:pStyle w:val="Heading3"/>
        <w:rPr>
          <w:rFonts w:cstheme="majorHAnsi"/>
        </w:rPr>
      </w:pPr>
      <w:r>
        <w:rPr>
          <w:rStyle w:val="Strong"/>
          <w:rFonts w:cstheme="majorHAnsi"/>
        </w:rPr>
        <w:t>3.</w:t>
      </w:r>
      <w:r w:rsidR="008D3F39" w:rsidRPr="00C37D39">
        <w:rPr>
          <w:rStyle w:val="Strong"/>
          <w:rFonts w:cstheme="majorHAnsi"/>
        </w:rPr>
        <w:t>2.7 Navigating Cultural and Regulatory In-Between Spaces</w:t>
      </w:r>
    </w:p>
    <w:p w14:paraId="61B8374A" w14:textId="77777777" w:rsidR="008D3F39" w:rsidRPr="00B86697" w:rsidRDefault="008D3F39" w:rsidP="008D3F39">
      <w:pPr>
        <w:rPr>
          <w:rFonts w:asciiTheme="majorHAnsi" w:hAnsiTheme="majorHAnsi" w:cstheme="majorHAnsi"/>
          <w:sz w:val="24"/>
          <w:szCs w:val="24"/>
        </w:rPr>
      </w:pPr>
      <w:r w:rsidRPr="00B86697">
        <w:rPr>
          <w:rFonts w:asciiTheme="majorHAnsi" w:hAnsiTheme="majorHAnsi" w:cstheme="majorHAnsi"/>
          <w:sz w:val="24"/>
          <w:szCs w:val="24"/>
        </w:rPr>
        <w:t xml:space="preserve">Recent research has examined the concept of </w:t>
      </w:r>
      <w:r w:rsidRPr="00B86697">
        <w:rPr>
          <w:rStyle w:val="Strong"/>
          <w:rFonts w:asciiTheme="majorHAnsi" w:hAnsiTheme="majorHAnsi" w:cstheme="majorHAnsi"/>
          <w:sz w:val="24"/>
          <w:szCs w:val="24"/>
        </w:rPr>
        <w:t>liminality</w:t>
      </w:r>
      <w:r w:rsidRPr="00B86697">
        <w:rPr>
          <w:rFonts w:asciiTheme="majorHAnsi" w:hAnsiTheme="majorHAnsi" w:cstheme="majorHAnsi"/>
          <w:sz w:val="24"/>
          <w:szCs w:val="24"/>
        </w:rPr>
        <w:t>, which refers to the feeling of being caught between different cultural, regulatory, and social identities—an experience common among migrant entrepreneurs (Sage Journals Study Authors, 2024; Emerald Study Authors, 2024). The ability to take initiative and adapt strategically plays a crucial role in overcoming challenges and reshaping business environments (Emerald Study Authors, 2024; Sage Journals Study Authors, 2024).</w:t>
      </w:r>
    </w:p>
    <w:p w14:paraId="732DEE44" w14:textId="77777777" w:rsidR="008D3F39" w:rsidRPr="00B86697" w:rsidRDefault="008D3F39" w:rsidP="008D3F39">
      <w:pPr>
        <w:rPr>
          <w:rFonts w:asciiTheme="majorHAnsi" w:hAnsiTheme="majorHAnsi" w:cstheme="majorHAnsi"/>
          <w:sz w:val="24"/>
          <w:szCs w:val="24"/>
        </w:rPr>
      </w:pPr>
      <w:r w:rsidRPr="00B86697">
        <w:rPr>
          <w:rFonts w:asciiTheme="majorHAnsi" w:hAnsiTheme="majorHAnsi" w:cstheme="majorHAnsi"/>
          <w:sz w:val="24"/>
          <w:szCs w:val="24"/>
        </w:rPr>
        <w:t>Indian food entrepreneurs in London often foster empowerment, leadership, and micro-enterprise networks through cookery workshops, cultural food events, and spaces designed for intercultural exchange (PubMed Study Authors, 2025; Wessendorf, 2022). These initiatives help bridge cultural divides while strengthening economic and social positioning within the diverse urban landscape.</w:t>
      </w:r>
    </w:p>
    <w:p w14:paraId="2B90616E" w14:textId="77777777" w:rsidR="00B86697" w:rsidRPr="00B86697" w:rsidRDefault="00B86697" w:rsidP="00B86697"/>
    <w:p w14:paraId="6116801D" w14:textId="3D70029A" w:rsidR="008D3F39" w:rsidRPr="00C37D39" w:rsidRDefault="00C47D8B" w:rsidP="008D3F39">
      <w:pPr>
        <w:pStyle w:val="Heading1"/>
        <w:rPr>
          <w:rStyle w:val="Strong"/>
          <w:rFonts w:cstheme="majorHAnsi"/>
        </w:rPr>
      </w:pPr>
      <w:r>
        <w:rPr>
          <w:rStyle w:val="Strong"/>
          <w:rFonts w:cstheme="majorHAnsi"/>
        </w:rPr>
        <w:lastRenderedPageBreak/>
        <w:t>3.</w:t>
      </w:r>
      <w:r w:rsidR="008D3F39" w:rsidRPr="00C37D39">
        <w:rPr>
          <w:rStyle w:val="Strong"/>
          <w:rFonts w:cstheme="majorHAnsi"/>
        </w:rPr>
        <w:t>3. Theoretical and Empirical Insights</w:t>
      </w:r>
    </w:p>
    <w:p w14:paraId="6688FE91" w14:textId="381C83D7" w:rsidR="008D3F39" w:rsidRPr="00C37D39" w:rsidRDefault="00C47D8B" w:rsidP="008D3F39">
      <w:pPr>
        <w:pStyle w:val="Heading2"/>
        <w:rPr>
          <w:rFonts w:cstheme="majorHAnsi"/>
          <w:b/>
          <w:bCs/>
        </w:rPr>
      </w:pPr>
      <w:r>
        <w:rPr>
          <w:rFonts w:cstheme="majorHAnsi"/>
          <w:b/>
          <w:bCs/>
        </w:rPr>
        <w:t>3.</w:t>
      </w:r>
      <w:r w:rsidR="00783020" w:rsidRPr="00C37D39">
        <w:rPr>
          <w:rFonts w:cstheme="majorHAnsi"/>
          <w:b/>
          <w:bCs/>
        </w:rPr>
        <w:t>3.1 Embeddedness and Cultural Diversity in Entrepreneurship</w:t>
      </w:r>
    </w:p>
    <w:p w14:paraId="24EF086D" w14:textId="56BB898C"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 xml:space="preserve">The </w:t>
      </w:r>
      <w:r w:rsidRPr="00B86697">
        <w:rPr>
          <w:rStyle w:val="Strong"/>
          <w:rFonts w:asciiTheme="majorHAnsi" w:hAnsiTheme="majorHAnsi" w:cstheme="majorHAnsi"/>
          <w:sz w:val="24"/>
          <w:szCs w:val="24"/>
        </w:rPr>
        <w:t>mixed embeddedness</w:t>
      </w:r>
      <w:r w:rsidRPr="00B86697">
        <w:rPr>
          <w:rFonts w:asciiTheme="majorHAnsi" w:hAnsiTheme="majorHAnsi" w:cstheme="majorHAnsi"/>
          <w:sz w:val="24"/>
          <w:szCs w:val="24"/>
        </w:rPr>
        <w:t xml:space="preserve"> theory remains a key framework for understanding how Indian food entrepreneurs navigate market dynamics and institutional structures (Kloosterman &amp; Rath, 2018; Ram, Theodorakopoulos &amp; Jones, 2008). London’s </w:t>
      </w:r>
      <w:r w:rsidRPr="00B86697">
        <w:rPr>
          <w:rStyle w:val="Strong"/>
          <w:rFonts w:asciiTheme="majorHAnsi" w:hAnsiTheme="majorHAnsi" w:cstheme="majorHAnsi"/>
          <w:sz w:val="24"/>
          <w:szCs w:val="24"/>
        </w:rPr>
        <w:t>superdiversity</w:t>
      </w:r>
      <w:r w:rsidRPr="00B86697">
        <w:rPr>
          <w:rFonts w:asciiTheme="majorHAnsi" w:hAnsiTheme="majorHAnsi" w:cstheme="majorHAnsi"/>
          <w:sz w:val="24"/>
          <w:szCs w:val="24"/>
        </w:rPr>
        <w:t>—where various migrant groups interact across different legal, linguistic, and business landscapes—creates both opportunities and complications (Sepulveda, Syrett &amp; Lyon, 2011). Entrepreneurs must manage not only formal regulatory requirements but also the nuanced expectations within ethnic communities and broader society (Ram &amp; Jones, 2019).</w:t>
      </w:r>
    </w:p>
    <w:p w14:paraId="7398A04A" w14:textId="77777777" w:rsidR="00783020" w:rsidRPr="00B86697" w:rsidRDefault="00783020" w:rsidP="00783020">
      <w:pPr>
        <w:rPr>
          <w:rFonts w:asciiTheme="majorHAnsi" w:hAnsiTheme="majorHAnsi" w:cstheme="majorHAnsi"/>
          <w:sz w:val="24"/>
          <w:szCs w:val="24"/>
        </w:rPr>
      </w:pPr>
    </w:p>
    <w:p w14:paraId="2F761ADD" w14:textId="01C8CDC1" w:rsidR="00783020" w:rsidRPr="00C37D39" w:rsidRDefault="00C47D8B" w:rsidP="00783020">
      <w:pPr>
        <w:pStyle w:val="Heading2"/>
        <w:rPr>
          <w:rFonts w:cstheme="majorHAnsi"/>
          <w:b/>
          <w:bCs/>
        </w:rPr>
      </w:pPr>
      <w:r>
        <w:rPr>
          <w:rFonts w:cstheme="majorHAnsi"/>
          <w:b/>
          <w:bCs/>
        </w:rPr>
        <w:t>3.</w:t>
      </w:r>
      <w:r w:rsidR="00783020" w:rsidRPr="00C37D39">
        <w:rPr>
          <w:rFonts w:cstheme="majorHAnsi"/>
          <w:b/>
          <w:bCs/>
        </w:rPr>
        <w:t>3.2 Role of Social Networks and International Connections</w:t>
      </w:r>
    </w:p>
    <w:p w14:paraId="64124ABF"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 xml:space="preserve">Community ties and family networks play a dual role in supporting business success. While such connections can provide financial stability and market access, they may also limit innovation and expansion beyond ethnic markets (Barrett, McEvoy &amp; Jones, 1996; </w:t>
      </w:r>
      <w:proofErr w:type="spellStart"/>
      <w:r w:rsidRPr="00B86697">
        <w:rPr>
          <w:rFonts w:asciiTheme="majorHAnsi" w:hAnsiTheme="majorHAnsi" w:cstheme="majorHAnsi"/>
          <w:sz w:val="24"/>
          <w:szCs w:val="24"/>
        </w:rPr>
        <w:t>Basu</w:t>
      </w:r>
      <w:proofErr w:type="spellEnd"/>
      <w:r w:rsidRPr="00B86697">
        <w:rPr>
          <w:rFonts w:asciiTheme="majorHAnsi" w:hAnsiTheme="majorHAnsi" w:cstheme="majorHAnsi"/>
          <w:sz w:val="24"/>
          <w:szCs w:val="24"/>
        </w:rPr>
        <w:t xml:space="preserve">, 2015). Entrepreneurs who utilize </w:t>
      </w:r>
      <w:r w:rsidRPr="00B86697">
        <w:rPr>
          <w:rStyle w:val="Strong"/>
          <w:rFonts w:asciiTheme="majorHAnsi" w:hAnsiTheme="majorHAnsi" w:cstheme="majorHAnsi"/>
          <w:sz w:val="24"/>
          <w:szCs w:val="24"/>
        </w:rPr>
        <w:t>transnational networks</w:t>
      </w:r>
      <w:r w:rsidRPr="00B86697">
        <w:rPr>
          <w:rFonts w:asciiTheme="majorHAnsi" w:hAnsiTheme="majorHAnsi" w:cstheme="majorHAnsi"/>
          <w:sz w:val="24"/>
          <w:szCs w:val="24"/>
        </w:rPr>
        <w:t>—drawing on supply chains and market knowledge from both India and the UK—can gain strategic advantages. However, cross-border dependencies also introduce additional risks and vulnerabilities (</w:t>
      </w:r>
      <w:proofErr w:type="spellStart"/>
      <w:r w:rsidRPr="00B86697">
        <w:rPr>
          <w:rFonts w:asciiTheme="majorHAnsi" w:hAnsiTheme="majorHAnsi" w:cstheme="majorHAnsi"/>
          <w:sz w:val="24"/>
          <w:szCs w:val="24"/>
        </w:rPr>
        <w:t>Basu</w:t>
      </w:r>
      <w:proofErr w:type="spellEnd"/>
      <w:r w:rsidRPr="00B86697">
        <w:rPr>
          <w:rFonts w:asciiTheme="majorHAnsi" w:hAnsiTheme="majorHAnsi" w:cstheme="majorHAnsi"/>
          <w:sz w:val="24"/>
          <w:szCs w:val="24"/>
        </w:rPr>
        <w:t>, 2015; Jones, Ram &amp; Theodorakopoulos, 2010).</w:t>
      </w:r>
    </w:p>
    <w:p w14:paraId="2CCA6C89"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Studies suggest that maintaining transnational business relationships can foster resilience, especially during economic downturns, but also exposes enterprises to fluctuations in both domestic and international markets (Jones, Ram &amp; Edwards, 2010).</w:t>
      </w:r>
    </w:p>
    <w:p w14:paraId="55DFC7F2" w14:textId="42426EFC" w:rsidR="00783020" w:rsidRPr="00C37D39" w:rsidRDefault="00C47D8B" w:rsidP="00783020">
      <w:pPr>
        <w:pStyle w:val="Heading2"/>
        <w:rPr>
          <w:rFonts w:cstheme="majorHAnsi"/>
          <w:b/>
          <w:bCs/>
        </w:rPr>
      </w:pPr>
      <w:r>
        <w:rPr>
          <w:rFonts w:cstheme="majorHAnsi"/>
          <w:b/>
          <w:bCs/>
        </w:rPr>
        <w:t>3.</w:t>
      </w:r>
      <w:r w:rsidR="00783020" w:rsidRPr="00C37D39">
        <w:rPr>
          <w:rFonts w:cstheme="majorHAnsi"/>
          <w:b/>
          <w:bCs/>
        </w:rPr>
        <w:t>3.3 Business Model Flexibility and Digital Transformation</w:t>
      </w:r>
    </w:p>
    <w:p w14:paraId="596B6C89"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 xml:space="preserve">Innovating business models is critical for maintaining competitiveness in the Indian food industry (Massa &amp; Tucci, 2021; Spieth, </w:t>
      </w:r>
      <w:proofErr w:type="spellStart"/>
      <w:r w:rsidRPr="00B86697">
        <w:rPr>
          <w:rFonts w:asciiTheme="majorHAnsi" w:hAnsiTheme="majorHAnsi" w:cstheme="majorHAnsi"/>
          <w:sz w:val="24"/>
          <w:szCs w:val="24"/>
        </w:rPr>
        <w:t>Schneckenberg</w:t>
      </w:r>
      <w:proofErr w:type="spellEnd"/>
      <w:r w:rsidRPr="00B86697">
        <w:rPr>
          <w:rFonts w:asciiTheme="majorHAnsi" w:hAnsiTheme="majorHAnsi" w:cstheme="majorHAnsi"/>
          <w:sz w:val="24"/>
          <w:szCs w:val="24"/>
        </w:rPr>
        <w:t xml:space="preserve"> &amp; Ricart, 2021; Velu, 2023). Entrepreneurs must continuously adapt to regulatory changes, evolving consumer preferences, and technological advancements (Chesbrough, 2020; Kodama, 1999; Gilsing et al., 2022).</w:t>
      </w:r>
    </w:p>
    <w:p w14:paraId="092FBA03"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 xml:space="preserve">The COVID-19 pandemic underscored the importance of </w:t>
      </w:r>
      <w:r w:rsidRPr="00B86697">
        <w:rPr>
          <w:rStyle w:val="Strong"/>
          <w:rFonts w:asciiTheme="majorHAnsi" w:hAnsiTheme="majorHAnsi" w:cstheme="majorHAnsi"/>
          <w:sz w:val="24"/>
          <w:szCs w:val="24"/>
        </w:rPr>
        <w:t>agile business strategies</w:t>
      </w:r>
      <w:r w:rsidRPr="00B86697">
        <w:rPr>
          <w:rFonts w:asciiTheme="majorHAnsi" w:hAnsiTheme="majorHAnsi" w:cstheme="majorHAnsi"/>
          <w:sz w:val="24"/>
          <w:szCs w:val="24"/>
        </w:rPr>
        <w:t>, with many businesses pivoting to food delivery services, meal kits, and online engagement to sustain operations during lockdowns (Chesbrough, 2020).</w:t>
      </w:r>
    </w:p>
    <w:p w14:paraId="4096E5E7" w14:textId="217BE20A" w:rsidR="00783020" w:rsidRPr="00C37D39" w:rsidRDefault="00C47D8B" w:rsidP="00783020">
      <w:pPr>
        <w:pStyle w:val="Heading2"/>
        <w:rPr>
          <w:rFonts w:cstheme="majorHAnsi"/>
          <w:b/>
          <w:bCs/>
        </w:rPr>
      </w:pPr>
      <w:r>
        <w:rPr>
          <w:rFonts w:cstheme="majorHAnsi"/>
          <w:b/>
          <w:bCs/>
        </w:rPr>
        <w:t>3.</w:t>
      </w:r>
      <w:r w:rsidR="00783020" w:rsidRPr="00C37D39">
        <w:rPr>
          <w:rFonts w:cstheme="majorHAnsi"/>
          <w:b/>
          <w:bCs/>
        </w:rPr>
        <w:t>3.4 Environmental Responsibility and Sustainable Practices</w:t>
      </w:r>
    </w:p>
    <w:p w14:paraId="7799B132"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Sustainability is becoming increasingly relevant, with pressure mounting for businesses to implement environmentally conscious strategies (</w:t>
      </w:r>
      <w:proofErr w:type="spellStart"/>
      <w:r w:rsidRPr="00B86697">
        <w:rPr>
          <w:rFonts w:asciiTheme="majorHAnsi" w:hAnsiTheme="majorHAnsi" w:cstheme="majorHAnsi"/>
          <w:sz w:val="24"/>
          <w:szCs w:val="24"/>
        </w:rPr>
        <w:t>Abdelkafi</w:t>
      </w:r>
      <w:proofErr w:type="spellEnd"/>
      <w:r w:rsidRPr="00B86697">
        <w:rPr>
          <w:rFonts w:asciiTheme="majorHAnsi" w:hAnsiTheme="majorHAnsi" w:cstheme="majorHAnsi"/>
          <w:sz w:val="24"/>
          <w:szCs w:val="24"/>
        </w:rPr>
        <w:t xml:space="preserve"> &amp; </w:t>
      </w:r>
      <w:proofErr w:type="spellStart"/>
      <w:r w:rsidRPr="00B86697">
        <w:rPr>
          <w:rFonts w:asciiTheme="majorHAnsi" w:hAnsiTheme="majorHAnsi" w:cstheme="majorHAnsi"/>
          <w:sz w:val="24"/>
          <w:szCs w:val="24"/>
        </w:rPr>
        <w:t>Täuscher</w:t>
      </w:r>
      <w:proofErr w:type="spellEnd"/>
      <w:r w:rsidRPr="00B86697">
        <w:rPr>
          <w:rFonts w:asciiTheme="majorHAnsi" w:hAnsiTheme="majorHAnsi" w:cstheme="majorHAnsi"/>
          <w:sz w:val="24"/>
          <w:szCs w:val="24"/>
        </w:rPr>
        <w:t>, 2021; Reim et al., 2022). Circular economy models—focused on waste reduction, resource efficiency, and ethical sourcing—offer potential benefits but require investment and support (Reim et al., 2022; Yüksel, 2012).</w:t>
      </w:r>
    </w:p>
    <w:p w14:paraId="5E2FC718"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Indian food entrepreneurs are exploring sustainability-driven practices, yet challenges remain, including high costs, regulatory hurdles, and limited awareness of eco-friendly initiatives (</w:t>
      </w:r>
      <w:proofErr w:type="spellStart"/>
      <w:r w:rsidRPr="00B86697">
        <w:rPr>
          <w:rFonts w:asciiTheme="majorHAnsi" w:hAnsiTheme="majorHAnsi" w:cstheme="majorHAnsi"/>
          <w:sz w:val="24"/>
          <w:szCs w:val="24"/>
        </w:rPr>
        <w:t>Abdelkafi</w:t>
      </w:r>
      <w:proofErr w:type="spellEnd"/>
      <w:r w:rsidRPr="00B86697">
        <w:rPr>
          <w:rFonts w:asciiTheme="majorHAnsi" w:hAnsiTheme="majorHAnsi" w:cstheme="majorHAnsi"/>
          <w:sz w:val="24"/>
          <w:szCs w:val="24"/>
        </w:rPr>
        <w:t xml:space="preserve"> &amp; </w:t>
      </w:r>
      <w:proofErr w:type="spellStart"/>
      <w:r w:rsidRPr="00B86697">
        <w:rPr>
          <w:rFonts w:asciiTheme="majorHAnsi" w:hAnsiTheme="majorHAnsi" w:cstheme="majorHAnsi"/>
          <w:sz w:val="24"/>
          <w:szCs w:val="24"/>
        </w:rPr>
        <w:t>Täuscher</w:t>
      </w:r>
      <w:proofErr w:type="spellEnd"/>
      <w:r w:rsidRPr="00B86697">
        <w:rPr>
          <w:rFonts w:asciiTheme="majorHAnsi" w:hAnsiTheme="majorHAnsi" w:cstheme="majorHAnsi"/>
          <w:sz w:val="24"/>
          <w:szCs w:val="24"/>
        </w:rPr>
        <w:t>, 2021).</w:t>
      </w:r>
    </w:p>
    <w:p w14:paraId="16972360" w14:textId="697F761E" w:rsidR="00783020" w:rsidRPr="00C37D39" w:rsidRDefault="00C47D8B" w:rsidP="00783020">
      <w:pPr>
        <w:pStyle w:val="Heading2"/>
        <w:rPr>
          <w:rStyle w:val="Strong"/>
          <w:rFonts w:cstheme="majorHAnsi"/>
        </w:rPr>
      </w:pPr>
      <w:r>
        <w:rPr>
          <w:rStyle w:val="Strong"/>
          <w:rFonts w:cstheme="majorHAnsi"/>
        </w:rPr>
        <w:t>3.</w:t>
      </w:r>
      <w:r w:rsidR="00783020" w:rsidRPr="00C37D39">
        <w:rPr>
          <w:rStyle w:val="Strong"/>
          <w:rFonts w:cstheme="majorHAnsi"/>
        </w:rPr>
        <w:t>3.5 Entrepreneurial Resilience in Transitioning Business Environments</w:t>
      </w:r>
    </w:p>
    <w:p w14:paraId="525DF03A"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 xml:space="preserve">Migrant entrepreneurs often operate in </w:t>
      </w:r>
      <w:r w:rsidRPr="00B86697">
        <w:rPr>
          <w:rStyle w:val="Strong"/>
          <w:rFonts w:asciiTheme="majorHAnsi" w:hAnsiTheme="majorHAnsi" w:cstheme="majorHAnsi"/>
          <w:sz w:val="24"/>
          <w:szCs w:val="24"/>
        </w:rPr>
        <w:t>liminal spaces</w:t>
      </w:r>
      <w:r w:rsidRPr="00B86697">
        <w:rPr>
          <w:rFonts w:asciiTheme="majorHAnsi" w:hAnsiTheme="majorHAnsi" w:cstheme="majorHAnsi"/>
          <w:sz w:val="24"/>
          <w:szCs w:val="24"/>
        </w:rPr>
        <w:t xml:space="preserve">, navigating fluid identities shaped by cultural expectations, regulatory challenges, and shifting market demands (Sage Journals Study Authors, 2024; Emerald Study Authors, 2024). Success in these environments depends on </w:t>
      </w:r>
      <w:r w:rsidRPr="00B86697">
        <w:rPr>
          <w:rStyle w:val="Strong"/>
          <w:rFonts w:asciiTheme="majorHAnsi" w:hAnsiTheme="majorHAnsi" w:cstheme="majorHAnsi"/>
          <w:sz w:val="24"/>
          <w:szCs w:val="24"/>
        </w:rPr>
        <w:t>strategic agency</w:t>
      </w:r>
      <w:r w:rsidRPr="00B86697">
        <w:rPr>
          <w:rFonts w:asciiTheme="majorHAnsi" w:hAnsiTheme="majorHAnsi" w:cstheme="majorHAnsi"/>
          <w:sz w:val="24"/>
          <w:szCs w:val="24"/>
        </w:rPr>
        <w:t>—the ability to build networks, integrate new business strategies, and form alliances that promote long-term sustainability (Emerald Study Authors, 2024).</w:t>
      </w:r>
    </w:p>
    <w:p w14:paraId="78D5B237"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 xml:space="preserve">Spaces such as </w:t>
      </w:r>
      <w:r w:rsidRPr="00B86697">
        <w:rPr>
          <w:rStyle w:val="Strong"/>
          <w:rFonts w:asciiTheme="majorHAnsi" w:hAnsiTheme="majorHAnsi" w:cstheme="majorHAnsi"/>
          <w:sz w:val="24"/>
          <w:szCs w:val="24"/>
        </w:rPr>
        <w:t>intercultural food hubs</w:t>
      </w:r>
      <w:r w:rsidRPr="00B86697">
        <w:rPr>
          <w:rFonts w:asciiTheme="majorHAnsi" w:hAnsiTheme="majorHAnsi" w:cstheme="majorHAnsi"/>
          <w:sz w:val="24"/>
          <w:szCs w:val="24"/>
        </w:rPr>
        <w:t xml:space="preserve"> and community-led enterprises play a role in reinforcing leadership and adaptation strategies within London’s diverse food sector (Wessendorf, 2022; PubMed Study Authors, 2025).</w:t>
      </w:r>
    </w:p>
    <w:p w14:paraId="19553F04" w14:textId="7F07E7B0" w:rsidR="00783020" w:rsidRPr="00C37D39" w:rsidRDefault="00C47D8B" w:rsidP="00783020">
      <w:pPr>
        <w:pStyle w:val="Heading1"/>
        <w:rPr>
          <w:rFonts w:cstheme="majorHAnsi"/>
          <w:b/>
          <w:bCs/>
        </w:rPr>
      </w:pPr>
      <w:r>
        <w:rPr>
          <w:rFonts w:cstheme="majorHAnsi"/>
          <w:b/>
          <w:bCs/>
        </w:rPr>
        <w:lastRenderedPageBreak/>
        <w:t>3.</w:t>
      </w:r>
      <w:r w:rsidR="00783020" w:rsidRPr="00C37D39">
        <w:rPr>
          <w:rFonts w:cstheme="majorHAnsi"/>
          <w:b/>
          <w:bCs/>
        </w:rPr>
        <w:t>4. Unexplored Research Areas</w:t>
      </w:r>
    </w:p>
    <w:p w14:paraId="1B4EC66B"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Although there is extensive research on migrant entrepreneurship, several gaps still exist:</w:t>
      </w:r>
    </w:p>
    <w:p w14:paraId="381EB9DC" w14:textId="77777777" w:rsidR="00783020" w:rsidRPr="00B86697" w:rsidRDefault="00783020" w:rsidP="00B86697">
      <w:pPr>
        <w:pStyle w:val="ListParagraph"/>
        <w:numPr>
          <w:ilvl w:val="0"/>
          <w:numId w:val="25"/>
        </w:numPr>
        <w:rPr>
          <w:rFonts w:asciiTheme="majorHAnsi" w:hAnsiTheme="majorHAnsi" w:cstheme="majorHAnsi"/>
          <w:sz w:val="24"/>
          <w:szCs w:val="24"/>
        </w:rPr>
      </w:pPr>
      <w:r w:rsidRPr="00B86697">
        <w:rPr>
          <w:b/>
          <w:bCs/>
        </w:rPr>
        <w:t>Geographic Variations in Entrepreneurial Success:</w:t>
      </w:r>
      <w:r w:rsidRPr="00B86697">
        <w:rPr>
          <w:rFonts w:asciiTheme="majorHAnsi" w:hAnsiTheme="majorHAnsi" w:cstheme="majorHAnsi"/>
          <w:b/>
          <w:bCs/>
          <w:sz w:val="24"/>
          <w:szCs w:val="24"/>
        </w:rPr>
        <w:t xml:space="preserve"> </w:t>
      </w:r>
      <w:r w:rsidRPr="00B86697">
        <w:rPr>
          <w:rFonts w:asciiTheme="majorHAnsi" w:hAnsiTheme="majorHAnsi" w:cstheme="majorHAnsi"/>
          <w:sz w:val="24"/>
          <w:szCs w:val="24"/>
        </w:rPr>
        <w:t xml:space="preserve">Existing studies primarily focus on central and East London, neglecting emerging food business clusters in outer boroughs and suburban areas (Vaughan, 2015; </w:t>
      </w:r>
      <w:proofErr w:type="spellStart"/>
      <w:r w:rsidRPr="00B86697">
        <w:rPr>
          <w:rFonts w:asciiTheme="majorHAnsi" w:hAnsiTheme="majorHAnsi" w:cstheme="majorHAnsi"/>
          <w:sz w:val="24"/>
          <w:szCs w:val="24"/>
        </w:rPr>
        <w:t>Smallbone</w:t>
      </w:r>
      <w:proofErr w:type="spellEnd"/>
      <w:r w:rsidRPr="00B86697">
        <w:rPr>
          <w:rFonts w:asciiTheme="majorHAnsi" w:hAnsiTheme="majorHAnsi" w:cstheme="majorHAnsi"/>
          <w:sz w:val="24"/>
          <w:szCs w:val="24"/>
        </w:rPr>
        <w:t xml:space="preserve"> et al., 2010).</w:t>
      </w:r>
    </w:p>
    <w:p w14:paraId="0DCCEF3D" w14:textId="77777777" w:rsidR="00783020" w:rsidRPr="00B86697" w:rsidRDefault="00783020" w:rsidP="00B86697">
      <w:pPr>
        <w:pStyle w:val="ListParagraph"/>
        <w:numPr>
          <w:ilvl w:val="0"/>
          <w:numId w:val="25"/>
        </w:numPr>
        <w:rPr>
          <w:rFonts w:asciiTheme="majorHAnsi" w:hAnsiTheme="majorHAnsi" w:cstheme="majorHAnsi"/>
          <w:sz w:val="24"/>
          <w:szCs w:val="24"/>
        </w:rPr>
      </w:pPr>
      <w:r w:rsidRPr="00B86697">
        <w:rPr>
          <w:b/>
          <w:bCs/>
        </w:rPr>
        <w:t>Intersectional Analysis:</w:t>
      </w:r>
      <w:r w:rsidRPr="00B86697">
        <w:rPr>
          <w:rFonts w:asciiTheme="majorHAnsi" w:hAnsiTheme="majorHAnsi" w:cstheme="majorHAnsi"/>
          <w:b/>
          <w:bCs/>
          <w:sz w:val="24"/>
          <w:szCs w:val="24"/>
        </w:rPr>
        <w:t xml:space="preserve"> </w:t>
      </w:r>
      <w:r w:rsidRPr="00B86697">
        <w:rPr>
          <w:rFonts w:asciiTheme="majorHAnsi" w:hAnsiTheme="majorHAnsi" w:cstheme="majorHAnsi"/>
          <w:sz w:val="24"/>
          <w:szCs w:val="24"/>
        </w:rPr>
        <w:t xml:space="preserve">Limited research explores how gender, migration status, class, and generational shifts intersect to shape entrepreneurial experiences (Carter, Ram, Trehan &amp; Jones, 2013; Aliaga-Isla &amp; </w:t>
      </w:r>
      <w:proofErr w:type="spellStart"/>
      <w:r w:rsidRPr="00B86697">
        <w:rPr>
          <w:rFonts w:asciiTheme="majorHAnsi" w:hAnsiTheme="majorHAnsi" w:cstheme="majorHAnsi"/>
          <w:sz w:val="24"/>
          <w:szCs w:val="24"/>
        </w:rPr>
        <w:t>Rialp</w:t>
      </w:r>
      <w:proofErr w:type="spellEnd"/>
      <w:r w:rsidRPr="00B86697">
        <w:rPr>
          <w:rFonts w:asciiTheme="majorHAnsi" w:hAnsiTheme="majorHAnsi" w:cstheme="majorHAnsi"/>
          <w:sz w:val="24"/>
          <w:szCs w:val="24"/>
        </w:rPr>
        <w:t>, 2013). Female and younger entrepreneurs, in particular, remain underrepresented in academic studies.</w:t>
      </w:r>
    </w:p>
    <w:p w14:paraId="0A02A120" w14:textId="77777777" w:rsidR="00783020" w:rsidRPr="00B86697" w:rsidRDefault="00783020" w:rsidP="00B86697">
      <w:pPr>
        <w:pStyle w:val="ListParagraph"/>
        <w:numPr>
          <w:ilvl w:val="0"/>
          <w:numId w:val="25"/>
        </w:numPr>
        <w:rPr>
          <w:rFonts w:asciiTheme="majorHAnsi" w:hAnsiTheme="majorHAnsi" w:cstheme="majorHAnsi"/>
          <w:sz w:val="24"/>
          <w:szCs w:val="24"/>
        </w:rPr>
      </w:pPr>
      <w:r w:rsidRPr="00B86697">
        <w:rPr>
          <w:b/>
          <w:bCs/>
        </w:rPr>
        <w:t>Post-Brexit and Post-Pandemic Business Recovery:</w:t>
      </w:r>
      <w:r w:rsidRPr="00B86697">
        <w:rPr>
          <w:rFonts w:asciiTheme="majorHAnsi" w:hAnsiTheme="majorHAnsi" w:cstheme="majorHAnsi"/>
          <w:b/>
          <w:bCs/>
          <w:sz w:val="24"/>
          <w:szCs w:val="24"/>
        </w:rPr>
        <w:t xml:space="preserve"> </w:t>
      </w:r>
      <w:r w:rsidRPr="00B86697">
        <w:rPr>
          <w:rFonts w:asciiTheme="majorHAnsi" w:hAnsiTheme="majorHAnsi" w:cstheme="majorHAnsi"/>
          <w:sz w:val="24"/>
          <w:szCs w:val="24"/>
        </w:rPr>
        <w:t>Few studies comprehensively assess the combined impact of Brexit, the COVID-19 crisis, and rising operational costs on food sector entrepreneurs (Chesbrough, 2020; Migration Observatory, 2024). Long-term research is needed to evaluate lasting effects.</w:t>
      </w:r>
    </w:p>
    <w:p w14:paraId="21EBF150" w14:textId="77777777" w:rsidR="00783020" w:rsidRPr="00B86697" w:rsidRDefault="00783020" w:rsidP="00B86697">
      <w:pPr>
        <w:pStyle w:val="ListParagraph"/>
        <w:numPr>
          <w:ilvl w:val="0"/>
          <w:numId w:val="25"/>
        </w:numPr>
        <w:rPr>
          <w:rFonts w:asciiTheme="majorHAnsi" w:hAnsiTheme="majorHAnsi" w:cstheme="majorHAnsi"/>
          <w:sz w:val="24"/>
          <w:szCs w:val="24"/>
        </w:rPr>
      </w:pPr>
      <w:r w:rsidRPr="00B86697">
        <w:rPr>
          <w:b/>
          <w:bCs/>
        </w:rPr>
        <w:t>Adoption of Sustainable Business Practices:</w:t>
      </w:r>
      <w:r w:rsidRPr="00B86697">
        <w:rPr>
          <w:rFonts w:asciiTheme="majorHAnsi" w:hAnsiTheme="majorHAnsi" w:cstheme="majorHAnsi"/>
          <w:b/>
          <w:bCs/>
          <w:sz w:val="24"/>
          <w:szCs w:val="24"/>
        </w:rPr>
        <w:t xml:space="preserve"> </w:t>
      </w:r>
      <w:r w:rsidRPr="00B86697">
        <w:rPr>
          <w:rFonts w:asciiTheme="majorHAnsi" w:hAnsiTheme="majorHAnsi" w:cstheme="majorHAnsi"/>
          <w:sz w:val="24"/>
          <w:szCs w:val="24"/>
        </w:rPr>
        <w:t>While sustainability is an emerging issue, research on how Indian food businesses adjust to new environmental regulations and shifting consumer expectations remains limited (</w:t>
      </w:r>
      <w:proofErr w:type="spellStart"/>
      <w:r w:rsidRPr="00B86697">
        <w:rPr>
          <w:rFonts w:asciiTheme="majorHAnsi" w:hAnsiTheme="majorHAnsi" w:cstheme="majorHAnsi"/>
          <w:sz w:val="24"/>
          <w:szCs w:val="24"/>
        </w:rPr>
        <w:t>Abdelkafi</w:t>
      </w:r>
      <w:proofErr w:type="spellEnd"/>
      <w:r w:rsidRPr="00B86697">
        <w:rPr>
          <w:rFonts w:asciiTheme="majorHAnsi" w:hAnsiTheme="majorHAnsi" w:cstheme="majorHAnsi"/>
          <w:sz w:val="24"/>
          <w:szCs w:val="24"/>
        </w:rPr>
        <w:t xml:space="preserve"> &amp; </w:t>
      </w:r>
      <w:proofErr w:type="spellStart"/>
      <w:r w:rsidRPr="00B86697">
        <w:rPr>
          <w:rFonts w:asciiTheme="majorHAnsi" w:hAnsiTheme="majorHAnsi" w:cstheme="majorHAnsi"/>
          <w:sz w:val="24"/>
          <w:szCs w:val="24"/>
        </w:rPr>
        <w:t>Täuscher</w:t>
      </w:r>
      <w:proofErr w:type="spellEnd"/>
      <w:r w:rsidRPr="00B86697">
        <w:rPr>
          <w:rFonts w:asciiTheme="majorHAnsi" w:hAnsiTheme="majorHAnsi" w:cstheme="majorHAnsi"/>
          <w:sz w:val="24"/>
          <w:szCs w:val="24"/>
        </w:rPr>
        <w:t>, 2021; Reim et al., 2022).</w:t>
      </w:r>
    </w:p>
    <w:p w14:paraId="7BE15396" w14:textId="02B5B2FE" w:rsidR="00783020" w:rsidRPr="00B86697" w:rsidRDefault="00783020" w:rsidP="00783020">
      <w:pPr>
        <w:rPr>
          <w:rFonts w:asciiTheme="majorHAnsi" w:hAnsiTheme="majorHAnsi" w:cstheme="majorHAnsi"/>
          <w:sz w:val="24"/>
          <w:szCs w:val="24"/>
        </w:rPr>
      </w:pPr>
      <w:r w:rsidRPr="00B86697">
        <w:rPr>
          <w:rStyle w:val="Strong"/>
          <w:rFonts w:asciiTheme="majorHAnsi" w:hAnsiTheme="majorHAnsi" w:cstheme="majorHAnsi"/>
          <w:sz w:val="24"/>
          <w:szCs w:val="24"/>
        </w:rPr>
        <w:t>Effectiveness of Business Support Programs:</w:t>
      </w:r>
      <w:r w:rsidRPr="00B86697">
        <w:rPr>
          <w:rFonts w:asciiTheme="majorHAnsi" w:hAnsiTheme="majorHAnsi" w:cstheme="majorHAnsi"/>
          <w:sz w:val="24"/>
          <w:szCs w:val="24"/>
        </w:rPr>
        <w:t xml:space="preserve"> Further investigation is required into how government policies, funding access, and mentorship initiatives influence the success and expansion of migrant-owned food businesses (Ram &amp; Jones, 2021; Enterprise Research Centre, 2018).</w:t>
      </w:r>
    </w:p>
    <w:p w14:paraId="0FA060CA" w14:textId="16ADE6CD" w:rsidR="00783020" w:rsidRPr="00C37D39" w:rsidRDefault="00783020" w:rsidP="00783020">
      <w:pPr>
        <w:rPr>
          <w:rFonts w:asciiTheme="majorHAnsi" w:hAnsiTheme="majorHAnsi" w:cstheme="majorHAnsi"/>
        </w:rPr>
      </w:pPr>
    </w:p>
    <w:p w14:paraId="287C008B" w14:textId="3B907F23" w:rsidR="00783020" w:rsidRPr="00C37D39" w:rsidRDefault="00C47D8B" w:rsidP="00783020">
      <w:pPr>
        <w:pStyle w:val="Heading1"/>
        <w:rPr>
          <w:rFonts w:cstheme="majorHAnsi"/>
          <w:b/>
          <w:bCs/>
        </w:rPr>
      </w:pPr>
      <w:r>
        <w:rPr>
          <w:rFonts w:cstheme="majorHAnsi"/>
          <w:b/>
          <w:bCs/>
        </w:rPr>
        <w:t>3.</w:t>
      </w:r>
      <w:r w:rsidR="00783020" w:rsidRPr="00C37D39">
        <w:rPr>
          <w:rFonts w:cstheme="majorHAnsi"/>
          <w:b/>
          <w:bCs/>
        </w:rPr>
        <w:t>5. Proposed Research Questions</w:t>
      </w:r>
    </w:p>
    <w:p w14:paraId="3FD47E6F" w14:textId="77777777" w:rsidR="00783020" w:rsidRPr="00B86697" w:rsidRDefault="00783020" w:rsidP="00783020">
      <w:pPr>
        <w:rPr>
          <w:rFonts w:asciiTheme="majorHAnsi" w:hAnsiTheme="majorHAnsi" w:cstheme="majorHAnsi"/>
          <w:sz w:val="24"/>
          <w:szCs w:val="24"/>
        </w:rPr>
      </w:pPr>
      <w:r w:rsidRPr="00B86697">
        <w:rPr>
          <w:rFonts w:asciiTheme="majorHAnsi" w:hAnsiTheme="majorHAnsi" w:cstheme="majorHAnsi"/>
          <w:sz w:val="24"/>
          <w:szCs w:val="24"/>
        </w:rPr>
        <w:t>Based on the literature and identified gaps, the following research questions can help shape future studies:</w:t>
      </w:r>
    </w:p>
    <w:p w14:paraId="560339C5" w14:textId="77777777" w:rsidR="00783020" w:rsidRPr="00B86697" w:rsidRDefault="00783020" w:rsidP="00B86697">
      <w:pPr>
        <w:pStyle w:val="ListParagraph"/>
        <w:numPr>
          <w:ilvl w:val="0"/>
          <w:numId w:val="25"/>
        </w:numPr>
      </w:pPr>
      <w:r w:rsidRPr="00B86697">
        <w:t>How do local regulatory differences impact the business stability and profitability of Indian food entrepreneurs across London (Barrett, Jones &amp; McEvoy, 2020; Thompson, 2017)?</w:t>
      </w:r>
    </w:p>
    <w:p w14:paraId="54CC256A" w14:textId="77777777" w:rsidR="00783020" w:rsidRPr="00B86697" w:rsidRDefault="00783020" w:rsidP="00B86697">
      <w:pPr>
        <w:pStyle w:val="ListParagraph"/>
        <w:numPr>
          <w:ilvl w:val="0"/>
          <w:numId w:val="25"/>
        </w:numPr>
      </w:pPr>
      <w:r w:rsidRPr="00B86697">
        <w:t>What role do digital platforms and innovative business strategies play in strengthening resilience and competitiveness in the Indian food industry (Massa &amp; Tucci, 2021; Velu, 2023)?</w:t>
      </w:r>
    </w:p>
    <w:p w14:paraId="36C42E19" w14:textId="77777777" w:rsidR="00783020" w:rsidRPr="00B86697" w:rsidRDefault="00783020" w:rsidP="00B86697">
      <w:pPr>
        <w:pStyle w:val="ListParagraph"/>
        <w:numPr>
          <w:ilvl w:val="0"/>
          <w:numId w:val="25"/>
        </w:numPr>
      </w:pPr>
      <w:r w:rsidRPr="00B86697">
        <w:t>How do social networks and transnational relationships contribute to, or constrain, business expansion and adaptation within London’s Indian food sector (</w:t>
      </w:r>
      <w:proofErr w:type="spellStart"/>
      <w:r w:rsidRPr="00B86697">
        <w:t>Basu</w:t>
      </w:r>
      <w:proofErr w:type="spellEnd"/>
      <w:r w:rsidRPr="00B86697">
        <w:t>, 2015; Barrett, McEvoy &amp; Jones, 1996)?</w:t>
      </w:r>
    </w:p>
    <w:p w14:paraId="1F293FB7" w14:textId="77777777" w:rsidR="00783020" w:rsidRPr="00B86697" w:rsidRDefault="00783020" w:rsidP="00B86697">
      <w:pPr>
        <w:pStyle w:val="ListParagraph"/>
        <w:numPr>
          <w:ilvl w:val="0"/>
          <w:numId w:val="25"/>
        </w:numPr>
      </w:pPr>
      <w:r w:rsidRPr="00B86697">
        <w:t>How are Indian food entrepreneurs integrating sustainability practices within their businesses, and what challenges do they face in meeting environmental regulations and consumer preferences (</w:t>
      </w:r>
      <w:proofErr w:type="spellStart"/>
      <w:r w:rsidRPr="00B86697">
        <w:t>Abdelkafi</w:t>
      </w:r>
      <w:proofErr w:type="spellEnd"/>
      <w:r w:rsidRPr="00B86697">
        <w:t xml:space="preserve"> &amp; </w:t>
      </w:r>
      <w:proofErr w:type="spellStart"/>
      <w:r w:rsidRPr="00B86697">
        <w:t>Täuscher</w:t>
      </w:r>
      <w:proofErr w:type="spellEnd"/>
      <w:r w:rsidRPr="00B86697">
        <w:t>, 2021; Reim et al., 2022)?</w:t>
      </w:r>
    </w:p>
    <w:p w14:paraId="0C7DFFAA" w14:textId="77777777" w:rsidR="00783020" w:rsidRPr="00B86697" w:rsidRDefault="00783020" w:rsidP="00B86697">
      <w:pPr>
        <w:pStyle w:val="ListParagraph"/>
        <w:numPr>
          <w:ilvl w:val="0"/>
          <w:numId w:val="25"/>
        </w:numPr>
      </w:pPr>
      <w:r w:rsidRPr="00B86697">
        <w:t>How do migrant entrepreneurs navigate cultural, regulatory, and market uncertainties while balancing identity and business success (Sage Journals Study Authors, 2024; Carter et al., 2013)?</w:t>
      </w:r>
    </w:p>
    <w:p w14:paraId="58C5C85D" w14:textId="77777777" w:rsidR="00783020" w:rsidRPr="00B86697" w:rsidRDefault="00783020" w:rsidP="00B86697">
      <w:pPr>
        <w:pStyle w:val="ListParagraph"/>
        <w:numPr>
          <w:ilvl w:val="0"/>
          <w:numId w:val="25"/>
        </w:numPr>
      </w:pPr>
      <w:r w:rsidRPr="00B86697">
        <w:t>How effective are government policies and industry support programs in addressing barriers faced by Indian food entrepreneurs (Ram &amp; Jones, 2021; Enterprise Research Centre, 2018)?</w:t>
      </w:r>
    </w:p>
    <w:p w14:paraId="36A48D0C" w14:textId="77777777" w:rsidR="00783020" w:rsidRPr="00B86697" w:rsidRDefault="00783020" w:rsidP="00B86697">
      <w:pPr>
        <w:pStyle w:val="ListParagraph"/>
        <w:numPr>
          <w:ilvl w:val="0"/>
          <w:numId w:val="25"/>
        </w:numPr>
      </w:pPr>
      <w:r w:rsidRPr="00B86697">
        <w:t xml:space="preserve">In what ways do gender and generational differences influence business strategies and adaptation among Indian food entrepreneurs in London (Carter, Ram, Trehan &amp; Jones, 2013; Aliaga-Isla &amp; </w:t>
      </w:r>
      <w:proofErr w:type="spellStart"/>
      <w:r w:rsidRPr="00B86697">
        <w:t>Rialp</w:t>
      </w:r>
      <w:proofErr w:type="spellEnd"/>
      <w:r w:rsidRPr="00B86697">
        <w:t>, 2013)?</w:t>
      </w:r>
    </w:p>
    <w:p w14:paraId="61C3E976" w14:textId="77777777" w:rsidR="00783020" w:rsidRPr="00B86697" w:rsidRDefault="00783020" w:rsidP="00B86697">
      <w:pPr>
        <w:pStyle w:val="ListParagraph"/>
        <w:numPr>
          <w:ilvl w:val="0"/>
          <w:numId w:val="25"/>
        </w:numPr>
        <w:rPr>
          <w:rFonts w:asciiTheme="majorHAnsi" w:hAnsiTheme="majorHAnsi" w:cstheme="majorHAnsi"/>
          <w:sz w:val="24"/>
          <w:szCs w:val="24"/>
        </w:rPr>
      </w:pPr>
      <w:r w:rsidRPr="00B86697">
        <w:t xml:space="preserve">What long-term effects have Brexit and the COVID-19 pandemic had on Indian food businesses concerning </w:t>
      </w:r>
      <w:proofErr w:type="spellStart"/>
      <w:r w:rsidRPr="00B86697">
        <w:t>labor</w:t>
      </w:r>
      <w:proofErr w:type="spellEnd"/>
      <w:r w:rsidRPr="00B86697">
        <w:t xml:space="preserve"> shortages, supply chains, and financial stability (Chesbrough, 2020; Migration Observatory, 2024)?</w:t>
      </w:r>
    </w:p>
    <w:p w14:paraId="6BE2F559" w14:textId="74F77063" w:rsidR="00783020" w:rsidRPr="00B86697" w:rsidRDefault="00783020" w:rsidP="00783020">
      <w:pPr>
        <w:rPr>
          <w:rFonts w:asciiTheme="majorHAnsi" w:hAnsiTheme="majorHAnsi" w:cstheme="majorHAnsi"/>
        </w:rPr>
      </w:pPr>
    </w:p>
    <w:p w14:paraId="539F8A4A" w14:textId="573458A9" w:rsidR="00783020" w:rsidRPr="00C37D39" w:rsidRDefault="00783020" w:rsidP="00783020">
      <w:pPr>
        <w:pStyle w:val="Heading1"/>
        <w:rPr>
          <w:rFonts w:cstheme="majorHAnsi"/>
          <w:b/>
          <w:bCs/>
        </w:rPr>
      </w:pPr>
      <w:r w:rsidRPr="00C37D39">
        <w:rPr>
          <w:rFonts w:cstheme="majorHAnsi"/>
          <w:b/>
          <w:bCs/>
        </w:rPr>
        <w:lastRenderedPageBreak/>
        <w:t>References</w:t>
      </w:r>
    </w:p>
    <w:p w14:paraId="4326BA1E" w14:textId="77777777" w:rsidR="00C37D39" w:rsidRPr="00B86697" w:rsidRDefault="00783020" w:rsidP="00783020">
      <w:pPr>
        <w:pStyle w:val="ListNumber2"/>
        <w:numPr>
          <w:ilvl w:val="0"/>
          <w:numId w:val="26"/>
        </w:numPr>
        <w:rPr>
          <w:rFonts w:asciiTheme="majorHAnsi" w:hAnsiTheme="majorHAnsi" w:cstheme="majorHAnsi"/>
          <w:sz w:val="24"/>
          <w:szCs w:val="24"/>
        </w:rPr>
      </w:pPr>
      <w:proofErr w:type="spellStart"/>
      <w:r w:rsidRPr="00B86697">
        <w:rPr>
          <w:rFonts w:asciiTheme="majorHAnsi" w:hAnsiTheme="majorHAnsi" w:cstheme="majorHAnsi"/>
          <w:sz w:val="24"/>
          <w:szCs w:val="24"/>
        </w:rPr>
        <w:t>Abdelkafi</w:t>
      </w:r>
      <w:proofErr w:type="spellEnd"/>
      <w:r w:rsidRPr="00B86697">
        <w:rPr>
          <w:rFonts w:asciiTheme="majorHAnsi" w:hAnsiTheme="majorHAnsi" w:cstheme="majorHAnsi"/>
          <w:sz w:val="24"/>
          <w:szCs w:val="24"/>
        </w:rPr>
        <w:t xml:space="preserve">, N. &amp; </w:t>
      </w:r>
      <w:proofErr w:type="spellStart"/>
      <w:r w:rsidRPr="00B86697">
        <w:rPr>
          <w:rFonts w:asciiTheme="majorHAnsi" w:hAnsiTheme="majorHAnsi" w:cstheme="majorHAnsi"/>
          <w:sz w:val="24"/>
          <w:szCs w:val="24"/>
        </w:rPr>
        <w:t>Täuscher</w:t>
      </w:r>
      <w:proofErr w:type="spellEnd"/>
      <w:r w:rsidRPr="00B86697">
        <w:rPr>
          <w:rFonts w:asciiTheme="majorHAnsi" w:hAnsiTheme="majorHAnsi" w:cstheme="majorHAnsi"/>
          <w:sz w:val="24"/>
          <w:szCs w:val="24"/>
        </w:rPr>
        <w:t>, K. (2021) ‘Business Models for Sustainability: Origins, Present Research, and Future Avenues’.</w:t>
      </w:r>
    </w:p>
    <w:p w14:paraId="15E29E39"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Ali, S. &amp; Ali, M. (2021) ‘Digital transformation in ethnic minority restaurants’, Journal of Business Research, 134, pp. 432-441.</w:t>
      </w:r>
    </w:p>
    <w:p w14:paraId="4D619EF2"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 xml:space="preserve">Aliaga-Isla, R. &amp; </w:t>
      </w:r>
      <w:proofErr w:type="spellStart"/>
      <w:r w:rsidRPr="00B86697">
        <w:rPr>
          <w:rFonts w:asciiTheme="majorHAnsi" w:hAnsiTheme="majorHAnsi" w:cstheme="majorHAnsi"/>
          <w:sz w:val="24"/>
          <w:szCs w:val="24"/>
        </w:rPr>
        <w:t>Rialp</w:t>
      </w:r>
      <w:proofErr w:type="spellEnd"/>
      <w:r w:rsidRPr="00B86697">
        <w:rPr>
          <w:rFonts w:asciiTheme="majorHAnsi" w:hAnsiTheme="majorHAnsi" w:cstheme="majorHAnsi"/>
          <w:sz w:val="24"/>
          <w:szCs w:val="24"/>
        </w:rPr>
        <w:t>, A. (2013) ‘Systematic Review of Immigrant Entrepreneurship Literature’.</w:t>
      </w:r>
    </w:p>
    <w:p w14:paraId="5E7E929D"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Azmat, F. (2013) ‘Challenges in migrant entrepreneurship’, Journal of Business Diversity, 13(2), pp. 200-215.</w:t>
      </w:r>
    </w:p>
    <w:p w14:paraId="079831FA"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Barrett, G., Jones, T. &amp; McEvoy, D. (2020) ‘Ethnic Minority Business in the UK: Disadvantage and Enterprise’.</w:t>
      </w:r>
    </w:p>
    <w:p w14:paraId="32EB048F"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Barrett, G., McEvoy, D. &amp; Jones, T. (1996) ‘Social Networks and Ethnic Minority Business in London’.</w:t>
      </w:r>
    </w:p>
    <w:p w14:paraId="196B8109" w14:textId="77777777" w:rsidR="00C37D39" w:rsidRPr="00B86697" w:rsidRDefault="00783020" w:rsidP="00783020">
      <w:pPr>
        <w:pStyle w:val="ListNumber2"/>
        <w:numPr>
          <w:ilvl w:val="0"/>
          <w:numId w:val="26"/>
        </w:numPr>
        <w:rPr>
          <w:rFonts w:asciiTheme="majorHAnsi" w:hAnsiTheme="majorHAnsi" w:cstheme="majorHAnsi"/>
          <w:sz w:val="24"/>
          <w:szCs w:val="24"/>
        </w:rPr>
      </w:pPr>
      <w:proofErr w:type="spellStart"/>
      <w:r w:rsidRPr="00B86697">
        <w:rPr>
          <w:rFonts w:asciiTheme="majorHAnsi" w:hAnsiTheme="majorHAnsi" w:cstheme="majorHAnsi"/>
          <w:sz w:val="24"/>
          <w:szCs w:val="24"/>
        </w:rPr>
        <w:t>Basu</w:t>
      </w:r>
      <w:proofErr w:type="spellEnd"/>
      <w:r w:rsidRPr="00B86697">
        <w:rPr>
          <w:rFonts w:asciiTheme="majorHAnsi" w:hAnsiTheme="majorHAnsi" w:cstheme="majorHAnsi"/>
          <w:sz w:val="24"/>
          <w:szCs w:val="24"/>
        </w:rPr>
        <w:t>, A. (2015) ‘Transnational Entrepreneurship among Indian Immigrants in London’.</w:t>
      </w:r>
    </w:p>
    <w:p w14:paraId="44CB1A37"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British Online Archives (2022) ‘“Going for an Indian”: Food, Immigration and Multiculturalism in Britain’.</w:t>
      </w:r>
    </w:p>
    <w:p w14:paraId="60166A37"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Carter, S., Ram, M., Trehan, K. &amp; Jones, T. (2013) ‘Diversity and SMEs: Agency and Context in Ethnic Minority Businesses’.</w:t>
      </w:r>
    </w:p>
    <w:p w14:paraId="32BCA067"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Chesbrough, H. (2020) ‘To Recover Faster from Covid-19, Open Up: Managerial Implications’.</w:t>
      </w:r>
    </w:p>
    <w:p w14:paraId="4449C35B"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 xml:space="preserve">DELI Project Researchers (2020) ‘Migrant Entrepreneurship in </w:t>
      </w:r>
      <w:proofErr w:type="spellStart"/>
      <w:r w:rsidRPr="00B86697">
        <w:rPr>
          <w:rFonts w:asciiTheme="majorHAnsi" w:hAnsiTheme="majorHAnsi" w:cstheme="majorHAnsi"/>
          <w:sz w:val="24"/>
          <w:szCs w:val="24"/>
        </w:rPr>
        <w:t>Lewisham</w:t>
      </w:r>
      <w:proofErr w:type="spellEnd"/>
      <w:r w:rsidRPr="00B86697">
        <w:rPr>
          <w:rFonts w:asciiTheme="majorHAnsi" w:hAnsiTheme="majorHAnsi" w:cstheme="majorHAnsi"/>
          <w:sz w:val="24"/>
          <w:szCs w:val="24"/>
        </w:rPr>
        <w:t>’.</w:t>
      </w:r>
    </w:p>
    <w:p w14:paraId="7225B411"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Emerald Study Authors (2024) ‘Migrant Entrepreneurs in Entrepreneurial Ecosystems with Constraints’.</w:t>
      </w:r>
    </w:p>
    <w:p w14:paraId="576CE644"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Enterprise Research Centre (2018) ‘Under-represented Entrepreneurs: A Literature Review’.</w:t>
      </w:r>
    </w:p>
    <w:p w14:paraId="37DDF9C9"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Farrer, J. (2015) ‘Culinary Contact Zones: Migrant-Run Eateries in Urban’.</w:t>
      </w:r>
    </w:p>
    <w:p w14:paraId="2DAFB15F"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 xml:space="preserve">Gilsing, R., </w:t>
      </w:r>
      <w:proofErr w:type="spellStart"/>
      <w:r w:rsidRPr="00B86697">
        <w:rPr>
          <w:rFonts w:asciiTheme="majorHAnsi" w:hAnsiTheme="majorHAnsi" w:cstheme="majorHAnsi"/>
          <w:sz w:val="24"/>
          <w:szCs w:val="24"/>
        </w:rPr>
        <w:t>Turetken</w:t>
      </w:r>
      <w:proofErr w:type="spellEnd"/>
      <w:r w:rsidRPr="00B86697">
        <w:rPr>
          <w:rFonts w:asciiTheme="majorHAnsi" w:hAnsiTheme="majorHAnsi" w:cstheme="majorHAnsi"/>
          <w:sz w:val="24"/>
          <w:szCs w:val="24"/>
        </w:rPr>
        <w:t>, O. et al. (2022) ‘Business Model Evaluation: A Systematic Review of Methods’.</w:t>
      </w:r>
    </w:p>
    <w:p w14:paraId="74600BE8"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Grant Thornton UK (2022) ‘India in the UK: the diaspora effect 2.0’.</w:t>
      </w:r>
    </w:p>
    <w:p w14:paraId="0D3E97B3"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Home Office (2022) ‘Migration Statistics Quarterly Report’.</w:t>
      </w:r>
    </w:p>
    <w:p w14:paraId="220EBFC1"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Jones, T., Ram, M. &amp; Edwards, P. (2010) ‘Ethnic Minority Businesses and the UK Economic Crisis’.</w:t>
      </w:r>
    </w:p>
    <w:p w14:paraId="1FE872D4"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Jones, T., Ram, M. &amp; Theodorakopoulos, N. (2010) ‘Transnationalism as a Force for Ethnic Minority Enterprise?’.</w:t>
      </w:r>
    </w:p>
    <w:p w14:paraId="61C521CE"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Kloosterman, R. &amp; Rath, J. (2018) ‘Mixed Embeddedness Revisited: A Conclusion to the Symposium’.</w:t>
      </w:r>
    </w:p>
    <w:p w14:paraId="3ABB9AAE"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Light, I. &amp; Gold, S.J. (2000) Ethnic Economies.</w:t>
      </w:r>
    </w:p>
    <w:p w14:paraId="2BEB5721"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London Datastore/ONS (2025) ‘Recent Migration Trends in the UK and London’.</w:t>
      </w:r>
    </w:p>
    <w:p w14:paraId="7CB6DFD6"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Mahesh Raikar (2022) ‘</w:t>
      </w:r>
      <w:proofErr w:type="spellStart"/>
      <w:r w:rsidRPr="00B86697">
        <w:rPr>
          <w:rFonts w:asciiTheme="majorHAnsi" w:hAnsiTheme="majorHAnsi" w:cstheme="majorHAnsi"/>
          <w:sz w:val="24"/>
          <w:szCs w:val="24"/>
        </w:rPr>
        <w:t>Wrapchic</w:t>
      </w:r>
      <w:proofErr w:type="spellEnd"/>
      <w:r w:rsidRPr="00B86697">
        <w:rPr>
          <w:rFonts w:asciiTheme="majorHAnsi" w:hAnsiTheme="majorHAnsi" w:cstheme="majorHAnsi"/>
          <w:sz w:val="24"/>
          <w:szCs w:val="24"/>
        </w:rPr>
        <w:t>: Indian Food Innovation in the UK’.</w:t>
      </w:r>
    </w:p>
    <w:p w14:paraId="25A4E10C"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Massa, L. &amp; Tucci, C.L. (2021) ‘Business Model Innovation: What Can We Learn from Practice?’.</w:t>
      </w:r>
    </w:p>
    <w:p w14:paraId="7B56D0A7"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 xml:space="preserve">Migration Observatory (2024) ‘Migrants in the UK </w:t>
      </w:r>
      <w:proofErr w:type="spellStart"/>
      <w:r w:rsidRPr="00B86697">
        <w:rPr>
          <w:rFonts w:asciiTheme="majorHAnsi" w:hAnsiTheme="majorHAnsi" w:cstheme="majorHAnsi"/>
          <w:sz w:val="24"/>
          <w:szCs w:val="24"/>
        </w:rPr>
        <w:t>Labour</w:t>
      </w:r>
      <w:proofErr w:type="spellEnd"/>
      <w:r w:rsidRPr="00B86697">
        <w:rPr>
          <w:rFonts w:asciiTheme="majorHAnsi" w:hAnsiTheme="majorHAnsi" w:cstheme="majorHAnsi"/>
          <w:sz w:val="24"/>
          <w:szCs w:val="24"/>
        </w:rPr>
        <w:t xml:space="preserve"> Market: An Overview’.</w:t>
      </w:r>
    </w:p>
    <w:p w14:paraId="3D272821"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Mintel (2023) ‘UK Ethnic Restaurants and Takeaways Market Report’.</w:t>
      </w:r>
    </w:p>
    <w:p w14:paraId="2667FD7C"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Migrant Acceleration Consortium (2021) ‘Identifying Common Issues and Challenges of Migrant Entrepreneurs’.</w:t>
      </w:r>
    </w:p>
    <w:p w14:paraId="0E7CE4F1"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O’Hagan, A. et al. (2006) ‘Uncertainty in Business Model Evaluation’.</w:t>
      </w:r>
    </w:p>
    <w:p w14:paraId="308EE26F"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PubMed Study Authors (2025) ‘The Unifying Role of Food for Forced Migrants' Entrepreneurial Activities’.</w:t>
      </w:r>
    </w:p>
    <w:p w14:paraId="3E7F1237"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Ram, M. &amp; Jones, T. (2019) ‘Population Superdiversity and New Migrant Enterprise’.</w:t>
      </w:r>
    </w:p>
    <w:p w14:paraId="4DD0FA40"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Ram, M. &amp; Jones, T. (2021) ‘Ethnic Minority Businesses in the UK: A Review of Research and Policy’.</w:t>
      </w:r>
    </w:p>
    <w:p w14:paraId="5AF8360F"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Ram, M., Theodorakopoulos, N. &amp; Jones, T. (2008) ‘Forms of Capital, Mixed Embeddedness and Somali Enterprise in London’.</w:t>
      </w:r>
    </w:p>
    <w:p w14:paraId="3926ADD1" w14:textId="77777777" w:rsidR="00C37D39" w:rsidRPr="00B86697" w:rsidRDefault="00783020" w:rsidP="00783020">
      <w:pPr>
        <w:pStyle w:val="ListNumber2"/>
        <w:numPr>
          <w:ilvl w:val="0"/>
          <w:numId w:val="26"/>
        </w:numPr>
        <w:rPr>
          <w:rFonts w:asciiTheme="majorHAnsi" w:hAnsiTheme="majorHAnsi" w:cstheme="majorHAnsi"/>
          <w:sz w:val="24"/>
          <w:szCs w:val="24"/>
        </w:rPr>
      </w:pPr>
      <w:proofErr w:type="spellStart"/>
      <w:r w:rsidRPr="00B86697">
        <w:rPr>
          <w:rFonts w:asciiTheme="majorHAnsi" w:hAnsiTheme="majorHAnsi" w:cstheme="majorHAnsi"/>
          <w:sz w:val="24"/>
          <w:szCs w:val="24"/>
        </w:rPr>
        <w:t>Remitly</w:t>
      </w:r>
      <w:proofErr w:type="spellEnd"/>
      <w:r w:rsidRPr="00B86697">
        <w:rPr>
          <w:rFonts w:asciiTheme="majorHAnsi" w:hAnsiTheme="majorHAnsi" w:cstheme="majorHAnsi"/>
          <w:sz w:val="24"/>
          <w:szCs w:val="24"/>
        </w:rPr>
        <w:t xml:space="preserve"> Blog (2025) ‘Popular Immigrant-Owned Businesses in the UK’.</w:t>
      </w:r>
    </w:p>
    <w:p w14:paraId="28A6A830"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 xml:space="preserve">Reim, W., Parida, V. &amp; </w:t>
      </w:r>
      <w:proofErr w:type="spellStart"/>
      <w:r w:rsidRPr="00B86697">
        <w:rPr>
          <w:rFonts w:asciiTheme="majorHAnsi" w:hAnsiTheme="majorHAnsi" w:cstheme="majorHAnsi"/>
          <w:sz w:val="24"/>
          <w:szCs w:val="24"/>
        </w:rPr>
        <w:t>Sjödin</w:t>
      </w:r>
      <w:proofErr w:type="spellEnd"/>
      <w:r w:rsidRPr="00B86697">
        <w:rPr>
          <w:rFonts w:asciiTheme="majorHAnsi" w:hAnsiTheme="majorHAnsi" w:cstheme="majorHAnsi"/>
          <w:sz w:val="24"/>
          <w:szCs w:val="24"/>
        </w:rPr>
        <w:t>, D. (2022) ‘Circular Business Models: Review and Future Directions’.</w:t>
      </w:r>
    </w:p>
    <w:p w14:paraId="5833CAD8"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lastRenderedPageBreak/>
        <w:t>Sage Journals Study Authors (2024) ‘Migrant Entrepreneurs: Strategic Approaches to Overcoming Liminality’.</w:t>
      </w:r>
    </w:p>
    <w:p w14:paraId="605C65B5"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Sepulveda, L., Syrett, S. &amp; Lyon, F. (2011) ‘Population Superdiversity and New Migrant Enterprise in London’.</w:t>
      </w:r>
    </w:p>
    <w:p w14:paraId="7BFF65BA" w14:textId="77777777" w:rsidR="00C37D39" w:rsidRPr="00B86697" w:rsidRDefault="00783020" w:rsidP="00783020">
      <w:pPr>
        <w:pStyle w:val="ListNumber2"/>
        <w:numPr>
          <w:ilvl w:val="0"/>
          <w:numId w:val="26"/>
        </w:numPr>
        <w:rPr>
          <w:rFonts w:asciiTheme="majorHAnsi" w:hAnsiTheme="majorHAnsi" w:cstheme="majorHAnsi"/>
          <w:sz w:val="24"/>
          <w:szCs w:val="24"/>
        </w:rPr>
      </w:pPr>
      <w:proofErr w:type="spellStart"/>
      <w:r w:rsidRPr="00B86697">
        <w:rPr>
          <w:rFonts w:asciiTheme="majorHAnsi" w:hAnsiTheme="majorHAnsi" w:cstheme="majorHAnsi"/>
          <w:sz w:val="24"/>
          <w:szCs w:val="24"/>
        </w:rPr>
        <w:t>Smallbone</w:t>
      </w:r>
      <w:proofErr w:type="spellEnd"/>
      <w:r w:rsidRPr="00B86697">
        <w:rPr>
          <w:rFonts w:asciiTheme="majorHAnsi" w:hAnsiTheme="majorHAnsi" w:cstheme="majorHAnsi"/>
          <w:sz w:val="24"/>
          <w:szCs w:val="24"/>
        </w:rPr>
        <w:t>, D., Kitching, J. &amp; Athayde, R. (2010) ‘Ethnic Diversity, Enterprise and Competitiveness in London’.</w:t>
      </w:r>
    </w:p>
    <w:p w14:paraId="78CB6AB7"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 xml:space="preserve">Spieth, P., </w:t>
      </w:r>
      <w:proofErr w:type="spellStart"/>
      <w:r w:rsidRPr="00B86697">
        <w:rPr>
          <w:rFonts w:asciiTheme="majorHAnsi" w:hAnsiTheme="majorHAnsi" w:cstheme="majorHAnsi"/>
          <w:sz w:val="24"/>
          <w:szCs w:val="24"/>
        </w:rPr>
        <w:t>Schneckenberg</w:t>
      </w:r>
      <w:proofErr w:type="spellEnd"/>
      <w:r w:rsidRPr="00B86697">
        <w:rPr>
          <w:rFonts w:asciiTheme="majorHAnsi" w:hAnsiTheme="majorHAnsi" w:cstheme="majorHAnsi"/>
          <w:sz w:val="24"/>
          <w:szCs w:val="24"/>
        </w:rPr>
        <w:t>, D. &amp; Ricart, J.E. (2021) ‘Business Model Innovation – State of the Art and Future Challenges’.</w:t>
      </w:r>
    </w:p>
    <w:p w14:paraId="7E79BBFD"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Thompson, S. (2017) ‘Challenges and Issues facing Ethnic Minority Small Business Owners’.</w:t>
      </w:r>
    </w:p>
    <w:p w14:paraId="578BB2DC"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Velu, C. (2023) ‘Business Model Innovation and Competitive Advantage’.</w:t>
      </w:r>
    </w:p>
    <w:p w14:paraId="4CC7A960"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Vaughan, L. (2015) ‘Suburban Urbanities: Suburbs and the Life of the High Street’.</w:t>
      </w:r>
    </w:p>
    <w:p w14:paraId="37463118" w14:textId="77777777" w:rsidR="00C37D39"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Wessendorf, S. (2022) ‘Migrant-run Eateries as Intercultural Third Places’.</w:t>
      </w:r>
    </w:p>
    <w:p w14:paraId="0E3A28AF" w14:textId="05B2CBEF" w:rsidR="00783020" w:rsidRPr="00B86697" w:rsidRDefault="00783020" w:rsidP="00783020">
      <w:pPr>
        <w:pStyle w:val="ListNumber2"/>
        <w:numPr>
          <w:ilvl w:val="0"/>
          <w:numId w:val="26"/>
        </w:numPr>
        <w:rPr>
          <w:rFonts w:asciiTheme="majorHAnsi" w:hAnsiTheme="majorHAnsi" w:cstheme="majorHAnsi"/>
          <w:sz w:val="24"/>
          <w:szCs w:val="24"/>
        </w:rPr>
      </w:pPr>
      <w:r w:rsidRPr="00B86697">
        <w:rPr>
          <w:rFonts w:asciiTheme="majorHAnsi" w:hAnsiTheme="majorHAnsi" w:cstheme="majorHAnsi"/>
          <w:sz w:val="24"/>
          <w:szCs w:val="24"/>
        </w:rPr>
        <w:t>Yüksel, I. (2012) ‘SWOT/PESTEL Analysis in Business Model Evaluation’.</w:t>
      </w:r>
    </w:p>
    <w:sectPr w:rsidR="00783020" w:rsidRPr="00B86697" w:rsidSect="00955BA8">
      <w:footerReference w:type="default" r:id="rId10"/>
      <w:pgSz w:w="11906" w:h="16838"/>
      <w:pgMar w:top="720" w:right="720" w:bottom="720" w:left="72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860D6" w14:textId="77777777" w:rsidR="009C15C8" w:rsidRDefault="009C15C8" w:rsidP="00C57583">
      <w:pPr>
        <w:spacing w:after="0" w:line="240" w:lineRule="auto"/>
      </w:pPr>
      <w:r>
        <w:separator/>
      </w:r>
    </w:p>
  </w:endnote>
  <w:endnote w:type="continuationSeparator" w:id="0">
    <w:p w14:paraId="757A104F" w14:textId="77777777" w:rsidR="009C15C8" w:rsidRDefault="009C15C8" w:rsidP="00C57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413490"/>
      <w:docPartObj>
        <w:docPartGallery w:val="Page Numbers (Bottom of Page)"/>
        <w:docPartUnique/>
      </w:docPartObj>
    </w:sdtPr>
    <w:sdtEndPr>
      <w:rPr>
        <w:noProof/>
      </w:rPr>
    </w:sdtEndPr>
    <w:sdtContent>
      <w:p w14:paraId="3F67A83F" w14:textId="6635D76F" w:rsidR="00C57583" w:rsidRDefault="00C575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A989EB" w14:textId="77777777" w:rsidR="00C57583" w:rsidRDefault="00C57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B1192" w14:textId="77777777" w:rsidR="009C15C8" w:rsidRDefault="009C15C8" w:rsidP="00C57583">
      <w:pPr>
        <w:spacing w:after="0" w:line="240" w:lineRule="auto"/>
      </w:pPr>
      <w:r>
        <w:separator/>
      </w:r>
    </w:p>
  </w:footnote>
  <w:footnote w:type="continuationSeparator" w:id="0">
    <w:p w14:paraId="7E127ED2" w14:textId="77777777" w:rsidR="009C15C8" w:rsidRDefault="009C15C8" w:rsidP="00C575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360"/>
        </w:tabs>
        <w:ind w:left="36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C069D8"/>
    <w:multiLevelType w:val="multilevel"/>
    <w:tmpl w:val="E99C828C"/>
    <w:styleLink w:val="CurrentList1"/>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092E4979"/>
    <w:multiLevelType w:val="multilevel"/>
    <w:tmpl w:val="DE0AD72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42D3CE1"/>
    <w:multiLevelType w:val="multilevel"/>
    <w:tmpl w:val="E99C828C"/>
    <w:styleLink w:val="CurrentList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17BB1A50"/>
    <w:multiLevelType w:val="multilevel"/>
    <w:tmpl w:val="54D264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195E5D89"/>
    <w:multiLevelType w:val="multilevel"/>
    <w:tmpl w:val="1BC00CCC"/>
    <w:lvl w:ilvl="0">
      <w:start w:val="1"/>
      <w:numFmt w:val="decimal"/>
      <w:lvlText w:val="%1"/>
      <w:lvlJc w:val="left"/>
      <w:pPr>
        <w:ind w:left="405" w:hanging="405"/>
      </w:pPr>
      <w:rPr>
        <w:rFonts w:hint="default"/>
      </w:rPr>
    </w:lvl>
    <w:lvl w:ilvl="1">
      <w:start w:val="1"/>
      <w:numFmt w:val="decimal"/>
      <w:lvlText w:val="%1.%2"/>
      <w:lvlJc w:val="left"/>
      <w:pPr>
        <w:ind w:left="1200" w:hanging="72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360" w:hanging="144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520" w:hanging="2160"/>
      </w:pPr>
      <w:rPr>
        <w:rFonts w:hint="default"/>
      </w:rPr>
    </w:lvl>
    <w:lvl w:ilvl="8">
      <w:start w:val="1"/>
      <w:numFmt w:val="decimal"/>
      <w:lvlText w:val="%1.%2.%3.%4.%5.%6.%7.%8.%9"/>
      <w:lvlJc w:val="left"/>
      <w:pPr>
        <w:ind w:left="6000" w:hanging="2160"/>
      </w:pPr>
      <w:rPr>
        <w:rFonts w:hint="default"/>
      </w:rPr>
    </w:lvl>
  </w:abstractNum>
  <w:abstractNum w:abstractNumId="14" w15:restartNumberingAfterBreak="0">
    <w:nsid w:val="1EAF58A5"/>
    <w:multiLevelType w:val="multilevel"/>
    <w:tmpl w:val="E99C828C"/>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29BB2ED9"/>
    <w:multiLevelType w:val="multilevel"/>
    <w:tmpl w:val="DED050BC"/>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FE05089"/>
    <w:multiLevelType w:val="multilevel"/>
    <w:tmpl w:val="54D264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327F6FFA"/>
    <w:multiLevelType w:val="multilevel"/>
    <w:tmpl w:val="10083E2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5D3235A"/>
    <w:multiLevelType w:val="hybridMultilevel"/>
    <w:tmpl w:val="EA961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182D69"/>
    <w:multiLevelType w:val="multilevel"/>
    <w:tmpl w:val="B61A8B50"/>
    <w:lvl w:ilvl="0">
      <w:start w:val="3"/>
      <w:numFmt w:val="decimal"/>
      <w:lvlText w:val="%1"/>
      <w:lvlJc w:val="left"/>
      <w:pPr>
        <w:ind w:left="570" w:hanging="570"/>
      </w:pPr>
      <w:rPr>
        <w:rFonts w:hint="default"/>
      </w:rPr>
    </w:lvl>
    <w:lvl w:ilvl="1">
      <w:start w:val="1"/>
      <w:numFmt w:val="decimal"/>
      <w:lvlText w:val="%1.%2"/>
      <w:lvlJc w:val="left"/>
      <w:pPr>
        <w:ind w:left="570" w:hanging="57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43E0681"/>
    <w:multiLevelType w:val="hybridMultilevel"/>
    <w:tmpl w:val="487402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90C6FEB"/>
    <w:multiLevelType w:val="hybridMultilevel"/>
    <w:tmpl w:val="BB0A0D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9415EF0"/>
    <w:multiLevelType w:val="multilevel"/>
    <w:tmpl w:val="D89ED392"/>
    <w:lvl w:ilvl="0">
      <w:start w:val="1"/>
      <w:numFmt w:val="decimal"/>
      <w:lvlText w:val="%1.0"/>
      <w:lvlJc w:val="left"/>
      <w:pPr>
        <w:ind w:left="810" w:hanging="405"/>
      </w:pPr>
      <w:rPr>
        <w:rFonts w:hint="default"/>
        <w:b/>
      </w:rPr>
    </w:lvl>
    <w:lvl w:ilvl="1">
      <w:start w:val="1"/>
      <w:numFmt w:val="decimal"/>
      <w:lvlText w:val="%1.%2"/>
      <w:lvlJc w:val="left"/>
      <w:pPr>
        <w:ind w:left="1530" w:hanging="405"/>
      </w:pPr>
      <w:rPr>
        <w:rFonts w:hint="default"/>
        <w:b/>
      </w:rPr>
    </w:lvl>
    <w:lvl w:ilvl="2">
      <w:start w:val="1"/>
      <w:numFmt w:val="decimal"/>
      <w:lvlText w:val="%1.%2.%3"/>
      <w:lvlJc w:val="left"/>
      <w:pPr>
        <w:ind w:left="2565" w:hanging="720"/>
      </w:pPr>
      <w:rPr>
        <w:rFonts w:hint="default"/>
        <w:b/>
      </w:rPr>
    </w:lvl>
    <w:lvl w:ilvl="3">
      <w:start w:val="1"/>
      <w:numFmt w:val="decimal"/>
      <w:lvlText w:val="%1.%2.%3.%4"/>
      <w:lvlJc w:val="left"/>
      <w:pPr>
        <w:ind w:left="3645" w:hanging="1080"/>
      </w:pPr>
      <w:rPr>
        <w:rFonts w:hint="default"/>
        <w:b/>
      </w:rPr>
    </w:lvl>
    <w:lvl w:ilvl="4">
      <w:start w:val="1"/>
      <w:numFmt w:val="decimal"/>
      <w:lvlText w:val="%1.%2.%3.%4.%5"/>
      <w:lvlJc w:val="left"/>
      <w:pPr>
        <w:ind w:left="4365" w:hanging="1080"/>
      </w:pPr>
      <w:rPr>
        <w:rFonts w:hint="default"/>
        <w:b/>
      </w:rPr>
    </w:lvl>
    <w:lvl w:ilvl="5">
      <w:start w:val="1"/>
      <w:numFmt w:val="decimal"/>
      <w:lvlText w:val="%1.%2.%3.%4.%5.%6"/>
      <w:lvlJc w:val="left"/>
      <w:pPr>
        <w:ind w:left="5445" w:hanging="1440"/>
      </w:pPr>
      <w:rPr>
        <w:rFonts w:hint="default"/>
        <w:b/>
      </w:rPr>
    </w:lvl>
    <w:lvl w:ilvl="6">
      <w:start w:val="1"/>
      <w:numFmt w:val="decimal"/>
      <w:lvlText w:val="%1.%2.%3.%4.%5.%6.%7"/>
      <w:lvlJc w:val="left"/>
      <w:pPr>
        <w:ind w:left="6165" w:hanging="1440"/>
      </w:pPr>
      <w:rPr>
        <w:rFonts w:hint="default"/>
        <w:b/>
      </w:rPr>
    </w:lvl>
    <w:lvl w:ilvl="7">
      <w:start w:val="1"/>
      <w:numFmt w:val="decimal"/>
      <w:lvlText w:val="%1.%2.%3.%4.%5.%6.%7.%8"/>
      <w:lvlJc w:val="left"/>
      <w:pPr>
        <w:ind w:left="7245" w:hanging="1800"/>
      </w:pPr>
      <w:rPr>
        <w:rFonts w:hint="default"/>
        <w:b/>
      </w:rPr>
    </w:lvl>
    <w:lvl w:ilvl="8">
      <w:start w:val="1"/>
      <w:numFmt w:val="decimal"/>
      <w:lvlText w:val="%1.%2.%3.%4.%5.%6.%7.%8.%9"/>
      <w:lvlJc w:val="left"/>
      <w:pPr>
        <w:ind w:left="8325" w:hanging="2160"/>
      </w:pPr>
      <w:rPr>
        <w:rFonts w:hint="default"/>
        <w:b/>
      </w:rPr>
    </w:lvl>
  </w:abstractNum>
  <w:abstractNum w:abstractNumId="23" w15:restartNumberingAfterBreak="0">
    <w:nsid w:val="65105117"/>
    <w:multiLevelType w:val="multilevel"/>
    <w:tmpl w:val="626E88B2"/>
    <w:lvl w:ilvl="0">
      <w:start w:val="3"/>
      <w:numFmt w:val="decimal"/>
      <w:lvlText w:val="%1"/>
      <w:lvlJc w:val="left"/>
      <w:pPr>
        <w:ind w:left="570" w:hanging="570"/>
      </w:pPr>
      <w:rPr>
        <w:rFonts w:hint="default"/>
      </w:rPr>
    </w:lvl>
    <w:lvl w:ilvl="1">
      <w:start w:val="1"/>
      <w:numFmt w:val="decimal"/>
      <w:lvlText w:val="%1.%2"/>
      <w:lvlJc w:val="left"/>
      <w:pPr>
        <w:ind w:left="570" w:hanging="57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59D7D27"/>
    <w:multiLevelType w:val="multilevel"/>
    <w:tmpl w:val="22C2BD9E"/>
    <w:lvl w:ilvl="0">
      <w:start w:val="1"/>
      <w:numFmt w:val="decimal"/>
      <w:lvlText w:val="%1"/>
      <w:lvlJc w:val="left"/>
      <w:pPr>
        <w:ind w:left="405" w:hanging="405"/>
      </w:pPr>
      <w:rPr>
        <w:rFonts w:hint="default"/>
        <w:b/>
      </w:rPr>
    </w:lvl>
    <w:lvl w:ilvl="1">
      <w:start w:val="1"/>
      <w:numFmt w:val="decimal"/>
      <w:lvlText w:val="%1.%2"/>
      <w:lvlJc w:val="left"/>
      <w:pPr>
        <w:ind w:left="405" w:hanging="40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25" w15:restartNumberingAfterBreak="0">
    <w:nsid w:val="6C525E55"/>
    <w:multiLevelType w:val="multilevel"/>
    <w:tmpl w:val="4ACA9E46"/>
    <w:lvl w:ilvl="0">
      <w:start w:val="1"/>
      <w:numFmt w:val="decimal"/>
      <w:lvlText w:val="%1"/>
      <w:lvlJc w:val="left"/>
      <w:pPr>
        <w:ind w:left="375" w:hanging="375"/>
      </w:pPr>
      <w:rPr>
        <w:rFonts w:hint="default"/>
      </w:rPr>
    </w:lvl>
    <w:lvl w:ilvl="1">
      <w:start w:val="1"/>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6" w15:restartNumberingAfterBreak="0">
    <w:nsid w:val="732A6D70"/>
    <w:multiLevelType w:val="hybridMultilevel"/>
    <w:tmpl w:val="6D0C0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13"/>
  </w:num>
  <w:num w:numId="4">
    <w:abstractNumId w:val="17"/>
  </w:num>
  <w:num w:numId="5">
    <w:abstractNumId w:val="15"/>
  </w:num>
  <w:num w:numId="6">
    <w:abstractNumId w:val="25"/>
  </w:num>
  <w:num w:numId="7">
    <w:abstractNumId w:val="14"/>
  </w:num>
  <w:num w:numId="8">
    <w:abstractNumId w:val="8"/>
  </w:num>
  <w:num w:numId="9">
    <w:abstractNumId w:val="9"/>
  </w:num>
  <w:num w:numId="10">
    <w:abstractNumId w:val="6"/>
  </w:num>
  <w:num w:numId="11">
    <w:abstractNumId w:val="5"/>
  </w:num>
  <w:num w:numId="12">
    <w:abstractNumId w:val="4"/>
  </w:num>
  <w:num w:numId="13">
    <w:abstractNumId w:val="18"/>
  </w:num>
  <w:num w:numId="14">
    <w:abstractNumId w:val="26"/>
  </w:num>
  <w:num w:numId="15">
    <w:abstractNumId w:val="11"/>
  </w:num>
  <w:num w:numId="16">
    <w:abstractNumId w:val="10"/>
  </w:num>
  <w:num w:numId="17">
    <w:abstractNumId w:val="22"/>
  </w:num>
  <w:num w:numId="18">
    <w:abstractNumId w:val="24"/>
  </w:num>
  <w:num w:numId="19">
    <w:abstractNumId w:val="3"/>
  </w:num>
  <w:num w:numId="20">
    <w:abstractNumId w:val="7"/>
  </w:num>
  <w:num w:numId="21">
    <w:abstractNumId w:val="2"/>
  </w:num>
  <w:num w:numId="22">
    <w:abstractNumId w:val="1"/>
  </w:num>
  <w:num w:numId="23">
    <w:abstractNumId w:val="0"/>
  </w:num>
  <w:num w:numId="24">
    <w:abstractNumId w:val="21"/>
  </w:num>
  <w:num w:numId="25">
    <w:abstractNumId w:val="20"/>
  </w:num>
  <w:num w:numId="26">
    <w:abstractNumId w:val="3"/>
    <w:lvlOverride w:ilvl="0">
      <w:startOverride w:val="1"/>
    </w:lvlOverride>
  </w:num>
  <w:num w:numId="27">
    <w:abstractNumId w:val="23"/>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FD0"/>
    <w:rsid w:val="000D1691"/>
    <w:rsid w:val="001655AF"/>
    <w:rsid w:val="001F6B0D"/>
    <w:rsid w:val="00201682"/>
    <w:rsid w:val="00244CD2"/>
    <w:rsid w:val="00260FD0"/>
    <w:rsid w:val="002B1147"/>
    <w:rsid w:val="00340FED"/>
    <w:rsid w:val="003A5155"/>
    <w:rsid w:val="003F125E"/>
    <w:rsid w:val="00422EA6"/>
    <w:rsid w:val="00442151"/>
    <w:rsid w:val="004E4123"/>
    <w:rsid w:val="00503599"/>
    <w:rsid w:val="00545F3D"/>
    <w:rsid w:val="00650E51"/>
    <w:rsid w:val="00694758"/>
    <w:rsid w:val="006D6514"/>
    <w:rsid w:val="00783020"/>
    <w:rsid w:val="007F19C2"/>
    <w:rsid w:val="00816AF7"/>
    <w:rsid w:val="00845447"/>
    <w:rsid w:val="008D3F39"/>
    <w:rsid w:val="008D4738"/>
    <w:rsid w:val="00901E3B"/>
    <w:rsid w:val="00955BA8"/>
    <w:rsid w:val="00987009"/>
    <w:rsid w:val="009C15C8"/>
    <w:rsid w:val="009C4974"/>
    <w:rsid w:val="00A35DA1"/>
    <w:rsid w:val="00A44F71"/>
    <w:rsid w:val="00A732AC"/>
    <w:rsid w:val="00B17BB8"/>
    <w:rsid w:val="00B86697"/>
    <w:rsid w:val="00C03721"/>
    <w:rsid w:val="00C37D39"/>
    <w:rsid w:val="00C47D8B"/>
    <w:rsid w:val="00C559EE"/>
    <w:rsid w:val="00C57583"/>
    <w:rsid w:val="00D254FB"/>
    <w:rsid w:val="00D667AB"/>
    <w:rsid w:val="00D77E11"/>
    <w:rsid w:val="00DD1D68"/>
    <w:rsid w:val="00E855B3"/>
    <w:rsid w:val="00E90375"/>
    <w:rsid w:val="00EE1526"/>
    <w:rsid w:val="00F833CF"/>
    <w:rsid w:val="00FF5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BA08A"/>
  <w15:chartTrackingRefBased/>
  <w15:docId w15:val="{34851A78-65BF-417B-92B3-1A891ADE9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2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12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33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87009"/>
    <w:pPr>
      <w:keepNext/>
      <w:keepLines/>
      <w:spacing w:before="200" w:after="0" w:line="276" w:lineRule="auto"/>
      <w:outlineLvl w:val="3"/>
    </w:pPr>
    <w:rPr>
      <w:rFonts w:asciiTheme="majorHAnsi" w:eastAsiaTheme="majorEastAsia" w:hAnsiTheme="majorHAnsi" w:cstheme="majorBidi"/>
      <w:b/>
      <w:bCs/>
      <w:i/>
      <w:iCs/>
      <w:color w:val="4472C4" w:themeColor="accent1"/>
      <w:lang w:val="en-US"/>
    </w:rPr>
  </w:style>
  <w:style w:type="paragraph" w:styleId="Heading5">
    <w:name w:val="heading 5"/>
    <w:basedOn w:val="Normal"/>
    <w:next w:val="Normal"/>
    <w:link w:val="Heading5Char"/>
    <w:uiPriority w:val="9"/>
    <w:semiHidden/>
    <w:unhideWhenUsed/>
    <w:qFormat/>
    <w:rsid w:val="00987009"/>
    <w:pPr>
      <w:keepNext/>
      <w:keepLines/>
      <w:spacing w:before="200" w:after="0" w:line="276" w:lineRule="auto"/>
      <w:outlineLvl w:val="4"/>
    </w:pPr>
    <w:rPr>
      <w:rFonts w:asciiTheme="majorHAnsi" w:eastAsiaTheme="majorEastAsia" w:hAnsiTheme="majorHAnsi" w:cstheme="majorBidi"/>
      <w:color w:val="1F3763" w:themeColor="accent1" w:themeShade="7F"/>
      <w:lang w:val="en-US"/>
    </w:rPr>
  </w:style>
  <w:style w:type="paragraph" w:styleId="Heading6">
    <w:name w:val="heading 6"/>
    <w:basedOn w:val="Normal"/>
    <w:next w:val="Normal"/>
    <w:link w:val="Heading6Char"/>
    <w:uiPriority w:val="9"/>
    <w:semiHidden/>
    <w:unhideWhenUsed/>
    <w:qFormat/>
    <w:rsid w:val="00987009"/>
    <w:pPr>
      <w:keepNext/>
      <w:keepLines/>
      <w:spacing w:before="200" w:after="0" w:line="276" w:lineRule="auto"/>
      <w:outlineLvl w:val="5"/>
    </w:pPr>
    <w:rPr>
      <w:rFonts w:asciiTheme="majorHAnsi" w:eastAsiaTheme="majorEastAsia" w:hAnsiTheme="majorHAnsi" w:cstheme="majorBidi"/>
      <w:i/>
      <w:iCs/>
      <w:color w:val="1F3763" w:themeColor="accent1" w:themeShade="7F"/>
      <w:lang w:val="en-US"/>
    </w:rPr>
  </w:style>
  <w:style w:type="paragraph" w:styleId="Heading7">
    <w:name w:val="heading 7"/>
    <w:basedOn w:val="Normal"/>
    <w:next w:val="Normal"/>
    <w:link w:val="Heading7Char"/>
    <w:uiPriority w:val="9"/>
    <w:semiHidden/>
    <w:unhideWhenUsed/>
    <w:qFormat/>
    <w:rsid w:val="00987009"/>
    <w:pPr>
      <w:keepNext/>
      <w:keepLines/>
      <w:spacing w:before="200" w:after="0" w:line="276" w:lineRule="auto"/>
      <w:outlineLvl w:val="6"/>
    </w:pPr>
    <w:rPr>
      <w:rFonts w:asciiTheme="majorHAnsi" w:eastAsiaTheme="majorEastAsia" w:hAnsiTheme="majorHAnsi" w:cstheme="majorBidi"/>
      <w:i/>
      <w:iCs/>
      <w:color w:val="404040" w:themeColor="text1" w:themeTint="BF"/>
      <w:lang w:val="en-US"/>
    </w:rPr>
  </w:style>
  <w:style w:type="paragraph" w:styleId="Heading8">
    <w:name w:val="heading 8"/>
    <w:basedOn w:val="Normal"/>
    <w:next w:val="Normal"/>
    <w:link w:val="Heading8Char"/>
    <w:uiPriority w:val="9"/>
    <w:semiHidden/>
    <w:unhideWhenUsed/>
    <w:qFormat/>
    <w:rsid w:val="00987009"/>
    <w:pPr>
      <w:keepNext/>
      <w:keepLines/>
      <w:spacing w:before="200" w:after="0" w:line="276" w:lineRule="auto"/>
      <w:outlineLvl w:val="7"/>
    </w:pPr>
    <w:rPr>
      <w:rFonts w:asciiTheme="majorHAnsi" w:eastAsiaTheme="majorEastAsia" w:hAnsiTheme="majorHAnsi" w:cstheme="majorBidi"/>
      <w:color w:val="4472C4" w:themeColor="accent1"/>
      <w:sz w:val="20"/>
      <w:szCs w:val="20"/>
      <w:lang w:val="en-US"/>
    </w:rPr>
  </w:style>
  <w:style w:type="paragraph" w:styleId="Heading9">
    <w:name w:val="heading 9"/>
    <w:basedOn w:val="Normal"/>
    <w:next w:val="Normal"/>
    <w:link w:val="Heading9Char"/>
    <w:uiPriority w:val="9"/>
    <w:semiHidden/>
    <w:unhideWhenUsed/>
    <w:qFormat/>
    <w:rsid w:val="00987009"/>
    <w:pPr>
      <w:keepNext/>
      <w:keepLines/>
      <w:spacing w:before="200" w:after="0" w:line="276" w:lineRule="auto"/>
      <w:outlineLvl w:val="8"/>
    </w:pPr>
    <w:rPr>
      <w:rFonts w:asciiTheme="majorHAnsi" w:eastAsiaTheme="majorEastAsia" w:hAnsiTheme="majorHAnsi" w:cstheme="majorBidi"/>
      <w:i/>
      <w:iCs/>
      <w:color w:val="404040" w:themeColor="text1" w:themeTint="BF"/>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12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25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F125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F125E"/>
    <w:pPr>
      <w:ind w:left="720"/>
      <w:contextualSpacing/>
    </w:pPr>
  </w:style>
  <w:style w:type="character" w:customStyle="1" w:styleId="Heading2Char">
    <w:name w:val="Heading 2 Char"/>
    <w:basedOn w:val="DefaultParagraphFont"/>
    <w:link w:val="Heading2"/>
    <w:uiPriority w:val="9"/>
    <w:rsid w:val="003F12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33CF"/>
    <w:rPr>
      <w:rFonts w:asciiTheme="majorHAnsi" w:eastAsiaTheme="majorEastAsia" w:hAnsiTheme="majorHAnsi" w:cstheme="majorBidi"/>
      <w:color w:val="1F3763" w:themeColor="accent1" w:themeShade="7F"/>
      <w:sz w:val="24"/>
      <w:szCs w:val="24"/>
    </w:rPr>
  </w:style>
  <w:style w:type="paragraph" w:styleId="ListBullet">
    <w:name w:val="List Bullet"/>
    <w:basedOn w:val="Normal"/>
    <w:uiPriority w:val="99"/>
    <w:unhideWhenUsed/>
    <w:rsid w:val="00F833CF"/>
    <w:pPr>
      <w:numPr>
        <w:numId w:val="8"/>
      </w:numPr>
      <w:spacing w:after="200" w:line="276" w:lineRule="auto"/>
      <w:contextualSpacing/>
    </w:pPr>
    <w:rPr>
      <w:rFonts w:eastAsiaTheme="minorEastAsia"/>
      <w:lang w:val="en-US"/>
    </w:rPr>
  </w:style>
  <w:style w:type="character" w:styleId="Strong">
    <w:name w:val="Strong"/>
    <w:basedOn w:val="DefaultParagraphFont"/>
    <w:uiPriority w:val="22"/>
    <w:qFormat/>
    <w:rsid w:val="00F833CF"/>
    <w:rPr>
      <w:b/>
      <w:bCs/>
    </w:rPr>
  </w:style>
  <w:style w:type="numbering" w:customStyle="1" w:styleId="CurrentList1">
    <w:name w:val="Current List1"/>
    <w:uiPriority w:val="99"/>
    <w:rsid w:val="00F833CF"/>
    <w:pPr>
      <w:numPr>
        <w:numId w:val="9"/>
      </w:numPr>
    </w:pPr>
  </w:style>
  <w:style w:type="paragraph" w:styleId="ListBullet2">
    <w:name w:val="List Bullet 2"/>
    <w:basedOn w:val="Normal"/>
    <w:uiPriority w:val="99"/>
    <w:unhideWhenUsed/>
    <w:rsid w:val="00C57583"/>
    <w:pPr>
      <w:numPr>
        <w:numId w:val="10"/>
      </w:numPr>
      <w:spacing w:after="200" w:line="276" w:lineRule="auto"/>
      <w:contextualSpacing/>
    </w:pPr>
    <w:rPr>
      <w:rFonts w:eastAsiaTheme="minorEastAsia"/>
      <w:lang w:val="en-US"/>
    </w:rPr>
  </w:style>
  <w:style w:type="paragraph" w:styleId="Header">
    <w:name w:val="header"/>
    <w:basedOn w:val="Normal"/>
    <w:link w:val="HeaderChar"/>
    <w:uiPriority w:val="99"/>
    <w:unhideWhenUsed/>
    <w:rsid w:val="00C57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583"/>
  </w:style>
  <w:style w:type="paragraph" w:styleId="Footer">
    <w:name w:val="footer"/>
    <w:basedOn w:val="Normal"/>
    <w:link w:val="FooterChar"/>
    <w:uiPriority w:val="99"/>
    <w:unhideWhenUsed/>
    <w:rsid w:val="00C57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583"/>
  </w:style>
  <w:style w:type="paragraph" w:styleId="ListBullet3">
    <w:name w:val="List Bullet 3"/>
    <w:basedOn w:val="Normal"/>
    <w:uiPriority w:val="99"/>
    <w:unhideWhenUsed/>
    <w:rsid w:val="00C57583"/>
    <w:pPr>
      <w:numPr>
        <w:numId w:val="11"/>
      </w:numPr>
      <w:spacing w:after="200" w:line="276" w:lineRule="auto"/>
      <w:contextualSpacing/>
    </w:pPr>
    <w:rPr>
      <w:rFonts w:eastAsiaTheme="minorEastAsia"/>
      <w:lang w:val="en-US"/>
    </w:rPr>
  </w:style>
  <w:style w:type="table" w:styleId="TableGrid">
    <w:name w:val="Table Grid"/>
    <w:basedOn w:val="TableNormal"/>
    <w:uiPriority w:val="59"/>
    <w:rsid w:val="00C57583"/>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2">
    <w:name w:val="Current List2"/>
    <w:uiPriority w:val="99"/>
    <w:rsid w:val="00201682"/>
    <w:pPr>
      <w:numPr>
        <w:numId w:val="15"/>
      </w:numPr>
    </w:pPr>
  </w:style>
  <w:style w:type="paragraph" w:styleId="ListNumber2">
    <w:name w:val="List Number 2"/>
    <w:basedOn w:val="Normal"/>
    <w:uiPriority w:val="99"/>
    <w:unhideWhenUsed/>
    <w:rsid w:val="000D1691"/>
    <w:pPr>
      <w:numPr>
        <w:numId w:val="19"/>
      </w:numPr>
      <w:spacing w:after="200" w:line="276" w:lineRule="auto"/>
      <w:contextualSpacing/>
    </w:pPr>
    <w:rPr>
      <w:rFonts w:eastAsiaTheme="minorEastAsia"/>
      <w:lang w:val="en-US"/>
    </w:rPr>
  </w:style>
  <w:style w:type="character" w:styleId="Hyperlink">
    <w:name w:val="Hyperlink"/>
    <w:basedOn w:val="DefaultParagraphFont"/>
    <w:uiPriority w:val="99"/>
    <w:unhideWhenUsed/>
    <w:rsid w:val="000D1691"/>
    <w:rPr>
      <w:color w:val="0563C1" w:themeColor="hyperlink"/>
      <w:u w:val="single"/>
    </w:rPr>
  </w:style>
  <w:style w:type="character" w:styleId="UnresolvedMention">
    <w:name w:val="Unresolved Mention"/>
    <w:basedOn w:val="DefaultParagraphFont"/>
    <w:uiPriority w:val="99"/>
    <w:semiHidden/>
    <w:unhideWhenUsed/>
    <w:rsid w:val="000D1691"/>
    <w:rPr>
      <w:color w:val="605E5C"/>
      <w:shd w:val="clear" w:color="auto" w:fill="E1DFDD"/>
    </w:rPr>
  </w:style>
  <w:style w:type="character" w:customStyle="1" w:styleId="Heading4Char">
    <w:name w:val="Heading 4 Char"/>
    <w:basedOn w:val="DefaultParagraphFont"/>
    <w:link w:val="Heading4"/>
    <w:uiPriority w:val="9"/>
    <w:semiHidden/>
    <w:rsid w:val="00987009"/>
    <w:rPr>
      <w:rFonts w:asciiTheme="majorHAnsi" w:eastAsiaTheme="majorEastAsia" w:hAnsiTheme="majorHAnsi" w:cstheme="majorBidi"/>
      <w:b/>
      <w:bCs/>
      <w:i/>
      <w:iCs/>
      <w:color w:val="4472C4" w:themeColor="accent1"/>
      <w:lang w:val="en-US"/>
    </w:rPr>
  </w:style>
  <w:style w:type="character" w:customStyle="1" w:styleId="Heading5Char">
    <w:name w:val="Heading 5 Char"/>
    <w:basedOn w:val="DefaultParagraphFont"/>
    <w:link w:val="Heading5"/>
    <w:uiPriority w:val="9"/>
    <w:semiHidden/>
    <w:rsid w:val="00987009"/>
    <w:rPr>
      <w:rFonts w:asciiTheme="majorHAnsi" w:eastAsiaTheme="majorEastAsia" w:hAnsiTheme="majorHAnsi" w:cstheme="majorBidi"/>
      <w:color w:val="1F3763" w:themeColor="accent1" w:themeShade="7F"/>
      <w:lang w:val="en-US"/>
    </w:rPr>
  </w:style>
  <w:style w:type="character" w:customStyle="1" w:styleId="Heading6Char">
    <w:name w:val="Heading 6 Char"/>
    <w:basedOn w:val="DefaultParagraphFont"/>
    <w:link w:val="Heading6"/>
    <w:uiPriority w:val="9"/>
    <w:semiHidden/>
    <w:rsid w:val="00987009"/>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987009"/>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987009"/>
    <w:rPr>
      <w:rFonts w:asciiTheme="majorHAnsi" w:eastAsiaTheme="majorEastAsia" w:hAnsiTheme="majorHAnsi" w:cstheme="majorBidi"/>
      <w:color w:val="4472C4" w:themeColor="accent1"/>
      <w:sz w:val="20"/>
      <w:szCs w:val="20"/>
      <w:lang w:val="en-US"/>
    </w:rPr>
  </w:style>
  <w:style w:type="character" w:customStyle="1" w:styleId="Heading9Char">
    <w:name w:val="Heading 9 Char"/>
    <w:basedOn w:val="DefaultParagraphFont"/>
    <w:link w:val="Heading9"/>
    <w:uiPriority w:val="9"/>
    <w:semiHidden/>
    <w:rsid w:val="00987009"/>
    <w:rPr>
      <w:rFonts w:asciiTheme="majorHAnsi" w:eastAsiaTheme="majorEastAsia" w:hAnsiTheme="majorHAnsi" w:cstheme="majorBidi"/>
      <w:i/>
      <w:iCs/>
      <w:color w:val="404040" w:themeColor="text1" w:themeTint="BF"/>
      <w:sz w:val="20"/>
      <w:szCs w:val="20"/>
      <w:lang w:val="en-US"/>
    </w:rPr>
  </w:style>
  <w:style w:type="paragraph" w:styleId="NoSpacing">
    <w:name w:val="No Spacing"/>
    <w:link w:val="NoSpacingChar"/>
    <w:uiPriority w:val="1"/>
    <w:qFormat/>
    <w:rsid w:val="00987009"/>
    <w:pPr>
      <w:spacing w:after="0" w:line="240" w:lineRule="auto"/>
    </w:pPr>
    <w:rPr>
      <w:rFonts w:eastAsiaTheme="minorEastAsia"/>
      <w:lang w:val="en-US"/>
    </w:rPr>
  </w:style>
  <w:style w:type="paragraph" w:styleId="Subtitle">
    <w:name w:val="Subtitle"/>
    <w:basedOn w:val="Normal"/>
    <w:next w:val="Normal"/>
    <w:link w:val="SubtitleChar"/>
    <w:uiPriority w:val="11"/>
    <w:qFormat/>
    <w:rsid w:val="00987009"/>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rPr>
  </w:style>
  <w:style w:type="character" w:customStyle="1" w:styleId="SubtitleChar">
    <w:name w:val="Subtitle Char"/>
    <w:basedOn w:val="DefaultParagraphFont"/>
    <w:link w:val="Subtitle"/>
    <w:uiPriority w:val="11"/>
    <w:rsid w:val="00987009"/>
    <w:rPr>
      <w:rFonts w:asciiTheme="majorHAnsi" w:eastAsiaTheme="majorEastAsia" w:hAnsiTheme="majorHAnsi" w:cstheme="majorBidi"/>
      <w:i/>
      <w:iCs/>
      <w:color w:val="4472C4" w:themeColor="accent1"/>
      <w:spacing w:val="15"/>
      <w:sz w:val="24"/>
      <w:szCs w:val="24"/>
      <w:lang w:val="en-US"/>
    </w:rPr>
  </w:style>
  <w:style w:type="paragraph" w:styleId="BodyText">
    <w:name w:val="Body Text"/>
    <w:basedOn w:val="Normal"/>
    <w:link w:val="BodyTextChar"/>
    <w:uiPriority w:val="99"/>
    <w:unhideWhenUsed/>
    <w:rsid w:val="00987009"/>
    <w:pPr>
      <w:spacing w:after="120" w:line="276" w:lineRule="auto"/>
    </w:pPr>
    <w:rPr>
      <w:rFonts w:eastAsiaTheme="minorEastAsia"/>
      <w:lang w:val="en-US"/>
    </w:rPr>
  </w:style>
  <w:style w:type="character" w:customStyle="1" w:styleId="BodyTextChar">
    <w:name w:val="Body Text Char"/>
    <w:basedOn w:val="DefaultParagraphFont"/>
    <w:link w:val="BodyText"/>
    <w:uiPriority w:val="99"/>
    <w:rsid w:val="00987009"/>
    <w:rPr>
      <w:rFonts w:eastAsiaTheme="minorEastAsia"/>
      <w:lang w:val="en-US"/>
    </w:rPr>
  </w:style>
  <w:style w:type="paragraph" w:styleId="BodyText2">
    <w:name w:val="Body Text 2"/>
    <w:basedOn w:val="Normal"/>
    <w:link w:val="BodyText2Char"/>
    <w:uiPriority w:val="99"/>
    <w:unhideWhenUsed/>
    <w:rsid w:val="00987009"/>
    <w:pPr>
      <w:spacing w:after="120" w:line="480" w:lineRule="auto"/>
    </w:pPr>
    <w:rPr>
      <w:rFonts w:eastAsiaTheme="minorEastAsia"/>
      <w:lang w:val="en-US"/>
    </w:rPr>
  </w:style>
  <w:style w:type="character" w:customStyle="1" w:styleId="BodyText2Char">
    <w:name w:val="Body Text 2 Char"/>
    <w:basedOn w:val="DefaultParagraphFont"/>
    <w:link w:val="BodyText2"/>
    <w:uiPriority w:val="99"/>
    <w:rsid w:val="00987009"/>
    <w:rPr>
      <w:rFonts w:eastAsiaTheme="minorEastAsia"/>
      <w:lang w:val="en-US"/>
    </w:rPr>
  </w:style>
  <w:style w:type="paragraph" w:styleId="BodyText3">
    <w:name w:val="Body Text 3"/>
    <w:basedOn w:val="Normal"/>
    <w:link w:val="BodyText3Char"/>
    <w:uiPriority w:val="99"/>
    <w:unhideWhenUsed/>
    <w:rsid w:val="00987009"/>
    <w:pPr>
      <w:spacing w:after="120" w:line="276" w:lineRule="auto"/>
    </w:pPr>
    <w:rPr>
      <w:rFonts w:eastAsiaTheme="minorEastAsia"/>
      <w:sz w:val="16"/>
      <w:szCs w:val="16"/>
      <w:lang w:val="en-US"/>
    </w:rPr>
  </w:style>
  <w:style w:type="character" w:customStyle="1" w:styleId="BodyText3Char">
    <w:name w:val="Body Text 3 Char"/>
    <w:basedOn w:val="DefaultParagraphFont"/>
    <w:link w:val="BodyText3"/>
    <w:uiPriority w:val="99"/>
    <w:rsid w:val="00987009"/>
    <w:rPr>
      <w:rFonts w:eastAsiaTheme="minorEastAsia"/>
      <w:sz w:val="16"/>
      <w:szCs w:val="16"/>
      <w:lang w:val="en-US"/>
    </w:rPr>
  </w:style>
  <w:style w:type="paragraph" w:styleId="List">
    <w:name w:val="List"/>
    <w:basedOn w:val="Normal"/>
    <w:uiPriority w:val="99"/>
    <w:unhideWhenUsed/>
    <w:rsid w:val="00987009"/>
    <w:pPr>
      <w:spacing w:after="200" w:line="276" w:lineRule="auto"/>
      <w:ind w:left="360" w:hanging="360"/>
      <w:contextualSpacing/>
    </w:pPr>
    <w:rPr>
      <w:rFonts w:eastAsiaTheme="minorEastAsia"/>
      <w:lang w:val="en-US"/>
    </w:rPr>
  </w:style>
  <w:style w:type="paragraph" w:styleId="List2">
    <w:name w:val="List 2"/>
    <w:basedOn w:val="Normal"/>
    <w:uiPriority w:val="99"/>
    <w:unhideWhenUsed/>
    <w:rsid w:val="00987009"/>
    <w:pPr>
      <w:spacing w:after="200" w:line="276" w:lineRule="auto"/>
      <w:ind w:left="720" w:hanging="360"/>
      <w:contextualSpacing/>
    </w:pPr>
    <w:rPr>
      <w:rFonts w:eastAsiaTheme="minorEastAsia"/>
      <w:lang w:val="en-US"/>
    </w:rPr>
  </w:style>
  <w:style w:type="paragraph" w:styleId="List3">
    <w:name w:val="List 3"/>
    <w:basedOn w:val="Normal"/>
    <w:uiPriority w:val="99"/>
    <w:unhideWhenUsed/>
    <w:rsid w:val="00987009"/>
    <w:pPr>
      <w:spacing w:after="200" w:line="276" w:lineRule="auto"/>
      <w:ind w:left="1080" w:hanging="360"/>
      <w:contextualSpacing/>
    </w:pPr>
    <w:rPr>
      <w:rFonts w:eastAsiaTheme="minorEastAsia"/>
      <w:lang w:val="en-US"/>
    </w:rPr>
  </w:style>
  <w:style w:type="paragraph" w:styleId="ListNumber">
    <w:name w:val="List Number"/>
    <w:basedOn w:val="Normal"/>
    <w:uiPriority w:val="99"/>
    <w:unhideWhenUsed/>
    <w:rsid w:val="00987009"/>
    <w:pPr>
      <w:numPr>
        <w:numId w:val="20"/>
      </w:numPr>
      <w:spacing w:after="200" w:line="276" w:lineRule="auto"/>
      <w:contextualSpacing/>
    </w:pPr>
    <w:rPr>
      <w:rFonts w:eastAsiaTheme="minorEastAsia"/>
      <w:lang w:val="en-US"/>
    </w:rPr>
  </w:style>
  <w:style w:type="paragraph" w:styleId="ListNumber3">
    <w:name w:val="List Number 3"/>
    <w:basedOn w:val="Normal"/>
    <w:uiPriority w:val="99"/>
    <w:unhideWhenUsed/>
    <w:rsid w:val="00987009"/>
    <w:pPr>
      <w:numPr>
        <w:numId w:val="21"/>
      </w:numPr>
      <w:spacing w:after="200" w:line="276" w:lineRule="auto"/>
      <w:contextualSpacing/>
    </w:pPr>
    <w:rPr>
      <w:rFonts w:eastAsiaTheme="minorEastAsia"/>
      <w:lang w:val="en-US"/>
    </w:rPr>
  </w:style>
  <w:style w:type="paragraph" w:styleId="ListContinue">
    <w:name w:val="List Continue"/>
    <w:basedOn w:val="Normal"/>
    <w:uiPriority w:val="99"/>
    <w:unhideWhenUsed/>
    <w:rsid w:val="00987009"/>
    <w:pPr>
      <w:spacing w:after="120" w:line="276" w:lineRule="auto"/>
      <w:ind w:left="360"/>
      <w:contextualSpacing/>
    </w:pPr>
    <w:rPr>
      <w:rFonts w:eastAsiaTheme="minorEastAsia"/>
      <w:lang w:val="en-US"/>
    </w:rPr>
  </w:style>
  <w:style w:type="paragraph" w:styleId="ListContinue2">
    <w:name w:val="List Continue 2"/>
    <w:basedOn w:val="Normal"/>
    <w:uiPriority w:val="99"/>
    <w:unhideWhenUsed/>
    <w:rsid w:val="00987009"/>
    <w:pPr>
      <w:spacing w:after="120" w:line="276" w:lineRule="auto"/>
      <w:ind w:left="720"/>
      <w:contextualSpacing/>
    </w:pPr>
    <w:rPr>
      <w:rFonts w:eastAsiaTheme="minorEastAsia"/>
      <w:lang w:val="en-US"/>
    </w:rPr>
  </w:style>
  <w:style w:type="paragraph" w:styleId="ListContinue3">
    <w:name w:val="List Continue 3"/>
    <w:basedOn w:val="Normal"/>
    <w:uiPriority w:val="99"/>
    <w:unhideWhenUsed/>
    <w:rsid w:val="00987009"/>
    <w:pPr>
      <w:spacing w:after="120" w:line="276" w:lineRule="auto"/>
      <w:ind w:left="1080"/>
      <w:contextualSpacing/>
    </w:pPr>
    <w:rPr>
      <w:rFonts w:eastAsiaTheme="minorEastAsia"/>
      <w:lang w:val="en-US"/>
    </w:rPr>
  </w:style>
  <w:style w:type="paragraph" w:styleId="MacroText">
    <w:name w:val="macro"/>
    <w:link w:val="MacroTextChar"/>
    <w:uiPriority w:val="99"/>
    <w:unhideWhenUsed/>
    <w:rsid w:val="00987009"/>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lang w:val="en-US"/>
    </w:rPr>
  </w:style>
  <w:style w:type="character" w:customStyle="1" w:styleId="MacroTextChar">
    <w:name w:val="Macro Text Char"/>
    <w:basedOn w:val="DefaultParagraphFont"/>
    <w:link w:val="MacroText"/>
    <w:uiPriority w:val="99"/>
    <w:rsid w:val="00987009"/>
    <w:rPr>
      <w:rFonts w:ascii="Courier" w:eastAsiaTheme="minorEastAsia" w:hAnsi="Courier"/>
      <w:sz w:val="20"/>
      <w:szCs w:val="20"/>
      <w:lang w:val="en-US"/>
    </w:rPr>
  </w:style>
  <w:style w:type="paragraph" w:styleId="Quote">
    <w:name w:val="Quote"/>
    <w:basedOn w:val="Normal"/>
    <w:next w:val="Normal"/>
    <w:link w:val="QuoteChar"/>
    <w:uiPriority w:val="29"/>
    <w:qFormat/>
    <w:rsid w:val="00987009"/>
    <w:pPr>
      <w:spacing w:after="200" w:line="276" w:lineRule="auto"/>
    </w:pPr>
    <w:rPr>
      <w:rFonts w:eastAsiaTheme="minorEastAsia"/>
      <w:i/>
      <w:iCs/>
      <w:color w:val="000000" w:themeColor="text1"/>
      <w:lang w:val="en-US"/>
    </w:rPr>
  </w:style>
  <w:style w:type="character" w:customStyle="1" w:styleId="QuoteChar">
    <w:name w:val="Quote Char"/>
    <w:basedOn w:val="DefaultParagraphFont"/>
    <w:link w:val="Quote"/>
    <w:uiPriority w:val="29"/>
    <w:rsid w:val="00987009"/>
    <w:rPr>
      <w:rFonts w:eastAsiaTheme="minorEastAsia"/>
      <w:i/>
      <w:iCs/>
      <w:color w:val="000000" w:themeColor="text1"/>
      <w:lang w:val="en-US"/>
    </w:rPr>
  </w:style>
  <w:style w:type="paragraph" w:styleId="Caption">
    <w:name w:val="caption"/>
    <w:basedOn w:val="Normal"/>
    <w:next w:val="Normal"/>
    <w:uiPriority w:val="35"/>
    <w:semiHidden/>
    <w:unhideWhenUsed/>
    <w:qFormat/>
    <w:rsid w:val="00987009"/>
    <w:pPr>
      <w:spacing w:after="200" w:line="240" w:lineRule="auto"/>
    </w:pPr>
    <w:rPr>
      <w:rFonts w:eastAsiaTheme="minorEastAsia"/>
      <w:b/>
      <w:bCs/>
      <w:color w:val="4472C4" w:themeColor="accent1"/>
      <w:sz w:val="18"/>
      <w:szCs w:val="18"/>
      <w:lang w:val="en-US"/>
    </w:rPr>
  </w:style>
  <w:style w:type="character" w:styleId="Emphasis">
    <w:name w:val="Emphasis"/>
    <w:basedOn w:val="DefaultParagraphFont"/>
    <w:uiPriority w:val="20"/>
    <w:qFormat/>
    <w:rsid w:val="00987009"/>
    <w:rPr>
      <w:i/>
      <w:iCs/>
    </w:rPr>
  </w:style>
  <w:style w:type="paragraph" w:styleId="IntenseQuote">
    <w:name w:val="Intense Quote"/>
    <w:basedOn w:val="Normal"/>
    <w:next w:val="Normal"/>
    <w:link w:val="IntenseQuoteChar"/>
    <w:uiPriority w:val="30"/>
    <w:qFormat/>
    <w:rsid w:val="00987009"/>
    <w:pPr>
      <w:pBdr>
        <w:bottom w:val="single" w:sz="4" w:space="4" w:color="4472C4" w:themeColor="accent1"/>
      </w:pBdr>
      <w:spacing w:before="200" w:after="280" w:line="276" w:lineRule="auto"/>
      <w:ind w:left="936" w:right="936"/>
    </w:pPr>
    <w:rPr>
      <w:rFonts w:eastAsiaTheme="minorEastAsia"/>
      <w:b/>
      <w:bCs/>
      <w:i/>
      <w:iCs/>
      <w:color w:val="4472C4" w:themeColor="accent1"/>
      <w:lang w:val="en-US"/>
    </w:rPr>
  </w:style>
  <w:style w:type="character" w:customStyle="1" w:styleId="IntenseQuoteChar">
    <w:name w:val="Intense Quote Char"/>
    <w:basedOn w:val="DefaultParagraphFont"/>
    <w:link w:val="IntenseQuote"/>
    <w:uiPriority w:val="30"/>
    <w:rsid w:val="00987009"/>
    <w:rPr>
      <w:rFonts w:eastAsiaTheme="minorEastAsia"/>
      <w:b/>
      <w:bCs/>
      <w:i/>
      <w:iCs/>
      <w:color w:val="4472C4" w:themeColor="accent1"/>
      <w:lang w:val="en-US"/>
    </w:rPr>
  </w:style>
  <w:style w:type="character" w:styleId="SubtleEmphasis">
    <w:name w:val="Subtle Emphasis"/>
    <w:basedOn w:val="DefaultParagraphFont"/>
    <w:uiPriority w:val="19"/>
    <w:qFormat/>
    <w:rsid w:val="00987009"/>
    <w:rPr>
      <w:i/>
      <w:iCs/>
      <w:color w:val="808080" w:themeColor="text1" w:themeTint="7F"/>
    </w:rPr>
  </w:style>
  <w:style w:type="character" w:styleId="IntenseEmphasis">
    <w:name w:val="Intense Emphasis"/>
    <w:basedOn w:val="DefaultParagraphFont"/>
    <w:uiPriority w:val="21"/>
    <w:qFormat/>
    <w:rsid w:val="00987009"/>
    <w:rPr>
      <w:b/>
      <w:bCs/>
      <w:i/>
      <w:iCs/>
      <w:color w:val="4472C4" w:themeColor="accent1"/>
    </w:rPr>
  </w:style>
  <w:style w:type="character" w:styleId="SubtleReference">
    <w:name w:val="Subtle Reference"/>
    <w:basedOn w:val="DefaultParagraphFont"/>
    <w:uiPriority w:val="31"/>
    <w:qFormat/>
    <w:rsid w:val="00987009"/>
    <w:rPr>
      <w:smallCaps/>
      <w:color w:val="ED7D31" w:themeColor="accent2"/>
      <w:u w:val="single"/>
    </w:rPr>
  </w:style>
  <w:style w:type="character" w:styleId="IntenseReference">
    <w:name w:val="Intense Reference"/>
    <w:basedOn w:val="DefaultParagraphFont"/>
    <w:uiPriority w:val="32"/>
    <w:qFormat/>
    <w:rsid w:val="00987009"/>
    <w:rPr>
      <w:b/>
      <w:bCs/>
      <w:smallCaps/>
      <w:color w:val="ED7D31" w:themeColor="accent2"/>
      <w:spacing w:val="5"/>
      <w:u w:val="single"/>
    </w:rPr>
  </w:style>
  <w:style w:type="character" w:styleId="BookTitle">
    <w:name w:val="Book Title"/>
    <w:basedOn w:val="DefaultParagraphFont"/>
    <w:uiPriority w:val="33"/>
    <w:qFormat/>
    <w:rsid w:val="00987009"/>
    <w:rPr>
      <w:b/>
      <w:bCs/>
      <w:smallCaps/>
      <w:spacing w:val="5"/>
    </w:rPr>
  </w:style>
  <w:style w:type="paragraph" w:styleId="TOCHeading">
    <w:name w:val="TOC Heading"/>
    <w:basedOn w:val="Heading1"/>
    <w:next w:val="Normal"/>
    <w:uiPriority w:val="39"/>
    <w:semiHidden/>
    <w:unhideWhenUsed/>
    <w:qFormat/>
    <w:rsid w:val="00987009"/>
    <w:pPr>
      <w:spacing w:before="480" w:line="276" w:lineRule="auto"/>
      <w:outlineLvl w:val="9"/>
    </w:pPr>
    <w:rPr>
      <w:b/>
      <w:bCs/>
      <w:sz w:val="28"/>
      <w:szCs w:val="28"/>
      <w:lang w:val="en-US"/>
    </w:rPr>
  </w:style>
  <w:style w:type="table" w:styleId="LightShading">
    <w:name w:val="Light Shading"/>
    <w:basedOn w:val="TableNormal"/>
    <w:uiPriority w:val="60"/>
    <w:rsid w:val="00987009"/>
    <w:pPr>
      <w:spacing w:after="0" w:line="240" w:lineRule="auto"/>
    </w:pPr>
    <w:rPr>
      <w:rFonts w:eastAsiaTheme="minorEastAsia"/>
      <w:color w:val="000000" w:themeColor="text1" w:themeShade="BF"/>
      <w:lang w:val="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87009"/>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987009"/>
    <w:pPr>
      <w:spacing w:after="0" w:line="240" w:lineRule="auto"/>
    </w:pPr>
    <w:rPr>
      <w:rFonts w:eastAsiaTheme="minorEastAsia"/>
      <w:color w:val="C45911" w:themeColor="accent2" w:themeShade="BF"/>
      <w:lang w:val="en-US"/>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987009"/>
    <w:pPr>
      <w:spacing w:after="0" w:line="240" w:lineRule="auto"/>
    </w:pPr>
    <w:rPr>
      <w:rFonts w:eastAsiaTheme="minorEastAsia"/>
      <w:color w:val="7B7B7B" w:themeColor="accent3" w:themeShade="BF"/>
      <w:lang w:val="en-US"/>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987009"/>
    <w:pPr>
      <w:spacing w:after="0" w:line="240" w:lineRule="auto"/>
    </w:pPr>
    <w:rPr>
      <w:rFonts w:eastAsiaTheme="minorEastAsia"/>
      <w:color w:val="BF8F00" w:themeColor="accent4" w:themeShade="BF"/>
      <w:lang w:val="en-US"/>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987009"/>
    <w:pPr>
      <w:spacing w:after="0" w:line="240" w:lineRule="auto"/>
    </w:pPr>
    <w:rPr>
      <w:rFonts w:eastAsiaTheme="minorEastAsia"/>
      <w:color w:val="2E74B5" w:themeColor="accent5" w:themeShade="BF"/>
      <w:lang w:val="en-US"/>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987009"/>
    <w:pPr>
      <w:spacing w:after="0" w:line="240" w:lineRule="auto"/>
    </w:pPr>
    <w:rPr>
      <w:rFonts w:eastAsiaTheme="minorEastAsia"/>
      <w:color w:val="538135" w:themeColor="accent6" w:themeShade="BF"/>
      <w:lang w:val="en-US"/>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987009"/>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987009"/>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987009"/>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987009"/>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987009"/>
    <w:pPr>
      <w:spacing w:after="0" w:line="240" w:lineRule="auto"/>
    </w:pPr>
    <w:rPr>
      <w:rFonts w:eastAsiaTheme="minorEastAsia"/>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987009"/>
    <w:pPr>
      <w:spacing w:after="0" w:line="240" w:lineRule="auto"/>
    </w:pPr>
    <w:rPr>
      <w:rFonts w:eastAsiaTheme="minorEastAsia"/>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987009"/>
    <w:pPr>
      <w:spacing w:after="0" w:line="240" w:lineRule="auto"/>
    </w:pPr>
    <w:rPr>
      <w:rFonts w:eastAsiaTheme="minorEastAsia"/>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987009"/>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987009"/>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987009"/>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987009"/>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987009"/>
    <w:pPr>
      <w:spacing w:after="0" w:line="240" w:lineRule="auto"/>
    </w:pPr>
    <w:rPr>
      <w:rFonts w:eastAsiaTheme="minorEastAsia"/>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987009"/>
    <w:pPr>
      <w:spacing w:after="0" w:line="240" w:lineRule="auto"/>
    </w:pPr>
    <w:rPr>
      <w:rFonts w:eastAsiaTheme="minorEastAsia"/>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987009"/>
    <w:pPr>
      <w:spacing w:after="0" w:line="240" w:lineRule="auto"/>
    </w:pPr>
    <w:rPr>
      <w:rFonts w:eastAsiaTheme="minorEastAsia"/>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987009"/>
    <w:pPr>
      <w:spacing w:after="0" w:line="240" w:lineRule="auto"/>
    </w:pPr>
    <w:rPr>
      <w:rFonts w:eastAsiaTheme="minorEastAsia"/>
      <w:lang w:val="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987009"/>
    <w:pPr>
      <w:spacing w:after="0" w:line="240" w:lineRule="auto"/>
    </w:pPr>
    <w:rPr>
      <w:rFonts w:eastAsiaTheme="minorEastAsia"/>
      <w:lang w:val="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987009"/>
    <w:pPr>
      <w:spacing w:after="0" w:line="240" w:lineRule="auto"/>
    </w:pPr>
    <w:rPr>
      <w:rFonts w:eastAsiaTheme="minorEastAsia"/>
      <w:lang w:val="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987009"/>
    <w:pPr>
      <w:spacing w:after="0" w:line="240" w:lineRule="auto"/>
    </w:pPr>
    <w:rPr>
      <w:rFonts w:eastAsiaTheme="minorEastAsia"/>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987009"/>
    <w:pPr>
      <w:spacing w:after="0" w:line="240" w:lineRule="auto"/>
    </w:pPr>
    <w:rPr>
      <w:rFonts w:eastAsiaTheme="minorEastAsia"/>
      <w:lang w:val="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987009"/>
    <w:pPr>
      <w:spacing w:after="0" w:line="240" w:lineRule="auto"/>
    </w:pPr>
    <w:rPr>
      <w:rFonts w:eastAsiaTheme="minorEastAsia"/>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987009"/>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98700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8700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8700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8700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98700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98700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98700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987009"/>
    <w:pPr>
      <w:spacing w:after="0" w:line="240" w:lineRule="auto"/>
    </w:pPr>
    <w:rPr>
      <w:rFonts w:eastAsiaTheme="minorEastAsia"/>
      <w:color w:val="000000" w:themeColor="text1"/>
      <w:lang w:val="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987009"/>
    <w:pPr>
      <w:spacing w:after="0" w:line="240" w:lineRule="auto"/>
    </w:pPr>
    <w:rPr>
      <w:rFonts w:eastAsiaTheme="minorEastAsia"/>
      <w:color w:val="000000" w:themeColor="text1"/>
      <w:lang w:val="en-US"/>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987009"/>
    <w:pPr>
      <w:spacing w:after="0" w:line="240" w:lineRule="auto"/>
    </w:pPr>
    <w:rPr>
      <w:rFonts w:eastAsiaTheme="minorEastAsia"/>
      <w:color w:val="000000" w:themeColor="text1"/>
      <w:lang w:val="en-US"/>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987009"/>
    <w:pPr>
      <w:spacing w:after="0" w:line="240" w:lineRule="auto"/>
    </w:pPr>
    <w:rPr>
      <w:rFonts w:eastAsiaTheme="minorEastAsia"/>
      <w:color w:val="000000" w:themeColor="text1"/>
      <w:lang w:val="en-US"/>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987009"/>
    <w:pPr>
      <w:spacing w:after="0" w:line="240" w:lineRule="auto"/>
    </w:pPr>
    <w:rPr>
      <w:rFonts w:eastAsiaTheme="minorEastAsia"/>
      <w:color w:val="000000" w:themeColor="text1"/>
      <w:lang w:val="en-US"/>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987009"/>
    <w:pPr>
      <w:spacing w:after="0" w:line="240" w:lineRule="auto"/>
    </w:pPr>
    <w:rPr>
      <w:rFonts w:eastAsiaTheme="minorEastAsia"/>
      <w:color w:val="000000" w:themeColor="text1"/>
      <w:lang w:val="en-US"/>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987009"/>
    <w:pPr>
      <w:spacing w:after="0" w:line="240" w:lineRule="auto"/>
    </w:pPr>
    <w:rPr>
      <w:rFonts w:eastAsiaTheme="minorEastAsia"/>
      <w:color w:val="000000" w:themeColor="text1"/>
      <w:lang w:val="en-US"/>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987009"/>
    <w:pPr>
      <w:spacing w:after="0" w:line="240" w:lineRule="auto"/>
    </w:pPr>
    <w:rPr>
      <w:rFonts w:eastAsiaTheme="minorEastAsia"/>
      <w:lang w:val="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987009"/>
    <w:pPr>
      <w:spacing w:after="0" w:line="240" w:lineRule="auto"/>
    </w:pPr>
    <w:rPr>
      <w:rFonts w:eastAsiaTheme="minorEastAsia"/>
      <w:lang w:val="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987009"/>
    <w:pPr>
      <w:spacing w:after="0" w:line="240" w:lineRule="auto"/>
    </w:pPr>
    <w:rPr>
      <w:rFonts w:eastAsiaTheme="minorEastAsia"/>
      <w:lang w:val="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987009"/>
    <w:pPr>
      <w:spacing w:after="0" w:line="240" w:lineRule="auto"/>
    </w:pPr>
    <w:rPr>
      <w:rFonts w:eastAsiaTheme="minorEastAsia"/>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987009"/>
    <w:pPr>
      <w:spacing w:after="0" w:line="240" w:lineRule="auto"/>
    </w:pPr>
    <w:rPr>
      <w:rFonts w:eastAsiaTheme="minorEastAsia"/>
      <w:lang w:val="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987009"/>
    <w:pPr>
      <w:spacing w:after="0" w:line="240" w:lineRule="auto"/>
    </w:pPr>
    <w:rPr>
      <w:rFonts w:eastAsiaTheme="minorEastAsia"/>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987009"/>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987009"/>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987009"/>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987009"/>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987009"/>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987009"/>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987009"/>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987009"/>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987009"/>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987009"/>
    <w:pPr>
      <w:spacing w:after="0" w:line="240" w:lineRule="auto"/>
    </w:pPr>
    <w:rPr>
      <w:rFonts w:eastAsiaTheme="minorEastAsia"/>
      <w:color w:val="FFFFFF" w:themeColor="background1"/>
      <w:lang w:val="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987009"/>
    <w:pPr>
      <w:spacing w:after="0" w:line="240" w:lineRule="auto"/>
    </w:pPr>
    <w:rPr>
      <w:rFonts w:eastAsiaTheme="minorEastAsia"/>
      <w:color w:val="FFFFFF" w:themeColor="background1"/>
      <w:lang w:val="en-US"/>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987009"/>
    <w:pPr>
      <w:spacing w:after="0" w:line="240" w:lineRule="auto"/>
    </w:pPr>
    <w:rPr>
      <w:rFonts w:eastAsiaTheme="minorEastAsia"/>
      <w:color w:val="FFFFFF" w:themeColor="background1"/>
      <w:lang w:val="en-US"/>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987009"/>
    <w:pPr>
      <w:spacing w:after="0" w:line="240" w:lineRule="auto"/>
    </w:pPr>
    <w:rPr>
      <w:rFonts w:eastAsiaTheme="minorEastAsia"/>
      <w:color w:val="FFFFFF" w:themeColor="background1"/>
      <w:lang w:val="en-US"/>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987009"/>
    <w:pPr>
      <w:spacing w:after="0" w:line="240" w:lineRule="auto"/>
    </w:pPr>
    <w:rPr>
      <w:rFonts w:eastAsiaTheme="minorEastAsia"/>
      <w:color w:val="FFFFFF" w:themeColor="background1"/>
      <w:lang w:val="en-US"/>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987009"/>
    <w:pPr>
      <w:spacing w:after="0" w:line="240" w:lineRule="auto"/>
    </w:pPr>
    <w:rPr>
      <w:rFonts w:eastAsiaTheme="minorEastAsia"/>
      <w:color w:val="FFFFFF" w:themeColor="background1"/>
      <w:lang w:val="en-US"/>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987009"/>
    <w:pPr>
      <w:spacing w:after="0" w:line="240" w:lineRule="auto"/>
    </w:pPr>
    <w:rPr>
      <w:rFonts w:eastAsiaTheme="minorEastAsia"/>
      <w:color w:val="FFFFFF" w:themeColor="background1"/>
      <w:lang w:val="en-US"/>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987009"/>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987009"/>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987009"/>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987009"/>
    <w:pPr>
      <w:spacing w:after="0" w:line="240" w:lineRule="auto"/>
    </w:pPr>
    <w:rPr>
      <w:rFonts w:eastAsiaTheme="minorEastAsia"/>
      <w:color w:val="000000" w:themeColor="text1"/>
      <w:lang w:val="en-US"/>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987009"/>
    <w:pPr>
      <w:spacing w:after="0" w:line="240" w:lineRule="auto"/>
    </w:pPr>
    <w:rPr>
      <w:rFonts w:eastAsiaTheme="minorEastAsia"/>
      <w:color w:val="000000" w:themeColor="text1"/>
      <w:lang w:val="en-US"/>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987009"/>
    <w:pPr>
      <w:spacing w:after="0" w:line="240" w:lineRule="auto"/>
    </w:pPr>
    <w:rPr>
      <w:rFonts w:eastAsiaTheme="minorEastAsia"/>
      <w:color w:val="000000" w:themeColor="text1"/>
      <w:lang w:val="en-US"/>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987009"/>
    <w:pPr>
      <w:spacing w:after="0" w:line="240" w:lineRule="auto"/>
    </w:pPr>
    <w:rPr>
      <w:rFonts w:eastAsiaTheme="minorEastAsia"/>
      <w:color w:val="000000" w:themeColor="text1"/>
      <w:lang w:val="en-US"/>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987009"/>
    <w:pPr>
      <w:spacing w:after="0" w:line="240" w:lineRule="auto"/>
    </w:pPr>
    <w:rPr>
      <w:rFonts w:eastAsiaTheme="minorEastAsia"/>
      <w:color w:val="000000" w:themeColor="text1"/>
      <w:lang w:val="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987009"/>
    <w:pPr>
      <w:spacing w:after="0" w:line="240" w:lineRule="auto"/>
    </w:pPr>
    <w:rPr>
      <w:rFonts w:eastAsiaTheme="minorEastAsia"/>
      <w:color w:val="000000" w:themeColor="text1"/>
      <w:lang w:val="en-US"/>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987009"/>
    <w:pPr>
      <w:spacing w:after="0" w:line="240" w:lineRule="auto"/>
    </w:pPr>
    <w:rPr>
      <w:rFonts w:eastAsiaTheme="minorEastAsia"/>
      <w:color w:val="000000" w:themeColor="text1"/>
      <w:lang w:val="en-US"/>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987009"/>
    <w:pPr>
      <w:spacing w:after="0" w:line="240" w:lineRule="auto"/>
    </w:pPr>
    <w:rPr>
      <w:rFonts w:eastAsiaTheme="minorEastAsia"/>
      <w:color w:val="000000" w:themeColor="text1"/>
      <w:lang w:val="en-US"/>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987009"/>
    <w:pPr>
      <w:spacing w:after="0" w:line="240" w:lineRule="auto"/>
    </w:pPr>
    <w:rPr>
      <w:rFonts w:eastAsiaTheme="minorEastAsia"/>
      <w:color w:val="000000" w:themeColor="text1"/>
      <w:lang w:val="en-US"/>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987009"/>
    <w:pPr>
      <w:spacing w:after="0" w:line="240" w:lineRule="auto"/>
    </w:pPr>
    <w:rPr>
      <w:rFonts w:eastAsiaTheme="minorEastAsia"/>
      <w:color w:val="000000" w:themeColor="text1"/>
      <w:lang w:val="en-US"/>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987009"/>
    <w:pPr>
      <w:spacing w:after="0" w:line="240" w:lineRule="auto"/>
    </w:pPr>
    <w:rPr>
      <w:rFonts w:eastAsiaTheme="minorEastAsia"/>
      <w:color w:val="000000" w:themeColor="text1"/>
      <w:lang w:val="en-US"/>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987009"/>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987009"/>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987009"/>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987009"/>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987009"/>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987009"/>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987009"/>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character" w:customStyle="1" w:styleId="NoSpacingChar">
    <w:name w:val="No Spacing Char"/>
    <w:basedOn w:val="DefaultParagraphFont"/>
    <w:link w:val="NoSpacing"/>
    <w:uiPriority w:val="1"/>
    <w:rsid w:val="00DD1D6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641068">
      <w:bodyDiv w:val="1"/>
      <w:marLeft w:val="0"/>
      <w:marRight w:val="0"/>
      <w:marTop w:val="0"/>
      <w:marBottom w:val="0"/>
      <w:divBdr>
        <w:top w:val="none" w:sz="0" w:space="0" w:color="auto"/>
        <w:left w:val="none" w:sz="0" w:space="0" w:color="auto"/>
        <w:bottom w:val="none" w:sz="0" w:space="0" w:color="auto"/>
        <w:right w:val="none" w:sz="0" w:space="0" w:color="auto"/>
      </w:divBdr>
    </w:div>
    <w:div w:id="124684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Critical Literature Review of “Facing challenges by migrant entrepreneurs in Indian food sector in London”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923DC-537E-4623-8C4B-79134049D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26</Pages>
  <Words>10189</Words>
  <Characters>58080</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Indian Food Sector</vt:lpstr>
    </vt:vector>
  </TitlesOfParts>
  <Company/>
  <LinksUpToDate>false</LinksUpToDate>
  <CharactersWithSpaces>68133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Indian Food Sector</dc:title>
  <dc:subject>Challenges? Let’s Face it together!</dc:subject>
  <dc:creator>Work By:- Jill Soni (2414301)</dc:creator>
  <cp:keywords/>
  <dc:description/>
  <cp:lastModifiedBy>User</cp:lastModifiedBy>
  <cp:revision>3</cp:revision>
  <dcterms:created xsi:type="dcterms:W3CDTF">2025-05-27T16:49:00Z</dcterms:created>
  <dcterms:modified xsi:type="dcterms:W3CDTF">2025-05-27T23:18:00Z</dcterms:modified>
  <cp:category>Course Module: - Critical Literature Review</cp:category>
</cp:coreProperties>
</file>