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7C14B" w14:textId="366A8178" w:rsidR="009F64C5" w:rsidRPr="005978B5" w:rsidRDefault="009F64C5" w:rsidP="0089662A">
      <w:pPr>
        <w:spacing w:line="360" w:lineRule="auto"/>
        <w:jc w:val="center"/>
        <w:rPr>
          <w:rFonts w:ascii="Arial" w:hAnsi="Arial" w:cs="Arial"/>
        </w:rPr>
      </w:pPr>
      <w:r w:rsidRPr="005978B5">
        <w:rPr>
          <w:rFonts w:ascii="Arial" w:hAnsi="Arial" w:cs="Arial"/>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p>
    <w:p w14:paraId="5E0F4EC2" w14:textId="188BA400" w:rsidR="009F64C5" w:rsidRPr="005978B5" w:rsidRDefault="009F64C5" w:rsidP="0089662A">
      <w:pPr>
        <w:spacing w:line="360" w:lineRule="auto"/>
        <w:ind w:left="49"/>
        <w:jc w:val="center"/>
        <w:rPr>
          <w:rFonts w:ascii="Arial" w:hAnsi="Arial" w:cs="Arial"/>
        </w:rPr>
      </w:pPr>
    </w:p>
    <w:p w14:paraId="0C4D53A1" w14:textId="7606E0C8" w:rsidR="009F64C5" w:rsidRPr="005978B5" w:rsidRDefault="009F64C5" w:rsidP="0089662A">
      <w:pPr>
        <w:spacing w:line="360" w:lineRule="auto"/>
        <w:ind w:left="49"/>
        <w:jc w:val="center"/>
        <w:rPr>
          <w:rFonts w:ascii="Arial" w:hAnsi="Arial" w:cs="Arial"/>
          <w:b/>
          <w:bCs/>
        </w:rPr>
      </w:pPr>
    </w:p>
    <w:p w14:paraId="27AB264B" w14:textId="763970F2" w:rsidR="00466477" w:rsidRPr="005978B5" w:rsidRDefault="0027230E" w:rsidP="0089662A">
      <w:pPr>
        <w:pStyle w:val="Title"/>
        <w:spacing w:after="160" w:line="360" w:lineRule="auto"/>
        <w:jc w:val="center"/>
        <w:rPr>
          <w:rFonts w:ascii="Arial" w:hAnsi="Arial" w:cs="Arial"/>
          <w:b/>
          <w:bCs/>
          <w:sz w:val="22"/>
          <w:szCs w:val="22"/>
        </w:rPr>
      </w:pPr>
      <w:r w:rsidRPr="005978B5">
        <w:rPr>
          <w:rFonts w:ascii="Arial" w:hAnsi="Arial" w:cs="Arial"/>
          <w:b/>
          <w:bCs/>
          <w:sz w:val="22"/>
          <w:szCs w:val="22"/>
        </w:rPr>
        <w:t>Socioeconomic, Cultural and Healthcare System Barriers to the Prevention and Management of Type 2 Diabetes Among Ethnic Minority Adults in the United Kingdom: A Systematic Review</w:t>
      </w:r>
    </w:p>
    <w:p w14:paraId="5E1E2E05" w14:textId="1BF24449" w:rsidR="009F64C5" w:rsidRPr="005978B5" w:rsidRDefault="009F64C5" w:rsidP="0089662A">
      <w:pPr>
        <w:spacing w:line="360" w:lineRule="auto"/>
        <w:jc w:val="center"/>
        <w:rPr>
          <w:rFonts w:ascii="Arial" w:hAnsi="Arial" w:cs="Arial"/>
        </w:rPr>
      </w:pPr>
    </w:p>
    <w:p w14:paraId="46D86011" w14:textId="401F4634" w:rsidR="009F64C5" w:rsidRPr="005978B5" w:rsidRDefault="009F64C5" w:rsidP="0089662A">
      <w:pPr>
        <w:spacing w:line="360" w:lineRule="auto"/>
        <w:ind w:left="2367" w:right="2358"/>
        <w:jc w:val="center"/>
        <w:rPr>
          <w:rFonts w:ascii="Arial" w:hAnsi="Arial" w:cs="Arial"/>
        </w:rPr>
      </w:pPr>
      <w:r w:rsidRPr="005978B5">
        <w:rPr>
          <w:rFonts w:ascii="Arial" w:hAnsi="Arial" w:cs="Arial"/>
        </w:rPr>
        <w:t>by</w:t>
      </w:r>
    </w:p>
    <w:p w14:paraId="2F528939" w14:textId="3BAFE150" w:rsidR="00466477" w:rsidRPr="005978B5" w:rsidRDefault="0027230E" w:rsidP="0089662A">
      <w:pPr>
        <w:pStyle w:val="p1"/>
        <w:spacing w:after="160" w:line="360" w:lineRule="auto"/>
        <w:jc w:val="center"/>
        <w:rPr>
          <w:rFonts w:ascii="Arial" w:hAnsi="Arial" w:cs="Arial"/>
          <w:b/>
          <w:bCs/>
          <w:sz w:val="22"/>
          <w:szCs w:val="22"/>
        </w:rPr>
      </w:pPr>
      <w:r w:rsidRPr="005978B5">
        <w:rPr>
          <w:rFonts w:ascii="Arial" w:hAnsi="Arial" w:cs="Arial"/>
          <w:b/>
          <w:bCs/>
          <w:sz w:val="22"/>
          <w:szCs w:val="22"/>
        </w:rPr>
        <w:t xml:space="preserve">Mohammedashraf </w:t>
      </w:r>
      <w:proofErr w:type="spellStart"/>
      <w:r w:rsidRPr="005978B5">
        <w:rPr>
          <w:rFonts w:ascii="Arial" w:hAnsi="Arial" w:cs="Arial"/>
          <w:b/>
          <w:bCs/>
          <w:sz w:val="22"/>
          <w:szCs w:val="22"/>
        </w:rPr>
        <w:t>Firozbhai</w:t>
      </w:r>
      <w:proofErr w:type="spellEnd"/>
      <w:r w:rsidRPr="005978B5">
        <w:rPr>
          <w:rFonts w:ascii="Arial" w:hAnsi="Arial" w:cs="Arial"/>
          <w:b/>
          <w:bCs/>
          <w:sz w:val="22"/>
          <w:szCs w:val="22"/>
        </w:rPr>
        <w:t xml:space="preserve"> Patel</w:t>
      </w:r>
    </w:p>
    <w:p w14:paraId="34049A88" w14:textId="22EB1825" w:rsidR="0027230E" w:rsidRPr="005978B5" w:rsidRDefault="0027230E" w:rsidP="0089662A">
      <w:pPr>
        <w:pStyle w:val="p1"/>
        <w:spacing w:after="160" w:line="360" w:lineRule="auto"/>
        <w:jc w:val="center"/>
        <w:rPr>
          <w:rFonts w:ascii="Arial" w:hAnsi="Arial" w:cs="Arial"/>
          <w:b/>
          <w:bCs/>
          <w:sz w:val="22"/>
          <w:szCs w:val="22"/>
        </w:rPr>
      </w:pPr>
      <w:r w:rsidRPr="005978B5">
        <w:rPr>
          <w:rFonts w:ascii="Arial" w:hAnsi="Arial" w:cs="Arial"/>
          <w:b/>
          <w:bCs/>
          <w:sz w:val="22"/>
          <w:szCs w:val="22"/>
        </w:rPr>
        <w:t>(2432246)</w:t>
      </w:r>
    </w:p>
    <w:p w14:paraId="1062A64A" w14:textId="0C6717F1" w:rsidR="009F64C5" w:rsidRPr="005978B5" w:rsidRDefault="009F64C5" w:rsidP="0089662A">
      <w:pPr>
        <w:spacing w:line="360" w:lineRule="auto"/>
        <w:ind w:left="59"/>
        <w:jc w:val="center"/>
        <w:rPr>
          <w:rFonts w:ascii="Arial" w:hAnsi="Arial" w:cs="Arial"/>
          <w:b/>
          <w:bCs/>
        </w:rPr>
      </w:pPr>
    </w:p>
    <w:p w14:paraId="64B3B17A" w14:textId="2981B586" w:rsidR="009F64C5" w:rsidRPr="005978B5" w:rsidRDefault="009F64C5" w:rsidP="0089662A">
      <w:pPr>
        <w:spacing w:line="360" w:lineRule="auto"/>
        <w:ind w:left="59"/>
        <w:jc w:val="center"/>
        <w:rPr>
          <w:rFonts w:ascii="Arial" w:hAnsi="Arial" w:cs="Arial"/>
        </w:rPr>
      </w:pPr>
    </w:p>
    <w:p w14:paraId="5CAC7C58" w14:textId="701D9D89" w:rsidR="009F64C5" w:rsidRPr="005978B5" w:rsidRDefault="009F64C5" w:rsidP="0089662A">
      <w:pPr>
        <w:spacing w:line="360" w:lineRule="auto"/>
        <w:ind w:left="59"/>
        <w:jc w:val="center"/>
        <w:rPr>
          <w:rFonts w:ascii="Arial" w:hAnsi="Arial" w:cs="Arial"/>
        </w:rPr>
      </w:pPr>
    </w:p>
    <w:p w14:paraId="75DE2693" w14:textId="1C51401D" w:rsidR="009F64C5" w:rsidRPr="005978B5" w:rsidRDefault="009F64C5" w:rsidP="0089662A">
      <w:pPr>
        <w:spacing w:line="360" w:lineRule="auto"/>
        <w:ind w:left="59"/>
        <w:jc w:val="center"/>
        <w:rPr>
          <w:rFonts w:ascii="Arial" w:hAnsi="Arial" w:cs="Arial"/>
        </w:rPr>
      </w:pPr>
      <w:r w:rsidRPr="005978B5">
        <w:rPr>
          <w:rFonts w:ascii="Arial" w:hAnsi="Arial" w:cs="Arial"/>
        </w:rPr>
        <w:t xml:space="preserve">A Dissertation submitted in partial fulfilment of the requirements for the degree of </w:t>
      </w:r>
      <w:r w:rsidR="00466477" w:rsidRPr="005978B5">
        <w:rPr>
          <w:rFonts w:ascii="Arial" w:hAnsi="Arial" w:cs="Arial"/>
        </w:rPr>
        <w:t>Master of Science</w:t>
      </w:r>
      <w:r w:rsidRPr="005978B5">
        <w:rPr>
          <w:rFonts w:ascii="Arial" w:hAnsi="Arial" w:cs="Arial"/>
        </w:rPr>
        <w:t xml:space="preserve"> in Public Health and Social Care in Practice</w:t>
      </w:r>
    </w:p>
    <w:p w14:paraId="2678540A" w14:textId="77777777" w:rsidR="009F64C5" w:rsidRPr="005978B5" w:rsidRDefault="009F64C5" w:rsidP="0089662A">
      <w:pPr>
        <w:spacing w:line="360" w:lineRule="auto"/>
        <w:ind w:left="59"/>
        <w:jc w:val="center"/>
        <w:rPr>
          <w:rFonts w:ascii="Arial" w:hAnsi="Arial" w:cs="Arial"/>
        </w:rPr>
      </w:pPr>
    </w:p>
    <w:p w14:paraId="6B1630CF" w14:textId="77777777" w:rsidR="009F64C5" w:rsidRPr="005978B5" w:rsidRDefault="009F64C5" w:rsidP="0089662A">
      <w:pPr>
        <w:spacing w:line="360" w:lineRule="auto"/>
        <w:jc w:val="center"/>
        <w:rPr>
          <w:rFonts w:ascii="Arial" w:hAnsi="Arial" w:cs="Arial"/>
          <w:b/>
          <w:bCs/>
        </w:rPr>
      </w:pPr>
    </w:p>
    <w:p w14:paraId="48468714" w14:textId="77777777" w:rsidR="009F64C5" w:rsidRPr="005978B5" w:rsidRDefault="009F64C5" w:rsidP="0089662A">
      <w:pPr>
        <w:spacing w:line="360" w:lineRule="auto"/>
        <w:jc w:val="center"/>
        <w:rPr>
          <w:rFonts w:ascii="Arial" w:hAnsi="Arial" w:cs="Arial"/>
          <w:b/>
          <w:bCs/>
        </w:rPr>
      </w:pPr>
    </w:p>
    <w:p w14:paraId="7C5AA9DE" w14:textId="3566044E" w:rsidR="009F64C5" w:rsidRPr="005978B5" w:rsidRDefault="34630932" w:rsidP="0089662A">
      <w:pPr>
        <w:spacing w:line="360" w:lineRule="auto"/>
        <w:jc w:val="center"/>
        <w:rPr>
          <w:rFonts w:ascii="Arial" w:hAnsi="Arial" w:cs="Arial"/>
          <w:b/>
          <w:bCs/>
        </w:rPr>
      </w:pPr>
      <w:r w:rsidRPr="005978B5">
        <w:rPr>
          <w:rFonts w:ascii="Arial" w:hAnsi="Arial" w:cs="Arial"/>
          <w:b/>
          <w:bCs/>
        </w:rPr>
        <w:t>T</w:t>
      </w:r>
      <w:r w:rsidR="009F64C5" w:rsidRPr="005978B5">
        <w:rPr>
          <w:rFonts w:ascii="Arial" w:hAnsi="Arial" w:cs="Arial"/>
          <w:b/>
          <w:bCs/>
        </w:rPr>
        <w:t>he Institute of Inner</w:t>
      </w:r>
      <w:r w:rsidR="4EFAA9D8" w:rsidRPr="005978B5">
        <w:rPr>
          <w:rFonts w:ascii="Arial" w:hAnsi="Arial" w:cs="Arial"/>
          <w:b/>
          <w:bCs/>
        </w:rPr>
        <w:t>-</w:t>
      </w:r>
      <w:r w:rsidR="009F64C5" w:rsidRPr="005978B5">
        <w:rPr>
          <w:rFonts w:ascii="Arial" w:hAnsi="Arial" w:cs="Arial"/>
          <w:b/>
          <w:bCs/>
        </w:rPr>
        <w:t>City Learning</w:t>
      </w:r>
    </w:p>
    <w:p w14:paraId="0A089F1E" w14:textId="7EF44560" w:rsidR="009F64C5" w:rsidRPr="005978B5" w:rsidRDefault="009F64C5" w:rsidP="0089662A">
      <w:pPr>
        <w:spacing w:line="360" w:lineRule="auto"/>
        <w:jc w:val="center"/>
        <w:rPr>
          <w:rFonts w:ascii="Arial" w:hAnsi="Arial" w:cs="Arial"/>
          <w:b/>
          <w:bCs/>
        </w:rPr>
      </w:pPr>
      <w:r w:rsidRPr="005978B5">
        <w:rPr>
          <w:rFonts w:ascii="Arial" w:hAnsi="Arial" w:cs="Arial"/>
          <w:b/>
          <w:bCs/>
        </w:rPr>
        <w:t>University of Wales Trinity Saint David – London Campus</w:t>
      </w:r>
    </w:p>
    <w:p w14:paraId="52A3D603" w14:textId="77777777" w:rsidR="009F64C5" w:rsidRPr="005978B5" w:rsidRDefault="009F64C5" w:rsidP="002E08BF">
      <w:pPr>
        <w:spacing w:line="360" w:lineRule="auto"/>
        <w:ind w:right="2357"/>
        <w:rPr>
          <w:rFonts w:ascii="Arial" w:hAnsi="Arial" w:cs="Arial"/>
          <w:b/>
          <w:bCs/>
        </w:rPr>
      </w:pPr>
    </w:p>
    <w:p w14:paraId="30E52C0C" w14:textId="77777777" w:rsidR="002E08BF" w:rsidRDefault="00354518" w:rsidP="0089662A">
      <w:pPr>
        <w:spacing w:line="360" w:lineRule="auto"/>
        <w:ind w:left="2367" w:right="2357"/>
        <w:jc w:val="center"/>
        <w:rPr>
          <w:rFonts w:ascii="Arial" w:hAnsi="Arial" w:cs="Arial"/>
          <w:b/>
          <w:bCs/>
        </w:rPr>
      </w:pPr>
      <w:r w:rsidRPr="005978B5">
        <w:rPr>
          <w:rFonts w:ascii="Arial" w:hAnsi="Arial" w:cs="Arial"/>
          <w:b/>
          <w:bCs/>
        </w:rPr>
        <w:t>June 2026</w:t>
      </w:r>
    </w:p>
    <w:p w14:paraId="46C7FCCD" w14:textId="6FB6C6AF" w:rsidR="00113366" w:rsidRPr="005978B5" w:rsidRDefault="002E08BF" w:rsidP="0089662A">
      <w:pPr>
        <w:spacing w:line="360" w:lineRule="auto"/>
        <w:ind w:left="2367" w:right="2357"/>
        <w:jc w:val="center"/>
        <w:rPr>
          <w:rFonts w:ascii="Arial" w:hAnsi="Arial" w:cs="Arial"/>
          <w:b/>
          <w:bCs/>
        </w:rPr>
      </w:pPr>
      <w:r>
        <w:rPr>
          <w:rFonts w:ascii="Arial" w:hAnsi="Arial" w:cs="Arial"/>
          <w:b/>
          <w:bCs/>
        </w:rPr>
        <w:t xml:space="preserve">Word </w:t>
      </w:r>
      <w:r w:rsidR="00C149A7">
        <w:rPr>
          <w:rFonts w:ascii="Arial" w:hAnsi="Arial" w:cs="Arial"/>
          <w:b/>
          <w:bCs/>
        </w:rPr>
        <w:t>count =</w:t>
      </w:r>
      <w:r>
        <w:rPr>
          <w:rFonts w:ascii="Arial" w:hAnsi="Arial" w:cs="Arial"/>
          <w:b/>
          <w:bCs/>
        </w:rPr>
        <w:t xml:space="preserve"> 1</w:t>
      </w:r>
      <w:r w:rsidR="006119F8">
        <w:rPr>
          <w:rFonts w:ascii="Arial" w:hAnsi="Arial" w:cs="Arial"/>
          <w:b/>
          <w:bCs/>
        </w:rPr>
        <w:t>4</w:t>
      </w:r>
      <w:r w:rsidR="00C149A7">
        <w:rPr>
          <w:rFonts w:ascii="Arial" w:hAnsi="Arial" w:cs="Arial"/>
          <w:b/>
          <w:bCs/>
        </w:rPr>
        <w:t>,865 words</w:t>
      </w:r>
      <w:r w:rsidR="00113366" w:rsidRPr="005978B5">
        <w:rPr>
          <w:rFonts w:ascii="Arial" w:hAnsi="Arial" w:cs="Arial"/>
          <w:b/>
          <w:bCs/>
        </w:rPr>
        <w:br w:type="page"/>
      </w:r>
    </w:p>
    <w:p w14:paraId="013A249C" w14:textId="77777777" w:rsidR="00113366" w:rsidRPr="005978B5" w:rsidRDefault="00113366" w:rsidP="00354518">
      <w:pPr>
        <w:spacing w:line="360" w:lineRule="auto"/>
        <w:jc w:val="both"/>
        <w:rPr>
          <w:rFonts w:ascii="Arial" w:eastAsia="Times New Roman" w:hAnsi="Arial" w:cs="Arial"/>
          <w:b/>
          <w:bCs/>
          <w:color w:val="000000" w:themeColor="text1"/>
          <w:lang w:val="hr-HR"/>
        </w:rPr>
      </w:pPr>
      <w:r w:rsidRPr="005978B5">
        <w:rPr>
          <w:rFonts w:ascii="Arial" w:eastAsia="Times New Roman" w:hAnsi="Arial" w:cs="Arial"/>
          <w:b/>
          <w:bCs/>
          <w:color w:val="000000" w:themeColor="text1"/>
          <w:lang w:val="hr-HR"/>
        </w:rPr>
        <w:lastRenderedPageBreak/>
        <w:t>DECLARATION</w:t>
      </w:r>
    </w:p>
    <w:p w14:paraId="2E9B29DF" w14:textId="77777777" w:rsidR="00113366" w:rsidRPr="005978B5" w:rsidRDefault="00113366" w:rsidP="00354518">
      <w:pPr>
        <w:spacing w:line="360" w:lineRule="auto"/>
        <w:jc w:val="both"/>
        <w:rPr>
          <w:rFonts w:ascii="Arial" w:eastAsia="Times New Roman" w:hAnsi="Arial" w:cs="Arial"/>
          <w:color w:val="000000" w:themeColor="text1"/>
          <w:lang w:val="hr-HR"/>
        </w:rPr>
      </w:pPr>
    </w:p>
    <w:p w14:paraId="5E2BD27D" w14:textId="25079646" w:rsidR="00113366" w:rsidRPr="005978B5" w:rsidRDefault="00525BD5" w:rsidP="00354518">
      <w:pPr>
        <w:spacing w:line="360" w:lineRule="auto"/>
        <w:jc w:val="both"/>
        <w:rPr>
          <w:rFonts w:ascii="Arial" w:eastAsia="Times New Roman" w:hAnsi="Arial" w:cs="Arial"/>
          <w:color w:val="000000" w:themeColor="text1"/>
          <w:lang w:val="hr-HR"/>
        </w:rPr>
      </w:pPr>
      <w:r w:rsidRPr="005978B5">
        <w:rPr>
          <w:rFonts w:ascii="Arial" w:hAnsi="Arial" w:cs="Arial"/>
          <w:noProof/>
        </w:rPr>
        <mc:AlternateContent>
          <mc:Choice Requires="wpi">
            <w:drawing>
              <wp:anchor distT="0" distB="0" distL="114300" distR="114300" simplePos="0" relativeHeight="251659264" behindDoc="0" locked="0" layoutInCell="1" allowOverlap="1" wp14:anchorId="0E35EDF7" wp14:editId="1C31293C">
                <wp:simplePos x="0" y="0"/>
                <wp:positionH relativeFrom="column">
                  <wp:posOffset>-2084070</wp:posOffset>
                </wp:positionH>
                <wp:positionV relativeFrom="paragraph">
                  <wp:posOffset>-224790</wp:posOffset>
                </wp:positionV>
                <wp:extent cx="920750" cy="920750"/>
                <wp:effectExtent l="59055" t="60325" r="48895" b="47625"/>
                <wp:wrapNone/>
                <wp:docPr id="1674321130"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41856BF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976.6pt;margin-top:-1830.2pt;width:3625pt;height:3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&#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">
                <v:imagedata r:id="rId10" o:title=""/>
                <o:lock v:ext="edit" rotation="t" verticies="t" shapetype="t"/>
              </v:shape>
            </w:pict>
          </mc:Fallback>
        </mc:AlternateContent>
      </w:r>
      <w:r w:rsidRPr="005978B5">
        <w:rPr>
          <w:rFonts w:ascii="Arial" w:hAnsi="Arial" w:cs="Arial"/>
          <w:noProof/>
        </w:rPr>
        <mc:AlternateContent>
          <mc:Choice Requires="wpi">
            <w:drawing>
              <wp:anchor distT="0" distB="0" distL="114300" distR="114300" simplePos="0" relativeHeight="251660288" behindDoc="0" locked="0" layoutInCell="1" allowOverlap="1" wp14:anchorId="472A3DA7" wp14:editId="6E142BC8">
                <wp:simplePos x="0" y="0"/>
                <wp:positionH relativeFrom="column">
                  <wp:posOffset>-2084070</wp:posOffset>
                </wp:positionH>
                <wp:positionV relativeFrom="paragraph">
                  <wp:posOffset>233045</wp:posOffset>
                </wp:positionV>
                <wp:extent cx="920750" cy="40640"/>
                <wp:effectExtent l="59055" t="60960" r="48895" b="50800"/>
                <wp:wrapNone/>
                <wp:docPr id="11799795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66635405" id="Ink 15" o:spid="_x0000_s1026" type="#_x0000_t75" style="position:absolute;margin-left:-1976.6pt;margin-top:17.65pt;width:3625pt;height:4.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">
                <v:imagedata r:id="rId12" o:title=""/>
                <o:lock v:ext="edit" rotation="t" verticies="t" shapetype="t"/>
              </v:shape>
            </w:pict>
          </mc:Fallback>
        </mc:AlternateContent>
      </w:r>
      <w:r w:rsidRPr="005978B5">
        <w:rPr>
          <w:rFonts w:ascii="Arial" w:hAnsi="Arial" w:cs="Arial"/>
          <w:noProof/>
        </w:rPr>
        <mc:AlternateContent>
          <mc:Choice Requires="wpi">
            <w:drawing>
              <wp:anchor distT="0" distB="0" distL="114300" distR="114300" simplePos="0" relativeHeight="251661312" behindDoc="0" locked="0" layoutInCell="1" allowOverlap="1" wp14:anchorId="6F6CF32A" wp14:editId="7B5D97A9">
                <wp:simplePos x="0" y="0"/>
                <wp:positionH relativeFrom="column">
                  <wp:posOffset>-2084070</wp:posOffset>
                </wp:positionH>
                <wp:positionV relativeFrom="paragraph">
                  <wp:posOffset>-214630</wp:posOffset>
                </wp:positionV>
                <wp:extent cx="920750" cy="920750"/>
                <wp:effectExtent l="59055" t="60960" r="48895" b="56515"/>
                <wp:wrapNone/>
                <wp:docPr id="426345533"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28BE7C04" id="Ink 14" o:spid="_x0000_s1026" type="#_x0000_t75" style="position:absolute;margin-left:-1976.6pt;margin-top:-1829.4pt;width:3625pt;height:3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">
                <v:imagedata r:id="rId10" o:title=""/>
                <o:lock v:ext="edit" rotation="t" verticies="t" shapetype="t"/>
              </v:shape>
            </w:pict>
          </mc:Fallback>
        </mc:AlternateContent>
      </w:r>
      <w:r w:rsidRPr="005978B5">
        <w:rPr>
          <w:rFonts w:ascii="Arial" w:hAnsi="Arial" w:cs="Arial"/>
          <w:noProof/>
        </w:rPr>
        <mc:AlternateContent>
          <mc:Choice Requires="wpi">
            <w:drawing>
              <wp:anchor distT="0" distB="0" distL="114300" distR="114300" simplePos="0" relativeHeight="251662336" behindDoc="0" locked="0" layoutInCell="1" allowOverlap="1" wp14:anchorId="6C68537D" wp14:editId="462F2FF5">
                <wp:simplePos x="0" y="0"/>
                <wp:positionH relativeFrom="column">
                  <wp:posOffset>-2395855</wp:posOffset>
                </wp:positionH>
                <wp:positionV relativeFrom="paragraph">
                  <wp:posOffset>-216535</wp:posOffset>
                </wp:positionV>
                <wp:extent cx="920750" cy="920750"/>
                <wp:effectExtent l="61595" t="59055" r="55880" b="48895"/>
                <wp:wrapNone/>
                <wp:docPr id="1841456887"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50AFE1EB" id="Ink 11" o:spid="_x0000_s1026" type="#_x0000_t75" style="position:absolute;margin-left:-2001.15pt;margin-top:-1829.55pt;width:3625pt;height:36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">
                <v:imagedata r:id="rId10" o:title=""/>
                <o:lock v:ext="edit" rotation="t" verticies="t" shapetype="t"/>
              </v:shape>
            </w:pict>
          </mc:Fallback>
        </mc:AlternateContent>
      </w:r>
      <w:r w:rsidR="008A73BC" w:rsidRPr="005978B5">
        <w:rPr>
          <w:rFonts w:ascii="Arial" w:eastAsia="Times New Roman" w:hAnsi="Arial" w:cs="Arial"/>
          <w:color w:val="000000" w:themeColor="text1"/>
          <w:lang w:val="hr-HR"/>
        </w:rPr>
        <w:t xml:space="preserve">I, </w:t>
      </w:r>
      <w:r w:rsidR="0027230E" w:rsidRPr="005978B5">
        <w:rPr>
          <w:rFonts w:ascii="Arial" w:hAnsi="Arial" w:cs="Arial"/>
          <w:b/>
          <w:bCs/>
        </w:rPr>
        <w:t xml:space="preserve">Mohammedashraf </w:t>
      </w:r>
      <w:proofErr w:type="spellStart"/>
      <w:r w:rsidR="0027230E" w:rsidRPr="005978B5">
        <w:rPr>
          <w:rFonts w:ascii="Arial" w:hAnsi="Arial" w:cs="Arial"/>
          <w:b/>
          <w:bCs/>
        </w:rPr>
        <w:t>Firozbhai</w:t>
      </w:r>
      <w:proofErr w:type="spellEnd"/>
      <w:r w:rsidR="0027230E" w:rsidRPr="005978B5">
        <w:rPr>
          <w:rFonts w:ascii="Arial" w:hAnsi="Arial" w:cs="Arial"/>
          <w:b/>
          <w:bCs/>
        </w:rPr>
        <w:t xml:space="preserve"> Patel</w:t>
      </w:r>
      <w:r w:rsidR="0027230E" w:rsidRPr="005978B5">
        <w:rPr>
          <w:rFonts w:ascii="Arial" w:eastAsia="Times New Roman" w:hAnsi="Arial" w:cs="Arial"/>
          <w:color w:val="000000" w:themeColor="text1"/>
          <w:lang w:val="hr-HR"/>
        </w:rPr>
        <w:t xml:space="preserve">, </w:t>
      </w:r>
      <w:r w:rsidR="008A73BC" w:rsidRPr="005978B5">
        <w:rPr>
          <w:rFonts w:ascii="Arial" w:eastAsia="Times New Roman" w:hAnsi="Arial" w:cs="Arial"/>
          <w:color w:val="000000" w:themeColor="text1"/>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00113366" w:rsidRPr="005978B5">
        <w:rPr>
          <w:rFonts w:ascii="Arial" w:eastAsia="Times New Roman" w:hAnsi="Arial" w:cs="Arial"/>
          <w:color w:val="000000" w:themeColor="text1"/>
          <w:lang w:val="hr-HR"/>
        </w:rPr>
        <w:t>.</w:t>
      </w:r>
    </w:p>
    <w:p w14:paraId="06FB2047" w14:textId="77777777" w:rsidR="00866A3E" w:rsidRPr="005978B5" w:rsidRDefault="00866A3E" w:rsidP="00354518">
      <w:pPr>
        <w:spacing w:line="360" w:lineRule="auto"/>
        <w:jc w:val="both"/>
        <w:rPr>
          <w:rFonts w:ascii="Arial" w:eastAsia="Times New Roman" w:hAnsi="Arial" w:cs="Arial"/>
          <w:color w:val="000000" w:themeColor="text1"/>
          <w:lang w:val="hr-HR"/>
        </w:rPr>
      </w:pPr>
    </w:p>
    <w:p w14:paraId="1E1F6BED" w14:textId="33BED9A2" w:rsidR="00113366" w:rsidRPr="005978B5" w:rsidRDefault="00113366" w:rsidP="00354518">
      <w:pPr>
        <w:spacing w:line="360" w:lineRule="auto"/>
        <w:jc w:val="both"/>
        <w:rPr>
          <w:rFonts w:ascii="Arial" w:eastAsia="Times New Roman" w:hAnsi="Arial" w:cs="Arial"/>
          <w:color w:val="000000" w:themeColor="text1"/>
          <w:u w:val="dotted"/>
          <w:lang w:val="hr-HR"/>
        </w:rPr>
      </w:pPr>
      <w:r w:rsidRPr="005978B5">
        <w:rPr>
          <w:rFonts w:ascii="Arial" w:eastAsia="Times New Roman" w:hAnsi="Arial" w:cs="Arial"/>
          <w:color w:val="000000" w:themeColor="text1"/>
          <w:lang w:val="hr-HR"/>
        </w:rPr>
        <w:t>Signed</w:t>
      </w:r>
      <w:r w:rsidR="008A73BC" w:rsidRPr="005978B5">
        <w:rPr>
          <w:rFonts w:ascii="Arial" w:eastAsia="Times New Roman" w:hAnsi="Arial" w:cs="Arial"/>
          <w:color w:val="000000" w:themeColor="text1"/>
          <w:lang w:val="hr-HR"/>
        </w:rPr>
        <w:t>:</w:t>
      </w:r>
      <w:r w:rsidR="0027230E" w:rsidRPr="005978B5">
        <w:rPr>
          <w:rFonts w:ascii="Arial" w:eastAsia="Times New Roman" w:hAnsi="Arial" w:cs="Arial"/>
          <w:color w:val="000000" w:themeColor="text1"/>
          <w:lang w:val="hr-HR"/>
        </w:rPr>
        <w:t xml:space="preserve"> </w:t>
      </w:r>
      <w:r w:rsidR="0027230E" w:rsidRPr="005978B5">
        <w:rPr>
          <w:rFonts w:ascii="Arial" w:hAnsi="Arial" w:cs="Arial"/>
          <w:b/>
          <w:bCs/>
          <w:u w:val="dotted"/>
        </w:rPr>
        <w:t xml:space="preserve">Mohammedashraf </w:t>
      </w:r>
      <w:proofErr w:type="spellStart"/>
      <w:r w:rsidR="0027230E" w:rsidRPr="005978B5">
        <w:rPr>
          <w:rFonts w:ascii="Arial" w:hAnsi="Arial" w:cs="Arial"/>
          <w:b/>
          <w:bCs/>
          <w:u w:val="dotted"/>
        </w:rPr>
        <w:t>Firozbhai</w:t>
      </w:r>
      <w:proofErr w:type="spellEnd"/>
      <w:r w:rsidR="0027230E" w:rsidRPr="005978B5">
        <w:rPr>
          <w:rFonts w:ascii="Arial" w:hAnsi="Arial" w:cs="Arial"/>
          <w:b/>
          <w:bCs/>
          <w:u w:val="dotted"/>
        </w:rPr>
        <w:t xml:space="preserve"> Patel </w:t>
      </w:r>
    </w:p>
    <w:p w14:paraId="367C1620" w14:textId="3AA87E5F" w:rsidR="00113366" w:rsidRPr="005978B5" w:rsidRDefault="00113366" w:rsidP="00354518">
      <w:pPr>
        <w:spacing w:line="360" w:lineRule="auto"/>
        <w:jc w:val="both"/>
        <w:rPr>
          <w:rFonts w:ascii="Arial" w:eastAsia="Times New Roman" w:hAnsi="Arial" w:cs="Arial"/>
          <w:color w:val="000000" w:themeColor="text1"/>
          <w:u w:val="dotted"/>
          <w:lang w:val="hr-HR"/>
        </w:rPr>
      </w:pPr>
      <w:r w:rsidRPr="005978B5">
        <w:rPr>
          <w:rFonts w:ascii="Arial" w:eastAsia="Times New Roman" w:hAnsi="Arial" w:cs="Arial"/>
          <w:color w:val="000000" w:themeColor="text1"/>
          <w:lang w:val="hr-HR"/>
        </w:rPr>
        <w:t>Date:</w:t>
      </w:r>
      <w:r w:rsidR="0027230E" w:rsidRPr="005978B5">
        <w:rPr>
          <w:rFonts w:ascii="Arial" w:eastAsia="Times New Roman" w:hAnsi="Arial" w:cs="Arial"/>
          <w:color w:val="000000" w:themeColor="text1"/>
          <w:lang w:val="hr-HR"/>
        </w:rPr>
        <w:t xml:space="preserve"> </w:t>
      </w:r>
      <w:r w:rsidR="0027230E" w:rsidRPr="005978B5">
        <w:rPr>
          <w:rFonts w:ascii="Arial" w:eastAsia="Times New Roman" w:hAnsi="Arial" w:cs="Arial"/>
          <w:color w:val="000000" w:themeColor="text1"/>
          <w:u w:val="dotted"/>
          <w:lang w:val="hr-HR"/>
        </w:rPr>
        <w:t>1</w:t>
      </w:r>
      <w:r w:rsidR="0089662A" w:rsidRPr="005978B5">
        <w:rPr>
          <w:rFonts w:ascii="Arial" w:eastAsia="Times New Roman" w:hAnsi="Arial" w:cs="Arial"/>
          <w:color w:val="000000" w:themeColor="text1"/>
          <w:u w:val="dotted"/>
          <w:lang w:val="hr-HR"/>
        </w:rPr>
        <w:t>7</w:t>
      </w:r>
      <w:r w:rsidR="0027230E" w:rsidRPr="005978B5">
        <w:rPr>
          <w:rFonts w:ascii="Arial" w:eastAsia="Times New Roman" w:hAnsi="Arial" w:cs="Arial"/>
          <w:color w:val="000000" w:themeColor="text1"/>
          <w:u w:val="dotted"/>
          <w:lang w:val="hr-HR"/>
        </w:rPr>
        <w:t>/06/2026</w:t>
      </w:r>
    </w:p>
    <w:p w14:paraId="2C702A82" w14:textId="77777777" w:rsidR="009F64C5" w:rsidRPr="005978B5" w:rsidRDefault="009F64C5" w:rsidP="00354518">
      <w:pPr>
        <w:spacing w:line="360" w:lineRule="auto"/>
        <w:ind w:right="2357"/>
        <w:jc w:val="both"/>
        <w:rPr>
          <w:rFonts w:ascii="Arial" w:hAnsi="Arial" w:cs="Arial"/>
          <w:b/>
          <w:bCs/>
        </w:rPr>
      </w:pPr>
    </w:p>
    <w:p w14:paraId="6AA9D53C" w14:textId="77777777" w:rsidR="009F64C5" w:rsidRPr="005978B5" w:rsidRDefault="009F64C5" w:rsidP="00354518">
      <w:pPr>
        <w:spacing w:line="360" w:lineRule="auto"/>
        <w:jc w:val="both"/>
        <w:rPr>
          <w:rFonts w:ascii="Arial" w:hAnsi="Arial" w:cs="Arial"/>
        </w:rPr>
      </w:pPr>
      <w:r w:rsidRPr="005978B5">
        <w:rPr>
          <w:rFonts w:ascii="Arial" w:hAnsi="Arial" w:cs="Arial"/>
          <w:color w:val="0070C0"/>
        </w:rPr>
        <w:t xml:space="preserve"> </w:t>
      </w:r>
      <w:r w:rsidRPr="005978B5">
        <w:rPr>
          <w:rFonts w:ascii="Arial" w:hAnsi="Arial" w:cs="Arial"/>
          <w:color w:val="0070C0"/>
        </w:rPr>
        <w:tab/>
        <w:t xml:space="preserve"> </w:t>
      </w:r>
    </w:p>
    <w:p w14:paraId="02286F32" w14:textId="77777777" w:rsidR="009F64C5" w:rsidRPr="005978B5" w:rsidRDefault="009F64C5" w:rsidP="00354518">
      <w:pPr>
        <w:spacing w:line="360" w:lineRule="auto"/>
        <w:jc w:val="both"/>
        <w:rPr>
          <w:rFonts w:ascii="Arial" w:eastAsia="Times New Roman" w:hAnsi="Arial" w:cs="Arial"/>
          <w:b/>
          <w:color w:val="000000"/>
        </w:rPr>
      </w:pPr>
      <w:r w:rsidRPr="005978B5">
        <w:rPr>
          <w:rFonts w:ascii="Arial" w:hAnsi="Arial" w:cs="Arial"/>
        </w:rPr>
        <w:br w:type="page"/>
      </w:r>
    </w:p>
    <w:p w14:paraId="3DF0875E" w14:textId="6FC899D5" w:rsidR="009F64C5" w:rsidRPr="005978B5" w:rsidRDefault="009F64C5" w:rsidP="00354518">
      <w:pPr>
        <w:pStyle w:val="Heading2"/>
        <w:spacing w:after="160" w:line="360" w:lineRule="auto"/>
        <w:ind w:left="12" w:right="4"/>
        <w:jc w:val="both"/>
        <w:rPr>
          <w:rFonts w:ascii="Arial" w:hAnsi="Arial" w:cs="Arial"/>
          <w:sz w:val="22"/>
        </w:rPr>
      </w:pPr>
      <w:bookmarkStart w:id="0" w:name="_Toc232173655"/>
      <w:r w:rsidRPr="005978B5">
        <w:rPr>
          <w:rFonts w:ascii="Arial" w:hAnsi="Arial" w:cs="Arial"/>
          <w:sz w:val="22"/>
        </w:rPr>
        <w:lastRenderedPageBreak/>
        <w:t>Acknowledgements</w:t>
      </w:r>
      <w:bookmarkEnd w:id="0"/>
      <w:r w:rsidRPr="005978B5">
        <w:rPr>
          <w:rFonts w:ascii="Arial" w:hAnsi="Arial" w:cs="Arial"/>
          <w:sz w:val="22"/>
        </w:rPr>
        <w:t xml:space="preserve"> </w:t>
      </w:r>
    </w:p>
    <w:p w14:paraId="19BA9C39" w14:textId="4FF5AC9F" w:rsidR="007D5D49" w:rsidRPr="005978B5" w:rsidRDefault="00F528DF" w:rsidP="00354518">
      <w:pPr>
        <w:spacing w:line="360" w:lineRule="auto"/>
        <w:jc w:val="both"/>
        <w:rPr>
          <w:rFonts w:ascii="Arial" w:hAnsi="Arial" w:cs="Arial"/>
        </w:rPr>
      </w:pPr>
      <w:r w:rsidRPr="005978B5">
        <w:rPr>
          <w:rFonts w:ascii="Arial" w:hAnsi="Arial" w:cs="Arial"/>
        </w:rPr>
        <w:t xml:space="preserve">I would like to thank </w:t>
      </w:r>
      <w:r w:rsidR="00DA5D5C">
        <w:rPr>
          <w:rFonts w:ascii="Arial" w:hAnsi="Arial" w:cs="Arial"/>
        </w:rPr>
        <w:t xml:space="preserve">ODETTE </w:t>
      </w:r>
      <w:r w:rsidR="008F7732">
        <w:rPr>
          <w:rFonts w:ascii="Arial" w:hAnsi="Arial" w:cs="Arial"/>
        </w:rPr>
        <w:t xml:space="preserve">JACK </w:t>
      </w:r>
      <w:r w:rsidR="008F7732" w:rsidRPr="005978B5">
        <w:rPr>
          <w:rFonts w:ascii="Arial" w:hAnsi="Arial" w:cs="Arial"/>
        </w:rPr>
        <w:t>for</w:t>
      </w:r>
      <w:r w:rsidRPr="005978B5">
        <w:rPr>
          <w:rFonts w:ascii="Arial" w:hAnsi="Arial" w:cs="Arial"/>
        </w:rPr>
        <w:t xml:space="preserve"> her expert guidance, constructive feedback and constant encouragement from the onset to the completion of this work. At every supervisory meeting, her critical engagement greatly enhanced the methodological </w:t>
      </w:r>
      <w:r w:rsidR="00EA7BC6" w:rsidRPr="005978B5">
        <w:rPr>
          <w:rFonts w:ascii="Arial" w:hAnsi="Arial" w:cs="Arial"/>
        </w:rPr>
        <w:t>rigour</w:t>
      </w:r>
      <w:r w:rsidRPr="005978B5">
        <w:rPr>
          <w:rFonts w:ascii="Arial" w:hAnsi="Arial" w:cs="Arial"/>
        </w:rPr>
        <w:t xml:space="preserve"> and the analytical depth of this dissertation.</w:t>
      </w:r>
    </w:p>
    <w:p w14:paraId="2707FA12" w14:textId="1DC61A3D" w:rsidR="007D5D49" w:rsidRPr="005978B5" w:rsidRDefault="00F528DF" w:rsidP="00354518">
      <w:pPr>
        <w:spacing w:line="360" w:lineRule="auto"/>
        <w:jc w:val="both"/>
        <w:rPr>
          <w:rFonts w:ascii="Arial" w:hAnsi="Arial" w:cs="Arial"/>
        </w:rPr>
      </w:pPr>
      <w:r w:rsidRPr="005978B5">
        <w:rPr>
          <w:rFonts w:ascii="Arial" w:hAnsi="Arial" w:cs="Arial"/>
        </w:rPr>
        <w:t>I am thankful to the University of Wales Trinity Saint David (UWTSD) - London Campus, and the staff at the Institute of Inner-City Learning for creating an academic environment which is stimulating and provided support throughout the MSc Public Health and Social Care in Practice programme.</w:t>
      </w:r>
    </w:p>
    <w:p w14:paraId="78114353" w14:textId="198FD4C7" w:rsidR="007D5D49" w:rsidRPr="005978B5" w:rsidRDefault="00F528DF" w:rsidP="00354518">
      <w:pPr>
        <w:spacing w:line="360" w:lineRule="auto"/>
        <w:jc w:val="both"/>
        <w:rPr>
          <w:rFonts w:ascii="Arial" w:hAnsi="Arial" w:cs="Arial"/>
        </w:rPr>
      </w:pPr>
      <w:r w:rsidRPr="005978B5">
        <w:rPr>
          <w:rFonts w:ascii="Arial" w:hAnsi="Arial" w:cs="Arial"/>
        </w:rPr>
        <w:t>Last, but not least, I would like to express my gratitude to my family for their patience, encouragement and never-ending support during this challenging time of study. This work could not have been done without them.</w:t>
      </w:r>
    </w:p>
    <w:p w14:paraId="41C2764E" w14:textId="7BC6EE8D" w:rsidR="00866A3E" w:rsidRPr="005978B5" w:rsidRDefault="00866A3E" w:rsidP="00354518">
      <w:pPr>
        <w:spacing w:line="360" w:lineRule="auto"/>
        <w:jc w:val="both"/>
        <w:rPr>
          <w:rFonts w:ascii="Arial" w:hAnsi="Arial" w:cs="Arial"/>
        </w:rPr>
      </w:pPr>
    </w:p>
    <w:p w14:paraId="6DD7150D" w14:textId="7BCC999D" w:rsidR="009F64C5" w:rsidRPr="005978B5" w:rsidRDefault="009F64C5" w:rsidP="00354518">
      <w:pPr>
        <w:spacing w:line="360" w:lineRule="auto"/>
        <w:jc w:val="both"/>
        <w:rPr>
          <w:rFonts w:ascii="Arial" w:hAnsi="Arial" w:cs="Arial"/>
        </w:rPr>
      </w:pPr>
    </w:p>
    <w:p w14:paraId="6F4F74AD" w14:textId="77777777" w:rsidR="009F64C5" w:rsidRPr="005978B5" w:rsidRDefault="009F64C5" w:rsidP="00354518">
      <w:pPr>
        <w:spacing w:line="360" w:lineRule="auto"/>
        <w:jc w:val="both"/>
        <w:rPr>
          <w:rFonts w:ascii="Arial" w:hAnsi="Arial" w:cs="Arial"/>
        </w:rPr>
      </w:pPr>
      <w:r w:rsidRPr="005978B5">
        <w:rPr>
          <w:rFonts w:ascii="Arial" w:hAnsi="Arial" w:cs="Arial"/>
          <w:color w:val="0070C0"/>
        </w:rPr>
        <w:t xml:space="preserve"> </w:t>
      </w:r>
      <w:r w:rsidRPr="005978B5">
        <w:rPr>
          <w:rFonts w:ascii="Arial" w:hAnsi="Arial" w:cs="Arial"/>
          <w:color w:val="0070C0"/>
        </w:rPr>
        <w:tab/>
        <w:t xml:space="preserve"> </w:t>
      </w:r>
      <w:r w:rsidRPr="005978B5">
        <w:rPr>
          <w:rFonts w:ascii="Arial" w:hAnsi="Arial" w:cs="Arial"/>
        </w:rPr>
        <w:br w:type="page"/>
      </w:r>
    </w:p>
    <w:p w14:paraId="563C12D9" w14:textId="42A94F60" w:rsidR="009F64C5" w:rsidRPr="005978B5" w:rsidRDefault="009F64C5" w:rsidP="00354518">
      <w:pPr>
        <w:pStyle w:val="Heading2"/>
        <w:spacing w:after="160" w:line="360" w:lineRule="auto"/>
        <w:ind w:left="12" w:right="5"/>
        <w:jc w:val="both"/>
        <w:rPr>
          <w:rFonts w:ascii="Arial" w:hAnsi="Arial" w:cs="Arial"/>
          <w:sz w:val="22"/>
        </w:rPr>
      </w:pPr>
      <w:bookmarkStart w:id="1" w:name="_Toc232173656"/>
      <w:r w:rsidRPr="005978B5">
        <w:rPr>
          <w:rFonts w:ascii="Arial" w:hAnsi="Arial" w:cs="Arial"/>
          <w:sz w:val="22"/>
        </w:rPr>
        <w:lastRenderedPageBreak/>
        <w:t>Abstract</w:t>
      </w:r>
      <w:bookmarkEnd w:id="1"/>
    </w:p>
    <w:p w14:paraId="12313A2E" w14:textId="77777777" w:rsidR="008F7732" w:rsidRPr="008F7732" w:rsidRDefault="008F7732" w:rsidP="00354518">
      <w:pPr>
        <w:spacing w:line="360" w:lineRule="auto"/>
        <w:jc w:val="both"/>
        <w:rPr>
          <w:rFonts w:ascii="Arial" w:hAnsi="Arial" w:cs="Arial"/>
          <w:i/>
          <w:iCs/>
        </w:rPr>
      </w:pPr>
      <w:r w:rsidRPr="008F7732">
        <w:rPr>
          <w:rFonts w:ascii="Arial" w:hAnsi="Arial" w:cs="Arial"/>
          <w:i/>
          <w:iCs/>
        </w:rPr>
        <w:t>Background/Objective</w:t>
      </w:r>
    </w:p>
    <w:p w14:paraId="3ED37547" w14:textId="77777777" w:rsidR="008F7732" w:rsidRDefault="00EA7BC6" w:rsidP="00354518">
      <w:pPr>
        <w:spacing w:line="360" w:lineRule="auto"/>
        <w:jc w:val="both"/>
        <w:rPr>
          <w:rFonts w:ascii="Arial" w:hAnsi="Arial" w:cs="Arial"/>
        </w:rPr>
      </w:pPr>
      <w:r w:rsidRPr="005978B5">
        <w:rPr>
          <w:rFonts w:ascii="Arial" w:hAnsi="Arial" w:cs="Arial"/>
        </w:rPr>
        <w:t xml:space="preserve">The systematic review examined the socioeconomic, cultural, and healthcare system issues to prevent and manage type 2 diabetes mellitus (T2DM) in ethnic minority adults in the United Kingdom. South Asian, Black African and Black Caribbean populations have a disproportionate burden of T2DM, with two to four times higher risk of the condition than the White British population. Although there is a strong national policy framework, ethnic disparities in access to T2DM prevention, quality of management and clinical outcomes continue to exist throughout the UK. </w:t>
      </w:r>
    </w:p>
    <w:p w14:paraId="2847E532" w14:textId="4192410A" w:rsidR="008F7732" w:rsidRPr="008F7732" w:rsidRDefault="008F7732" w:rsidP="00354518">
      <w:pPr>
        <w:spacing w:line="360" w:lineRule="auto"/>
        <w:jc w:val="both"/>
        <w:rPr>
          <w:rFonts w:ascii="Arial" w:hAnsi="Arial" w:cs="Arial"/>
          <w:i/>
          <w:iCs/>
        </w:rPr>
      </w:pPr>
      <w:r w:rsidRPr="008F7732">
        <w:rPr>
          <w:rFonts w:ascii="Arial" w:hAnsi="Arial" w:cs="Arial"/>
          <w:i/>
          <w:iCs/>
        </w:rPr>
        <w:t>Methods</w:t>
      </w:r>
    </w:p>
    <w:p w14:paraId="0377877D" w14:textId="46A920FB" w:rsidR="008F7732" w:rsidRDefault="00EA7BC6" w:rsidP="00354518">
      <w:pPr>
        <w:spacing w:line="360" w:lineRule="auto"/>
        <w:jc w:val="both"/>
        <w:rPr>
          <w:rFonts w:ascii="Arial" w:hAnsi="Arial" w:cs="Arial"/>
        </w:rPr>
      </w:pPr>
      <w:r w:rsidRPr="005978B5">
        <w:rPr>
          <w:rFonts w:ascii="Arial" w:hAnsi="Arial" w:cs="Arial"/>
        </w:rPr>
        <w:t xml:space="preserve">Based on PRISMA 2020 guidelines and PICO-informed search strategy in four electronic databases, PubMed, CINAHL, MEDLINE and Google Scholar, 15 peer-reviewed UK-based studies published between </w:t>
      </w:r>
      <w:r w:rsidR="00292470" w:rsidRPr="00292470">
        <w:rPr>
          <w:rFonts w:ascii="Arial" w:hAnsi="Arial" w:cs="Arial"/>
        </w:rPr>
        <w:t>2015 and 2026</w:t>
      </w:r>
      <w:r w:rsidR="00292470">
        <w:rPr>
          <w:rFonts w:ascii="Arial" w:hAnsi="Arial" w:cs="Arial"/>
        </w:rPr>
        <w:t xml:space="preserve"> </w:t>
      </w:r>
      <w:r w:rsidRPr="005978B5">
        <w:rPr>
          <w:rFonts w:ascii="Arial" w:hAnsi="Arial" w:cs="Arial"/>
        </w:rPr>
        <w:t xml:space="preserve">were identified and appraised by applying Critical Appraisal Skills Programme (CASP) tools. Thematic synthesis and narrative synthesis were used to synthesise results in qualitative, quantitative and mixed-method designs. </w:t>
      </w:r>
    </w:p>
    <w:p w14:paraId="5143A1B2" w14:textId="5227EF38" w:rsidR="008F7732" w:rsidRPr="008F7732" w:rsidRDefault="008F7732" w:rsidP="00354518">
      <w:pPr>
        <w:spacing w:line="360" w:lineRule="auto"/>
        <w:jc w:val="both"/>
        <w:rPr>
          <w:rFonts w:ascii="Arial" w:hAnsi="Arial" w:cs="Arial"/>
          <w:i/>
          <w:iCs/>
        </w:rPr>
      </w:pPr>
      <w:r w:rsidRPr="008F7732">
        <w:rPr>
          <w:rFonts w:ascii="Arial" w:hAnsi="Arial" w:cs="Arial"/>
          <w:i/>
          <w:iCs/>
        </w:rPr>
        <w:t>Findings</w:t>
      </w:r>
    </w:p>
    <w:p w14:paraId="69878A51" w14:textId="77777777" w:rsidR="008F7732" w:rsidRDefault="00EA7BC6" w:rsidP="00354518">
      <w:pPr>
        <w:spacing w:line="360" w:lineRule="auto"/>
        <w:jc w:val="both"/>
        <w:rPr>
          <w:rFonts w:ascii="Arial" w:hAnsi="Arial" w:cs="Arial"/>
        </w:rPr>
      </w:pPr>
      <w:r w:rsidRPr="005978B5">
        <w:rPr>
          <w:rFonts w:ascii="Arial" w:hAnsi="Arial" w:cs="Arial"/>
        </w:rPr>
        <w:t xml:space="preserve">Four general themes were found: </w:t>
      </w:r>
      <w:r w:rsidR="00035495" w:rsidRPr="005978B5">
        <w:rPr>
          <w:rFonts w:ascii="Arial" w:hAnsi="Arial" w:cs="Arial"/>
        </w:rPr>
        <w:t>barriers in the socioeconomic, cultural and healthcare system</w:t>
      </w:r>
      <w:r w:rsidRPr="005978B5">
        <w:rPr>
          <w:rFonts w:ascii="Arial" w:hAnsi="Arial" w:cs="Arial"/>
        </w:rPr>
        <w:t xml:space="preserve">, their effects on service utilisation and self-management, their effects on health outcomes, such as glycaemic control and complication rates, and evidence gaps and evidence-based recommendations. Findings demonstrate that deprivation, cultural illness beliefs, inadequate cultural competence in services, and structural racism converge to produce measurable inequalities in T2DM prevention programme engagement, treatment initiation and clinical outcomes. Interventions that are culturally adapted, such as the HEAL-D programme, show that these differences can be addressed by the right design of services. </w:t>
      </w:r>
    </w:p>
    <w:p w14:paraId="101C6ACB" w14:textId="75D2F7A3" w:rsidR="008F7732" w:rsidRPr="008F7732" w:rsidRDefault="008F7732" w:rsidP="00354518">
      <w:pPr>
        <w:spacing w:line="360" w:lineRule="auto"/>
        <w:jc w:val="both"/>
        <w:rPr>
          <w:rFonts w:ascii="Arial" w:hAnsi="Arial" w:cs="Arial"/>
          <w:i/>
          <w:iCs/>
        </w:rPr>
      </w:pPr>
      <w:r w:rsidRPr="008F7732">
        <w:rPr>
          <w:rFonts w:ascii="Arial" w:hAnsi="Arial" w:cs="Arial"/>
          <w:i/>
          <w:iCs/>
        </w:rPr>
        <w:t>Conclusion</w:t>
      </w:r>
    </w:p>
    <w:p w14:paraId="59ABEE5D" w14:textId="0FD24136" w:rsidR="009F64C5" w:rsidRPr="005978B5" w:rsidRDefault="00EA7BC6" w:rsidP="00354518">
      <w:pPr>
        <w:spacing w:line="360" w:lineRule="auto"/>
        <w:jc w:val="both"/>
        <w:rPr>
          <w:rFonts w:ascii="Arial" w:hAnsi="Arial" w:cs="Arial"/>
        </w:rPr>
      </w:pPr>
      <w:r w:rsidRPr="005978B5">
        <w:rPr>
          <w:rFonts w:ascii="Arial" w:hAnsi="Arial" w:cs="Arial"/>
        </w:rPr>
        <w:t>The review finds that T2DM disparities in ethnic minority adults are structurally produced and demand upstream policy reactions, culturally tailored commissioning and accountability systems to deliver equitable results.</w:t>
      </w:r>
    </w:p>
    <w:p w14:paraId="7CDD196C" w14:textId="2D041631" w:rsidR="009F64C5" w:rsidRPr="005978B5" w:rsidRDefault="000555DE" w:rsidP="00125FC6">
      <w:pPr>
        <w:spacing w:line="360" w:lineRule="auto"/>
        <w:jc w:val="both"/>
        <w:rPr>
          <w:rFonts w:ascii="Arial" w:hAnsi="Arial" w:cs="Arial"/>
        </w:rPr>
      </w:pPr>
      <w:r w:rsidRPr="005978B5">
        <w:rPr>
          <w:rFonts w:ascii="Arial" w:hAnsi="Arial" w:cs="Arial"/>
        </w:rPr>
        <w:br w:type="page"/>
      </w:r>
    </w:p>
    <w:sdt>
      <w:sdtPr>
        <w:rPr>
          <w:rFonts w:ascii="Arial" w:eastAsiaTheme="minorEastAsia" w:hAnsi="Arial" w:cs="Arial"/>
          <w:color w:val="auto"/>
          <w:kern w:val="2"/>
          <w:sz w:val="22"/>
          <w:szCs w:val="22"/>
          <w:lang w:val="en-GB" w:eastAsia="zh-CN"/>
        </w:rPr>
        <w:id w:val="241221323"/>
        <w:docPartObj>
          <w:docPartGallery w:val="Table of Contents"/>
          <w:docPartUnique/>
        </w:docPartObj>
      </w:sdtPr>
      <w:sdtEndPr>
        <w:rPr>
          <w:b/>
          <w:bCs/>
          <w:noProof/>
        </w:rPr>
      </w:sdtEndPr>
      <w:sdtContent>
        <w:p w14:paraId="610D62EB" w14:textId="181F6346" w:rsidR="00E77072" w:rsidRPr="005978B5" w:rsidRDefault="00E77072">
          <w:pPr>
            <w:pStyle w:val="TOCHeading"/>
            <w:rPr>
              <w:rFonts w:ascii="Arial" w:hAnsi="Arial" w:cs="Arial"/>
              <w:sz w:val="22"/>
              <w:szCs w:val="22"/>
            </w:rPr>
          </w:pPr>
          <w:r w:rsidRPr="005978B5">
            <w:rPr>
              <w:rFonts w:ascii="Arial" w:hAnsi="Arial" w:cs="Arial"/>
              <w:sz w:val="22"/>
              <w:szCs w:val="22"/>
            </w:rPr>
            <w:t>Table of Contents</w:t>
          </w:r>
        </w:p>
        <w:p w14:paraId="18AB28FD" w14:textId="1904DC9C" w:rsidR="00211962" w:rsidRDefault="00E77072">
          <w:pPr>
            <w:pStyle w:val="TOC2"/>
            <w:tabs>
              <w:tab w:val="right" w:leader="dot" w:pos="9016"/>
            </w:tabs>
            <w:rPr>
              <w:noProof/>
              <w:sz w:val="24"/>
              <w:szCs w:val="24"/>
              <w:lang w:val="en-US" w:eastAsia="en-US"/>
            </w:rPr>
          </w:pPr>
          <w:r w:rsidRPr="005978B5">
            <w:rPr>
              <w:rFonts w:ascii="Arial" w:hAnsi="Arial" w:cs="Arial"/>
            </w:rPr>
            <w:fldChar w:fldCharType="begin"/>
          </w:r>
          <w:r w:rsidRPr="005978B5">
            <w:rPr>
              <w:rFonts w:ascii="Arial" w:hAnsi="Arial" w:cs="Arial"/>
            </w:rPr>
            <w:instrText xml:space="preserve"> TOC \o "1-3" \h \z \u </w:instrText>
          </w:r>
          <w:r w:rsidRPr="005978B5">
            <w:rPr>
              <w:rFonts w:ascii="Arial" w:hAnsi="Arial" w:cs="Arial"/>
            </w:rPr>
            <w:fldChar w:fldCharType="separate"/>
          </w:r>
          <w:hyperlink w:anchor="_Toc232173655" w:history="1">
            <w:r w:rsidR="00211962" w:rsidRPr="00F00545">
              <w:rPr>
                <w:rStyle w:val="Hyperlink"/>
                <w:rFonts w:ascii="Arial" w:hAnsi="Arial" w:cs="Arial"/>
                <w:noProof/>
              </w:rPr>
              <w:t>Acknowledgements</w:t>
            </w:r>
            <w:r w:rsidR="00211962">
              <w:rPr>
                <w:noProof/>
                <w:webHidden/>
              </w:rPr>
              <w:tab/>
            </w:r>
            <w:r w:rsidR="00211962">
              <w:rPr>
                <w:noProof/>
                <w:webHidden/>
              </w:rPr>
              <w:fldChar w:fldCharType="begin"/>
            </w:r>
            <w:r w:rsidR="00211962">
              <w:rPr>
                <w:noProof/>
                <w:webHidden/>
              </w:rPr>
              <w:instrText xml:space="preserve"> PAGEREF _Toc232173655 \h </w:instrText>
            </w:r>
            <w:r w:rsidR="00211962">
              <w:rPr>
                <w:noProof/>
                <w:webHidden/>
              </w:rPr>
            </w:r>
            <w:r w:rsidR="00211962">
              <w:rPr>
                <w:noProof/>
                <w:webHidden/>
              </w:rPr>
              <w:fldChar w:fldCharType="separate"/>
            </w:r>
            <w:r w:rsidR="00211962">
              <w:rPr>
                <w:noProof/>
                <w:webHidden/>
              </w:rPr>
              <w:t>3</w:t>
            </w:r>
            <w:r w:rsidR="00211962">
              <w:rPr>
                <w:noProof/>
                <w:webHidden/>
              </w:rPr>
              <w:fldChar w:fldCharType="end"/>
            </w:r>
          </w:hyperlink>
        </w:p>
        <w:p w14:paraId="79502E39" w14:textId="330BF056" w:rsidR="00211962" w:rsidRDefault="00211962">
          <w:pPr>
            <w:pStyle w:val="TOC2"/>
            <w:tabs>
              <w:tab w:val="right" w:leader="dot" w:pos="9016"/>
            </w:tabs>
            <w:rPr>
              <w:noProof/>
              <w:sz w:val="24"/>
              <w:szCs w:val="24"/>
              <w:lang w:val="en-US" w:eastAsia="en-US"/>
            </w:rPr>
          </w:pPr>
          <w:hyperlink w:anchor="_Toc232173656" w:history="1">
            <w:r w:rsidRPr="00F00545">
              <w:rPr>
                <w:rStyle w:val="Hyperlink"/>
                <w:rFonts w:ascii="Arial" w:hAnsi="Arial" w:cs="Arial"/>
                <w:noProof/>
              </w:rPr>
              <w:t>Abstract</w:t>
            </w:r>
            <w:r>
              <w:rPr>
                <w:noProof/>
                <w:webHidden/>
              </w:rPr>
              <w:tab/>
            </w:r>
            <w:r>
              <w:rPr>
                <w:noProof/>
                <w:webHidden/>
              </w:rPr>
              <w:fldChar w:fldCharType="begin"/>
            </w:r>
            <w:r>
              <w:rPr>
                <w:noProof/>
                <w:webHidden/>
              </w:rPr>
              <w:instrText xml:space="preserve"> PAGEREF _Toc232173656 \h </w:instrText>
            </w:r>
            <w:r>
              <w:rPr>
                <w:noProof/>
                <w:webHidden/>
              </w:rPr>
            </w:r>
            <w:r>
              <w:rPr>
                <w:noProof/>
                <w:webHidden/>
              </w:rPr>
              <w:fldChar w:fldCharType="separate"/>
            </w:r>
            <w:r>
              <w:rPr>
                <w:noProof/>
                <w:webHidden/>
              </w:rPr>
              <w:t>4</w:t>
            </w:r>
            <w:r>
              <w:rPr>
                <w:noProof/>
                <w:webHidden/>
              </w:rPr>
              <w:fldChar w:fldCharType="end"/>
            </w:r>
          </w:hyperlink>
        </w:p>
        <w:p w14:paraId="140A4961" w14:textId="3A8B4A5A"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57" w:history="1">
            <w:r w:rsidRPr="00F00545">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_Toc232173657 \h </w:instrText>
            </w:r>
            <w:r>
              <w:rPr>
                <w:noProof/>
                <w:webHidden/>
              </w:rPr>
            </w:r>
            <w:r>
              <w:rPr>
                <w:noProof/>
                <w:webHidden/>
              </w:rPr>
              <w:fldChar w:fldCharType="separate"/>
            </w:r>
            <w:r>
              <w:rPr>
                <w:noProof/>
                <w:webHidden/>
              </w:rPr>
              <w:t>7</w:t>
            </w:r>
            <w:r>
              <w:rPr>
                <w:noProof/>
                <w:webHidden/>
              </w:rPr>
              <w:fldChar w:fldCharType="end"/>
            </w:r>
          </w:hyperlink>
        </w:p>
        <w:p w14:paraId="69ADCDB3" w14:textId="5FBAAE56"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58" w:history="1">
            <w:r w:rsidRPr="00F00545">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_Toc232173658 \h </w:instrText>
            </w:r>
            <w:r>
              <w:rPr>
                <w:noProof/>
                <w:webHidden/>
              </w:rPr>
            </w:r>
            <w:r>
              <w:rPr>
                <w:noProof/>
                <w:webHidden/>
              </w:rPr>
              <w:fldChar w:fldCharType="separate"/>
            </w:r>
            <w:r>
              <w:rPr>
                <w:noProof/>
                <w:webHidden/>
              </w:rPr>
              <w:t>8</w:t>
            </w:r>
            <w:r>
              <w:rPr>
                <w:noProof/>
                <w:webHidden/>
              </w:rPr>
              <w:fldChar w:fldCharType="end"/>
            </w:r>
          </w:hyperlink>
        </w:p>
        <w:p w14:paraId="4BB94676" w14:textId="15DBE325"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59" w:history="1">
            <w:r w:rsidRPr="00F00545">
              <w:rPr>
                <w:rStyle w:val="Hyperlink"/>
                <w:rFonts w:ascii="Arial" w:hAnsi="Arial" w:cs="Arial"/>
                <w:noProof/>
              </w:rPr>
              <w:t>List of abbreviations</w:t>
            </w:r>
            <w:r>
              <w:rPr>
                <w:noProof/>
                <w:webHidden/>
              </w:rPr>
              <w:tab/>
            </w:r>
            <w:r>
              <w:rPr>
                <w:noProof/>
                <w:webHidden/>
              </w:rPr>
              <w:fldChar w:fldCharType="begin"/>
            </w:r>
            <w:r>
              <w:rPr>
                <w:noProof/>
                <w:webHidden/>
              </w:rPr>
              <w:instrText xml:space="preserve"> PAGEREF _Toc232173659 \h </w:instrText>
            </w:r>
            <w:r>
              <w:rPr>
                <w:noProof/>
                <w:webHidden/>
              </w:rPr>
            </w:r>
            <w:r>
              <w:rPr>
                <w:noProof/>
                <w:webHidden/>
              </w:rPr>
              <w:fldChar w:fldCharType="separate"/>
            </w:r>
            <w:r>
              <w:rPr>
                <w:noProof/>
                <w:webHidden/>
              </w:rPr>
              <w:t>9</w:t>
            </w:r>
            <w:r>
              <w:rPr>
                <w:noProof/>
                <w:webHidden/>
              </w:rPr>
              <w:fldChar w:fldCharType="end"/>
            </w:r>
          </w:hyperlink>
        </w:p>
        <w:p w14:paraId="1DD0EF11" w14:textId="05B92D98"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60" w:history="1">
            <w:r w:rsidRPr="00F00545">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_Toc232173660 \h </w:instrText>
            </w:r>
            <w:r>
              <w:rPr>
                <w:noProof/>
                <w:webHidden/>
              </w:rPr>
            </w:r>
            <w:r>
              <w:rPr>
                <w:noProof/>
                <w:webHidden/>
              </w:rPr>
              <w:fldChar w:fldCharType="separate"/>
            </w:r>
            <w:r>
              <w:rPr>
                <w:noProof/>
                <w:webHidden/>
              </w:rPr>
              <w:t>11</w:t>
            </w:r>
            <w:r>
              <w:rPr>
                <w:noProof/>
                <w:webHidden/>
              </w:rPr>
              <w:fldChar w:fldCharType="end"/>
            </w:r>
          </w:hyperlink>
        </w:p>
        <w:p w14:paraId="73701C9D" w14:textId="04CF4DCD" w:rsidR="00211962" w:rsidRDefault="00211962">
          <w:pPr>
            <w:pStyle w:val="TOC2"/>
            <w:tabs>
              <w:tab w:val="right" w:leader="dot" w:pos="9016"/>
            </w:tabs>
            <w:rPr>
              <w:noProof/>
              <w:sz w:val="24"/>
              <w:szCs w:val="24"/>
              <w:lang w:val="en-US" w:eastAsia="en-US"/>
            </w:rPr>
          </w:pPr>
          <w:hyperlink w:anchor="_Toc232173661" w:history="1">
            <w:r w:rsidRPr="00F00545">
              <w:rPr>
                <w:rStyle w:val="Hyperlink"/>
                <w:rFonts w:ascii="Arial" w:hAnsi="Arial" w:cs="Arial"/>
                <w:noProof/>
              </w:rPr>
              <w:t>1.1 Background</w:t>
            </w:r>
            <w:r>
              <w:rPr>
                <w:noProof/>
                <w:webHidden/>
              </w:rPr>
              <w:tab/>
            </w:r>
            <w:r>
              <w:rPr>
                <w:noProof/>
                <w:webHidden/>
              </w:rPr>
              <w:fldChar w:fldCharType="begin"/>
            </w:r>
            <w:r>
              <w:rPr>
                <w:noProof/>
                <w:webHidden/>
              </w:rPr>
              <w:instrText xml:space="preserve"> PAGEREF _Toc232173661 \h </w:instrText>
            </w:r>
            <w:r>
              <w:rPr>
                <w:noProof/>
                <w:webHidden/>
              </w:rPr>
            </w:r>
            <w:r>
              <w:rPr>
                <w:noProof/>
                <w:webHidden/>
              </w:rPr>
              <w:fldChar w:fldCharType="separate"/>
            </w:r>
            <w:r>
              <w:rPr>
                <w:noProof/>
                <w:webHidden/>
              </w:rPr>
              <w:t>11</w:t>
            </w:r>
            <w:r>
              <w:rPr>
                <w:noProof/>
                <w:webHidden/>
              </w:rPr>
              <w:fldChar w:fldCharType="end"/>
            </w:r>
          </w:hyperlink>
        </w:p>
        <w:p w14:paraId="2F06B124" w14:textId="33F972FB" w:rsidR="00211962" w:rsidRDefault="00211962">
          <w:pPr>
            <w:pStyle w:val="TOC2"/>
            <w:tabs>
              <w:tab w:val="right" w:leader="dot" w:pos="9016"/>
            </w:tabs>
            <w:rPr>
              <w:noProof/>
              <w:sz w:val="24"/>
              <w:szCs w:val="24"/>
              <w:lang w:val="en-US" w:eastAsia="en-US"/>
            </w:rPr>
          </w:pPr>
          <w:hyperlink w:anchor="_Toc232173662" w:history="1">
            <w:r w:rsidRPr="00F00545">
              <w:rPr>
                <w:rStyle w:val="Hyperlink"/>
                <w:rFonts w:ascii="Arial" w:hAnsi="Arial" w:cs="Arial"/>
                <w:noProof/>
              </w:rPr>
              <w:t>1.2 Rationale for the Review</w:t>
            </w:r>
            <w:r>
              <w:rPr>
                <w:noProof/>
                <w:webHidden/>
              </w:rPr>
              <w:tab/>
            </w:r>
            <w:r>
              <w:rPr>
                <w:noProof/>
                <w:webHidden/>
              </w:rPr>
              <w:fldChar w:fldCharType="begin"/>
            </w:r>
            <w:r>
              <w:rPr>
                <w:noProof/>
                <w:webHidden/>
              </w:rPr>
              <w:instrText xml:space="preserve"> PAGEREF _Toc232173662 \h </w:instrText>
            </w:r>
            <w:r>
              <w:rPr>
                <w:noProof/>
                <w:webHidden/>
              </w:rPr>
            </w:r>
            <w:r>
              <w:rPr>
                <w:noProof/>
                <w:webHidden/>
              </w:rPr>
              <w:fldChar w:fldCharType="separate"/>
            </w:r>
            <w:r>
              <w:rPr>
                <w:noProof/>
                <w:webHidden/>
              </w:rPr>
              <w:t>12</w:t>
            </w:r>
            <w:r>
              <w:rPr>
                <w:noProof/>
                <w:webHidden/>
              </w:rPr>
              <w:fldChar w:fldCharType="end"/>
            </w:r>
          </w:hyperlink>
        </w:p>
        <w:p w14:paraId="2EC68088" w14:textId="7FA439C3" w:rsidR="00211962" w:rsidRDefault="00211962">
          <w:pPr>
            <w:pStyle w:val="TOC2"/>
            <w:tabs>
              <w:tab w:val="right" w:leader="dot" w:pos="9016"/>
            </w:tabs>
            <w:rPr>
              <w:noProof/>
              <w:sz w:val="24"/>
              <w:szCs w:val="24"/>
              <w:lang w:val="en-US" w:eastAsia="en-US"/>
            </w:rPr>
          </w:pPr>
          <w:hyperlink w:anchor="_Toc232173663" w:history="1">
            <w:r w:rsidRPr="00F00545">
              <w:rPr>
                <w:rStyle w:val="Hyperlink"/>
                <w:rFonts w:ascii="Arial" w:hAnsi="Arial" w:cs="Arial"/>
                <w:noProof/>
              </w:rPr>
              <w:t>1.3 Aim</w:t>
            </w:r>
            <w:r>
              <w:rPr>
                <w:noProof/>
                <w:webHidden/>
              </w:rPr>
              <w:tab/>
            </w:r>
            <w:r>
              <w:rPr>
                <w:noProof/>
                <w:webHidden/>
              </w:rPr>
              <w:fldChar w:fldCharType="begin"/>
            </w:r>
            <w:r>
              <w:rPr>
                <w:noProof/>
                <w:webHidden/>
              </w:rPr>
              <w:instrText xml:space="preserve"> PAGEREF _Toc232173663 \h </w:instrText>
            </w:r>
            <w:r>
              <w:rPr>
                <w:noProof/>
                <w:webHidden/>
              </w:rPr>
            </w:r>
            <w:r>
              <w:rPr>
                <w:noProof/>
                <w:webHidden/>
              </w:rPr>
              <w:fldChar w:fldCharType="separate"/>
            </w:r>
            <w:r>
              <w:rPr>
                <w:noProof/>
                <w:webHidden/>
              </w:rPr>
              <w:t>13</w:t>
            </w:r>
            <w:r>
              <w:rPr>
                <w:noProof/>
                <w:webHidden/>
              </w:rPr>
              <w:fldChar w:fldCharType="end"/>
            </w:r>
          </w:hyperlink>
        </w:p>
        <w:p w14:paraId="103D9BB4" w14:textId="3B486916" w:rsidR="00211962" w:rsidRDefault="00211962">
          <w:pPr>
            <w:pStyle w:val="TOC2"/>
            <w:tabs>
              <w:tab w:val="right" w:leader="dot" w:pos="9016"/>
            </w:tabs>
            <w:rPr>
              <w:noProof/>
              <w:sz w:val="24"/>
              <w:szCs w:val="24"/>
              <w:lang w:val="en-US" w:eastAsia="en-US"/>
            </w:rPr>
          </w:pPr>
          <w:hyperlink w:anchor="_Toc232173664" w:history="1">
            <w:r w:rsidRPr="00F00545">
              <w:rPr>
                <w:rStyle w:val="Hyperlink"/>
                <w:rFonts w:ascii="Arial" w:hAnsi="Arial" w:cs="Arial"/>
                <w:noProof/>
              </w:rPr>
              <w:t>1.4 Objectives</w:t>
            </w:r>
            <w:r>
              <w:rPr>
                <w:noProof/>
                <w:webHidden/>
              </w:rPr>
              <w:tab/>
            </w:r>
            <w:r>
              <w:rPr>
                <w:noProof/>
                <w:webHidden/>
              </w:rPr>
              <w:fldChar w:fldCharType="begin"/>
            </w:r>
            <w:r>
              <w:rPr>
                <w:noProof/>
                <w:webHidden/>
              </w:rPr>
              <w:instrText xml:space="preserve"> PAGEREF _Toc232173664 \h </w:instrText>
            </w:r>
            <w:r>
              <w:rPr>
                <w:noProof/>
                <w:webHidden/>
              </w:rPr>
            </w:r>
            <w:r>
              <w:rPr>
                <w:noProof/>
                <w:webHidden/>
              </w:rPr>
              <w:fldChar w:fldCharType="separate"/>
            </w:r>
            <w:r>
              <w:rPr>
                <w:noProof/>
                <w:webHidden/>
              </w:rPr>
              <w:t>13</w:t>
            </w:r>
            <w:r>
              <w:rPr>
                <w:noProof/>
                <w:webHidden/>
              </w:rPr>
              <w:fldChar w:fldCharType="end"/>
            </w:r>
          </w:hyperlink>
        </w:p>
        <w:p w14:paraId="268B0802" w14:textId="2FA52B02" w:rsidR="00211962" w:rsidRDefault="00211962">
          <w:pPr>
            <w:pStyle w:val="TOC2"/>
            <w:tabs>
              <w:tab w:val="right" w:leader="dot" w:pos="9016"/>
            </w:tabs>
            <w:rPr>
              <w:noProof/>
              <w:sz w:val="24"/>
              <w:szCs w:val="24"/>
              <w:lang w:val="en-US" w:eastAsia="en-US"/>
            </w:rPr>
          </w:pPr>
          <w:hyperlink w:anchor="_Toc232173665" w:history="1">
            <w:r w:rsidRPr="00F00545">
              <w:rPr>
                <w:rStyle w:val="Hyperlink"/>
                <w:rFonts w:ascii="Arial" w:hAnsi="Arial" w:cs="Arial"/>
                <w:noProof/>
              </w:rPr>
              <w:t>1.5 Structure of the Dissertation</w:t>
            </w:r>
            <w:r>
              <w:rPr>
                <w:noProof/>
                <w:webHidden/>
              </w:rPr>
              <w:tab/>
            </w:r>
            <w:r>
              <w:rPr>
                <w:noProof/>
                <w:webHidden/>
              </w:rPr>
              <w:fldChar w:fldCharType="begin"/>
            </w:r>
            <w:r>
              <w:rPr>
                <w:noProof/>
                <w:webHidden/>
              </w:rPr>
              <w:instrText xml:space="preserve"> PAGEREF _Toc232173665 \h </w:instrText>
            </w:r>
            <w:r>
              <w:rPr>
                <w:noProof/>
                <w:webHidden/>
              </w:rPr>
            </w:r>
            <w:r>
              <w:rPr>
                <w:noProof/>
                <w:webHidden/>
              </w:rPr>
              <w:fldChar w:fldCharType="separate"/>
            </w:r>
            <w:r>
              <w:rPr>
                <w:noProof/>
                <w:webHidden/>
              </w:rPr>
              <w:t>13</w:t>
            </w:r>
            <w:r>
              <w:rPr>
                <w:noProof/>
                <w:webHidden/>
              </w:rPr>
              <w:fldChar w:fldCharType="end"/>
            </w:r>
          </w:hyperlink>
        </w:p>
        <w:p w14:paraId="3EBEF05F" w14:textId="4D2CA930"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66" w:history="1">
            <w:r w:rsidRPr="00F00545">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_Toc232173666 \h </w:instrText>
            </w:r>
            <w:r>
              <w:rPr>
                <w:noProof/>
                <w:webHidden/>
              </w:rPr>
            </w:r>
            <w:r>
              <w:rPr>
                <w:noProof/>
                <w:webHidden/>
              </w:rPr>
              <w:fldChar w:fldCharType="separate"/>
            </w:r>
            <w:r>
              <w:rPr>
                <w:noProof/>
                <w:webHidden/>
              </w:rPr>
              <w:t>15</w:t>
            </w:r>
            <w:r>
              <w:rPr>
                <w:noProof/>
                <w:webHidden/>
              </w:rPr>
              <w:fldChar w:fldCharType="end"/>
            </w:r>
          </w:hyperlink>
        </w:p>
        <w:p w14:paraId="3E183677" w14:textId="152D0A91" w:rsidR="00211962" w:rsidRDefault="00211962">
          <w:pPr>
            <w:pStyle w:val="TOC2"/>
            <w:tabs>
              <w:tab w:val="right" w:leader="dot" w:pos="9016"/>
            </w:tabs>
            <w:rPr>
              <w:noProof/>
              <w:sz w:val="24"/>
              <w:szCs w:val="24"/>
              <w:lang w:val="en-US" w:eastAsia="en-US"/>
            </w:rPr>
          </w:pPr>
          <w:hyperlink w:anchor="_Toc232173667" w:history="1">
            <w:r w:rsidRPr="00F00545">
              <w:rPr>
                <w:rStyle w:val="Hyperlink"/>
                <w:rFonts w:ascii="Arial" w:hAnsi="Arial" w:cs="Arial"/>
                <w:noProof/>
              </w:rPr>
              <w:t>2.1 Global Burden of Type 2 Diabetes Mellitus</w:t>
            </w:r>
            <w:r>
              <w:rPr>
                <w:noProof/>
                <w:webHidden/>
              </w:rPr>
              <w:tab/>
            </w:r>
            <w:r>
              <w:rPr>
                <w:noProof/>
                <w:webHidden/>
              </w:rPr>
              <w:fldChar w:fldCharType="begin"/>
            </w:r>
            <w:r>
              <w:rPr>
                <w:noProof/>
                <w:webHidden/>
              </w:rPr>
              <w:instrText xml:space="preserve"> PAGEREF _Toc232173667 \h </w:instrText>
            </w:r>
            <w:r>
              <w:rPr>
                <w:noProof/>
                <w:webHidden/>
              </w:rPr>
            </w:r>
            <w:r>
              <w:rPr>
                <w:noProof/>
                <w:webHidden/>
              </w:rPr>
              <w:fldChar w:fldCharType="separate"/>
            </w:r>
            <w:r>
              <w:rPr>
                <w:noProof/>
                <w:webHidden/>
              </w:rPr>
              <w:t>15</w:t>
            </w:r>
            <w:r>
              <w:rPr>
                <w:noProof/>
                <w:webHidden/>
              </w:rPr>
              <w:fldChar w:fldCharType="end"/>
            </w:r>
          </w:hyperlink>
        </w:p>
        <w:p w14:paraId="41EE57C9" w14:textId="6D5C0F29" w:rsidR="00211962" w:rsidRDefault="00211962">
          <w:pPr>
            <w:pStyle w:val="TOC2"/>
            <w:tabs>
              <w:tab w:val="right" w:leader="dot" w:pos="9016"/>
            </w:tabs>
            <w:rPr>
              <w:noProof/>
              <w:sz w:val="24"/>
              <w:szCs w:val="24"/>
              <w:lang w:val="en-US" w:eastAsia="en-US"/>
            </w:rPr>
          </w:pPr>
          <w:hyperlink w:anchor="_Toc232173668" w:history="1">
            <w:r w:rsidRPr="00F00545">
              <w:rPr>
                <w:rStyle w:val="Hyperlink"/>
                <w:rFonts w:ascii="Arial" w:hAnsi="Arial" w:cs="Arial"/>
                <w:noProof/>
              </w:rPr>
              <w:t>2.2 Epidemiology of T2DM in Ethnic Minority Populations in the UK</w:t>
            </w:r>
            <w:r>
              <w:rPr>
                <w:noProof/>
                <w:webHidden/>
              </w:rPr>
              <w:tab/>
            </w:r>
            <w:r>
              <w:rPr>
                <w:noProof/>
                <w:webHidden/>
              </w:rPr>
              <w:fldChar w:fldCharType="begin"/>
            </w:r>
            <w:r>
              <w:rPr>
                <w:noProof/>
                <w:webHidden/>
              </w:rPr>
              <w:instrText xml:space="preserve"> PAGEREF _Toc232173668 \h </w:instrText>
            </w:r>
            <w:r>
              <w:rPr>
                <w:noProof/>
                <w:webHidden/>
              </w:rPr>
            </w:r>
            <w:r>
              <w:rPr>
                <w:noProof/>
                <w:webHidden/>
              </w:rPr>
              <w:fldChar w:fldCharType="separate"/>
            </w:r>
            <w:r>
              <w:rPr>
                <w:noProof/>
                <w:webHidden/>
              </w:rPr>
              <w:t>15</w:t>
            </w:r>
            <w:r>
              <w:rPr>
                <w:noProof/>
                <w:webHidden/>
              </w:rPr>
              <w:fldChar w:fldCharType="end"/>
            </w:r>
          </w:hyperlink>
        </w:p>
        <w:p w14:paraId="6FAA8AB7" w14:textId="4B376759" w:rsidR="00211962" w:rsidRDefault="00211962">
          <w:pPr>
            <w:pStyle w:val="TOC2"/>
            <w:tabs>
              <w:tab w:val="right" w:leader="dot" w:pos="9016"/>
            </w:tabs>
            <w:rPr>
              <w:noProof/>
              <w:sz w:val="24"/>
              <w:szCs w:val="24"/>
              <w:lang w:val="en-US" w:eastAsia="en-US"/>
            </w:rPr>
          </w:pPr>
          <w:hyperlink w:anchor="_Toc232173669" w:history="1">
            <w:r w:rsidRPr="00F00545">
              <w:rPr>
                <w:rStyle w:val="Hyperlink"/>
                <w:rFonts w:ascii="Arial" w:hAnsi="Arial" w:cs="Arial"/>
                <w:noProof/>
              </w:rPr>
              <w:t>2.3 Defining Ethnic Minority Groups in the UK Context</w:t>
            </w:r>
            <w:r>
              <w:rPr>
                <w:noProof/>
                <w:webHidden/>
              </w:rPr>
              <w:tab/>
            </w:r>
            <w:r>
              <w:rPr>
                <w:noProof/>
                <w:webHidden/>
              </w:rPr>
              <w:fldChar w:fldCharType="begin"/>
            </w:r>
            <w:r>
              <w:rPr>
                <w:noProof/>
                <w:webHidden/>
              </w:rPr>
              <w:instrText xml:space="preserve"> PAGEREF _Toc232173669 \h </w:instrText>
            </w:r>
            <w:r>
              <w:rPr>
                <w:noProof/>
                <w:webHidden/>
              </w:rPr>
            </w:r>
            <w:r>
              <w:rPr>
                <w:noProof/>
                <w:webHidden/>
              </w:rPr>
              <w:fldChar w:fldCharType="separate"/>
            </w:r>
            <w:r>
              <w:rPr>
                <w:noProof/>
                <w:webHidden/>
              </w:rPr>
              <w:t>17</w:t>
            </w:r>
            <w:r>
              <w:rPr>
                <w:noProof/>
                <w:webHidden/>
              </w:rPr>
              <w:fldChar w:fldCharType="end"/>
            </w:r>
          </w:hyperlink>
        </w:p>
        <w:p w14:paraId="7C98805E" w14:textId="28441600" w:rsidR="00211962" w:rsidRDefault="00211962">
          <w:pPr>
            <w:pStyle w:val="TOC2"/>
            <w:tabs>
              <w:tab w:val="right" w:leader="dot" w:pos="9016"/>
            </w:tabs>
            <w:rPr>
              <w:noProof/>
              <w:sz w:val="24"/>
              <w:szCs w:val="24"/>
              <w:lang w:val="en-US" w:eastAsia="en-US"/>
            </w:rPr>
          </w:pPr>
          <w:hyperlink w:anchor="_Toc232173670" w:history="1">
            <w:r w:rsidRPr="00F00545">
              <w:rPr>
                <w:rStyle w:val="Hyperlink"/>
                <w:rFonts w:ascii="Arial" w:hAnsi="Arial" w:cs="Arial"/>
                <w:noProof/>
              </w:rPr>
              <w:t>2.4 UK Policy and Legislative Framework</w:t>
            </w:r>
            <w:r>
              <w:rPr>
                <w:noProof/>
                <w:webHidden/>
              </w:rPr>
              <w:tab/>
            </w:r>
            <w:r>
              <w:rPr>
                <w:noProof/>
                <w:webHidden/>
              </w:rPr>
              <w:fldChar w:fldCharType="begin"/>
            </w:r>
            <w:r>
              <w:rPr>
                <w:noProof/>
                <w:webHidden/>
              </w:rPr>
              <w:instrText xml:space="preserve"> PAGEREF _Toc232173670 \h </w:instrText>
            </w:r>
            <w:r>
              <w:rPr>
                <w:noProof/>
                <w:webHidden/>
              </w:rPr>
            </w:r>
            <w:r>
              <w:rPr>
                <w:noProof/>
                <w:webHidden/>
              </w:rPr>
              <w:fldChar w:fldCharType="separate"/>
            </w:r>
            <w:r>
              <w:rPr>
                <w:noProof/>
                <w:webHidden/>
              </w:rPr>
              <w:t>18</w:t>
            </w:r>
            <w:r>
              <w:rPr>
                <w:noProof/>
                <w:webHidden/>
              </w:rPr>
              <w:fldChar w:fldCharType="end"/>
            </w:r>
          </w:hyperlink>
        </w:p>
        <w:p w14:paraId="018199F4" w14:textId="1E2699CE" w:rsidR="00211962" w:rsidRDefault="00211962">
          <w:pPr>
            <w:pStyle w:val="TOC2"/>
            <w:tabs>
              <w:tab w:val="right" w:leader="dot" w:pos="9016"/>
            </w:tabs>
            <w:rPr>
              <w:noProof/>
              <w:sz w:val="24"/>
              <w:szCs w:val="24"/>
              <w:lang w:val="en-US" w:eastAsia="en-US"/>
            </w:rPr>
          </w:pPr>
          <w:hyperlink w:anchor="_Toc232173671" w:history="1">
            <w:r w:rsidRPr="00F00545">
              <w:rPr>
                <w:rStyle w:val="Hyperlink"/>
                <w:rFonts w:ascii="Arial" w:hAnsi="Arial" w:cs="Arial"/>
                <w:noProof/>
              </w:rPr>
              <w:t>2.5 Socioeconomic Determinants of T2DM in Ethnic Minority Adults</w:t>
            </w:r>
            <w:r>
              <w:rPr>
                <w:noProof/>
                <w:webHidden/>
              </w:rPr>
              <w:tab/>
            </w:r>
            <w:r>
              <w:rPr>
                <w:noProof/>
                <w:webHidden/>
              </w:rPr>
              <w:fldChar w:fldCharType="begin"/>
            </w:r>
            <w:r>
              <w:rPr>
                <w:noProof/>
                <w:webHidden/>
              </w:rPr>
              <w:instrText xml:space="preserve"> PAGEREF _Toc232173671 \h </w:instrText>
            </w:r>
            <w:r>
              <w:rPr>
                <w:noProof/>
                <w:webHidden/>
              </w:rPr>
            </w:r>
            <w:r>
              <w:rPr>
                <w:noProof/>
                <w:webHidden/>
              </w:rPr>
              <w:fldChar w:fldCharType="separate"/>
            </w:r>
            <w:r>
              <w:rPr>
                <w:noProof/>
                <w:webHidden/>
              </w:rPr>
              <w:t>19</w:t>
            </w:r>
            <w:r>
              <w:rPr>
                <w:noProof/>
                <w:webHidden/>
              </w:rPr>
              <w:fldChar w:fldCharType="end"/>
            </w:r>
          </w:hyperlink>
        </w:p>
        <w:p w14:paraId="63FBC63C" w14:textId="4409F7AA" w:rsidR="00211962" w:rsidRDefault="00211962">
          <w:pPr>
            <w:pStyle w:val="TOC2"/>
            <w:tabs>
              <w:tab w:val="right" w:leader="dot" w:pos="9016"/>
            </w:tabs>
            <w:rPr>
              <w:noProof/>
              <w:sz w:val="24"/>
              <w:szCs w:val="24"/>
              <w:lang w:val="en-US" w:eastAsia="en-US"/>
            </w:rPr>
          </w:pPr>
          <w:hyperlink w:anchor="_Toc232173672" w:history="1">
            <w:r w:rsidRPr="00F00545">
              <w:rPr>
                <w:rStyle w:val="Hyperlink"/>
                <w:rFonts w:ascii="Arial" w:hAnsi="Arial" w:cs="Arial"/>
                <w:noProof/>
              </w:rPr>
              <w:t>2.6 Cultural Factors Contributing to T2DM Risk and Management</w:t>
            </w:r>
            <w:r>
              <w:rPr>
                <w:noProof/>
                <w:webHidden/>
              </w:rPr>
              <w:tab/>
            </w:r>
            <w:r>
              <w:rPr>
                <w:noProof/>
                <w:webHidden/>
              </w:rPr>
              <w:fldChar w:fldCharType="begin"/>
            </w:r>
            <w:r>
              <w:rPr>
                <w:noProof/>
                <w:webHidden/>
              </w:rPr>
              <w:instrText xml:space="preserve"> PAGEREF _Toc232173672 \h </w:instrText>
            </w:r>
            <w:r>
              <w:rPr>
                <w:noProof/>
                <w:webHidden/>
              </w:rPr>
            </w:r>
            <w:r>
              <w:rPr>
                <w:noProof/>
                <w:webHidden/>
              </w:rPr>
              <w:fldChar w:fldCharType="separate"/>
            </w:r>
            <w:r>
              <w:rPr>
                <w:noProof/>
                <w:webHidden/>
              </w:rPr>
              <w:t>21</w:t>
            </w:r>
            <w:r>
              <w:rPr>
                <w:noProof/>
                <w:webHidden/>
              </w:rPr>
              <w:fldChar w:fldCharType="end"/>
            </w:r>
          </w:hyperlink>
        </w:p>
        <w:p w14:paraId="4CF0C629" w14:textId="3A1C8368" w:rsidR="00211962" w:rsidRDefault="00211962">
          <w:pPr>
            <w:pStyle w:val="TOC2"/>
            <w:tabs>
              <w:tab w:val="right" w:leader="dot" w:pos="9016"/>
            </w:tabs>
            <w:rPr>
              <w:noProof/>
              <w:sz w:val="24"/>
              <w:szCs w:val="24"/>
              <w:lang w:val="en-US" w:eastAsia="en-US"/>
            </w:rPr>
          </w:pPr>
          <w:hyperlink w:anchor="_Toc232173673" w:history="1">
            <w:r w:rsidRPr="00F00545">
              <w:rPr>
                <w:rStyle w:val="Hyperlink"/>
                <w:rFonts w:ascii="Arial" w:hAnsi="Arial" w:cs="Arial"/>
                <w:noProof/>
              </w:rPr>
              <w:t>2.7 Theoretical Frameworks</w:t>
            </w:r>
            <w:r>
              <w:rPr>
                <w:noProof/>
                <w:webHidden/>
              </w:rPr>
              <w:tab/>
            </w:r>
            <w:r>
              <w:rPr>
                <w:noProof/>
                <w:webHidden/>
              </w:rPr>
              <w:fldChar w:fldCharType="begin"/>
            </w:r>
            <w:r>
              <w:rPr>
                <w:noProof/>
                <w:webHidden/>
              </w:rPr>
              <w:instrText xml:space="preserve"> PAGEREF _Toc232173673 \h </w:instrText>
            </w:r>
            <w:r>
              <w:rPr>
                <w:noProof/>
                <w:webHidden/>
              </w:rPr>
            </w:r>
            <w:r>
              <w:rPr>
                <w:noProof/>
                <w:webHidden/>
              </w:rPr>
              <w:fldChar w:fldCharType="separate"/>
            </w:r>
            <w:r>
              <w:rPr>
                <w:noProof/>
                <w:webHidden/>
              </w:rPr>
              <w:t>22</w:t>
            </w:r>
            <w:r>
              <w:rPr>
                <w:noProof/>
                <w:webHidden/>
              </w:rPr>
              <w:fldChar w:fldCharType="end"/>
            </w:r>
          </w:hyperlink>
        </w:p>
        <w:p w14:paraId="4BEEFA72" w14:textId="17FE4893" w:rsidR="00211962" w:rsidRDefault="00211962">
          <w:pPr>
            <w:pStyle w:val="TOC2"/>
            <w:tabs>
              <w:tab w:val="right" w:leader="dot" w:pos="9016"/>
            </w:tabs>
            <w:rPr>
              <w:noProof/>
              <w:sz w:val="24"/>
              <w:szCs w:val="24"/>
              <w:lang w:val="en-US" w:eastAsia="en-US"/>
            </w:rPr>
          </w:pPr>
          <w:hyperlink w:anchor="_Toc232173674" w:history="1">
            <w:r w:rsidRPr="00F00545">
              <w:rPr>
                <w:rStyle w:val="Hyperlink"/>
                <w:rFonts w:ascii="Arial" w:hAnsi="Arial" w:cs="Arial"/>
                <w:noProof/>
              </w:rPr>
              <w:t>2.8 Chapter Summary</w:t>
            </w:r>
            <w:r>
              <w:rPr>
                <w:noProof/>
                <w:webHidden/>
              </w:rPr>
              <w:tab/>
            </w:r>
            <w:r>
              <w:rPr>
                <w:noProof/>
                <w:webHidden/>
              </w:rPr>
              <w:fldChar w:fldCharType="begin"/>
            </w:r>
            <w:r>
              <w:rPr>
                <w:noProof/>
                <w:webHidden/>
              </w:rPr>
              <w:instrText xml:space="preserve"> PAGEREF _Toc232173674 \h </w:instrText>
            </w:r>
            <w:r>
              <w:rPr>
                <w:noProof/>
                <w:webHidden/>
              </w:rPr>
            </w:r>
            <w:r>
              <w:rPr>
                <w:noProof/>
                <w:webHidden/>
              </w:rPr>
              <w:fldChar w:fldCharType="separate"/>
            </w:r>
            <w:r>
              <w:rPr>
                <w:noProof/>
                <w:webHidden/>
              </w:rPr>
              <w:t>24</w:t>
            </w:r>
            <w:r>
              <w:rPr>
                <w:noProof/>
                <w:webHidden/>
              </w:rPr>
              <w:fldChar w:fldCharType="end"/>
            </w:r>
          </w:hyperlink>
        </w:p>
        <w:p w14:paraId="2A0AC24E" w14:textId="6808A57A"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75" w:history="1">
            <w:r w:rsidRPr="00F00545">
              <w:rPr>
                <w:rStyle w:val="Hyperlink"/>
                <w:rFonts w:ascii="Arial" w:hAnsi="Arial" w:cs="Arial"/>
                <w:noProof/>
              </w:rPr>
              <w:t>Chapter 3: Research Methodology</w:t>
            </w:r>
            <w:r>
              <w:rPr>
                <w:noProof/>
                <w:webHidden/>
              </w:rPr>
              <w:tab/>
            </w:r>
            <w:r>
              <w:rPr>
                <w:noProof/>
                <w:webHidden/>
              </w:rPr>
              <w:fldChar w:fldCharType="begin"/>
            </w:r>
            <w:r>
              <w:rPr>
                <w:noProof/>
                <w:webHidden/>
              </w:rPr>
              <w:instrText xml:space="preserve"> PAGEREF _Toc232173675 \h </w:instrText>
            </w:r>
            <w:r>
              <w:rPr>
                <w:noProof/>
                <w:webHidden/>
              </w:rPr>
            </w:r>
            <w:r>
              <w:rPr>
                <w:noProof/>
                <w:webHidden/>
              </w:rPr>
              <w:fldChar w:fldCharType="separate"/>
            </w:r>
            <w:r>
              <w:rPr>
                <w:noProof/>
                <w:webHidden/>
              </w:rPr>
              <w:t>25</w:t>
            </w:r>
            <w:r>
              <w:rPr>
                <w:noProof/>
                <w:webHidden/>
              </w:rPr>
              <w:fldChar w:fldCharType="end"/>
            </w:r>
          </w:hyperlink>
        </w:p>
        <w:p w14:paraId="79CCEA79" w14:textId="44196EC0" w:rsidR="00211962" w:rsidRDefault="00211962">
          <w:pPr>
            <w:pStyle w:val="TOC2"/>
            <w:tabs>
              <w:tab w:val="right" w:leader="dot" w:pos="9016"/>
            </w:tabs>
            <w:rPr>
              <w:noProof/>
              <w:sz w:val="24"/>
              <w:szCs w:val="24"/>
              <w:lang w:val="en-US" w:eastAsia="en-US"/>
            </w:rPr>
          </w:pPr>
          <w:hyperlink w:anchor="_Toc232173676" w:history="1">
            <w:r w:rsidRPr="00F00545">
              <w:rPr>
                <w:rStyle w:val="Hyperlink"/>
                <w:rFonts w:ascii="Arial" w:hAnsi="Arial" w:cs="Arial"/>
                <w:noProof/>
              </w:rPr>
              <w:t>3.1 Research Design</w:t>
            </w:r>
            <w:r>
              <w:rPr>
                <w:noProof/>
                <w:webHidden/>
              </w:rPr>
              <w:tab/>
            </w:r>
            <w:r>
              <w:rPr>
                <w:noProof/>
                <w:webHidden/>
              </w:rPr>
              <w:fldChar w:fldCharType="begin"/>
            </w:r>
            <w:r>
              <w:rPr>
                <w:noProof/>
                <w:webHidden/>
              </w:rPr>
              <w:instrText xml:space="preserve"> PAGEREF _Toc232173676 \h </w:instrText>
            </w:r>
            <w:r>
              <w:rPr>
                <w:noProof/>
                <w:webHidden/>
              </w:rPr>
            </w:r>
            <w:r>
              <w:rPr>
                <w:noProof/>
                <w:webHidden/>
              </w:rPr>
              <w:fldChar w:fldCharType="separate"/>
            </w:r>
            <w:r>
              <w:rPr>
                <w:noProof/>
                <w:webHidden/>
              </w:rPr>
              <w:t>25</w:t>
            </w:r>
            <w:r>
              <w:rPr>
                <w:noProof/>
                <w:webHidden/>
              </w:rPr>
              <w:fldChar w:fldCharType="end"/>
            </w:r>
          </w:hyperlink>
        </w:p>
        <w:p w14:paraId="454C1061" w14:textId="779F0CCD" w:rsidR="00211962" w:rsidRDefault="00211962">
          <w:pPr>
            <w:pStyle w:val="TOC2"/>
            <w:tabs>
              <w:tab w:val="right" w:leader="dot" w:pos="9016"/>
            </w:tabs>
            <w:rPr>
              <w:noProof/>
              <w:sz w:val="24"/>
              <w:szCs w:val="24"/>
              <w:lang w:val="en-US" w:eastAsia="en-US"/>
            </w:rPr>
          </w:pPr>
          <w:hyperlink w:anchor="_Toc232173677" w:history="1">
            <w:r w:rsidRPr="00F00545">
              <w:rPr>
                <w:rStyle w:val="Hyperlink"/>
                <w:rFonts w:ascii="Arial" w:hAnsi="Arial" w:cs="Arial"/>
                <w:noProof/>
              </w:rPr>
              <w:t>3.2 Search Strategy</w:t>
            </w:r>
            <w:r>
              <w:rPr>
                <w:noProof/>
                <w:webHidden/>
              </w:rPr>
              <w:tab/>
            </w:r>
            <w:r>
              <w:rPr>
                <w:noProof/>
                <w:webHidden/>
              </w:rPr>
              <w:fldChar w:fldCharType="begin"/>
            </w:r>
            <w:r>
              <w:rPr>
                <w:noProof/>
                <w:webHidden/>
              </w:rPr>
              <w:instrText xml:space="preserve"> PAGEREF _Toc232173677 \h </w:instrText>
            </w:r>
            <w:r>
              <w:rPr>
                <w:noProof/>
                <w:webHidden/>
              </w:rPr>
            </w:r>
            <w:r>
              <w:rPr>
                <w:noProof/>
                <w:webHidden/>
              </w:rPr>
              <w:fldChar w:fldCharType="separate"/>
            </w:r>
            <w:r>
              <w:rPr>
                <w:noProof/>
                <w:webHidden/>
              </w:rPr>
              <w:t>25</w:t>
            </w:r>
            <w:r>
              <w:rPr>
                <w:noProof/>
                <w:webHidden/>
              </w:rPr>
              <w:fldChar w:fldCharType="end"/>
            </w:r>
          </w:hyperlink>
        </w:p>
        <w:p w14:paraId="121D2CC9" w14:textId="3FA56A2B" w:rsidR="00211962" w:rsidRDefault="00211962">
          <w:pPr>
            <w:pStyle w:val="TOC2"/>
            <w:tabs>
              <w:tab w:val="right" w:leader="dot" w:pos="9016"/>
            </w:tabs>
            <w:rPr>
              <w:noProof/>
              <w:sz w:val="24"/>
              <w:szCs w:val="24"/>
              <w:lang w:val="en-US" w:eastAsia="en-US"/>
            </w:rPr>
          </w:pPr>
          <w:hyperlink w:anchor="_Toc232173678" w:history="1">
            <w:r w:rsidRPr="00F00545">
              <w:rPr>
                <w:rStyle w:val="Hyperlink"/>
                <w:rFonts w:ascii="Arial" w:hAnsi="Arial" w:cs="Arial"/>
                <w:noProof/>
              </w:rPr>
              <w:t>3.3 Inclusion and Exclusion Criteria</w:t>
            </w:r>
            <w:r>
              <w:rPr>
                <w:noProof/>
                <w:webHidden/>
              </w:rPr>
              <w:tab/>
            </w:r>
            <w:r>
              <w:rPr>
                <w:noProof/>
                <w:webHidden/>
              </w:rPr>
              <w:fldChar w:fldCharType="begin"/>
            </w:r>
            <w:r>
              <w:rPr>
                <w:noProof/>
                <w:webHidden/>
              </w:rPr>
              <w:instrText xml:space="preserve"> PAGEREF _Toc232173678 \h </w:instrText>
            </w:r>
            <w:r>
              <w:rPr>
                <w:noProof/>
                <w:webHidden/>
              </w:rPr>
            </w:r>
            <w:r>
              <w:rPr>
                <w:noProof/>
                <w:webHidden/>
              </w:rPr>
              <w:fldChar w:fldCharType="separate"/>
            </w:r>
            <w:r>
              <w:rPr>
                <w:noProof/>
                <w:webHidden/>
              </w:rPr>
              <w:t>27</w:t>
            </w:r>
            <w:r>
              <w:rPr>
                <w:noProof/>
                <w:webHidden/>
              </w:rPr>
              <w:fldChar w:fldCharType="end"/>
            </w:r>
          </w:hyperlink>
        </w:p>
        <w:p w14:paraId="044BE2CE" w14:textId="7CA156D2" w:rsidR="00211962" w:rsidRDefault="00211962">
          <w:pPr>
            <w:pStyle w:val="TOC2"/>
            <w:tabs>
              <w:tab w:val="right" w:leader="dot" w:pos="9016"/>
            </w:tabs>
            <w:rPr>
              <w:noProof/>
              <w:sz w:val="24"/>
              <w:szCs w:val="24"/>
              <w:lang w:val="en-US" w:eastAsia="en-US"/>
            </w:rPr>
          </w:pPr>
          <w:hyperlink w:anchor="_Toc232173679" w:history="1">
            <w:r w:rsidRPr="00F00545">
              <w:rPr>
                <w:rStyle w:val="Hyperlink"/>
                <w:rFonts w:ascii="Arial" w:hAnsi="Arial" w:cs="Arial"/>
                <w:noProof/>
              </w:rPr>
              <w:t>3.4 Study Selection and Screening</w:t>
            </w:r>
            <w:r>
              <w:rPr>
                <w:noProof/>
                <w:webHidden/>
              </w:rPr>
              <w:tab/>
            </w:r>
            <w:r>
              <w:rPr>
                <w:noProof/>
                <w:webHidden/>
              </w:rPr>
              <w:fldChar w:fldCharType="begin"/>
            </w:r>
            <w:r>
              <w:rPr>
                <w:noProof/>
                <w:webHidden/>
              </w:rPr>
              <w:instrText xml:space="preserve"> PAGEREF _Toc232173679 \h </w:instrText>
            </w:r>
            <w:r>
              <w:rPr>
                <w:noProof/>
                <w:webHidden/>
              </w:rPr>
            </w:r>
            <w:r>
              <w:rPr>
                <w:noProof/>
                <w:webHidden/>
              </w:rPr>
              <w:fldChar w:fldCharType="separate"/>
            </w:r>
            <w:r>
              <w:rPr>
                <w:noProof/>
                <w:webHidden/>
              </w:rPr>
              <w:t>28</w:t>
            </w:r>
            <w:r>
              <w:rPr>
                <w:noProof/>
                <w:webHidden/>
              </w:rPr>
              <w:fldChar w:fldCharType="end"/>
            </w:r>
          </w:hyperlink>
        </w:p>
        <w:p w14:paraId="6E48ACC2" w14:textId="33B80350" w:rsidR="00211962" w:rsidRDefault="00211962">
          <w:pPr>
            <w:pStyle w:val="TOC2"/>
            <w:tabs>
              <w:tab w:val="right" w:leader="dot" w:pos="9016"/>
            </w:tabs>
            <w:rPr>
              <w:noProof/>
              <w:sz w:val="24"/>
              <w:szCs w:val="24"/>
              <w:lang w:val="en-US" w:eastAsia="en-US"/>
            </w:rPr>
          </w:pPr>
          <w:hyperlink w:anchor="_Toc232173680" w:history="1">
            <w:r w:rsidRPr="00F00545">
              <w:rPr>
                <w:rStyle w:val="Hyperlink"/>
                <w:rFonts w:ascii="Arial" w:hAnsi="Arial" w:cs="Arial"/>
                <w:noProof/>
              </w:rPr>
              <w:t>3.5 PRISMA 2020</w:t>
            </w:r>
            <w:r>
              <w:rPr>
                <w:noProof/>
                <w:webHidden/>
              </w:rPr>
              <w:tab/>
            </w:r>
            <w:r>
              <w:rPr>
                <w:noProof/>
                <w:webHidden/>
              </w:rPr>
              <w:fldChar w:fldCharType="begin"/>
            </w:r>
            <w:r>
              <w:rPr>
                <w:noProof/>
                <w:webHidden/>
              </w:rPr>
              <w:instrText xml:space="preserve"> PAGEREF _Toc232173680 \h </w:instrText>
            </w:r>
            <w:r>
              <w:rPr>
                <w:noProof/>
                <w:webHidden/>
              </w:rPr>
            </w:r>
            <w:r>
              <w:rPr>
                <w:noProof/>
                <w:webHidden/>
              </w:rPr>
              <w:fldChar w:fldCharType="separate"/>
            </w:r>
            <w:r>
              <w:rPr>
                <w:noProof/>
                <w:webHidden/>
              </w:rPr>
              <w:t>29</w:t>
            </w:r>
            <w:r>
              <w:rPr>
                <w:noProof/>
                <w:webHidden/>
              </w:rPr>
              <w:fldChar w:fldCharType="end"/>
            </w:r>
          </w:hyperlink>
        </w:p>
        <w:p w14:paraId="751889F5" w14:textId="560F2410" w:rsidR="00211962" w:rsidRDefault="00211962">
          <w:pPr>
            <w:pStyle w:val="TOC2"/>
            <w:tabs>
              <w:tab w:val="right" w:leader="dot" w:pos="9016"/>
            </w:tabs>
            <w:rPr>
              <w:noProof/>
              <w:sz w:val="24"/>
              <w:szCs w:val="24"/>
              <w:lang w:val="en-US" w:eastAsia="en-US"/>
            </w:rPr>
          </w:pPr>
          <w:hyperlink w:anchor="_Toc232173681" w:history="1">
            <w:r w:rsidRPr="00F00545">
              <w:rPr>
                <w:rStyle w:val="Hyperlink"/>
                <w:rFonts w:ascii="Arial" w:hAnsi="Arial" w:cs="Arial"/>
                <w:noProof/>
              </w:rPr>
              <w:t>3.6 CASP Quality Appraisal</w:t>
            </w:r>
            <w:r>
              <w:rPr>
                <w:noProof/>
                <w:webHidden/>
              </w:rPr>
              <w:tab/>
            </w:r>
            <w:r>
              <w:rPr>
                <w:noProof/>
                <w:webHidden/>
              </w:rPr>
              <w:fldChar w:fldCharType="begin"/>
            </w:r>
            <w:r>
              <w:rPr>
                <w:noProof/>
                <w:webHidden/>
              </w:rPr>
              <w:instrText xml:space="preserve"> PAGEREF _Toc232173681 \h </w:instrText>
            </w:r>
            <w:r>
              <w:rPr>
                <w:noProof/>
                <w:webHidden/>
              </w:rPr>
            </w:r>
            <w:r>
              <w:rPr>
                <w:noProof/>
                <w:webHidden/>
              </w:rPr>
              <w:fldChar w:fldCharType="separate"/>
            </w:r>
            <w:r>
              <w:rPr>
                <w:noProof/>
                <w:webHidden/>
              </w:rPr>
              <w:t>29</w:t>
            </w:r>
            <w:r>
              <w:rPr>
                <w:noProof/>
                <w:webHidden/>
              </w:rPr>
              <w:fldChar w:fldCharType="end"/>
            </w:r>
          </w:hyperlink>
        </w:p>
        <w:p w14:paraId="49716308" w14:textId="4FD15035" w:rsidR="00211962" w:rsidRDefault="00211962">
          <w:pPr>
            <w:pStyle w:val="TOC2"/>
            <w:tabs>
              <w:tab w:val="right" w:leader="dot" w:pos="9016"/>
            </w:tabs>
            <w:rPr>
              <w:noProof/>
              <w:sz w:val="24"/>
              <w:szCs w:val="24"/>
              <w:lang w:val="en-US" w:eastAsia="en-US"/>
            </w:rPr>
          </w:pPr>
          <w:hyperlink w:anchor="_Toc232173682" w:history="1">
            <w:r w:rsidRPr="00F00545">
              <w:rPr>
                <w:rStyle w:val="Hyperlink"/>
                <w:rFonts w:ascii="Arial" w:hAnsi="Arial" w:cs="Arial"/>
                <w:noProof/>
              </w:rPr>
              <w:t>3.7 Data Extraction</w:t>
            </w:r>
            <w:r>
              <w:rPr>
                <w:noProof/>
                <w:webHidden/>
              </w:rPr>
              <w:tab/>
            </w:r>
            <w:r>
              <w:rPr>
                <w:noProof/>
                <w:webHidden/>
              </w:rPr>
              <w:fldChar w:fldCharType="begin"/>
            </w:r>
            <w:r>
              <w:rPr>
                <w:noProof/>
                <w:webHidden/>
              </w:rPr>
              <w:instrText xml:space="preserve"> PAGEREF _Toc232173682 \h </w:instrText>
            </w:r>
            <w:r>
              <w:rPr>
                <w:noProof/>
                <w:webHidden/>
              </w:rPr>
            </w:r>
            <w:r>
              <w:rPr>
                <w:noProof/>
                <w:webHidden/>
              </w:rPr>
              <w:fldChar w:fldCharType="separate"/>
            </w:r>
            <w:r>
              <w:rPr>
                <w:noProof/>
                <w:webHidden/>
              </w:rPr>
              <w:t>30</w:t>
            </w:r>
            <w:r>
              <w:rPr>
                <w:noProof/>
                <w:webHidden/>
              </w:rPr>
              <w:fldChar w:fldCharType="end"/>
            </w:r>
          </w:hyperlink>
        </w:p>
        <w:p w14:paraId="1DF0FA75" w14:textId="6D91FD95" w:rsidR="00211962" w:rsidRDefault="00211962">
          <w:pPr>
            <w:pStyle w:val="TOC2"/>
            <w:tabs>
              <w:tab w:val="right" w:leader="dot" w:pos="9016"/>
            </w:tabs>
            <w:rPr>
              <w:noProof/>
              <w:sz w:val="24"/>
              <w:szCs w:val="24"/>
              <w:lang w:val="en-US" w:eastAsia="en-US"/>
            </w:rPr>
          </w:pPr>
          <w:hyperlink w:anchor="_Toc232173683" w:history="1">
            <w:r w:rsidRPr="00F00545">
              <w:rPr>
                <w:rStyle w:val="Hyperlink"/>
                <w:rFonts w:ascii="Arial" w:hAnsi="Arial" w:cs="Arial"/>
                <w:noProof/>
              </w:rPr>
              <w:t>3.8 Thematic Synthesis and Narrative Synthesis</w:t>
            </w:r>
            <w:r>
              <w:rPr>
                <w:noProof/>
                <w:webHidden/>
              </w:rPr>
              <w:tab/>
            </w:r>
            <w:r>
              <w:rPr>
                <w:noProof/>
                <w:webHidden/>
              </w:rPr>
              <w:fldChar w:fldCharType="begin"/>
            </w:r>
            <w:r>
              <w:rPr>
                <w:noProof/>
                <w:webHidden/>
              </w:rPr>
              <w:instrText xml:space="preserve"> PAGEREF _Toc232173683 \h </w:instrText>
            </w:r>
            <w:r>
              <w:rPr>
                <w:noProof/>
                <w:webHidden/>
              </w:rPr>
            </w:r>
            <w:r>
              <w:rPr>
                <w:noProof/>
                <w:webHidden/>
              </w:rPr>
              <w:fldChar w:fldCharType="separate"/>
            </w:r>
            <w:r>
              <w:rPr>
                <w:noProof/>
                <w:webHidden/>
              </w:rPr>
              <w:t>30</w:t>
            </w:r>
            <w:r>
              <w:rPr>
                <w:noProof/>
                <w:webHidden/>
              </w:rPr>
              <w:fldChar w:fldCharType="end"/>
            </w:r>
          </w:hyperlink>
        </w:p>
        <w:p w14:paraId="40C51818" w14:textId="47319EAA" w:rsidR="00211962" w:rsidRDefault="00211962">
          <w:pPr>
            <w:pStyle w:val="TOC2"/>
            <w:tabs>
              <w:tab w:val="right" w:leader="dot" w:pos="9016"/>
            </w:tabs>
            <w:rPr>
              <w:noProof/>
              <w:sz w:val="24"/>
              <w:szCs w:val="24"/>
              <w:lang w:val="en-US" w:eastAsia="en-US"/>
            </w:rPr>
          </w:pPr>
          <w:hyperlink w:anchor="_Toc232173684" w:history="1">
            <w:r w:rsidRPr="00F00545">
              <w:rPr>
                <w:rStyle w:val="Hyperlink"/>
                <w:rFonts w:ascii="Arial" w:hAnsi="Arial" w:cs="Arial"/>
                <w:noProof/>
              </w:rPr>
              <w:t>3.9 Ethics</w:t>
            </w:r>
            <w:r>
              <w:rPr>
                <w:noProof/>
                <w:webHidden/>
              </w:rPr>
              <w:tab/>
            </w:r>
            <w:r>
              <w:rPr>
                <w:noProof/>
                <w:webHidden/>
              </w:rPr>
              <w:fldChar w:fldCharType="begin"/>
            </w:r>
            <w:r>
              <w:rPr>
                <w:noProof/>
                <w:webHidden/>
              </w:rPr>
              <w:instrText xml:space="preserve"> PAGEREF _Toc232173684 \h </w:instrText>
            </w:r>
            <w:r>
              <w:rPr>
                <w:noProof/>
                <w:webHidden/>
              </w:rPr>
            </w:r>
            <w:r>
              <w:rPr>
                <w:noProof/>
                <w:webHidden/>
              </w:rPr>
              <w:fldChar w:fldCharType="separate"/>
            </w:r>
            <w:r>
              <w:rPr>
                <w:noProof/>
                <w:webHidden/>
              </w:rPr>
              <w:t>31</w:t>
            </w:r>
            <w:r>
              <w:rPr>
                <w:noProof/>
                <w:webHidden/>
              </w:rPr>
              <w:fldChar w:fldCharType="end"/>
            </w:r>
          </w:hyperlink>
        </w:p>
        <w:p w14:paraId="643A3665" w14:textId="11649B1C"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85" w:history="1">
            <w:r w:rsidRPr="00F00545">
              <w:rPr>
                <w:rStyle w:val="Hyperlink"/>
                <w:rFonts w:ascii="Arial" w:hAnsi="Arial" w:cs="Arial"/>
                <w:noProof/>
              </w:rPr>
              <w:t>Chapter 4 – Findings</w:t>
            </w:r>
            <w:r>
              <w:rPr>
                <w:noProof/>
                <w:webHidden/>
              </w:rPr>
              <w:tab/>
            </w:r>
            <w:r>
              <w:rPr>
                <w:noProof/>
                <w:webHidden/>
              </w:rPr>
              <w:fldChar w:fldCharType="begin"/>
            </w:r>
            <w:r>
              <w:rPr>
                <w:noProof/>
                <w:webHidden/>
              </w:rPr>
              <w:instrText xml:space="preserve"> PAGEREF _Toc232173685 \h </w:instrText>
            </w:r>
            <w:r>
              <w:rPr>
                <w:noProof/>
                <w:webHidden/>
              </w:rPr>
            </w:r>
            <w:r>
              <w:rPr>
                <w:noProof/>
                <w:webHidden/>
              </w:rPr>
              <w:fldChar w:fldCharType="separate"/>
            </w:r>
            <w:r>
              <w:rPr>
                <w:noProof/>
                <w:webHidden/>
              </w:rPr>
              <w:t>32</w:t>
            </w:r>
            <w:r>
              <w:rPr>
                <w:noProof/>
                <w:webHidden/>
              </w:rPr>
              <w:fldChar w:fldCharType="end"/>
            </w:r>
          </w:hyperlink>
        </w:p>
        <w:p w14:paraId="2845AD30" w14:textId="099EC8D8" w:rsidR="00211962" w:rsidRDefault="00211962">
          <w:pPr>
            <w:pStyle w:val="TOC2"/>
            <w:tabs>
              <w:tab w:val="right" w:leader="dot" w:pos="9016"/>
            </w:tabs>
            <w:rPr>
              <w:noProof/>
              <w:sz w:val="24"/>
              <w:szCs w:val="24"/>
              <w:lang w:val="en-US" w:eastAsia="en-US"/>
            </w:rPr>
          </w:pPr>
          <w:hyperlink w:anchor="_Toc232173686" w:history="1">
            <w:r w:rsidRPr="00F00545">
              <w:rPr>
                <w:rStyle w:val="Hyperlink"/>
                <w:rFonts w:ascii="Arial" w:hAnsi="Arial" w:cs="Arial"/>
                <w:noProof/>
              </w:rPr>
              <w:t>4.1: Socioeconomic, cultural and healthcare system-based factors are important in the prevention and management of T2DM.</w:t>
            </w:r>
            <w:r>
              <w:rPr>
                <w:noProof/>
                <w:webHidden/>
              </w:rPr>
              <w:tab/>
            </w:r>
            <w:r>
              <w:rPr>
                <w:noProof/>
                <w:webHidden/>
              </w:rPr>
              <w:fldChar w:fldCharType="begin"/>
            </w:r>
            <w:r>
              <w:rPr>
                <w:noProof/>
                <w:webHidden/>
              </w:rPr>
              <w:instrText xml:space="preserve"> PAGEREF _Toc232173686 \h </w:instrText>
            </w:r>
            <w:r>
              <w:rPr>
                <w:noProof/>
                <w:webHidden/>
              </w:rPr>
            </w:r>
            <w:r>
              <w:rPr>
                <w:noProof/>
                <w:webHidden/>
              </w:rPr>
              <w:fldChar w:fldCharType="separate"/>
            </w:r>
            <w:r>
              <w:rPr>
                <w:noProof/>
                <w:webHidden/>
              </w:rPr>
              <w:t>38</w:t>
            </w:r>
            <w:r>
              <w:rPr>
                <w:noProof/>
                <w:webHidden/>
              </w:rPr>
              <w:fldChar w:fldCharType="end"/>
            </w:r>
          </w:hyperlink>
        </w:p>
        <w:p w14:paraId="1411E4E1" w14:textId="2D46499C" w:rsidR="00211962" w:rsidRDefault="00211962">
          <w:pPr>
            <w:pStyle w:val="TOC3"/>
            <w:tabs>
              <w:tab w:val="right" w:leader="dot" w:pos="9016"/>
            </w:tabs>
            <w:rPr>
              <w:noProof/>
              <w:sz w:val="24"/>
              <w:szCs w:val="24"/>
              <w:lang w:val="en-US" w:eastAsia="en-US"/>
            </w:rPr>
          </w:pPr>
          <w:hyperlink w:anchor="_Toc232173687" w:history="1">
            <w:r w:rsidRPr="00F00545">
              <w:rPr>
                <w:rStyle w:val="Hyperlink"/>
                <w:noProof/>
              </w:rPr>
              <w:t>4.1.1 Socio-economic Factors</w:t>
            </w:r>
            <w:r>
              <w:rPr>
                <w:noProof/>
                <w:webHidden/>
              </w:rPr>
              <w:tab/>
            </w:r>
            <w:r>
              <w:rPr>
                <w:noProof/>
                <w:webHidden/>
              </w:rPr>
              <w:fldChar w:fldCharType="begin"/>
            </w:r>
            <w:r>
              <w:rPr>
                <w:noProof/>
                <w:webHidden/>
              </w:rPr>
              <w:instrText xml:space="preserve"> PAGEREF _Toc232173687 \h </w:instrText>
            </w:r>
            <w:r>
              <w:rPr>
                <w:noProof/>
                <w:webHidden/>
              </w:rPr>
            </w:r>
            <w:r>
              <w:rPr>
                <w:noProof/>
                <w:webHidden/>
              </w:rPr>
              <w:fldChar w:fldCharType="separate"/>
            </w:r>
            <w:r>
              <w:rPr>
                <w:noProof/>
                <w:webHidden/>
              </w:rPr>
              <w:t>38</w:t>
            </w:r>
            <w:r>
              <w:rPr>
                <w:noProof/>
                <w:webHidden/>
              </w:rPr>
              <w:fldChar w:fldCharType="end"/>
            </w:r>
          </w:hyperlink>
        </w:p>
        <w:p w14:paraId="0D86486F" w14:textId="3CA6D108" w:rsidR="00211962" w:rsidRDefault="00211962">
          <w:pPr>
            <w:pStyle w:val="TOC3"/>
            <w:tabs>
              <w:tab w:val="right" w:leader="dot" w:pos="9016"/>
            </w:tabs>
            <w:rPr>
              <w:noProof/>
              <w:sz w:val="24"/>
              <w:szCs w:val="24"/>
              <w:lang w:val="en-US" w:eastAsia="en-US"/>
            </w:rPr>
          </w:pPr>
          <w:hyperlink w:anchor="_Toc232173688" w:history="1">
            <w:r w:rsidRPr="00F00545">
              <w:rPr>
                <w:rStyle w:val="Hyperlink"/>
                <w:noProof/>
              </w:rPr>
              <w:t>4.1.2 Cultural Factors</w:t>
            </w:r>
            <w:r>
              <w:rPr>
                <w:noProof/>
                <w:webHidden/>
              </w:rPr>
              <w:tab/>
            </w:r>
            <w:r>
              <w:rPr>
                <w:noProof/>
                <w:webHidden/>
              </w:rPr>
              <w:fldChar w:fldCharType="begin"/>
            </w:r>
            <w:r>
              <w:rPr>
                <w:noProof/>
                <w:webHidden/>
              </w:rPr>
              <w:instrText xml:space="preserve"> PAGEREF _Toc232173688 \h </w:instrText>
            </w:r>
            <w:r>
              <w:rPr>
                <w:noProof/>
                <w:webHidden/>
              </w:rPr>
            </w:r>
            <w:r>
              <w:rPr>
                <w:noProof/>
                <w:webHidden/>
              </w:rPr>
              <w:fldChar w:fldCharType="separate"/>
            </w:r>
            <w:r>
              <w:rPr>
                <w:noProof/>
                <w:webHidden/>
              </w:rPr>
              <w:t>40</w:t>
            </w:r>
            <w:r>
              <w:rPr>
                <w:noProof/>
                <w:webHidden/>
              </w:rPr>
              <w:fldChar w:fldCharType="end"/>
            </w:r>
          </w:hyperlink>
        </w:p>
        <w:p w14:paraId="739582BE" w14:textId="3CA0570F" w:rsidR="00211962" w:rsidRDefault="00211962">
          <w:pPr>
            <w:pStyle w:val="TOC3"/>
            <w:tabs>
              <w:tab w:val="right" w:leader="dot" w:pos="9016"/>
            </w:tabs>
            <w:rPr>
              <w:noProof/>
              <w:sz w:val="24"/>
              <w:szCs w:val="24"/>
              <w:lang w:val="en-US" w:eastAsia="en-US"/>
            </w:rPr>
          </w:pPr>
          <w:hyperlink w:anchor="_Toc232173689" w:history="1">
            <w:r w:rsidRPr="00F00545">
              <w:rPr>
                <w:rStyle w:val="Hyperlink"/>
                <w:noProof/>
              </w:rPr>
              <w:t>4.1.3 Healthcare system factors</w:t>
            </w:r>
            <w:r>
              <w:rPr>
                <w:noProof/>
                <w:webHidden/>
              </w:rPr>
              <w:tab/>
            </w:r>
            <w:r>
              <w:rPr>
                <w:noProof/>
                <w:webHidden/>
              </w:rPr>
              <w:fldChar w:fldCharType="begin"/>
            </w:r>
            <w:r>
              <w:rPr>
                <w:noProof/>
                <w:webHidden/>
              </w:rPr>
              <w:instrText xml:space="preserve"> PAGEREF _Toc232173689 \h </w:instrText>
            </w:r>
            <w:r>
              <w:rPr>
                <w:noProof/>
                <w:webHidden/>
              </w:rPr>
            </w:r>
            <w:r>
              <w:rPr>
                <w:noProof/>
                <w:webHidden/>
              </w:rPr>
              <w:fldChar w:fldCharType="separate"/>
            </w:r>
            <w:r>
              <w:rPr>
                <w:noProof/>
                <w:webHidden/>
              </w:rPr>
              <w:t>41</w:t>
            </w:r>
            <w:r>
              <w:rPr>
                <w:noProof/>
                <w:webHidden/>
              </w:rPr>
              <w:fldChar w:fldCharType="end"/>
            </w:r>
          </w:hyperlink>
        </w:p>
        <w:p w14:paraId="49C5AA9C" w14:textId="0DB1ABDB" w:rsidR="00211962" w:rsidRDefault="00211962">
          <w:pPr>
            <w:pStyle w:val="TOC2"/>
            <w:tabs>
              <w:tab w:val="right" w:leader="dot" w:pos="9016"/>
            </w:tabs>
            <w:rPr>
              <w:noProof/>
              <w:sz w:val="24"/>
              <w:szCs w:val="24"/>
              <w:lang w:val="en-US" w:eastAsia="en-US"/>
            </w:rPr>
          </w:pPr>
          <w:hyperlink w:anchor="_Toc232173690" w:history="1">
            <w:r w:rsidRPr="00F00545">
              <w:rPr>
                <w:rStyle w:val="Hyperlink"/>
                <w:rFonts w:ascii="Arial" w:hAnsi="Arial" w:cs="Arial"/>
                <w:noProof/>
              </w:rPr>
              <w:t>4.2: Impact of barriers</w:t>
            </w:r>
            <w:r>
              <w:rPr>
                <w:noProof/>
                <w:webHidden/>
              </w:rPr>
              <w:tab/>
            </w:r>
            <w:r>
              <w:rPr>
                <w:noProof/>
                <w:webHidden/>
              </w:rPr>
              <w:fldChar w:fldCharType="begin"/>
            </w:r>
            <w:r>
              <w:rPr>
                <w:noProof/>
                <w:webHidden/>
              </w:rPr>
              <w:instrText xml:space="preserve"> PAGEREF _Toc232173690 \h </w:instrText>
            </w:r>
            <w:r>
              <w:rPr>
                <w:noProof/>
                <w:webHidden/>
              </w:rPr>
            </w:r>
            <w:r>
              <w:rPr>
                <w:noProof/>
                <w:webHidden/>
              </w:rPr>
              <w:fldChar w:fldCharType="separate"/>
            </w:r>
            <w:r>
              <w:rPr>
                <w:noProof/>
                <w:webHidden/>
              </w:rPr>
              <w:t>44</w:t>
            </w:r>
            <w:r>
              <w:rPr>
                <w:noProof/>
                <w:webHidden/>
              </w:rPr>
              <w:fldChar w:fldCharType="end"/>
            </w:r>
          </w:hyperlink>
        </w:p>
        <w:p w14:paraId="3F2EF89D" w14:textId="3CFCBFFA" w:rsidR="00211962" w:rsidRDefault="00211962">
          <w:pPr>
            <w:pStyle w:val="TOC3"/>
            <w:tabs>
              <w:tab w:val="right" w:leader="dot" w:pos="9016"/>
            </w:tabs>
            <w:rPr>
              <w:noProof/>
              <w:sz w:val="24"/>
              <w:szCs w:val="24"/>
              <w:lang w:val="en-US" w:eastAsia="en-US"/>
            </w:rPr>
          </w:pPr>
          <w:hyperlink w:anchor="_Toc232173691" w:history="1">
            <w:r w:rsidRPr="00F00545">
              <w:rPr>
                <w:rStyle w:val="Hyperlink"/>
                <w:noProof/>
              </w:rPr>
              <w:t>4.2.1: Impact on Prevention and Programme Engagement</w:t>
            </w:r>
            <w:r>
              <w:rPr>
                <w:noProof/>
                <w:webHidden/>
              </w:rPr>
              <w:tab/>
            </w:r>
            <w:r>
              <w:rPr>
                <w:noProof/>
                <w:webHidden/>
              </w:rPr>
              <w:fldChar w:fldCharType="begin"/>
            </w:r>
            <w:r>
              <w:rPr>
                <w:noProof/>
                <w:webHidden/>
              </w:rPr>
              <w:instrText xml:space="preserve"> PAGEREF _Toc232173691 \h </w:instrText>
            </w:r>
            <w:r>
              <w:rPr>
                <w:noProof/>
                <w:webHidden/>
              </w:rPr>
            </w:r>
            <w:r>
              <w:rPr>
                <w:noProof/>
                <w:webHidden/>
              </w:rPr>
              <w:fldChar w:fldCharType="separate"/>
            </w:r>
            <w:r>
              <w:rPr>
                <w:noProof/>
                <w:webHidden/>
              </w:rPr>
              <w:t>44</w:t>
            </w:r>
            <w:r>
              <w:rPr>
                <w:noProof/>
                <w:webHidden/>
              </w:rPr>
              <w:fldChar w:fldCharType="end"/>
            </w:r>
          </w:hyperlink>
        </w:p>
        <w:p w14:paraId="080485FE" w14:textId="6FE7B5E4" w:rsidR="00211962" w:rsidRDefault="00211962">
          <w:pPr>
            <w:pStyle w:val="TOC3"/>
            <w:tabs>
              <w:tab w:val="right" w:leader="dot" w:pos="9016"/>
            </w:tabs>
            <w:rPr>
              <w:noProof/>
              <w:sz w:val="24"/>
              <w:szCs w:val="24"/>
              <w:lang w:val="en-US" w:eastAsia="en-US"/>
            </w:rPr>
          </w:pPr>
          <w:hyperlink w:anchor="_Toc232173692" w:history="1">
            <w:r w:rsidRPr="00F00545">
              <w:rPr>
                <w:rStyle w:val="Hyperlink"/>
                <w:noProof/>
              </w:rPr>
              <w:t>4.2.2: Impact on Self-Management Behaviours and Help-Seeking</w:t>
            </w:r>
            <w:r>
              <w:rPr>
                <w:noProof/>
                <w:webHidden/>
              </w:rPr>
              <w:tab/>
            </w:r>
            <w:r>
              <w:rPr>
                <w:noProof/>
                <w:webHidden/>
              </w:rPr>
              <w:fldChar w:fldCharType="begin"/>
            </w:r>
            <w:r>
              <w:rPr>
                <w:noProof/>
                <w:webHidden/>
              </w:rPr>
              <w:instrText xml:space="preserve"> PAGEREF _Toc232173692 \h </w:instrText>
            </w:r>
            <w:r>
              <w:rPr>
                <w:noProof/>
                <w:webHidden/>
              </w:rPr>
            </w:r>
            <w:r>
              <w:rPr>
                <w:noProof/>
                <w:webHidden/>
              </w:rPr>
              <w:fldChar w:fldCharType="separate"/>
            </w:r>
            <w:r>
              <w:rPr>
                <w:noProof/>
                <w:webHidden/>
              </w:rPr>
              <w:t>45</w:t>
            </w:r>
            <w:r>
              <w:rPr>
                <w:noProof/>
                <w:webHidden/>
              </w:rPr>
              <w:fldChar w:fldCharType="end"/>
            </w:r>
          </w:hyperlink>
        </w:p>
        <w:p w14:paraId="3095046B" w14:textId="7500F690" w:rsidR="00211962" w:rsidRDefault="00211962">
          <w:pPr>
            <w:pStyle w:val="TOC2"/>
            <w:tabs>
              <w:tab w:val="right" w:leader="dot" w:pos="9016"/>
            </w:tabs>
            <w:rPr>
              <w:noProof/>
              <w:sz w:val="24"/>
              <w:szCs w:val="24"/>
              <w:lang w:val="en-US" w:eastAsia="en-US"/>
            </w:rPr>
          </w:pPr>
          <w:hyperlink w:anchor="_Toc232173693" w:history="1">
            <w:r w:rsidRPr="00F00545">
              <w:rPr>
                <w:rStyle w:val="Hyperlink"/>
                <w:rFonts w:ascii="Arial" w:hAnsi="Arial" w:cs="Arial"/>
                <w:noProof/>
              </w:rPr>
              <w:t>4.3: Influence of barriers on main health outcomes</w:t>
            </w:r>
            <w:r>
              <w:rPr>
                <w:noProof/>
                <w:webHidden/>
              </w:rPr>
              <w:tab/>
            </w:r>
            <w:r>
              <w:rPr>
                <w:noProof/>
                <w:webHidden/>
              </w:rPr>
              <w:fldChar w:fldCharType="begin"/>
            </w:r>
            <w:r>
              <w:rPr>
                <w:noProof/>
                <w:webHidden/>
              </w:rPr>
              <w:instrText xml:space="preserve"> PAGEREF _Toc232173693 \h </w:instrText>
            </w:r>
            <w:r>
              <w:rPr>
                <w:noProof/>
                <w:webHidden/>
              </w:rPr>
            </w:r>
            <w:r>
              <w:rPr>
                <w:noProof/>
                <w:webHidden/>
              </w:rPr>
              <w:fldChar w:fldCharType="separate"/>
            </w:r>
            <w:r>
              <w:rPr>
                <w:noProof/>
                <w:webHidden/>
              </w:rPr>
              <w:t>46</w:t>
            </w:r>
            <w:r>
              <w:rPr>
                <w:noProof/>
                <w:webHidden/>
              </w:rPr>
              <w:fldChar w:fldCharType="end"/>
            </w:r>
          </w:hyperlink>
        </w:p>
        <w:p w14:paraId="5FD7379D" w14:textId="34D3F177" w:rsidR="00211962" w:rsidRDefault="00211962">
          <w:pPr>
            <w:pStyle w:val="TOC3"/>
            <w:tabs>
              <w:tab w:val="right" w:leader="dot" w:pos="9016"/>
            </w:tabs>
            <w:rPr>
              <w:noProof/>
              <w:sz w:val="24"/>
              <w:szCs w:val="24"/>
              <w:lang w:val="en-US" w:eastAsia="en-US"/>
            </w:rPr>
          </w:pPr>
          <w:hyperlink w:anchor="_Toc232173694" w:history="1">
            <w:r w:rsidRPr="00F00545">
              <w:rPr>
                <w:rStyle w:val="Hyperlink"/>
                <w:noProof/>
              </w:rPr>
              <w:t>4.3.1: Glycaemic Control and Treatment Disparities</w:t>
            </w:r>
            <w:r>
              <w:rPr>
                <w:noProof/>
                <w:webHidden/>
              </w:rPr>
              <w:tab/>
            </w:r>
            <w:r>
              <w:rPr>
                <w:noProof/>
                <w:webHidden/>
              </w:rPr>
              <w:fldChar w:fldCharType="begin"/>
            </w:r>
            <w:r>
              <w:rPr>
                <w:noProof/>
                <w:webHidden/>
              </w:rPr>
              <w:instrText xml:space="preserve"> PAGEREF _Toc232173694 \h </w:instrText>
            </w:r>
            <w:r>
              <w:rPr>
                <w:noProof/>
                <w:webHidden/>
              </w:rPr>
            </w:r>
            <w:r>
              <w:rPr>
                <w:noProof/>
                <w:webHidden/>
              </w:rPr>
              <w:fldChar w:fldCharType="separate"/>
            </w:r>
            <w:r>
              <w:rPr>
                <w:noProof/>
                <w:webHidden/>
              </w:rPr>
              <w:t>46</w:t>
            </w:r>
            <w:r>
              <w:rPr>
                <w:noProof/>
                <w:webHidden/>
              </w:rPr>
              <w:fldChar w:fldCharType="end"/>
            </w:r>
          </w:hyperlink>
        </w:p>
        <w:p w14:paraId="5E7D6B75" w14:textId="428A927C" w:rsidR="00211962" w:rsidRDefault="00211962">
          <w:pPr>
            <w:pStyle w:val="TOC3"/>
            <w:tabs>
              <w:tab w:val="right" w:leader="dot" w:pos="9016"/>
            </w:tabs>
            <w:rPr>
              <w:noProof/>
              <w:sz w:val="24"/>
              <w:szCs w:val="24"/>
              <w:lang w:val="en-US" w:eastAsia="en-US"/>
            </w:rPr>
          </w:pPr>
          <w:hyperlink w:anchor="_Toc232173695" w:history="1">
            <w:r w:rsidRPr="00F00545">
              <w:rPr>
                <w:rStyle w:val="Hyperlink"/>
                <w:noProof/>
              </w:rPr>
              <w:t>4.3.2: Complication Rates and Programme Effectiveness</w:t>
            </w:r>
            <w:r>
              <w:rPr>
                <w:noProof/>
                <w:webHidden/>
              </w:rPr>
              <w:tab/>
            </w:r>
            <w:r>
              <w:rPr>
                <w:noProof/>
                <w:webHidden/>
              </w:rPr>
              <w:fldChar w:fldCharType="begin"/>
            </w:r>
            <w:r>
              <w:rPr>
                <w:noProof/>
                <w:webHidden/>
              </w:rPr>
              <w:instrText xml:space="preserve"> PAGEREF _Toc232173695 \h </w:instrText>
            </w:r>
            <w:r>
              <w:rPr>
                <w:noProof/>
                <w:webHidden/>
              </w:rPr>
            </w:r>
            <w:r>
              <w:rPr>
                <w:noProof/>
                <w:webHidden/>
              </w:rPr>
              <w:fldChar w:fldCharType="separate"/>
            </w:r>
            <w:r>
              <w:rPr>
                <w:noProof/>
                <w:webHidden/>
              </w:rPr>
              <w:t>47</w:t>
            </w:r>
            <w:r>
              <w:rPr>
                <w:noProof/>
                <w:webHidden/>
              </w:rPr>
              <w:fldChar w:fldCharType="end"/>
            </w:r>
          </w:hyperlink>
        </w:p>
        <w:p w14:paraId="0C905727" w14:textId="17627239" w:rsidR="00211962" w:rsidRDefault="00211962">
          <w:pPr>
            <w:pStyle w:val="TOC2"/>
            <w:tabs>
              <w:tab w:val="right" w:leader="dot" w:pos="9016"/>
            </w:tabs>
            <w:rPr>
              <w:noProof/>
              <w:sz w:val="24"/>
              <w:szCs w:val="24"/>
              <w:lang w:val="en-US" w:eastAsia="en-US"/>
            </w:rPr>
          </w:pPr>
          <w:hyperlink w:anchor="_Toc232173696" w:history="1">
            <w:r w:rsidRPr="00F00545">
              <w:rPr>
                <w:rStyle w:val="Hyperlink"/>
                <w:rFonts w:ascii="Arial" w:hAnsi="Arial" w:cs="Arial"/>
                <w:noProof/>
              </w:rPr>
              <w:t>4.4: Gaps in evidence and Evidence-based recommendations</w:t>
            </w:r>
            <w:r>
              <w:rPr>
                <w:noProof/>
                <w:webHidden/>
              </w:rPr>
              <w:tab/>
            </w:r>
            <w:r>
              <w:rPr>
                <w:noProof/>
                <w:webHidden/>
              </w:rPr>
              <w:fldChar w:fldCharType="begin"/>
            </w:r>
            <w:r>
              <w:rPr>
                <w:noProof/>
                <w:webHidden/>
              </w:rPr>
              <w:instrText xml:space="preserve"> PAGEREF _Toc232173696 \h </w:instrText>
            </w:r>
            <w:r>
              <w:rPr>
                <w:noProof/>
                <w:webHidden/>
              </w:rPr>
            </w:r>
            <w:r>
              <w:rPr>
                <w:noProof/>
                <w:webHidden/>
              </w:rPr>
              <w:fldChar w:fldCharType="separate"/>
            </w:r>
            <w:r>
              <w:rPr>
                <w:noProof/>
                <w:webHidden/>
              </w:rPr>
              <w:t>48</w:t>
            </w:r>
            <w:r>
              <w:rPr>
                <w:noProof/>
                <w:webHidden/>
              </w:rPr>
              <w:fldChar w:fldCharType="end"/>
            </w:r>
          </w:hyperlink>
        </w:p>
        <w:p w14:paraId="186C1902" w14:textId="31388777" w:rsidR="00211962" w:rsidRDefault="00211962">
          <w:pPr>
            <w:pStyle w:val="TOC3"/>
            <w:tabs>
              <w:tab w:val="right" w:leader="dot" w:pos="9016"/>
            </w:tabs>
            <w:rPr>
              <w:noProof/>
              <w:sz w:val="24"/>
              <w:szCs w:val="24"/>
              <w:lang w:val="en-US" w:eastAsia="en-US"/>
            </w:rPr>
          </w:pPr>
          <w:hyperlink w:anchor="_Toc232173697" w:history="1">
            <w:r w:rsidRPr="00F00545">
              <w:rPr>
                <w:rStyle w:val="Hyperlink"/>
                <w:noProof/>
              </w:rPr>
              <w:t>4.4.1 Gaps in Evidence</w:t>
            </w:r>
            <w:r>
              <w:rPr>
                <w:noProof/>
                <w:webHidden/>
              </w:rPr>
              <w:tab/>
            </w:r>
            <w:r>
              <w:rPr>
                <w:noProof/>
                <w:webHidden/>
              </w:rPr>
              <w:fldChar w:fldCharType="begin"/>
            </w:r>
            <w:r>
              <w:rPr>
                <w:noProof/>
                <w:webHidden/>
              </w:rPr>
              <w:instrText xml:space="preserve"> PAGEREF _Toc232173697 \h </w:instrText>
            </w:r>
            <w:r>
              <w:rPr>
                <w:noProof/>
                <w:webHidden/>
              </w:rPr>
            </w:r>
            <w:r>
              <w:rPr>
                <w:noProof/>
                <w:webHidden/>
              </w:rPr>
              <w:fldChar w:fldCharType="separate"/>
            </w:r>
            <w:r>
              <w:rPr>
                <w:noProof/>
                <w:webHidden/>
              </w:rPr>
              <w:t>49</w:t>
            </w:r>
            <w:r>
              <w:rPr>
                <w:noProof/>
                <w:webHidden/>
              </w:rPr>
              <w:fldChar w:fldCharType="end"/>
            </w:r>
          </w:hyperlink>
        </w:p>
        <w:p w14:paraId="06083128" w14:textId="18E3A843"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98" w:history="1">
            <w:r w:rsidRPr="00F00545">
              <w:rPr>
                <w:rStyle w:val="Hyperlink"/>
                <w:rFonts w:ascii="Arial" w:hAnsi="Arial" w:cs="Arial"/>
                <w:noProof/>
              </w:rPr>
              <w:t>Chapter 5: DISCUSSION</w:t>
            </w:r>
            <w:r>
              <w:rPr>
                <w:noProof/>
                <w:webHidden/>
              </w:rPr>
              <w:tab/>
            </w:r>
            <w:r>
              <w:rPr>
                <w:noProof/>
                <w:webHidden/>
              </w:rPr>
              <w:fldChar w:fldCharType="begin"/>
            </w:r>
            <w:r>
              <w:rPr>
                <w:noProof/>
                <w:webHidden/>
              </w:rPr>
              <w:instrText xml:space="preserve"> PAGEREF _Toc232173698 \h </w:instrText>
            </w:r>
            <w:r>
              <w:rPr>
                <w:noProof/>
                <w:webHidden/>
              </w:rPr>
            </w:r>
            <w:r>
              <w:rPr>
                <w:noProof/>
                <w:webHidden/>
              </w:rPr>
              <w:fldChar w:fldCharType="separate"/>
            </w:r>
            <w:r>
              <w:rPr>
                <w:noProof/>
                <w:webHidden/>
              </w:rPr>
              <w:t>50</w:t>
            </w:r>
            <w:r>
              <w:rPr>
                <w:noProof/>
                <w:webHidden/>
              </w:rPr>
              <w:fldChar w:fldCharType="end"/>
            </w:r>
          </w:hyperlink>
        </w:p>
        <w:p w14:paraId="03526D54" w14:textId="4B7CAF7B" w:rsidR="00211962" w:rsidRDefault="00211962">
          <w:pPr>
            <w:pStyle w:val="TOC2"/>
            <w:tabs>
              <w:tab w:val="right" w:leader="dot" w:pos="9016"/>
            </w:tabs>
            <w:rPr>
              <w:noProof/>
              <w:sz w:val="24"/>
              <w:szCs w:val="24"/>
              <w:lang w:val="en-US" w:eastAsia="en-US"/>
            </w:rPr>
          </w:pPr>
          <w:hyperlink w:anchor="_Toc232173699" w:history="1">
            <w:r w:rsidRPr="00F00545">
              <w:rPr>
                <w:rStyle w:val="Hyperlink"/>
                <w:rFonts w:ascii="Arial" w:hAnsi="Arial" w:cs="Arial"/>
                <w:noProof/>
              </w:rPr>
              <w:t>5.1 Discussion of Findings by Theme</w:t>
            </w:r>
            <w:r>
              <w:rPr>
                <w:noProof/>
                <w:webHidden/>
              </w:rPr>
              <w:tab/>
            </w:r>
            <w:r>
              <w:rPr>
                <w:noProof/>
                <w:webHidden/>
              </w:rPr>
              <w:fldChar w:fldCharType="begin"/>
            </w:r>
            <w:r>
              <w:rPr>
                <w:noProof/>
                <w:webHidden/>
              </w:rPr>
              <w:instrText xml:space="preserve"> PAGEREF _Toc232173699 \h </w:instrText>
            </w:r>
            <w:r>
              <w:rPr>
                <w:noProof/>
                <w:webHidden/>
              </w:rPr>
            </w:r>
            <w:r>
              <w:rPr>
                <w:noProof/>
                <w:webHidden/>
              </w:rPr>
              <w:fldChar w:fldCharType="separate"/>
            </w:r>
            <w:r>
              <w:rPr>
                <w:noProof/>
                <w:webHidden/>
              </w:rPr>
              <w:t>50</w:t>
            </w:r>
            <w:r>
              <w:rPr>
                <w:noProof/>
                <w:webHidden/>
              </w:rPr>
              <w:fldChar w:fldCharType="end"/>
            </w:r>
          </w:hyperlink>
        </w:p>
        <w:p w14:paraId="0C38DFEC" w14:textId="7E322ABE" w:rsidR="00211962" w:rsidRDefault="00211962">
          <w:pPr>
            <w:pStyle w:val="TOC2"/>
            <w:tabs>
              <w:tab w:val="right" w:leader="dot" w:pos="9016"/>
            </w:tabs>
            <w:rPr>
              <w:noProof/>
              <w:sz w:val="24"/>
              <w:szCs w:val="24"/>
              <w:lang w:val="en-US" w:eastAsia="en-US"/>
            </w:rPr>
          </w:pPr>
          <w:hyperlink w:anchor="_Toc232173700" w:history="1">
            <w:r w:rsidRPr="00F00545">
              <w:rPr>
                <w:rStyle w:val="Hyperlink"/>
                <w:rFonts w:ascii="Arial" w:hAnsi="Arial" w:cs="Arial"/>
                <w:noProof/>
              </w:rPr>
              <w:t>5.2 Implications for Policy and Practice</w:t>
            </w:r>
            <w:r>
              <w:rPr>
                <w:noProof/>
                <w:webHidden/>
              </w:rPr>
              <w:tab/>
            </w:r>
            <w:r>
              <w:rPr>
                <w:noProof/>
                <w:webHidden/>
              </w:rPr>
              <w:fldChar w:fldCharType="begin"/>
            </w:r>
            <w:r>
              <w:rPr>
                <w:noProof/>
                <w:webHidden/>
              </w:rPr>
              <w:instrText xml:space="preserve"> PAGEREF _Toc232173700 \h </w:instrText>
            </w:r>
            <w:r>
              <w:rPr>
                <w:noProof/>
                <w:webHidden/>
              </w:rPr>
            </w:r>
            <w:r>
              <w:rPr>
                <w:noProof/>
                <w:webHidden/>
              </w:rPr>
              <w:fldChar w:fldCharType="separate"/>
            </w:r>
            <w:r>
              <w:rPr>
                <w:noProof/>
                <w:webHidden/>
              </w:rPr>
              <w:t>52</w:t>
            </w:r>
            <w:r>
              <w:rPr>
                <w:noProof/>
                <w:webHidden/>
              </w:rPr>
              <w:fldChar w:fldCharType="end"/>
            </w:r>
          </w:hyperlink>
        </w:p>
        <w:p w14:paraId="7CF3213F" w14:textId="1689E5EC" w:rsidR="00211962" w:rsidRDefault="00211962">
          <w:pPr>
            <w:pStyle w:val="TOC2"/>
            <w:tabs>
              <w:tab w:val="right" w:leader="dot" w:pos="9016"/>
            </w:tabs>
            <w:rPr>
              <w:noProof/>
              <w:sz w:val="24"/>
              <w:szCs w:val="24"/>
              <w:lang w:val="en-US" w:eastAsia="en-US"/>
            </w:rPr>
          </w:pPr>
          <w:hyperlink w:anchor="_Toc232173701" w:history="1">
            <w:r w:rsidRPr="00F00545">
              <w:rPr>
                <w:rStyle w:val="Hyperlink"/>
                <w:rFonts w:ascii="Arial" w:hAnsi="Arial" w:cs="Arial"/>
                <w:noProof/>
              </w:rPr>
              <w:t>5.3 Strengths, Limitations and Future Research Directions</w:t>
            </w:r>
            <w:r>
              <w:rPr>
                <w:noProof/>
                <w:webHidden/>
              </w:rPr>
              <w:tab/>
            </w:r>
            <w:r>
              <w:rPr>
                <w:noProof/>
                <w:webHidden/>
              </w:rPr>
              <w:fldChar w:fldCharType="begin"/>
            </w:r>
            <w:r>
              <w:rPr>
                <w:noProof/>
                <w:webHidden/>
              </w:rPr>
              <w:instrText xml:space="preserve"> PAGEREF _Toc232173701 \h </w:instrText>
            </w:r>
            <w:r>
              <w:rPr>
                <w:noProof/>
                <w:webHidden/>
              </w:rPr>
            </w:r>
            <w:r>
              <w:rPr>
                <w:noProof/>
                <w:webHidden/>
              </w:rPr>
              <w:fldChar w:fldCharType="separate"/>
            </w:r>
            <w:r>
              <w:rPr>
                <w:noProof/>
                <w:webHidden/>
              </w:rPr>
              <w:t>53</w:t>
            </w:r>
            <w:r>
              <w:rPr>
                <w:noProof/>
                <w:webHidden/>
              </w:rPr>
              <w:fldChar w:fldCharType="end"/>
            </w:r>
          </w:hyperlink>
        </w:p>
        <w:p w14:paraId="164F6DC8" w14:textId="7B0D7046" w:rsidR="00211962" w:rsidRDefault="00211962">
          <w:pPr>
            <w:pStyle w:val="TOC2"/>
            <w:tabs>
              <w:tab w:val="right" w:leader="dot" w:pos="9016"/>
            </w:tabs>
            <w:rPr>
              <w:noProof/>
              <w:sz w:val="24"/>
              <w:szCs w:val="24"/>
              <w:lang w:val="en-US" w:eastAsia="en-US"/>
            </w:rPr>
          </w:pPr>
          <w:hyperlink w:anchor="_Toc232173702" w:history="1">
            <w:r w:rsidRPr="00F00545">
              <w:rPr>
                <w:rStyle w:val="Hyperlink"/>
                <w:rFonts w:ascii="Arial" w:hAnsi="Arial" w:cs="Arial"/>
                <w:noProof/>
              </w:rPr>
              <w:t>5.4 Critical Reflection</w:t>
            </w:r>
            <w:r>
              <w:rPr>
                <w:noProof/>
                <w:webHidden/>
              </w:rPr>
              <w:tab/>
            </w:r>
            <w:r>
              <w:rPr>
                <w:noProof/>
                <w:webHidden/>
              </w:rPr>
              <w:fldChar w:fldCharType="begin"/>
            </w:r>
            <w:r>
              <w:rPr>
                <w:noProof/>
                <w:webHidden/>
              </w:rPr>
              <w:instrText xml:space="preserve"> PAGEREF _Toc232173702 \h </w:instrText>
            </w:r>
            <w:r>
              <w:rPr>
                <w:noProof/>
                <w:webHidden/>
              </w:rPr>
            </w:r>
            <w:r>
              <w:rPr>
                <w:noProof/>
                <w:webHidden/>
              </w:rPr>
              <w:fldChar w:fldCharType="separate"/>
            </w:r>
            <w:r>
              <w:rPr>
                <w:noProof/>
                <w:webHidden/>
              </w:rPr>
              <w:t>53</w:t>
            </w:r>
            <w:r>
              <w:rPr>
                <w:noProof/>
                <w:webHidden/>
              </w:rPr>
              <w:fldChar w:fldCharType="end"/>
            </w:r>
          </w:hyperlink>
        </w:p>
        <w:p w14:paraId="00335E9D" w14:textId="099AC477"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703" w:history="1">
            <w:r w:rsidRPr="00F00545">
              <w:rPr>
                <w:rStyle w:val="Hyperlink"/>
                <w:rFonts w:ascii="Arial" w:hAnsi="Arial" w:cs="Arial"/>
                <w:noProof/>
              </w:rPr>
              <w:t>Chapter 6 – Conclusion and Recommendations</w:t>
            </w:r>
            <w:r>
              <w:rPr>
                <w:noProof/>
                <w:webHidden/>
              </w:rPr>
              <w:tab/>
            </w:r>
            <w:r>
              <w:rPr>
                <w:noProof/>
                <w:webHidden/>
              </w:rPr>
              <w:fldChar w:fldCharType="begin"/>
            </w:r>
            <w:r>
              <w:rPr>
                <w:noProof/>
                <w:webHidden/>
              </w:rPr>
              <w:instrText xml:space="preserve"> PAGEREF _Toc232173703 \h </w:instrText>
            </w:r>
            <w:r>
              <w:rPr>
                <w:noProof/>
                <w:webHidden/>
              </w:rPr>
            </w:r>
            <w:r>
              <w:rPr>
                <w:noProof/>
                <w:webHidden/>
              </w:rPr>
              <w:fldChar w:fldCharType="separate"/>
            </w:r>
            <w:r>
              <w:rPr>
                <w:noProof/>
                <w:webHidden/>
              </w:rPr>
              <w:t>55</w:t>
            </w:r>
            <w:r>
              <w:rPr>
                <w:noProof/>
                <w:webHidden/>
              </w:rPr>
              <w:fldChar w:fldCharType="end"/>
            </w:r>
          </w:hyperlink>
        </w:p>
        <w:p w14:paraId="4DC14F0D" w14:textId="0773543F" w:rsidR="00211962" w:rsidRDefault="00211962">
          <w:pPr>
            <w:pStyle w:val="TOC2"/>
            <w:tabs>
              <w:tab w:val="right" w:leader="dot" w:pos="9016"/>
            </w:tabs>
            <w:rPr>
              <w:noProof/>
              <w:sz w:val="24"/>
              <w:szCs w:val="24"/>
              <w:lang w:val="en-US" w:eastAsia="en-US"/>
            </w:rPr>
          </w:pPr>
          <w:hyperlink w:anchor="_Toc232173704" w:history="1">
            <w:r w:rsidRPr="00F00545">
              <w:rPr>
                <w:rStyle w:val="Hyperlink"/>
                <w:rFonts w:ascii="Arial" w:hAnsi="Arial" w:cs="Arial"/>
                <w:noProof/>
              </w:rPr>
              <w:t>6.1 Conclusion</w:t>
            </w:r>
            <w:r>
              <w:rPr>
                <w:noProof/>
                <w:webHidden/>
              </w:rPr>
              <w:tab/>
            </w:r>
            <w:r>
              <w:rPr>
                <w:noProof/>
                <w:webHidden/>
              </w:rPr>
              <w:fldChar w:fldCharType="begin"/>
            </w:r>
            <w:r>
              <w:rPr>
                <w:noProof/>
                <w:webHidden/>
              </w:rPr>
              <w:instrText xml:space="preserve"> PAGEREF _Toc232173704 \h </w:instrText>
            </w:r>
            <w:r>
              <w:rPr>
                <w:noProof/>
                <w:webHidden/>
              </w:rPr>
            </w:r>
            <w:r>
              <w:rPr>
                <w:noProof/>
                <w:webHidden/>
              </w:rPr>
              <w:fldChar w:fldCharType="separate"/>
            </w:r>
            <w:r>
              <w:rPr>
                <w:noProof/>
                <w:webHidden/>
              </w:rPr>
              <w:t>55</w:t>
            </w:r>
            <w:r>
              <w:rPr>
                <w:noProof/>
                <w:webHidden/>
              </w:rPr>
              <w:fldChar w:fldCharType="end"/>
            </w:r>
          </w:hyperlink>
        </w:p>
        <w:p w14:paraId="0C029166" w14:textId="68229188" w:rsidR="00211962" w:rsidRDefault="00211962">
          <w:pPr>
            <w:pStyle w:val="TOC2"/>
            <w:tabs>
              <w:tab w:val="right" w:leader="dot" w:pos="9016"/>
            </w:tabs>
            <w:rPr>
              <w:noProof/>
              <w:sz w:val="24"/>
              <w:szCs w:val="24"/>
              <w:lang w:val="en-US" w:eastAsia="en-US"/>
            </w:rPr>
          </w:pPr>
          <w:hyperlink w:anchor="_Toc232173705" w:history="1">
            <w:r w:rsidRPr="00F00545">
              <w:rPr>
                <w:rStyle w:val="Hyperlink"/>
                <w:rFonts w:ascii="Arial" w:hAnsi="Arial" w:cs="Arial"/>
                <w:noProof/>
              </w:rPr>
              <w:t>6.2 Recommendations</w:t>
            </w:r>
            <w:r>
              <w:rPr>
                <w:noProof/>
                <w:webHidden/>
              </w:rPr>
              <w:tab/>
            </w:r>
            <w:r>
              <w:rPr>
                <w:noProof/>
                <w:webHidden/>
              </w:rPr>
              <w:fldChar w:fldCharType="begin"/>
            </w:r>
            <w:r>
              <w:rPr>
                <w:noProof/>
                <w:webHidden/>
              </w:rPr>
              <w:instrText xml:space="preserve"> PAGEREF _Toc232173705 \h </w:instrText>
            </w:r>
            <w:r>
              <w:rPr>
                <w:noProof/>
                <w:webHidden/>
              </w:rPr>
            </w:r>
            <w:r>
              <w:rPr>
                <w:noProof/>
                <w:webHidden/>
              </w:rPr>
              <w:fldChar w:fldCharType="separate"/>
            </w:r>
            <w:r>
              <w:rPr>
                <w:noProof/>
                <w:webHidden/>
              </w:rPr>
              <w:t>56</w:t>
            </w:r>
            <w:r>
              <w:rPr>
                <w:noProof/>
                <w:webHidden/>
              </w:rPr>
              <w:fldChar w:fldCharType="end"/>
            </w:r>
          </w:hyperlink>
        </w:p>
        <w:p w14:paraId="5990B897" w14:textId="5CC802CC"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706" w:history="1">
            <w:r w:rsidRPr="00F0054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_Toc232173706 \h </w:instrText>
            </w:r>
            <w:r>
              <w:rPr>
                <w:noProof/>
                <w:webHidden/>
              </w:rPr>
            </w:r>
            <w:r>
              <w:rPr>
                <w:noProof/>
                <w:webHidden/>
              </w:rPr>
              <w:fldChar w:fldCharType="separate"/>
            </w:r>
            <w:r>
              <w:rPr>
                <w:noProof/>
                <w:webHidden/>
              </w:rPr>
              <w:t>58</w:t>
            </w:r>
            <w:r>
              <w:rPr>
                <w:noProof/>
                <w:webHidden/>
              </w:rPr>
              <w:fldChar w:fldCharType="end"/>
            </w:r>
          </w:hyperlink>
        </w:p>
        <w:p w14:paraId="20065E16" w14:textId="6F7BC8FE"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707" w:history="1">
            <w:r w:rsidRPr="00F00545">
              <w:rPr>
                <w:rStyle w:val="Hyperlink"/>
                <w:rFonts w:ascii="Arial" w:hAnsi="Arial" w:cs="Arial"/>
                <w:noProof/>
              </w:rPr>
              <w:t>Appendix A:</w:t>
            </w:r>
            <w:r>
              <w:rPr>
                <w:noProof/>
                <w:webHidden/>
              </w:rPr>
              <w:tab/>
            </w:r>
            <w:r>
              <w:rPr>
                <w:noProof/>
                <w:webHidden/>
              </w:rPr>
              <w:fldChar w:fldCharType="begin"/>
            </w:r>
            <w:r>
              <w:rPr>
                <w:noProof/>
                <w:webHidden/>
              </w:rPr>
              <w:instrText xml:space="preserve"> PAGEREF _Toc232173707 \h </w:instrText>
            </w:r>
            <w:r>
              <w:rPr>
                <w:noProof/>
                <w:webHidden/>
              </w:rPr>
            </w:r>
            <w:r>
              <w:rPr>
                <w:noProof/>
                <w:webHidden/>
              </w:rPr>
              <w:fldChar w:fldCharType="separate"/>
            </w:r>
            <w:r>
              <w:rPr>
                <w:noProof/>
                <w:webHidden/>
              </w:rPr>
              <w:t>72</w:t>
            </w:r>
            <w:r>
              <w:rPr>
                <w:noProof/>
                <w:webHidden/>
              </w:rPr>
              <w:fldChar w:fldCharType="end"/>
            </w:r>
          </w:hyperlink>
        </w:p>
        <w:p w14:paraId="2F5434AE" w14:textId="349BF82D"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708" w:history="1">
            <w:r w:rsidRPr="00F00545">
              <w:rPr>
                <w:rStyle w:val="Hyperlink"/>
                <w:rFonts w:ascii="Arial" w:hAnsi="Arial" w:cs="Arial"/>
                <w:noProof/>
              </w:rPr>
              <w:t>Appendix B:</w:t>
            </w:r>
            <w:r>
              <w:rPr>
                <w:noProof/>
                <w:webHidden/>
              </w:rPr>
              <w:tab/>
            </w:r>
            <w:r>
              <w:rPr>
                <w:noProof/>
                <w:webHidden/>
              </w:rPr>
              <w:fldChar w:fldCharType="begin"/>
            </w:r>
            <w:r>
              <w:rPr>
                <w:noProof/>
                <w:webHidden/>
              </w:rPr>
              <w:instrText xml:space="preserve"> PAGEREF _Toc232173708 \h </w:instrText>
            </w:r>
            <w:r>
              <w:rPr>
                <w:noProof/>
                <w:webHidden/>
              </w:rPr>
            </w:r>
            <w:r>
              <w:rPr>
                <w:noProof/>
                <w:webHidden/>
              </w:rPr>
              <w:fldChar w:fldCharType="separate"/>
            </w:r>
            <w:r>
              <w:rPr>
                <w:noProof/>
                <w:webHidden/>
              </w:rPr>
              <w:t>73</w:t>
            </w:r>
            <w:r>
              <w:rPr>
                <w:noProof/>
                <w:webHidden/>
              </w:rPr>
              <w:fldChar w:fldCharType="end"/>
            </w:r>
          </w:hyperlink>
        </w:p>
        <w:p w14:paraId="4C75C403" w14:textId="574CE7BA"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709" w:history="1">
            <w:r w:rsidRPr="00F00545">
              <w:rPr>
                <w:rStyle w:val="Hyperlink"/>
                <w:rFonts w:ascii="Arial" w:hAnsi="Arial" w:cs="Arial"/>
                <w:noProof/>
              </w:rPr>
              <w:t>Appendix C:</w:t>
            </w:r>
            <w:r>
              <w:rPr>
                <w:noProof/>
                <w:webHidden/>
              </w:rPr>
              <w:tab/>
            </w:r>
            <w:r>
              <w:rPr>
                <w:noProof/>
                <w:webHidden/>
              </w:rPr>
              <w:fldChar w:fldCharType="begin"/>
            </w:r>
            <w:r>
              <w:rPr>
                <w:noProof/>
                <w:webHidden/>
              </w:rPr>
              <w:instrText xml:space="preserve"> PAGEREF _Toc232173709 \h </w:instrText>
            </w:r>
            <w:r>
              <w:rPr>
                <w:noProof/>
                <w:webHidden/>
              </w:rPr>
            </w:r>
            <w:r>
              <w:rPr>
                <w:noProof/>
                <w:webHidden/>
              </w:rPr>
              <w:fldChar w:fldCharType="separate"/>
            </w:r>
            <w:r>
              <w:rPr>
                <w:noProof/>
                <w:webHidden/>
              </w:rPr>
              <w:t>75</w:t>
            </w:r>
            <w:r>
              <w:rPr>
                <w:noProof/>
                <w:webHidden/>
              </w:rPr>
              <w:fldChar w:fldCharType="end"/>
            </w:r>
          </w:hyperlink>
        </w:p>
        <w:p w14:paraId="5998B566" w14:textId="5CED87E5" w:rsidR="00E77072" w:rsidRPr="005978B5" w:rsidRDefault="00E77072">
          <w:pPr>
            <w:rPr>
              <w:rFonts w:ascii="Arial" w:hAnsi="Arial" w:cs="Arial"/>
            </w:rPr>
          </w:pPr>
          <w:r w:rsidRPr="005978B5">
            <w:rPr>
              <w:rFonts w:ascii="Arial" w:hAnsi="Arial" w:cs="Arial"/>
              <w:b/>
              <w:bCs/>
              <w:noProof/>
            </w:rPr>
            <w:fldChar w:fldCharType="end"/>
          </w:r>
        </w:p>
      </w:sdtContent>
    </w:sdt>
    <w:p w14:paraId="617F822A" w14:textId="77777777" w:rsidR="000555DE" w:rsidRPr="005978B5" w:rsidRDefault="000555DE" w:rsidP="00354518">
      <w:pPr>
        <w:spacing w:line="360" w:lineRule="auto"/>
        <w:jc w:val="both"/>
        <w:rPr>
          <w:rFonts w:ascii="Arial" w:eastAsia="Times New Roman" w:hAnsi="Arial" w:cs="Arial"/>
          <w:b/>
          <w:color w:val="000000"/>
        </w:rPr>
      </w:pPr>
      <w:r w:rsidRPr="005978B5">
        <w:rPr>
          <w:rFonts w:ascii="Arial" w:hAnsi="Arial" w:cs="Arial"/>
        </w:rPr>
        <w:br w:type="page"/>
      </w:r>
    </w:p>
    <w:p w14:paraId="08AC0820" w14:textId="4CDAD2DF" w:rsidR="002C71D5" w:rsidRPr="005978B5" w:rsidRDefault="009F64C5" w:rsidP="00147A5C">
      <w:pPr>
        <w:pStyle w:val="Heading1"/>
        <w:spacing w:after="160" w:line="360" w:lineRule="auto"/>
        <w:ind w:left="0" w:right="0" w:firstLine="0"/>
        <w:jc w:val="both"/>
        <w:rPr>
          <w:rFonts w:ascii="Arial" w:hAnsi="Arial" w:cs="Arial"/>
          <w:sz w:val="22"/>
        </w:rPr>
      </w:pPr>
      <w:bookmarkStart w:id="2" w:name="_Toc232173657"/>
      <w:r w:rsidRPr="005978B5">
        <w:rPr>
          <w:rFonts w:ascii="Arial" w:hAnsi="Arial" w:cs="Arial"/>
          <w:sz w:val="22"/>
        </w:rPr>
        <w:lastRenderedPageBreak/>
        <w:t>List of figures</w:t>
      </w:r>
      <w:bookmarkEnd w:id="2"/>
    </w:p>
    <w:p w14:paraId="0430681E" w14:textId="752A9897" w:rsidR="00F07758" w:rsidRDefault="00F07758">
      <w:pPr>
        <w:pStyle w:val="TableofFigures"/>
        <w:tabs>
          <w:tab w:val="right" w:leader="dot" w:pos="9016"/>
        </w:tabs>
        <w:rPr>
          <w:rStyle w:val="Hyperlink"/>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32173135" w:history="1">
        <w:r w:rsidRPr="003010B2">
          <w:rPr>
            <w:rStyle w:val="Hyperlink"/>
            <w:rFonts w:ascii="Arial" w:hAnsi="Arial" w:cs="Arial"/>
            <w:noProof/>
          </w:rPr>
          <w:t>Figure 1: A multi-level analytical framework was applied in this systematic review. SDH = Social Determinants of Health (WHO, 2008; Marmot et al., 2010). HBM = Health Belief Model (Rosenstock, 1966; Champion and Skinner, 2008). Andersen = Behavioural Model of Health Services Use (Andersen, 1995).</w:t>
        </w:r>
        <w:r>
          <w:rPr>
            <w:noProof/>
            <w:webHidden/>
          </w:rPr>
          <w:tab/>
        </w:r>
        <w:r>
          <w:rPr>
            <w:noProof/>
            <w:webHidden/>
          </w:rPr>
          <w:fldChar w:fldCharType="begin"/>
        </w:r>
        <w:r>
          <w:rPr>
            <w:noProof/>
            <w:webHidden/>
          </w:rPr>
          <w:instrText xml:space="preserve"> PAGEREF _Toc232173135 \h </w:instrText>
        </w:r>
        <w:r>
          <w:rPr>
            <w:noProof/>
            <w:webHidden/>
          </w:rPr>
        </w:r>
        <w:r>
          <w:rPr>
            <w:noProof/>
            <w:webHidden/>
          </w:rPr>
          <w:fldChar w:fldCharType="separate"/>
        </w:r>
        <w:r>
          <w:rPr>
            <w:noProof/>
            <w:webHidden/>
          </w:rPr>
          <w:t>24</w:t>
        </w:r>
        <w:r>
          <w:rPr>
            <w:noProof/>
            <w:webHidden/>
          </w:rPr>
          <w:fldChar w:fldCharType="end"/>
        </w:r>
      </w:hyperlink>
    </w:p>
    <w:p w14:paraId="50E1456A" w14:textId="77777777" w:rsidR="00F07758" w:rsidRPr="00F07758" w:rsidRDefault="00F07758" w:rsidP="00F07758">
      <w:pPr>
        <w:rPr>
          <w:lang w:val="en-US" w:eastAsia="en-US"/>
        </w:rPr>
      </w:pPr>
    </w:p>
    <w:p w14:paraId="5016FF78" w14:textId="175F5F58" w:rsidR="00F07758" w:rsidRDefault="00F07758">
      <w:pPr>
        <w:pStyle w:val="TableofFigures"/>
        <w:tabs>
          <w:tab w:val="right" w:leader="dot" w:pos="9016"/>
        </w:tabs>
        <w:rPr>
          <w:rStyle w:val="Hyperlink"/>
          <w:noProof/>
        </w:rPr>
      </w:pPr>
      <w:hyperlink w:anchor="_Toc232173136" w:history="1">
        <w:r w:rsidRPr="003010B2">
          <w:rPr>
            <w:rStyle w:val="Hyperlink"/>
            <w:rFonts w:ascii="Arial" w:hAnsi="Arial" w:cs="Arial"/>
            <w:noProof/>
          </w:rPr>
          <w:t>Figure 2: Three domains of barriers to T2DM prevention and management in ethnic minority adults in the UK. All items were grounded in the 15 included studies. Derived from thematic synthesis, Theme 4.1.</w:t>
        </w:r>
        <w:r>
          <w:rPr>
            <w:noProof/>
            <w:webHidden/>
          </w:rPr>
          <w:tab/>
        </w:r>
        <w:r>
          <w:rPr>
            <w:noProof/>
            <w:webHidden/>
          </w:rPr>
          <w:fldChar w:fldCharType="begin"/>
        </w:r>
        <w:r>
          <w:rPr>
            <w:noProof/>
            <w:webHidden/>
          </w:rPr>
          <w:instrText xml:space="preserve"> PAGEREF _Toc232173136 \h </w:instrText>
        </w:r>
        <w:r>
          <w:rPr>
            <w:noProof/>
            <w:webHidden/>
          </w:rPr>
        </w:r>
        <w:r>
          <w:rPr>
            <w:noProof/>
            <w:webHidden/>
          </w:rPr>
          <w:fldChar w:fldCharType="separate"/>
        </w:r>
        <w:r>
          <w:rPr>
            <w:noProof/>
            <w:webHidden/>
          </w:rPr>
          <w:t>33</w:t>
        </w:r>
        <w:r>
          <w:rPr>
            <w:noProof/>
            <w:webHidden/>
          </w:rPr>
          <w:fldChar w:fldCharType="end"/>
        </w:r>
      </w:hyperlink>
    </w:p>
    <w:p w14:paraId="02D5916F" w14:textId="77777777" w:rsidR="00F07758" w:rsidRPr="00F07758" w:rsidRDefault="00F07758" w:rsidP="00F07758">
      <w:pPr>
        <w:rPr>
          <w:lang w:val="en-US" w:eastAsia="en-US"/>
        </w:rPr>
      </w:pPr>
    </w:p>
    <w:p w14:paraId="1D537DC1" w14:textId="6EDFF939" w:rsidR="00F07758" w:rsidRDefault="00F07758">
      <w:pPr>
        <w:pStyle w:val="TableofFigures"/>
        <w:tabs>
          <w:tab w:val="right" w:leader="dot" w:pos="9016"/>
        </w:tabs>
        <w:rPr>
          <w:noProof/>
          <w:sz w:val="24"/>
          <w:szCs w:val="24"/>
          <w:lang w:val="en-US" w:eastAsia="en-US"/>
        </w:rPr>
      </w:pPr>
      <w:hyperlink w:anchor="_Toc232173137" w:history="1">
        <w:r w:rsidRPr="003010B2">
          <w:rPr>
            <w:rStyle w:val="Hyperlink"/>
            <w:rFonts w:ascii="Arial" w:hAnsi="Arial" w:cs="Arial"/>
            <w:noProof/>
          </w:rPr>
          <w:t>Figure 3: Illustrative comparison of NHS DPP referral and programme completion rates by ethnic group. Based on directional findings reported by Barron et al. (2018; n = 43,603) and Howarth et al. (2020; n = 99,473). Bar proportions represent relative patterns, not exact percentages</w:t>
        </w:r>
        <w:r>
          <w:rPr>
            <w:noProof/>
            <w:webHidden/>
          </w:rPr>
          <w:tab/>
        </w:r>
        <w:r>
          <w:rPr>
            <w:noProof/>
            <w:webHidden/>
          </w:rPr>
          <w:fldChar w:fldCharType="begin"/>
        </w:r>
        <w:r>
          <w:rPr>
            <w:noProof/>
            <w:webHidden/>
          </w:rPr>
          <w:instrText xml:space="preserve"> PAGEREF _Toc232173137 \h </w:instrText>
        </w:r>
        <w:r>
          <w:rPr>
            <w:noProof/>
            <w:webHidden/>
          </w:rPr>
        </w:r>
        <w:r>
          <w:rPr>
            <w:noProof/>
            <w:webHidden/>
          </w:rPr>
          <w:fldChar w:fldCharType="separate"/>
        </w:r>
        <w:r>
          <w:rPr>
            <w:noProof/>
            <w:webHidden/>
          </w:rPr>
          <w:t>43</w:t>
        </w:r>
        <w:r>
          <w:rPr>
            <w:noProof/>
            <w:webHidden/>
          </w:rPr>
          <w:fldChar w:fldCharType="end"/>
        </w:r>
      </w:hyperlink>
    </w:p>
    <w:p w14:paraId="6D5A2271" w14:textId="270C22D1" w:rsidR="00147A5C" w:rsidRPr="005978B5" w:rsidRDefault="00F07758" w:rsidP="00997F82">
      <w:pPr>
        <w:pStyle w:val="TableofFigures"/>
        <w:tabs>
          <w:tab w:val="right" w:leader="dot" w:pos="9016"/>
        </w:tabs>
        <w:rPr>
          <w:rFonts w:ascii="Arial" w:hAnsi="Arial" w:cs="Arial"/>
        </w:rPr>
      </w:pPr>
      <w:r>
        <w:rPr>
          <w:rFonts w:ascii="Arial" w:hAnsi="Arial" w:cs="Arial"/>
        </w:rPr>
        <w:fldChar w:fldCharType="end"/>
      </w:r>
      <w:r w:rsidR="00147A5C" w:rsidRPr="005978B5">
        <w:rPr>
          <w:rFonts w:ascii="Arial" w:hAnsi="Arial" w:cs="Arial"/>
        </w:rPr>
        <w:fldChar w:fldCharType="begin"/>
      </w:r>
      <w:r w:rsidR="00147A5C" w:rsidRPr="005978B5">
        <w:rPr>
          <w:rFonts w:ascii="Arial" w:hAnsi="Arial" w:cs="Arial"/>
        </w:rPr>
        <w:instrText xml:space="preserve"> TOC \h \z \c "Figure" </w:instrText>
      </w:r>
      <w:r w:rsidR="00147A5C" w:rsidRPr="005978B5">
        <w:rPr>
          <w:rFonts w:ascii="Arial" w:hAnsi="Arial" w:cs="Arial"/>
        </w:rPr>
        <w:fldChar w:fldCharType="separate"/>
      </w:r>
      <w:r w:rsidR="00147A5C" w:rsidRPr="005978B5">
        <w:rPr>
          <w:rFonts w:ascii="Arial" w:hAnsi="Arial" w:cs="Arial"/>
        </w:rPr>
        <w:fldChar w:fldCharType="end"/>
      </w:r>
    </w:p>
    <w:p w14:paraId="1F33F1E7" w14:textId="14BB0B58" w:rsidR="009F64C5" w:rsidRPr="005978B5" w:rsidRDefault="009F64C5" w:rsidP="00354518">
      <w:pPr>
        <w:spacing w:line="360" w:lineRule="auto"/>
        <w:ind w:left="59"/>
        <w:jc w:val="both"/>
        <w:rPr>
          <w:rFonts w:ascii="Arial" w:hAnsi="Arial" w:cs="Arial"/>
        </w:rPr>
      </w:pPr>
      <w:r w:rsidRPr="005978B5">
        <w:rPr>
          <w:rFonts w:ascii="Arial" w:eastAsia="Times New Roman" w:hAnsi="Arial" w:cs="Arial"/>
          <w:b/>
        </w:rPr>
        <w:t xml:space="preserve"> </w:t>
      </w:r>
    </w:p>
    <w:p w14:paraId="1028A266" w14:textId="77777777" w:rsidR="000555DE" w:rsidRPr="005978B5" w:rsidRDefault="000555DE" w:rsidP="00354518">
      <w:pPr>
        <w:spacing w:line="360" w:lineRule="auto"/>
        <w:jc w:val="both"/>
        <w:rPr>
          <w:rFonts w:ascii="Arial" w:eastAsia="Times New Roman" w:hAnsi="Arial" w:cs="Arial"/>
          <w:b/>
          <w:color w:val="000000"/>
        </w:rPr>
      </w:pPr>
      <w:r w:rsidRPr="005978B5">
        <w:rPr>
          <w:rFonts w:ascii="Arial" w:hAnsi="Arial" w:cs="Arial"/>
        </w:rPr>
        <w:br w:type="page"/>
      </w:r>
    </w:p>
    <w:p w14:paraId="26D3E5D0" w14:textId="4977B35C" w:rsidR="009F64C5" w:rsidRPr="005978B5" w:rsidRDefault="009F64C5" w:rsidP="00354518">
      <w:pPr>
        <w:pStyle w:val="Heading1"/>
        <w:spacing w:after="160" w:line="360" w:lineRule="auto"/>
        <w:ind w:left="12" w:right="4"/>
        <w:jc w:val="both"/>
        <w:rPr>
          <w:rFonts w:ascii="Arial" w:hAnsi="Arial" w:cs="Arial"/>
          <w:sz w:val="22"/>
        </w:rPr>
      </w:pPr>
      <w:bookmarkStart w:id="3" w:name="_Toc232173658"/>
      <w:r w:rsidRPr="005978B5">
        <w:rPr>
          <w:rFonts w:ascii="Arial" w:hAnsi="Arial" w:cs="Arial"/>
          <w:sz w:val="22"/>
        </w:rPr>
        <w:lastRenderedPageBreak/>
        <w:t>List of tables</w:t>
      </w:r>
      <w:bookmarkEnd w:id="3"/>
      <w:r w:rsidRPr="005978B5">
        <w:rPr>
          <w:rFonts w:ascii="Arial" w:hAnsi="Arial" w:cs="Arial"/>
          <w:sz w:val="22"/>
        </w:rPr>
        <w:t xml:space="preserve"> </w:t>
      </w:r>
    </w:p>
    <w:p w14:paraId="1DFB5095" w14:textId="3D593E84" w:rsidR="005B217B" w:rsidRPr="005978B5" w:rsidRDefault="005B217B">
      <w:pPr>
        <w:pStyle w:val="TableofFigures"/>
        <w:tabs>
          <w:tab w:val="right" w:leader="dot" w:pos="9016"/>
        </w:tabs>
        <w:rPr>
          <w:rFonts w:ascii="Arial" w:hAnsi="Arial" w:cs="Arial"/>
          <w:noProof/>
          <w:lang w:val="en-US" w:eastAsia="en-US"/>
        </w:rPr>
      </w:pPr>
      <w:r w:rsidRPr="005978B5">
        <w:rPr>
          <w:rFonts w:ascii="Arial" w:hAnsi="Arial" w:cs="Arial"/>
        </w:rPr>
        <w:fldChar w:fldCharType="begin"/>
      </w:r>
      <w:r w:rsidRPr="005978B5">
        <w:rPr>
          <w:rFonts w:ascii="Arial" w:hAnsi="Arial" w:cs="Arial"/>
        </w:rPr>
        <w:instrText xml:space="preserve"> TOC \h \z \c "Table 2." </w:instrText>
      </w:r>
      <w:r w:rsidRPr="005978B5">
        <w:rPr>
          <w:rFonts w:ascii="Arial" w:hAnsi="Arial" w:cs="Arial"/>
        </w:rPr>
        <w:fldChar w:fldCharType="separate"/>
      </w:r>
      <w:hyperlink w:anchor="_Toc231680686" w:history="1">
        <w:r w:rsidRPr="005978B5">
          <w:rPr>
            <w:rStyle w:val="Hyperlink"/>
            <w:rFonts w:ascii="Arial" w:hAnsi="Arial" w:cs="Arial"/>
            <w:noProof/>
          </w:rPr>
          <w:t>Table 2. 1 Comparative T2DM Risk Profile by Ethnic Group in the UK</w:t>
        </w:r>
        <w:r w:rsidRPr="005978B5">
          <w:rPr>
            <w:rFonts w:ascii="Arial" w:hAnsi="Arial" w:cs="Arial"/>
            <w:noProof/>
            <w:webHidden/>
          </w:rPr>
          <w:tab/>
        </w:r>
        <w:r w:rsidRPr="005978B5">
          <w:rPr>
            <w:rFonts w:ascii="Arial" w:hAnsi="Arial" w:cs="Arial"/>
            <w:noProof/>
            <w:webHidden/>
          </w:rPr>
          <w:fldChar w:fldCharType="begin"/>
        </w:r>
        <w:r w:rsidRPr="005978B5">
          <w:rPr>
            <w:rFonts w:ascii="Arial" w:hAnsi="Arial" w:cs="Arial"/>
            <w:noProof/>
            <w:webHidden/>
          </w:rPr>
          <w:instrText xml:space="preserve"> PAGEREF _Toc231680686 \h </w:instrText>
        </w:r>
        <w:r w:rsidRPr="005978B5">
          <w:rPr>
            <w:rFonts w:ascii="Arial" w:hAnsi="Arial" w:cs="Arial"/>
            <w:noProof/>
            <w:webHidden/>
          </w:rPr>
        </w:r>
        <w:r w:rsidRPr="005978B5">
          <w:rPr>
            <w:rFonts w:ascii="Arial" w:hAnsi="Arial" w:cs="Arial"/>
            <w:noProof/>
            <w:webHidden/>
          </w:rPr>
          <w:fldChar w:fldCharType="separate"/>
        </w:r>
        <w:r w:rsidRPr="005978B5">
          <w:rPr>
            <w:rFonts w:ascii="Arial" w:hAnsi="Arial" w:cs="Arial"/>
            <w:noProof/>
            <w:webHidden/>
          </w:rPr>
          <w:t>16</w:t>
        </w:r>
        <w:r w:rsidRPr="005978B5">
          <w:rPr>
            <w:rFonts w:ascii="Arial" w:hAnsi="Arial" w:cs="Arial"/>
            <w:noProof/>
            <w:webHidden/>
          </w:rPr>
          <w:fldChar w:fldCharType="end"/>
        </w:r>
      </w:hyperlink>
    </w:p>
    <w:p w14:paraId="09193337" w14:textId="12360628" w:rsidR="004422DC" w:rsidRPr="005978B5" w:rsidRDefault="005B217B" w:rsidP="00147A5C">
      <w:pPr>
        <w:rPr>
          <w:rFonts w:ascii="Arial" w:hAnsi="Arial" w:cs="Arial"/>
          <w:noProof/>
        </w:rPr>
      </w:pPr>
      <w:r w:rsidRPr="005978B5">
        <w:rPr>
          <w:rFonts w:ascii="Arial" w:hAnsi="Arial" w:cs="Arial"/>
        </w:rPr>
        <w:fldChar w:fldCharType="end"/>
      </w:r>
      <w:r w:rsidR="004422DC" w:rsidRPr="005978B5">
        <w:rPr>
          <w:rFonts w:ascii="Arial" w:hAnsi="Arial" w:cs="Arial"/>
        </w:rPr>
        <w:fldChar w:fldCharType="begin"/>
      </w:r>
      <w:r w:rsidR="004422DC" w:rsidRPr="005978B5">
        <w:rPr>
          <w:rFonts w:ascii="Arial" w:hAnsi="Arial" w:cs="Arial"/>
        </w:rPr>
        <w:instrText xml:space="preserve"> TOC \h \z \c "Table 3." </w:instrText>
      </w:r>
      <w:r w:rsidR="004422DC" w:rsidRPr="005978B5">
        <w:rPr>
          <w:rFonts w:ascii="Arial" w:hAnsi="Arial" w:cs="Arial"/>
        </w:rPr>
        <w:fldChar w:fldCharType="separate"/>
      </w:r>
    </w:p>
    <w:p w14:paraId="26CE723D" w14:textId="5F133C9A" w:rsidR="004422DC" w:rsidRPr="005978B5" w:rsidRDefault="004422DC">
      <w:pPr>
        <w:pStyle w:val="TableofFigures"/>
        <w:tabs>
          <w:tab w:val="right" w:leader="dot" w:pos="9016"/>
        </w:tabs>
        <w:rPr>
          <w:rStyle w:val="Hyperlink"/>
          <w:rFonts w:ascii="Arial" w:hAnsi="Arial" w:cs="Arial"/>
          <w:noProof/>
        </w:rPr>
      </w:pPr>
      <w:hyperlink w:anchor="_Toc231680745" w:history="1">
        <w:r w:rsidRPr="005978B5">
          <w:rPr>
            <w:rStyle w:val="Hyperlink"/>
            <w:rFonts w:ascii="Arial" w:hAnsi="Arial" w:cs="Arial"/>
            <w:noProof/>
          </w:rPr>
          <w:t>Table 3. 1 Database Search Yield</w:t>
        </w:r>
        <w:r w:rsidRPr="005978B5">
          <w:rPr>
            <w:rFonts w:ascii="Arial" w:hAnsi="Arial" w:cs="Arial"/>
            <w:noProof/>
            <w:webHidden/>
          </w:rPr>
          <w:tab/>
        </w:r>
        <w:r w:rsidRPr="005978B5">
          <w:rPr>
            <w:rFonts w:ascii="Arial" w:hAnsi="Arial" w:cs="Arial"/>
            <w:noProof/>
            <w:webHidden/>
          </w:rPr>
          <w:fldChar w:fldCharType="begin"/>
        </w:r>
        <w:r w:rsidRPr="005978B5">
          <w:rPr>
            <w:rFonts w:ascii="Arial" w:hAnsi="Arial" w:cs="Arial"/>
            <w:noProof/>
            <w:webHidden/>
          </w:rPr>
          <w:instrText xml:space="preserve"> PAGEREF _Toc231680745 \h </w:instrText>
        </w:r>
        <w:r w:rsidRPr="005978B5">
          <w:rPr>
            <w:rFonts w:ascii="Arial" w:hAnsi="Arial" w:cs="Arial"/>
            <w:noProof/>
            <w:webHidden/>
          </w:rPr>
        </w:r>
        <w:r w:rsidRPr="005978B5">
          <w:rPr>
            <w:rFonts w:ascii="Arial" w:hAnsi="Arial" w:cs="Arial"/>
            <w:noProof/>
            <w:webHidden/>
          </w:rPr>
          <w:fldChar w:fldCharType="separate"/>
        </w:r>
        <w:r w:rsidRPr="005978B5">
          <w:rPr>
            <w:rFonts w:ascii="Arial" w:hAnsi="Arial" w:cs="Arial"/>
            <w:noProof/>
            <w:webHidden/>
          </w:rPr>
          <w:t>26</w:t>
        </w:r>
        <w:r w:rsidRPr="005978B5">
          <w:rPr>
            <w:rFonts w:ascii="Arial" w:hAnsi="Arial" w:cs="Arial"/>
            <w:noProof/>
            <w:webHidden/>
          </w:rPr>
          <w:fldChar w:fldCharType="end"/>
        </w:r>
      </w:hyperlink>
    </w:p>
    <w:p w14:paraId="36D50A75" w14:textId="77777777" w:rsidR="004422DC" w:rsidRPr="005978B5" w:rsidRDefault="004422DC" w:rsidP="004422DC">
      <w:pPr>
        <w:rPr>
          <w:rFonts w:ascii="Arial" w:hAnsi="Arial" w:cs="Arial"/>
          <w:lang w:val="en-US" w:eastAsia="en-US"/>
        </w:rPr>
      </w:pPr>
    </w:p>
    <w:p w14:paraId="5BFDEB02" w14:textId="11E8822E" w:rsidR="004422DC" w:rsidRPr="005978B5" w:rsidRDefault="004422DC" w:rsidP="004422DC">
      <w:pPr>
        <w:pStyle w:val="TableofFigures"/>
        <w:tabs>
          <w:tab w:val="right" w:leader="dot" w:pos="9016"/>
        </w:tabs>
        <w:rPr>
          <w:rFonts w:ascii="Arial" w:hAnsi="Arial" w:cs="Arial"/>
          <w:noProof/>
          <w:color w:val="0563C1" w:themeColor="hyperlink"/>
          <w:u w:val="single"/>
        </w:rPr>
      </w:pPr>
      <w:hyperlink w:anchor="_Toc231680746" w:history="1">
        <w:r w:rsidRPr="005978B5">
          <w:rPr>
            <w:rStyle w:val="Hyperlink"/>
            <w:rFonts w:ascii="Arial" w:hAnsi="Arial" w:cs="Arial"/>
            <w:noProof/>
          </w:rPr>
          <w:t>Table 3. 2 Inclusion and Exclusion Criteria</w:t>
        </w:r>
        <w:r w:rsidRPr="005978B5">
          <w:rPr>
            <w:rFonts w:ascii="Arial" w:hAnsi="Arial" w:cs="Arial"/>
            <w:noProof/>
            <w:webHidden/>
          </w:rPr>
          <w:tab/>
        </w:r>
        <w:r w:rsidRPr="005978B5">
          <w:rPr>
            <w:rFonts w:ascii="Arial" w:hAnsi="Arial" w:cs="Arial"/>
            <w:noProof/>
            <w:webHidden/>
          </w:rPr>
          <w:fldChar w:fldCharType="begin"/>
        </w:r>
        <w:r w:rsidRPr="005978B5">
          <w:rPr>
            <w:rFonts w:ascii="Arial" w:hAnsi="Arial" w:cs="Arial"/>
            <w:noProof/>
            <w:webHidden/>
          </w:rPr>
          <w:instrText xml:space="preserve"> PAGEREF _Toc231680746 \h </w:instrText>
        </w:r>
        <w:r w:rsidRPr="005978B5">
          <w:rPr>
            <w:rFonts w:ascii="Arial" w:hAnsi="Arial" w:cs="Arial"/>
            <w:noProof/>
            <w:webHidden/>
          </w:rPr>
        </w:r>
        <w:r w:rsidRPr="005978B5">
          <w:rPr>
            <w:rFonts w:ascii="Arial" w:hAnsi="Arial" w:cs="Arial"/>
            <w:noProof/>
            <w:webHidden/>
          </w:rPr>
          <w:fldChar w:fldCharType="separate"/>
        </w:r>
        <w:r w:rsidRPr="005978B5">
          <w:rPr>
            <w:rFonts w:ascii="Arial" w:hAnsi="Arial" w:cs="Arial"/>
            <w:noProof/>
            <w:webHidden/>
          </w:rPr>
          <w:t>28</w:t>
        </w:r>
        <w:r w:rsidRPr="005978B5">
          <w:rPr>
            <w:rFonts w:ascii="Arial" w:hAnsi="Arial" w:cs="Arial"/>
            <w:noProof/>
            <w:webHidden/>
          </w:rPr>
          <w:fldChar w:fldCharType="end"/>
        </w:r>
      </w:hyperlink>
    </w:p>
    <w:p w14:paraId="0ACA5F1F" w14:textId="77777777" w:rsidR="004422DC" w:rsidRPr="005978B5" w:rsidRDefault="004422DC" w:rsidP="00147A5C">
      <w:pPr>
        <w:rPr>
          <w:rFonts w:ascii="Arial" w:hAnsi="Arial" w:cs="Arial"/>
          <w:noProof/>
        </w:rPr>
      </w:pPr>
      <w:r w:rsidRPr="005978B5">
        <w:rPr>
          <w:rFonts w:ascii="Arial" w:hAnsi="Arial" w:cs="Arial"/>
        </w:rPr>
        <w:fldChar w:fldCharType="end"/>
      </w:r>
      <w:r w:rsidRPr="005978B5">
        <w:rPr>
          <w:rFonts w:ascii="Arial" w:hAnsi="Arial" w:cs="Arial"/>
        </w:rPr>
        <w:fldChar w:fldCharType="begin"/>
      </w:r>
      <w:r w:rsidRPr="005978B5">
        <w:rPr>
          <w:rFonts w:ascii="Arial" w:hAnsi="Arial" w:cs="Arial"/>
        </w:rPr>
        <w:instrText xml:space="preserve"> TOC \h \z \c "Table 4." </w:instrText>
      </w:r>
      <w:r w:rsidRPr="005978B5">
        <w:rPr>
          <w:rFonts w:ascii="Arial" w:hAnsi="Arial" w:cs="Arial"/>
        </w:rPr>
        <w:fldChar w:fldCharType="separate"/>
      </w:r>
    </w:p>
    <w:p w14:paraId="10AFEE79" w14:textId="5FEEB822" w:rsidR="004422DC" w:rsidRPr="005978B5" w:rsidRDefault="004422DC">
      <w:pPr>
        <w:pStyle w:val="TableofFigures"/>
        <w:tabs>
          <w:tab w:val="right" w:leader="dot" w:pos="9016"/>
        </w:tabs>
        <w:rPr>
          <w:rStyle w:val="Hyperlink"/>
          <w:rFonts w:ascii="Arial" w:hAnsi="Arial" w:cs="Arial"/>
          <w:noProof/>
        </w:rPr>
      </w:pPr>
      <w:hyperlink w:anchor="_Toc231680792" w:history="1">
        <w:r w:rsidRPr="005978B5">
          <w:rPr>
            <w:rStyle w:val="Hyperlink"/>
            <w:rFonts w:ascii="Arial" w:hAnsi="Arial" w:cs="Arial"/>
            <w:noProof/>
          </w:rPr>
          <w:t xml:space="preserve">Table 4. 1 </w:t>
        </w:r>
        <w:r w:rsidRPr="005978B5">
          <w:rPr>
            <w:rStyle w:val="Hyperlink"/>
            <w:rFonts w:ascii="Arial" w:eastAsia="Times New Roman" w:hAnsi="Arial" w:cs="Arial"/>
            <w:noProof/>
            <w:kern w:val="0"/>
            <w:lang w:eastAsia="en-IN"/>
            <w14:ligatures w14:val="none"/>
          </w:rPr>
          <w:t>Summary of themes</w:t>
        </w:r>
        <w:r w:rsidRPr="005978B5">
          <w:rPr>
            <w:rFonts w:ascii="Arial" w:hAnsi="Arial" w:cs="Arial"/>
            <w:noProof/>
            <w:webHidden/>
          </w:rPr>
          <w:tab/>
        </w:r>
        <w:r w:rsidRPr="005978B5">
          <w:rPr>
            <w:rFonts w:ascii="Arial" w:hAnsi="Arial" w:cs="Arial"/>
            <w:noProof/>
            <w:webHidden/>
          </w:rPr>
          <w:fldChar w:fldCharType="begin"/>
        </w:r>
        <w:r w:rsidRPr="005978B5">
          <w:rPr>
            <w:rFonts w:ascii="Arial" w:hAnsi="Arial" w:cs="Arial"/>
            <w:noProof/>
            <w:webHidden/>
          </w:rPr>
          <w:instrText xml:space="preserve"> PAGEREF _Toc231680792 \h </w:instrText>
        </w:r>
        <w:r w:rsidRPr="005978B5">
          <w:rPr>
            <w:rFonts w:ascii="Arial" w:hAnsi="Arial" w:cs="Arial"/>
            <w:noProof/>
            <w:webHidden/>
          </w:rPr>
        </w:r>
        <w:r w:rsidRPr="005978B5">
          <w:rPr>
            <w:rFonts w:ascii="Arial" w:hAnsi="Arial" w:cs="Arial"/>
            <w:noProof/>
            <w:webHidden/>
          </w:rPr>
          <w:fldChar w:fldCharType="separate"/>
        </w:r>
        <w:r w:rsidRPr="005978B5">
          <w:rPr>
            <w:rFonts w:ascii="Arial" w:hAnsi="Arial" w:cs="Arial"/>
            <w:noProof/>
            <w:webHidden/>
          </w:rPr>
          <w:t>32</w:t>
        </w:r>
        <w:r w:rsidRPr="005978B5">
          <w:rPr>
            <w:rFonts w:ascii="Arial" w:hAnsi="Arial" w:cs="Arial"/>
            <w:noProof/>
            <w:webHidden/>
          </w:rPr>
          <w:fldChar w:fldCharType="end"/>
        </w:r>
      </w:hyperlink>
    </w:p>
    <w:p w14:paraId="106F7FEC" w14:textId="77777777" w:rsidR="004422DC" w:rsidRPr="005978B5" w:rsidRDefault="004422DC" w:rsidP="004422DC">
      <w:pPr>
        <w:rPr>
          <w:rFonts w:ascii="Arial" w:hAnsi="Arial" w:cs="Arial"/>
          <w:lang w:val="en-US" w:eastAsia="en-US"/>
        </w:rPr>
      </w:pPr>
    </w:p>
    <w:p w14:paraId="485C5300" w14:textId="76608237" w:rsidR="004422DC" w:rsidRPr="005978B5" w:rsidRDefault="004422DC">
      <w:pPr>
        <w:pStyle w:val="TableofFigures"/>
        <w:tabs>
          <w:tab w:val="right" w:leader="dot" w:pos="9016"/>
        </w:tabs>
        <w:rPr>
          <w:rFonts w:ascii="Arial" w:hAnsi="Arial" w:cs="Arial"/>
          <w:noProof/>
          <w:lang w:val="en-US" w:eastAsia="en-US"/>
        </w:rPr>
      </w:pPr>
      <w:hyperlink w:anchor="_Toc231680793" w:history="1">
        <w:r w:rsidRPr="005978B5">
          <w:rPr>
            <w:rStyle w:val="Hyperlink"/>
            <w:rFonts w:ascii="Arial" w:hAnsi="Arial" w:cs="Arial"/>
            <w:noProof/>
          </w:rPr>
          <w:t>Table 4. 2 Characteristics of Included Studies (n = 15)</w:t>
        </w:r>
        <w:r w:rsidRPr="005978B5">
          <w:rPr>
            <w:rFonts w:ascii="Arial" w:hAnsi="Arial" w:cs="Arial"/>
            <w:noProof/>
            <w:webHidden/>
          </w:rPr>
          <w:tab/>
        </w:r>
        <w:r w:rsidRPr="005978B5">
          <w:rPr>
            <w:rFonts w:ascii="Arial" w:hAnsi="Arial" w:cs="Arial"/>
            <w:noProof/>
            <w:webHidden/>
          </w:rPr>
          <w:fldChar w:fldCharType="begin"/>
        </w:r>
        <w:r w:rsidRPr="005978B5">
          <w:rPr>
            <w:rFonts w:ascii="Arial" w:hAnsi="Arial" w:cs="Arial"/>
            <w:noProof/>
            <w:webHidden/>
          </w:rPr>
          <w:instrText xml:space="preserve"> PAGEREF _Toc231680793 \h </w:instrText>
        </w:r>
        <w:r w:rsidRPr="005978B5">
          <w:rPr>
            <w:rFonts w:ascii="Arial" w:hAnsi="Arial" w:cs="Arial"/>
            <w:noProof/>
            <w:webHidden/>
          </w:rPr>
        </w:r>
        <w:r w:rsidRPr="005978B5">
          <w:rPr>
            <w:rFonts w:ascii="Arial" w:hAnsi="Arial" w:cs="Arial"/>
            <w:noProof/>
            <w:webHidden/>
          </w:rPr>
          <w:fldChar w:fldCharType="separate"/>
        </w:r>
        <w:r w:rsidRPr="005978B5">
          <w:rPr>
            <w:rFonts w:ascii="Arial" w:hAnsi="Arial" w:cs="Arial"/>
            <w:noProof/>
            <w:webHidden/>
          </w:rPr>
          <w:t>33</w:t>
        </w:r>
        <w:r w:rsidRPr="005978B5">
          <w:rPr>
            <w:rFonts w:ascii="Arial" w:hAnsi="Arial" w:cs="Arial"/>
            <w:noProof/>
            <w:webHidden/>
          </w:rPr>
          <w:fldChar w:fldCharType="end"/>
        </w:r>
      </w:hyperlink>
    </w:p>
    <w:p w14:paraId="1E64782E" w14:textId="04A6B715" w:rsidR="005B217B" w:rsidRPr="005978B5" w:rsidRDefault="004422DC" w:rsidP="00147A5C">
      <w:pPr>
        <w:rPr>
          <w:rFonts w:ascii="Arial" w:hAnsi="Arial" w:cs="Arial"/>
        </w:rPr>
      </w:pPr>
      <w:r w:rsidRPr="005978B5">
        <w:rPr>
          <w:rFonts w:ascii="Arial" w:hAnsi="Arial" w:cs="Arial"/>
        </w:rPr>
        <w:fldChar w:fldCharType="end"/>
      </w:r>
    </w:p>
    <w:p w14:paraId="279143F6" w14:textId="66AEEB22" w:rsidR="000555DE" w:rsidRPr="005978B5" w:rsidRDefault="009F64C5" w:rsidP="00354518">
      <w:pPr>
        <w:spacing w:line="360" w:lineRule="auto"/>
        <w:jc w:val="both"/>
        <w:rPr>
          <w:rFonts w:ascii="Arial" w:hAnsi="Arial" w:cs="Arial"/>
        </w:rPr>
      </w:pPr>
      <w:r w:rsidRPr="005978B5">
        <w:rPr>
          <w:rFonts w:ascii="Arial" w:eastAsia="Calibri" w:hAnsi="Arial" w:cs="Arial"/>
        </w:rPr>
        <w:t xml:space="preserve"> </w:t>
      </w:r>
      <w:r w:rsidR="000555DE" w:rsidRPr="005978B5">
        <w:rPr>
          <w:rFonts w:ascii="Arial" w:hAnsi="Arial" w:cs="Arial"/>
        </w:rPr>
        <w:br w:type="page"/>
      </w:r>
    </w:p>
    <w:p w14:paraId="3ABADF24" w14:textId="4B15EAE8" w:rsidR="009F64C5" w:rsidRPr="005978B5" w:rsidRDefault="009F64C5" w:rsidP="00354518">
      <w:pPr>
        <w:pStyle w:val="Heading1"/>
        <w:spacing w:after="160" w:line="360" w:lineRule="auto"/>
        <w:ind w:right="0"/>
        <w:jc w:val="both"/>
        <w:rPr>
          <w:rFonts w:ascii="Arial" w:hAnsi="Arial" w:cs="Arial"/>
          <w:sz w:val="22"/>
        </w:rPr>
      </w:pPr>
      <w:bookmarkStart w:id="4" w:name="_Toc232173659"/>
      <w:r w:rsidRPr="005978B5">
        <w:rPr>
          <w:rFonts w:ascii="Arial" w:hAnsi="Arial" w:cs="Arial"/>
          <w:sz w:val="22"/>
        </w:rPr>
        <w:lastRenderedPageBreak/>
        <w:t>List of abbreviations</w:t>
      </w:r>
      <w:bookmarkEnd w:id="4"/>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00"/>
        <w:gridCol w:w="4500"/>
      </w:tblGrid>
      <w:tr w:rsidR="00144F46" w:rsidRPr="005978B5" w14:paraId="212F1B86" w14:textId="77777777" w:rsidTr="003C477A">
        <w:trPr>
          <w:tblHeader/>
        </w:trPr>
        <w:tc>
          <w:tcPr>
            <w:tcW w:w="4500" w:type="dxa"/>
            <w:shd w:val="clear" w:color="auto" w:fill="1F3864"/>
            <w:tcMar>
              <w:top w:w="120" w:type="dxa"/>
              <w:left w:w="160" w:type="dxa"/>
              <w:bottom w:w="120" w:type="dxa"/>
              <w:right w:w="160" w:type="dxa"/>
            </w:tcMar>
          </w:tcPr>
          <w:p w14:paraId="37BE1288"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FFFFFF"/>
                <w:kern w:val="0"/>
                <w:lang w:eastAsia="en-GB"/>
                <w14:ligatures w14:val="none"/>
              </w:rPr>
              <w:t>Abbreviation</w:t>
            </w:r>
          </w:p>
        </w:tc>
        <w:tc>
          <w:tcPr>
            <w:tcW w:w="4500" w:type="dxa"/>
            <w:shd w:val="clear" w:color="auto" w:fill="1F3864"/>
            <w:tcMar>
              <w:top w:w="120" w:type="dxa"/>
              <w:left w:w="160" w:type="dxa"/>
              <w:bottom w:w="120" w:type="dxa"/>
              <w:right w:w="160" w:type="dxa"/>
            </w:tcMar>
          </w:tcPr>
          <w:p w14:paraId="11D9B7E9"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FFFFFF"/>
                <w:kern w:val="0"/>
                <w:lang w:eastAsia="en-GB"/>
                <w14:ligatures w14:val="none"/>
              </w:rPr>
              <w:t>Full Term</w:t>
            </w:r>
          </w:p>
        </w:tc>
      </w:tr>
      <w:tr w:rsidR="00144F46" w:rsidRPr="005978B5" w14:paraId="4F42F7EF" w14:textId="77777777" w:rsidTr="003C477A">
        <w:tc>
          <w:tcPr>
            <w:tcW w:w="4500" w:type="dxa"/>
            <w:shd w:val="clear" w:color="auto" w:fill="EAF0F6"/>
            <w:tcMar>
              <w:top w:w="100" w:type="dxa"/>
              <w:left w:w="160" w:type="dxa"/>
              <w:bottom w:w="100" w:type="dxa"/>
              <w:right w:w="160" w:type="dxa"/>
            </w:tcMar>
          </w:tcPr>
          <w:p w14:paraId="587B4DCD"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BAME</w:t>
            </w:r>
          </w:p>
        </w:tc>
        <w:tc>
          <w:tcPr>
            <w:tcW w:w="4500" w:type="dxa"/>
            <w:shd w:val="clear" w:color="auto" w:fill="EAF0F6"/>
            <w:tcMar>
              <w:top w:w="100" w:type="dxa"/>
              <w:left w:w="160" w:type="dxa"/>
              <w:bottom w:w="100" w:type="dxa"/>
              <w:right w:w="160" w:type="dxa"/>
            </w:tcMar>
          </w:tcPr>
          <w:p w14:paraId="0D6489BE"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Black, Asian and Minority Ethnic (historical term — see note)</w:t>
            </w:r>
          </w:p>
        </w:tc>
      </w:tr>
      <w:tr w:rsidR="00144F46" w:rsidRPr="005978B5" w14:paraId="29E51D98" w14:textId="77777777" w:rsidTr="003C477A">
        <w:tc>
          <w:tcPr>
            <w:tcW w:w="4500" w:type="dxa"/>
            <w:shd w:val="clear" w:color="auto" w:fill="FFFFFF"/>
            <w:tcMar>
              <w:top w:w="100" w:type="dxa"/>
              <w:left w:w="160" w:type="dxa"/>
              <w:bottom w:w="100" w:type="dxa"/>
              <w:right w:w="160" w:type="dxa"/>
            </w:tcMar>
          </w:tcPr>
          <w:p w14:paraId="09894EFC"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BJGP</w:t>
            </w:r>
          </w:p>
        </w:tc>
        <w:tc>
          <w:tcPr>
            <w:tcW w:w="4500" w:type="dxa"/>
            <w:shd w:val="clear" w:color="auto" w:fill="FFFFFF"/>
            <w:tcMar>
              <w:top w:w="100" w:type="dxa"/>
              <w:left w:w="160" w:type="dxa"/>
              <w:bottom w:w="100" w:type="dxa"/>
              <w:right w:w="160" w:type="dxa"/>
            </w:tcMar>
          </w:tcPr>
          <w:p w14:paraId="73A7DFE7"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British Journal of General Practice</w:t>
            </w:r>
          </w:p>
        </w:tc>
      </w:tr>
      <w:tr w:rsidR="00144F46" w:rsidRPr="005978B5" w14:paraId="6EF13618" w14:textId="77777777" w:rsidTr="003C477A">
        <w:tc>
          <w:tcPr>
            <w:tcW w:w="4500" w:type="dxa"/>
            <w:shd w:val="clear" w:color="auto" w:fill="EAF0F6"/>
            <w:tcMar>
              <w:top w:w="100" w:type="dxa"/>
              <w:left w:w="160" w:type="dxa"/>
              <w:bottom w:w="100" w:type="dxa"/>
              <w:right w:w="160" w:type="dxa"/>
            </w:tcMar>
          </w:tcPr>
          <w:p w14:paraId="29BC312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BMI</w:t>
            </w:r>
          </w:p>
        </w:tc>
        <w:tc>
          <w:tcPr>
            <w:tcW w:w="4500" w:type="dxa"/>
            <w:shd w:val="clear" w:color="auto" w:fill="EAF0F6"/>
            <w:tcMar>
              <w:top w:w="100" w:type="dxa"/>
              <w:left w:w="160" w:type="dxa"/>
              <w:bottom w:w="100" w:type="dxa"/>
              <w:right w:w="160" w:type="dxa"/>
            </w:tcMar>
          </w:tcPr>
          <w:p w14:paraId="33B79F8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Body Mass Index</w:t>
            </w:r>
          </w:p>
        </w:tc>
      </w:tr>
      <w:tr w:rsidR="00144F46" w:rsidRPr="005978B5" w14:paraId="5DEC9161" w14:textId="77777777" w:rsidTr="003C477A">
        <w:tc>
          <w:tcPr>
            <w:tcW w:w="4500" w:type="dxa"/>
            <w:shd w:val="clear" w:color="auto" w:fill="FFFFFF"/>
            <w:tcMar>
              <w:top w:w="100" w:type="dxa"/>
              <w:left w:w="160" w:type="dxa"/>
              <w:bottom w:w="100" w:type="dxa"/>
              <w:right w:w="160" w:type="dxa"/>
            </w:tcMar>
          </w:tcPr>
          <w:p w14:paraId="559BA863"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CASP</w:t>
            </w:r>
          </w:p>
        </w:tc>
        <w:tc>
          <w:tcPr>
            <w:tcW w:w="4500" w:type="dxa"/>
            <w:shd w:val="clear" w:color="auto" w:fill="FFFFFF"/>
            <w:tcMar>
              <w:top w:w="100" w:type="dxa"/>
              <w:left w:w="160" w:type="dxa"/>
              <w:bottom w:w="100" w:type="dxa"/>
              <w:right w:w="160" w:type="dxa"/>
            </w:tcMar>
          </w:tcPr>
          <w:p w14:paraId="4F97C37E"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Critical Appraisal Skills Programme</w:t>
            </w:r>
          </w:p>
        </w:tc>
      </w:tr>
      <w:tr w:rsidR="00144F46" w:rsidRPr="005978B5" w14:paraId="1A1DB9D4" w14:textId="77777777" w:rsidTr="003C477A">
        <w:tc>
          <w:tcPr>
            <w:tcW w:w="4500" w:type="dxa"/>
            <w:shd w:val="clear" w:color="auto" w:fill="EAF0F6"/>
            <w:tcMar>
              <w:top w:w="100" w:type="dxa"/>
              <w:left w:w="160" w:type="dxa"/>
              <w:bottom w:w="100" w:type="dxa"/>
              <w:right w:w="160" w:type="dxa"/>
            </w:tcMar>
          </w:tcPr>
          <w:p w14:paraId="32417A90"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CINAHL</w:t>
            </w:r>
          </w:p>
        </w:tc>
        <w:tc>
          <w:tcPr>
            <w:tcW w:w="4500" w:type="dxa"/>
            <w:shd w:val="clear" w:color="auto" w:fill="EAF0F6"/>
            <w:tcMar>
              <w:top w:w="100" w:type="dxa"/>
              <w:left w:w="160" w:type="dxa"/>
              <w:bottom w:w="100" w:type="dxa"/>
              <w:right w:w="160" w:type="dxa"/>
            </w:tcMar>
          </w:tcPr>
          <w:p w14:paraId="1507A242"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Cumulative Index to Nursing and Allied Health Literature</w:t>
            </w:r>
          </w:p>
        </w:tc>
      </w:tr>
      <w:tr w:rsidR="00144F46" w:rsidRPr="005978B5" w14:paraId="0E786725" w14:textId="77777777" w:rsidTr="003C477A">
        <w:tc>
          <w:tcPr>
            <w:tcW w:w="4500" w:type="dxa"/>
            <w:shd w:val="clear" w:color="auto" w:fill="FFFFFF"/>
            <w:tcMar>
              <w:top w:w="100" w:type="dxa"/>
              <w:left w:w="160" w:type="dxa"/>
              <w:bottom w:w="100" w:type="dxa"/>
              <w:right w:w="160" w:type="dxa"/>
            </w:tcMar>
          </w:tcPr>
          <w:p w14:paraId="52212C1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COVID-19</w:t>
            </w:r>
          </w:p>
        </w:tc>
        <w:tc>
          <w:tcPr>
            <w:tcW w:w="4500" w:type="dxa"/>
            <w:shd w:val="clear" w:color="auto" w:fill="FFFFFF"/>
            <w:tcMar>
              <w:top w:w="100" w:type="dxa"/>
              <w:left w:w="160" w:type="dxa"/>
              <w:bottom w:w="100" w:type="dxa"/>
              <w:right w:w="160" w:type="dxa"/>
            </w:tcMar>
          </w:tcPr>
          <w:p w14:paraId="5DA67375"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Coronavirus Disease 2019</w:t>
            </w:r>
          </w:p>
        </w:tc>
      </w:tr>
      <w:tr w:rsidR="00144F46" w:rsidRPr="005978B5" w14:paraId="42F3F2E0" w14:textId="77777777" w:rsidTr="003C477A">
        <w:tc>
          <w:tcPr>
            <w:tcW w:w="4500" w:type="dxa"/>
            <w:shd w:val="clear" w:color="auto" w:fill="EAF0F6"/>
            <w:tcMar>
              <w:top w:w="100" w:type="dxa"/>
              <w:left w:w="160" w:type="dxa"/>
              <w:bottom w:w="100" w:type="dxa"/>
              <w:right w:w="160" w:type="dxa"/>
            </w:tcMar>
          </w:tcPr>
          <w:p w14:paraId="30C53571"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DHSC</w:t>
            </w:r>
          </w:p>
        </w:tc>
        <w:tc>
          <w:tcPr>
            <w:tcW w:w="4500" w:type="dxa"/>
            <w:shd w:val="clear" w:color="auto" w:fill="EAF0F6"/>
            <w:tcMar>
              <w:top w:w="100" w:type="dxa"/>
              <w:left w:w="160" w:type="dxa"/>
              <w:bottom w:w="100" w:type="dxa"/>
              <w:right w:w="160" w:type="dxa"/>
            </w:tcMar>
          </w:tcPr>
          <w:p w14:paraId="189FFE6E"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Department of Health and Social Care</w:t>
            </w:r>
          </w:p>
        </w:tc>
      </w:tr>
      <w:tr w:rsidR="00144F46" w:rsidRPr="005978B5" w14:paraId="1979BFF9" w14:textId="77777777" w:rsidTr="003C477A">
        <w:tc>
          <w:tcPr>
            <w:tcW w:w="4500" w:type="dxa"/>
            <w:shd w:val="clear" w:color="auto" w:fill="FFFFFF"/>
            <w:tcMar>
              <w:top w:w="100" w:type="dxa"/>
              <w:left w:w="160" w:type="dxa"/>
              <w:bottom w:w="100" w:type="dxa"/>
              <w:right w:w="160" w:type="dxa"/>
            </w:tcMar>
          </w:tcPr>
          <w:p w14:paraId="3FD05B9E"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DPP</w:t>
            </w:r>
          </w:p>
        </w:tc>
        <w:tc>
          <w:tcPr>
            <w:tcW w:w="4500" w:type="dxa"/>
            <w:shd w:val="clear" w:color="auto" w:fill="FFFFFF"/>
            <w:tcMar>
              <w:top w:w="100" w:type="dxa"/>
              <w:left w:w="160" w:type="dxa"/>
              <w:bottom w:w="100" w:type="dxa"/>
              <w:right w:w="160" w:type="dxa"/>
            </w:tcMar>
          </w:tcPr>
          <w:p w14:paraId="37579E08"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Diabetes Prevention Programme</w:t>
            </w:r>
          </w:p>
        </w:tc>
      </w:tr>
      <w:tr w:rsidR="00144F46" w:rsidRPr="005978B5" w14:paraId="4D2847D5" w14:textId="77777777" w:rsidTr="003C477A">
        <w:tc>
          <w:tcPr>
            <w:tcW w:w="4500" w:type="dxa"/>
            <w:shd w:val="clear" w:color="auto" w:fill="EAF0F6"/>
            <w:tcMar>
              <w:top w:w="100" w:type="dxa"/>
              <w:left w:w="160" w:type="dxa"/>
              <w:bottom w:w="100" w:type="dxa"/>
              <w:right w:w="160" w:type="dxa"/>
            </w:tcMar>
          </w:tcPr>
          <w:p w14:paraId="08A29067"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DSMES</w:t>
            </w:r>
          </w:p>
        </w:tc>
        <w:tc>
          <w:tcPr>
            <w:tcW w:w="4500" w:type="dxa"/>
            <w:shd w:val="clear" w:color="auto" w:fill="EAF0F6"/>
            <w:tcMar>
              <w:top w:w="100" w:type="dxa"/>
              <w:left w:w="160" w:type="dxa"/>
              <w:bottom w:w="100" w:type="dxa"/>
              <w:right w:w="160" w:type="dxa"/>
            </w:tcMar>
          </w:tcPr>
          <w:p w14:paraId="5F8A67E1"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Diabetes Self-Management Education and Support</w:t>
            </w:r>
          </w:p>
        </w:tc>
      </w:tr>
      <w:tr w:rsidR="00144F46" w:rsidRPr="005978B5" w14:paraId="6870D3B9" w14:textId="77777777" w:rsidTr="003C477A">
        <w:tc>
          <w:tcPr>
            <w:tcW w:w="4500" w:type="dxa"/>
            <w:shd w:val="clear" w:color="auto" w:fill="FFFFFF"/>
            <w:tcMar>
              <w:top w:w="100" w:type="dxa"/>
              <w:left w:w="160" w:type="dxa"/>
              <w:bottom w:w="100" w:type="dxa"/>
              <w:right w:w="160" w:type="dxa"/>
            </w:tcMar>
          </w:tcPr>
          <w:p w14:paraId="6FC805B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GBD</w:t>
            </w:r>
          </w:p>
        </w:tc>
        <w:tc>
          <w:tcPr>
            <w:tcW w:w="4500" w:type="dxa"/>
            <w:shd w:val="clear" w:color="auto" w:fill="FFFFFF"/>
            <w:tcMar>
              <w:top w:w="100" w:type="dxa"/>
              <w:left w:w="160" w:type="dxa"/>
              <w:bottom w:w="100" w:type="dxa"/>
              <w:right w:w="160" w:type="dxa"/>
            </w:tcMar>
          </w:tcPr>
          <w:p w14:paraId="67915444"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Global Burden of Disease</w:t>
            </w:r>
          </w:p>
        </w:tc>
      </w:tr>
      <w:tr w:rsidR="00144F46" w:rsidRPr="005978B5" w14:paraId="3A229734" w14:textId="77777777" w:rsidTr="003C477A">
        <w:tc>
          <w:tcPr>
            <w:tcW w:w="4500" w:type="dxa"/>
            <w:shd w:val="clear" w:color="auto" w:fill="EAF0F6"/>
            <w:tcMar>
              <w:top w:w="100" w:type="dxa"/>
              <w:left w:w="160" w:type="dxa"/>
              <w:bottom w:w="100" w:type="dxa"/>
              <w:right w:w="160" w:type="dxa"/>
            </w:tcMar>
          </w:tcPr>
          <w:p w14:paraId="26D8F3A2"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GP</w:t>
            </w:r>
          </w:p>
        </w:tc>
        <w:tc>
          <w:tcPr>
            <w:tcW w:w="4500" w:type="dxa"/>
            <w:shd w:val="clear" w:color="auto" w:fill="EAF0F6"/>
            <w:tcMar>
              <w:top w:w="100" w:type="dxa"/>
              <w:left w:w="160" w:type="dxa"/>
              <w:bottom w:w="100" w:type="dxa"/>
              <w:right w:w="160" w:type="dxa"/>
            </w:tcMar>
          </w:tcPr>
          <w:p w14:paraId="6C0763CB"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General Practitioner</w:t>
            </w:r>
          </w:p>
        </w:tc>
      </w:tr>
      <w:tr w:rsidR="00144F46" w:rsidRPr="005978B5" w14:paraId="55FAE4C4" w14:textId="77777777" w:rsidTr="003C477A">
        <w:tc>
          <w:tcPr>
            <w:tcW w:w="4500" w:type="dxa"/>
            <w:shd w:val="clear" w:color="auto" w:fill="FFFFFF"/>
            <w:tcMar>
              <w:top w:w="100" w:type="dxa"/>
              <w:left w:w="160" w:type="dxa"/>
              <w:bottom w:w="100" w:type="dxa"/>
              <w:right w:w="160" w:type="dxa"/>
            </w:tcMar>
          </w:tcPr>
          <w:p w14:paraId="0AF421A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HbA1c</w:t>
            </w:r>
          </w:p>
        </w:tc>
        <w:tc>
          <w:tcPr>
            <w:tcW w:w="4500" w:type="dxa"/>
            <w:shd w:val="clear" w:color="auto" w:fill="FFFFFF"/>
            <w:tcMar>
              <w:top w:w="100" w:type="dxa"/>
              <w:left w:w="160" w:type="dxa"/>
              <w:bottom w:w="100" w:type="dxa"/>
              <w:right w:w="160" w:type="dxa"/>
            </w:tcMar>
          </w:tcPr>
          <w:p w14:paraId="52BCFF54"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Glycated Haemoglobin</w:t>
            </w:r>
          </w:p>
        </w:tc>
      </w:tr>
      <w:tr w:rsidR="00144F46" w:rsidRPr="005978B5" w14:paraId="1637B027" w14:textId="77777777" w:rsidTr="003C477A">
        <w:tc>
          <w:tcPr>
            <w:tcW w:w="4500" w:type="dxa"/>
            <w:shd w:val="clear" w:color="auto" w:fill="EAF0F6"/>
            <w:tcMar>
              <w:top w:w="100" w:type="dxa"/>
              <w:left w:w="160" w:type="dxa"/>
              <w:bottom w:w="100" w:type="dxa"/>
              <w:right w:w="160" w:type="dxa"/>
            </w:tcMar>
          </w:tcPr>
          <w:p w14:paraId="7BC46307"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HBM</w:t>
            </w:r>
          </w:p>
        </w:tc>
        <w:tc>
          <w:tcPr>
            <w:tcW w:w="4500" w:type="dxa"/>
            <w:shd w:val="clear" w:color="auto" w:fill="EAF0F6"/>
            <w:tcMar>
              <w:top w:w="100" w:type="dxa"/>
              <w:left w:w="160" w:type="dxa"/>
              <w:bottom w:w="100" w:type="dxa"/>
              <w:right w:w="160" w:type="dxa"/>
            </w:tcMar>
          </w:tcPr>
          <w:p w14:paraId="3817EF71"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Health Belief Model</w:t>
            </w:r>
          </w:p>
        </w:tc>
      </w:tr>
      <w:tr w:rsidR="00144F46" w:rsidRPr="005978B5" w14:paraId="136355A1" w14:textId="77777777" w:rsidTr="003C477A">
        <w:tc>
          <w:tcPr>
            <w:tcW w:w="4500" w:type="dxa"/>
            <w:shd w:val="clear" w:color="auto" w:fill="FFFFFF"/>
            <w:tcMar>
              <w:top w:w="100" w:type="dxa"/>
              <w:left w:w="160" w:type="dxa"/>
              <w:bottom w:w="100" w:type="dxa"/>
              <w:right w:w="160" w:type="dxa"/>
            </w:tcMar>
          </w:tcPr>
          <w:p w14:paraId="656A6878"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HEAL-D</w:t>
            </w:r>
          </w:p>
        </w:tc>
        <w:tc>
          <w:tcPr>
            <w:tcW w:w="4500" w:type="dxa"/>
            <w:shd w:val="clear" w:color="auto" w:fill="FFFFFF"/>
            <w:tcMar>
              <w:top w:w="100" w:type="dxa"/>
              <w:left w:w="160" w:type="dxa"/>
              <w:bottom w:w="100" w:type="dxa"/>
              <w:right w:w="160" w:type="dxa"/>
            </w:tcMar>
          </w:tcPr>
          <w:p w14:paraId="3E369F62"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Healthier Eating and Active Lifestyles for Diabetes</w:t>
            </w:r>
          </w:p>
        </w:tc>
      </w:tr>
      <w:tr w:rsidR="00144F46" w:rsidRPr="005978B5" w14:paraId="6A2A27D0" w14:textId="77777777" w:rsidTr="003C477A">
        <w:tc>
          <w:tcPr>
            <w:tcW w:w="4500" w:type="dxa"/>
            <w:shd w:val="clear" w:color="auto" w:fill="EAF0F6"/>
            <w:tcMar>
              <w:top w:w="100" w:type="dxa"/>
              <w:left w:w="160" w:type="dxa"/>
              <w:bottom w:w="100" w:type="dxa"/>
              <w:right w:w="160" w:type="dxa"/>
            </w:tcMar>
          </w:tcPr>
          <w:p w14:paraId="54E8DD2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HIC</w:t>
            </w:r>
          </w:p>
        </w:tc>
        <w:tc>
          <w:tcPr>
            <w:tcW w:w="4500" w:type="dxa"/>
            <w:shd w:val="clear" w:color="auto" w:fill="EAF0F6"/>
            <w:tcMar>
              <w:top w:w="100" w:type="dxa"/>
              <w:left w:w="160" w:type="dxa"/>
              <w:bottom w:w="100" w:type="dxa"/>
              <w:right w:w="160" w:type="dxa"/>
            </w:tcMar>
          </w:tcPr>
          <w:p w14:paraId="047A2C0B"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High-Income Country</w:t>
            </w:r>
          </w:p>
        </w:tc>
      </w:tr>
      <w:tr w:rsidR="00144F46" w:rsidRPr="005978B5" w14:paraId="17E95801" w14:textId="77777777" w:rsidTr="003C477A">
        <w:tc>
          <w:tcPr>
            <w:tcW w:w="4500" w:type="dxa"/>
            <w:shd w:val="clear" w:color="auto" w:fill="FFFFFF"/>
            <w:tcMar>
              <w:top w:w="100" w:type="dxa"/>
              <w:left w:w="160" w:type="dxa"/>
              <w:bottom w:w="100" w:type="dxa"/>
              <w:right w:w="160" w:type="dxa"/>
            </w:tcMar>
          </w:tcPr>
          <w:p w14:paraId="1C5E0456"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ICS</w:t>
            </w:r>
          </w:p>
        </w:tc>
        <w:tc>
          <w:tcPr>
            <w:tcW w:w="4500" w:type="dxa"/>
            <w:shd w:val="clear" w:color="auto" w:fill="FFFFFF"/>
            <w:tcMar>
              <w:top w:w="100" w:type="dxa"/>
              <w:left w:w="160" w:type="dxa"/>
              <w:bottom w:w="100" w:type="dxa"/>
              <w:right w:w="160" w:type="dxa"/>
            </w:tcMar>
          </w:tcPr>
          <w:p w14:paraId="5DD91C1A"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Integrated Care System</w:t>
            </w:r>
          </w:p>
        </w:tc>
      </w:tr>
      <w:tr w:rsidR="00144F46" w:rsidRPr="005978B5" w14:paraId="0C166CF4" w14:textId="77777777" w:rsidTr="003C477A">
        <w:tc>
          <w:tcPr>
            <w:tcW w:w="4500" w:type="dxa"/>
            <w:shd w:val="clear" w:color="auto" w:fill="EAF0F6"/>
            <w:tcMar>
              <w:top w:w="100" w:type="dxa"/>
              <w:left w:w="160" w:type="dxa"/>
              <w:bottom w:w="100" w:type="dxa"/>
              <w:right w:w="160" w:type="dxa"/>
            </w:tcMar>
          </w:tcPr>
          <w:p w14:paraId="493FC5FA"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IDF</w:t>
            </w:r>
          </w:p>
        </w:tc>
        <w:tc>
          <w:tcPr>
            <w:tcW w:w="4500" w:type="dxa"/>
            <w:shd w:val="clear" w:color="auto" w:fill="EAF0F6"/>
            <w:tcMar>
              <w:top w:w="100" w:type="dxa"/>
              <w:left w:w="160" w:type="dxa"/>
              <w:bottom w:w="100" w:type="dxa"/>
              <w:right w:w="160" w:type="dxa"/>
            </w:tcMar>
          </w:tcPr>
          <w:p w14:paraId="2E9AE050"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International Diabetes Federation</w:t>
            </w:r>
          </w:p>
        </w:tc>
      </w:tr>
      <w:tr w:rsidR="00144F46" w:rsidRPr="005978B5" w14:paraId="6A68DBF3" w14:textId="77777777" w:rsidTr="003C477A">
        <w:tc>
          <w:tcPr>
            <w:tcW w:w="4500" w:type="dxa"/>
            <w:shd w:val="clear" w:color="auto" w:fill="FFFFFF"/>
            <w:tcMar>
              <w:top w:w="100" w:type="dxa"/>
              <w:left w:w="160" w:type="dxa"/>
              <w:bottom w:w="100" w:type="dxa"/>
              <w:right w:w="160" w:type="dxa"/>
            </w:tcMar>
          </w:tcPr>
          <w:p w14:paraId="2F2D0D89"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IMD</w:t>
            </w:r>
          </w:p>
        </w:tc>
        <w:tc>
          <w:tcPr>
            <w:tcW w:w="4500" w:type="dxa"/>
            <w:shd w:val="clear" w:color="auto" w:fill="FFFFFF"/>
            <w:tcMar>
              <w:top w:w="100" w:type="dxa"/>
              <w:left w:w="160" w:type="dxa"/>
              <w:bottom w:w="100" w:type="dxa"/>
              <w:right w:w="160" w:type="dxa"/>
            </w:tcMar>
          </w:tcPr>
          <w:p w14:paraId="6E6D0840"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Index of Multiple Deprivation</w:t>
            </w:r>
          </w:p>
        </w:tc>
      </w:tr>
      <w:tr w:rsidR="00144F46" w:rsidRPr="005978B5" w14:paraId="299B9A58" w14:textId="77777777" w:rsidTr="003C477A">
        <w:tc>
          <w:tcPr>
            <w:tcW w:w="4500" w:type="dxa"/>
            <w:shd w:val="clear" w:color="auto" w:fill="EAF0F6"/>
            <w:tcMar>
              <w:top w:w="100" w:type="dxa"/>
              <w:left w:w="160" w:type="dxa"/>
              <w:bottom w:w="100" w:type="dxa"/>
              <w:right w:w="160" w:type="dxa"/>
            </w:tcMar>
          </w:tcPr>
          <w:p w14:paraId="73244638"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LMIC</w:t>
            </w:r>
          </w:p>
        </w:tc>
        <w:tc>
          <w:tcPr>
            <w:tcW w:w="4500" w:type="dxa"/>
            <w:shd w:val="clear" w:color="auto" w:fill="EAF0F6"/>
            <w:tcMar>
              <w:top w:w="100" w:type="dxa"/>
              <w:left w:w="160" w:type="dxa"/>
              <w:bottom w:w="100" w:type="dxa"/>
              <w:right w:w="160" w:type="dxa"/>
            </w:tcMar>
          </w:tcPr>
          <w:p w14:paraId="51A6BED7" w14:textId="24B4A129"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 xml:space="preserve">Low- and Middle-Income </w:t>
            </w:r>
            <w:r w:rsidR="00A7339D" w:rsidRPr="005978B5">
              <w:rPr>
                <w:rFonts w:ascii="Arial" w:eastAsia="Arial" w:hAnsi="Arial" w:cs="Arial"/>
                <w:kern w:val="0"/>
                <w:lang w:eastAsia="en-GB"/>
                <w14:ligatures w14:val="none"/>
              </w:rPr>
              <w:t>Countries</w:t>
            </w:r>
          </w:p>
        </w:tc>
      </w:tr>
      <w:tr w:rsidR="00144F46" w:rsidRPr="005978B5" w14:paraId="412B9903" w14:textId="77777777" w:rsidTr="003C477A">
        <w:tc>
          <w:tcPr>
            <w:tcW w:w="4500" w:type="dxa"/>
            <w:shd w:val="clear" w:color="auto" w:fill="FFFFFF"/>
            <w:tcMar>
              <w:top w:w="100" w:type="dxa"/>
              <w:left w:w="160" w:type="dxa"/>
              <w:bottom w:w="100" w:type="dxa"/>
              <w:right w:w="160" w:type="dxa"/>
            </w:tcMar>
          </w:tcPr>
          <w:p w14:paraId="235E6F8E"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MEDLINE</w:t>
            </w:r>
          </w:p>
        </w:tc>
        <w:tc>
          <w:tcPr>
            <w:tcW w:w="4500" w:type="dxa"/>
            <w:shd w:val="clear" w:color="auto" w:fill="FFFFFF"/>
            <w:tcMar>
              <w:top w:w="100" w:type="dxa"/>
              <w:left w:w="160" w:type="dxa"/>
              <w:bottom w:w="100" w:type="dxa"/>
              <w:right w:w="160" w:type="dxa"/>
            </w:tcMar>
          </w:tcPr>
          <w:p w14:paraId="78EA5301"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Medical Literature Analysis and Retrieval System Online</w:t>
            </w:r>
          </w:p>
        </w:tc>
      </w:tr>
      <w:tr w:rsidR="00144F46" w:rsidRPr="005978B5" w14:paraId="69D680A2" w14:textId="77777777" w:rsidTr="003C477A">
        <w:tc>
          <w:tcPr>
            <w:tcW w:w="4500" w:type="dxa"/>
            <w:shd w:val="clear" w:color="auto" w:fill="EAF0F6"/>
            <w:tcMar>
              <w:top w:w="100" w:type="dxa"/>
              <w:left w:w="160" w:type="dxa"/>
              <w:bottom w:w="100" w:type="dxa"/>
              <w:right w:w="160" w:type="dxa"/>
            </w:tcMar>
          </w:tcPr>
          <w:p w14:paraId="3D84F438"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MeSH</w:t>
            </w:r>
          </w:p>
        </w:tc>
        <w:tc>
          <w:tcPr>
            <w:tcW w:w="4500" w:type="dxa"/>
            <w:shd w:val="clear" w:color="auto" w:fill="EAF0F6"/>
            <w:tcMar>
              <w:top w:w="100" w:type="dxa"/>
              <w:left w:w="160" w:type="dxa"/>
              <w:bottom w:w="100" w:type="dxa"/>
              <w:right w:w="160" w:type="dxa"/>
            </w:tcMar>
          </w:tcPr>
          <w:p w14:paraId="3099EF4C"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Medical Subject Headings</w:t>
            </w:r>
          </w:p>
        </w:tc>
      </w:tr>
      <w:tr w:rsidR="00144F46" w:rsidRPr="005978B5" w14:paraId="7190697C" w14:textId="77777777" w:rsidTr="003C477A">
        <w:tc>
          <w:tcPr>
            <w:tcW w:w="4500" w:type="dxa"/>
            <w:shd w:val="clear" w:color="auto" w:fill="FFFFFF"/>
            <w:tcMar>
              <w:top w:w="100" w:type="dxa"/>
              <w:left w:w="160" w:type="dxa"/>
              <w:bottom w:w="100" w:type="dxa"/>
              <w:right w:w="160" w:type="dxa"/>
            </w:tcMar>
          </w:tcPr>
          <w:p w14:paraId="28D739A5"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NDPP</w:t>
            </w:r>
          </w:p>
        </w:tc>
        <w:tc>
          <w:tcPr>
            <w:tcW w:w="4500" w:type="dxa"/>
            <w:shd w:val="clear" w:color="auto" w:fill="FFFFFF"/>
            <w:tcMar>
              <w:top w:w="100" w:type="dxa"/>
              <w:left w:w="160" w:type="dxa"/>
              <w:bottom w:w="100" w:type="dxa"/>
              <w:right w:w="160" w:type="dxa"/>
            </w:tcMar>
          </w:tcPr>
          <w:p w14:paraId="63CB3200"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NHS Diabetes Prevention Programme</w:t>
            </w:r>
          </w:p>
        </w:tc>
      </w:tr>
      <w:tr w:rsidR="00144F46" w:rsidRPr="005978B5" w14:paraId="4455BDD8" w14:textId="77777777" w:rsidTr="003C477A">
        <w:tc>
          <w:tcPr>
            <w:tcW w:w="4500" w:type="dxa"/>
            <w:shd w:val="clear" w:color="auto" w:fill="EAF0F6"/>
            <w:tcMar>
              <w:top w:w="100" w:type="dxa"/>
              <w:left w:w="160" w:type="dxa"/>
              <w:bottom w:w="100" w:type="dxa"/>
              <w:right w:w="160" w:type="dxa"/>
            </w:tcMar>
          </w:tcPr>
          <w:p w14:paraId="06C69B26"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NHS</w:t>
            </w:r>
          </w:p>
        </w:tc>
        <w:tc>
          <w:tcPr>
            <w:tcW w:w="4500" w:type="dxa"/>
            <w:shd w:val="clear" w:color="auto" w:fill="EAF0F6"/>
            <w:tcMar>
              <w:top w:w="100" w:type="dxa"/>
              <w:left w:w="160" w:type="dxa"/>
              <w:bottom w:w="100" w:type="dxa"/>
              <w:right w:w="160" w:type="dxa"/>
            </w:tcMar>
          </w:tcPr>
          <w:p w14:paraId="0C3AA9DE"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National Health Service</w:t>
            </w:r>
          </w:p>
        </w:tc>
      </w:tr>
      <w:tr w:rsidR="00144F46" w:rsidRPr="005978B5" w14:paraId="25016448" w14:textId="77777777" w:rsidTr="003C477A">
        <w:tc>
          <w:tcPr>
            <w:tcW w:w="4500" w:type="dxa"/>
            <w:shd w:val="clear" w:color="auto" w:fill="FFFFFF"/>
            <w:tcMar>
              <w:top w:w="100" w:type="dxa"/>
              <w:left w:w="160" w:type="dxa"/>
              <w:bottom w:w="100" w:type="dxa"/>
              <w:right w:w="160" w:type="dxa"/>
            </w:tcMar>
          </w:tcPr>
          <w:p w14:paraId="5081C29A"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NICE</w:t>
            </w:r>
          </w:p>
        </w:tc>
        <w:tc>
          <w:tcPr>
            <w:tcW w:w="4500" w:type="dxa"/>
            <w:shd w:val="clear" w:color="auto" w:fill="FFFFFF"/>
            <w:tcMar>
              <w:top w:w="100" w:type="dxa"/>
              <w:left w:w="160" w:type="dxa"/>
              <w:bottom w:w="100" w:type="dxa"/>
              <w:right w:w="160" w:type="dxa"/>
            </w:tcMar>
          </w:tcPr>
          <w:p w14:paraId="1D1374D3"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National Institute for Health and Care Excellence</w:t>
            </w:r>
          </w:p>
        </w:tc>
      </w:tr>
      <w:tr w:rsidR="00144F46" w:rsidRPr="005978B5" w14:paraId="23F579AF" w14:textId="77777777" w:rsidTr="003C477A">
        <w:tc>
          <w:tcPr>
            <w:tcW w:w="4500" w:type="dxa"/>
            <w:shd w:val="clear" w:color="auto" w:fill="EAF0F6"/>
            <w:tcMar>
              <w:top w:w="100" w:type="dxa"/>
              <w:left w:w="160" w:type="dxa"/>
              <w:bottom w:w="100" w:type="dxa"/>
              <w:right w:w="160" w:type="dxa"/>
            </w:tcMar>
          </w:tcPr>
          <w:p w14:paraId="4D8367AA"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lastRenderedPageBreak/>
              <w:t>ONS</w:t>
            </w:r>
          </w:p>
        </w:tc>
        <w:tc>
          <w:tcPr>
            <w:tcW w:w="4500" w:type="dxa"/>
            <w:shd w:val="clear" w:color="auto" w:fill="EAF0F6"/>
            <w:tcMar>
              <w:top w:w="100" w:type="dxa"/>
              <w:left w:w="160" w:type="dxa"/>
              <w:bottom w:w="100" w:type="dxa"/>
              <w:right w:w="160" w:type="dxa"/>
            </w:tcMar>
          </w:tcPr>
          <w:p w14:paraId="452CCDC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Office for National Statistics</w:t>
            </w:r>
          </w:p>
        </w:tc>
      </w:tr>
      <w:tr w:rsidR="00144F46" w:rsidRPr="005978B5" w14:paraId="7FBC1880" w14:textId="77777777" w:rsidTr="003C477A">
        <w:tc>
          <w:tcPr>
            <w:tcW w:w="4500" w:type="dxa"/>
            <w:shd w:val="clear" w:color="auto" w:fill="FFFFFF"/>
            <w:tcMar>
              <w:top w:w="100" w:type="dxa"/>
              <w:left w:w="160" w:type="dxa"/>
              <w:bottom w:w="100" w:type="dxa"/>
              <w:right w:w="160" w:type="dxa"/>
            </w:tcMar>
          </w:tcPr>
          <w:p w14:paraId="51AA1FCE"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PEN-3</w:t>
            </w:r>
          </w:p>
        </w:tc>
        <w:tc>
          <w:tcPr>
            <w:tcW w:w="4500" w:type="dxa"/>
            <w:shd w:val="clear" w:color="auto" w:fill="FFFFFF"/>
            <w:tcMar>
              <w:top w:w="100" w:type="dxa"/>
              <w:left w:w="160" w:type="dxa"/>
              <w:bottom w:w="100" w:type="dxa"/>
              <w:right w:w="160" w:type="dxa"/>
            </w:tcMar>
          </w:tcPr>
          <w:p w14:paraId="069315C1"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PEN-3 Cultural Model (Person, Extended Family, Neighbourhood)</w:t>
            </w:r>
          </w:p>
        </w:tc>
      </w:tr>
      <w:tr w:rsidR="00144F46" w:rsidRPr="005978B5" w14:paraId="4A47996A" w14:textId="77777777" w:rsidTr="003C477A">
        <w:tc>
          <w:tcPr>
            <w:tcW w:w="4500" w:type="dxa"/>
            <w:shd w:val="clear" w:color="auto" w:fill="EAF0F6"/>
            <w:tcMar>
              <w:top w:w="100" w:type="dxa"/>
              <w:left w:w="160" w:type="dxa"/>
              <w:bottom w:w="100" w:type="dxa"/>
              <w:right w:w="160" w:type="dxa"/>
            </w:tcMar>
          </w:tcPr>
          <w:p w14:paraId="11D5D2A9"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PHE</w:t>
            </w:r>
          </w:p>
        </w:tc>
        <w:tc>
          <w:tcPr>
            <w:tcW w:w="4500" w:type="dxa"/>
            <w:shd w:val="clear" w:color="auto" w:fill="EAF0F6"/>
            <w:tcMar>
              <w:top w:w="100" w:type="dxa"/>
              <w:left w:w="160" w:type="dxa"/>
              <w:bottom w:w="100" w:type="dxa"/>
              <w:right w:w="160" w:type="dxa"/>
            </w:tcMar>
          </w:tcPr>
          <w:p w14:paraId="52FF548A"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Public Health England</w:t>
            </w:r>
          </w:p>
        </w:tc>
      </w:tr>
      <w:tr w:rsidR="00144F46" w:rsidRPr="005978B5" w14:paraId="0E340E48" w14:textId="77777777" w:rsidTr="003C477A">
        <w:tc>
          <w:tcPr>
            <w:tcW w:w="4500" w:type="dxa"/>
            <w:shd w:val="clear" w:color="auto" w:fill="FFFFFF"/>
            <w:tcMar>
              <w:top w:w="100" w:type="dxa"/>
              <w:left w:w="160" w:type="dxa"/>
              <w:bottom w:w="100" w:type="dxa"/>
              <w:right w:w="160" w:type="dxa"/>
            </w:tcMar>
          </w:tcPr>
          <w:p w14:paraId="4BDAF39B"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PICO</w:t>
            </w:r>
          </w:p>
        </w:tc>
        <w:tc>
          <w:tcPr>
            <w:tcW w:w="4500" w:type="dxa"/>
            <w:shd w:val="clear" w:color="auto" w:fill="FFFFFF"/>
            <w:tcMar>
              <w:top w:w="100" w:type="dxa"/>
              <w:left w:w="160" w:type="dxa"/>
              <w:bottom w:w="100" w:type="dxa"/>
              <w:right w:w="160" w:type="dxa"/>
            </w:tcMar>
          </w:tcPr>
          <w:p w14:paraId="29C061E5"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Population, Intervention, Comparison, Outcome</w:t>
            </w:r>
          </w:p>
        </w:tc>
      </w:tr>
      <w:tr w:rsidR="00144F46" w:rsidRPr="005978B5" w14:paraId="78C0A4E1" w14:textId="77777777" w:rsidTr="003C477A">
        <w:tc>
          <w:tcPr>
            <w:tcW w:w="4500" w:type="dxa"/>
            <w:shd w:val="clear" w:color="auto" w:fill="EAF0F6"/>
            <w:tcMar>
              <w:top w:w="100" w:type="dxa"/>
              <w:left w:w="160" w:type="dxa"/>
              <w:bottom w:w="100" w:type="dxa"/>
              <w:right w:w="160" w:type="dxa"/>
            </w:tcMar>
          </w:tcPr>
          <w:p w14:paraId="254265D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PRISMA</w:t>
            </w:r>
          </w:p>
        </w:tc>
        <w:tc>
          <w:tcPr>
            <w:tcW w:w="4500" w:type="dxa"/>
            <w:shd w:val="clear" w:color="auto" w:fill="EAF0F6"/>
            <w:tcMar>
              <w:top w:w="100" w:type="dxa"/>
              <w:left w:w="160" w:type="dxa"/>
              <w:bottom w:w="100" w:type="dxa"/>
              <w:right w:w="160" w:type="dxa"/>
            </w:tcMar>
          </w:tcPr>
          <w:p w14:paraId="7F4AE596"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Preferred Reporting Items for Systematic Reviews and Meta-Analyses</w:t>
            </w:r>
          </w:p>
        </w:tc>
      </w:tr>
      <w:tr w:rsidR="00144F46" w:rsidRPr="005978B5" w14:paraId="4DD9379C" w14:textId="77777777" w:rsidTr="003C477A">
        <w:tc>
          <w:tcPr>
            <w:tcW w:w="4500" w:type="dxa"/>
            <w:shd w:val="clear" w:color="auto" w:fill="FFFFFF"/>
            <w:tcMar>
              <w:top w:w="100" w:type="dxa"/>
              <w:left w:w="160" w:type="dxa"/>
              <w:bottom w:w="100" w:type="dxa"/>
              <w:right w:w="160" w:type="dxa"/>
            </w:tcMar>
          </w:tcPr>
          <w:p w14:paraId="5527C4D7"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SABRE</w:t>
            </w:r>
          </w:p>
        </w:tc>
        <w:tc>
          <w:tcPr>
            <w:tcW w:w="4500" w:type="dxa"/>
            <w:shd w:val="clear" w:color="auto" w:fill="FFFFFF"/>
            <w:tcMar>
              <w:top w:w="100" w:type="dxa"/>
              <w:left w:w="160" w:type="dxa"/>
              <w:bottom w:w="100" w:type="dxa"/>
              <w:right w:w="160" w:type="dxa"/>
            </w:tcMar>
          </w:tcPr>
          <w:p w14:paraId="71B73CCD"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Southall and Brent Revisited study</w:t>
            </w:r>
          </w:p>
        </w:tc>
      </w:tr>
      <w:tr w:rsidR="00144F46" w:rsidRPr="005978B5" w14:paraId="5D7FDA99" w14:textId="77777777" w:rsidTr="003C477A">
        <w:tc>
          <w:tcPr>
            <w:tcW w:w="4500" w:type="dxa"/>
            <w:shd w:val="clear" w:color="auto" w:fill="EAF0F6"/>
            <w:tcMar>
              <w:top w:w="100" w:type="dxa"/>
              <w:left w:w="160" w:type="dxa"/>
              <w:bottom w:w="100" w:type="dxa"/>
              <w:right w:w="160" w:type="dxa"/>
            </w:tcMar>
          </w:tcPr>
          <w:p w14:paraId="495DAB38"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SDH</w:t>
            </w:r>
          </w:p>
        </w:tc>
        <w:tc>
          <w:tcPr>
            <w:tcW w:w="4500" w:type="dxa"/>
            <w:shd w:val="clear" w:color="auto" w:fill="EAF0F6"/>
            <w:tcMar>
              <w:top w:w="100" w:type="dxa"/>
              <w:left w:w="160" w:type="dxa"/>
              <w:bottom w:w="100" w:type="dxa"/>
              <w:right w:w="160" w:type="dxa"/>
            </w:tcMar>
          </w:tcPr>
          <w:p w14:paraId="297E7097"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Social Determinants of Health</w:t>
            </w:r>
          </w:p>
        </w:tc>
      </w:tr>
      <w:tr w:rsidR="00144F46" w:rsidRPr="005978B5" w14:paraId="3B6D4539" w14:textId="77777777" w:rsidTr="003C477A">
        <w:tc>
          <w:tcPr>
            <w:tcW w:w="4500" w:type="dxa"/>
            <w:shd w:val="clear" w:color="auto" w:fill="FFFFFF"/>
            <w:tcMar>
              <w:top w:w="100" w:type="dxa"/>
              <w:left w:w="160" w:type="dxa"/>
              <w:bottom w:w="100" w:type="dxa"/>
              <w:right w:w="160" w:type="dxa"/>
            </w:tcMar>
          </w:tcPr>
          <w:p w14:paraId="37258B75"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T2DM</w:t>
            </w:r>
          </w:p>
        </w:tc>
        <w:tc>
          <w:tcPr>
            <w:tcW w:w="4500" w:type="dxa"/>
            <w:shd w:val="clear" w:color="auto" w:fill="FFFFFF"/>
            <w:tcMar>
              <w:top w:w="100" w:type="dxa"/>
              <w:left w:w="160" w:type="dxa"/>
              <w:bottom w:w="100" w:type="dxa"/>
              <w:right w:w="160" w:type="dxa"/>
            </w:tcMar>
          </w:tcPr>
          <w:p w14:paraId="3663EA09"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Type 2 Diabetes Mellitus</w:t>
            </w:r>
          </w:p>
        </w:tc>
      </w:tr>
      <w:tr w:rsidR="00144F46" w:rsidRPr="005978B5" w14:paraId="6F3BE4DD" w14:textId="77777777" w:rsidTr="003C477A">
        <w:tc>
          <w:tcPr>
            <w:tcW w:w="4500" w:type="dxa"/>
            <w:shd w:val="clear" w:color="auto" w:fill="EAF0F6"/>
            <w:tcMar>
              <w:top w:w="100" w:type="dxa"/>
              <w:left w:w="160" w:type="dxa"/>
              <w:bottom w:w="100" w:type="dxa"/>
              <w:right w:w="160" w:type="dxa"/>
            </w:tcMar>
          </w:tcPr>
          <w:p w14:paraId="182E6E4A"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UK</w:t>
            </w:r>
          </w:p>
        </w:tc>
        <w:tc>
          <w:tcPr>
            <w:tcW w:w="4500" w:type="dxa"/>
            <w:shd w:val="clear" w:color="auto" w:fill="EAF0F6"/>
            <w:tcMar>
              <w:top w:w="100" w:type="dxa"/>
              <w:left w:w="160" w:type="dxa"/>
              <w:bottom w:w="100" w:type="dxa"/>
              <w:right w:w="160" w:type="dxa"/>
            </w:tcMar>
          </w:tcPr>
          <w:p w14:paraId="4849B9D7"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United Kingdom</w:t>
            </w:r>
          </w:p>
        </w:tc>
      </w:tr>
      <w:tr w:rsidR="00144F46" w:rsidRPr="005978B5" w14:paraId="7B7AE4EB" w14:textId="77777777" w:rsidTr="003C477A">
        <w:tc>
          <w:tcPr>
            <w:tcW w:w="4500" w:type="dxa"/>
            <w:shd w:val="clear" w:color="auto" w:fill="FFFFFF"/>
            <w:tcMar>
              <w:top w:w="100" w:type="dxa"/>
              <w:left w:w="160" w:type="dxa"/>
              <w:bottom w:w="100" w:type="dxa"/>
              <w:right w:w="160" w:type="dxa"/>
            </w:tcMar>
          </w:tcPr>
          <w:p w14:paraId="6176849E" w14:textId="5CB0E60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WHO</w:t>
            </w:r>
          </w:p>
        </w:tc>
        <w:tc>
          <w:tcPr>
            <w:tcW w:w="4500" w:type="dxa"/>
            <w:shd w:val="clear" w:color="auto" w:fill="FFFFFF"/>
            <w:tcMar>
              <w:top w:w="100" w:type="dxa"/>
              <w:left w:w="160" w:type="dxa"/>
              <w:bottom w:w="100" w:type="dxa"/>
              <w:right w:w="160" w:type="dxa"/>
            </w:tcMar>
          </w:tcPr>
          <w:p w14:paraId="1ACA9BC2" w14:textId="7D431FA3"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World Health Organization</w:t>
            </w:r>
          </w:p>
        </w:tc>
      </w:tr>
    </w:tbl>
    <w:p w14:paraId="0A8DF892" w14:textId="67B3EEDA" w:rsidR="009F64C5" w:rsidRPr="005978B5" w:rsidRDefault="009F64C5" w:rsidP="00354518">
      <w:pPr>
        <w:spacing w:line="360" w:lineRule="auto"/>
        <w:jc w:val="both"/>
        <w:rPr>
          <w:rFonts w:ascii="Arial" w:hAnsi="Arial" w:cs="Arial"/>
        </w:rPr>
      </w:pPr>
      <w:r w:rsidRPr="005978B5">
        <w:rPr>
          <w:rFonts w:ascii="Arial" w:eastAsia="Times New Roman" w:hAnsi="Arial" w:cs="Arial"/>
          <w:b/>
          <w:i/>
        </w:rPr>
        <w:t xml:space="preserve"> </w:t>
      </w:r>
      <w:r w:rsidRPr="005978B5">
        <w:rPr>
          <w:rFonts w:ascii="Arial" w:eastAsia="Times New Roman" w:hAnsi="Arial" w:cs="Arial"/>
          <w:b/>
          <w:i/>
        </w:rPr>
        <w:tab/>
        <w:t xml:space="preserve"> </w:t>
      </w:r>
    </w:p>
    <w:p w14:paraId="4791D982" w14:textId="14C92603" w:rsidR="00E77072" w:rsidRPr="005978B5" w:rsidRDefault="00E77072" w:rsidP="00E77072">
      <w:pPr>
        <w:spacing w:line="360" w:lineRule="auto"/>
        <w:jc w:val="both"/>
        <w:rPr>
          <w:rFonts w:ascii="Arial" w:hAnsi="Arial" w:cs="Arial"/>
        </w:rPr>
      </w:pPr>
      <w:r w:rsidRPr="005978B5">
        <w:rPr>
          <w:rFonts w:ascii="Arial" w:hAnsi="Arial" w:cs="Arial"/>
        </w:rPr>
        <w:br w:type="page"/>
      </w:r>
    </w:p>
    <w:p w14:paraId="20AD0EAF" w14:textId="1EC35B4A" w:rsidR="007D286C" w:rsidRPr="005978B5" w:rsidRDefault="007D286C" w:rsidP="00354518">
      <w:pPr>
        <w:pStyle w:val="Heading1"/>
        <w:spacing w:line="360" w:lineRule="auto"/>
        <w:jc w:val="both"/>
        <w:rPr>
          <w:rFonts w:ascii="Arial" w:hAnsi="Arial" w:cs="Arial"/>
          <w:sz w:val="22"/>
        </w:rPr>
      </w:pPr>
      <w:bookmarkStart w:id="5" w:name="_Toc232173660"/>
      <w:r w:rsidRPr="005978B5">
        <w:rPr>
          <w:rFonts w:ascii="Arial" w:hAnsi="Arial" w:cs="Arial"/>
          <w:sz w:val="22"/>
        </w:rPr>
        <w:lastRenderedPageBreak/>
        <w:t>CHAPTER 1: INTRODUCTION</w:t>
      </w:r>
      <w:bookmarkEnd w:id="5"/>
    </w:p>
    <w:p w14:paraId="2A1910D7" w14:textId="73C49301" w:rsidR="007D286C" w:rsidRPr="005978B5" w:rsidRDefault="000660F5" w:rsidP="00354518">
      <w:pPr>
        <w:spacing w:line="360" w:lineRule="auto"/>
        <w:jc w:val="both"/>
        <w:rPr>
          <w:rFonts w:ascii="Arial" w:hAnsi="Arial" w:cs="Arial"/>
        </w:rPr>
      </w:pPr>
      <w:r w:rsidRPr="005978B5">
        <w:rPr>
          <w:rFonts w:ascii="Arial" w:hAnsi="Arial" w:cs="Arial"/>
        </w:rPr>
        <w:t xml:space="preserve">Diabetes mellitus type 2 (T2DM) is a chronic metabolic disorder that is followed by progressive insulin resistance and relative lack of insulin that leads to sustained hyperglycaemia and significantly high risk of microvascular and macrovascular complications, such as cardiovascular disease, chronic kidney disease, retinopathy threatening sight and amputation of lower limbs (World Health Organization, 2008). </w:t>
      </w:r>
    </w:p>
    <w:p w14:paraId="1EA7C39A" w14:textId="77777777" w:rsidR="007D286C" w:rsidRPr="005978B5" w:rsidRDefault="007D286C" w:rsidP="00354518">
      <w:pPr>
        <w:pStyle w:val="Heading2"/>
        <w:spacing w:line="360" w:lineRule="auto"/>
        <w:jc w:val="both"/>
        <w:rPr>
          <w:rFonts w:ascii="Arial" w:hAnsi="Arial" w:cs="Arial"/>
          <w:sz w:val="22"/>
        </w:rPr>
      </w:pPr>
      <w:bookmarkStart w:id="6" w:name="_Toc232173661"/>
      <w:r w:rsidRPr="005978B5">
        <w:rPr>
          <w:rFonts w:ascii="Arial" w:hAnsi="Arial" w:cs="Arial"/>
          <w:sz w:val="22"/>
        </w:rPr>
        <w:t>1.1 Background</w:t>
      </w:r>
      <w:bookmarkEnd w:id="6"/>
    </w:p>
    <w:p w14:paraId="2507A6F7" w14:textId="716697B6" w:rsidR="007D286C" w:rsidRPr="005978B5" w:rsidRDefault="00384B79" w:rsidP="00354518">
      <w:pPr>
        <w:spacing w:line="360" w:lineRule="auto"/>
        <w:jc w:val="both"/>
        <w:rPr>
          <w:rFonts w:ascii="Arial" w:hAnsi="Arial" w:cs="Arial"/>
        </w:rPr>
      </w:pPr>
      <w:r w:rsidRPr="005978B5">
        <w:rPr>
          <w:rFonts w:ascii="Arial" w:hAnsi="Arial" w:cs="Arial"/>
        </w:rPr>
        <w:t xml:space="preserve">In the United Kingdom, the incidence of T2DM is high and is increasing. The estimates of </w:t>
      </w:r>
      <w:r w:rsidR="00DB1EB5" w:rsidRPr="005978B5">
        <w:rPr>
          <w:rFonts w:ascii="Arial" w:hAnsi="Arial" w:cs="Arial"/>
        </w:rPr>
        <w:t>Diabetes UK (2024)</w:t>
      </w:r>
      <w:r w:rsidRPr="005978B5">
        <w:rPr>
          <w:rFonts w:ascii="Arial" w:hAnsi="Arial" w:cs="Arial"/>
        </w:rPr>
        <w:t xml:space="preserve"> show that by 2024, the overall population with diabetes, both diagnosed and undiagnosed, is estimated to be about 5.8 million, with approximately 4.3 million people having the disease and T2DM being of insurmountable prevalence. The National Diabetes Audit records that the number of registered cases is growing</w:t>
      </w:r>
      <w:r w:rsidR="00175BB5" w:rsidRPr="005978B5">
        <w:rPr>
          <w:rFonts w:ascii="Arial" w:hAnsi="Arial" w:cs="Arial"/>
        </w:rPr>
        <w:t>,</w:t>
      </w:r>
      <w:r w:rsidRPr="005978B5">
        <w:rPr>
          <w:rFonts w:ascii="Arial" w:hAnsi="Arial" w:cs="Arial"/>
        </w:rPr>
        <w:t xml:space="preserve"> with an approximate of 2.95 million in 2017-18</w:t>
      </w:r>
      <w:r w:rsidR="00175BB5" w:rsidRPr="005978B5">
        <w:rPr>
          <w:rFonts w:ascii="Arial" w:hAnsi="Arial" w:cs="Arial"/>
        </w:rPr>
        <w:t>,</w:t>
      </w:r>
      <w:r w:rsidRPr="005978B5">
        <w:rPr>
          <w:rFonts w:ascii="Arial" w:hAnsi="Arial" w:cs="Arial"/>
        </w:rPr>
        <w:t xml:space="preserve"> rising to over 3.3 million in 2022-23 </w:t>
      </w:r>
      <w:r w:rsidR="008E5C55" w:rsidRPr="005978B5">
        <w:rPr>
          <w:rFonts w:ascii="Arial" w:hAnsi="Arial" w:cs="Arial"/>
        </w:rPr>
        <w:t>(NHS England, 2024a)</w:t>
      </w:r>
      <w:r w:rsidRPr="005978B5">
        <w:rPr>
          <w:rFonts w:ascii="Arial" w:hAnsi="Arial" w:cs="Arial"/>
        </w:rPr>
        <w:t>. The financial impact is much greater than the clinical costs. Recalculated cost-of-illness estimates that diabetes in the UK has a cost of nearly £14 billion every year, including £10.7 billion in direct spending by the NHS, and a further £3.3 billion in indirect costs to society, including lost productivity and providing informal care, with more than £6 billion of these estimates (or direct costs) being due to largely preventable complications (Hex et al., 2024).</w:t>
      </w:r>
    </w:p>
    <w:p w14:paraId="319D182A" w14:textId="384F8D41" w:rsidR="007D286C" w:rsidRPr="005978B5" w:rsidRDefault="00AE72E4" w:rsidP="00354518">
      <w:pPr>
        <w:spacing w:line="360" w:lineRule="auto"/>
        <w:jc w:val="both"/>
        <w:rPr>
          <w:rFonts w:ascii="Arial" w:hAnsi="Arial" w:cs="Arial"/>
        </w:rPr>
      </w:pPr>
      <w:r w:rsidRPr="005978B5">
        <w:rPr>
          <w:rFonts w:ascii="Arial" w:hAnsi="Arial" w:cs="Arial"/>
        </w:rPr>
        <w:t xml:space="preserve">Despite the fact that T2DM is a disease that cuts across all population groups, it is extremely unevenly spread among the UK population. The ethnic minority adults, including the South Asian, Black African and Black Caribbean origin, are also disproportionately at higher risk of the disproportionate risk as compared to their White British counterparts. The risk of developing T2DM is twice to four times </w:t>
      </w:r>
      <w:r w:rsidR="00175BB5" w:rsidRPr="005978B5">
        <w:rPr>
          <w:rFonts w:ascii="Arial" w:hAnsi="Arial" w:cs="Arial"/>
        </w:rPr>
        <w:t xml:space="preserve">higher </w:t>
      </w:r>
      <w:r w:rsidRPr="005978B5">
        <w:rPr>
          <w:rFonts w:ascii="Arial" w:hAnsi="Arial" w:cs="Arial"/>
        </w:rPr>
        <w:t xml:space="preserve">in South Asian adults, and the onset is ten to twelve years earlier, and at much lower body mass index levels (Goff, 2019; </w:t>
      </w:r>
      <w:proofErr w:type="spellStart"/>
      <w:r w:rsidRPr="005978B5">
        <w:rPr>
          <w:rFonts w:ascii="Arial" w:hAnsi="Arial" w:cs="Arial"/>
        </w:rPr>
        <w:t>Caleyachetty</w:t>
      </w:r>
      <w:proofErr w:type="spellEnd"/>
      <w:r w:rsidRPr="005978B5">
        <w:rPr>
          <w:rFonts w:ascii="Arial" w:hAnsi="Arial" w:cs="Arial"/>
        </w:rPr>
        <w:t xml:space="preserve"> et al., 2021). Potential cohort findings of </w:t>
      </w:r>
      <w:r w:rsidR="00175BB5" w:rsidRPr="005978B5">
        <w:rPr>
          <w:rFonts w:ascii="Arial" w:hAnsi="Arial" w:cs="Arial"/>
        </w:rPr>
        <w:t xml:space="preserve">the </w:t>
      </w:r>
      <w:r w:rsidRPr="005978B5">
        <w:rPr>
          <w:rFonts w:ascii="Arial" w:hAnsi="Arial" w:cs="Arial"/>
        </w:rPr>
        <w:t xml:space="preserve">Southall and Brent </w:t>
      </w:r>
      <w:proofErr w:type="spellStart"/>
      <w:r w:rsidRPr="005978B5">
        <w:rPr>
          <w:rFonts w:ascii="Arial" w:hAnsi="Arial" w:cs="Arial"/>
        </w:rPr>
        <w:t>REvisited</w:t>
      </w:r>
      <w:proofErr w:type="spellEnd"/>
      <w:r w:rsidRPr="005978B5">
        <w:rPr>
          <w:rFonts w:ascii="Arial" w:hAnsi="Arial" w:cs="Arial"/>
        </w:rPr>
        <w:t xml:space="preserve"> (SABRE) study indicate that approximately 50 per cent of </w:t>
      </w:r>
      <w:r w:rsidR="00175BB5" w:rsidRPr="005978B5">
        <w:rPr>
          <w:rFonts w:ascii="Arial" w:hAnsi="Arial" w:cs="Arial"/>
        </w:rPr>
        <w:t xml:space="preserve">the </w:t>
      </w:r>
      <w:r w:rsidRPr="005978B5">
        <w:rPr>
          <w:rFonts w:ascii="Arial" w:hAnsi="Arial" w:cs="Arial"/>
        </w:rPr>
        <w:t>South Asian and African-Caribbean male population is diagnosed with diabetes at age 80 compared to approximately 20 per cent in White European men (</w:t>
      </w:r>
      <w:proofErr w:type="spellStart"/>
      <w:r w:rsidRPr="005978B5">
        <w:rPr>
          <w:rFonts w:ascii="Arial" w:hAnsi="Arial" w:cs="Arial"/>
        </w:rPr>
        <w:t>Tillin</w:t>
      </w:r>
      <w:proofErr w:type="spellEnd"/>
      <w:r w:rsidRPr="005978B5">
        <w:rPr>
          <w:rFonts w:ascii="Arial" w:hAnsi="Arial" w:cs="Arial"/>
        </w:rPr>
        <w:t xml:space="preserve"> et al., 2013). The statistics listed by the Office for National Statistics (2024) demonstrate that the prevalence of pre-diabetes in the Black and Asian adults is also 22% - more than twice the prevalence of pre-diabetes in the representatives of the White population (10%). NHS Health Check data have verified that the South Asian and Black </w:t>
      </w:r>
      <w:r w:rsidR="00175BB5" w:rsidRPr="005978B5">
        <w:rPr>
          <w:rFonts w:ascii="Arial" w:hAnsi="Arial" w:cs="Arial"/>
        </w:rPr>
        <w:t>ethnicities</w:t>
      </w:r>
      <w:r w:rsidRPr="005978B5">
        <w:rPr>
          <w:rFonts w:ascii="Arial" w:hAnsi="Arial" w:cs="Arial"/>
        </w:rPr>
        <w:t xml:space="preserve"> are independent predictors of T2DM net of the effect of the socioeconomic deprivation, and actionable levels of HbA1c are disproportionately common among the ethnic minority adults (Au-Yeung et al., 2024; Anderson et al., 2021).</w:t>
      </w:r>
    </w:p>
    <w:p w14:paraId="72B4D334" w14:textId="71DC4AC1" w:rsidR="007D286C" w:rsidRPr="005978B5" w:rsidRDefault="00AE72E4" w:rsidP="00354518">
      <w:pPr>
        <w:spacing w:line="360" w:lineRule="auto"/>
        <w:jc w:val="both"/>
        <w:rPr>
          <w:rFonts w:ascii="Arial" w:hAnsi="Arial" w:cs="Arial"/>
          <w:b/>
          <w:bCs/>
        </w:rPr>
      </w:pPr>
      <w:r w:rsidRPr="005978B5">
        <w:rPr>
          <w:rFonts w:ascii="Arial" w:hAnsi="Arial" w:cs="Arial"/>
        </w:rPr>
        <w:lastRenderedPageBreak/>
        <w:t xml:space="preserve">These differences cannot be solely due to genetic predisposition. The World Health Organisation </w:t>
      </w:r>
      <w:r w:rsidR="00035495" w:rsidRPr="005978B5">
        <w:rPr>
          <w:rFonts w:ascii="Arial" w:hAnsi="Arial" w:cs="Arial"/>
        </w:rPr>
        <w:t>established that social determinants</w:t>
      </w:r>
      <w:r w:rsidRPr="005978B5">
        <w:rPr>
          <w:rFonts w:ascii="Arial" w:hAnsi="Arial" w:cs="Arial"/>
        </w:rPr>
        <w:t xml:space="preserve"> of health, the circumstances in which individuals are born, develop, live, work and age, are essentially unevenly distributed among social populations and cause </w:t>
      </w:r>
      <w:r w:rsidR="00B26ED9">
        <w:rPr>
          <w:rFonts w:ascii="Arial" w:hAnsi="Arial" w:cs="Arial"/>
        </w:rPr>
        <w:t>health disparities</w:t>
      </w:r>
      <w:r w:rsidRPr="005978B5">
        <w:rPr>
          <w:rFonts w:ascii="Arial" w:hAnsi="Arial" w:cs="Arial"/>
        </w:rPr>
        <w:t xml:space="preserve"> (World Health Organization, 2008). Based on this structure, the Marmot Review revealed that the major structural factors </w:t>
      </w:r>
      <w:r w:rsidR="00712075">
        <w:rPr>
          <w:rFonts w:ascii="Arial" w:hAnsi="Arial" w:cs="Arial"/>
        </w:rPr>
        <w:t xml:space="preserve">driving health disparities </w:t>
      </w:r>
      <w:r w:rsidRPr="005978B5">
        <w:rPr>
          <w:rFonts w:ascii="Arial" w:hAnsi="Arial" w:cs="Arial"/>
        </w:rPr>
        <w:t xml:space="preserve">in England are socioeconomic deprivation and ethnicity (Marmot et al., 2010). Ten years later, the Marmot Review 10 Years On offered facts that there was an increase in these inequalities and the ethnic minority populations had a disproportionate and growing share of preventable ill health (Marmot et al., 2020). These structural disparities have been further brought into the limelight during the COVID-19 pandemic, with ethnic minority patients with diabetes reported to fare much worse with hospitalisation and mortality rates, which can also be attributed to the same underlying structural determinants </w:t>
      </w:r>
      <w:r w:rsidR="009B385E" w:rsidRPr="005978B5">
        <w:rPr>
          <w:rFonts w:ascii="Arial" w:hAnsi="Arial" w:cs="Arial"/>
        </w:rPr>
        <w:t>(</w:t>
      </w:r>
      <w:proofErr w:type="spellStart"/>
      <w:r w:rsidR="009B385E" w:rsidRPr="005978B5">
        <w:rPr>
          <w:rFonts w:ascii="Arial" w:hAnsi="Arial" w:cs="Arial"/>
        </w:rPr>
        <w:t>Khunti</w:t>
      </w:r>
      <w:proofErr w:type="spellEnd"/>
      <w:r w:rsidR="009B385E" w:rsidRPr="005978B5">
        <w:rPr>
          <w:rFonts w:ascii="Arial" w:hAnsi="Arial" w:cs="Arial"/>
        </w:rPr>
        <w:t xml:space="preserve"> et al., 2023; </w:t>
      </w:r>
      <w:proofErr w:type="spellStart"/>
      <w:r w:rsidR="009B385E" w:rsidRPr="005978B5">
        <w:rPr>
          <w:rFonts w:ascii="Arial" w:hAnsi="Arial" w:cs="Arial"/>
        </w:rPr>
        <w:t>Khunti</w:t>
      </w:r>
      <w:proofErr w:type="spellEnd"/>
      <w:r w:rsidR="009B385E" w:rsidRPr="005978B5">
        <w:rPr>
          <w:rFonts w:ascii="Arial" w:hAnsi="Arial" w:cs="Arial"/>
        </w:rPr>
        <w:t>, 2022)</w:t>
      </w:r>
      <w:r w:rsidR="00FB3A12" w:rsidRPr="005978B5">
        <w:rPr>
          <w:rFonts w:ascii="Arial" w:hAnsi="Arial" w:cs="Arial"/>
        </w:rPr>
        <w:t>.</w:t>
      </w:r>
    </w:p>
    <w:p w14:paraId="1E176AD4" w14:textId="0CE07040" w:rsidR="007D286C" w:rsidRPr="005978B5" w:rsidRDefault="00AA04B8" w:rsidP="00354518">
      <w:pPr>
        <w:spacing w:line="360" w:lineRule="auto"/>
        <w:jc w:val="both"/>
        <w:rPr>
          <w:rFonts w:ascii="Arial" w:hAnsi="Arial" w:cs="Arial"/>
        </w:rPr>
      </w:pPr>
      <w:r w:rsidRPr="005978B5">
        <w:rPr>
          <w:rFonts w:ascii="Arial" w:hAnsi="Arial" w:cs="Arial"/>
        </w:rPr>
        <w:t xml:space="preserve">The responses of the national policy are </w:t>
      </w:r>
      <w:r w:rsidR="00175BB5" w:rsidRPr="005978B5">
        <w:rPr>
          <w:rFonts w:ascii="Arial" w:hAnsi="Arial" w:cs="Arial"/>
        </w:rPr>
        <w:t xml:space="preserve">the </w:t>
      </w:r>
      <w:r w:rsidRPr="005978B5">
        <w:rPr>
          <w:rFonts w:ascii="Arial" w:hAnsi="Arial" w:cs="Arial"/>
        </w:rPr>
        <w:t xml:space="preserve">NHS Diabetes Prevention Programme (NDPP; NHS England, 2019), NICE clinical guidelines PH38 and NG28, and the Core20PLUS5 framework (NHS England, 2021). Regardless of this architecture, the ethnic minority adults continue to exhibit a persistent lack of service access to the programmes and clinical outcomes </w:t>
      </w:r>
      <w:r w:rsidR="009B385E" w:rsidRPr="005978B5">
        <w:rPr>
          <w:rFonts w:ascii="Arial" w:hAnsi="Arial" w:cs="Arial"/>
        </w:rPr>
        <w:t xml:space="preserve">(Barron et al., 2018; Valabhji et al., 2020; </w:t>
      </w:r>
      <w:proofErr w:type="spellStart"/>
      <w:r w:rsidR="009B385E" w:rsidRPr="005978B5">
        <w:rPr>
          <w:rFonts w:ascii="Arial" w:hAnsi="Arial" w:cs="Arial"/>
        </w:rPr>
        <w:t>Sotubo</w:t>
      </w:r>
      <w:proofErr w:type="spellEnd"/>
      <w:r w:rsidR="009B385E" w:rsidRPr="005978B5">
        <w:rPr>
          <w:rFonts w:ascii="Arial" w:hAnsi="Arial" w:cs="Arial"/>
        </w:rPr>
        <w:t>, 2021)</w:t>
      </w:r>
      <w:r w:rsidRPr="005978B5">
        <w:rPr>
          <w:rFonts w:ascii="Arial" w:hAnsi="Arial" w:cs="Arial"/>
        </w:rPr>
        <w:t>, which is why the evidence gap is bridged by the systematic review in question.</w:t>
      </w:r>
    </w:p>
    <w:p w14:paraId="036A0117" w14:textId="77777777" w:rsidR="007D286C" w:rsidRPr="005978B5" w:rsidRDefault="007D286C" w:rsidP="00354518">
      <w:pPr>
        <w:pStyle w:val="Heading2"/>
        <w:spacing w:line="360" w:lineRule="auto"/>
        <w:jc w:val="both"/>
        <w:rPr>
          <w:rFonts w:ascii="Arial" w:hAnsi="Arial" w:cs="Arial"/>
          <w:sz w:val="22"/>
        </w:rPr>
      </w:pPr>
      <w:bookmarkStart w:id="7" w:name="_Toc232173662"/>
      <w:r w:rsidRPr="005978B5">
        <w:rPr>
          <w:rFonts w:ascii="Arial" w:hAnsi="Arial" w:cs="Arial"/>
          <w:sz w:val="22"/>
        </w:rPr>
        <w:t>1.2 Rationale for the Review</w:t>
      </w:r>
      <w:bookmarkEnd w:id="7"/>
    </w:p>
    <w:p w14:paraId="14B87A11" w14:textId="6497629D" w:rsidR="007D286C" w:rsidRPr="005978B5" w:rsidRDefault="00AA04B8" w:rsidP="00354518">
      <w:pPr>
        <w:spacing w:line="360" w:lineRule="auto"/>
        <w:jc w:val="both"/>
        <w:rPr>
          <w:rFonts w:ascii="Arial" w:hAnsi="Arial" w:cs="Arial"/>
        </w:rPr>
      </w:pPr>
      <w:r w:rsidRPr="005978B5">
        <w:rPr>
          <w:rFonts w:ascii="Arial" w:hAnsi="Arial" w:cs="Arial"/>
        </w:rPr>
        <w:t>Although a lot of policy focus has been given to T2DM in the UK, there is an evident evidence gap. There is not yet a single systematic review that has synthesised the socioeconomic, cultural and healthcare system barriers to ethnic minority adults in a single, UK-specific framework. The literature on these areas is based on individual studies</w:t>
      </w:r>
      <w:r w:rsidR="00175BB5" w:rsidRPr="005978B5">
        <w:rPr>
          <w:rFonts w:ascii="Arial" w:hAnsi="Arial" w:cs="Arial"/>
        </w:rPr>
        <w:t>,</w:t>
      </w:r>
      <w:r w:rsidRPr="005978B5">
        <w:rPr>
          <w:rFonts w:ascii="Arial" w:hAnsi="Arial" w:cs="Arial"/>
        </w:rPr>
        <w:t xml:space="preserve"> like cultural barriers through qualitative community research, socioeconomic determinants through epidemiological research, and healthcare system factors through service analysis, but few studies have addressed all three simultaneously. This fragmentation restricts the ability of commissioners and practitioners to come up with effective and fair responses. The Equality Act (2010) puts a legal obligation on the public agencies to make sure that equality of opportunity is fostered and discrimination is prevented. This responsibility is hard to complete without a stringent, incorporated evidence foundation to lead action. This gap is directly addressed by this systematic review</w:t>
      </w:r>
      <w:r w:rsidR="00175BB5" w:rsidRPr="005978B5">
        <w:rPr>
          <w:rFonts w:ascii="Arial" w:hAnsi="Arial" w:cs="Arial"/>
        </w:rPr>
        <w:t>,</w:t>
      </w:r>
      <w:r w:rsidRPr="005978B5">
        <w:rPr>
          <w:rFonts w:ascii="Arial" w:hAnsi="Arial" w:cs="Arial"/>
        </w:rPr>
        <w:t xml:space="preserve"> which </w:t>
      </w:r>
      <w:r w:rsidR="00175BB5" w:rsidRPr="005978B5">
        <w:rPr>
          <w:rFonts w:ascii="Arial" w:hAnsi="Arial" w:cs="Arial"/>
        </w:rPr>
        <w:t>synthesises</w:t>
      </w:r>
      <w:r w:rsidRPr="005978B5">
        <w:rPr>
          <w:rFonts w:ascii="Arial" w:hAnsi="Arial" w:cs="Arial"/>
        </w:rPr>
        <w:t xml:space="preserve"> theoretically informed evidence available on the topic to help inform policy and practice in the UK.</w:t>
      </w:r>
    </w:p>
    <w:p w14:paraId="200B47FE" w14:textId="3E148159" w:rsidR="00EA662D" w:rsidRPr="005978B5" w:rsidRDefault="00AA04B8" w:rsidP="00354518">
      <w:pPr>
        <w:spacing w:line="360" w:lineRule="auto"/>
        <w:jc w:val="both"/>
        <w:rPr>
          <w:rFonts w:ascii="Arial" w:hAnsi="Arial" w:cs="Arial"/>
        </w:rPr>
      </w:pPr>
      <w:r w:rsidRPr="005978B5">
        <w:rPr>
          <w:rFonts w:ascii="Arial" w:hAnsi="Arial" w:cs="Arial"/>
        </w:rPr>
        <w:t xml:space="preserve">The scatter of available evidence in these three areas, which includes socioeconomic, cultural and healthcare system obstacles, implies that commissioners and practitioners do not have a theoretically coherent evidence base on which to base their development of equitable </w:t>
      </w:r>
      <w:r w:rsidRPr="005978B5">
        <w:rPr>
          <w:rFonts w:ascii="Arial" w:hAnsi="Arial" w:cs="Arial"/>
        </w:rPr>
        <w:lastRenderedPageBreak/>
        <w:t>responses. Prior reviews have considered cultural barriers in South Asian populations (Patel et al., 2015b), structural barriers to NHS DPP uptake (Barron et al., 2018; Howarth et al., 2020) and inequities in the healthcare system (Mathur et al., 2020), but none have conducted a synthesis of all three areas on the same framework in the UK-specific context. This gap is filled by this review.</w:t>
      </w:r>
    </w:p>
    <w:p w14:paraId="042FA630" w14:textId="77777777" w:rsidR="007D286C" w:rsidRPr="005978B5" w:rsidRDefault="007D286C" w:rsidP="00354518">
      <w:pPr>
        <w:pStyle w:val="Heading2"/>
        <w:spacing w:line="360" w:lineRule="auto"/>
        <w:jc w:val="both"/>
        <w:rPr>
          <w:rFonts w:ascii="Arial" w:hAnsi="Arial" w:cs="Arial"/>
          <w:sz w:val="22"/>
        </w:rPr>
      </w:pPr>
      <w:bookmarkStart w:id="8" w:name="_Toc232173663"/>
      <w:r w:rsidRPr="005978B5">
        <w:rPr>
          <w:rFonts w:ascii="Arial" w:hAnsi="Arial" w:cs="Arial"/>
          <w:sz w:val="22"/>
        </w:rPr>
        <w:t>1.3 Aim</w:t>
      </w:r>
      <w:bookmarkEnd w:id="8"/>
    </w:p>
    <w:p w14:paraId="330721E8" w14:textId="7190D850" w:rsidR="007D286C" w:rsidRPr="005978B5" w:rsidRDefault="00AA04B8" w:rsidP="00354518">
      <w:pPr>
        <w:spacing w:line="360" w:lineRule="auto"/>
        <w:jc w:val="both"/>
        <w:rPr>
          <w:rFonts w:ascii="Arial" w:hAnsi="Arial" w:cs="Arial"/>
        </w:rPr>
      </w:pPr>
      <w:r w:rsidRPr="005978B5">
        <w:rPr>
          <w:rFonts w:ascii="Arial" w:hAnsi="Arial" w:cs="Arial"/>
        </w:rPr>
        <w:t>This dissertation will explore the obstacles to prevention and management of Type 2 diabetes among the ethnic minority population in the United Kingdom in the context of socioeconomic and cultural and healthcare systems</w:t>
      </w:r>
      <w:r w:rsidR="00175BB5" w:rsidRPr="005978B5">
        <w:rPr>
          <w:rFonts w:ascii="Arial" w:hAnsi="Arial" w:cs="Arial"/>
        </w:rPr>
        <w:t>,</w:t>
      </w:r>
      <w:r w:rsidRPr="005978B5">
        <w:rPr>
          <w:rFonts w:ascii="Arial" w:hAnsi="Arial" w:cs="Arial"/>
        </w:rPr>
        <w:t xml:space="preserve"> and explore how these obstacles can be used to affect the health outcomes of this population.</w:t>
      </w:r>
    </w:p>
    <w:p w14:paraId="33AC8A0A" w14:textId="77777777" w:rsidR="007D286C" w:rsidRPr="005978B5" w:rsidRDefault="007D286C" w:rsidP="00354518">
      <w:pPr>
        <w:pStyle w:val="Heading2"/>
        <w:spacing w:line="360" w:lineRule="auto"/>
        <w:jc w:val="both"/>
        <w:rPr>
          <w:rFonts w:ascii="Arial" w:hAnsi="Arial" w:cs="Arial"/>
          <w:sz w:val="22"/>
        </w:rPr>
      </w:pPr>
      <w:bookmarkStart w:id="9" w:name="_Toc232173664"/>
      <w:r w:rsidRPr="005978B5">
        <w:rPr>
          <w:rFonts w:ascii="Arial" w:hAnsi="Arial" w:cs="Arial"/>
          <w:sz w:val="22"/>
        </w:rPr>
        <w:t>1.4 Objectives</w:t>
      </w:r>
      <w:bookmarkEnd w:id="9"/>
    </w:p>
    <w:p w14:paraId="7D38636B" w14:textId="29A5900E" w:rsidR="007D286C" w:rsidRPr="005978B5" w:rsidRDefault="007C2F5E" w:rsidP="00354518">
      <w:pPr>
        <w:spacing w:line="360" w:lineRule="auto"/>
        <w:jc w:val="both"/>
        <w:rPr>
          <w:rFonts w:ascii="Arial" w:hAnsi="Arial" w:cs="Arial"/>
        </w:rPr>
      </w:pPr>
      <w:r w:rsidRPr="005978B5">
        <w:rPr>
          <w:rStyle w:val="Emphasis"/>
          <w:rFonts w:ascii="Arial" w:hAnsi="Arial" w:cs="Arial"/>
        </w:rPr>
        <w:t>The four objectives that directed the review are:</w:t>
      </w:r>
    </w:p>
    <w:p w14:paraId="774AEC24" w14:textId="6AC2B7CE" w:rsidR="007D286C" w:rsidRPr="005978B5" w:rsidRDefault="007D286C" w:rsidP="00354518">
      <w:pPr>
        <w:spacing w:line="360" w:lineRule="auto"/>
        <w:ind w:left="720" w:hanging="360"/>
        <w:jc w:val="both"/>
        <w:rPr>
          <w:rFonts w:ascii="Arial" w:hAnsi="Arial" w:cs="Arial"/>
        </w:rPr>
      </w:pPr>
      <w:r w:rsidRPr="005978B5">
        <w:rPr>
          <w:rFonts w:ascii="Arial" w:hAnsi="Arial" w:cs="Arial"/>
        </w:rPr>
        <w:t xml:space="preserve">1.  </w:t>
      </w:r>
      <w:r w:rsidR="00AA04B8" w:rsidRPr="005978B5">
        <w:rPr>
          <w:rFonts w:ascii="Arial" w:hAnsi="Arial" w:cs="Arial"/>
        </w:rPr>
        <w:t>To determine and synthesise the socioeconomic, cultural and healthcare system obstacles that affect the prevention and management of T2DM among ethnic minority adults in the UK.</w:t>
      </w:r>
    </w:p>
    <w:p w14:paraId="10520D0E" w14:textId="528490DC" w:rsidR="007D286C" w:rsidRPr="005978B5" w:rsidRDefault="007D286C" w:rsidP="00354518">
      <w:pPr>
        <w:spacing w:line="360" w:lineRule="auto"/>
        <w:ind w:left="720" w:hanging="360"/>
        <w:jc w:val="both"/>
        <w:rPr>
          <w:rFonts w:ascii="Arial" w:hAnsi="Arial" w:cs="Arial"/>
        </w:rPr>
      </w:pPr>
      <w:r w:rsidRPr="005978B5">
        <w:rPr>
          <w:rFonts w:ascii="Arial" w:hAnsi="Arial" w:cs="Arial"/>
        </w:rPr>
        <w:t xml:space="preserve">2.  </w:t>
      </w:r>
      <w:r w:rsidR="00AA04B8" w:rsidRPr="005978B5">
        <w:rPr>
          <w:rFonts w:ascii="Arial" w:hAnsi="Arial" w:cs="Arial"/>
        </w:rPr>
        <w:t>To explore whether these barriers affect the access to prevention services, the management programmes usage, and adherence to the recommended health behaviours.</w:t>
      </w:r>
    </w:p>
    <w:p w14:paraId="36CB7BD2" w14:textId="3E86947E" w:rsidR="007D286C" w:rsidRPr="005978B5" w:rsidRDefault="007D286C" w:rsidP="00354518">
      <w:pPr>
        <w:spacing w:line="360" w:lineRule="auto"/>
        <w:ind w:left="720" w:hanging="360"/>
        <w:jc w:val="both"/>
        <w:rPr>
          <w:rFonts w:ascii="Arial" w:hAnsi="Arial" w:cs="Arial"/>
        </w:rPr>
      </w:pPr>
      <w:r w:rsidRPr="005978B5">
        <w:rPr>
          <w:rFonts w:ascii="Arial" w:hAnsi="Arial" w:cs="Arial"/>
        </w:rPr>
        <w:t xml:space="preserve">3.  </w:t>
      </w:r>
      <w:r w:rsidR="00AA04B8" w:rsidRPr="005978B5">
        <w:rPr>
          <w:rFonts w:ascii="Arial" w:hAnsi="Arial" w:cs="Arial"/>
        </w:rPr>
        <w:t>To examine the effects of identified barriers on the most important health outcomes, such as the glycaemic control, complication levels and programme effectiveness.</w:t>
      </w:r>
    </w:p>
    <w:p w14:paraId="375A07CC" w14:textId="54E5E5DD" w:rsidR="007D286C" w:rsidRPr="005978B5" w:rsidRDefault="007D286C" w:rsidP="00354518">
      <w:pPr>
        <w:spacing w:line="360" w:lineRule="auto"/>
        <w:ind w:left="720" w:hanging="360"/>
        <w:jc w:val="both"/>
        <w:rPr>
          <w:rFonts w:ascii="Arial" w:hAnsi="Arial" w:cs="Arial"/>
        </w:rPr>
      </w:pPr>
      <w:r w:rsidRPr="005978B5">
        <w:rPr>
          <w:rFonts w:ascii="Arial" w:hAnsi="Arial" w:cs="Arial"/>
        </w:rPr>
        <w:t xml:space="preserve">4.  </w:t>
      </w:r>
      <w:r w:rsidR="00AA04B8" w:rsidRPr="005978B5">
        <w:rPr>
          <w:rFonts w:ascii="Arial" w:hAnsi="Arial" w:cs="Arial"/>
        </w:rPr>
        <w:t>To detect gaps in the existing evidence base and come up with evidence-based suggestions on how to develop culturally responsive and equitable approaches to T2DM prevention and management.</w:t>
      </w:r>
    </w:p>
    <w:p w14:paraId="13E9F527" w14:textId="77777777" w:rsidR="007D286C" w:rsidRPr="005978B5" w:rsidRDefault="007D286C" w:rsidP="00354518">
      <w:pPr>
        <w:spacing w:line="360" w:lineRule="auto"/>
        <w:jc w:val="both"/>
        <w:rPr>
          <w:rFonts w:ascii="Arial" w:hAnsi="Arial" w:cs="Arial"/>
        </w:rPr>
      </w:pPr>
    </w:p>
    <w:p w14:paraId="116E9D0E" w14:textId="77777777" w:rsidR="007D286C" w:rsidRPr="005978B5" w:rsidRDefault="007D286C" w:rsidP="00354518">
      <w:pPr>
        <w:pStyle w:val="Heading2"/>
        <w:spacing w:line="360" w:lineRule="auto"/>
        <w:jc w:val="both"/>
        <w:rPr>
          <w:rFonts w:ascii="Arial" w:hAnsi="Arial" w:cs="Arial"/>
          <w:sz w:val="22"/>
        </w:rPr>
      </w:pPr>
      <w:bookmarkStart w:id="10" w:name="_Toc232173665"/>
      <w:r w:rsidRPr="005978B5">
        <w:rPr>
          <w:rFonts w:ascii="Arial" w:hAnsi="Arial" w:cs="Arial"/>
          <w:sz w:val="22"/>
        </w:rPr>
        <w:t>1.5 Structure of the Dissertation</w:t>
      </w:r>
      <w:bookmarkEnd w:id="10"/>
    </w:p>
    <w:p w14:paraId="5B8BEB4A" w14:textId="6101660A" w:rsidR="007D286C" w:rsidRPr="005978B5" w:rsidRDefault="00AA04B8" w:rsidP="00354518">
      <w:pPr>
        <w:spacing w:line="360" w:lineRule="auto"/>
        <w:jc w:val="both"/>
        <w:rPr>
          <w:rFonts w:ascii="Arial" w:hAnsi="Arial" w:cs="Arial"/>
        </w:rPr>
      </w:pPr>
      <w:r w:rsidRPr="005978B5">
        <w:rPr>
          <w:rFonts w:ascii="Arial" w:hAnsi="Arial" w:cs="Arial"/>
        </w:rPr>
        <w:t xml:space="preserve">This is </w:t>
      </w:r>
      <w:r w:rsidR="00175BB5" w:rsidRPr="005978B5">
        <w:rPr>
          <w:rFonts w:ascii="Arial" w:hAnsi="Arial" w:cs="Arial"/>
        </w:rPr>
        <w:t>organised</w:t>
      </w:r>
      <w:r w:rsidRPr="005978B5">
        <w:rPr>
          <w:rFonts w:ascii="Arial" w:hAnsi="Arial" w:cs="Arial"/>
        </w:rPr>
        <w:t xml:space="preserve"> into six chapters in the dissertation. Chapter 2 presents the literature review that gives the context of T2DM within the UK context of the population and healthcare policy, examines the epidemiological evidence about ethnic minority populations and presents the three theoretical models that will be applied in the analysis. Chapter 3 provides information about the research methodology, such as the PICO-informed search strategy, PRISMA 2020 reporting, inclusion and exclusion criteria, quality appraisal, and discussion of thematic and narrative synthesis. Chapter 4 displays the synthesised results of the 15 incorporated studies </w:t>
      </w:r>
      <w:r w:rsidRPr="005978B5">
        <w:rPr>
          <w:rFonts w:ascii="Arial" w:hAnsi="Arial" w:cs="Arial"/>
        </w:rPr>
        <w:lastRenderedPageBreak/>
        <w:t xml:space="preserve">in a thematic manner under four themes. Chapter 5 discusses findings relative to the three theoretical frameworks developed in Chapter 2, policy implications, methodological strengths and limitations, and a critical reflection on </w:t>
      </w:r>
      <w:r w:rsidR="00862B9C" w:rsidRPr="005978B5">
        <w:rPr>
          <w:rFonts w:ascii="Arial" w:hAnsi="Arial" w:cs="Arial"/>
        </w:rPr>
        <w:t>the module's critical reflection learning outcome</w:t>
      </w:r>
      <w:r w:rsidRPr="005978B5">
        <w:rPr>
          <w:rFonts w:ascii="Arial" w:hAnsi="Arial" w:cs="Arial"/>
        </w:rPr>
        <w:t xml:space="preserve">. The dissertation ends with a synthesis of important findings and six evidence-based recommendations in </w:t>
      </w:r>
      <w:r w:rsidR="00175BB5" w:rsidRPr="005978B5">
        <w:rPr>
          <w:rFonts w:ascii="Arial" w:hAnsi="Arial" w:cs="Arial"/>
        </w:rPr>
        <w:t>Chapter</w:t>
      </w:r>
      <w:r w:rsidRPr="005978B5">
        <w:rPr>
          <w:rFonts w:ascii="Arial" w:hAnsi="Arial" w:cs="Arial"/>
        </w:rPr>
        <w:t xml:space="preserve"> 6.</w:t>
      </w:r>
    </w:p>
    <w:p w14:paraId="32579B18" w14:textId="77777777" w:rsidR="007D286C" w:rsidRPr="005978B5" w:rsidRDefault="007D286C" w:rsidP="00354518">
      <w:pPr>
        <w:spacing w:line="360" w:lineRule="auto"/>
        <w:jc w:val="both"/>
        <w:rPr>
          <w:rFonts w:ascii="Arial" w:hAnsi="Arial" w:cs="Arial"/>
        </w:rPr>
      </w:pPr>
      <w:r w:rsidRPr="005978B5">
        <w:rPr>
          <w:rFonts w:ascii="Arial" w:hAnsi="Arial" w:cs="Arial"/>
        </w:rPr>
        <w:br w:type="page"/>
      </w:r>
    </w:p>
    <w:p w14:paraId="51F0BBD4" w14:textId="08B56566" w:rsidR="007D286C" w:rsidRPr="005978B5" w:rsidRDefault="007D286C" w:rsidP="00354518">
      <w:pPr>
        <w:pStyle w:val="Heading1"/>
        <w:spacing w:line="360" w:lineRule="auto"/>
        <w:jc w:val="both"/>
        <w:rPr>
          <w:rFonts w:ascii="Arial" w:hAnsi="Arial" w:cs="Arial"/>
          <w:sz w:val="22"/>
        </w:rPr>
      </w:pPr>
      <w:bookmarkStart w:id="11" w:name="_Toc232173666"/>
      <w:r w:rsidRPr="005978B5">
        <w:rPr>
          <w:rFonts w:ascii="Arial" w:hAnsi="Arial" w:cs="Arial"/>
          <w:sz w:val="22"/>
        </w:rPr>
        <w:lastRenderedPageBreak/>
        <w:t>CHAPTER 2: LITERATURE REVIEW</w:t>
      </w:r>
      <w:bookmarkEnd w:id="11"/>
    </w:p>
    <w:p w14:paraId="1B62A1B7" w14:textId="77777777" w:rsidR="007D286C" w:rsidRPr="005978B5" w:rsidRDefault="007D286C" w:rsidP="00354518">
      <w:pPr>
        <w:pStyle w:val="Heading2"/>
        <w:spacing w:line="360" w:lineRule="auto"/>
        <w:jc w:val="both"/>
        <w:rPr>
          <w:rFonts w:ascii="Arial" w:hAnsi="Arial" w:cs="Arial"/>
          <w:sz w:val="22"/>
        </w:rPr>
      </w:pPr>
      <w:bookmarkStart w:id="12" w:name="_Toc232173667"/>
      <w:r w:rsidRPr="005978B5">
        <w:rPr>
          <w:rFonts w:ascii="Arial" w:hAnsi="Arial" w:cs="Arial"/>
          <w:sz w:val="22"/>
        </w:rPr>
        <w:t>2.1 Global Burden of Type 2 Diabetes Mellitus</w:t>
      </w:r>
      <w:bookmarkEnd w:id="12"/>
    </w:p>
    <w:p w14:paraId="5D3939D9" w14:textId="40377052" w:rsidR="007D286C" w:rsidRPr="005978B5" w:rsidRDefault="00FC1B52" w:rsidP="00354518">
      <w:pPr>
        <w:spacing w:line="360" w:lineRule="auto"/>
        <w:jc w:val="both"/>
        <w:rPr>
          <w:rFonts w:ascii="Arial" w:hAnsi="Arial" w:cs="Arial"/>
        </w:rPr>
      </w:pPr>
      <w:r w:rsidRPr="005978B5">
        <w:rPr>
          <w:rFonts w:ascii="Arial" w:hAnsi="Arial" w:cs="Arial"/>
        </w:rPr>
        <w:t xml:space="preserve">Type 2 diabetes mellitus is one of the typical public health problems in the twenty-first century. In 2021, the number of adults aged 20 to 79 with diabetes worldwide </w:t>
      </w:r>
      <w:r w:rsidR="00175BB5" w:rsidRPr="005978B5">
        <w:rPr>
          <w:rFonts w:ascii="Arial" w:hAnsi="Arial" w:cs="Arial"/>
        </w:rPr>
        <w:t>was</w:t>
      </w:r>
      <w:r w:rsidRPr="005978B5">
        <w:rPr>
          <w:rFonts w:ascii="Arial" w:hAnsi="Arial" w:cs="Arial"/>
        </w:rPr>
        <w:t xml:space="preserve"> estimated to be 537 million - a number projected to increase to 783 million by 2045, with approximately 6.7 million deaths related to diabetes, and USD 966 billion directly attributed to health expenditure by 2021 (Sun et al., 2022; International Diabetes Federation, 2021). T2DM causes about 90 per cent of the total cases, which presents a heavy and growing burden on the health systems, economies and individuals throughout the world. The prevalence of diabetes has also been confirmed to have increased more than 2 times over 30 years (between 1990 and 2021) by the ageing population, the rapid urbanisation and modifiable risk factors like physical inactivity, unhealthy dietary patterns and obesity, verified by a 2021 study, the Global Burden of Disease Study 2021, which was based on the data of 204 countries (GBD 2021 Diabetes Collaborators, 2023).</w:t>
      </w:r>
    </w:p>
    <w:p w14:paraId="776D1E9C" w14:textId="5A11BE8B" w:rsidR="007D286C" w:rsidRPr="005978B5" w:rsidRDefault="00FC1B52" w:rsidP="00354518">
      <w:pPr>
        <w:spacing w:line="360" w:lineRule="auto"/>
        <w:jc w:val="both"/>
        <w:rPr>
          <w:rFonts w:ascii="Arial" w:hAnsi="Arial" w:cs="Arial"/>
        </w:rPr>
      </w:pPr>
      <w:r w:rsidRPr="005978B5">
        <w:rPr>
          <w:rFonts w:ascii="Arial" w:hAnsi="Arial" w:cs="Arial"/>
        </w:rPr>
        <w:t xml:space="preserve">T2DM is a policy problem in the United Kingdom with an urgent need to change. Recalculated cost-of-illness estimates the cost of diabetes in the UK to be almost £14 billion annually, which comprises £10.7 billion that is directly spent on </w:t>
      </w:r>
      <w:r w:rsidR="00175BB5" w:rsidRPr="005978B5">
        <w:rPr>
          <w:rFonts w:ascii="Arial" w:hAnsi="Arial" w:cs="Arial"/>
        </w:rPr>
        <w:t xml:space="preserve">the </w:t>
      </w:r>
      <w:r w:rsidRPr="005978B5">
        <w:rPr>
          <w:rFonts w:ascii="Arial" w:hAnsi="Arial" w:cs="Arial"/>
        </w:rPr>
        <w:t xml:space="preserve">NHS, and the remaining 3.3 billion that is an indirect cost to society, including lost productivity and informal care services, with over 6 billion of that figure attributable to </w:t>
      </w:r>
      <w:r w:rsidR="00EA7BC6" w:rsidRPr="005978B5">
        <w:rPr>
          <w:rFonts w:ascii="Arial" w:hAnsi="Arial" w:cs="Arial"/>
        </w:rPr>
        <w:t>largely preventable complications</w:t>
      </w:r>
      <w:r w:rsidRPr="005978B5">
        <w:rPr>
          <w:rFonts w:ascii="Arial" w:hAnsi="Arial" w:cs="Arial"/>
        </w:rPr>
        <w:t xml:space="preserve"> (Hex et al., 2024). This economic imperative is the foundation of the equity-based prevention campaign that systematically focuses on the groups facing the highest risk of having T2DM, including ethnic minority adults with a disproportionately high burden of the disease that is not well addressed in the existing prevention program.</w:t>
      </w:r>
    </w:p>
    <w:p w14:paraId="303C2C47" w14:textId="77777777" w:rsidR="007D286C" w:rsidRPr="005978B5" w:rsidRDefault="007D286C" w:rsidP="00354518">
      <w:pPr>
        <w:pStyle w:val="Heading2"/>
        <w:spacing w:line="360" w:lineRule="auto"/>
        <w:jc w:val="both"/>
        <w:rPr>
          <w:rFonts w:ascii="Arial" w:hAnsi="Arial" w:cs="Arial"/>
          <w:sz w:val="22"/>
        </w:rPr>
      </w:pPr>
      <w:bookmarkStart w:id="13" w:name="_Toc232173668"/>
      <w:r w:rsidRPr="005978B5">
        <w:rPr>
          <w:rFonts w:ascii="Arial" w:hAnsi="Arial" w:cs="Arial"/>
          <w:sz w:val="22"/>
        </w:rPr>
        <w:t>2.2 Epidemiology of T2DM in Ethnic Minority Populations in the UK</w:t>
      </w:r>
      <w:bookmarkEnd w:id="13"/>
    </w:p>
    <w:p w14:paraId="0F7B5EF6" w14:textId="5EDD959F" w:rsidR="007D286C" w:rsidRPr="005978B5" w:rsidRDefault="00317BAE" w:rsidP="00354518">
      <w:pPr>
        <w:spacing w:line="360" w:lineRule="auto"/>
        <w:jc w:val="both"/>
        <w:rPr>
          <w:rFonts w:ascii="Arial" w:hAnsi="Arial" w:cs="Arial"/>
        </w:rPr>
      </w:pPr>
      <w:r w:rsidRPr="005978B5">
        <w:rPr>
          <w:rFonts w:ascii="Arial" w:hAnsi="Arial" w:cs="Arial"/>
        </w:rPr>
        <w:t xml:space="preserve">Analyses of epidemiological data have revealed that the ethnic minority adults of </w:t>
      </w:r>
      <w:r w:rsidR="00175BB5" w:rsidRPr="005978B5">
        <w:rPr>
          <w:rFonts w:ascii="Arial" w:hAnsi="Arial" w:cs="Arial"/>
        </w:rPr>
        <w:t xml:space="preserve">the </w:t>
      </w:r>
      <w:r w:rsidRPr="005978B5">
        <w:rPr>
          <w:rFonts w:ascii="Arial" w:hAnsi="Arial" w:cs="Arial"/>
        </w:rPr>
        <w:t xml:space="preserve">UK have disproportionately borne the burden of T2DM with </w:t>
      </w:r>
      <w:r w:rsidR="00175BB5" w:rsidRPr="005978B5">
        <w:rPr>
          <w:rFonts w:ascii="Arial" w:hAnsi="Arial" w:cs="Arial"/>
        </w:rPr>
        <w:t xml:space="preserve">a </w:t>
      </w:r>
      <w:r w:rsidRPr="005978B5">
        <w:rPr>
          <w:rFonts w:ascii="Arial" w:hAnsi="Arial" w:cs="Arial"/>
        </w:rPr>
        <w:t xml:space="preserve">greater risk that </w:t>
      </w:r>
      <w:r w:rsidR="00175BB5" w:rsidRPr="005978B5">
        <w:rPr>
          <w:rFonts w:ascii="Arial" w:hAnsi="Arial" w:cs="Arial"/>
        </w:rPr>
        <w:t>affects</w:t>
      </w:r>
      <w:r w:rsidRPr="005978B5">
        <w:rPr>
          <w:rFonts w:ascii="Arial" w:hAnsi="Arial" w:cs="Arial"/>
        </w:rPr>
        <w:t xml:space="preserve"> the incidence, age at onset, complication rates and treatment equity. The South Asian adults are two or four times more likely to develop T2DM and do it ten to twelve years earlier and at a much lower body mass index - </w:t>
      </w:r>
      <w:r w:rsidR="00354518" w:rsidRPr="005978B5">
        <w:rPr>
          <w:rFonts w:ascii="Arial" w:hAnsi="Arial" w:cs="Arial"/>
        </w:rPr>
        <w:t>a fact that has been used to inform revised NHS referral guidance</w:t>
      </w:r>
      <w:r w:rsidRPr="005978B5">
        <w:rPr>
          <w:rFonts w:ascii="Arial" w:hAnsi="Arial" w:cs="Arial"/>
        </w:rPr>
        <w:t xml:space="preserve"> </w:t>
      </w:r>
      <w:r w:rsidR="009B385E" w:rsidRPr="005978B5">
        <w:rPr>
          <w:rFonts w:ascii="Arial" w:hAnsi="Arial" w:cs="Arial"/>
        </w:rPr>
        <w:t xml:space="preserve">(Goff, 2019; Goff et al., 2020a; </w:t>
      </w:r>
      <w:proofErr w:type="spellStart"/>
      <w:r w:rsidR="009B385E" w:rsidRPr="005978B5">
        <w:rPr>
          <w:rFonts w:ascii="Arial" w:hAnsi="Arial" w:cs="Arial"/>
        </w:rPr>
        <w:t>Caleyachetty</w:t>
      </w:r>
      <w:proofErr w:type="spellEnd"/>
      <w:r w:rsidR="009B385E" w:rsidRPr="005978B5">
        <w:rPr>
          <w:rFonts w:ascii="Arial" w:hAnsi="Arial" w:cs="Arial"/>
        </w:rPr>
        <w:t xml:space="preserve"> et al., 2021)</w:t>
      </w:r>
      <w:r w:rsidRPr="005978B5">
        <w:rPr>
          <w:rFonts w:ascii="Arial" w:hAnsi="Arial" w:cs="Arial"/>
        </w:rPr>
        <w:t xml:space="preserve">. </w:t>
      </w:r>
      <w:r w:rsidR="00354518" w:rsidRPr="005978B5">
        <w:rPr>
          <w:rFonts w:ascii="Arial" w:hAnsi="Arial" w:cs="Arial"/>
        </w:rPr>
        <w:t>Further SABRE cohort data</w:t>
      </w:r>
      <w:r w:rsidRPr="005978B5">
        <w:rPr>
          <w:rFonts w:ascii="Arial" w:hAnsi="Arial" w:cs="Arial"/>
        </w:rPr>
        <w:t xml:space="preserve"> show that about half of South Asian and African-Caribbean men develop diabetes before 80 years of age, versus about 20% of White European men (</w:t>
      </w:r>
      <w:proofErr w:type="spellStart"/>
      <w:r w:rsidRPr="005978B5">
        <w:rPr>
          <w:rFonts w:ascii="Arial" w:hAnsi="Arial" w:cs="Arial"/>
        </w:rPr>
        <w:t>Tillin</w:t>
      </w:r>
      <w:proofErr w:type="spellEnd"/>
      <w:r w:rsidRPr="005978B5">
        <w:rPr>
          <w:rFonts w:ascii="Arial" w:hAnsi="Arial" w:cs="Arial"/>
        </w:rPr>
        <w:t xml:space="preserve"> et al., 2013). The analysis of 108,514 NHS Health </w:t>
      </w:r>
      <w:r w:rsidR="00175BB5" w:rsidRPr="005978B5">
        <w:rPr>
          <w:rFonts w:ascii="Arial" w:hAnsi="Arial" w:cs="Arial"/>
        </w:rPr>
        <w:t>Check attendees</w:t>
      </w:r>
      <w:r w:rsidRPr="005978B5">
        <w:rPr>
          <w:rFonts w:ascii="Arial" w:hAnsi="Arial" w:cs="Arial"/>
        </w:rPr>
        <w:t xml:space="preserve"> in Birmingham showed that South Asian ethnicity (prevalence odds ratio 5.43) and Black ethnicity (prevalence odds ratio 3.15) were significantly and independently associated with the risk of T2DM, despite full correction of the socioeconomic deprivation </w:t>
      </w:r>
      <w:r w:rsidRPr="005978B5">
        <w:rPr>
          <w:rFonts w:ascii="Arial" w:hAnsi="Arial" w:cs="Arial"/>
        </w:rPr>
        <w:lastRenderedPageBreak/>
        <w:t>factor(Au-Yeung et al., 2024). The UK Biobank analysis also indicates that the actionable HbA1c ranges are much more prevalent in South Asian and Black adults compared to White Europeans, which implies that the problem of inaction in the early diagnosis of glycaemic dysregulation is permitting it to exert its effects at a population level without being detected (Anderson et al., 2021).</w:t>
      </w:r>
    </w:p>
    <w:p w14:paraId="551DD8F4" w14:textId="230D116A" w:rsidR="006343D6" w:rsidRPr="005978B5" w:rsidRDefault="006343D6" w:rsidP="00705F84">
      <w:pPr>
        <w:pStyle w:val="Caption"/>
        <w:keepNext/>
        <w:jc w:val="center"/>
        <w:rPr>
          <w:rFonts w:ascii="Arial" w:hAnsi="Arial" w:cs="Arial"/>
          <w:sz w:val="22"/>
          <w:szCs w:val="22"/>
        </w:rPr>
      </w:pPr>
      <w:bookmarkStart w:id="14" w:name="_Toc231680686"/>
      <w:r w:rsidRPr="005978B5">
        <w:rPr>
          <w:rFonts w:ascii="Arial" w:hAnsi="Arial" w:cs="Arial"/>
          <w:sz w:val="22"/>
          <w:szCs w:val="22"/>
        </w:rPr>
        <w:t xml:space="preserve">Table 2. </w:t>
      </w:r>
      <w:r w:rsidRPr="005978B5">
        <w:rPr>
          <w:rFonts w:ascii="Arial" w:hAnsi="Arial" w:cs="Arial"/>
          <w:sz w:val="22"/>
          <w:szCs w:val="22"/>
        </w:rPr>
        <w:fldChar w:fldCharType="begin"/>
      </w:r>
      <w:r w:rsidRPr="005978B5">
        <w:rPr>
          <w:rFonts w:ascii="Arial" w:hAnsi="Arial" w:cs="Arial"/>
          <w:sz w:val="22"/>
          <w:szCs w:val="22"/>
        </w:rPr>
        <w:instrText xml:space="preserve"> SEQ Table_2. \* ARABIC </w:instrText>
      </w:r>
      <w:r w:rsidRPr="005978B5">
        <w:rPr>
          <w:rFonts w:ascii="Arial" w:hAnsi="Arial" w:cs="Arial"/>
          <w:sz w:val="22"/>
          <w:szCs w:val="22"/>
        </w:rPr>
        <w:fldChar w:fldCharType="separate"/>
      </w:r>
      <w:r w:rsidRPr="005978B5">
        <w:rPr>
          <w:rFonts w:ascii="Arial" w:hAnsi="Arial" w:cs="Arial"/>
          <w:noProof/>
          <w:sz w:val="22"/>
          <w:szCs w:val="22"/>
        </w:rPr>
        <w:t>1</w:t>
      </w:r>
      <w:r w:rsidRPr="005978B5">
        <w:rPr>
          <w:rFonts w:ascii="Arial" w:hAnsi="Arial" w:cs="Arial"/>
          <w:noProof/>
          <w:sz w:val="22"/>
          <w:szCs w:val="22"/>
        </w:rPr>
        <w:fldChar w:fldCharType="end"/>
      </w:r>
      <w:r w:rsidR="00705F84" w:rsidRPr="005978B5">
        <w:rPr>
          <w:rFonts w:ascii="Arial" w:hAnsi="Arial" w:cs="Arial"/>
          <w:sz w:val="22"/>
          <w:szCs w:val="22"/>
        </w:rPr>
        <w:t xml:space="preserve"> Comparative T2DM Risk Profile by Ethnic Group in the UK</w:t>
      </w:r>
      <w:bookmarkEnd w:id="1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1700"/>
        <w:gridCol w:w="1780"/>
        <w:gridCol w:w="1560"/>
        <w:gridCol w:w="1826"/>
      </w:tblGrid>
      <w:tr w:rsidR="00144F46" w:rsidRPr="005978B5" w14:paraId="6AA81A7E" w14:textId="77777777" w:rsidTr="003C477A">
        <w:trPr>
          <w:tblHeader/>
        </w:trPr>
        <w:tc>
          <w:tcPr>
            <w:tcW w:w="2160" w:type="dxa"/>
            <w:shd w:val="clear" w:color="auto" w:fill="0D2B4E"/>
            <w:tcMar>
              <w:top w:w="90" w:type="dxa"/>
              <w:left w:w="150" w:type="dxa"/>
              <w:bottom w:w="90" w:type="dxa"/>
              <w:right w:w="150" w:type="dxa"/>
            </w:tcMar>
            <w:vAlign w:val="center"/>
          </w:tcPr>
          <w:p w14:paraId="1996ABB1"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FFFFFF"/>
              </w:rPr>
              <w:t>Ethnic Group</w:t>
            </w:r>
          </w:p>
        </w:tc>
        <w:tc>
          <w:tcPr>
            <w:tcW w:w="1700" w:type="dxa"/>
            <w:shd w:val="clear" w:color="auto" w:fill="0D2B4E"/>
            <w:tcMar>
              <w:top w:w="90" w:type="dxa"/>
              <w:left w:w="150" w:type="dxa"/>
              <w:bottom w:w="90" w:type="dxa"/>
              <w:right w:w="150" w:type="dxa"/>
            </w:tcMar>
            <w:vAlign w:val="center"/>
          </w:tcPr>
          <w:p w14:paraId="444560A5"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FFFFFF"/>
              </w:rPr>
              <w:t>T2DM Risk vs White British</w:t>
            </w:r>
          </w:p>
        </w:tc>
        <w:tc>
          <w:tcPr>
            <w:tcW w:w="1780" w:type="dxa"/>
            <w:shd w:val="clear" w:color="auto" w:fill="0D2B4E"/>
            <w:tcMar>
              <w:top w:w="90" w:type="dxa"/>
              <w:left w:w="150" w:type="dxa"/>
              <w:bottom w:w="90" w:type="dxa"/>
              <w:right w:w="150" w:type="dxa"/>
            </w:tcMar>
            <w:vAlign w:val="center"/>
          </w:tcPr>
          <w:p w14:paraId="34996E63"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FFFFFF"/>
              </w:rPr>
              <w:t>Age at Onset</w:t>
            </w:r>
          </w:p>
        </w:tc>
        <w:tc>
          <w:tcPr>
            <w:tcW w:w="1560" w:type="dxa"/>
            <w:shd w:val="clear" w:color="auto" w:fill="0D2B4E"/>
            <w:tcMar>
              <w:top w:w="90" w:type="dxa"/>
              <w:left w:w="150" w:type="dxa"/>
              <w:bottom w:w="90" w:type="dxa"/>
              <w:right w:w="150" w:type="dxa"/>
            </w:tcMar>
            <w:vAlign w:val="center"/>
          </w:tcPr>
          <w:p w14:paraId="7D2C9AA3"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FFFFFF"/>
              </w:rPr>
              <w:t>BMI Threshold for T2DM Risk</w:t>
            </w:r>
          </w:p>
        </w:tc>
        <w:tc>
          <w:tcPr>
            <w:tcW w:w="1826" w:type="dxa"/>
            <w:shd w:val="clear" w:color="auto" w:fill="0D2B4E"/>
            <w:tcMar>
              <w:top w:w="90" w:type="dxa"/>
              <w:left w:w="150" w:type="dxa"/>
              <w:bottom w:w="90" w:type="dxa"/>
              <w:right w:w="150" w:type="dxa"/>
            </w:tcMar>
            <w:vAlign w:val="center"/>
          </w:tcPr>
          <w:p w14:paraId="333554C7"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FFFFFF"/>
              </w:rPr>
              <w:t>Key Source(s)</w:t>
            </w:r>
          </w:p>
        </w:tc>
      </w:tr>
      <w:tr w:rsidR="00144F46" w:rsidRPr="005978B5" w14:paraId="6F501B84" w14:textId="77777777" w:rsidTr="003C477A">
        <w:tc>
          <w:tcPr>
            <w:tcW w:w="2160" w:type="dxa"/>
            <w:shd w:val="clear" w:color="auto" w:fill="FFFFFF"/>
            <w:tcMar>
              <w:top w:w="90" w:type="dxa"/>
              <w:left w:w="150" w:type="dxa"/>
              <w:bottom w:w="90" w:type="dxa"/>
              <w:right w:w="150" w:type="dxa"/>
            </w:tcMar>
          </w:tcPr>
          <w:p w14:paraId="0EF79A49"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111827"/>
              </w:rPr>
              <w:t>White British (reference)</w:t>
            </w:r>
          </w:p>
        </w:tc>
        <w:tc>
          <w:tcPr>
            <w:tcW w:w="1700" w:type="dxa"/>
            <w:shd w:val="clear" w:color="auto" w:fill="FFFFFF"/>
            <w:tcMar>
              <w:top w:w="90" w:type="dxa"/>
              <w:left w:w="150" w:type="dxa"/>
              <w:bottom w:w="90" w:type="dxa"/>
              <w:right w:w="150" w:type="dxa"/>
            </w:tcMar>
          </w:tcPr>
          <w:p w14:paraId="4BE69DCA"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Reference group</w:t>
            </w:r>
          </w:p>
        </w:tc>
        <w:tc>
          <w:tcPr>
            <w:tcW w:w="1780" w:type="dxa"/>
            <w:shd w:val="clear" w:color="auto" w:fill="FFFFFF"/>
            <w:tcMar>
              <w:top w:w="90" w:type="dxa"/>
              <w:left w:w="150" w:type="dxa"/>
              <w:bottom w:w="90" w:type="dxa"/>
              <w:right w:w="150" w:type="dxa"/>
            </w:tcMar>
          </w:tcPr>
          <w:p w14:paraId="69401BDB"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Reference</w:t>
            </w:r>
          </w:p>
        </w:tc>
        <w:tc>
          <w:tcPr>
            <w:tcW w:w="1560" w:type="dxa"/>
            <w:shd w:val="clear" w:color="auto" w:fill="FFFFFF"/>
            <w:tcMar>
              <w:top w:w="90" w:type="dxa"/>
              <w:left w:w="150" w:type="dxa"/>
              <w:bottom w:w="90" w:type="dxa"/>
              <w:right w:w="150" w:type="dxa"/>
            </w:tcMar>
          </w:tcPr>
          <w:p w14:paraId="5B7999B7"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30.0 kg/m²</w:t>
            </w:r>
          </w:p>
        </w:tc>
        <w:tc>
          <w:tcPr>
            <w:tcW w:w="1826" w:type="dxa"/>
            <w:shd w:val="clear" w:color="auto" w:fill="FFFFFF"/>
            <w:tcMar>
              <w:top w:w="90" w:type="dxa"/>
              <w:left w:w="150" w:type="dxa"/>
              <w:bottom w:w="90" w:type="dxa"/>
              <w:right w:w="150" w:type="dxa"/>
            </w:tcMar>
          </w:tcPr>
          <w:p w14:paraId="630AF6AB" w14:textId="77777777" w:rsidR="006343D6" w:rsidRPr="005978B5" w:rsidRDefault="006343D6" w:rsidP="003C477A">
            <w:pPr>
              <w:spacing w:line="240" w:lineRule="auto"/>
              <w:rPr>
                <w:rFonts w:ascii="Arial" w:hAnsi="Arial" w:cs="Arial"/>
              </w:rPr>
            </w:pPr>
            <w:proofErr w:type="spellStart"/>
            <w:r w:rsidRPr="005978B5">
              <w:rPr>
                <w:rFonts w:ascii="Arial" w:eastAsia="Arial" w:hAnsi="Arial" w:cs="Arial"/>
                <w:color w:val="111827"/>
              </w:rPr>
              <w:t>Caleyachetty</w:t>
            </w:r>
            <w:proofErr w:type="spellEnd"/>
            <w:r w:rsidRPr="005978B5">
              <w:rPr>
                <w:rFonts w:ascii="Arial" w:eastAsia="Arial" w:hAnsi="Arial" w:cs="Arial"/>
                <w:color w:val="111827"/>
              </w:rPr>
              <w:t xml:space="preserve"> et al. (2021)</w:t>
            </w:r>
          </w:p>
        </w:tc>
      </w:tr>
      <w:tr w:rsidR="00144F46" w:rsidRPr="005978B5" w14:paraId="02600CA1" w14:textId="77777777" w:rsidTr="003C477A">
        <w:tc>
          <w:tcPr>
            <w:tcW w:w="2160" w:type="dxa"/>
            <w:shd w:val="clear" w:color="auto" w:fill="EDF2F7"/>
            <w:tcMar>
              <w:top w:w="90" w:type="dxa"/>
              <w:left w:w="150" w:type="dxa"/>
              <w:bottom w:w="90" w:type="dxa"/>
              <w:right w:w="150" w:type="dxa"/>
            </w:tcMar>
          </w:tcPr>
          <w:p w14:paraId="13D9445A"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111827"/>
              </w:rPr>
              <w:t>Black African / Caribbean</w:t>
            </w:r>
          </w:p>
        </w:tc>
        <w:tc>
          <w:tcPr>
            <w:tcW w:w="1700" w:type="dxa"/>
            <w:shd w:val="clear" w:color="auto" w:fill="EDF2F7"/>
            <w:tcMar>
              <w:top w:w="90" w:type="dxa"/>
              <w:left w:w="150" w:type="dxa"/>
              <w:bottom w:w="90" w:type="dxa"/>
              <w:right w:w="150" w:type="dxa"/>
            </w:tcMar>
          </w:tcPr>
          <w:p w14:paraId="111FEE37"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BF360C"/>
              </w:rPr>
              <w:t>2–3× higher risk</w:t>
            </w:r>
          </w:p>
        </w:tc>
        <w:tc>
          <w:tcPr>
            <w:tcW w:w="1780" w:type="dxa"/>
            <w:shd w:val="clear" w:color="auto" w:fill="EDF2F7"/>
            <w:tcMar>
              <w:top w:w="90" w:type="dxa"/>
              <w:left w:w="150" w:type="dxa"/>
              <w:bottom w:w="90" w:type="dxa"/>
              <w:right w:w="150" w:type="dxa"/>
            </w:tcMar>
          </w:tcPr>
          <w:p w14:paraId="11026C54"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Earlier than White British</w:t>
            </w:r>
          </w:p>
        </w:tc>
        <w:tc>
          <w:tcPr>
            <w:tcW w:w="1560" w:type="dxa"/>
            <w:shd w:val="clear" w:color="auto" w:fill="EDF2F7"/>
            <w:tcMar>
              <w:top w:w="90" w:type="dxa"/>
              <w:left w:w="150" w:type="dxa"/>
              <w:bottom w:w="90" w:type="dxa"/>
              <w:right w:w="150" w:type="dxa"/>
            </w:tcMar>
          </w:tcPr>
          <w:p w14:paraId="25029CC6"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28.1 kg/m²</w:t>
            </w:r>
          </w:p>
        </w:tc>
        <w:tc>
          <w:tcPr>
            <w:tcW w:w="1826" w:type="dxa"/>
            <w:shd w:val="clear" w:color="auto" w:fill="EDF2F7"/>
            <w:tcMar>
              <w:top w:w="90" w:type="dxa"/>
              <w:left w:w="150" w:type="dxa"/>
              <w:bottom w:w="90" w:type="dxa"/>
              <w:right w:w="150" w:type="dxa"/>
            </w:tcMar>
          </w:tcPr>
          <w:p w14:paraId="70450BA1"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 xml:space="preserve">Goff (2019); </w:t>
            </w:r>
            <w:proofErr w:type="spellStart"/>
            <w:r w:rsidRPr="005978B5">
              <w:rPr>
                <w:rFonts w:ascii="Arial" w:eastAsia="Arial" w:hAnsi="Arial" w:cs="Arial"/>
                <w:color w:val="111827"/>
              </w:rPr>
              <w:t>Caleyachetty</w:t>
            </w:r>
            <w:proofErr w:type="spellEnd"/>
            <w:r w:rsidRPr="005978B5">
              <w:rPr>
                <w:rFonts w:ascii="Arial" w:eastAsia="Arial" w:hAnsi="Arial" w:cs="Arial"/>
                <w:color w:val="111827"/>
              </w:rPr>
              <w:t xml:space="preserve"> et al. (2021)</w:t>
            </w:r>
          </w:p>
        </w:tc>
      </w:tr>
      <w:tr w:rsidR="00144F46" w:rsidRPr="005978B5" w14:paraId="2A26DD07" w14:textId="77777777" w:rsidTr="003C477A">
        <w:tc>
          <w:tcPr>
            <w:tcW w:w="2160" w:type="dxa"/>
            <w:shd w:val="clear" w:color="auto" w:fill="FFFFFF"/>
            <w:tcMar>
              <w:top w:w="90" w:type="dxa"/>
              <w:left w:w="150" w:type="dxa"/>
              <w:bottom w:w="90" w:type="dxa"/>
              <w:right w:w="150" w:type="dxa"/>
            </w:tcMar>
          </w:tcPr>
          <w:p w14:paraId="4AE18747"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111827"/>
              </w:rPr>
              <w:t>South Asian (Indian, Pakistani, Bangladeshi)</w:t>
            </w:r>
          </w:p>
        </w:tc>
        <w:tc>
          <w:tcPr>
            <w:tcW w:w="1700" w:type="dxa"/>
            <w:shd w:val="clear" w:color="auto" w:fill="FFFFFF"/>
            <w:tcMar>
              <w:top w:w="90" w:type="dxa"/>
              <w:left w:w="150" w:type="dxa"/>
              <w:bottom w:w="90" w:type="dxa"/>
              <w:right w:w="150" w:type="dxa"/>
            </w:tcMar>
          </w:tcPr>
          <w:p w14:paraId="490F851C"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B71C1C"/>
              </w:rPr>
              <w:t>2–4× higher risk</w:t>
            </w:r>
          </w:p>
        </w:tc>
        <w:tc>
          <w:tcPr>
            <w:tcW w:w="1780" w:type="dxa"/>
            <w:shd w:val="clear" w:color="auto" w:fill="FFFFFF"/>
            <w:tcMar>
              <w:top w:w="90" w:type="dxa"/>
              <w:left w:w="150" w:type="dxa"/>
              <w:bottom w:w="90" w:type="dxa"/>
              <w:right w:w="150" w:type="dxa"/>
            </w:tcMar>
          </w:tcPr>
          <w:p w14:paraId="73726699"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B71C1C"/>
              </w:rPr>
              <w:t>10–12 years earlier</w:t>
            </w:r>
          </w:p>
        </w:tc>
        <w:tc>
          <w:tcPr>
            <w:tcW w:w="1560" w:type="dxa"/>
            <w:shd w:val="clear" w:color="auto" w:fill="FFFFFF"/>
            <w:tcMar>
              <w:top w:w="90" w:type="dxa"/>
              <w:left w:w="150" w:type="dxa"/>
              <w:bottom w:w="90" w:type="dxa"/>
              <w:right w:w="150" w:type="dxa"/>
            </w:tcMar>
          </w:tcPr>
          <w:p w14:paraId="06D6FD36"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23.9 kg/m²</w:t>
            </w:r>
          </w:p>
        </w:tc>
        <w:tc>
          <w:tcPr>
            <w:tcW w:w="1826" w:type="dxa"/>
            <w:shd w:val="clear" w:color="auto" w:fill="FFFFFF"/>
            <w:tcMar>
              <w:top w:w="90" w:type="dxa"/>
              <w:left w:w="150" w:type="dxa"/>
              <w:bottom w:w="90" w:type="dxa"/>
              <w:right w:w="150" w:type="dxa"/>
            </w:tcMar>
          </w:tcPr>
          <w:p w14:paraId="00BCBD63"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 xml:space="preserve">Goff (2019); </w:t>
            </w:r>
            <w:proofErr w:type="spellStart"/>
            <w:r w:rsidRPr="005978B5">
              <w:rPr>
                <w:rFonts w:ascii="Arial" w:eastAsia="Arial" w:hAnsi="Arial" w:cs="Arial"/>
                <w:color w:val="111827"/>
              </w:rPr>
              <w:t>Caleyachetty</w:t>
            </w:r>
            <w:proofErr w:type="spellEnd"/>
            <w:r w:rsidRPr="005978B5">
              <w:rPr>
                <w:rFonts w:ascii="Arial" w:eastAsia="Arial" w:hAnsi="Arial" w:cs="Arial"/>
                <w:color w:val="111827"/>
              </w:rPr>
              <w:t xml:space="preserve"> et al. (2021); </w:t>
            </w:r>
            <w:proofErr w:type="spellStart"/>
            <w:r w:rsidRPr="005978B5">
              <w:rPr>
                <w:rFonts w:ascii="Arial" w:eastAsia="Arial" w:hAnsi="Arial" w:cs="Arial"/>
                <w:color w:val="111827"/>
              </w:rPr>
              <w:t>Tillin</w:t>
            </w:r>
            <w:proofErr w:type="spellEnd"/>
            <w:r w:rsidRPr="005978B5">
              <w:rPr>
                <w:rFonts w:ascii="Arial" w:eastAsia="Arial" w:hAnsi="Arial" w:cs="Arial"/>
                <w:color w:val="111827"/>
              </w:rPr>
              <w:t xml:space="preserve"> et al. (2013)</w:t>
            </w:r>
          </w:p>
        </w:tc>
      </w:tr>
      <w:tr w:rsidR="00144F46" w:rsidRPr="005978B5" w14:paraId="26FF2D91" w14:textId="77777777" w:rsidTr="003C477A">
        <w:tc>
          <w:tcPr>
            <w:tcW w:w="9026" w:type="dxa"/>
            <w:gridSpan w:val="5"/>
            <w:shd w:val="clear" w:color="auto" w:fill="E2EAF3"/>
            <w:tcMar>
              <w:top w:w="90" w:type="dxa"/>
              <w:left w:w="150" w:type="dxa"/>
              <w:bottom w:w="90" w:type="dxa"/>
              <w:right w:w="150" w:type="dxa"/>
            </w:tcMar>
          </w:tcPr>
          <w:p w14:paraId="7AF6F628" w14:textId="0C1E325A" w:rsidR="006343D6" w:rsidRPr="005978B5" w:rsidRDefault="006343D6" w:rsidP="003C477A">
            <w:pPr>
              <w:spacing w:line="240" w:lineRule="auto"/>
              <w:rPr>
                <w:rFonts w:ascii="Arial" w:hAnsi="Arial" w:cs="Arial"/>
              </w:rPr>
            </w:pPr>
            <w:r w:rsidRPr="005978B5">
              <w:rPr>
                <w:rFonts w:ascii="Arial" w:eastAsia="Arial" w:hAnsi="Arial" w:cs="Arial"/>
                <w:b/>
                <w:bCs/>
                <w:color w:val="111827"/>
              </w:rPr>
              <w:t xml:space="preserve">NHS Health Check data — Au-Yeung et al. (2024; n = 108,514): </w:t>
            </w:r>
            <w:r w:rsidRPr="005978B5">
              <w:rPr>
                <w:rFonts w:ascii="Arial" w:eastAsia="Arial" w:hAnsi="Arial" w:cs="Arial"/>
                <w:color w:val="374151"/>
              </w:rPr>
              <w:t xml:space="preserve">South Asian prevalence odds ratio = 5.43; Black OR = 3.15 (both independent of and additive to socioeconomic deprivation).  </w:t>
            </w:r>
            <w:r w:rsidRPr="005978B5">
              <w:rPr>
                <w:rFonts w:ascii="Arial" w:eastAsia="Arial" w:hAnsi="Arial" w:cs="Arial"/>
                <w:b/>
                <w:bCs/>
                <w:color w:val="111827"/>
              </w:rPr>
              <w:t xml:space="preserve">UK Biobank — Anderson et al. (2021): </w:t>
            </w:r>
            <w:r w:rsidRPr="005978B5">
              <w:rPr>
                <w:rFonts w:ascii="Arial" w:eastAsia="Arial" w:hAnsi="Arial" w:cs="Arial"/>
                <w:color w:val="374151"/>
              </w:rPr>
              <w:t xml:space="preserve">Actionable HbA1c levels </w:t>
            </w:r>
            <w:r w:rsidR="00F90482">
              <w:rPr>
                <w:rFonts w:ascii="Arial" w:eastAsia="Arial" w:hAnsi="Arial" w:cs="Arial"/>
                <w:color w:val="374151"/>
              </w:rPr>
              <w:t xml:space="preserve">are </w:t>
            </w:r>
            <w:r w:rsidRPr="005978B5">
              <w:rPr>
                <w:rFonts w:ascii="Arial" w:eastAsia="Arial" w:hAnsi="Arial" w:cs="Arial"/>
                <w:color w:val="374151"/>
              </w:rPr>
              <w:t>substantially more prevalent in South Asian and Black adults vs White Europeans — population-level glycaemic inequality.</w:t>
            </w:r>
          </w:p>
        </w:tc>
      </w:tr>
    </w:tbl>
    <w:p w14:paraId="0D42A68F" w14:textId="6B0DC68E" w:rsidR="00705F84" w:rsidRPr="0018147A" w:rsidRDefault="00E05054" w:rsidP="007A05B6">
      <w:pPr>
        <w:spacing w:line="240" w:lineRule="auto"/>
        <w:jc w:val="center"/>
        <w:rPr>
          <w:rFonts w:ascii="Arial" w:hAnsi="Arial" w:cs="Arial"/>
          <w:sz w:val="18"/>
          <w:szCs w:val="18"/>
        </w:rPr>
      </w:pPr>
      <w:r w:rsidRPr="0018147A">
        <w:rPr>
          <w:rFonts w:ascii="Arial" w:hAnsi="Arial" w:cs="Arial"/>
          <w:i/>
          <w:sz w:val="18"/>
          <w:szCs w:val="18"/>
        </w:rPr>
        <w:t xml:space="preserve">Sources: Goff (2019); </w:t>
      </w:r>
      <w:proofErr w:type="spellStart"/>
      <w:r w:rsidRPr="0018147A">
        <w:rPr>
          <w:rFonts w:ascii="Arial" w:hAnsi="Arial" w:cs="Arial"/>
          <w:i/>
          <w:sz w:val="18"/>
          <w:szCs w:val="18"/>
        </w:rPr>
        <w:t>Caleyachetty</w:t>
      </w:r>
      <w:proofErr w:type="spellEnd"/>
      <w:r w:rsidRPr="0018147A">
        <w:rPr>
          <w:rFonts w:ascii="Arial" w:hAnsi="Arial" w:cs="Arial"/>
          <w:i/>
          <w:sz w:val="18"/>
          <w:szCs w:val="18"/>
        </w:rPr>
        <w:t xml:space="preserve"> et al. (2021); </w:t>
      </w:r>
      <w:proofErr w:type="spellStart"/>
      <w:r w:rsidRPr="0018147A">
        <w:rPr>
          <w:rFonts w:ascii="Arial" w:hAnsi="Arial" w:cs="Arial"/>
          <w:i/>
          <w:sz w:val="18"/>
          <w:szCs w:val="18"/>
        </w:rPr>
        <w:t>Tillin</w:t>
      </w:r>
      <w:proofErr w:type="spellEnd"/>
      <w:r w:rsidRPr="0018147A">
        <w:rPr>
          <w:rFonts w:ascii="Arial" w:hAnsi="Arial" w:cs="Arial"/>
          <w:i/>
          <w:sz w:val="18"/>
          <w:szCs w:val="18"/>
        </w:rPr>
        <w:t xml:space="preserve"> et al. (2013); Au-Yeung et al. (2024). BMI thresholds reflect revised NHS referral guidance (NICE PH38, 2012).</w:t>
      </w:r>
    </w:p>
    <w:p w14:paraId="0AF6BB91" w14:textId="3AF429BD" w:rsidR="007D286C" w:rsidRPr="005978B5" w:rsidRDefault="00317BAE" w:rsidP="00354518">
      <w:pPr>
        <w:spacing w:line="360" w:lineRule="auto"/>
        <w:jc w:val="both"/>
        <w:rPr>
          <w:rFonts w:ascii="Arial" w:hAnsi="Arial" w:cs="Arial"/>
        </w:rPr>
      </w:pPr>
      <w:r w:rsidRPr="005978B5">
        <w:rPr>
          <w:rFonts w:ascii="Arial" w:hAnsi="Arial" w:cs="Arial"/>
        </w:rPr>
        <w:t xml:space="preserve">Risk drivers have a complex basis. According to Goff (2019), ethnicities appear to have various pathophysiological risk factors, with South Asian adults being more </w:t>
      </w:r>
      <w:r w:rsidR="00175BB5" w:rsidRPr="005978B5">
        <w:rPr>
          <w:rFonts w:ascii="Arial" w:hAnsi="Arial" w:cs="Arial"/>
        </w:rPr>
        <w:t>centrally</w:t>
      </w:r>
      <w:r w:rsidRPr="005978B5">
        <w:rPr>
          <w:rFonts w:ascii="Arial" w:hAnsi="Arial" w:cs="Arial"/>
        </w:rPr>
        <w:t xml:space="preserve"> obese with less insulin resistance at a lower total body weight</w:t>
      </w:r>
      <w:r w:rsidR="00175BB5" w:rsidRPr="005978B5">
        <w:rPr>
          <w:rFonts w:ascii="Arial" w:hAnsi="Arial" w:cs="Arial"/>
        </w:rPr>
        <w:t>,</w:t>
      </w:r>
      <w:r w:rsidRPr="005978B5">
        <w:rPr>
          <w:rFonts w:ascii="Arial" w:hAnsi="Arial" w:cs="Arial"/>
        </w:rPr>
        <w:t xml:space="preserve"> and Black African-Caribbean having reduced hepatic insulin clearance (breakdown) and altered beta-cell functioning. </w:t>
      </w:r>
      <w:proofErr w:type="spellStart"/>
      <w:r w:rsidRPr="005978B5">
        <w:rPr>
          <w:rFonts w:ascii="Arial" w:hAnsi="Arial" w:cs="Arial"/>
        </w:rPr>
        <w:t>Caleyachetty</w:t>
      </w:r>
      <w:proofErr w:type="spellEnd"/>
      <w:r w:rsidRPr="005978B5">
        <w:rPr>
          <w:rFonts w:ascii="Arial" w:hAnsi="Arial" w:cs="Arial"/>
        </w:rPr>
        <w:t xml:space="preserve"> et al. (2021) have demonstrated that South Asians (23.9 kg/m2) and Blacks (28.1 kg/m2) have a lower BMI risk of developing diabetes than Whites (30.0 kg/m2) do. These physiologic factors do not stand alone </w:t>
      </w:r>
      <w:r w:rsidR="00175BB5" w:rsidRPr="005978B5">
        <w:rPr>
          <w:rFonts w:ascii="Arial" w:hAnsi="Arial" w:cs="Arial"/>
        </w:rPr>
        <w:t>from</w:t>
      </w:r>
      <w:r w:rsidRPr="005978B5">
        <w:rPr>
          <w:rFonts w:ascii="Arial" w:hAnsi="Arial" w:cs="Arial"/>
        </w:rPr>
        <w:t xml:space="preserve"> systemic factors. Mathur et al. (2020) followed up 162,238 patients with incident T2DM in the United Kingdom for 27 years, and showed that ethnic inequities in initiation and escalation of interventions persisted following adjustment for clinical confounding factors; this confirms that systemic factors that influence quality care delivery amplify biological risk factors. Whyte et al. (2019), examining retrospective data for 84,452 adults with T2DM in England, found Black individuals were much less likely to receive annual HbA1c monitoring or </w:t>
      </w:r>
      <w:r w:rsidRPr="005978B5">
        <w:rPr>
          <w:rFonts w:ascii="Arial" w:hAnsi="Arial" w:cs="Arial"/>
        </w:rPr>
        <w:lastRenderedPageBreak/>
        <w:t>prescriptions for newer classes of pharmacological medication, showing that ethnic inequalities act across the entire spectrum from disease prevention to care.</w:t>
      </w:r>
    </w:p>
    <w:p w14:paraId="368665FE" w14:textId="3671B767" w:rsidR="007D286C" w:rsidRPr="005978B5" w:rsidRDefault="00CB2E8D" w:rsidP="00354518">
      <w:pPr>
        <w:spacing w:line="360" w:lineRule="auto"/>
        <w:jc w:val="both"/>
        <w:rPr>
          <w:rFonts w:ascii="Arial" w:hAnsi="Arial" w:cs="Arial"/>
        </w:rPr>
      </w:pPr>
      <w:r w:rsidRPr="005978B5">
        <w:rPr>
          <w:rFonts w:ascii="Arial" w:hAnsi="Arial" w:cs="Arial"/>
        </w:rPr>
        <w:t xml:space="preserve">Of utmost significance to the epidemiology of T2DM in ethnic minorities is the acculturation aspect - the integration of cultural beliefs, feeding habits and health behaviours of an acquiring culture by immigrant individuals over time. Basing their research on UK Biobank data with around 500,000 participants, Farmaki et al. (2022) compared the risk of T2DM between first- and second-generation South Asian and African Caribbean migrants in the UK. Their comparison revealed that the risk of developing T2DM was less among second-generation African Caribbean migrants than first-generation migrants, and that about a quarter of the difference in intergenerational risk was explained by socioeconomic status and body mass index. Above all, the research concluded that a vast majority of intergenerational variations in the risk of T2DM are </w:t>
      </w:r>
      <w:r w:rsidR="00175BB5" w:rsidRPr="005978B5">
        <w:rPr>
          <w:rFonts w:ascii="Arial" w:hAnsi="Arial" w:cs="Arial"/>
        </w:rPr>
        <w:t>environmentally</w:t>
      </w:r>
      <w:r w:rsidRPr="005978B5">
        <w:rPr>
          <w:rFonts w:ascii="Arial" w:hAnsi="Arial" w:cs="Arial"/>
        </w:rPr>
        <w:t xml:space="preserve"> influenced, and not inherently predetermined genetic factors, and it implies that acculturation, dietary change and altered socioeconomic status all play a significant role in moderating the risk of diabetes. It has direct policy implications: The differences in T2DM between communities of ethnic minorities are not biological, but </w:t>
      </w:r>
      <w:r w:rsidR="00175BB5" w:rsidRPr="005978B5">
        <w:rPr>
          <w:rFonts w:ascii="Arial" w:hAnsi="Arial" w:cs="Arial"/>
        </w:rPr>
        <w:t xml:space="preserve">are </w:t>
      </w:r>
      <w:r w:rsidRPr="005978B5">
        <w:rPr>
          <w:rFonts w:ascii="Arial" w:hAnsi="Arial" w:cs="Arial"/>
        </w:rPr>
        <w:t>very prone to change with upstream intervention. It also cautions against over-simplifying: where acculturation is coupled with western food trends, high sugar intake and high intake of processed foods, risk can be sustained or follow patterns other than the first-generation patterns and generation-specific prevention is required.</w:t>
      </w:r>
    </w:p>
    <w:p w14:paraId="5D03A394" w14:textId="77777777" w:rsidR="007D286C" w:rsidRPr="005978B5" w:rsidRDefault="007D286C" w:rsidP="00354518">
      <w:pPr>
        <w:pStyle w:val="Heading2"/>
        <w:spacing w:line="360" w:lineRule="auto"/>
        <w:jc w:val="both"/>
        <w:rPr>
          <w:rFonts w:ascii="Arial" w:hAnsi="Arial" w:cs="Arial"/>
          <w:sz w:val="22"/>
        </w:rPr>
      </w:pPr>
      <w:bookmarkStart w:id="15" w:name="_Toc232173669"/>
      <w:r w:rsidRPr="005978B5">
        <w:rPr>
          <w:rFonts w:ascii="Arial" w:hAnsi="Arial" w:cs="Arial"/>
          <w:sz w:val="22"/>
        </w:rPr>
        <w:t>2.3 Defining Ethnic Minority Groups in the UK Context</w:t>
      </w:r>
      <w:bookmarkEnd w:id="15"/>
    </w:p>
    <w:p w14:paraId="6FA74A97" w14:textId="66D5E4DE" w:rsidR="007D286C" w:rsidRPr="005978B5" w:rsidRDefault="00CB2E8D" w:rsidP="00354518">
      <w:pPr>
        <w:spacing w:line="360" w:lineRule="auto"/>
        <w:jc w:val="both"/>
        <w:rPr>
          <w:rFonts w:ascii="Arial" w:hAnsi="Arial" w:cs="Arial"/>
        </w:rPr>
      </w:pPr>
      <w:r w:rsidRPr="005978B5">
        <w:rPr>
          <w:rFonts w:ascii="Arial" w:hAnsi="Arial" w:cs="Arial"/>
        </w:rPr>
        <w:t>According to the Census 2021, 18.3% of the population is a non-White ethnic group in England and Wales, with 9.3% of the population being Asian or Asian British, 4.0% Black, African, Caribbean or Black British, 2.9% Mixed or Multiple ethnic groups and 2.1% Other ethnic groups (ONS, 2022). This is a significant rise from 14.0% at the 2011 Census, reflecting a shift not consistently matched by service redesign with a cultural focus in primary and secondary care in the National Health Service (NHS).</w:t>
      </w:r>
    </w:p>
    <w:p w14:paraId="7FE57D49" w14:textId="05526CC7" w:rsidR="007D286C" w:rsidRPr="005978B5" w:rsidRDefault="001A0839" w:rsidP="00354518">
      <w:pPr>
        <w:spacing w:line="360" w:lineRule="auto"/>
        <w:jc w:val="both"/>
        <w:rPr>
          <w:rFonts w:ascii="Arial" w:hAnsi="Arial" w:cs="Arial"/>
        </w:rPr>
      </w:pPr>
      <w:r w:rsidRPr="005978B5">
        <w:rPr>
          <w:rFonts w:ascii="Arial" w:hAnsi="Arial" w:cs="Arial"/>
        </w:rPr>
        <w:t>The language that is employed to explain these populations has an analytical and ethical meaning (Milner and Jumbe, 2020).</w:t>
      </w:r>
      <w:r w:rsidR="00CB2E8D" w:rsidRPr="005978B5">
        <w:rPr>
          <w:rFonts w:ascii="Arial" w:hAnsi="Arial" w:cs="Arial"/>
        </w:rPr>
        <w:t xml:space="preserve"> The term ethnic minority is employed in this dissertation as an umbrella term, as the NHS Race and Health Observatory (2021) recommends, to represent the data when there are no group-specific data, and the group-specific terms are employed when the evidence allows the use of such specific terms. Ethnicity is perceived across as Nazroo (2003) believes that it is a relational and dynamic category that is socially constructed rather than a biological characteristic that is inherent and stable. The most important systems of ethnic health disparities are the socioeconomic disadvantage and the implications of racism, a theoretical premise on which the analytical framework of this review </w:t>
      </w:r>
      <w:r w:rsidR="00CB2E8D" w:rsidRPr="005978B5">
        <w:rPr>
          <w:rFonts w:ascii="Arial" w:hAnsi="Arial" w:cs="Arial"/>
        </w:rPr>
        <w:lastRenderedPageBreak/>
        <w:t>is grounded, which has a direct implication on the policy response and design of service interventions, targeting and assessment.</w:t>
      </w:r>
    </w:p>
    <w:p w14:paraId="2204523B" w14:textId="07011D85" w:rsidR="007D286C" w:rsidRPr="005978B5" w:rsidRDefault="00CB2E8D" w:rsidP="00354518">
      <w:pPr>
        <w:spacing w:line="360" w:lineRule="auto"/>
        <w:jc w:val="both"/>
        <w:rPr>
          <w:rFonts w:ascii="Arial" w:hAnsi="Arial" w:cs="Arial"/>
        </w:rPr>
      </w:pPr>
      <w:r w:rsidRPr="005978B5">
        <w:rPr>
          <w:rFonts w:ascii="Arial" w:hAnsi="Arial" w:cs="Arial"/>
        </w:rPr>
        <w:t xml:space="preserve">It must be noted, however, that the overall ethnic categories conceal a lot of internal diversity, which has practical clinical practice and service design implications. As a case in point, within a comparatively homogenous population of South Asians, the prevalence of T2DM and worse glycaemic outcomes </w:t>
      </w:r>
      <w:r w:rsidR="00175BB5" w:rsidRPr="005978B5">
        <w:rPr>
          <w:rFonts w:ascii="Arial" w:hAnsi="Arial" w:cs="Arial"/>
        </w:rPr>
        <w:t>is</w:t>
      </w:r>
      <w:r w:rsidRPr="005978B5">
        <w:rPr>
          <w:rFonts w:ascii="Arial" w:hAnsi="Arial" w:cs="Arial"/>
        </w:rPr>
        <w:t xml:space="preserve"> expected to be more prominent among Bangladeshi and Pakistani populations, compared to Indian populations, which is important as socioeconomic status, diet, and access to healthcare are hidden when the data are reported at the group level (Goff, 2019). Similarly, </w:t>
      </w:r>
      <w:r w:rsidR="00175BB5" w:rsidRPr="005978B5">
        <w:rPr>
          <w:rFonts w:ascii="Arial" w:hAnsi="Arial" w:cs="Arial"/>
        </w:rPr>
        <w:t xml:space="preserve">the </w:t>
      </w:r>
      <w:r w:rsidRPr="005978B5">
        <w:rPr>
          <w:rFonts w:ascii="Arial" w:hAnsi="Arial" w:cs="Arial"/>
        </w:rPr>
        <w:t>Black group comprises African and Caribbean populations that have distinct migration patterns, socioeconomic status and T2DM risk factors. The fast evidence synthesis provided by Kapadia et al. (2022) concluded that ethnic minority groups vary in their inequalities in health between and within each group in a way that cannot always be well-represented in national-level data</w:t>
      </w:r>
      <w:r w:rsidR="003C477A" w:rsidRPr="005978B5">
        <w:rPr>
          <w:rFonts w:ascii="Arial" w:hAnsi="Arial" w:cs="Arial"/>
        </w:rPr>
        <w:t xml:space="preserve"> </w:t>
      </w:r>
      <w:r w:rsidR="001A0839" w:rsidRPr="005978B5">
        <w:rPr>
          <w:rFonts w:ascii="Arial" w:hAnsi="Arial" w:cs="Arial"/>
        </w:rPr>
        <w:t>(Routen et al., 2023).</w:t>
      </w:r>
      <w:r w:rsidR="003C477A" w:rsidRPr="005978B5">
        <w:rPr>
          <w:rFonts w:ascii="Arial" w:hAnsi="Arial" w:cs="Arial"/>
        </w:rPr>
        <w:t xml:space="preserve"> </w:t>
      </w:r>
      <w:r w:rsidRPr="005978B5">
        <w:rPr>
          <w:rFonts w:ascii="Arial" w:hAnsi="Arial" w:cs="Arial"/>
        </w:rPr>
        <w:t>This heterogeneity applies to service design: framed interventions of general ethnic groups are likely to fail to match the cultural, linguistic and socioeconomic particulars of sub-populations to which they are intended to be generalizable. Group-specific results are given in this review</w:t>
      </w:r>
      <w:r w:rsidR="00175BB5" w:rsidRPr="005978B5">
        <w:rPr>
          <w:rFonts w:ascii="Arial" w:hAnsi="Arial" w:cs="Arial"/>
        </w:rPr>
        <w:t>,</w:t>
      </w:r>
      <w:r w:rsidRPr="005978B5">
        <w:rPr>
          <w:rFonts w:ascii="Arial" w:hAnsi="Arial" w:cs="Arial"/>
        </w:rPr>
        <w:t xml:space="preserve"> where it is evident that they can be so; the collective </w:t>
      </w:r>
      <w:proofErr w:type="spellStart"/>
      <w:r w:rsidRPr="005978B5">
        <w:rPr>
          <w:rFonts w:ascii="Arial" w:hAnsi="Arial" w:cs="Arial"/>
        </w:rPr>
        <w:t>termology</w:t>
      </w:r>
      <w:proofErr w:type="spellEnd"/>
      <w:r w:rsidRPr="005978B5">
        <w:rPr>
          <w:rFonts w:ascii="Arial" w:hAnsi="Arial" w:cs="Arial"/>
        </w:rPr>
        <w:t xml:space="preserve"> is only used in cases where the data are not disaggregated further.</w:t>
      </w:r>
    </w:p>
    <w:p w14:paraId="1AD36CE4" w14:textId="77777777" w:rsidR="007D286C" w:rsidRPr="005978B5" w:rsidRDefault="007D286C" w:rsidP="00354518">
      <w:pPr>
        <w:pStyle w:val="Heading2"/>
        <w:spacing w:line="360" w:lineRule="auto"/>
        <w:jc w:val="both"/>
        <w:rPr>
          <w:rFonts w:ascii="Arial" w:hAnsi="Arial" w:cs="Arial"/>
          <w:sz w:val="22"/>
        </w:rPr>
      </w:pPr>
      <w:bookmarkStart w:id="16" w:name="_Toc232173670"/>
      <w:r w:rsidRPr="005978B5">
        <w:rPr>
          <w:rFonts w:ascii="Arial" w:hAnsi="Arial" w:cs="Arial"/>
          <w:sz w:val="22"/>
        </w:rPr>
        <w:t>2.4 UK Policy and Legislative Framework</w:t>
      </w:r>
      <w:bookmarkEnd w:id="16"/>
    </w:p>
    <w:p w14:paraId="3C0516EF" w14:textId="3E4E16F9" w:rsidR="007D286C" w:rsidRPr="005978B5" w:rsidRDefault="00CB2E8D" w:rsidP="00354518">
      <w:pPr>
        <w:spacing w:line="360" w:lineRule="auto"/>
        <w:jc w:val="both"/>
        <w:rPr>
          <w:rFonts w:ascii="Arial" w:hAnsi="Arial" w:cs="Arial"/>
        </w:rPr>
      </w:pPr>
      <w:r w:rsidRPr="005978B5">
        <w:rPr>
          <w:rFonts w:ascii="Arial" w:hAnsi="Arial" w:cs="Arial"/>
        </w:rPr>
        <w:t xml:space="preserve">It is fully encompassed in a policy and legislative framework governing the prevention and treatment of T2DM in the ethnic minority groups in the UK. The Equality Act (2010) provides a statutory public sector equality duty on NHS organisations to eliminate unlawful discrimination, to advance equality of opportunity and to promote good relations </w:t>
      </w:r>
      <w:r w:rsidR="00175BB5" w:rsidRPr="005978B5">
        <w:rPr>
          <w:rFonts w:ascii="Arial" w:hAnsi="Arial" w:cs="Arial"/>
        </w:rPr>
        <w:t>among</w:t>
      </w:r>
      <w:r w:rsidRPr="005978B5">
        <w:rPr>
          <w:rFonts w:ascii="Arial" w:hAnsi="Arial" w:cs="Arial"/>
        </w:rPr>
        <w:t xml:space="preserve"> the groups</w:t>
      </w:r>
      <w:r w:rsidR="00175BB5" w:rsidRPr="005978B5">
        <w:rPr>
          <w:rFonts w:ascii="Arial" w:hAnsi="Arial" w:cs="Arial"/>
        </w:rPr>
        <w:t>;</w:t>
      </w:r>
      <w:r w:rsidRPr="005978B5">
        <w:rPr>
          <w:rFonts w:ascii="Arial" w:hAnsi="Arial" w:cs="Arial"/>
        </w:rPr>
        <w:t xml:space="preserve"> thus</w:t>
      </w:r>
      <w:r w:rsidR="00175BB5" w:rsidRPr="005978B5">
        <w:rPr>
          <w:rFonts w:ascii="Arial" w:hAnsi="Arial" w:cs="Arial"/>
        </w:rPr>
        <w:t>, documenting</w:t>
      </w:r>
      <w:r w:rsidRPr="005978B5">
        <w:rPr>
          <w:rFonts w:ascii="Arial" w:hAnsi="Arial" w:cs="Arial"/>
        </w:rPr>
        <w:t xml:space="preserve"> ethnic disparities in the T2DM outcomes cannot only be legally important, but also important to the </w:t>
      </w:r>
      <w:r w:rsidR="00175BB5" w:rsidRPr="005978B5">
        <w:rPr>
          <w:rFonts w:ascii="Arial" w:hAnsi="Arial" w:cs="Arial"/>
        </w:rPr>
        <w:t>population's</w:t>
      </w:r>
      <w:r w:rsidRPr="005978B5">
        <w:rPr>
          <w:rFonts w:ascii="Arial" w:hAnsi="Arial" w:cs="Arial"/>
        </w:rPr>
        <w:t xml:space="preserve"> health. NICE guideline PH38 (2012) defines the prevention framework</w:t>
      </w:r>
      <w:r w:rsidR="00175BB5" w:rsidRPr="005978B5">
        <w:rPr>
          <w:rFonts w:ascii="Arial" w:hAnsi="Arial" w:cs="Arial"/>
        </w:rPr>
        <w:t>,</w:t>
      </w:r>
      <w:r w:rsidRPr="005978B5">
        <w:rPr>
          <w:rFonts w:ascii="Arial" w:hAnsi="Arial" w:cs="Arial"/>
        </w:rPr>
        <w:t xml:space="preserve"> including the lower BMI referral thresholds in the South Asian and Black groups. The concept that the risk of diabetes can be six-fold greater in certain ethnic minorities is supported by the guidance of Public Health England (2018), and the structural inequalities that may impede the use of NDPP are outlined. In the NICE guideline NG28 (NICE, 2015), clinical management criteria, such as self-management support and pharmacological escalation pathways, and HbA1c targets, are set.</w:t>
      </w:r>
    </w:p>
    <w:p w14:paraId="2A4D99D4" w14:textId="615E5995" w:rsidR="007D286C" w:rsidRPr="005978B5" w:rsidRDefault="00CB2E8D" w:rsidP="00354518">
      <w:pPr>
        <w:spacing w:line="360" w:lineRule="auto"/>
        <w:jc w:val="both"/>
        <w:rPr>
          <w:rFonts w:ascii="Arial" w:hAnsi="Arial" w:cs="Arial"/>
        </w:rPr>
      </w:pPr>
      <w:r w:rsidRPr="005978B5">
        <w:rPr>
          <w:rFonts w:ascii="Arial" w:hAnsi="Arial" w:cs="Arial"/>
        </w:rPr>
        <w:t xml:space="preserve">The NHS Long Term Plan (NHS England, 2019) promised the NDPP massive growth, and the ethnic minority and deprived populations were the priority populations in five clinical areas named by the framework of Core20PLUS5 (NHS England, 2021). The framework addresses the 20% of the national population that is the most deprived, and specifically identifies ethnic </w:t>
      </w:r>
      <w:r w:rsidRPr="005978B5">
        <w:rPr>
          <w:rFonts w:ascii="Arial" w:hAnsi="Arial" w:cs="Arial"/>
        </w:rPr>
        <w:lastRenderedPageBreak/>
        <w:t>minority groups in the PLUS, and the five clinical areas covered by it are early cancer diagnosis, severe mental illness, chronic respiratory disease, maternity outcomes and cardiovascular disease, of which diabetes prevention and management is integrated (NHS England, 2021). The historic report by Public Health England (2020) on COVID-19 risk and outcomes showed that diabetes was the cause of 21% of all COVID-19 deaths</w:t>
      </w:r>
      <w:r w:rsidR="00175BB5" w:rsidRPr="005978B5">
        <w:rPr>
          <w:rFonts w:ascii="Arial" w:hAnsi="Arial" w:cs="Arial"/>
        </w:rPr>
        <w:t>,</w:t>
      </w:r>
      <w:r w:rsidRPr="005978B5">
        <w:rPr>
          <w:rFonts w:ascii="Arial" w:hAnsi="Arial" w:cs="Arial"/>
        </w:rPr>
        <w:t xml:space="preserve"> and the ethnic groups of Asian (43) and Black (45</w:t>
      </w:r>
      <w:r w:rsidR="00494A52" w:rsidRPr="005978B5">
        <w:rPr>
          <w:rFonts w:ascii="Arial" w:hAnsi="Arial" w:cs="Arial"/>
        </w:rPr>
        <w:t>%</w:t>
      </w:r>
      <w:r w:rsidRPr="005978B5">
        <w:rPr>
          <w:rFonts w:ascii="Arial" w:hAnsi="Arial" w:cs="Arial"/>
        </w:rPr>
        <w:t>) patients had much higher numbers. The rapid evidence review by Kapadia et al. (2022) that included 178 studies confirmed that ethnic inequalities are a problem that is present in all domains of NHS care, and structural, institutional and interpersonal racism are identified as the causes of the problem. The NHS Race and Health Observatory (2021) further reported this, claiming that ethnic minority patients more frequently than White patients state that they had experienced discrimination and disrespect during the NHS setting, which causes a reduction in their uptake of preventive services and therapeutic mistrust during the clinical encounter</w:t>
      </w:r>
      <w:r w:rsidR="001A0839" w:rsidRPr="005978B5">
        <w:rPr>
          <w:rFonts w:ascii="Arial" w:hAnsi="Arial" w:cs="Arial"/>
        </w:rPr>
        <w:t xml:space="preserve"> (Naqvi et al., 2022)</w:t>
      </w:r>
      <w:r w:rsidR="005E259C" w:rsidRPr="005978B5">
        <w:rPr>
          <w:rFonts w:ascii="Arial" w:hAnsi="Arial" w:cs="Arial"/>
        </w:rPr>
        <w:t xml:space="preserve">. </w:t>
      </w:r>
      <w:r w:rsidR="00035495" w:rsidRPr="005978B5">
        <w:rPr>
          <w:rFonts w:ascii="Arial" w:hAnsi="Arial" w:cs="Arial"/>
        </w:rPr>
        <w:t>Diabetes UK (2023)</w:t>
      </w:r>
      <w:r w:rsidRPr="005978B5">
        <w:rPr>
          <w:rFonts w:ascii="Arial" w:hAnsi="Arial" w:cs="Arial"/>
        </w:rPr>
        <w:t xml:space="preserve"> had seven calls to action, including direct acknowledgement of structural racism as a determinant of diabetes outcomes and internalisation of anti-racist service design.</w:t>
      </w:r>
    </w:p>
    <w:p w14:paraId="7E132D08" w14:textId="1C12EE24" w:rsidR="007D286C" w:rsidRPr="005978B5" w:rsidRDefault="00494A52" w:rsidP="00354518">
      <w:pPr>
        <w:spacing w:line="360" w:lineRule="auto"/>
        <w:jc w:val="both"/>
        <w:rPr>
          <w:rFonts w:ascii="Arial" w:hAnsi="Arial" w:cs="Arial"/>
        </w:rPr>
      </w:pPr>
      <w:r w:rsidRPr="005978B5">
        <w:rPr>
          <w:rFonts w:ascii="Arial" w:hAnsi="Arial" w:cs="Arial"/>
        </w:rPr>
        <w:t xml:space="preserve">Despite this extensive architecture being developed, it still has significant gaps between national intent and local implementation. According to the findings of Barron et al. (2018), the completion rate and clinical outcomes of NDPP were lower in the ethnic minority group, whereas a larger number of them had been referred to the program, which is a direct consequence of a failure to implement the program. Valabhji et al. (2020) also discovered that ethnic differences in outcomes existed long ago. Of 43 documents of the strategy by Integrated Care System, Elliott et al. (2025) found that there is a wide range of </w:t>
      </w:r>
      <w:r w:rsidR="00175BB5" w:rsidRPr="005978B5">
        <w:rPr>
          <w:rFonts w:ascii="Arial" w:hAnsi="Arial" w:cs="Arial"/>
        </w:rPr>
        <w:t>differences</w:t>
      </w:r>
      <w:r w:rsidRPr="005978B5">
        <w:rPr>
          <w:rFonts w:ascii="Arial" w:hAnsi="Arial" w:cs="Arial"/>
        </w:rPr>
        <w:t xml:space="preserve"> in local implementation of the principles of Core20PLUS5 - national policy intent is not necessarily being translated into commissioned services. Recommendations in NICE and Core20PLUS5 on reducing BMI cutoffs, culturally-sensitive clinical care and culturally-sensitive education are not always operationalised in primary care, and the disparity in this case disproportionately harms ethnic minorities in underserved areas. These implementation gaps continue to exist, and this is indicative of the fact that policy frameworks that lack a mechanism of accountability that is enforceable and adequate resource allocation </w:t>
      </w:r>
      <w:r w:rsidR="00175BB5" w:rsidRPr="005978B5">
        <w:rPr>
          <w:rFonts w:ascii="Arial" w:hAnsi="Arial" w:cs="Arial"/>
        </w:rPr>
        <w:t>are</w:t>
      </w:r>
      <w:r w:rsidRPr="005978B5">
        <w:rPr>
          <w:rFonts w:ascii="Arial" w:hAnsi="Arial" w:cs="Arial"/>
        </w:rPr>
        <w:t xml:space="preserve"> unable to address structural health inequalities.</w:t>
      </w:r>
    </w:p>
    <w:p w14:paraId="40B39600" w14:textId="77777777" w:rsidR="007D286C" w:rsidRPr="005978B5" w:rsidRDefault="007D286C" w:rsidP="00354518">
      <w:pPr>
        <w:pStyle w:val="Heading2"/>
        <w:spacing w:line="360" w:lineRule="auto"/>
        <w:jc w:val="both"/>
        <w:rPr>
          <w:rFonts w:ascii="Arial" w:hAnsi="Arial" w:cs="Arial"/>
          <w:sz w:val="22"/>
        </w:rPr>
      </w:pPr>
      <w:bookmarkStart w:id="17" w:name="_Toc232173671"/>
      <w:r w:rsidRPr="005978B5">
        <w:rPr>
          <w:rFonts w:ascii="Arial" w:hAnsi="Arial" w:cs="Arial"/>
          <w:sz w:val="22"/>
        </w:rPr>
        <w:t>2.5 Socioeconomic Determinants of T2DM in Ethnic Minority Adults</w:t>
      </w:r>
      <w:bookmarkEnd w:id="17"/>
    </w:p>
    <w:p w14:paraId="448E4ED9" w14:textId="7F48C2AF" w:rsidR="007D286C" w:rsidRPr="005978B5" w:rsidRDefault="00494A52" w:rsidP="00354518">
      <w:pPr>
        <w:spacing w:line="360" w:lineRule="auto"/>
        <w:jc w:val="both"/>
        <w:rPr>
          <w:rFonts w:ascii="Arial" w:hAnsi="Arial" w:cs="Arial"/>
        </w:rPr>
      </w:pPr>
      <w:r w:rsidRPr="005978B5">
        <w:rPr>
          <w:rFonts w:ascii="Arial" w:hAnsi="Arial" w:cs="Arial"/>
        </w:rPr>
        <w:t>Based on the social determinants of health framework elaborated by the World Health Organization (2008) and applied to the UK by Marmot et al. (2010), social, political and economic circumstances under which individuals are born, grow, live, work</w:t>
      </w:r>
      <w:r w:rsidR="00175BB5" w:rsidRPr="005978B5">
        <w:rPr>
          <w:rFonts w:ascii="Arial" w:hAnsi="Arial" w:cs="Arial"/>
        </w:rPr>
        <w:t>,</w:t>
      </w:r>
      <w:r w:rsidRPr="005978B5">
        <w:rPr>
          <w:rFonts w:ascii="Arial" w:hAnsi="Arial" w:cs="Arial"/>
        </w:rPr>
        <w:t xml:space="preserve"> and age are what shape health inequalities. The conditions are not evenly spread among the socioeconomic </w:t>
      </w:r>
      <w:r w:rsidRPr="005978B5">
        <w:rPr>
          <w:rFonts w:ascii="Arial" w:hAnsi="Arial" w:cs="Arial"/>
        </w:rPr>
        <w:lastRenderedPageBreak/>
        <w:t>and ethnic groups, and lead to systematic and preventable health inequalities. The Marmot Review 10 Years On confirmed that these inequalities increased in the years 2010-2020, with ethnic minority groups disproportionately affected by increasing income inequalities and worsening provision of public services (Marmot et al., 2020).</w:t>
      </w:r>
    </w:p>
    <w:p w14:paraId="2273B44C" w14:textId="5368DF66" w:rsidR="007D286C" w:rsidRPr="005978B5" w:rsidRDefault="00494A52" w:rsidP="00354518">
      <w:pPr>
        <w:spacing w:line="360" w:lineRule="auto"/>
        <w:jc w:val="both"/>
        <w:rPr>
          <w:rFonts w:ascii="Arial" w:hAnsi="Arial" w:cs="Arial"/>
        </w:rPr>
      </w:pPr>
      <w:r w:rsidRPr="005978B5">
        <w:rPr>
          <w:rFonts w:ascii="Arial" w:hAnsi="Arial" w:cs="Arial"/>
        </w:rPr>
        <w:t xml:space="preserve">Socioeconomic deprivation is a comorbidity that contributes to the risk of T2DM in ethnic minority groups in </w:t>
      </w:r>
      <w:r w:rsidR="00EA7BC6" w:rsidRPr="005978B5">
        <w:rPr>
          <w:rFonts w:ascii="Arial" w:hAnsi="Arial" w:cs="Arial"/>
        </w:rPr>
        <w:t>several</w:t>
      </w:r>
      <w:r w:rsidRPr="005978B5">
        <w:rPr>
          <w:rFonts w:ascii="Arial" w:hAnsi="Arial" w:cs="Arial"/>
        </w:rPr>
        <w:t xml:space="preserve"> overlapping pathways. </w:t>
      </w:r>
      <w:r w:rsidR="00035495" w:rsidRPr="005978B5">
        <w:rPr>
          <w:rFonts w:ascii="Arial" w:hAnsi="Arial" w:cs="Arial"/>
        </w:rPr>
        <w:t>Au-Yeung et al. (2024) conducted a cross-sectional analysis of NHS Health Check attendees in Birmingham</w:t>
      </w:r>
      <w:r w:rsidRPr="005978B5">
        <w:rPr>
          <w:rFonts w:ascii="Arial" w:hAnsi="Arial" w:cs="Arial"/>
        </w:rPr>
        <w:t xml:space="preserve"> and found that socioeconomic disadvantage, measured with the Index of Multiple Deprivation, and ethnic minority status influenced the risk of T2DM independently and additively, where the measure of deprivation was estimated to account for 64% of diagnosed cases of diabetes. Using UK Biobank data, Nagar et al. (2021) found that the relative effect of socioeconomic deprivation on the risk of T2DM was higher among people of South Asian and African descent compared to people of European descent, and therefore, material disadvantage is further magnified by structural discrimination and racialised poverty. Farmaki et al. (2022) also concluded that socioeconomic deprivation, along with lifestyle issues, which are associated with disadvantage, are significant contributors to risk disparity in T2DM between ethnic minorities and White Europeans and that the risk between generations of immigrants varies with the change in social and economic conditions.</w:t>
      </w:r>
    </w:p>
    <w:p w14:paraId="4BD89CCD" w14:textId="4EAF16A7" w:rsidR="007D286C" w:rsidRPr="005978B5" w:rsidRDefault="00494A52" w:rsidP="00354518">
      <w:pPr>
        <w:spacing w:line="360" w:lineRule="auto"/>
        <w:jc w:val="both"/>
        <w:rPr>
          <w:rFonts w:ascii="Arial" w:hAnsi="Arial" w:cs="Arial"/>
        </w:rPr>
      </w:pPr>
      <w:r w:rsidRPr="005978B5">
        <w:rPr>
          <w:rFonts w:ascii="Arial" w:hAnsi="Arial" w:cs="Arial"/>
        </w:rPr>
        <w:t xml:space="preserve">Food insecurity is a particular type of socioeconomic path to poor metabolic health. The Born in Bradford cohort confirms that ethnic minority women are more susceptible to food insecurity in </w:t>
      </w:r>
      <w:r w:rsidR="00175BB5" w:rsidRPr="005978B5">
        <w:rPr>
          <w:rFonts w:ascii="Arial" w:hAnsi="Arial" w:cs="Arial"/>
        </w:rPr>
        <w:t xml:space="preserve">the </w:t>
      </w:r>
      <w:r w:rsidRPr="005978B5">
        <w:rPr>
          <w:rFonts w:ascii="Arial" w:hAnsi="Arial" w:cs="Arial"/>
        </w:rPr>
        <w:t xml:space="preserve">UK and that it is a distal factor of unsatisfactory metabolic health outcomes (Power et al., 2018). Another structural barrier is low health literacy: the results of the systematic review show that the level of health literacy is significantly lower in ethnic minorities and socioeconomically disadvantaged populations and may serve as a standalone phenomenon that deprives preventive health attendance </w:t>
      </w:r>
      <w:r w:rsidR="00B324F9" w:rsidRPr="005978B5">
        <w:rPr>
          <w:rFonts w:ascii="Arial" w:hAnsi="Arial" w:cs="Arial"/>
        </w:rPr>
        <w:t>(Ismail et al., 2022; Paduch et al., 2017).</w:t>
      </w:r>
      <w:r w:rsidRPr="005978B5">
        <w:rPr>
          <w:rFonts w:ascii="Arial" w:hAnsi="Arial" w:cs="Arial"/>
        </w:rPr>
        <w:t xml:space="preserve"> The precarity of employment- such as low wages, inability to work the hours one wants and in physically strenuous work- further limits the resources and time that are offered to take preventive measures and manage oneself. The comorbidity aspect of mental health is also a risk factor: Ng et al. (2024) found that Asian and Black individuals with T2DM and comorbid depression had significantly different chances of receiving the corresponding treatment in comparison with White individuals with the specified comorbidity, which severely negatively affects the capacity to control the disease and the disease burden as a whole.</w:t>
      </w:r>
    </w:p>
    <w:p w14:paraId="50045277" w14:textId="0EFAE7CC" w:rsidR="007D286C" w:rsidRPr="005978B5" w:rsidRDefault="00494A52" w:rsidP="00354518">
      <w:pPr>
        <w:spacing w:line="360" w:lineRule="auto"/>
        <w:jc w:val="both"/>
        <w:rPr>
          <w:rFonts w:ascii="Arial" w:hAnsi="Arial" w:cs="Arial"/>
        </w:rPr>
      </w:pPr>
      <w:r w:rsidRPr="005978B5">
        <w:rPr>
          <w:rFonts w:ascii="Arial" w:hAnsi="Arial" w:cs="Arial"/>
        </w:rPr>
        <w:t xml:space="preserve">Another structural mechanism is the neighbourhood environment, </w:t>
      </w:r>
      <w:r w:rsidR="00175BB5" w:rsidRPr="005978B5">
        <w:rPr>
          <w:rFonts w:ascii="Arial" w:hAnsi="Arial" w:cs="Arial"/>
        </w:rPr>
        <w:t xml:space="preserve">in </w:t>
      </w:r>
      <w:r w:rsidRPr="005978B5">
        <w:rPr>
          <w:rFonts w:ascii="Arial" w:hAnsi="Arial" w:cs="Arial"/>
        </w:rPr>
        <w:t>which socioeconomic disadvantage can put the ethnic minority populations at risk of T2DM. In the UK, ethnic minority groups are more likely to be found in society</w:t>
      </w:r>
      <w:r w:rsidR="00175BB5" w:rsidRPr="005978B5">
        <w:rPr>
          <w:rFonts w:ascii="Arial" w:hAnsi="Arial" w:cs="Arial"/>
        </w:rPr>
        <w:t>,</w:t>
      </w:r>
      <w:r w:rsidRPr="005978B5">
        <w:rPr>
          <w:rFonts w:ascii="Arial" w:hAnsi="Arial" w:cs="Arial"/>
        </w:rPr>
        <w:t xml:space="preserve"> disadvantaged urban centres with limited </w:t>
      </w:r>
      <w:r w:rsidRPr="005978B5">
        <w:rPr>
          <w:rFonts w:ascii="Arial" w:hAnsi="Arial" w:cs="Arial"/>
        </w:rPr>
        <w:lastRenderedPageBreak/>
        <w:t>exposure to green space and dense housing, limited exposure to affordable healthy foods, and more affected by environmental stressors</w:t>
      </w:r>
      <w:r w:rsidR="00175BB5" w:rsidRPr="005978B5">
        <w:rPr>
          <w:rFonts w:ascii="Arial" w:hAnsi="Arial" w:cs="Arial"/>
        </w:rPr>
        <w:t>,</w:t>
      </w:r>
      <w:r w:rsidRPr="005978B5">
        <w:rPr>
          <w:rFonts w:ascii="Arial" w:hAnsi="Arial" w:cs="Arial"/>
        </w:rPr>
        <w:t xml:space="preserve"> which in itself predisposes individuals to T2DM and </w:t>
      </w:r>
      <w:r w:rsidR="00175BB5" w:rsidRPr="005978B5">
        <w:rPr>
          <w:rFonts w:ascii="Arial" w:hAnsi="Arial" w:cs="Arial"/>
        </w:rPr>
        <w:t>hampers</w:t>
      </w:r>
      <w:r w:rsidRPr="005978B5">
        <w:rPr>
          <w:rFonts w:ascii="Arial" w:hAnsi="Arial" w:cs="Arial"/>
        </w:rPr>
        <w:t xml:space="preserve"> their contribution to the physical activity-based prevention approaches where the NDPP rests (Marmot et al., 2010). This geographical </w:t>
      </w:r>
      <w:r w:rsidR="00175BB5" w:rsidRPr="005978B5">
        <w:rPr>
          <w:rFonts w:ascii="Arial" w:hAnsi="Arial" w:cs="Arial"/>
        </w:rPr>
        <w:t>localisation</w:t>
      </w:r>
      <w:r w:rsidRPr="005978B5">
        <w:rPr>
          <w:rFonts w:ascii="Arial" w:hAnsi="Arial" w:cs="Arial"/>
        </w:rPr>
        <w:t xml:space="preserve"> of disadvantage is not a chance observation but a continuation of previous patterns in housing distribution and access to </w:t>
      </w:r>
      <w:r w:rsidR="00175BB5" w:rsidRPr="005978B5">
        <w:rPr>
          <w:rFonts w:ascii="Arial" w:hAnsi="Arial" w:cs="Arial"/>
        </w:rPr>
        <w:t>job</w:t>
      </w:r>
      <w:r w:rsidRPr="005978B5">
        <w:rPr>
          <w:rFonts w:ascii="Arial" w:hAnsi="Arial" w:cs="Arial"/>
        </w:rPr>
        <w:t xml:space="preserve"> opportunities that </w:t>
      </w:r>
      <w:r w:rsidR="00175BB5" w:rsidRPr="005978B5">
        <w:rPr>
          <w:rFonts w:ascii="Arial" w:hAnsi="Arial" w:cs="Arial"/>
        </w:rPr>
        <w:t>have</w:t>
      </w:r>
      <w:r w:rsidRPr="005978B5">
        <w:rPr>
          <w:rFonts w:ascii="Arial" w:hAnsi="Arial" w:cs="Arial"/>
        </w:rPr>
        <w:t xml:space="preserve"> formed the residential geography of ethnic minority groups within the UK cities. Prevention of the risk of T2DM among ethnic minority adults is thus a disease that should be tackled by interventions that reach into the neighbourhood and built environment, rather than individual clinical risk factors.</w:t>
      </w:r>
    </w:p>
    <w:p w14:paraId="50DC91F2" w14:textId="77777777" w:rsidR="007D286C" w:rsidRPr="005978B5" w:rsidRDefault="007D286C" w:rsidP="00354518">
      <w:pPr>
        <w:pStyle w:val="Heading2"/>
        <w:spacing w:line="360" w:lineRule="auto"/>
        <w:jc w:val="both"/>
        <w:rPr>
          <w:rFonts w:ascii="Arial" w:hAnsi="Arial" w:cs="Arial"/>
          <w:sz w:val="22"/>
        </w:rPr>
      </w:pPr>
      <w:bookmarkStart w:id="18" w:name="_Toc232173672"/>
      <w:r w:rsidRPr="005978B5">
        <w:rPr>
          <w:rFonts w:ascii="Arial" w:hAnsi="Arial" w:cs="Arial"/>
          <w:sz w:val="22"/>
        </w:rPr>
        <w:t>2.6 Cultural Factors Contributing to T2DM Risk and Management</w:t>
      </w:r>
      <w:bookmarkEnd w:id="18"/>
    </w:p>
    <w:p w14:paraId="38D7CE47" w14:textId="45E86092" w:rsidR="007D286C" w:rsidRPr="005978B5" w:rsidRDefault="00B85535" w:rsidP="00354518">
      <w:pPr>
        <w:spacing w:line="360" w:lineRule="auto"/>
        <w:jc w:val="both"/>
        <w:rPr>
          <w:rFonts w:ascii="Arial" w:hAnsi="Arial" w:cs="Arial"/>
        </w:rPr>
      </w:pPr>
      <w:r w:rsidRPr="005978B5">
        <w:rPr>
          <w:rFonts w:ascii="Arial" w:hAnsi="Arial" w:cs="Arial"/>
        </w:rPr>
        <w:t>Along with socioeconomic factors</w:t>
      </w:r>
      <w:r w:rsidR="00175BB5" w:rsidRPr="005978B5">
        <w:rPr>
          <w:rFonts w:ascii="Arial" w:hAnsi="Arial" w:cs="Arial"/>
        </w:rPr>
        <w:t>,</w:t>
      </w:r>
      <w:r w:rsidRPr="005978B5">
        <w:rPr>
          <w:rFonts w:ascii="Arial" w:hAnsi="Arial" w:cs="Arial"/>
        </w:rPr>
        <w:t xml:space="preserve"> which may affect the risk of T2DM and the effectiveness of prevention and control interventions in comparison with ethnic minority adults, the cultural factor plays </w:t>
      </w:r>
      <w:r w:rsidR="00175BB5" w:rsidRPr="005978B5">
        <w:rPr>
          <w:rFonts w:ascii="Arial" w:hAnsi="Arial" w:cs="Arial"/>
        </w:rPr>
        <w:t>a</w:t>
      </w:r>
      <w:r w:rsidRPr="005978B5">
        <w:rPr>
          <w:rFonts w:ascii="Arial" w:hAnsi="Arial" w:cs="Arial"/>
        </w:rPr>
        <w:t xml:space="preserve"> role </w:t>
      </w:r>
      <w:r w:rsidR="00175BB5" w:rsidRPr="005978B5">
        <w:rPr>
          <w:rFonts w:ascii="Arial" w:hAnsi="Arial" w:cs="Arial"/>
        </w:rPr>
        <w:t>in</w:t>
      </w:r>
      <w:r w:rsidRPr="005978B5">
        <w:rPr>
          <w:rFonts w:ascii="Arial" w:hAnsi="Arial" w:cs="Arial"/>
        </w:rPr>
        <w:t xml:space="preserve"> the risk development as well as the effectiveness of interventions. Traditional South Asian diets, with a higher intake of refined carbohydrates, ghee and foods with a high GI, and those of West Africa and the Caribbean</w:t>
      </w:r>
      <w:r w:rsidR="00175BB5" w:rsidRPr="005978B5">
        <w:rPr>
          <w:rFonts w:ascii="Arial" w:hAnsi="Arial" w:cs="Arial"/>
        </w:rPr>
        <w:t>,</w:t>
      </w:r>
      <w:r w:rsidRPr="005978B5">
        <w:rPr>
          <w:rFonts w:ascii="Arial" w:hAnsi="Arial" w:cs="Arial"/>
        </w:rPr>
        <w:t xml:space="preserve"> with a higher intake of starchy foods</w:t>
      </w:r>
      <w:r w:rsidR="00175BB5" w:rsidRPr="005978B5">
        <w:rPr>
          <w:rFonts w:ascii="Arial" w:hAnsi="Arial" w:cs="Arial"/>
        </w:rPr>
        <w:t>,</w:t>
      </w:r>
      <w:r w:rsidRPr="005978B5">
        <w:rPr>
          <w:rFonts w:ascii="Arial" w:hAnsi="Arial" w:cs="Arial"/>
        </w:rPr>
        <w:t xml:space="preserve"> are associated with a higher risk of T2DM. However, the cultural identity, religious practice, continuation and social ritual between generations, and the conventional dietary guidance that is given without any cultural overlay </w:t>
      </w:r>
      <w:r w:rsidR="00175BB5" w:rsidRPr="005978B5">
        <w:rPr>
          <w:rFonts w:ascii="Arial" w:hAnsi="Arial" w:cs="Arial"/>
        </w:rPr>
        <w:t>instil</w:t>
      </w:r>
      <w:r w:rsidRPr="005978B5">
        <w:rPr>
          <w:rFonts w:ascii="Arial" w:hAnsi="Arial" w:cs="Arial"/>
        </w:rPr>
        <w:t xml:space="preserve"> these trends, which </w:t>
      </w:r>
      <w:r w:rsidR="00175BB5" w:rsidRPr="005978B5">
        <w:rPr>
          <w:rFonts w:ascii="Arial" w:hAnsi="Arial" w:cs="Arial"/>
        </w:rPr>
        <w:t>render</w:t>
      </w:r>
      <w:r w:rsidRPr="005978B5">
        <w:rPr>
          <w:rFonts w:ascii="Arial" w:hAnsi="Arial" w:cs="Arial"/>
        </w:rPr>
        <w:t xml:space="preserve"> such conventional dietary guidance largely ineffective and unappealing (Patel et al., 2017; Iqbal, 2023). Suggestions that exclude culturally significant foods and fail to provide culturally relevant options bring about disengagement and disruption of therapeutic relationships </w:t>
      </w:r>
      <w:r w:rsidR="005E259C" w:rsidRPr="005978B5">
        <w:rPr>
          <w:rFonts w:ascii="Arial" w:hAnsi="Arial" w:cs="Arial"/>
        </w:rPr>
        <w:t xml:space="preserve">(Goff et al., 2020b; </w:t>
      </w:r>
      <w:proofErr w:type="spellStart"/>
      <w:r w:rsidR="005E259C" w:rsidRPr="005978B5">
        <w:rPr>
          <w:rFonts w:ascii="Arial" w:hAnsi="Arial" w:cs="Arial"/>
        </w:rPr>
        <w:t>Puzhakkal</w:t>
      </w:r>
      <w:proofErr w:type="spellEnd"/>
      <w:r w:rsidR="005E259C" w:rsidRPr="005978B5">
        <w:rPr>
          <w:rFonts w:ascii="Arial" w:hAnsi="Arial" w:cs="Arial"/>
        </w:rPr>
        <w:t xml:space="preserve"> et al., 2025).</w:t>
      </w:r>
    </w:p>
    <w:p w14:paraId="4A1139B5" w14:textId="47E3704D" w:rsidR="007D286C" w:rsidRPr="005978B5" w:rsidRDefault="00B85535" w:rsidP="00354518">
      <w:pPr>
        <w:spacing w:line="360" w:lineRule="auto"/>
        <w:jc w:val="both"/>
        <w:rPr>
          <w:rFonts w:ascii="Arial" w:hAnsi="Arial" w:cs="Arial"/>
        </w:rPr>
      </w:pPr>
      <w:r w:rsidRPr="005978B5">
        <w:rPr>
          <w:rFonts w:ascii="Arial" w:hAnsi="Arial" w:cs="Arial"/>
        </w:rPr>
        <w:t xml:space="preserve">The cultural patterns of physical activity and gender roles are combined with the family needs and physical environment of the deprived urban localities to limit access to the exercise-based prevention measures. The T2DM therapy with primary care guidelines </w:t>
      </w:r>
      <w:r w:rsidR="00175BB5" w:rsidRPr="005978B5">
        <w:rPr>
          <w:rFonts w:ascii="Arial" w:hAnsi="Arial" w:cs="Arial"/>
        </w:rPr>
        <w:t xml:space="preserve">is </w:t>
      </w:r>
      <w:r w:rsidRPr="005978B5">
        <w:rPr>
          <w:rFonts w:ascii="Arial" w:hAnsi="Arial" w:cs="Arial"/>
        </w:rPr>
        <w:t>generally poorly equipped to address clinically and medically relevant issues</w:t>
      </w:r>
      <w:r w:rsidR="00175BB5" w:rsidRPr="005978B5">
        <w:rPr>
          <w:rFonts w:ascii="Arial" w:hAnsi="Arial" w:cs="Arial"/>
        </w:rPr>
        <w:t>, including the occurrence of religion</w:t>
      </w:r>
      <w:r w:rsidRPr="005978B5">
        <w:rPr>
          <w:rFonts w:ascii="Arial" w:hAnsi="Arial" w:cs="Arial"/>
        </w:rPr>
        <w:t xml:space="preserve"> and Ramadan fasting among Muslim communities </w:t>
      </w:r>
      <w:r w:rsidR="005E259C" w:rsidRPr="005978B5">
        <w:rPr>
          <w:rFonts w:ascii="Arial" w:hAnsi="Arial" w:cs="Arial"/>
        </w:rPr>
        <w:t>(Patel et al., 2015a; Hanif et al., 2020; Ahmed et al., 2020)</w:t>
      </w:r>
      <w:r w:rsidRPr="005978B5">
        <w:rPr>
          <w:rFonts w:ascii="Arial" w:hAnsi="Arial" w:cs="Arial"/>
        </w:rPr>
        <w:t xml:space="preserve">. Medicated by attribution of illness and explanatory models, healthcare can be based on cultural and spiritual attributions of the causes of diabetes, including beliefs in divine will, karma or ancestral forces, which have been reported among South Asian and Black African-Caribbean </w:t>
      </w:r>
      <w:r w:rsidR="004D17BA" w:rsidRPr="005978B5">
        <w:rPr>
          <w:rFonts w:ascii="Arial" w:hAnsi="Arial" w:cs="Arial"/>
        </w:rPr>
        <w:t>populations</w:t>
      </w:r>
      <w:r w:rsidRPr="005978B5">
        <w:rPr>
          <w:rFonts w:ascii="Arial" w:hAnsi="Arial" w:cs="Arial"/>
        </w:rPr>
        <w:t xml:space="preserve"> and reduced perceived agency to influence disease progression and motivate self-management.</w:t>
      </w:r>
    </w:p>
    <w:p w14:paraId="4CE0B2E6" w14:textId="4CCC825C" w:rsidR="007D286C" w:rsidRPr="005978B5" w:rsidRDefault="00B85535" w:rsidP="00354518">
      <w:pPr>
        <w:spacing w:line="360" w:lineRule="auto"/>
        <w:jc w:val="both"/>
        <w:rPr>
          <w:rFonts w:ascii="Arial" w:hAnsi="Arial" w:cs="Arial"/>
        </w:rPr>
      </w:pPr>
      <w:r w:rsidRPr="005978B5">
        <w:rPr>
          <w:rFonts w:ascii="Arial" w:hAnsi="Arial" w:cs="Arial"/>
        </w:rPr>
        <w:t xml:space="preserve">Another cultural barrier is stigma related to a diagnosis of T2DM. The participants of the South Asian cohort in this research were afraid of the social stigma of diagnosis (the possible impact on the marriage prospects, the role of the family in the community and reputation) and </w:t>
      </w:r>
      <w:r w:rsidRPr="005978B5">
        <w:rPr>
          <w:rFonts w:ascii="Arial" w:hAnsi="Arial" w:cs="Arial"/>
        </w:rPr>
        <w:lastRenderedPageBreak/>
        <w:t xml:space="preserve">preferred to conceal their diagnosis and avoid using the formal services, thereby </w:t>
      </w:r>
      <w:r w:rsidR="00175BB5" w:rsidRPr="005978B5">
        <w:rPr>
          <w:rFonts w:ascii="Arial" w:hAnsi="Arial" w:cs="Arial"/>
        </w:rPr>
        <w:t>minimising</w:t>
      </w:r>
      <w:r w:rsidRPr="005978B5">
        <w:rPr>
          <w:rFonts w:ascii="Arial" w:hAnsi="Arial" w:cs="Arial"/>
        </w:rPr>
        <w:t xml:space="preserve"> the help-seeking and access to peer support </w:t>
      </w:r>
      <w:r w:rsidR="00035495" w:rsidRPr="005978B5">
        <w:rPr>
          <w:rFonts w:ascii="Arial" w:hAnsi="Arial" w:cs="Arial"/>
        </w:rPr>
        <w:t>networks (</w:t>
      </w:r>
      <w:proofErr w:type="spellStart"/>
      <w:r w:rsidR="00035495" w:rsidRPr="005978B5">
        <w:rPr>
          <w:rFonts w:ascii="Arial" w:hAnsi="Arial" w:cs="Arial"/>
        </w:rPr>
        <w:t>Pardhan</w:t>
      </w:r>
      <w:proofErr w:type="spellEnd"/>
      <w:r w:rsidR="00B324F9" w:rsidRPr="005978B5">
        <w:rPr>
          <w:rFonts w:ascii="Arial" w:hAnsi="Arial" w:cs="Arial"/>
        </w:rPr>
        <w:t xml:space="preserve"> et al., 2020; Singh et al., 2012)</w:t>
      </w:r>
      <w:r w:rsidRPr="005978B5">
        <w:rPr>
          <w:rFonts w:ascii="Arial" w:hAnsi="Arial" w:cs="Arial"/>
        </w:rPr>
        <w:t>. This increasing number of barriers is augmented by language barriers: older adults of South Asian origin, who report a worse level of English speaking</w:t>
      </w:r>
      <w:r w:rsidR="00175BB5" w:rsidRPr="005978B5">
        <w:rPr>
          <w:rFonts w:ascii="Arial" w:hAnsi="Arial" w:cs="Arial"/>
        </w:rPr>
        <w:t>,</w:t>
      </w:r>
      <w:r w:rsidRPr="005978B5">
        <w:rPr>
          <w:rFonts w:ascii="Arial" w:hAnsi="Arial" w:cs="Arial"/>
        </w:rPr>
        <w:t xml:space="preserve"> also report a greater number of barriers to seeking diabetes-related information and to meaningfully participating in clinical visits, which is supported by national data that language barriers reduce the quality and equity of </w:t>
      </w:r>
      <w:r w:rsidR="00035495" w:rsidRPr="005978B5">
        <w:rPr>
          <w:rFonts w:ascii="Arial" w:hAnsi="Arial" w:cs="Arial"/>
        </w:rPr>
        <w:t>diabetes care (Lloyd</w:t>
      </w:r>
      <w:r w:rsidR="00B324F9" w:rsidRPr="005978B5">
        <w:rPr>
          <w:rFonts w:ascii="Arial" w:hAnsi="Arial" w:cs="Arial"/>
        </w:rPr>
        <w:t xml:space="preserve"> et al., 2018; Seale et al., 2013)</w:t>
      </w:r>
      <w:r w:rsidRPr="005978B5">
        <w:rPr>
          <w:rFonts w:ascii="Arial" w:hAnsi="Arial" w:cs="Arial"/>
        </w:rPr>
        <w:t xml:space="preserve">. </w:t>
      </w:r>
    </w:p>
    <w:p w14:paraId="633C079B" w14:textId="77777777" w:rsidR="007D286C" w:rsidRPr="005978B5" w:rsidRDefault="007D286C" w:rsidP="00354518">
      <w:pPr>
        <w:pStyle w:val="Heading2"/>
        <w:spacing w:line="360" w:lineRule="auto"/>
        <w:jc w:val="both"/>
        <w:rPr>
          <w:rFonts w:ascii="Arial" w:hAnsi="Arial" w:cs="Arial"/>
          <w:sz w:val="22"/>
        </w:rPr>
      </w:pPr>
      <w:bookmarkStart w:id="19" w:name="_Toc232173673"/>
      <w:r w:rsidRPr="005978B5">
        <w:rPr>
          <w:rFonts w:ascii="Arial" w:hAnsi="Arial" w:cs="Arial"/>
          <w:sz w:val="22"/>
        </w:rPr>
        <w:t>2.7 Theoretical Frameworks</w:t>
      </w:r>
      <w:bookmarkEnd w:id="19"/>
    </w:p>
    <w:p w14:paraId="10FCAE49" w14:textId="51E5FA04" w:rsidR="007D286C" w:rsidRPr="005978B5" w:rsidRDefault="00B85535" w:rsidP="00354518">
      <w:pPr>
        <w:spacing w:line="360" w:lineRule="auto"/>
        <w:jc w:val="both"/>
        <w:rPr>
          <w:rFonts w:ascii="Arial" w:hAnsi="Arial" w:cs="Arial"/>
        </w:rPr>
      </w:pPr>
      <w:r w:rsidRPr="005978B5">
        <w:rPr>
          <w:rFonts w:ascii="Arial" w:hAnsi="Arial" w:cs="Arial"/>
        </w:rPr>
        <w:t>The three theoretical frameworks used in this dissertation are complementary, and they work at different levels of analysis, which offers a multi-layer interpretive architecture to the barriers outlined in the system reviews.</w:t>
      </w:r>
    </w:p>
    <w:p w14:paraId="48B6EC5A" w14:textId="41AF2631" w:rsidR="007D286C" w:rsidRPr="005978B5" w:rsidRDefault="00B85535" w:rsidP="00354518">
      <w:pPr>
        <w:spacing w:line="360" w:lineRule="auto"/>
        <w:jc w:val="both"/>
        <w:rPr>
          <w:rFonts w:ascii="Arial" w:hAnsi="Arial" w:cs="Arial"/>
        </w:rPr>
      </w:pPr>
      <w:r w:rsidRPr="005978B5">
        <w:rPr>
          <w:rFonts w:ascii="Arial" w:hAnsi="Arial" w:cs="Arial"/>
        </w:rPr>
        <w:t xml:space="preserve">The Social Determinants of Health (SDH) framework by the World Health Organization (2008) and by Marmot et al. (2010; 2020) applied to the UK context </w:t>
      </w:r>
      <w:r w:rsidR="00175BB5" w:rsidRPr="005978B5">
        <w:rPr>
          <w:rFonts w:ascii="Arial" w:hAnsi="Arial" w:cs="Arial"/>
        </w:rPr>
        <w:t>shares</w:t>
      </w:r>
      <w:r w:rsidRPr="005978B5">
        <w:rPr>
          <w:rFonts w:ascii="Arial" w:hAnsi="Arial" w:cs="Arial"/>
        </w:rPr>
        <w:t xml:space="preserve"> the perspective that the political, social and economic environments that people live in are the true determinants of health inequalities - environments that are not evenly spread among social groups. When applied to this dissertation, the SDH framework situates socioeconomic barriers to T2DM prevention as structural effects of emissions that need an upstream policy response and not as a manifestation of individual behaviour or cultural deficiency. Au-Yeung et al. (2024) empirically support this view and interpret 64% of the cases of diabetes in their cohort as related to socioeconomic deprivation</w:t>
      </w:r>
      <w:r w:rsidR="00175BB5" w:rsidRPr="005978B5">
        <w:rPr>
          <w:rFonts w:ascii="Arial" w:hAnsi="Arial" w:cs="Arial"/>
        </w:rPr>
        <w:t>,</w:t>
      </w:r>
      <w:r w:rsidRPr="005978B5">
        <w:rPr>
          <w:rFonts w:ascii="Arial" w:hAnsi="Arial" w:cs="Arial"/>
        </w:rPr>
        <w:t xml:space="preserve"> and Marmot et al. (2020) assert that health inequalities have grown because their conditions have not been addressed properly in a structural context. Healthcare services should also be evaluated against the equity of reach, which the NHS Diabetes Prevention Programme has been found not to have achieved yet in the ethnic minority group, and is also a requirement of </w:t>
      </w:r>
      <w:r w:rsidR="00175BB5" w:rsidRPr="005978B5">
        <w:rPr>
          <w:rFonts w:ascii="Arial" w:hAnsi="Arial" w:cs="Arial"/>
        </w:rPr>
        <w:t xml:space="preserve">the </w:t>
      </w:r>
      <w:r w:rsidRPr="005978B5">
        <w:rPr>
          <w:rFonts w:ascii="Arial" w:hAnsi="Arial" w:cs="Arial"/>
        </w:rPr>
        <w:t xml:space="preserve">SDH framework to record structural and institutional racism as barriers to equitable care in the NHS (Danso and Danso, 2021; </w:t>
      </w:r>
      <w:proofErr w:type="spellStart"/>
      <w:r w:rsidRPr="005978B5">
        <w:rPr>
          <w:rFonts w:ascii="Arial" w:hAnsi="Arial" w:cs="Arial"/>
        </w:rPr>
        <w:t>Seewoodhary</w:t>
      </w:r>
      <w:proofErr w:type="spellEnd"/>
      <w:r w:rsidRPr="005978B5">
        <w:rPr>
          <w:rFonts w:ascii="Arial" w:hAnsi="Arial" w:cs="Arial"/>
        </w:rPr>
        <w:t>, 2021).</w:t>
      </w:r>
    </w:p>
    <w:p w14:paraId="2C961DA0" w14:textId="157EBC05" w:rsidR="007D286C" w:rsidRPr="005978B5" w:rsidRDefault="00B85535" w:rsidP="00354518">
      <w:pPr>
        <w:spacing w:line="360" w:lineRule="auto"/>
        <w:jc w:val="both"/>
        <w:rPr>
          <w:rFonts w:ascii="Arial" w:hAnsi="Arial" w:cs="Arial"/>
        </w:rPr>
      </w:pPr>
      <w:r w:rsidRPr="005978B5">
        <w:rPr>
          <w:rFonts w:ascii="Arial" w:hAnsi="Arial" w:cs="Arial"/>
        </w:rPr>
        <w:t xml:space="preserve">The Health Belief Model (HBM) was initially suggested by Rosenstock (1966) and developed further by Champion and Skinner (2008), and it is a mental framework of how people make choices related to their health. It is the HBM that perceived susceptibility to a condition, perceived severity of the outcome of a condition, perceived benefits and perceived barriers to preventative health behaviour, cues to engage in an action and self-efficacy influence the probability of engaging in a preventative health behaviour. Using the HBM to the ethnic minority adults with T2DM, one could explain why mediated cultural illness beliefs (fatalism, spiritual explanatory models and traditional models of disease causation, which are reported in the groups of South-Asian and Black African-Caribbean populations) may be used to justify </w:t>
      </w:r>
      <w:r w:rsidRPr="005978B5">
        <w:rPr>
          <w:rFonts w:ascii="Arial" w:hAnsi="Arial" w:cs="Arial"/>
        </w:rPr>
        <w:lastRenderedPageBreak/>
        <w:t xml:space="preserve">why the patients may underestimate their vulnerability, or think less than beneficial about the biomedical treatment </w:t>
      </w:r>
      <w:r w:rsidR="005E259C" w:rsidRPr="005978B5">
        <w:rPr>
          <w:rFonts w:ascii="Arial" w:hAnsi="Arial" w:cs="Arial"/>
        </w:rPr>
        <w:t>(</w:t>
      </w:r>
      <w:proofErr w:type="spellStart"/>
      <w:r w:rsidR="005E259C" w:rsidRPr="005978B5">
        <w:rPr>
          <w:rFonts w:ascii="Arial" w:hAnsi="Arial" w:cs="Arial"/>
        </w:rPr>
        <w:t>Omodara</w:t>
      </w:r>
      <w:proofErr w:type="spellEnd"/>
      <w:r w:rsidR="005E259C" w:rsidRPr="005978B5">
        <w:rPr>
          <w:rFonts w:ascii="Arial" w:hAnsi="Arial" w:cs="Arial"/>
        </w:rPr>
        <w:t xml:space="preserve"> et al., 2022; Patel et al., 2015b; Kumar et al., 2016). </w:t>
      </w:r>
      <w:r w:rsidRPr="005978B5">
        <w:rPr>
          <w:rFonts w:ascii="Arial" w:hAnsi="Arial" w:cs="Arial"/>
        </w:rPr>
        <w:t>Investigating self-care practices among Black and African American men with T2DM, Park et al. (2025) found that self-efficacy and perceived obstacles were the major determinants of self-care engagement - findings that although obtained in a US context, are consistent with the UK-based evidence on the contribution of self-efficacy to T2DM self-management (</w:t>
      </w:r>
      <w:proofErr w:type="spellStart"/>
      <w:r w:rsidRPr="005978B5">
        <w:rPr>
          <w:rFonts w:ascii="Arial" w:hAnsi="Arial" w:cs="Arial"/>
        </w:rPr>
        <w:t>Pardhan</w:t>
      </w:r>
      <w:proofErr w:type="spellEnd"/>
      <w:r w:rsidRPr="005978B5">
        <w:rPr>
          <w:rFonts w:ascii="Arial" w:hAnsi="Arial" w:cs="Arial"/>
        </w:rPr>
        <w:t xml:space="preserve"> et al., 2020; Patel et al., 2015b) and of direct relevance to UK practice, where culturally-adapted education must actively address not only structural barriers but also the development of self-management However, the HBM is silent on the material and structural factors that over-determine health behaviours of ethnic minority populations, including poverty, employment precarity and food insecurity. The model should thus be used alongside the Social Determinants of Health framework instead of being a separate explanatory instrument, where both the cognitive-cultural and structural aspects of the T2DM disparities are included in the analytical framework of this review.</w:t>
      </w:r>
    </w:p>
    <w:p w14:paraId="15FB504E" w14:textId="597F4E93" w:rsidR="007D286C" w:rsidRPr="005978B5" w:rsidRDefault="0001637C" w:rsidP="00354518">
      <w:pPr>
        <w:spacing w:line="360" w:lineRule="auto"/>
        <w:jc w:val="both"/>
        <w:rPr>
          <w:rFonts w:ascii="Arial" w:hAnsi="Arial" w:cs="Arial"/>
        </w:rPr>
      </w:pPr>
      <w:r w:rsidRPr="005978B5">
        <w:rPr>
          <w:rFonts w:ascii="Arial" w:hAnsi="Arial" w:cs="Arial"/>
        </w:rPr>
        <w:t xml:space="preserve">The Behavioural Model of Health Services Use (Andersen, 1995) is a conceptualisation of healthcare utilisation, which takes into account the predisposing factors, which are health beliefs and cultural norms, sociodemographic characteristics, and enabling resources, which include: income, language proficiency, health literacy and geographic access, need factors, which include: perceived and clinician-evaluated clinical need. The model may be particularly relevant to this dissertation because structural, cultural and individual-level factors are available simultaneously and predetermine access to services, as well as enabling resources, which can be best met by structural intervention. In the case of the NHS Diabetes Prevention Programme, the model ensures that Andersen does not frame inequality in the engagement of ethnic minorities as a failure at the individual level, but as a rational outcome of encouraging resource deficit, including the distance of the trip to the hospital, language barrier, inadequately flexible timing, and culturally incompetent material, the presence of which the programme has thus far not addressed systematically (Abu and </w:t>
      </w:r>
      <w:proofErr w:type="spellStart"/>
      <w:r w:rsidRPr="005978B5">
        <w:rPr>
          <w:rFonts w:ascii="Arial" w:hAnsi="Arial" w:cs="Arial"/>
        </w:rPr>
        <w:t>Llahana</w:t>
      </w:r>
      <w:proofErr w:type="spellEnd"/>
      <w:r w:rsidRPr="005978B5">
        <w:rPr>
          <w:rFonts w:ascii="Arial" w:hAnsi="Arial" w:cs="Arial"/>
        </w:rPr>
        <w:t>, 2025). The three frameworks together provide the analytical framework where the findings of the systematic review in Chapter 4 can be construed against the theory, policy and practice.</w:t>
      </w:r>
    </w:p>
    <w:p w14:paraId="4F164875" w14:textId="77777777" w:rsidR="00A55B4B" w:rsidRPr="005978B5" w:rsidRDefault="00A55B4B" w:rsidP="00354518">
      <w:pPr>
        <w:spacing w:line="360" w:lineRule="auto"/>
        <w:jc w:val="both"/>
        <w:rPr>
          <w:rFonts w:ascii="Arial" w:hAnsi="Arial" w:cs="Arial"/>
          <w:noProof/>
        </w:rPr>
      </w:pPr>
    </w:p>
    <w:p w14:paraId="396D79A0" w14:textId="77777777" w:rsidR="00A55B4B" w:rsidRPr="005978B5" w:rsidRDefault="00A55B4B" w:rsidP="00354518">
      <w:pPr>
        <w:spacing w:line="360" w:lineRule="auto"/>
        <w:jc w:val="both"/>
        <w:rPr>
          <w:rFonts w:ascii="Arial" w:hAnsi="Arial" w:cs="Arial"/>
          <w:noProof/>
        </w:rPr>
      </w:pPr>
    </w:p>
    <w:p w14:paraId="6295275B" w14:textId="77777777" w:rsidR="00F07758" w:rsidRDefault="008D1581" w:rsidP="00F07758">
      <w:pPr>
        <w:keepNext/>
        <w:spacing w:line="360" w:lineRule="auto"/>
        <w:jc w:val="both"/>
      </w:pPr>
      <w:r>
        <w:rPr>
          <w:noProof/>
        </w:rPr>
        <w:lastRenderedPageBreak/>
        <w:drawing>
          <wp:inline distT="0" distB="0" distL="0" distR="0" wp14:anchorId="1DF39908" wp14:editId="1A10B41F">
            <wp:extent cx="5731510" cy="3916680"/>
            <wp:effectExtent l="0" t="0" r="2540" b="7620"/>
            <wp:docPr id="19172066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916680"/>
                    </a:xfrm>
                    <a:prstGeom prst="rect">
                      <a:avLst/>
                    </a:prstGeom>
                    <a:noFill/>
                    <a:ln>
                      <a:noFill/>
                    </a:ln>
                  </pic:spPr>
                </pic:pic>
              </a:graphicData>
            </a:graphic>
          </wp:inline>
        </w:drawing>
      </w:r>
    </w:p>
    <w:p w14:paraId="65AAC157" w14:textId="61773216" w:rsidR="00076E23" w:rsidRPr="00F07758" w:rsidRDefault="00F07758" w:rsidP="007A05B6">
      <w:pPr>
        <w:pStyle w:val="Caption"/>
        <w:jc w:val="center"/>
        <w:rPr>
          <w:rFonts w:ascii="Arial" w:hAnsi="Arial" w:cs="Arial"/>
        </w:rPr>
      </w:pPr>
      <w:bookmarkStart w:id="20" w:name="_Toc232173135"/>
      <w:r w:rsidRPr="00F07758">
        <w:rPr>
          <w:rFonts w:ascii="Arial" w:hAnsi="Arial" w:cs="Arial"/>
        </w:rPr>
        <w:t xml:space="preserve">Figure </w:t>
      </w:r>
      <w:r w:rsidRPr="00F07758">
        <w:rPr>
          <w:rFonts w:ascii="Arial" w:hAnsi="Arial" w:cs="Arial"/>
        </w:rPr>
        <w:fldChar w:fldCharType="begin"/>
      </w:r>
      <w:r w:rsidRPr="00F07758">
        <w:rPr>
          <w:rFonts w:ascii="Arial" w:hAnsi="Arial" w:cs="Arial"/>
        </w:rPr>
        <w:instrText xml:space="preserve"> SEQ Figure \* ARABIC </w:instrText>
      </w:r>
      <w:r w:rsidRPr="00F07758">
        <w:rPr>
          <w:rFonts w:ascii="Arial" w:hAnsi="Arial" w:cs="Arial"/>
        </w:rPr>
        <w:fldChar w:fldCharType="separate"/>
      </w:r>
      <w:r>
        <w:rPr>
          <w:rFonts w:ascii="Arial" w:hAnsi="Arial" w:cs="Arial"/>
          <w:noProof/>
        </w:rPr>
        <w:t>1</w:t>
      </w:r>
      <w:r w:rsidRPr="00F07758">
        <w:rPr>
          <w:rFonts w:ascii="Arial" w:hAnsi="Arial" w:cs="Arial"/>
        </w:rPr>
        <w:fldChar w:fldCharType="end"/>
      </w:r>
      <w:r w:rsidRPr="00F07758">
        <w:rPr>
          <w:rFonts w:ascii="Arial" w:hAnsi="Arial" w:cs="Arial"/>
        </w:rPr>
        <w:t>A multi-level analytical framework was applied in this systematic review. SDH = Social Determinants of Health (WHO, 2008; Marmot et al., 2010). HBM = Health Belief Model (Rosenstock, 1966; Champion and Skinner, 2008). Andersen = Behavioural Model of Health Services Use (Andersen, 1995).</w:t>
      </w:r>
      <w:bookmarkEnd w:id="20"/>
    </w:p>
    <w:p w14:paraId="209D6CDA" w14:textId="77777777" w:rsidR="00A55B4B" w:rsidRPr="005978B5" w:rsidRDefault="00A55B4B" w:rsidP="00354518">
      <w:pPr>
        <w:spacing w:line="360" w:lineRule="auto"/>
        <w:jc w:val="both"/>
        <w:rPr>
          <w:rFonts w:ascii="Arial" w:hAnsi="Arial" w:cs="Arial"/>
        </w:rPr>
      </w:pPr>
    </w:p>
    <w:p w14:paraId="570FB4FB" w14:textId="77777777" w:rsidR="00EA2F69" w:rsidRPr="005978B5" w:rsidRDefault="007D286C" w:rsidP="00354518">
      <w:pPr>
        <w:pStyle w:val="Heading2"/>
        <w:spacing w:line="360" w:lineRule="auto"/>
        <w:jc w:val="both"/>
        <w:rPr>
          <w:rFonts w:ascii="Arial" w:hAnsi="Arial" w:cs="Arial"/>
          <w:sz w:val="22"/>
        </w:rPr>
      </w:pPr>
      <w:bookmarkStart w:id="21" w:name="_Toc232173674"/>
      <w:r w:rsidRPr="005978B5">
        <w:rPr>
          <w:rFonts w:ascii="Arial" w:hAnsi="Arial" w:cs="Arial"/>
          <w:sz w:val="22"/>
        </w:rPr>
        <w:t>2.8 Chapter Summary</w:t>
      </w:r>
      <w:bookmarkEnd w:id="21"/>
    </w:p>
    <w:p w14:paraId="7C4C4E09" w14:textId="3534E05B" w:rsidR="00863A8C" w:rsidRPr="005978B5" w:rsidRDefault="0001637C" w:rsidP="00354518">
      <w:pPr>
        <w:spacing w:line="360" w:lineRule="auto"/>
        <w:jc w:val="both"/>
        <w:rPr>
          <w:rFonts w:ascii="Arial" w:hAnsi="Arial" w:cs="Arial"/>
        </w:rPr>
      </w:pPr>
      <w:r w:rsidRPr="005978B5">
        <w:rPr>
          <w:rFonts w:ascii="Arial" w:hAnsi="Arial" w:cs="Arial"/>
        </w:rPr>
        <w:t>This chapter has laid the epidemiological, policy, socioeconomic, cultural and theoretical bases of this systematic review. The evidence shows that ethnic minority T2DM disparities in the UK are structurally produced, influenced by overlapping socioeconomic, cultural and institutional conditions</w:t>
      </w:r>
      <w:r w:rsidR="00175BB5" w:rsidRPr="005978B5">
        <w:rPr>
          <w:rFonts w:ascii="Arial" w:hAnsi="Arial" w:cs="Arial"/>
        </w:rPr>
        <w:t>,</w:t>
      </w:r>
      <w:r w:rsidRPr="005978B5">
        <w:rPr>
          <w:rFonts w:ascii="Arial" w:hAnsi="Arial" w:cs="Arial"/>
        </w:rPr>
        <w:t xml:space="preserve"> and poorly tackled by existing policy execution </w:t>
      </w:r>
      <w:r w:rsidR="008F78F6" w:rsidRPr="005978B5">
        <w:rPr>
          <w:rFonts w:ascii="Arial" w:hAnsi="Arial" w:cs="Arial"/>
        </w:rPr>
        <w:t>despite</w:t>
      </w:r>
      <w:r w:rsidRPr="005978B5">
        <w:rPr>
          <w:rFonts w:ascii="Arial" w:hAnsi="Arial" w:cs="Arial"/>
        </w:rPr>
        <w:t xml:space="preserve"> a significant legislative and programmatic framework. The multi-level analytical lens through which the findings in Chapters 4 and 5 will be explained is the three theoretical frameworks: the Social Determinants of Health model, the Health Belief Model and </w:t>
      </w:r>
      <w:r w:rsidR="00175BB5" w:rsidRPr="005978B5">
        <w:rPr>
          <w:rFonts w:ascii="Arial" w:hAnsi="Arial" w:cs="Arial"/>
        </w:rPr>
        <w:t xml:space="preserve">the </w:t>
      </w:r>
      <w:r w:rsidRPr="005978B5">
        <w:rPr>
          <w:rFonts w:ascii="Arial" w:hAnsi="Arial" w:cs="Arial"/>
        </w:rPr>
        <w:t>Andersen Behavioural Model.</w:t>
      </w:r>
    </w:p>
    <w:p w14:paraId="2FC2AA03" w14:textId="77777777" w:rsidR="00863A8C" w:rsidRPr="005978B5" w:rsidRDefault="00863A8C" w:rsidP="00354518">
      <w:pPr>
        <w:spacing w:line="360" w:lineRule="auto"/>
        <w:jc w:val="both"/>
        <w:rPr>
          <w:rFonts w:ascii="Arial" w:hAnsi="Arial" w:cs="Arial"/>
        </w:rPr>
      </w:pPr>
      <w:r w:rsidRPr="005978B5">
        <w:rPr>
          <w:rFonts w:ascii="Arial" w:hAnsi="Arial" w:cs="Arial"/>
        </w:rPr>
        <w:br w:type="page"/>
      </w:r>
    </w:p>
    <w:p w14:paraId="523AB4EA" w14:textId="165AAD9A" w:rsidR="009F64C5" w:rsidRPr="005978B5" w:rsidRDefault="00DD7AA5" w:rsidP="00354518">
      <w:pPr>
        <w:pStyle w:val="Heading1"/>
        <w:spacing w:line="360" w:lineRule="auto"/>
        <w:jc w:val="both"/>
        <w:rPr>
          <w:rFonts w:ascii="Arial" w:hAnsi="Arial" w:cs="Arial"/>
          <w:bCs/>
          <w:sz w:val="22"/>
        </w:rPr>
      </w:pPr>
      <w:bookmarkStart w:id="22" w:name="_Toc232173675"/>
      <w:r w:rsidRPr="005978B5">
        <w:rPr>
          <w:rFonts w:ascii="Arial" w:hAnsi="Arial" w:cs="Arial"/>
          <w:sz w:val="22"/>
        </w:rPr>
        <w:lastRenderedPageBreak/>
        <w:t xml:space="preserve">Chapter 3: </w:t>
      </w:r>
      <w:r w:rsidR="009F64C5" w:rsidRPr="005978B5">
        <w:rPr>
          <w:rFonts w:ascii="Arial" w:hAnsi="Arial" w:cs="Arial"/>
          <w:sz w:val="22"/>
        </w:rPr>
        <w:t>Research Methodology</w:t>
      </w:r>
      <w:bookmarkEnd w:id="22"/>
      <w:r w:rsidR="009F64C5" w:rsidRPr="005978B5">
        <w:rPr>
          <w:rFonts w:ascii="Arial" w:hAnsi="Arial" w:cs="Arial"/>
          <w:sz w:val="22"/>
        </w:rPr>
        <w:t xml:space="preserve"> </w:t>
      </w:r>
    </w:p>
    <w:p w14:paraId="2DA468AE" w14:textId="77777777" w:rsidR="007D286C" w:rsidRPr="005978B5" w:rsidRDefault="007D286C" w:rsidP="00354518">
      <w:pPr>
        <w:pStyle w:val="Heading2"/>
        <w:spacing w:line="360" w:lineRule="auto"/>
        <w:jc w:val="both"/>
        <w:rPr>
          <w:rFonts w:ascii="Arial" w:hAnsi="Arial" w:cs="Arial"/>
          <w:sz w:val="22"/>
        </w:rPr>
      </w:pPr>
      <w:bookmarkStart w:id="23" w:name="_Toc232173676"/>
      <w:r w:rsidRPr="005978B5">
        <w:rPr>
          <w:rFonts w:ascii="Arial" w:hAnsi="Arial" w:cs="Arial"/>
          <w:sz w:val="22"/>
        </w:rPr>
        <w:t>3.1 Research Design</w:t>
      </w:r>
      <w:bookmarkEnd w:id="23"/>
    </w:p>
    <w:p w14:paraId="17509B21" w14:textId="252DB84D" w:rsidR="007D286C" w:rsidRPr="005978B5" w:rsidRDefault="004E542F" w:rsidP="00354518">
      <w:pPr>
        <w:spacing w:line="360" w:lineRule="auto"/>
        <w:jc w:val="both"/>
        <w:rPr>
          <w:rFonts w:ascii="Arial" w:hAnsi="Arial" w:cs="Arial"/>
        </w:rPr>
      </w:pPr>
      <w:r w:rsidRPr="005978B5">
        <w:rPr>
          <w:rFonts w:ascii="Arial" w:hAnsi="Arial" w:cs="Arial"/>
        </w:rPr>
        <w:t xml:space="preserve">In this dissertation, a desk-based systematic review methodology approach was used to study the socioeconomic, cultural and healthcare system barriers to the prevention and management of type 2 diabetes mellitus (T2DM) in adults among ethnic minority groups in the United Kingdom. The most suitable design was selected as a systematic review as it would offer a rigorous, transparent and reproducible identification, appraisal and synthesis of the already existing peer-reviewed evidence in relation to the clearly-defined research question </w:t>
      </w:r>
      <w:r w:rsidR="005E259C" w:rsidRPr="005978B5">
        <w:rPr>
          <w:rFonts w:ascii="Arial" w:hAnsi="Arial" w:cs="Arial"/>
        </w:rPr>
        <w:t>(Grant and Booth, 2009; Booth et al., 2019).</w:t>
      </w:r>
      <w:r w:rsidRPr="005978B5">
        <w:rPr>
          <w:rFonts w:ascii="Arial" w:hAnsi="Arial" w:cs="Arial"/>
        </w:rPr>
        <w:t xml:space="preserve"> In contrast to review (narrative) types, which can be based on an unstructured search of the literature and selective inclusion of certain sources, systematic reviews adhere to a pre-defined, reproducible protocol to minimise the risk of selection bias and maximise the enhancement of credibility of the conclusions drawn (Aveyard, 2019). This reliance on a systematic review, as opposed to a scoping review, was largely based on the objectives of the study: critical quality appraisal and synthesis of the findings across the various study designs</w:t>
      </w:r>
      <w:r w:rsidR="00175BB5" w:rsidRPr="005978B5">
        <w:rPr>
          <w:rFonts w:ascii="Arial" w:hAnsi="Arial" w:cs="Arial"/>
        </w:rPr>
        <w:t>,</w:t>
      </w:r>
      <w:r w:rsidRPr="005978B5">
        <w:rPr>
          <w:rFonts w:ascii="Arial" w:hAnsi="Arial" w:cs="Arial"/>
        </w:rPr>
        <w:t xml:space="preserve"> which a scoping review, which is a mapping of the breadth of the evidence but not a formal quality assessment of that evidence, fails to do (Grant and Booth, 2009). The methodology was quite appropriate, as the goal was to synthesise, rather than actively create new data, and the ethical consideration was met. There was no primary data gathering, recruiting participants, interviews or field work at any point of this review process. </w:t>
      </w:r>
    </w:p>
    <w:p w14:paraId="0A5BF225" w14:textId="77777777" w:rsidR="007D286C" w:rsidRPr="005978B5" w:rsidRDefault="007D286C" w:rsidP="00354518">
      <w:pPr>
        <w:pStyle w:val="Heading2"/>
        <w:spacing w:line="360" w:lineRule="auto"/>
        <w:jc w:val="both"/>
        <w:rPr>
          <w:rFonts w:ascii="Arial" w:hAnsi="Arial" w:cs="Arial"/>
          <w:sz w:val="22"/>
        </w:rPr>
      </w:pPr>
      <w:bookmarkStart w:id="24" w:name="_Toc232173677"/>
      <w:r w:rsidRPr="005978B5">
        <w:rPr>
          <w:rFonts w:ascii="Arial" w:hAnsi="Arial" w:cs="Arial"/>
          <w:sz w:val="22"/>
        </w:rPr>
        <w:t>3.2 Search Strategy</w:t>
      </w:r>
      <w:bookmarkEnd w:id="24"/>
    </w:p>
    <w:p w14:paraId="04652EEA" w14:textId="6DC0E7C4" w:rsidR="007D286C" w:rsidRPr="005978B5" w:rsidRDefault="004E542F" w:rsidP="00354518">
      <w:pPr>
        <w:spacing w:line="360" w:lineRule="auto"/>
        <w:jc w:val="both"/>
        <w:rPr>
          <w:rFonts w:ascii="Arial" w:hAnsi="Arial" w:cs="Arial"/>
        </w:rPr>
      </w:pPr>
      <w:r w:rsidRPr="005978B5">
        <w:rPr>
          <w:rFonts w:ascii="Arial" w:hAnsi="Arial" w:cs="Arial"/>
        </w:rPr>
        <w:t xml:space="preserve">The search strategy is created with references to the guidelines of Preferred Reporting Items of Systematic Reviews and Meta-Analyses (PRISMA) 2020 (Page et al., 2021) and informed by the Population, Intervention, Comparison and Outcome (PICO) framework, as this review is exploratory in nature. The population component comprised adult ethnic minorities in the United Kingdom </w:t>
      </w:r>
      <w:r w:rsidR="00175BB5" w:rsidRPr="005978B5">
        <w:rPr>
          <w:rFonts w:ascii="Arial" w:hAnsi="Arial" w:cs="Arial"/>
        </w:rPr>
        <w:t>aged</w:t>
      </w:r>
      <w:r w:rsidRPr="005978B5">
        <w:rPr>
          <w:rFonts w:ascii="Arial" w:hAnsi="Arial" w:cs="Arial"/>
        </w:rPr>
        <w:t xml:space="preserve"> 18 years and above. One of the barriers to the prevention and management of T2DM was the interest phenomenon as a </w:t>
      </w:r>
      <w:r w:rsidR="00175BB5" w:rsidRPr="005978B5">
        <w:rPr>
          <w:rFonts w:ascii="Arial" w:hAnsi="Arial" w:cs="Arial"/>
        </w:rPr>
        <w:t>socioeconomic</w:t>
      </w:r>
      <w:r w:rsidRPr="005978B5">
        <w:rPr>
          <w:rFonts w:ascii="Arial" w:hAnsi="Arial" w:cs="Arial"/>
        </w:rPr>
        <w:t xml:space="preserve">, cultural and healthcare system. No individual intervention or comparator was found, which is in line with the nature of the review, in which the barriers were to be resolved in multiple domains. Outcomes included barriers to access </w:t>
      </w:r>
      <w:r w:rsidR="00175BB5" w:rsidRPr="005978B5">
        <w:rPr>
          <w:rFonts w:ascii="Arial" w:hAnsi="Arial" w:cs="Arial"/>
        </w:rPr>
        <w:t>to</w:t>
      </w:r>
      <w:r w:rsidRPr="005978B5">
        <w:rPr>
          <w:rFonts w:ascii="Arial" w:hAnsi="Arial" w:cs="Arial"/>
        </w:rPr>
        <w:t xml:space="preserve"> prevention services, taking part in management programmes, adherence to the recommended health behaviours, and other health outcomes.</w:t>
      </w:r>
    </w:p>
    <w:p w14:paraId="38C586B3" w14:textId="531BE8F3" w:rsidR="007D286C" w:rsidRPr="005978B5" w:rsidRDefault="00F64C9C" w:rsidP="00354518">
      <w:pPr>
        <w:spacing w:line="360" w:lineRule="auto"/>
        <w:jc w:val="both"/>
        <w:rPr>
          <w:rFonts w:ascii="Arial" w:hAnsi="Arial" w:cs="Arial"/>
        </w:rPr>
      </w:pPr>
      <w:r w:rsidRPr="005978B5">
        <w:rPr>
          <w:rFonts w:ascii="Arial" w:hAnsi="Arial" w:cs="Arial"/>
        </w:rPr>
        <w:t xml:space="preserve">The four electronic databases (PubMed, </w:t>
      </w:r>
      <w:r w:rsidR="00354518" w:rsidRPr="005978B5">
        <w:rPr>
          <w:rFonts w:ascii="Arial" w:hAnsi="Arial" w:cs="Arial"/>
        </w:rPr>
        <w:t>CINAHL (Cumulative</w:t>
      </w:r>
      <w:r w:rsidRPr="005978B5">
        <w:rPr>
          <w:rFonts w:ascii="Arial" w:hAnsi="Arial" w:cs="Arial"/>
        </w:rPr>
        <w:t xml:space="preserve"> Index to Nursing and Allied Health Literature), MEDLINE (Ovid) and Google Scholar) were searched systematically. The reason why PubMed was selected was due to its </w:t>
      </w:r>
      <w:r w:rsidR="00175BB5" w:rsidRPr="005978B5">
        <w:rPr>
          <w:rFonts w:ascii="Arial" w:hAnsi="Arial" w:cs="Arial"/>
        </w:rPr>
        <w:t>easy</w:t>
      </w:r>
      <w:r w:rsidRPr="005978B5">
        <w:rPr>
          <w:rFonts w:ascii="Arial" w:hAnsi="Arial" w:cs="Arial"/>
        </w:rPr>
        <w:t xml:space="preserve"> accessibility of biomedical and public health literature</w:t>
      </w:r>
      <w:r w:rsidR="00175BB5" w:rsidRPr="005978B5">
        <w:rPr>
          <w:rFonts w:ascii="Arial" w:hAnsi="Arial" w:cs="Arial"/>
        </w:rPr>
        <w:t>,</w:t>
      </w:r>
      <w:r w:rsidRPr="005978B5">
        <w:rPr>
          <w:rFonts w:ascii="Arial" w:hAnsi="Arial" w:cs="Arial"/>
        </w:rPr>
        <w:t xml:space="preserve"> which is indexed in MEDLINE. CINAHL would also be incorporated based on </w:t>
      </w:r>
      <w:r w:rsidRPr="005978B5">
        <w:rPr>
          <w:rFonts w:ascii="Arial" w:hAnsi="Arial" w:cs="Arial"/>
        </w:rPr>
        <w:lastRenderedPageBreak/>
        <w:t xml:space="preserve">the fact that it covers nursing, research on allied health and health inequalities, which is particularly applicable to qualitative research that seeks to uncover </w:t>
      </w:r>
      <w:r w:rsidR="00175BB5" w:rsidRPr="005978B5">
        <w:rPr>
          <w:rFonts w:ascii="Arial" w:hAnsi="Arial" w:cs="Arial"/>
        </w:rPr>
        <w:t xml:space="preserve">the </w:t>
      </w:r>
      <w:r w:rsidRPr="005978B5">
        <w:rPr>
          <w:rFonts w:ascii="Arial" w:hAnsi="Arial" w:cs="Arial"/>
        </w:rPr>
        <w:t>lived experiences of managing chronic diseases among a group of ethnic minorities. MEDLINE (Ovid) was included to provide it with a wider scope of retrieval in the MEDLINE database with more Boolean filtering options. Google Scholar was also included to guarantee that additional peer-reviewed sources are included that are not fully indexed by the three specialist databases, such as open-access publications and multi-disciplinary journals that are pertinent to health inequalities and social determinants of health. The reference lists of all the included studies were also hand-searched to determine any additional available sources that were not identified in the database search, which is acknowledged as a useful approach to complementing the electronic search in systematic reviews (Higgins et al., 2023).</w:t>
      </w:r>
    </w:p>
    <w:p w14:paraId="0CCD43A4" w14:textId="6B86C93A" w:rsidR="007D286C" w:rsidRPr="005978B5" w:rsidRDefault="007D286C" w:rsidP="00354518">
      <w:pPr>
        <w:spacing w:line="360" w:lineRule="auto"/>
        <w:jc w:val="both"/>
        <w:rPr>
          <w:rFonts w:ascii="Arial" w:hAnsi="Arial" w:cs="Arial"/>
        </w:rPr>
      </w:pPr>
      <w:r w:rsidRPr="005978B5">
        <w:rPr>
          <w:rFonts w:ascii="Arial" w:hAnsi="Arial" w:cs="Arial"/>
        </w:rPr>
        <w:t xml:space="preserve">Search terms were based on the PICO components and combined with Boolean operators (AND, OR) to maximise the sensitivity and specificity. The core search string applied was: ("type 2 diabetes" OR "T2DM" OR "diabetes mellitus") AND ("ethnic minority" OR "Black" OR "South Asian" OR "African Caribbean" OR "BAME" OR "West African") AND ("barrier" OR "self-management" OR "prevention" OR "health inequalities" OR "experience") AND ("United Kingdom" OR "UK" OR "England"). </w:t>
      </w:r>
      <w:r w:rsidR="00F64C9C" w:rsidRPr="005978B5">
        <w:rPr>
          <w:rFonts w:ascii="Arial" w:hAnsi="Arial" w:cs="Arial"/>
        </w:rPr>
        <w:t>To improve retrieval sensitivity, PubMed and MEDLINE used truncation and Medical Subject Headings (MeSH) terms. It was restricted to publications after 2015 to make sure that evidence is up-to-date and can be applied to the current situation in UK policy.</w:t>
      </w:r>
    </w:p>
    <w:p w14:paraId="36DF018A" w14:textId="26B0671E" w:rsidR="00FA2C14" w:rsidRPr="005978B5" w:rsidRDefault="00FA2C14" w:rsidP="00FA2C14">
      <w:pPr>
        <w:pStyle w:val="Caption"/>
        <w:keepNext/>
        <w:jc w:val="center"/>
        <w:rPr>
          <w:rFonts w:ascii="Arial" w:hAnsi="Arial" w:cs="Arial"/>
          <w:sz w:val="22"/>
          <w:szCs w:val="22"/>
        </w:rPr>
      </w:pPr>
      <w:bookmarkStart w:id="25" w:name="_Toc231680745"/>
      <w:r w:rsidRPr="005978B5">
        <w:rPr>
          <w:rFonts w:ascii="Arial" w:hAnsi="Arial" w:cs="Arial"/>
          <w:sz w:val="22"/>
          <w:szCs w:val="22"/>
        </w:rPr>
        <w:t xml:space="preserve">Table 3. </w:t>
      </w:r>
      <w:r w:rsidR="00212C29" w:rsidRPr="005978B5">
        <w:rPr>
          <w:rFonts w:ascii="Arial" w:hAnsi="Arial" w:cs="Arial"/>
          <w:sz w:val="22"/>
          <w:szCs w:val="22"/>
        </w:rPr>
        <w:fldChar w:fldCharType="begin"/>
      </w:r>
      <w:r w:rsidR="00212C29" w:rsidRPr="005978B5">
        <w:rPr>
          <w:rFonts w:ascii="Arial" w:hAnsi="Arial" w:cs="Arial"/>
          <w:sz w:val="22"/>
          <w:szCs w:val="22"/>
        </w:rPr>
        <w:instrText xml:space="preserve"> SEQ Table_3. \* ARABIC </w:instrText>
      </w:r>
      <w:r w:rsidR="00212C29" w:rsidRPr="005978B5">
        <w:rPr>
          <w:rFonts w:ascii="Arial" w:hAnsi="Arial" w:cs="Arial"/>
          <w:sz w:val="22"/>
          <w:szCs w:val="22"/>
        </w:rPr>
        <w:fldChar w:fldCharType="separate"/>
      </w:r>
      <w:r w:rsidR="00212C29" w:rsidRPr="005978B5">
        <w:rPr>
          <w:rFonts w:ascii="Arial" w:hAnsi="Arial" w:cs="Arial"/>
          <w:noProof/>
          <w:sz w:val="22"/>
          <w:szCs w:val="22"/>
        </w:rPr>
        <w:t>1</w:t>
      </w:r>
      <w:r w:rsidR="00212C29" w:rsidRPr="005978B5">
        <w:rPr>
          <w:rFonts w:ascii="Arial" w:hAnsi="Arial" w:cs="Arial"/>
          <w:noProof/>
          <w:sz w:val="22"/>
          <w:szCs w:val="22"/>
        </w:rPr>
        <w:fldChar w:fldCharType="end"/>
      </w:r>
      <w:r w:rsidRPr="005978B5">
        <w:rPr>
          <w:rFonts w:ascii="Arial" w:hAnsi="Arial" w:cs="Arial"/>
          <w:sz w:val="22"/>
          <w:szCs w:val="22"/>
        </w:rPr>
        <w:t xml:space="preserve"> Database Search Yield</w:t>
      </w:r>
      <w:bookmarkEnd w:id="25"/>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0"/>
        <w:gridCol w:w="1320"/>
        <w:gridCol w:w="3306"/>
        <w:gridCol w:w="2560"/>
      </w:tblGrid>
      <w:tr w:rsidR="00D42485" w:rsidRPr="005978B5" w14:paraId="65BF04F3" w14:textId="77777777" w:rsidTr="003C477A">
        <w:trPr>
          <w:tblHeader/>
        </w:trPr>
        <w:tc>
          <w:tcPr>
            <w:tcW w:w="1840" w:type="dxa"/>
            <w:shd w:val="clear" w:color="auto" w:fill="0D2B4E"/>
            <w:tcMar>
              <w:top w:w="90" w:type="dxa"/>
              <w:left w:w="150" w:type="dxa"/>
              <w:bottom w:w="90" w:type="dxa"/>
              <w:right w:w="150" w:type="dxa"/>
            </w:tcMar>
            <w:vAlign w:val="center"/>
          </w:tcPr>
          <w:p w14:paraId="24ADE17D"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FFFFFF"/>
              </w:rPr>
              <w:t>Database</w:t>
            </w:r>
          </w:p>
        </w:tc>
        <w:tc>
          <w:tcPr>
            <w:tcW w:w="1320" w:type="dxa"/>
            <w:shd w:val="clear" w:color="auto" w:fill="0D2B4E"/>
            <w:tcMar>
              <w:top w:w="90" w:type="dxa"/>
              <w:left w:w="150" w:type="dxa"/>
              <w:bottom w:w="90" w:type="dxa"/>
              <w:right w:w="150" w:type="dxa"/>
            </w:tcMar>
            <w:vAlign w:val="center"/>
          </w:tcPr>
          <w:p w14:paraId="3DB039E6"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FFFFFF"/>
              </w:rPr>
              <w:t>Records Retrieved</w:t>
            </w:r>
          </w:p>
        </w:tc>
        <w:tc>
          <w:tcPr>
            <w:tcW w:w="3306" w:type="dxa"/>
            <w:shd w:val="clear" w:color="auto" w:fill="0D2B4E"/>
            <w:tcMar>
              <w:top w:w="90" w:type="dxa"/>
              <w:left w:w="150" w:type="dxa"/>
              <w:bottom w:w="90" w:type="dxa"/>
              <w:right w:w="150" w:type="dxa"/>
            </w:tcMar>
            <w:vAlign w:val="center"/>
          </w:tcPr>
          <w:p w14:paraId="2CA9FCF4"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FFFFFF"/>
              </w:rPr>
              <w:t>Coverage / Description</w:t>
            </w:r>
          </w:p>
        </w:tc>
        <w:tc>
          <w:tcPr>
            <w:tcW w:w="2560" w:type="dxa"/>
            <w:shd w:val="clear" w:color="auto" w:fill="0D2B4E"/>
            <w:tcMar>
              <w:top w:w="90" w:type="dxa"/>
              <w:left w:w="150" w:type="dxa"/>
              <w:bottom w:w="90" w:type="dxa"/>
              <w:right w:w="150" w:type="dxa"/>
            </w:tcMar>
            <w:vAlign w:val="center"/>
          </w:tcPr>
          <w:p w14:paraId="1059F2A9"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FFFFFF"/>
              </w:rPr>
              <w:t>Rationale for Inclusion</w:t>
            </w:r>
          </w:p>
        </w:tc>
      </w:tr>
      <w:tr w:rsidR="00D42485" w:rsidRPr="005978B5" w14:paraId="57EB2C45" w14:textId="77777777" w:rsidTr="003C477A">
        <w:tc>
          <w:tcPr>
            <w:tcW w:w="1840" w:type="dxa"/>
            <w:shd w:val="clear" w:color="auto" w:fill="FFFFFF"/>
            <w:tcMar>
              <w:top w:w="90" w:type="dxa"/>
              <w:left w:w="150" w:type="dxa"/>
              <w:bottom w:w="90" w:type="dxa"/>
              <w:right w:w="150" w:type="dxa"/>
            </w:tcMar>
          </w:tcPr>
          <w:p w14:paraId="6C2DCA06"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11827"/>
              </w:rPr>
              <w:t>PubMed</w:t>
            </w:r>
          </w:p>
        </w:tc>
        <w:tc>
          <w:tcPr>
            <w:tcW w:w="1320" w:type="dxa"/>
            <w:shd w:val="clear" w:color="auto" w:fill="FFFFFF"/>
            <w:tcMar>
              <w:top w:w="90" w:type="dxa"/>
              <w:left w:w="150" w:type="dxa"/>
              <w:bottom w:w="90" w:type="dxa"/>
              <w:right w:w="150" w:type="dxa"/>
            </w:tcMar>
            <w:vAlign w:val="center"/>
          </w:tcPr>
          <w:p w14:paraId="33AC29AA"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565C0"/>
              </w:rPr>
              <w:t>412</w:t>
            </w:r>
          </w:p>
        </w:tc>
        <w:tc>
          <w:tcPr>
            <w:tcW w:w="3306" w:type="dxa"/>
            <w:shd w:val="clear" w:color="auto" w:fill="FFFFFF"/>
            <w:tcMar>
              <w:top w:w="90" w:type="dxa"/>
              <w:left w:w="150" w:type="dxa"/>
              <w:bottom w:w="90" w:type="dxa"/>
              <w:right w:w="150" w:type="dxa"/>
            </w:tcMar>
          </w:tcPr>
          <w:p w14:paraId="6EC71E5F" w14:textId="77777777" w:rsidR="00D42485" w:rsidRPr="005978B5" w:rsidRDefault="00D42485" w:rsidP="003C477A">
            <w:pPr>
              <w:spacing w:line="240" w:lineRule="auto"/>
              <w:rPr>
                <w:rFonts w:ascii="Arial" w:hAnsi="Arial" w:cs="Arial"/>
              </w:rPr>
            </w:pPr>
            <w:r w:rsidRPr="005978B5">
              <w:rPr>
                <w:rFonts w:ascii="Arial" w:eastAsia="Arial" w:hAnsi="Arial" w:cs="Arial"/>
                <w:color w:val="111827"/>
              </w:rPr>
              <w:t>Biomedical and public health literature; MEDLINE-indexed; MeSH terms applied</w:t>
            </w:r>
          </w:p>
        </w:tc>
        <w:tc>
          <w:tcPr>
            <w:tcW w:w="2560" w:type="dxa"/>
            <w:shd w:val="clear" w:color="auto" w:fill="FFFFFF"/>
            <w:tcMar>
              <w:top w:w="90" w:type="dxa"/>
              <w:left w:w="150" w:type="dxa"/>
              <w:bottom w:w="90" w:type="dxa"/>
              <w:right w:w="150" w:type="dxa"/>
            </w:tcMar>
          </w:tcPr>
          <w:p w14:paraId="67E50484" w14:textId="77777777" w:rsidR="00D42485" w:rsidRPr="005978B5" w:rsidRDefault="00D42485" w:rsidP="003C477A">
            <w:pPr>
              <w:spacing w:line="240" w:lineRule="auto"/>
              <w:rPr>
                <w:rFonts w:ascii="Arial" w:hAnsi="Arial" w:cs="Arial"/>
              </w:rPr>
            </w:pPr>
            <w:r w:rsidRPr="005978B5">
              <w:rPr>
                <w:rFonts w:ascii="Arial" w:eastAsia="Arial" w:hAnsi="Arial" w:cs="Arial"/>
                <w:i/>
                <w:iCs/>
                <w:color w:val="111827"/>
              </w:rPr>
              <w:t>Primary indexed database for biomedical and public health research</w:t>
            </w:r>
          </w:p>
        </w:tc>
      </w:tr>
      <w:tr w:rsidR="00D42485" w:rsidRPr="005978B5" w14:paraId="071707C4" w14:textId="77777777" w:rsidTr="003C477A">
        <w:tc>
          <w:tcPr>
            <w:tcW w:w="1840" w:type="dxa"/>
            <w:shd w:val="clear" w:color="auto" w:fill="EDF2F7"/>
            <w:tcMar>
              <w:top w:w="90" w:type="dxa"/>
              <w:left w:w="150" w:type="dxa"/>
              <w:bottom w:w="90" w:type="dxa"/>
              <w:right w:w="150" w:type="dxa"/>
            </w:tcMar>
          </w:tcPr>
          <w:p w14:paraId="740E379E"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11827"/>
              </w:rPr>
              <w:t>CINAHL</w:t>
            </w:r>
          </w:p>
        </w:tc>
        <w:tc>
          <w:tcPr>
            <w:tcW w:w="1320" w:type="dxa"/>
            <w:shd w:val="clear" w:color="auto" w:fill="EDF2F7"/>
            <w:tcMar>
              <w:top w:w="90" w:type="dxa"/>
              <w:left w:w="150" w:type="dxa"/>
              <w:bottom w:w="90" w:type="dxa"/>
              <w:right w:w="150" w:type="dxa"/>
            </w:tcMar>
            <w:vAlign w:val="center"/>
          </w:tcPr>
          <w:p w14:paraId="60789F75"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565C0"/>
              </w:rPr>
              <w:t>189</w:t>
            </w:r>
          </w:p>
        </w:tc>
        <w:tc>
          <w:tcPr>
            <w:tcW w:w="3306" w:type="dxa"/>
            <w:shd w:val="clear" w:color="auto" w:fill="EDF2F7"/>
            <w:tcMar>
              <w:top w:w="90" w:type="dxa"/>
              <w:left w:w="150" w:type="dxa"/>
              <w:bottom w:w="90" w:type="dxa"/>
              <w:right w:w="150" w:type="dxa"/>
            </w:tcMar>
          </w:tcPr>
          <w:p w14:paraId="0E8A3D79" w14:textId="77777777" w:rsidR="00D42485" w:rsidRPr="005978B5" w:rsidRDefault="00D42485" w:rsidP="003C477A">
            <w:pPr>
              <w:spacing w:line="240" w:lineRule="auto"/>
              <w:rPr>
                <w:rFonts w:ascii="Arial" w:hAnsi="Arial" w:cs="Arial"/>
              </w:rPr>
            </w:pPr>
            <w:r w:rsidRPr="005978B5">
              <w:rPr>
                <w:rFonts w:ascii="Arial" w:eastAsia="Arial" w:hAnsi="Arial" w:cs="Arial"/>
                <w:color w:val="111827"/>
              </w:rPr>
              <w:t>Nursing, allied health and health inequalities research</w:t>
            </w:r>
          </w:p>
        </w:tc>
        <w:tc>
          <w:tcPr>
            <w:tcW w:w="2560" w:type="dxa"/>
            <w:shd w:val="clear" w:color="auto" w:fill="EDF2F7"/>
            <w:tcMar>
              <w:top w:w="90" w:type="dxa"/>
              <w:left w:w="150" w:type="dxa"/>
              <w:bottom w:w="90" w:type="dxa"/>
              <w:right w:w="150" w:type="dxa"/>
            </w:tcMar>
          </w:tcPr>
          <w:p w14:paraId="686508FF" w14:textId="77777777" w:rsidR="00D42485" w:rsidRPr="005978B5" w:rsidRDefault="00D42485" w:rsidP="003C477A">
            <w:pPr>
              <w:spacing w:line="240" w:lineRule="auto"/>
              <w:rPr>
                <w:rFonts w:ascii="Arial" w:hAnsi="Arial" w:cs="Arial"/>
              </w:rPr>
            </w:pPr>
            <w:r w:rsidRPr="005978B5">
              <w:rPr>
                <w:rFonts w:ascii="Arial" w:eastAsia="Arial" w:hAnsi="Arial" w:cs="Arial"/>
                <w:i/>
                <w:iCs/>
                <w:color w:val="111827"/>
              </w:rPr>
              <w:t>Essential for qualitative health inequalities and social determinants literature</w:t>
            </w:r>
          </w:p>
        </w:tc>
      </w:tr>
      <w:tr w:rsidR="00D42485" w:rsidRPr="005978B5" w14:paraId="5A82F25D" w14:textId="77777777" w:rsidTr="003C477A">
        <w:tc>
          <w:tcPr>
            <w:tcW w:w="1840" w:type="dxa"/>
            <w:shd w:val="clear" w:color="auto" w:fill="FFFFFF"/>
            <w:tcMar>
              <w:top w:w="90" w:type="dxa"/>
              <w:left w:w="150" w:type="dxa"/>
              <w:bottom w:w="90" w:type="dxa"/>
              <w:right w:w="150" w:type="dxa"/>
            </w:tcMar>
          </w:tcPr>
          <w:p w14:paraId="1991979D"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11827"/>
              </w:rPr>
              <w:t>MEDLINE (Ovid)</w:t>
            </w:r>
          </w:p>
        </w:tc>
        <w:tc>
          <w:tcPr>
            <w:tcW w:w="1320" w:type="dxa"/>
            <w:shd w:val="clear" w:color="auto" w:fill="FFFFFF"/>
            <w:tcMar>
              <w:top w:w="90" w:type="dxa"/>
              <w:left w:w="150" w:type="dxa"/>
              <w:bottom w:w="90" w:type="dxa"/>
              <w:right w:w="150" w:type="dxa"/>
            </w:tcMar>
            <w:vAlign w:val="center"/>
          </w:tcPr>
          <w:p w14:paraId="0172185D"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565C0"/>
              </w:rPr>
              <w:t>211</w:t>
            </w:r>
          </w:p>
        </w:tc>
        <w:tc>
          <w:tcPr>
            <w:tcW w:w="3306" w:type="dxa"/>
            <w:shd w:val="clear" w:color="auto" w:fill="FFFFFF"/>
            <w:tcMar>
              <w:top w:w="90" w:type="dxa"/>
              <w:left w:w="150" w:type="dxa"/>
              <w:bottom w:w="90" w:type="dxa"/>
              <w:right w:w="150" w:type="dxa"/>
            </w:tcMar>
          </w:tcPr>
          <w:p w14:paraId="111D4F5A" w14:textId="559A2D0B" w:rsidR="00D42485" w:rsidRPr="005978B5" w:rsidRDefault="00D42485" w:rsidP="003C477A">
            <w:pPr>
              <w:spacing w:line="240" w:lineRule="auto"/>
              <w:rPr>
                <w:rFonts w:ascii="Arial" w:hAnsi="Arial" w:cs="Arial"/>
              </w:rPr>
            </w:pPr>
            <w:r w:rsidRPr="005978B5">
              <w:rPr>
                <w:rFonts w:ascii="Arial" w:eastAsia="Arial" w:hAnsi="Arial" w:cs="Arial"/>
                <w:color w:val="111827"/>
              </w:rPr>
              <w:t xml:space="preserve">Extended Boolean filtering; broader MEDLINE retrieval via </w:t>
            </w:r>
            <w:r w:rsidR="004D17BA" w:rsidRPr="005978B5">
              <w:rPr>
                <w:rFonts w:ascii="Arial" w:eastAsia="Arial" w:hAnsi="Arial" w:cs="Arial"/>
                <w:color w:val="111827"/>
              </w:rPr>
              <w:t xml:space="preserve">the </w:t>
            </w:r>
            <w:r w:rsidRPr="005978B5">
              <w:rPr>
                <w:rFonts w:ascii="Arial" w:eastAsia="Arial" w:hAnsi="Arial" w:cs="Arial"/>
                <w:color w:val="111827"/>
              </w:rPr>
              <w:t>Ovid platform</w:t>
            </w:r>
          </w:p>
        </w:tc>
        <w:tc>
          <w:tcPr>
            <w:tcW w:w="2560" w:type="dxa"/>
            <w:shd w:val="clear" w:color="auto" w:fill="FFFFFF"/>
            <w:tcMar>
              <w:top w:w="90" w:type="dxa"/>
              <w:left w:w="150" w:type="dxa"/>
              <w:bottom w:w="90" w:type="dxa"/>
              <w:right w:w="150" w:type="dxa"/>
            </w:tcMar>
          </w:tcPr>
          <w:p w14:paraId="2C79DF94" w14:textId="77777777" w:rsidR="00D42485" w:rsidRPr="005978B5" w:rsidRDefault="00D42485" w:rsidP="003C477A">
            <w:pPr>
              <w:spacing w:line="240" w:lineRule="auto"/>
              <w:rPr>
                <w:rFonts w:ascii="Arial" w:hAnsi="Arial" w:cs="Arial"/>
              </w:rPr>
            </w:pPr>
            <w:r w:rsidRPr="005978B5">
              <w:rPr>
                <w:rFonts w:ascii="Arial" w:eastAsia="Arial" w:hAnsi="Arial" w:cs="Arial"/>
                <w:i/>
                <w:iCs/>
                <w:color w:val="111827"/>
              </w:rPr>
              <w:t>Supplementary to PubMed; additional records via advanced search options</w:t>
            </w:r>
          </w:p>
        </w:tc>
      </w:tr>
      <w:tr w:rsidR="00D42485" w:rsidRPr="005978B5" w14:paraId="15CA0A27" w14:textId="77777777" w:rsidTr="003C477A">
        <w:tc>
          <w:tcPr>
            <w:tcW w:w="1840" w:type="dxa"/>
            <w:shd w:val="clear" w:color="auto" w:fill="EDF2F7"/>
            <w:tcMar>
              <w:top w:w="90" w:type="dxa"/>
              <w:left w:w="150" w:type="dxa"/>
              <w:bottom w:w="90" w:type="dxa"/>
              <w:right w:w="150" w:type="dxa"/>
            </w:tcMar>
          </w:tcPr>
          <w:p w14:paraId="6C98C7D1"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11827"/>
              </w:rPr>
              <w:lastRenderedPageBreak/>
              <w:t>Google Scholar</w:t>
            </w:r>
          </w:p>
        </w:tc>
        <w:tc>
          <w:tcPr>
            <w:tcW w:w="1320" w:type="dxa"/>
            <w:shd w:val="clear" w:color="auto" w:fill="EDF2F7"/>
            <w:tcMar>
              <w:top w:w="90" w:type="dxa"/>
              <w:left w:w="150" w:type="dxa"/>
              <w:bottom w:w="90" w:type="dxa"/>
              <w:right w:w="150" w:type="dxa"/>
            </w:tcMar>
            <w:vAlign w:val="center"/>
          </w:tcPr>
          <w:p w14:paraId="3C367FFB"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565C0"/>
              </w:rPr>
              <w:t>324</w:t>
            </w:r>
          </w:p>
        </w:tc>
        <w:tc>
          <w:tcPr>
            <w:tcW w:w="3306" w:type="dxa"/>
            <w:shd w:val="clear" w:color="auto" w:fill="EDF2F7"/>
            <w:tcMar>
              <w:top w:w="90" w:type="dxa"/>
              <w:left w:w="150" w:type="dxa"/>
              <w:bottom w:w="90" w:type="dxa"/>
              <w:right w:w="150" w:type="dxa"/>
            </w:tcMar>
          </w:tcPr>
          <w:p w14:paraId="11D89F1F" w14:textId="77777777" w:rsidR="00D42485" w:rsidRPr="005978B5" w:rsidRDefault="00D42485" w:rsidP="003C477A">
            <w:pPr>
              <w:spacing w:line="240" w:lineRule="auto"/>
              <w:rPr>
                <w:rFonts w:ascii="Arial" w:hAnsi="Arial" w:cs="Arial"/>
              </w:rPr>
            </w:pPr>
            <w:r w:rsidRPr="005978B5">
              <w:rPr>
                <w:rFonts w:ascii="Arial" w:eastAsia="Arial" w:hAnsi="Arial" w:cs="Arial"/>
                <w:color w:val="111827"/>
              </w:rPr>
              <w:t>Open-access, multi-disciplinary; SDH and grey literature not fully indexed elsewhere</w:t>
            </w:r>
          </w:p>
        </w:tc>
        <w:tc>
          <w:tcPr>
            <w:tcW w:w="2560" w:type="dxa"/>
            <w:shd w:val="clear" w:color="auto" w:fill="EDF2F7"/>
            <w:tcMar>
              <w:top w:w="90" w:type="dxa"/>
              <w:left w:w="150" w:type="dxa"/>
              <w:bottom w:w="90" w:type="dxa"/>
              <w:right w:w="150" w:type="dxa"/>
            </w:tcMar>
          </w:tcPr>
          <w:p w14:paraId="3E5D210F" w14:textId="77777777" w:rsidR="00D42485" w:rsidRPr="005978B5" w:rsidRDefault="00D42485" w:rsidP="003C477A">
            <w:pPr>
              <w:spacing w:line="240" w:lineRule="auto"/>
              <w:rPr>
                <w:rFonts w:ascii="Arial" w:hAnsi="Arial" w:cs="Arial"/>
              </w:rPr>
            </w:pPr>
            <w:r w:rsidRPr="005978B5">
              <w:rPr>
                <w:rFonts w:ascii="Arial" w:eastAsia="Arial" w:hAnsi="Arial" w:cs="Arial"/>
                <w:i/>
                <w:iCs/>
                <w:color w:val="111827"/>
              </w:rPr>
              <w:t>Captures open-access and multidisciplinary publications on health inequalities</w:t>
            </w:r>
          </w:p>
        </w:tc>
      </w:tr>
      <w:tr w:rsidR="00D42485" w:rsidRPr="005978B5" w14:paraId="14DBF0D7" w14:textId="77777777" w:rsidTr="003C477A">
        <w:tc>
          <w:tcPr>
            <w:tcW w:w="1840" w:type="dxa"/>
            <w:shd w:val="clear" w:color="auto" w:fill="1A3D6E"/>
            <w:tcMar>
              <w:top w:w="90" w:type="dxa"/>
              <w:left w:w="150" w:type="dxa"/>
              <w:bottom w:w="90" w:type="dxa"/>
              <w:right w:w="150" w:type="dxa"/>
            </w:tcMar>
          </w:tcPr>
          <w:p w14:paraId="02F43B82"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FFFFFF"/>
              </w:rPr>
              <w:t>TOTAL</w:t>
            </w:r>
          </w:p>
        </w:tc>
        <w:tc>
          <w:tcPr>
            <w:tcW w:w="1320" w:type="dxa"/>
            <w:shd w:val="clear" w:color="auto" w:fill="1A3D6E"/>
            <w:tcMar>
              <w:top w:w="90" w:type="dxa"/>
              <w:left w:w="150" w:type="dxa"/>
              <w:bottom w:w="90" w:type="dxa"/>
              <w:right w:w="150" w:type="dxa"/>
            </w:tcMar>
            <w:vAlign w:val="center"/>
          </w:tcPr>
          <w:p w14:paraId="6E9BACAF"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FFFFFF"/>
              </w:rPr>
              <w:t>1,136</w:t>
            </w:r>
          </w:p>
        </w:tc>
        <w:tc>
          <w:tcPr>
            <w:tcW w:w="3306" w:type="dxa"/>
            <w:shd w:val="clear" w:color="auto" w:fill="1A3D6E"/>
            <w:tcMar>
              <w:top w:w="90" w:type="dxa"/>
              <w:left w:w="150" w:type="dxa"/>
              <w:bottom w:w="90" w:type="dxa"/>
              <w:right w:w="150" w:type="dxa"/>
            </w:tcMar>
          </w:tcPr>
          <w:p w14:paraId="653CBA33" w14:textId="77777777" w:rsidR="00D42485" w:rsidRPr="005978B5" w:rsidRDefault="00D42485" w:rsidP="003C477A">
            <w:pPr>
              <w:spacing w:line="240" w:lineRule="auto"/>
              <w:rPr>
                <w:rFonts w:ascii="Arial" w:hAnsi="Arial" w:cs="Arial"/>
              </w:rPr>
            </w:pPr>
            <w:r w:rsidRPr="005978B5">
              <w:rPr>
                <w:rFonts w:ascii="Arial" w:eastAsia="Arial" w:hAnsi="Arial" w:cs="Arial"/>
                <w:color w:val="FFFFFF"/>
              </w:rPr>
              <w:t>Before duplicate removal (203 duplicate records removed → 933 records screened)</w:t>
            </w:r>
          </w:p>
        </w:tc>
        <w:tc>
          <w:tcPr>
            <w:tcW w:w="2560" w:type="dxa"/>
            <w:shd w:val="clear" w:color="auto" w:fill="1A3D6E"/>
            <w:tcMar>
              <w:top w:w="90" w:type="dxa"/>
              <w:left w:w="150" w:type="dxa"/>
              <w:bottom w:w="90" w:type="dxa"/>
              <w:right w:w="150" w:type="dxa"/>
            </w:tcMar>
          </w:tcPr>
          <w:p w14:paraId="65C01469" w14:textId="77777777" w:rsidR="00D42485" w:rsidRPr="005978B5" w:rsidRDefault="00D42485" w:rsidP="003C477A">
            <w:pPr>
              <w:spacing w:line="240" w:lineRule="auto"/>
              <w:rPr>
                <w:rFonts w:ascii="Arial" w:hAnsi="Arial" w:cs="Arial"/>
              </w:rPr>
            </w:pPr>
            <w:r w:rsidRPr="005978B5">
              <w:rPr>
                <w:rFonts w:ascii="Arial" w:eastAsia="Arial" w:hAnsi="Arial" w:cs="Arial"/>
                <w:color w:val="FFFFFF"/>
              </w:rPr>
              <w:t>Combined yield across all four databases</w:t>
            </w:r>
          </w:p>
        </w:tc>
      </w:tr>
      <w:tr w:rsidR="00D42485" w:rsidRPr="005978B5" w14:paraId="7749E862" w14:textId="77777777" w:rsidTr="003C477A">
        <w:tc>
          <w:tcPr>
            <w:tcW w:w="9026" w:type="dxa"/>
            <w:gridSpan w:val="4"/>
            <w:shd w:val="clear" w:color="auto" w:fill="E2EAF3"/>
            <w:tcMar>
              <w:top w:w="90" w:type="dxa"/>
              <w:left w:w="150" w:type="dxa"/>
              <w:bottom w:w="90" w:type="dxa"/>
              <w:right w:w="150" w:type="dxa"/>
            </w:tcMar>
          </w:tcPr>
          <w:p w14:paraId="54B322C6" w14:textId="518580F6" w:rsidR="00D42485" w:rsidRPr="005978B5" w:rsidRDefault="00D42485" w:rsidP="003C477A">
            <w:pPr>
              <w:spacing w:line="240" w:lineRule="auto"/>
              <w:rPr>
                <w:rFonts w:ascii="Arial" w:hAnsi="Arial" w:cs="Arial"/>
              </w:rPr>
            </w:pPr>
            <w:r w:rsidRPr="005978B5">
              <w:rPr>
                <w:rFonts w:ascii="Arial" w:eastAsia="Arial" w:hAnsi="Arial" w:cs="Arial"/>
                <w:b/>
                <w:bCs/>
                <w:color w:val="111827"/>
              </w:rPr>
              <w:t xml:space="preserve">Core search string applied across all databases: </w:t>
            </w:r>
            <w:r w:rsidRPr="005978B5">
              <w:rPr>
                <w:rFonts w:ascii="Arial" w:eastAsia="Arial" w:hAnsi="Arial" w:cs="Arial"/>
                <w:color w:val="1565C0"/>
              </w:rPr>
              <w:t xml:space="preserve">("type 2 diabetes" OR "T2DM") AND ("ethnic minority" OR "Black" OR "South Asian" OR "African Caribbean" OR "BAME") AND ("barrier" OR "prevention" OR "health inequalities") AND ("United Kingdom" OR "UK" OR "England"). </w:t>
            </w:r>
            <w:r w:rsidRPr="005978B5">
              <w:rPr>
                <w:rFonts w:ascii="Arial" w:eastAsia="Arial" w:hAnsi="Arial" w:cs="Arial"/>
                <w:color w:val="374151"/>
              </w:rPr>
              <w:t xml:space="preserve">MeSH terms and truncation </w:t>
            </w:r>
            <w:r w:rsidR="004D17BA" w:rsidRPr="005978B5">
              <w:rPr>
                <w:rFonts w:ascii="Arial" w:eastAsia="Arial" w:hAnsi="Arial" w:cs="Arial"/>
                <w:color w:val="374151"/>
              </w:rPr>
              <w:t xml:space="preserve">were </w:t>
            </w:r>
            <w:r w:rsidRPr="005978B5">
              <w:rPr>
                <w:rFonts w:ascii="Arial" w:eastAsia="Arial" w:hAnsi="Arial" w:cs="Arial"/>
                <w:color w:val="374151"/>
              </w:rPr>
              <w:t xml:space="preserve">applied in PubMed and MEDLINE. Search restricted to </w:t>
            </w:r>
            <w:r w:rsidR="001652BE" w:rsidRPr="001652BE">
              <w:rPr>
                <w:rFonts w:ascii="Arial" w:eastAsia="Arial" w:hAnsi="Arial" w:cs="Arial"/>
                <w:color w:val="374151"/>
              </w:rPr>
              <w:t>2015–2026</w:t>
            </w:r>
            <w:r w:rsidRPr="005978B5">
              <w:rPr>
                <w:rFonts w:ascii="Arial" w:eastAsia="Arial" w:hAnsi="Arial" w:cs="Arial"/>
                <w:color w:val="374151"/>
              </w:rPr>
              <w:t xml:space="preserve"> peer-reviewed publications. </w:t>
            </w:r>
            <w:r w:rsidR="00035495" w:rsidRPr="005978B5">
              <w:rPr>
                <w:rFonts w:ascii="Arial" w:hAnsi="Arial" w:cs="Arial"/>
              </w:rPr>
              <w:t>PICO framework</w:t>
            </w:r>
            <w:r w:rsidRPr="005978B5">
              <w:rPr>
                <w:rFonts w:ascii="Arial" w:eastAsia="Arial" w:hAnsi="Arial" w:cs="Arial"/>
                <w:color w:val="374151"/>
              </w:rPr>
              <w:t>; PRISMA 2020 (Page et al., 2021). See Section 3.2.</w:t>
            </w:r>
          </w:p>
        </w:tc>
      </w:tr>
    </w:tbl>
    <w:p w14:paraId="1A39563B" w14:textId="08D0F308" w:rsidR="00D42485" w:rsidRPr="0018147A" w:rsidRDefault="00B0587B" w:rsidP="0018147A">
      <w:pPr>
        <w:spacing w:line="240" w:lineRule="auto"/>
        <w:jc w:val="center"/>
        <w:rPr>
          <w:rFonts w:ascii="Arial" w:hAnsi="Arial" w:cs="Arial"/>
          <w:sz w:val="18"/>
          <w:szCs w:val="18"/>
        </w:rPr>
      </w:pPr>
      <w:r w:rsidRPr="0018147A">
        <w:rPr>
          <w:rFonts w:ascii="Arial" w:hAnsi="Arial" w:cs="Arial"/>
          <w:i/>
          <w:sz w:val="18"/>
          <w:szCs w:val="18"/>
        </w:rPr>
        <w:t xml:space="preserve">Records retrieved per database. MeSH terms and Boolean operators applied. Search restricted to </w:t>
      </w:r>
      <w:r w:rsidR="001652BE" w:rsidRPr="0018147A">
        <w:rPr>
          <w:rFonts w:ascii="Arial" w:hAnsi="Arial" w:cs="Arial"/>
          <w:i/>
          <w:sz w:val="18"/>
          <w:szCs w:val="18"/>
        </w:rPr>
        <w:t>2015–2026</w:t>
      </w:r>
      <w:r w:rsidRPr="0018147A">
        <w:rPr>
          <w:rFonts w:ascii="Arial" w:hAnsi="Arial" w:cs="Arial"/>
          <w:i/>
          <w:sz w:val="18"/>
          <w:szCs w:val="18"/>
        </w:rPr>
        <w:t xml:space="preserve"> peer-reviewed publications. Based on the </w:t>
      </w:r>
      <w:r w:rsidR="00035495" w:rsidRPr="0018147A">
        <w:rPr>
          <w:rFonts w:ascii="Arial" w:hAnsi="Arial" w:cs="Arial"/>
          <w:sz w:val="18"/>
          <w:szCs w:val="18"/>
        </w:rPr>
        <w:t>PICO framework</w:t>
      </w:r>
      <w:r w:rsidRPr="0018147A">
        <w:rPr>
          <w:rFonts w:ascii="Arial" w:hAnsi="Arial" w:cs="Arial"/>
          <w:i/>
          <w:sz w:val="18"/>
          <w:szCs w:val="18"/>
        </w:rPr>
        <w:t xml:space="preserve"> and PRISMA 2020 (Page et al., 2021).</w:t>
      </w:r>
    </w:p>
    <w:p w14:paraId="39A8B069" w14:textId="77777777" w:rsidR="007D286C" w:rsidRPr="005978B5" w:rsidRDefault="007D286C" w:rsidP="00354518">
      <w:pPr>
        <w:pStyle w:val="Heading2"/>
        <w:spacing w:line="360" w:lineRule="auto"/>
        <w:jc w:val="both"/>
        <w:rPr>
          <w:rFonts w:ascii="Arial" w:hAnsi="Arial" w:cs="Arial"/>
          <w:sz w:val="22"/>
        </w:rPr>
      </w:pPr>
      <w:bookmarkStart w:id="26" w:name="_Toc232173678"/>
      <w:r w:rsidRPr="005978B5">
        <w:rPr>
          <w:rFonts w:ascii="Arial" w:hAnsi="Arial" w:cs="Arial"/>
          <w:sz w:val="22"/>
        </w:rPr>
        <w:t>3.3 Inclusion and Exclusion Criteria</w:t>
      </w:r>
      <w:bookmarkEnd w:id="26"/>
    </w:p>
    <w:p w14:paraId="17849113" w14:textId="3CB9D2A4" w:rsidR="002D3BF4" w:rsidRPr="005978B5" w:rsidRDefault="00F64C9C" w:rsidP="002D3BF4">
      <w:pPr>
        <w:spacing w:line="360" w:lineRule="auto"/>
        <w:jc w:val="both"/>
        <w:rPr>
          <w:rFonts w:ascii="Arial" w:hAnsi="Arial" w:cs="Arial"/>
        </w:rPr>
      </w:pPr>
      <w:r w:rsidRPr="005978B5">
        <w:rPr>
          <w:rFonts w:ascii="Arial" w:hAnsi="Arial" w:cs="Arial"/>
        </w:rPr>
        <w:t>Eligibility criteria: The search was predetermined by the choice of eligibility criteria that would help select the studies and reduce the risk of bias.</w:t>
      </w:r>
    </w:p>
    <w:p w14:paraId="56D06893" w14:textId="5164E0F6" w:rsidR="007D286C" w:rsidRPr="005978B5" w:rsidRDefault="007D286C" w:rsidP="00354518">
      <w:pPr>
        <w:spacing w:line="360" w:lineRule="auto"/>
        <w:jc w:val="both"/>
        <w:rPr>
          <w:rFonts w:ascii="Arial" w:hAnsi="Arial" w:cs="Arial"/>
        </w:rPr>
      </w:pPr>
    </w:p>
    <w:p w14:paraId="5297C1D9" w14:textId="549AE58E" w:rsidR="00212C29" w:rsidRPr="005978B5" w:rsidRDefault="00212C29" w:rsidP="00212C29">
      <w:pPr>
        <w:pStyle w:val="Caption"/>
        <w:keepNext/>
        <w:jc w:val="center"/>
        <w:rPr>
          <w:rFonts w:ascii="Arial" w:hAnsi="Arial" w:cs="Arial"/>
          <w:sz w:val="22"/>
          <w:szCs w:val="22"/>
        </w:rPr>
      </w:pPr>
      <w:bookmarkStart w:id="27" w:name="_Toc231680746"/>
      <w:r w:rsidRPr="005978B5">
        <w:rPr>
          <w:rFonts w:ascii="Arial" w:hAnsi="Arial" w:cs="Arial"/>
          <w:sz w:val="22"/>
          <w:szCs w:val="22"/>
        </w:rPr>
        <w:t xml:space="preserve">Table 3. </w:t>
      </w:r>
      <w:r w:rsidRPr="005978B5">
        <w:rPr>
          <w:rFonts w:ascii="Arial" w:hAnsi="Arial" w:cs="Arial"/>
          <w:sz w:val="22"/>
          <w:szCs w:val="22"/>
        </w:rPr>
        <w:fldChar w:fldCharType="begin"/>
      </w:r>
      <w:r w:rsidRPr="005978B5">
        <w:rPr>
          <w:rFonts w:ascii="Arial" w:hAnsi="Arial" w:cs="Arial"/>
          <w:sz w:val="22"/>
          <w:szCs w:val="22"/>
        </w:rPr>
        <w:instrText xml:space="preserve"> SEQ Table_3. \* ARABIC </w:instrText>
      </w:r>
      <w:r w:rsidRPr="005978B5">
        <w:rPr>
          <w:rFonts w:ascii="Arial" w:hAnsi="Arial" w:cs="Arial"/>
          <w:sz w:val="22"/>
          <w:szCs w:val="22"/>
        </w:rPr>
        <w:fldChar w:fldCharType="separate"/>
      </w:r>
      <w:r w:rsidRPr="005978B5">
        <w:rPr>
          <w:rFonts w:ascii="Arial" w:hAnsi="Arial" w:cs="Arial"/>
          <w:noProof/>
          <w:sz w:val="22"/>
          <w:szCs w:val="22"/>
        </w:rPr>
        <w:t>2</w:t>
      </w:r>
      <w:r w:rsidRPr="005978B5">
        <w:rPr>
          <w:rFonts w:ascii="Arial" w:hAnsi="Arial" w:cs="Arial"/>
          <w:noProof/>
          <w:sz w:val="22"/>
          <w:szCs w:val="22"/>
        </w:rPr>
        <w:fldChar w:fldCharType="end"/>
      </w:r>
      <w:r w:rsidRPr="005978B5">
        <w:rPr>
          <w:rFonts w:ascii="Arial" w:hAnsi="Arial" w:cs="Arial"/>
          <w:sz w:val="22"/>
          <w:szCs w:val="22"/>
        </w:rPr>
        <w:t xml:space="preserve"> Inclusion and Exclusion Criteria</w:t>
      </w:r>
      <w:bookmarkEnd w:id="2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13"/>
        <w:gridCol w:w="4513"/>
      </w:tblGrid>
      <w:tr w:rsidR="00144F46" w:rsidRPr="005978B5" w14:paraId="2BCBEEB1" w14:textId="77777777" w:rsidTr="003C477A">
        <w:trPr>
          <w:tblHeader/>
        </w:trPr>
        <w:tc>
          <w:tcPr>
            <w:tcW w:w="4513" w:type="dxa"/>
            <w:shd w:val="clear" w:color="auto" w:fill="1B5E20"/>
            <w:tcMar>
              <w:top w:w="90" w:type="dxa"/>
              <w:left w:w="150" w:type="dxa"/>
              <w:bottom w:w="90" w:type="dxa"/>
              <w:right w:w="150" w:type="dxa"/>
            </w:tcMar>
            <w:vAlign w:val="center"/>
          </w:tcPr>
          <w:p w14:paraId="622ACC5C"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FFFFFF"/>
              </w:rPr>
              <w:t>✓</w:t>
            </w:r>
            <w:r w:rsidRPr="005978B5">
              <w:rPr>
                <w:rFonts w:ascii="Arial" w:eastAsia="Arial" w:hAnsi="Arial" w:cs="Arial"/>
                <w:b/>
                <w:bCs/>
                <w:color w:val="FFFFFF"/>
              </w:rPr>
              <w:t xml:space="preserve"> Inclusion Criteria</w:t>
            </w:r>
          </w:p>
        </w:tc>
        <w:tc>
          <w:tcPr>
            <w:tcW w:w="4513" w:type="dxa"/>
            <w:shd w:val="clear" w:color="auto" w:fill="B71C1C"/>
            <w:tcMar>
              <w:top w:w="90" w:type="dxa"/>
              <w:left w:w="150" w:type="dxa"/>
              <w:bottom w:w="90" w:type="dxa"/>
              <w:right w:w="150" w:type="dxa"/>
            </w:tcMar>
            <w:vAlign w:val="center"/>
          </w:tcPr>
          <w:p w14:paraId="1EEECB40"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FFFFFF"/>
              </w:rPr>
              <w:t>✕</w:t>
            </w:r>
            <w:r w:rsidRPr="005978B5">
              <w:rPr>
                <w:rFonts w:ascii="Arial" w:eastAsia="Arial" w:hAnsi="Arial" w:cs="Arial"/>
                <w:b/>
                <w:bCs/>
                <w:color w:val="FFFFFF"/>
              </w:rPr>
              <w:t xml:space="preserve"> Exclusion Criteria</w:t>
            </w:r>
          </w:p>
        </w:tc>
      </w:tr>
      <w:tr w:rsidR="00144F46" w:rsidRPr="005978B5" w14:paraId="506C032D" w14:textId="77777777" w:rsidTr="003C477A">
        <w:tc>
          <w:tcPr>
            <w:tcW w:w="4513" w:type="dxa"/>
            <w:shd w:val="clear" w:color="auto" w:fill="E8F5E9"/>
            <w:tcMar>
              <w:top w:w="90" w:type="dxa"/>
              <w:left w:w="150" w:type="dxa"/>
              <w:bottom w:w="90" w:type="dxa"/>
              <w:right w:w="150" w:type="dxa"/>
            </w:tcMar>
          </w:tcPr>
          <w:p w14:paraId="507C5DFC" w14:textId="504D25ED"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t>✓</w:t>
            </w:r>
            <w:r w:rsidRPr="005978B5">
              <w:rPr>
                <w:rFonts w:ascii="Arial" w:eastAsia="Arial" w:hAnsi="Arial" w:cs="Arial"/>
                <w:b/>
                <w:bCs/>
                <w:color w:val="1B5E20"/>
              </w:rPr>
              <w:t xml:space="preserve"> </w:t>
            </w:r>
            <w:r w:rsidRPr="005978B5">
              <w:rPr>
                <w:rFonts w:ascii="Arial" w:eastAsia="Arial" w:hAnsi="Arial" w:cs="Arial"/>
                <w:color w:val="111827"/>
              </w:rPr>
              <w:t>Published in a peer-reviewed journal (</w:t>
            </w:r>
            <w:r w:rsidR="001652BE" w:rsidRPr="001652BE">
              <w:rPr>
                <w:rFonts w:ascii="Arial" w:eastAsia="Arial" w:hAnsi="Arial" w:cs="Arial"/>
                <w:color w:val="111827"/>
              </w:rPr>
              <w:t>2015–2026</w:t>
            </w:r>
            <w:r w:rsidRPr="005978B5">
              <w:rPr>
                <w:rFonts w:ascii="Arial" w:eastAsia="Arial" w:hAnsi="Arial" w:cs="Arial"/>
                <w:color w:val="111827"/>
              </w:rPr>
              <w:t>)</w:t>
            </w:r>
          </w:p>
        </w:tc>
        <w:tc>
          <w:tcPr>
            <w:tcW w:w="4513" w:type="dxa"/>
            <w:shd w:val="clear" w:color="auto" w:fill="FEE2E2"/>
            <w:tcMar>
              <w:top w:w="90" w:type="dxa"/>
              <w:left w:w="150" w:type="dxa"/>
              <w:bottom w:w="90" w:type="dxa"/>
              <w:right w:w="150" w:type="dxa"/>
            </w:tcMar>
          </w:tcPr>
          <w:p w14:paraId="4E2E705A"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B71C1C"/>
              </w:rPr>
              <w:t>✕</w:t>
            </w:r>
            <w:r w:rsidRPr="005978B5">
              <w:rPr>
                <w:rFonts w:ascii="Arial" w:eastAsia="Arial" w:hAnsi="Arial" w:cs="Arial"/>
                <w:b/>
                <w:bCs/>
                <w:color w:val="B71C1C"/>
              </w:rPr>
              <w:t xml:space="preserve"> </w:t>
            </w:r>
            <w:r w:rsidRPr="005978B5">
              <w:rPr>
                <w:rFonts w:ascii="Arial" w:eastAsia="Arial" w:hAnsi="Arial" w:cs="Arial"/>
                <w:color w:val="111827"/>
              </w:rPr>
              <w:t>Conducted in a non-UK country setting</w:t>
            </w:r>
          </w:p>
        </w:tc>
      </w:tr>
      <w:tr w:rsidR="00144F46" w:rsidRPr="005978B5" w14:paraId="7CF51182" w14:textId="77777777" w:rsidTr="003C477A">
        <w:tc>
          <w:tcPr>
            <w:tcW w:w="4513" w:type="dxa"/>
            <w:shd w:val="clear" w:color="auto" w:fill="E8F5E9"/>
            <w:tcMar>
              <w:top w:w="90" w:type="dxa"/>
              <w:left w:w="150" w:type="dxa"/>
              <w:bottom w:w="90" w:type="dxa"/>
              <w:right w:w="150" w:type="dxa"/>
            </w:tcMar>
          </w:tcPr>
          <w:p w14:paraId="174C0B11"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t>✓</w:t>
            </w:r>
            <w:r w:rsidRPr="005978B5">
              <w:rPr>
                <w:rFonts w:ascii="Arial" w:eastAsia="Arial" w:hAnsi="Arial" w:cs="Arial"/>
                <w:b/>
                <w:bCs/>
                <w:color w:val="1B5E20"/>
              </w:rPr>
              <w:t xml:space="preserve"> </w:t>
            </w:r>
            <w:r w:rsidRPr="005978B5">
              <w:rPr>
                <w:rFonts w:ascii="Arial" w:eastAsia="Arial" w:hAnsi="Arial" w:cs="Arial"/>
                <w:color w:val="111827"/>
              </w:rPr>
              <w:t>Study conducted in a United Kingdom context</w:t>
            </w:r>
          </w:p>
        </w:tc>
        <w:tc>
          <w:tcPr>
            <w:tcW w:w="4513" w:type="dxa"/>
            <w:shd w:val="clear" w:color="auto" w:fill="FEE2E2"/>
            <w:tcMar>
              <w:top w:w="90" w:type="dxa"/>
              <w:left w:w="150" w:type="dxa"/>
              <w:bottom w:w="90" w:type="dxa"/>
              <w:right w:w="150" w:type="dxa"/>
            </w:tcMar>
          </w:tcPr>
          <w:p w14:paraId="5B513E80"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B71C1C"/>
              </w:rPr>
              <w:t>✕</w:t>
            </w:r>
            <w:r w:rsidRPr="005978B5">
              <w:rPr>
                <w:rFonts w:ascii="Arial" w:eastAsia="Arial" w:hAnsi="Arial" w:cs="Arial"/>
                <w:b/>
                <w:bCs/>
                <w:color w:val="B71C1C"/>
              </w:rPr>
              <w:t xml:space="preserve"> </w:t>
            </w:r>
            <w:r w:rsidRPr="005978B5">
              <w:rPr>
                <w:rFonts w:ascii="Arial" w:eastAsia="Arial" w:hAnsi="Arial" w:cs="Arial"/>
                <w:color w:val="111827"/>
              </w:rPr>
              <w:t>Type 1, gestational, or unspecified diabetes (T2DM data not extractable)</w:t>
            </w:r>
          </w:p>
        </w:tc>
      </w:tr>
      <w:tr w:rsidR="00144F46" w:rsidRPr="005978B5" w14:paraId="7EC4D0EB" w14:textId="77777777" w:rsidTr="003C477A">
        <w:tc>
          <w:tcPr>
            <w:tcW w:w="4513" w:type="dxa"/>
            <w:shd w:val="clear" w:color="auto" w:fill="E8F5E9"/>
            <w:tcMar>
              <w:top w:w="90" w:type="dxa"/>
              <w:left w:w="150" w:type="dxa"/>
              <w:bottom w:w="90" w:type="dxa"/>
              <w:right w:w="150" w:type="dxa"/>
            </w:tcMar>
          </w:tcPr>
          <w:p w14:paraId="28EC3537"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t>✓</w:t>
            </w:r>
            <w:r w:rsidRPr="005978B5">
              <w:rPr>
                <w:rFonts w:ascii="Arial" w:eastAsia="Arial" w:hAnsi="Arial" w:cs="Arial"/>
                <w:b/>
                <w:bCs/>
                <w:color w:val="1B5E20"/>
              </w:rPr>
              <w:t xml:space="preserve"> </w:t>
            </w:r>
            <w:r w:rsidRPr="005978B5">
              <w:rPr>
                <w:rFonts w:ascii="Arial" w:eastAsia="Arial" w:hAnsi="Arial" w:cs="Arial"/>
                <w:color w:val="111827"/>
              </w:rPr>
              <w:t>Adult participants aged 18 years and above</w:t>
            </w:r>
          </w:p>
        </w:tc>
        <w:tc>
          <w:tcPr>
            <w:tcW w:w="4513" w:type="dxa"/>
            <w:shd w:val="clear" w:color="auto" w:fill="FEE2E2"/>
            <w:tcMar>
              <w:top w:w="90" w:type="dxa"/>
              <w:left w:w="150" w:type="dxa"/>
              <w:bottom w:w="90" w:type="dxa"/>
              <w:right w:w="150" w:type="dxa"/>
            </w:tcMar>
          </w:tcPr>
          <w:p w14:paraId="08C24C76"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B71C1C"/>
              </w:rPr>
              <w:t>✕</w:t>
            </w:r>
            <w:r w:rsidRPr="005978B5">
              <w:rPr>
                <w:rFonts w:ascii="Arial" w:eastAsia="Arial" w:hAnsi="Arial" w:cs="Arial"/>
                <w:b/>
                <w:bCs/>
                <w:color w:val="B71C1C"/>
              </w:rPr>
              <w:t xml:space="preserve"> </w:t>
            </w:r>
            <w:r w:rsidRPr="005978B5">
              <w:rPr>
                <w:rFonts w:ascii="Arial" w:eastAsia="Arial" w:hAnsi="Arial" w:cs="Arial"/>
                <w:color w:val="111827"/>
              </w:rPr>
              <w:t>Systematic review, narrative review, editorial, letter or conference abstract</w:t>
            </w:r>
          </w:p>
        </w:tc>
      </w:tr>
      <w:tr w:rsidR="00144F46" w:rsidRPr="005978B5" w14:paraId="27EB5B1E" w14:textId="77777777" w:rsidTr="003C477A">
        <w:tc>
          <w:tcPr>
            <w:tcW w:w="4513" w:type="dxa"/>
            <w:shd w:val="clear" w:color="auto" w:fill="E8F5E9"/>
            <w:tcMar>
              <w:top w:w="90" w:type="dxa"/>
              <w:left w:w="150" w:type="dxa"/>
              <w:bottom w:w="90" w:type="dxa"/>
              <w:right w:w="150" w:type="dxa"/>
            </w:tcMar>
          </w:tcPr>
          <w:p w14:paraId="7D4B13CB"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t>✓</w:t>
            </w:r>
            <w:r w:rsidRPr="005978B5">
              <w:rPr>
                <w:rFonts w:ascii="Arial" w:eastAsia="Arial" w:hAnsi="Arial" w:cs="Arial"/>
                <w:b/>
                <w:bCs/>
                <w:color w:val="1B5E20"/>
              </w:rPr>
              <w:t xml:space="preserve"> </w:t>
            </w:r>
            <w:r w:rsidRPr="005978B5">
              <w:rPr>
                <w:rFonts w:ascii="Arial" w:eastAsia="Arial" w:hAnsi="Arial" w:cs="Arial"/>
                <w:color w:val="111827"/>
              </w:rPr>
              <w:t>Specifically examines ethnic minority group(s) per UK Census 2021 categories</w:t>
            </w:r>
          </w:p>
        </w:tc>
        <w:tc>
          <w:tcPr>
            <w:tcW w:w="4513" w:type="dxa"/>
            <w:shd w:val="clear" w:color="auto" w:fill="FEE2E2"/>
            <w:tcMar>
              <w:top w:w="90" w:type="dxa"/>
              <w:left w:w="150" w:type="dxa"/>
              <w:bottom w:w="90" w:type="dxa"/>
              <w:right w:w="150" w:type="dxa"/>
            </w:tcMar>
          </w:tcPr>
          <w:p w14:paraId="4443563F"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B71C1C"/>
              </w:rPr>
              <w:t>✕</w:t>
            </w:r>
            <w:r w:rsidRPr="005978B5">
              <w:rPr>
                <w:rFonts w:ascii="Arial" w:eastAsia="Arial" w:hAnsi="Arial" w:cs="Arial"/>
                <w:b/>
                <w:bCs/>
                <w:color w:val="B71C1C"/>
              </w:rPr>
              <w:t xml:space="preserve"> </w:t>
            </w:r>
            <w:r w:rsidRPr="005978B5">
              <w:rPr>
                <w:rFonts w:ascii="Arial" w:eastAsia="Arial" w:hAnsi="Arial" w:cs="Arial"/>
                <w:color w:val="111827"/>
              </w:rPr>
              <w:t>Paediatric or adolescent populations only (under 18 years)</w:t>
            </w:r>
          </w:p>
        </w:tc>
      </w:tr>
      <w:tr w:rsidR="00144F46" w:rsidRPr="005978B5" w14:paraId="7ED9595C" w14:textId="77777777" w:rsidTr="003C477A">
        <w:tc>
          <w:tcPr>
            <w:tcW w:w="4513" w:type="dxa"/>
            <w:shd w:val="clear" w:color="auto" w:fill="E8F5E9"/>
            <w:tcMar>
              <w:top w:w="90" w:type="dxa"/>
              <w:left w:w="150" w:type="dxa"/>
              <w:bottom w:w="90" w:type="dxa"/>
              <w:right w:w="150" w:type="dxa"/>
            </w:tcMar>
          </w:tcPr>
          <w:p w14:paraId="395827BA"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t>✓</w:t>
            </w:r>
            <w:r w:rsidRPr="005978B5">
              <w:rPr>
                <w:rFonts w:ascii="Arial" w:eastAsia="Arial" w:hAnsi="Arial" w:cs="Arial"/>
                <w:b/>
                <w:bCs/>
                <w:color w:val="1B5E20"/>
              </w:rPr>
              <w:t xml:space="preserve"> </w:t>
            </w:r>
            <w:r w:rsidRPr="005978B5">
              <w:rPr>
                <w:rFonts w:ascii="Arial" w:eastAsia="Arial" w:hAnsi="Arial" w:cs="Arial"/>
                <w:color w:val="111827"/>
              </w:rPr>
              <w:t>Type 2 diabetes mellitus (T2DM) as the primary condition of interest</w:t>
            </w:r>
          </w:p>
        </w:tc>
        <w:tc>
          <w:tcPr>
            <w:tcW w:w="4513" w:type="dxa"/>
            <w:shd w:val="clear" w:color="auto" w:fill="FEE2E2"/>
            <w:tcMar>
              <w:top w:w="90" w:type="dxa"/>
              <w:left w:w="150" w:type="dxa"/>
              <w:bottom w:w="90" w:type="dxa"/>
              <w:right w:w="150" w:type="dxa"/>
            </w:tcMar>
          </w:tcPr>
          <w:p w14:paraId="05F8E52A" w14:textId="72C6CDBA"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B71C1C"/>
              </w:rPr>
              <w:t>✕</w:t>
            </w:r>
            <w:r w:rsidRPr="005978B5">
              <w:rPr>
                <w:rFonts w:ascii="Arial" w:eastAsia="Arial" w:hAnsi="Arial" w:cs="Arial"/>
                <w:b/>
                <w:bCs/>
                <w:color w:val="B71C1C"/>
              </w:rPr>
              <w:t xml:space="preserve"> </w:t>
            </w:r>
            <w:r w:rsidRPr="005978B5">
              <w:rPr>
                <w:rFonts w:ascii="Arial" w:eastAsia="Arial" w:hAnsi="Arial" w:cs="Arial"/>
                <w:color w:val="111827"/>
              </w:rPr>
              <w:t xml:space="preserve">Full text not retrievable after </w:t>
            </w:r>
            <w:r w:rsidR="004D17BA" w:rsidRPr="005978B5">
              <w:rPr>
                <w:rFonts w:ascii="Arial" w:eastAsia="Arial" w:hAnsi="Arial" w:cs="Arial"/>
                <w:color w:val="111827"/>
              </w:rPr>
              <w:t xml:space="preserve">the </w:t>
            </w:r>
            <w:r w:rsidRPr="005978B5">
              <w:rPr>
                <w:rFonts w:ascii="Arial" w:eastAsia="Arial" w:hAnsi="Arial" w:cs="Arial"/>
                <w:color w:val="111827"/>
              </w:rPr>
              <w:t xml:space="preserve">institutional library and </w:t>
            </w:r>
            <w:r w:rsidR="004D17BA" w:rsidRPr="005978B5">
              <w:rPr>
                <w:rFonts w:ascii="Arial" w:eastAsia="Arial" w:hAnsi="Arial" w:cs="Arial"/>
                <w:color w:val="111827"/>
              </w:rPr>
              <w:t xml:space="preserve">the </w:t>
            </w:r>
            <w:r w:rsidRPr="005978B5">
              <w:rPr>
                <w:rFonts w:ascii="Arial" w:eastAsia="Arial" w:hAnsi="Arial" w:cs="Arial"/>
                <w:color w:val="111827"/>
              </w:rPr>
              <w:t>author contact</w:t>
            </w:r>
          </w:p>
        </w:tc>
      </w:tr>
      <w:tr w:rsidR="00144F46" w:rsidRPr="005978B5" w14:paraId="637F1864" w14:textId="77777777" w:rsidTr="003C477A">
        <w:tc>
          <w:tcPr>
            <w:tcW w:w="4513" w:type="dxa"/>
            <w:shd w:val="clear" w:color="auto" w:fill="E8F5E9"/>
            <w:tcMar>
              <w:top w:w="90" w:type="dxa"/>
              <w:left w:w="150" w:type="dxa"/>
              <w:bottom w:w="90" w:type="dxa"/>
              <w:right w:w="150" w:type="dxa"/>
            </w:tcMar>
          </w:tcPr>
          <w:p w14:paraId="0CF88B3A"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lastRenderedPageBreak/>
              <w:t>✓</w:t>
            </w:r>
            <w:r w:rsidRPr="005978B5">
              <w:rPr>
                <w:rFonts w:ascii="Arial" w:eastAsia="Arial" w:hAnsi="Arial" w:cs="Arial"/>
                <w:b/>
                <w:bCs/>
                <w:color w:val="1B5E20"/>
              </w:rPr>
              <w:t xml:space="preserve"> </w:t>
            </w:r>
            <w:r w:rsidRPr="005978B5">
              <w:rPr>
                <w:rFonts w:ascii="Arial" w:eastAsia="Arial" w:hAnsi="Arial" w:cs="Arial"/>
                <w:color w:val="111827"/>
              </w:rPr>
              <w:t>Primary research design: qualitative, quantitative or mixed-methods</w:t>
            </w:r>
          </w:p>
        </w:tc>
        <w:tc>
          <w:tcPr>
            <w:tcW w:w="4513" w:type="dxa"/>
            <w:shd w:val="clear" w:color="auto" w:fill="FEE2E2"/>
            <w:tcMar>
              <w:top w:w="90" w:type="dxa"/>
              <w:left w:w="150" w:type="dxa"/>
              <w:bottom w:w="90" w:type="dxa"/>
              <w:right w:w="150" w:type="dxa"/>
            </w:tcMar>
          </w:tcPr>
          <w:p w14:paraId="3601DBAE"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B71C1C"/>
              </w:rPr>
              <w:t>✕</w:t>
            </w:r>
            <w:r w:rsidRPr="005978B5">
              <w:rPr>
                <w:rFonts w:ascii="Arial" w:eastAsia="Arial" w:hAnsi="Arial" w:cs="Arial"/>
                <w:b/>
                <w:bCs/>
                <w:color w:val="B71C1C"/>
              </w:rPr>
              <w:t xml:space="preserve"> </w:t>
            </w:r>
            <w:r w:rsidRPr="005978B5">
              <w:rPr>
                <w:rFonts w:ascii="Arial" w:eastAsia="Arial" w:hAnsi="Arial" w:cs="Arial"/>
                <w:color w:val="111827"/>
              </w:rPr>
              <w:t>Not available in the English language</w:t>
            </w:r>
          </w:p>
        </w:tc>
      </w:tr>
      <w:tr w:rsidR="00144F46" w:rsidRPr="005978B5" w14:paraId="7427BA40" w14:textId="77777777" w:rsidTr="003C477A">
        <w:tc>
          <w:tcPr>
            <w:tcW w:w="4513" w:type="dxa"/>
            <w:shd w:val="clear" w:color="auto" w:fill="E8F5E9"/>
            <w:tcMar>
              <w:top w:w="90" w:type="dxa"/>
              <w:left w:w="150" w:type="dxa"/>
              <w:bottom w:w="90" w:type="dxa"/>
              <w:right w:w="150" w:type="dxa"/>
            </w:tcMar>
          </w:tcPr>
          <w:p w14:paraId="68E12346"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t>✓</w:t>
            </w:r>
            <w:r w:rsidRPr="005978B5">
              <w:rPr>
                <w:rFonts w:ascii="Arial" w:eastAsia="Arial" w:hAnsi="Arial" w:cs="Arial"/>
                <w:b/>
                <w:bCs/>
                <w:color w:val="1B5E20"/>
              </w:rPr>
              <w:t xml:space="preserve"> </w:t>
            </w:r>
            <w:r w:rsidRPr="005978B5">
              <w:rPr>
                <w:rFonts w:ascii="Arial" w:eastAsia="Arial" w:hAnsi="Arial" w:cs="Arial"/>
                <w:color w:val="111827"/>
              </w:rPr>
              <w:t>Written in the English language</w:t>
            </w:r>
          </w:p>
        </w:tc>
        <w:tc>
          <w:tcPr>
            <w:tcW w:w="4513" w:type="dxa"/>
            <w:shd w:val="clear" w:color="auto" w:fill="FEE2E2"/>
            <w:tcMar>
              <w:top w:w="90" w:type="dxa"/>
              <w:left w:w="150" w:type="dxa"/>
              <w:bottom w:w="90" w:type="dxa"/>
              <w:right w:w="150" w:type="dxa"/>
            </w:tcMar>
          </w:tcPr>
          <w:p w14:paraId="2013280C" w14:textId="77777777" w:rsidR="00ED4174" w:rsidRPr="005978B5" w:rsidRDefault="00ED4174" w:rsidP="003C477A">
            <w:pPr>
              <w:spacing w:line="240" w:lineRule="auto"/>
              <w:rPr>
                <w:rFonts w:ascii="Arial" w:hAnsi="Arial" w:cs="Arial"/>
              </w:rPr>
            </w:pPr>
          </w:p>
        </w:tc>
      </w:tr>
      <w:tr w:rsidR="00144F46" w:rsidRPr="005978B5" w14:paraId="1B70CB2E" w14:textId="77777777" w:rsidTr="003C477A">
        <w:tc>
          <w:tcPr>
            <w:tcW w:w="4513" w:type="dxa"/>
            <w:shd w:val="clear" w:color="auto" w:fill="E8F5E9"/>
            <w:tcMar>
              <w:top w:w="90" w:type="dxa"/>
              <w:left w:w="150" w:type="dxa"/>
              <w:bottom w:w="90" w:type="dxa"/>
              <w:right w:w="150" w:type="dxa"/>
            </w:tcMar>
          </w:tcPr>
          <w:p w14:paraId="4594E39B"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t>✓</w:t>
            </w:r>
            <w:r w:rsidRPr="005978B5">
              <w:rPr>
                <w:rFonts w:ascii="Arial" w:eastAsia="Arial" w:hAnsi="Arial" w:cs="Arial"/>
                <w:b/>
                <w:bCs/>
                <w:color w:val="1B5E20"/>
              </w:rPr>
              <w:t xml:space="preserve"> </w:t>
            </w:r>
            <w:r w:rsidRPr="005978B5">
              <w:rPr>
                <w:rFonts w:ascii="Arial" w:eastAsia="Arial" w:hAnsi="Arial" w:cs="Arial"/>
                <w:color w:val="111827"/>
              </w:rPr>
              <w:t>Full text freely accessible (PubMed Central, open access, or journal)</w:t>
            </w:r>
          </w:p>
        </w:tc>
        <w:tc>
          <w:tcPr>
            <w:tcW w:w="4513" w:type="dxa"/>
            <w:shd w:val="clear" w:color="auto" w:fill="FEE2E2"/>
            <w:tcMar>
              <w:top w:w="90" w:type="dxa"/>
              <w:left w:w="150" w:type="dxa"/>
              <w:bottom w:w="90" w:type="dxa"/>
              <w:right w:w="150" w:type="dxa"/>
            </w:tcMar>
          </w:tcPr>
          <w:p w14:paraId="7BEC9BB4" w14:textId="77777777" w:rsidR="00ED4174" w:rsidRPr="005978B5" w:rsidRDefault="00ED4174" w:rsidP="003C477A">
            <w:pPr>
              <w:spacing w:line="240" w:lineRule="auto"/>
              <w:rPr>
                <w:rFonts w:ascii="Arial" w:hAnsi="Arial" w:cs="Arial"/>
              </w:rPr>
            </w:pPr>
          </w:p>
        </w:tc>
      </w:tr>
      <w:tr w:rsidR="00144F46" w:rsidRPr="005978B5" w14:paraId="24B14A40" w14:textId="77777777" w:rsidTr="003C477A">
        <w:tc>
          <w:tcPr>
            <w:tcW w:w="9026" w:type="dxa"/>
            <w:gridSpan w:val="2"/>
            <w:shd w:val="clear" w:color="auto" w:fill="E2EAF3"/>
            <w:tcMar>
              <w:top w:w="90" w:type="dxa"/>
              <w:left w:w="150" w:type="dxa"/>
              <w:bottom w:w="90" w:type="dxa"/>
              <w:right w:w="150" w:type="dxa"/>
            </w:tcMar>
          </w:tcPr>
          <w:p w14:paraId="076C45A0" w14:textId="77777777" w:rsidR="00ED4174" w:rsidRPr="005978B5" w:rsidRDefault="00ED4174" w:rsidP="003C477A">
            <w:pPr>
              <w:spacing w:line="240" w:lineRule="auto"/>
              <w:rPr>
                <w:rFonts w:ascii="Arial" w:hAnsi="Arial" w:cs="Arial"/>
              </w:rPr>
            </w:pPr>
            <w:r w:rsidRPr="005978B5">
              <w:rPr>
                <w:rFonts w:ascii="Arial" w:eastAsia="Arial" w:hAnsi="Arial" w:cs="Arial"/>
                <w:b/>
                <w:bCs/>
                <w:color w:val="111827"/>
              </w:rPr>
              <w:t xml:space="preserve">Note: </w:t>
            </w:r>
            <w:r w:rsidRPr="005978B5">
              <w:rPr>
                <w:rFonts w:ascii="Arial" w:eastAsia="Arial" w:hAnsi="Arial" w:cs="Arial"/>
                <w:color w:val="374151"/>
              </w:rPr>
              <w:t>Studies with multiple diabetes types were not excluded where T2DM data were separately reported or where the majority of participants had T2DM. Criteria applied at Stage 1 (title/abstract screening) and Stage 2 (full-text assessment). Reproduced from Section 3.3 of this dissertation.</w:t>
            </w:r>
          </w:p>
        </w:tc>
      </w:tr>
    </w:tbl>
    <w:p w14:paraId="5130FECC" w14:textId="7417D608" w:rsidR="00B0587B" w:rsidRPr="0018147A" w:rsidRDefault="00F030AA" w:rsidP="0018147A">
      <w:pPr>
        <w:spacing w:line="240" w:lineRule="auto"/>
        <w:jc w:val="center"/>
        <w:rPr>
          <w:rFonts w:ascii="Arial" w:hAnsi="Arial" w:cs="Arial"/>
          <w:sz w:val="18"/>
          <w:szCs w:val="18"/>
        </w:rPr>
      </w:pPr>
      <w:r w:rsidRPr="0018147A">
        <w:rPr>
          <w:rFonts w:ascii="Arial" w:hAnsi="Arial" w:cs="Arial"/>
          <w:i/>
          <w:sz w:val="18"/>
          <w:szCs w:val="18"/>
        </w:rPr>
        <w:t>Pre-specified eligibility criteria applied at Stage 1 (title/abstract) and Stage 2 (full-text assessment). Based on Section 3.3 of this dissertation.</w:t>
      </w:r>
    </w:p>
    <w:p w14:paraId="1448AD71" w14:textId="77777777" w:rsidR="007D286C" w:rsidRPr="005978B5" w:rsidRDefault="007D286C" w:rsidP="00354518">
      <w:pPr>
        <w:pStyle w:val="Heading2"/>
        <w:spacing w:line="360" w:lineRule="auto"/>
        <w:jc w:val="both"/>
        <w:rPr>
          <w:rFonts w:ascii="Arial" w:hAnsi="Arial" w:cs="Arial"/>
          <w:sz w:val="22"/>
        </w:rPr>
      </w:pPr>
      <w:bookmarkStart w:id="28" w:name="_Toc232173679"/>
      <w:r w:rsidRPr="005978B5">
        <w:rPr>
          <w:rFonts w:ascii="Arial" w:hAnsi="Arial" w:cs="Arial"/>
          <w:sz w:val="22"/>
        </w:rPr>
        <w:t>3.4 Study Selection and Screening</w:t>
      </w:r>
      <w:bookmarkEnd w:id="28"/>
    </w:p>
    <w:p w14:paraId="433279F4" w14:textId="5BB51F6B" w:rsidR="007D286C" w:rsidRPr="005978B5" w:rsidRDefault="006A233B" w:rsidP="00354518">
      <w:pPr>
        <w:spacing w:line="360" w:lineRule="auto"/>
        <w:jc w:val="both"/>
        <w:rPr>
          <w:rFonts w:ascii="Arial" w:hAnsi="Arial" w:cs="Arial"/>
        </w:rPr>
      </w:pPr>
      <w:r w:rsidRPr="005978B5">
        <w:rPr>
          <w:rFonts w:ascii="Arial" w:hAnsi="Arial" w:cs="Arial"/>
        </w:rPr>
        <w:t>The selection of studies was done in two sequential phases as per the PRISMA 2020 directions (Page et al., 2021). The first step was that the reviewer needed to filter titles and abstracts of all records that were retrieved by the four databases against the eligibility criteria. It was also at this stage that records were not made where in the title and abstract it was clear that the study did not fit one or more of the inclusion criteria</w:t>
      </w:r>
      <w:r w:rsidR="00175BB5" w:rsidRPr="005978B5">
        <w:rPr>
          <w:rFonts w:ascii="Arial" w:hAnsi="Arial" w:cs="Arial"/>
        </w:rPr>
        <w:t>,</w:t>
      </w:r>
      <w:r w:rsidRPr="005978B5">
        <w:rPr>
          <w:rFonts w:ascii="Arial" w:hAnsi="Arial" w:cs="Arial"/>
        </w:rPr>
        <w:t xml:space="preserve"> which could be the incorrect country of study, the incorrect population, the incorrect type of condition or the incorrect type of publication. In case of uncertainty, the record was not discarded but was saved to be reviewed in full text, to avoid the possibility of an otherwise eligible study being overlooked.</w:t>
      </w:r>
    </w:p>
    <w:p w14:paraId="027D5E6F" w14:textId="2B6ECFDF" w:rsidR="007D286C" w:rsidRPr="005978B5" w:rsidRDefault="006A233B" w:rsidP="00354518">
      <w:pPr>
        <w:spacing w:line="360" w:lineRule="auto"/>
        <w:jc w:val="both"/>
        <w:rPr>
          <w:rFonts w:ascii="Arial" w:hAnsi="Arial" w:cs="Arial"/>
        </w:rPr>
      </w:pPr>
      <w:r w:rsidRPr="005978B5">
        <w:rPr>
          <w:rFonts w:ascii="Arial" w:hAnsi="Arial" w:cs="Arial"/>
        </w:rPr>
        <w:t xml:space="preserve">All records that successfully cleared the title and abstract screening were then brought up and judged against the entire list of inclusion and exclusion criteria in the second stage. Reasons </w:t>
      </w:r>
      <w:r w:rsidR="00175BB5" w:rsidRPr="005978B5">
        <w:rPr>
          <w:rFonts w:ascii="Arial" w:hAnsi="Arial" w:cs="Arial"/>
        </w:rPr>
        <w:t>for</w:t>
      </w:r>
      <w:r w:rsidRPr="005978B5">
        <w:rPr>
          <w:rFonts w:ascii="Arial" w:hAnsi="Arial" w:cs="Arial"/>
        </w:rPr>
        <w:t xml:space="preserve"> full-text exclusion were reported in each study that was excluded, in accordance with PRISMA 2020 reporting requirements. Where a complete text was not immediately available through a database access, the institutional library services have supplied a request, and (where possible) the individual author of the work. Those studies that were not retrieved after such procedures were indicated as not retrieved</w:t>
      </w:r>
      <w:r w:rsidR="00175BB5" w:rsidRPr="005978B5">
        <w:rPr>
          <w:rFonts w:ascii="Arial" w:hAnsi="Arial" w:cs="Arial"/>
        </w:rPr>
        <w:t>,</w:t>
      </w:r>
      <w:r w:rsidRPr="005978B5">
        <w:rPr>
          <w:rFonts w:ascii="Arial" w:hAnsi="Arial" w:cs="Arial"/>
        </w:rPr>
        <w:t xml:space="preserve"> and they were not given any further consideration. Following the two-stage screening, 15 studies were selected to meet all the needed criteria to be included in the final synthesis. Appendix A shows a PRISMA 2020 flow diagram that documents the entire record flow, starting with the identification and ending with the inclusion.</w:t>
      </w:r>
    </w:p>
    <w:p w14:paraId="1E9C852B" w14:textId="77777777" w:rsidR="007D286C" w:rsidRPr="005978B5" w:rsidRDefault="007D286C" w:rsidP="00354518">
      <w:pPr>
        <w:pStyle w:val="Heading2"/>
        <w:spacing w:line="360" w:lineRule="auto"/>
        <w:jc w:val="both"/>
        <w:rPr>
          <w:rFonts w:ascii="Arial" w:hAnsi="Arial" w:cs="Arial"/>
          <w:sz w:val="22"/>
        </w:rPr>
      </w:pPr>
      <w:bookmarkStart w:id="29" w:name="_Toc232173680"/>
      <w:r w:rsidRPr="005978B5">
        <w:rPr>
          <w:rFonts w:ascii="Arial" w:hAnsi="Arial" w:cs="Arial"/>
          <w:sz w:val="22"/>
        </w:rPr>
        <w:lastRenderedPageBreak/>
        <w:t>3.5 PRISMA 2020</w:t>
      </w:r>
      <w:bookmarkEnd w:id="29"/>
    </w:p>
    <w:p w14:paraId="75AD88FA" w14:textId="630C7D1E" w:rsidR="007D286C" w:rsidRPr="005978B5" w:rsidRDefault="008E43D7" w:rsidP="00354518">
      <w:pPr>
        <w:spacing w:line="360" w:lineRule="auto"/>
        <w:jc w:val="both"/>
        <w:rPr>
          <w:rFonts w:ascii="Arial" w:hAnsi="Arial" w:cs="Arial"/>
        </w:rPr>
      </w:pPr>
      <w:r w:rsidRPr="005978B5">
        <w:rPr>
          <w:rFonts w:ascii="Arial" w:hAnsi="Arial" w:cs="Arial"/>
        </w:rPr>
        <w:t>Search and reporting of the studies were conducted in line with the PRISMA 2020 instructions (Page et al., 2021). The final guiding principles were based on the initial PRISMA statement (Moher et al., 2009) that was reviewed in detail by Liberati et al. (2009), and the updated 2020 version became the main guiding standard overall. In total, 1,136 records were identified across PubMed (n=412), CINAHL (n=189), MEDLINE (n=211) and Google Scholar (n=324). Following the removal of 203 redundant records, 933 abstracts were screened by title and abstract</w:t>
      </w:r>
      <w:r w:rsidR="00175BB5" w:rsidRPr="005978B5">
        <w:rPr>
          <w:rFonts w:ascii="Arial" w:hAnsi="Arial" w:cs="Arial"/>
        </w:rPr>
        <w:t>,</w:t>
      </w:r>
      <w:r w:rsidRPr="005978B5">
        <w:rPr>
          <w:rFonts w:ascii="Arial" w:hAnsi="Arial" w:cs="Arial"/>
        </w:rPr>
        <w:t xml:space="preserve"> with 793 being eliminated as they plainly did not qualify to be included according to the eligibility criteria. The 140 remaining records were searched by full-text searching; 18 records could not be searched. Of the total number of 122 full texts that were tested </w:t>
      </w:r>
      <w:r w:rsidR="008F78F6" w:rsidRPr="005978B5">
        <w:rPr>
          <w:rFonts w:ascii="Arial" w:hAnsi="Arial" w:cs="Arial"/>
        </w:rPr>
        <w:t>based on</w:t>
      </w:r>
      <w:r w:rsidRPr="005978B5">
        <w:rPr>
          <w:rFonts w:ascii="Arial" w:hAnsi="Arial" w:cs="Arial"/>
        </w:rPr>
        <w:t xml:space="preserve"> eligibility</w:t>
      </w:r>
      <w:r w:rsidR="00175BB5" w:rsidRPr="005978B5">
        <w:rPr>
          <w:rFonts w:ascii="Arial" w:hAnsi="Arial" w:cs="Arial"/>
        </w:rPr>
        <w:t>,</w:t>
      </w:r>
      <w:r w:rsidRPr="005978B5">
        <w:rPr>
          <w:rFonts w:ascii="Arial" w:hAnsi="Arial" w:cs="Arial"/>
        </w:rPr>
        <w:t xml:space="preserve"> 107 were found to be ineligible due to one or more of the following reasons: Population not based in the UK, wrong type of diabetes, wrong type of study design, publication type not acceptable, or lack of sufficient disaggregated data on ethnic minority groups. Fifteen studies were identified and met all the inclusion criteria to be included in the ultimate synthesis.</w:t>
      </w:r>
    </w:p>
    <w:p w14:paraId="1D6CE52B" w14:textId="77777777" w:rsidR="007D286C" w:rsidRPr="005978B5" w:rsidRDefault="007D286C" w:rsidP="00354518">
      <w:pPr>
        <w:pStyle w:val="Heading2"/>
        <w:spacing w:line="360" w:lineRule="auto"/>
        <w:jc w:val="both"/>
        <w:rPr>
          <w:rFonts w:ascii="Arial" w:hAnsi="Arial" w:cs="Arial"/>
          <w:sz w:val="22"/>
        </w:rPr>
      </w:pPr>
      <w:bookmarkStart w:id="30" w:name="_Toc232173681"/>
      <w:r w:rsidRPr="005978B5">
        <w:rPr>
          <w:rFonts w:ascii="Arial" w:hAnsi="Arial" w:cs="Arial"/>
          <w:sz w:val="22"/>
        </w:rPr>
        <w:t>3.6 CASP Quality Appraisal</w:t>
      </w:r>
      <w:bookmarkEnd w:id="30"/>
    </w:p>
    <w:p w14:paraId="75A07052" w14:textId="50D624BF" w:rsidR="007D286C" w:rsidRPr="005978B5" w:rsidRDefault="008E43D7" w:rsidP="00354518">
      <w:pPr>
        <w:spacing w:line="360" w:lineRule="auto"/>
        <w:jc w:val="both"/>
        <w:rPr>
          <w:rFonts w:ascii="Arial" w:hAnsi="Arial" w:cs="Arial"/>
        </w:rPr>
      </w:pPr>
      <w:r w:rsidRPr="005978B5">
        <w:rPr>
          <w:rFonts w:ascii="Arial" w:hAnsi="Arial" w:cs="Arial"/>
        </w:rPr>
        <w:t xml:space="preserve">A systematic quality appraisal of the 15 included studies was conducted using </w:t>
      </w:r>
      <w:r w:rsidR="00175BB5" w:rsidRPr="005978B5">
        <w:rPr>
          <w:rFonts w:ascii="Arial" w:hAnsi="Arial" w:cs="Arial"/>
        </w:rPr>
        <w:t xml:space="preserve">the </w:t>
      </w:r>
      <w:r w:rsidRPr="005978B5">
        <w:rPr>
          <w:rFonts w:ascii="Arial" w:hAnsi="Arial" w:cs="Arial"/>
        </w:rPr>
        <w:t xml:space="preserve">validated Critical Appraisal Skills Programme (CASP, 2018). The studies were selected according to the main design </w:t>
      </w:r>
      <w:r w:rsidR="008F78F6" w:rsidRPr="005978B5">
        <w:rPr>
          <w:rFonts w:ascii="Arial" w:hAnsi="Arial" w:cs="Arial"/>
        </w:rPr>
        <w:t>of</w:t>
      </w:r>
      <w:r w:rsidRPr="005978B5">
        <w:rPr>
          <w:rFonts w:ascii="Arial" w:hAnsi="Arial" w:cs="Arial"/>
        </w:rPr>
        <w:t xml:space="preserve"> the particular checklist. The assessment of the six qualitative studies (</w:t>
      </w:r>
      <w:proofErr w:type="spellStart"/>
      <w:r w:rsidRPr="005978B5">
        <w:rPr>
          <w:rFonts w:ascii="Arial" w:hAnsi="Arial" w:cs="Arial"/>
        </w:rPr>
        <w:t>Pardhan</w:t>
      </w:r>
      <w:proofErr w:type="spellEnd"/>
      <w:r w:rsidRPr="005978B5">
        <w:rPr>
          <w:rFonts w:ascii="Arial" w:hAnsi="Arial" w:cs="Arial"/>
        </w:rPr>
        <w:t xml:space="preserve"> et al., 2020; Patel et al., 2015a; Sidhu et al., 2022; </w:t>
      </w:r>
      <w:proofErr w:type="spellStart"/>
      <w:r w:rsidRPr="005978B5">
        <w:rPr>
          <w:rFonts w:ascii="Arial" w:hAnsi="Arial" w:cs="Arial"/>
        </w:rPr>
        <w:t>Omodara</w:t>
      </w:r>
      <w:proofErr w:type="spellEnd"/>
      <w:r w:rsidRPr="005978B5">
        <w:rPr>
          <w:rFonts w:ascii="Arial" w:hAnsi="Arial" w:cs="Arial"/>
        </w:rPr>
        <w:t xml:space="preserve"> et al., 2022; Goff et al., 2020b; </w:t>
      </w:r>
      <w:proofErr w:type="spellStart"/>
      <w:r w:rsidRPr="005978B5">
        <w:rPr>
          <w:rFonts w:ascii="Arial" w:hAnsi="Arial" w:cs="Arial"/>
        </w:rPr>
        <w:t>Alloh</w:t>
      </w:r>
      <w:proofErr w:type="spellEnd"/>
      <w:r w:rsidRPr="005978B5">
        <w:rPr>
          <w:rFonts w:ascii="Arial" w:hAnsi="Arial" w:cs="Arial"/>
        </w:rPr>
        <w:t xml:space="preserve"> et al., 2019) was based on the CASP Qualitative Research Checklist. The CASP Cohort Study Checklist was used to appraise the six cohort and cross-sectional studies (Mathur et al., 2020; Mathur et al., 2022; Howarth et al., 2020; Zeh et al., 2016; Au-Yeung et al., 2024; Barron et al., 2018). The two out of the three mixed-methods studies (Patel et al., 2015b; Low et al., 2024) were appraised with the help of the CASP Qualitative Research Checklist used on the qualitative part. The third mixed-method study, Goff et al. (2021), is a feasibility randomised controlled trial, which was appraised using the assistance of CASP Randomised Controlled Trial Checklist</w:t>
      </w:r>
      <w:r w:rsidR="00BB31B7" w:rsidRPr="005978B5">
        <w:rPr>
          <w:rFonts w:ascii="Arial" w:hAnsi="Arial" w:cs="Arial"/>
        </w:rPr>
        <w:t xml:space="preserve"> (CASP, 2018)</w:t>
      </w:r>
      <w:r w:rsidRPr="005978B5">
        <w:rPr>
          <w:rFonts w:ascii="Arial" w:hAnsi="Arial" w:cs="Arial"/>
        </w:rPr>
        <w:t>. Quality appraisal was conducted in accordance with the current recommendations on how to conduct the methodological rigour of systematic reviews (Mays and Pope, 2000; Noyes et al., 2018; Higgins et al., 2023).</w:t>
      </w:r>
    </w:p>
    <w:p w14:paraId="2701E17E" w14:textId="77454EB2" w:rsidR="007D286C" w:rsidRPr="005978B5" w:rsidRDefault="008E43D7" w:rsidP="00354518">
      <w:pPr>
        <w:spacing w:line="360" w:lineRule="auto"/>
        <w:jc w:val="both"/>
        <w:rPr>
          <w:rFonts w:ascii="Arial" w:hAnsi="Arial" w:cs="Arial"/>
        </w:rPr>
      </w:pPr>
      <w:r w:rsidRPr="005978B5">
        <w:rPr>
          <w:rFonts w:ascii="Arial" w:hAnsi="Arial" w:cs="Arial"/>
        </w:rPr>
        <w:t xml:space="preserve">In accordance with the standard practice in the synthesis of qualitative evidence, the findings during the synthesis were contextualised and weighted by the quality appraisal scores rather than the use of the scores to disqualify the study by methodological shortcomings on its own. Noyes et al. (2018) note that synthesised evidence that filters out qualitative studies due to quality considerations may inappropriately narrow the representation of marginalised </w:t>
      </w:r>
      <w:r w:rsidRPr="005978B5">
        <w:rPr>
          <w:rFonts w:ascii="Arial" w:hAnsi="Arial" w:cs="Arial"/>
        </w:rPr>
        <w:lastRenderedPageBreak/>
        <w:t xml:space="preserve">populations in synthesised evidence - a factor that this review needs to account </w:t>
      </w:r>
      <w:r w:rsidR="008F78F6" w:rsidRPr="005978B5">
        <w:rPr>
          <w:rFonts w:ascii="Arial" w:hAnsi="Arial" w:cs="Arial"/>
        </w:rPr>
        <w:t>for</w:t>
      </w:r>
      <w:r w:rsidRPr="005978B5">
        <w:rPr>
          <w:rFonts w:ascii="Arial" w:hAnsi="Arial" w:cs="Arial"/>
        </w:rPr>
        <w:t xml:space="preserve"> directly. The 15 articles that were included in the study were evaluated to be of a reasonable or high quality of methodology. An overview of </w:t>
      </w:r>
      <w:r w:rsidR="008F78F6" w:rsidRPr="005978B5">
        <w:rPr>
          <w:rFonts w:ascii="Arial" w:hAnsi="Arial" w:cs="Arial"/>
        </w:rPr>
        <w:t xml:space="preserve">the </w:t>
      </w:r>
      <w:r w:rsidRPr="005978B5">
        <w:rPr>
          <w:rFonts w:ascii="Arial" w:hAnsi="Arial" w:cs="Arial"/>
        </w:rPr>
        <w:t>quality appraisal of all 15 studies is presented in Appendix B.</w:t>
      </w:r>
    </w:p>
    <w:p w14:paraId="0E34613D" w14:textId="77777777" w:rsidR="007D286C" w:rsidRPr="005978B5" w:rsidRDefault="007D286C" w:rsidP="00354518">
      <w:pPr>
        <w:pStyle w:val="Heading2"/>
        <w:spacing w:line="360" w:lineRule="auto"/>
        <w:jc w:val="both"/>
        <w:rPr>
          <w:rFonts w:ascii="Arial" w:hAnsi="Arial" w:cs="Arial"/>
          <w:sz w:val="22"/>
        </w:rPr>
      </w:pPr>
      <w:bookmarkStart w:id="31" w:name="_Toc232173682"/>
      <w:r w:rsidRPr="005978B5">
        <w:rPr>
          <w:rFonts w:ascii="Arial" w:hAnsi="Arial" w:cs="Arial"/>
          <w:sz w:val="22"/>
        </w:rPr>
        <w:t>3.7 Data Extraction</w:t>
      </w:r>
      <w:bookmarkEnd w:id="31"/>
    </w:p>
    <w:p w14:paraId="0A83190F" w14:textId="3CCA8DF8" w:rsidR="007D286C" w:rsidRPr="005978B5" w:rsidRDefault="008E43D7" w:rsidP="00354518">
      <w:pPr>
        <w:spacing w:line="360" w:lineRule="auto"/>
        <w:jc w:val="both"/>
        <w:rPr>
          <w:rFonts w:ascii="Arial" w:hAnsi="Arial" w:cs="Arial"/>
        </w:rPr>
      </w:pPr>
      <w:r w:rsidRPr="005978B5">
        <w:rPr>
          <w:rFonts w:ascii="Arial" w:hAnsi="Arial" w:cs="Arial"/>
        </w:rPr>
        <w:t>It contained a standardised data extraction template</w:t>
      </w:r>
      <w:r w:rsidR="008F78F6" w:rsidRPr="005978B5">
        <w:rPr>
          <w:rFonts w:ascii="Arial" w:hAnsi="Arial" w:cs="Arial"/>
        </w:rPr>
        <w:t>,</w:t>
      </w:r>
      <w:r w:rsidRPr="005978B5">
        <w:rPr>
          <w:rFonts w:ascii="Arial" w:hAnsi="Arial" w:cs="Arial"/>
        </w:rPr>
        <w:t xml:space="preserve"> which was developed </w:t>
      </w:r>
      <w:r w:rsidR="008F78F6" w:rsidRPr="005978B5">
        <w:rPr>
          <w:rFonts w:ascii="Arial" w:hAnsi="Arial" w:cs="Arial"/>
        </w:rPr>
        <w:t>before</w:t>
      </w:r>
      <w:r w:rsidRPr="005978B5">
        <w:rPr>
          <w:rFonts w:ascii="Arial" w:hAnsi="Arial" w:cs="Arial"/>
        </w:rPr>
        <w:t xml:space="preserve"> the actual data extraction and was applied throughout the 15 studies included. All of the studies presented the following details: author/s of the study description and year of publication; country and setting, type of study, size and characteristics of study participants; type of ethnic group(s) under study; barriers identified within each of the three areas of socioeconomic, cultural and healthcare system influences; significant findings of the study in relation to health outcome; and CASP quality appraisal score. The choice of each field was based on particular methodological considerations. The author has affirmed the presence of attribution and eligibility in the UK based on attributes of year and country. The study design and sample size allowed the comparative analysis of the strength of evidence and transferability. The ethnic group data were in such a way that results could be disaggregated by community</w:t>
      </w:r>
      <w:r w:rsidR="008F78F6" w:rsidRPr="005978B5">
        <w:rPr>
          <w:rFonts w:ascii="Arial" w:hAnsi="Arial" w:cs="Arial"/>
        </w:rPr>
        <w:t>,</w:t>
      </w:r>
      <w:r w:rsidRPr="005978B5">
        <w:rPr>
          <w:rFonts w:ascii="Arial" w:hAnsi="Arial" w:cs="Arial"/>
        </w:rPr>
        <w:t xml:space="preserve"> as compared to being </w:t>
      </w:r>
      <w:r w:rsidR="008F78F6" w:rsidRPr="005978B5">
        <w:rPr>
          <w:rFonts w:ascii="Arial" w:hAnsi="Arial" w:cs="Arial"/>
        </w:rPr>
        <w:t>summarised</w:t>
      </w:r>
      <w:r w:rsidRPr="005978B5">
        <w:rPr>
          <w:rFonts w:ascii="Arial" w:hAnsi="Arial" w:cs="Arial"/>
        </w:rPr>
        <w:t xml:space="preserve"> under similar terms. The three areas of review and the four objectives were directly aligned to barrier data. Objective 3 was reflected in the data on health outcomes. In order to synthesise the results, the CASP scores were recorded to place the results in perspective. The table of data extraction is presented in the final table in Appendix C. </w:t>
      </w:r>
    </w:p>
    <w:p w14:paraId="62651B41" w14:textId="77777777" w:rsidR="007D286C" w:rsidRPr="005978B5" w:rsidRDefault="007D286C" w:rsidP="00354518">
      <w:pPr>
        <w:pStyle w:val="Heading2"/>
        <w:spacing w:line="360" w:lineRule="auto"/>
        <w:jc w:val="both"/>
        <w:rPr>
          <w:rFonts w:ascii="Arial" w:hAnsi="Arial" w:cs="Arial"/>
          <w:sz w:val="22"/>
        </w:rPr>
      </w:pPr>
      <w:bookmarkStart w:id="32" w:name="_Toc232173683"/>
      <w:r w:rsidRPr="005978B5">
        <w:rPr>
          <w:rFonts w:ascii="Arial" w:hAnsi="Arial" w:cs="Arial"/>
          <w:sz w:val="22"/>
        </w:rPr>
        <w:t>3.8 Thematic Synthesis and Narrative Synthesis</w:t>
      </w:r>
      <w:bookmarkEnd w:id="32"/>
    </w:p>
    <w:p w14:paraId="5BD37F67" w14:textId="72A2DE78" w:rsidR="007D286C" w:rsidRPr="005978B5" w:rsidRDefault="00C954AE" w:rsidP="00354518">
      <w:pPr>
        <w:spacing w:line="360" w:lineRule="auto"/>
        <w:jc w:val="both"/>
        <w:rPr>
          <w:rFonts w:ascii="Arial" w:hAnsi="Arial" w:cs="Arial"/>
        </w:rPr>
      </w:pPr>
      <w:r w:rsidRPr="005978B5">
        <w:rPr>
          <w:rFonts w:ascii="Arial" w:hAnsi="Arial" w:cs="Arial"/>
        </w:rPr>
        <w:t xml:space="preserve">Two complementary approaches were used to do </w:t>
      </w:r>
      <w:r w:rsidR="008F78F6" w:rsidRPr="005978B5">
        <w:rPr>
          <w:rFonts w:ascii="Arial" w:hAnsi="Arial" w:cs="Arial"/>
        </w:rPr>
        <w:t xml:space="preserve">the </w:t>
      </w:r>
      <w:r w:rsidRPr="005978B5">
        <w:rPr>
          <w:rFonts w:ascii="Arial" w:hAnsi="Arial" w:cs="Arial"/>
        </w:rPr>
        <w:t>synthesis. As formulated by Thomas and Harden (2008), thematic synthesis was utilised as the main approach to qualitative and mixed-methods data. This method is carried out in three different and consecutive steps: first, systematic line-by-line coding of findings in each primary study; second, organisation of initial codes into descriptive themes that group similar findings across studies; and third, development of analytical themes that go beyond the descriptive content of individual studies to generate new interpretive insights relevant to the objectives of the review (Thomas and Harden, 2008). Thematic synthesising was chosen since it is especially well adapted to the synthesis of heterogeneous qualitative data that answers a complex question of public health.</w:t>
      </w:r>
    </w:p>
    <w:p w14:paraId="5BCB76BF" w14:textId="2D9FC99C" w:rsidR="007D286C" w:rsidRPr="005978B5" w:rsidRDefault="00C954AE" w:rsidP="00354518">
      <w:pPr>
        <w:spacing w:line="360" w:lineRule="auto"/>
        <w:jc w:val="both"/>
        <w:rPr>
          <w:rFonts w:ascii="Arial" w:hAnsi="Arial" w:cs="Arial"/>
        </w:rPr>
      </w:pPr>
      <w:r w:rsidRPr="005978B5">
        <w:rPr>
          <w:rFonts w:ascii="Arial" w:hAnsi="Arial" w:cs="Arial"/>
        </w:rPr>
        <w:t xml:space="preserve">Using the guidance provided by Popay et al. (2006), narrative synthesis was used to incorporate the quantitative data, which could not be subjected to thematic synthesis. This enabled a rational descriptive interpretation of the findings in relation to the health outcomes, access to treatment and use of services amongst studies that utilise numerical data. Narrative </w:t>
      </w:r>
      <w:r w:rsidRPr="005978B5">
        <w:rPr>
          <w:rFonts w:ascii="Arial" w:hAnsi="Arial" w:cs="Arial"/>
        </w:rPr>
        <w:lastRenderedPageBreak/>
        <w:t xml:space="preserve">synthesis is applied to describe, explain and rank quantitative findings in a way that does not lose accuracy and can compare and integrate across studies and the broader thematic context </w:t>
      </w:r>
      <w:r w:rsidR="005E259C" w:rsidRPr="005978B5">
        <w:rPr>
          <w:rFonts w:ascii="Arial" w:hAnsi="Arial" w:cs="Arial"/>
        </w:rPr>
        <w:t>(Langlois et al., 2018; Barnett-Page and Thomas, 2009; Welch et al., 2022)</w:t>
      </w:r>
      <w:r w:rsidRPr="005978B5">
        <w:rPr>
          <w:rFonts w:ascii="Arial" w:hAnsi="Arial" w:cs="Arial"/>
        </w:rPr>
        <w:t>. The two synthesis approaches provided a holistic and stratified analysis</w:t>
      </w:r>
      <w:r w:rsidR="008F78F6" w:rsidRPr="005978B5">
        <w:rPr>
          <w:rFonts w:ascii="Arial" w:hAnsi="Arial" w:cs="Arial"/>
        </w:rPr>
        <w:t>,</w:t>
      </w:r>
      <w:r w:rsidRPr="005978B5">
        <w:rPr>
          <w:rFonts w:ascii="Arial" w:hAnsi="Arial" w:cs="Arial"/>
        </w:rPr>
        <w:t xml:space="preserve"> with thematic synthesis providing the interpretive framework and narrative synthesis providing the empirical corroboration of quantitative research.</w:t>
      </w:r>
    </w:p>
    <w:p w14:paraId="27975F8B" w14:textId="77777777" w:rsidR="007D286C" w:rsidRPr="005978B5" w:rsidRDefault="007D286C" w:rsidP="00354518">
      <w:pPr>
        <w:pStyle w:val="Heading2"/>
        <w:spacing w:line="360" w:lineRule="auto"/>
        <w:jc w:val="both"/>
        <w:rPr>
          <w:rFonts w:ascii="Arial" w:hAnsi="Arial" w:cs="Arial"/>
          <w:sz w:val="22"/>
        </w:rPr>
      </w:pPr>
      <w:bookmarkStart w:id="33" w:name="_Toc232173684"/>
      <w:r w:rsidRPr="005978B5">
        <w:rPr>
          <w:rFonts w:ascii="Arial" w:hAnsi="Arial" w:cs="Arial"/>
          <w:sz w:val="22"/>
        </w:rPr>
        <w:t>3.9 Ethics</w:t>
      </w:r>
      <w:bookmarkEnd w:id="33"/>
    </w:p>
    <w:p w14:paraId="7E9F11F8" w14:textId="1E4B03A1" w:rsidR="00873A1F" w:rsidRDefault="00C954AE" w:rsidP="00354518">
      <w:pPr>
        <w:spacing w:line="360" w:lineRule="auto"/>
        <w:jc w:val="both"/>
        <w:rPr>
          <w:rFonts w:ascii="Arial" w:hAnsi="Arial" w:cs="Arial"/>
        </w:rPr>
      </w:pPr>
      <w:r w:rsidRPr="005978B5">
        <w:rPr>
          <w:rFonts w:ascii="Arial" w:hAnsi="Arial" w:cs="Arial"/>
        </w:rPr>
        <w:t xml:space="preserve">This dissertation was ethically approved by the University of Wales Trinity Saint David (UWTSD). Since this was a desk-based systematic review which utilizes only existing peer-reviewed published literature, no primary data were collected, and no human subjects were involved in any part of this study. Access to personal, identifiable or sensitive data was not required. Any included research studies have undergone adequate ethical approval in terms of the respective institutional review boards or ethics committees </w:t>
      </w:r>
      <w:r w:rsidR="004D17BA" w:rsidRPr="005978B5">
        <w:rPr>
          <w:rFonts w:ascii="Arial" w:hAnsi="Arial" w:cs="Arial"/>
        </w:rPr>
        <w:t>before</w:t>
      </w:r>
      <w:r w:rsidRPr="005978B5">
        <w:rPr>
          <w:rFonts w:ascii="Arial" w:hAnsi="Arial" w:cs="Arial"/>
        </w:rPr>
        <w:t xml:space="preserve"> publication</w:t>
      </w:r>
      <w:r w:rsidR="00EA7BC6" w:rsidRPr="005978B5">
        <w:rPr>
          <w:rFonts w:ascii="Arial" w:hAnsi="Arial" w:cs="Arial"/>
        </w:rPr>
        <w:t>,</w:t>
      </w:r>
      <w:r w:rsidRPr="005978B5">
        <w:rPr>
          <w:rFonts w:ascii="Arial" w:hAnsi="Arial" w:cs="Arial"/>
        </w:rPr>
        <w:t xml:space="preserve"> as evidenced in the quality appraisal. There </w:t>
      </w:r>
      <w:r w:rsidR="00EA7BC6" w:rsidRPr="005978B5">
        <w:rPr>
          <w:rFonts w:ascii="Arial" w:hAnsi="Arial" w:cs="Arial"/>
        </w:rPr>
        <w:t>was</w:t>
      </w:r>
      <w:r w:rsidRPr="005978B5">
        <w:rPr>
          <w:rFonts w:ascii="Arial" w:hAnsi="Arial" w:cs="Arial"/>
        </w:rPr>
        <w:t xml:space="preserve"> adherence to the principles of academic integrity, including appropriate citing of all the sources, transparent reporting on the review process and fair recognition of the </w:t>
      </w:r>
      <w:r w:rsidR="00EA7BC6" w:rsidRPr="005978B5">
        <w:rPr>
          <w:rFonts w:ascii="Arial" w:hAnsi="Arial" w:cs="Arial"/>
        </w:rPr>
        <w:t>evidence-based</w:t>
      </w:r>
      <w:r w:rsidRPr="005978B5">
        <w:rPr>
          <w:rFonts w:ascii="Arial" w:hAnsi="Arial" w:cs="Arial"/>
        </w:rPr>
        <w:t xml:space="preserve"> limitations.</w:t>
      </w:r>
    </w:p>
    <w:p w14:paraId="2E0F1EDE" w14:textId="77777777" w:rsidR="00292470" w:rsidRDefault="00292470">
      <w:pPr>
        <w:rPr>
          <w:rFonts w:ascii="Arial" w:eastAsia="Times New Roman" w:hAnsi="Arial" w:cs="Arial"/>
          <w:b/>
          <w:color w:val="000000"/>
        </w:rPr>
      </w:pPr>
      <w:r>
        <w:rPr>
          <w:rFonts w:ascii="Arial" w:hAnsi="Arial" w:cs="Arial"/>
        </w:rPr>
        <w:br w:type="page"/>
      </w:r>
    </w:p>
    <w:p w14:paraId="6DC42078" w14:textId="1F3ACE75" w:rsidR="007D286C" w:rsidRPr="005978B5" w:rsidRDefault="007D286C" w:rsidP="00292470">
      <w:pPr>
        <w:pStyle w:val="Heading1"/>
        <w:spacing w:line="360" w:lineRule="auto"/>
        <w:ind w:left="0" w:firstLine="0"/>
        <w:jc w:val="both"/>
        <w:rPr>
          <w:rFonts w:ascii="Arial" w:hAnsi="Arial" w:cs="Arial"/>
          <w:sz w:val="22"/>
        </w:rPr>
      </w:pPr>
      <w:bookmarkStart w:id="34" w:name="_Toc232173685"/>
      <w:r w:rsidRPr="005978B5">
        <w:rPr>
          <w:rFonts w:ascii="Arial" w:hAnsi="Arial" w:cs="Arial"/>
          <w:sz w:val="22"/>
        </w:rPr>
        <w:lastRenderedPageBreak/>
        <w:t>Chapter 4 – Findings</w:t>
      </w:r>
      <w:bookmarkEnd w:id="34"/>
    </w:p>
    <w:p w14:paraId="181E84A6" w14:textId="3413E8E9" w:rsidR="007D286C" w:rsidRPr="005978B5" w:rsidRDefault="0061630C" w:rsidP="00354518">
      <w:pPr>
        <w:spacing w:line="360" w:lineRule="auto"/>
        <w:jc w:val="both"/>
        <w:rPr>
          <w:rFonts w:ascii="Arial" w:hAnsi="Arial" w:cs="Arial"/>
        </w:rPr>
      </w:pPr>
      <w:r w:rsidRPr="005978B5">
        <w:rPr>
          <w:rFonts w:ascii="Arial" w:hAnsi="Arial" w:cs="Arial"/>
        </w:rPr>
        <w:t>This chapter presents the synthesised results from the 15 peer-reviewed studies included in this systematic review. In these studies, a range of research designs were employed: six qualitative studies (</w:t>
      </w:r>
      <w:proofErr w:type="spellStart"/>
      <w:r w:rsidRPr="005978B5">
        <w:rPr>
          <w:rFonts w:ascii="Arial" w:hAnsi="Arial" w:cs="Arial"/>
        </w:rPr>
        <w:t>Pardhan</w:t>
      </w:r>
      <w:proofErr w:type="spellEnd"/>
      <w:r w:rsidRPr="005978B5">
        <w:rPr>
          <w:rFonts w:ascii="Arial" w:hAnsi="Arial" w:cs="Arial"/>
        </w:rPr>
        <w:t xml:space="preserve"> et al., 2020; Patel et al., 2015a; Sidhu et al., 2022; </w:t>
      </w:r>
      <w:proofErr w:type="spellStart"/>
      <w:r w:rsidRPr="005978B5">
        <w:rPr>
          <w:rFonts w:ascii="Arial" w:hAnsi="Arial" w:cs="Arial"/>
        </w:rPr>
        <w:t>Omodara</w:t>
      </w:r>
      <w:proofErr w:type="spellEnd"/>
      <w:r w:rsidRPr="005978B5">
        <w:rPr>
          <w:rFonts w:ascii="Arial" w:hAnsi="Arial" w:cs="Arial"/>
        </w:rPr>
        <w:t xml:space="preserve"> et al., 2022; Goff et al., 2020b; </w:t>
      </w:r>
      <w:proofErr w:type="spellStart"/>
      <w:r w:rsidRPr="005978B5">
        <w:rPr>
          <w:rFonts w:ascii="Arial" w:hAnsi="Arial" w:cs="Arial"/>
        </w:rPr>
        <w:t>Alloh</w:t>
      </w:r>
      <w:proofErr w:type="spellEnd"/>
      <w:r w:rsidRPr="005978B5">
        <w:rPr>
          <w:rFonts w:ascii="Arial" w:hAnsi="Arial" w:cs="Arial"/>
        </w:rPr>
        <w:t xml:space="preserve"> et al., 2019), six quantitative cohort or cross-sectional studies (Mathur et al., 2020; Mathur et al., 2022; Howarth et al., 2020; Zeh et al., 2016; Au-Yeung et al., 2024; Barron et al., 2018), and three mixed-methods studies (Patel et al., 2015b; Low et al., 2024; Goff et al., 2021). Such methodological variety allowed not only to immerse into the life of the respondents, but also to </w:t>
      </w:r>
      <w:r w:rsidR="00EA7BC6" w:rsidRPr="005978B5">
        <w:rPr>
          <w:rFonts w:ascii="Arial" w:hAnsi="Arial" w:cs="Arial"/>
        </w:rPr>
        <w:t>analyse</w:t>
      </w:r>
      <w:r w:rsidRPr="005978B5">
        <w:rPr>
          <w:rFonts w:ascii="Arial" w:hAnsi="Arial" w:cs="Arial"/>
        </w:rPr>
        <w:t xml:space="preserve"> the disparity of risk and treatment of T2DM on the population level, which is also rigorous.</w:t>
      </w:r>
    </w:p>
    <w:p w14:paraId="65D391D2" w14:textId="26005EB1" w:rsidR="007D286C" w:rsidRPr="005978B5" w:rsidRDefault="0061630C" w:rsidP="00354518">
      <w:pPr>
        <w:spacing w:line="360" w:lineRule="auto"/>
        <w:jc w:val="both"/>
        <w:rPr>
          <w:rFonts w:ascii="Arial" w:hAnsi="Arial" w:cs="Arial"/>
        </w:rPr>
      </w:pPr>
      <w:r w:rsidRPr="005978B5">
        <w:rPr>
          <w:rFonts w:ascii="Arial" w:hAnsi="Arial" w:cs="Arial"/>
        </w:rPr>
        <w:t xml:space="preserve">Based on thematic synthesis (Thomas and Harden, 2008) and narrative synthesis (Popay et al., 2006), four broad themes were developed based on the main objectives outlined in the Introduction (Socioeconomic, cultural and healthcare system-based factors important in prevention and management of </w:t>
      </w:r>
      <w:r w:rsidR="007B74AE" w:rsidRPr="005978B5">
        <w:rPr>
          <w:rFonts w:ascii="Arial" w:hAnsi="Arial" w:cs="Arial"/>
        </w:rPr>
        <w:t>T2DM</w:t>
      </w:r>
      <w:r w:rsidRPr="005978B5">
        <w:rPr>
          <w:rFonts w:ascii="Arial" w:hAnsi="Arial" w:cs="Arial"/>
        </w:rPr>
        <w:t xml:space="preserve">; Impact of barriers; Influence of barriers on main health outcomes; Gaps in evidence and Evidence-based recommendations). These main themes were further subdivided into sub-themes as </w:t>
      </w:r>
      <w:r w:rsidR="00EA7BC6" w:rsidRPr="005978B5">
        <w:rPr>
          <w:rFonts w:ascii="Arial" w:hAnsi="Arial" w:cs="Arial"/>
        </w:rPr>
        <w:t>follows</w:t>
      </w:r>
      <w:r w:rsidRPr="005978B5">
        <w:rPr>
          <w:rFonts w:ascii="Arial" w:hAnsi="Arial" w:cs="Arial"/>
        </w:rPr>
        <w:t>.</w:t>
      </w:r>
    </w:p>
    <w:p w14:paraId="30EA2699" w14:textId="34C94F88" w:rsidR="003A1228" w:rsidRPr="009E3E7B" w:rsidRDefault="000D7F07" w:rsidP="009E3E7B">
      <w:pPr>
        <w:keepNext/>
        <w:spacing w:line="240" w:lineRule="auto"/>
        <w:jc w:val="center"/>
      </w:pPr>
      <w:r>
        <w:rPr>
          <w:noProof/>
        </w:rPr>
        <w:lastRenderedPageBreak/>
        <w:drawing>
          <wp:inline distT="0" distB="0" distL="0" distR="0" wp14:anchorId="0FD082CC" wp14:editId="5C9472F4">
            <wp:extent cx="5730881" cy="5146964"/>
            <wp:effectExtent l="0" t="0" r="3175" b="0"/>
            <wp:docPr id="18397843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a:fillRect/>
                    </a:stretch>
                  </pic:blipFill>
                  <pic:spPr bwMode="auto">
                    <a:xfrm>
                      <a:off x="0" y="0"/>
                      <a:ext cx="5736578" cy="5152081"/>
                    </a:xfrm>
                    <a:prstGeom prst="rect">
                      <a:avLst/>
                    </a:prstGeom>
                    <a:noFill/>
                    <a:ln>
                      <a:noFill/>
                    </a:ln>
                    <a:extLst>
                      <a:ext uri="{53640926-AAD7-44D8-BBD7-CCE9431645EC}">
                        <a14:shadowObscured xmlns:a14="http://schemas.microsoft.com/office/drawing/2010/main"/>
                      </a:ext>
                    </a:extLst>
                  </pic:spPr>
                </pic:pic>
              </a:graphicData>
            </a:graphic>
          </wp:inline>
        </w:drawing>
      </w:r>
      <w:bookmarkStart w:id="35" w:name="_Toc232173136"/>
      <w:r w:rsidR="00F07758" w:rsidRPr="009E3E7B">
        <w:rPr>
          <w:rFonts w:ascii="Arial" w:hAnsi="Arial" w:cs="Arial"/>
          <w:i/>
          <w:iCs/>
          <w:sz w:val="18"/>
          <w:szCs w:val="18"/>
        </w:rPr>
        <w:t xml:space="preserve">Figure </w:t>
      </w:r>
      <w:r w:rsidR="00F07758" w:rsidRPr="009E3E7B">
        <w:rPr>
          <w:rFonts w:ascii="Arial" w:hAnsi="Arial" w:cs="Arial"/>
          <w:i/>
          <w:iCs/>
          <w:sz w:val="18"/>
          <w:szCs w:val="18"/>
        </w:rPr>
        <w:fldChar w:fldCharType="begin"/>
      </w:r>
      <w:r w:rsidR="00F07758" w:rsidRPr="009E3E7B">
        <w:rPr>
          <w:rFonts w:ascii="Arial" w:hAnsi="Arial" w:cs="Arial"/>
          <w:i/>
          <w:iCs/>
          <w:sz w:val="18"/>
          <w:szCs w:val="18"/>
        </w:rPr>
        <w:instrText xml:space="preserve"> SEQ Figure \* ARABIC </w:instrText>
      </w:r>
      <w:r w:rsidR="00F07758" w:rsidRPr="009E3E7B">
        <w:rPr>
          <w:rFonts w:ascii="Arial" w:hAnsi="Arial" w:cs="Arial"/>
          <w:i/>
          <w:iCs/>
          <w:sz w:val="18"/>
          <w:szCs w:val="18"/>
        </w:rPr>
        <w:fldChar w:fldCharType="separate"/>
      </w:r>
      <w:r w:rsidR="00F07758" w:rsidRPr="009E3E7B">
        <w:rPr>
          <w:rFonts w:ascii="Arial" w:hAnsi="Arial" w:cs="Arial"/>
          <w:i/>
          <w:iCs/>
          <w:noProof/>
          <w:sz w:val="18"/>
          <w:szCs w:val="18"/>
        </w:rPr>
        <w:t>2</w:t>
      </w:r>
      <w:r w:rsidR="00F07758" w:rsidRPr="009E3E7B">
        <w:rPr>
          <w:rFonts w:ascii="Arial" w:hAnsi="Arial" w:cs="Arial"/>
          <w:i/>
          <w:iCs/>
          <w:sz w:val="18"/>
          <w:szCs w:val="18"/>
        </w:rPr>
        <w:fldChar w:fldCharType="end"/>
      </w:r>
      <w:r w:rsidR="00F07758" w:rsidRPr="009E3E7B">
        <w:rPr>
          <w:rFonts w:ascii="Arial" w:hAnsi="Arial" w:cs="Arial"/>
          <w:i/>
          <w:iCs/>
          <w:sz w:val="18"/>
          <w:szCs w:val="18"/>
        </w:rPr>
        <w:t>Three domains of barriers to T2DM prevention and management in ethnic minority adults in the UK. All items were grounded in the 15 included studies. Derived from thematic synthesis, Theme 4.1.</w:t>
      </w:r>
      <w:bookmarkEnd w:id="35"/>
    </w:p>
    <w:p w14:paraId="187D9DF0" w14:textId="77777777" w:rsidR="007155A4" w:rsidRPr="007155A4" w:rsidRDefault="007155A4" w:rsidP="007155A4"/>
    <w:p w14:paraId="39EEDB9E" w14:textId="29FCF092" w:rsidR="007155A4" w:rsidRPr="007155A4" w:rsidRDefault="007155A4" w:rsidP="007155A4">
      <w:pPr>
        <w:spacing w:line="360" w:lineRule="auto"/>
        <w:jc w:val="both"/>
        <w:rPr>
          <w:rFonts w:ascii="Arial" w:hAnsi="Arial" w:cs="Arial"/>
        </w:rPr>
      </w:pPr>
      <w:r w:rsidRPr="007155A4">
        <w:rPr>
          <w:rFonts w:ascii="Arial" w:hAnsi="Arial" w:cs="Arial"/>
        </w:rPr>
        <w:t xml:space="preserve">Three interconnected barrier domains emerged from this systematic review: socioeconomic, cultural and healthcare system factors, </w:t>
      </w:r>
      <w:r w:rsidR="00B26ED9">
        <w:rPr>
          <w:rFonts w:ascii="Arial" w:hAnsi="Arial" w:cs="Arial"/>
        </w:rPr>
        <w:t xml:space="preserve">which </w:t>
      </w:r>
      <w:r w:rsidRPr="007155A4">
        <w:rPr>
          <w:rFonts w:ascii="Arial" w:hAnsi="Arial" w:cs="Arial"/>
        </w:rPr>
        <w:t>are summarised in Figure 2 below. The diagram shows that the domains are not working in isolation but are linked together to exacerbate the disadvantage of ethnic minorities in the prevention and management of T2DM. The thematic sections below delve deeper into each domain.</w:t>
      </w:r>
    </w:p>
    <w:p w14:paraId="008E0401" w14:textId="7F21033C" w:rsidR="007D286C" w:rsidRPr="005978B5" w:rsidRDefault="007D286C" w:rsidP="00354518">
      <w:pPr>
        <w:spacing w:line="360" w:lineRule="auto"/>
        <w:jc w:val="both"/>
        <w:rPr>
          <w:rFonts w:ascii="Arial" w:eastAsia="Times New Roman" w:hAnsi="Arial" w:cs="Arial"/>
          <w:kern w:val="0"/>
          <w:lang w:eastAsia="en-IN"/>
          <w14:ligatures w14:val="none"/>
        </w:rPr>
      </w:pPr>
    </w:p>
    <w:p w14:paraId="4FC479EC" w14:textId="084C21D1" w:rsidR="006B09A2" w:rsidRPr="005978B5" w:rsidRDefault="006B09A2" w:rsidP="006B09A2">
      <w:pPr>
        <w:pStyle w:val="Caption"/>
        <w:keepNext/>
        <w:jc w:val="center"/>
        <w:rPr>
          <w:rFonts w:ascii="Arial" w:hAnsi="Arial" w:cs="Arial"/>
          <w:sz w:val="22"/>
          <w:szCs w:val="22"/>
        </w:rPr>
      </w:pPr>
      <w:bookmarkStart w:id="36" w:name="_Toc231680792"/>
      <w:r w:rsidRPr="005978B5">
        <w:rPr>
          <w:rFonts w:ascii="Arial" w:hAnsi="Arial" w:cs="Arial"/>
          <w:sz w:val="22"/>
          <w:szCs w:val="22"/>
        </w:rPr>
        <w:t xml:space="preserve">Table 4. </w:t>
      </w:r>
      <w:r w:rsidR="00C422AE" w:rsidRPr="005978B5">
        <w:rPr>
          <w:rFonts w:ascii="Arial" w:hAnsi="Arial" w:cs="Arial"/>
          <w:sz w:val="22"/>
          <w:szCs w:val="22"/>
        </w:rPr>
        <w:fldChar w:fldCharType="begin"/>
      </w:r>
      <w:r w:rsidR="00C422AE" w:rsidRPr="005978B5">
        <w:rPr>
          <w:rFonts w:ascii="Arial" w:hAnsi="Arial" w:cs="Arial"/>
          <w:sz w:val="22"/>
          <w:szCs w:val="22"/>
        </w:rPr>
        <w:instrText xml:space="preserve"> SEQ Table_4. \* ARABIC </w:instrText>
      </w:r>
      <w:r w:rsidR="00C422AE" w:rsidRPr="005978B5">
        <w:rPr>
          <w:rFonts w:ascii="Arial" w:hAnsi="Arial" w:cs="Arial"/>
          <w:sz w:val="22"/>
          <w:szCs w:val="22"/>
        </w:rPr>
        <w:fldChar w:fldCharType="separate"/>
      </w:r>
      <w:r w:rsidR="00C422AE" w:rsidRPr="005978B5">
        <w:rPr>
          <w:rFonts w:ascii="Arial" w:hAnsi="Arial" w:cs="Arial"/>
          <w:noProof/>
          <w:sz w:val="22"/>
          <w:szCs w:val="22"/>
        </w:rPr>
        <w:t>1</w:t>
      </w:r>
      <w:r w:rsidR="00C422AE" w:rsidRPr="005978B5">
        <w:rPr>
          <w:rFonts w:ascii="Arial" w:hAnsi="Arial" w:cs="Arial"/>
          <w:noProof/>
          <w:sz w:val="22"/>
          <w:szCs w:val="22"/>
        </w:rPr>
        <w:fldChar w:fldCharType="end"/>
      </w:r>
      <w:r w:rsidRPr="005978B5">
        <w:rPr>
          <w:rFonts w:ascii="Arial" w:hAnsi="Arial" w:cs="Arial"/>
          <w:sz w:val="22"/>
          <w:szCs w:val="22"/>
        </w:rPr>
        <w:t xml:space="preserve"> </w:t>
      </w:r>
      <w:r w:rsidRPr="005978B5">
        <w:rPr>
          <w:rFonts w:ascii="Arial" w:eastAsia="Times New Roman" w:hAnsi="Arial" w:cs="Arial"/>
          <w:kern w:val="0"/>
          <w:sz w:val="22"/>
          <w:szCs w:val="22"/>
          <w:lang w:eastAsia="en-IN"/>
          <w14:ligatures w14:val="none"/>
        </w:rPr>
        <w:t>Summary of themes</w:t>
      </w:r>
      <w:bookmarkEnd w:id="36"/>
    </w:p>
    <w:tbl>
      <w:tblPr>
        <w:tblStyle w:val="GridTable4-Accent1"/>
        <w:tblW w:w="9052" w:type="dxa"/>
        <w:tblLook w:val="04A0" w:firstRow="1" w:lastRow="0" w:firstColumn="1" w:lastColumn="0" w:noHBand="0" w:noVBand="1"/>
      </w:tblPr>
      <w:tblGrid>
        <w:gridCol w:w="3586"/>
        <w:gridCol w:w="2494"/>
        <w:gridCol w:w="2972"/>
      </w:tblGrid>
      <w:tr w:rsidR="007D286C" w:rsidRPr="00383CAA" w14:paraId="73165AD6" w14:textId="77777777" w:rsidTr="006B09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8" w:type="dxa"/>
            <w:hideMark/>
          </w:tcPr>
          <w:p w14:paraId="633C3E41" w14:textId="77777777" w:rsidR="007D286C" w:rsidRPr="00383CAA" w:rsidRDefault="007D286C" w:rsidP="006761EE">
            <w:pPr>
              <w:rPr>
                <w:rFonts w:ascii="Arial" w:eastAsia="Times New Roman" w:hAnsi="Arial" w:cs="Arial"/>
                <w:b w:val="0"/>
                <w:bCs w:val="0"/>
                <w:kern w:val="0"/>
                <w:sz w:val="18"/>
                <w:szCs w:val="18"/>
                <w:lang w:eastAsia="en-IN"/>
                <w14:ligatures w14:val="none"/>
              </w:rPr>
            </w:pPr>
            <w:r w:rsidRPr="00383CAA">
              <w:rPr>
                <w:rFonts w:ascii="Arial" w:eastAsia="Times New Roman" w:hAnsi="Arial" w:cs="Arial"/>
                <w:kern w:val="0"/>
                <w:sz w:val="18"/>
                <w:szCs w:val="18"/>
                <w:lang w:eastAsia="en-IN"/>
                <w14:ligatures w14:val="none"/>
              </w:rPr>
              <w:t>Theme</w:t>
            </w:r>
          </w:p>
        </w:tc>
        <w:tc>
          <w:tcPr>
            <w:tcW w:w="2461" w:type="dxa"/>
            <w:hideMark/>
          </w:tcPr>
          <w:p w14:paraId="192D1DAE" w14:textId="77777777" w:rsidR="007D286C" w:rsidRPr="00383CAA" w:rsidRDefault="007D286C" w:rsidP="006761E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18"/>
                <w:szCs w:val="18"/>
                <w:lang w:eastAsia="en-IN"/>
                <w14:ligatures w14:val="none"/>
              </w:rPr>
            </w:pPr>
            <w:r w:rsidRPr="00383CAA">
              <w:rPr>
                <w:rFonts w:ascii="Arial" w:eastAsia="Times New Roman" w:hAnsi="Arial" w:cs="Arial"/>
                <w:kern w:val="0"/>
                <w:sz w:val="18"/>
                <w:szCs w:val="18"/>
                <w:lang w:eastAsia="en-IN"/>
                <w14:ligatures w14:val="none"/>
              </w:rPr>
              <w:t>Subthemes</w:t>
            </w:r>
          </w:p>
        </w:tc>
        <w:tc>
          <w:tcPr>
            <w:tcW w:w="2933" w:type="dxa"/>
            <w:hideMark/>
          </w:tcPr>
          <w:p w14:paraId="72D867E3" w14:textId="77777777" w:rsidR="007D286C" w:rsidRPr="00383CAA" w:rsidRDefault="007D286C" w:rsidP="006761E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18"/>
                <w:szCs w:val="18"/>
                <w:lang w:eastAsia="en-IN"/>
                <w14:ligatures w14:val="none"/>
              </w:rPr>
            </w:pPr>
            <w:r w:rsidRPr="00383CAA">
              <w:rPr>
                <w:rFonts w:ascii="Arial" w:eastAsia="Times New Roman" w:hAnsi="Arial" w:cs="Arial"/>
                <w:kern w:val="0"/>
                <w:sz w:val="18"/>
                <w:szCs w:val="18"/>
                <w:lang w:eastAsia="en-IN"/>
                <w14:ligatures w14:val="none"/>
              </w:rPr>
              <w:t>Key Studies</w:t>
            </w:r>
          </w:p>
        </w:tc>
      </w:tr>
      <w:tr w:rsidR="007D286C" w:rsidRPr="00383CAA" w14:paraId="2E5C1FD1" w14:textId="77777777" w:rsidTr="006B09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8" w:type="dxa"/>
            <w:hideMark/>
          </w:tcPr>
          <w:p w14:paraId="3BA7A8D2" w14:textId="77777777" w:rsidR="007D286C" w:rsidRPr="00383CAA" w:rsidRDefault="007D286C" w:rsidP="006761EE">
            <w:pPr>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4.1 Socioeconomic, cultural and healthcare system-based factors important in the prevention and management of T2DM</w:t>
            </w:r>
          </w:p>
        </w:tc>
        <w:tc>
          <w:tcPr>
            <w:tcW w:w="2461" w:type="dxa"/>
            <w:hideMark/>
          </w:tcPr>
          <w:p w14:paraId="2A045B7A"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4.1.1 Socioeconomic factors</w:t>
            </w:r>
          </w:p>
        </w:tc>
        <w:tc>
          <w:tcPr>
            <w:tcW w:w="2933" w:type="dxa"/>
            <w:hideMark/>
          </w:tcPr>
          <w:p w14:paraId="04363356"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 xml:space="preserve">Au-Yeung et al. (2024); Howarth et al. (2020); Barron et al. (2018); </w:t>
            </w:r>
            <w:proofErr w:type="spellStart"/>
            <w:r w:rsidRPr="00383CAA">
              <w:rPr>
                <w:rFonts w:ascii="Arial" w:eastAsia="Times New Roman" w:hAnsi="Arial" w:cs="Arial"/>
                <w:kern w:val="0"/>
                <w:sz w:val="18"/>
                <w:szCs w:val="18"/>
                <w:lang w:eastAsia="en-IN"/>
                <w14:ligatures w14:val="none"/>
              </w:rPr>
              <w:t>Pardhan</w:t>
            </w:r>
            <w:proofErr w:type="spellEnd"/>
            <w:r w:rsidRPr="00383CAA">
              <w:rPr>
                <w:rFonts w:ascii="Arial" w:eastAsia="Times New Roman" w:hAnsi="Arial" w:cs="Arial"/>
                <w:kern w:val="0"/>
                <w:sz w:val="18"/>
                <w:szCs w:val="18"/>
                <w:lang w:eastAsia="en-IN"/>
                <w14:ligatures w14:val="none"/>
              </w:rPr>
              <w:t xml:space="preserve"> et al. (2020); Patel et al. (2015b); </w:t>
            </w:r>
            <w:proofErr w:type="spellStart"/>
            <w:r w:rsidRPr="00383CAA">
              <w:rPr>
                <w:rFonts w:ascii="Arial" w:eastAsia="Times New Roman" w:hAnsi="Arial" w:cs="Arial"/>
                <w:kern w:val="0"/>
                <w:sz w:val="18"/>
                <w:szCs w:val="18"/>
                <w:lang w:eastAsia="en-IN"/>
                <w14:ligatures w14:val="none"/>
              </w:rPr>
              <w:t>Alloh</w:t>
            </w:r>
            <w:proofErr w:type="spellEnd"/>
            <w:r w:rsidRPr="00383CAA">
              <w:rPr>
                <w:rFonts w:ascii="Arial" w:eastAsia="Times New Roman" w:hAnsi="Arial" w:cs="Arial"/>
                <w:kern w:val="0"/>
                <w:sz w:val="18"/>
                <w:szCs w:val="18"/>
                <w:lang w:eastAsia="en-IN"/>
                <w14:ligatures w14:val="none"/>
              </w:rPr>
              <w:t xml:space="preserve"> et al. (2019)</w:t>
            </w:r>
          </w:p>
        </w:tc>
      </w:tr>
      <w:tr w:rsidR="007D286C" w:rsidRPr="00383CAA" w14:paraId="16152840" w14:textId="77777777" w:rsidTr="006B09A2">
        <w:tc>
          <w:tcPr>
            <w:cnfStyle w:val="001000000000" w:firstRow="0" w:lastRow="0" w:firstColumn="1" w:lastColumn="0" w:oddVBand="0" w:evenVBand="0" w:oddHBand="0" w:evenHBand="0" w:firstRowFirstColumn="0" w:firstRowLastColumn="0" w:lastRowFirstColumn="0" w:lastRowLastColumn="0"/>
            <w:tcW w:w="3538" w:type="dxa"/>
            <w:hideMark/>
          </w:tcPr>
          <w:p w14:paraId="1F3D69E6" w14:textId="77777777" w:rsidR="007D286C" w:rsidRPr="00383CAA" w:rsidRDefault="007D286C" w:rsidP="006761EE">
            <w:pPr>
              <w:rPr>
                <w:rFonts w:ascii="Arial" w:eastAsia="Times New Roman" w:hAnsi="Arial" w:cs="Arial"/>
                <w:kern w:val="0"/>
                <w:sz w:val="18"/>
                <w:szCs w:val="18"/>
                <w:lang w:eastAsia="en-IN"/>
                <w14:ligatures w14:val="none"/>
              </w:rPr>
            </w:pPr>
          </w:p>
        </w:tc>
        <w:tc>
          <w:tcPr>
            <w:tcW w:w="2461" w:type="dxa"/>
            <w:hideMark/>
          </w:tcPr>
          <w:p w14:paraId="12144F49"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4.1.2 Cultural factors</w:t>
            </w:r>
          </w:p>
        </w:tc>
        <w:tc>
          <w:tcPr>
            <w:tcW w:w="2933" w:type="dxa"/>
            <w:hideMark/>
          </w:tcPr>
          <w:p w14:paraId="303255DF"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 xml:space="preserve">Patel et al. (2015a); Patel et al. (2015b); </w:t>
            </w:r>
            <w:proofErr w:type="spellStart"/>
            <w:r w:rsidRPr="00383CAA">
              <w:rPr>
                <w:rFonts w:ascii="Arial" w:eastAsia="Times New Roman" w:hAnsi="Arial" w:cs="Arial"/>
                <w:kern w:val="0"/>
                <w:sz w:val="18"/>
                <w:szCs w:val="18"/>
                <w:lang w:eastAsia="en-IN"/>
                <w14:ligatures w14:val="none"/>
              </w:rPr>
              <w:t>Omodara</w:t>
            </w:r>
            <w:proofErr w:type="spellEnd"/>
            <w:r w:rsidRPr="00383CAA">
              <w:rPr>
                <w:rFonts w:ascii="Arial" w:eastAsia="Times New Roman" w:hAnsi="Arial" w:cs="Arial"/>
                <w:kern w:val="0"/>
                <w:sz w:val="18"/>
                <w:szCs w:val="18"/>
                <w:lang w:eastAsia="en-IN"/>
                <w14:ligatures w14:val="none"/>
              </w:rPr>
              <w:t xml:space="preserve"> et al. (2022); </w:t>
            </w:r>
            <w:r w:rsidRPr="00383CAA">
              <w:rPr>
                <w:rFonts w:ascii="Arial" w:eastAsia="Times New Roman" w:hAnsi="Arial" w:cs="Arial"/>
                <w:kern w:val="0"/>
                <w:sz w:val="18"/>
                <w:szCs w:val="18"/>
                <w:lang w:eastAsia="en-IN"/>
                <w14:ligatures w14:val="none"/>
              </w:rPr>
              <w:lastRenderedPageBreak/>
              <w:t xml:space="preserve">Goff et al. (2020b); Sidhu et al. (2022); </w:t>
            </w:r>
            <w:proofErr w:type="spellStart"/>
            <w:r w:rsidRPr="00383CAA">
              <w:rPr>
                <w:rFonts w:ascii="Arial" w:eastAsia="Times New Roman" w:hAnsi="Arial" w:cs="Arial"/>
                <w:kern w:val="0"/>
                <w:sz w:val="18"/>
                <w:szCs w:val="18"/>
                <w:lang w:eastAsia="en-IN"/>
                <w14:ligatures w14:val="none"/>
              </w:rPr>
              <w:t>Alloh</w:t>
            </w:r>
            <w:proofErr w:type="spellEnd"/>
            <w:r w:rsidRPr="00383CAA">
              <w:rPr>
                <w:rFonts w:ascii="Arial" w:eastAsia="Times New Roman" w:hAnsi="Arial" w:cs="Arial"/>
                <w:kern w:val="0"/>
                <w:sz w:val="18"/>
                <w:szCs w:val="18"/>
                <w:lang w:eastAsia="en-IN"/>
                <w14:ligatures w14:val="none"/>
              </w:rPr>
              <w:t xml:space="preserve"> et al. (2019)</w:t>
            </w:r>
          </w:p>
        </w:tc>
      </w:tr>
      <w:tr w:rsidR="007D286C" w:rsidRPr="00383CAA" w14:paraId="162DD77C" w14:textId="77777777" w:rsidTr="006B09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8" w:type="dxa"/>
            <w:hideMark/>
          </w:tcPr>
          <w:p w14:paraId="44B5E9BB" w14:textId="77777777" w:rsidR="007D286C" w:rsidRPr="00383CAA" w:rsidRDefault="007D286C" w:rsidP="006761EE">
            <w:pPr>
              <w:rPr>
                <w:rFonts w:ascii="Arial" w:eastAsia="Times New Roman" w:hAnsi="Arial" w:cs="Arial"/>
                <w:kern w:val="0"/>
                <w:sz w:val="18"/>
                <w:szCs w:val="18"/>
                <w:lang w:eastAsia="en-IN"/>
                <w14:ligatures w14:val="none"/>
              </w:rPr>
            </w:pPr>
          </w:p>
        </w:tc>
        <w:tc>
          <w:tcPr>
            <w:tcW w:w="2461" w:type="dxa"/>
            <w:hideMark/>
          </w:tcPr>
          <w:p w14:paraId="11D4738B"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4.1.3 Healthcare system factors</w:t>
            </w:r>
          </w:p>
        </w:tc>
        <w:tc>
          <w:tcPr>
            <w:tcW w:w="2933" w:type="dxa"/>
            <w:hideMark/>
          </w:tcPr>
          <w:p w14:paraId="1E614F59"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Zeh et al. (2016); Goff et al. (2020b); Goff et al. (2021); Low et al. (2024); Mathur et al. (2020)</w:t>
            </w:r>
          </w:p>
        </w:tc>
      </w:tr>
      <w:tr w:rsidR="007D286C" w:rsidRPr="00383CAA" w14:paraId="43B11BED" w14:textId="77777777" w:rsidTr="006B09A2">
        <w:tc>
          <w:tcPr>
            <w:cnfStyle w:val="001000000000" w:firstRow="0" w:lastRow="0" w:firstColumn="1" w:lastColumn="0" w:oddVBand="0" w:evenVBand="0" w:oddHBand="0" w:evenHBand="0" w:firstRowFirstColumn="0" w:firstRowLastColumn="0" w:lastRowFirstColumn="0" w:lastRowLastColumn="0"/>
            <w:tcW w:w="3538" w:type="dxa"/>
            <w:hideMark/>
          </w:tcPr>
          <w:p w14:paraId="77B074D4" w14:textId="77777777" w:rsidR="007D286C" w:rsidRPr="00383CAA" w:rsidRDefault="007D286C" w:rsidP="006761EE">
            <w:pPr>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4.2 Impact of barriers</w:t>
            </w:r>
          </w:p>
        </w:tc>
        <w:tc>
          <w:tcPr>
            <w:tcW w:w="2461" w:type="dxa"/>
            <w:hideMark/>
          </w:tcPr>
          <w:p w14:paraId="477EDF7A"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4.2.1 Impact on prevention and programme engagement</w:t>
            </w:r>
          </w:p>
        </w:tc>
        <w:tc>
          <w:tcPr>
            <w:tcW w:w="2933" w:type="dxa"/>
            <w:hideMark/>
          </w:tcPr>
          <w:p w14:paraId="69502BE7"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Barron et al. (2018); Howarth et al. (2020); Goff et al. (2020b); Zeh et al. (2016)</w:t>
            </w:r>
          </w:p>
        </w:tc>
      </w:tr>
      <w:tr w:rsidR="007D286C" w:rsidRPr="00383CAA" w14:paraId="56AFBD48" w14:textId="77777777" w:rsidTr="006B09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8" w:type="dxa"/>
            <w:hideMark/>
          </w:tcPr>
          <w:p w14:paraId="7C893939" w14:textId="77777777" w:rsidR="007D286C" w:rsidRPr="00383CAA" w:rsidRDefault="007D286C" w:rsidP="006761EE">
            <w:pPr>
              <w:rPr>
                <w:rFonts w:ascii="Arial" w:eastAsia="Times New Roman" w:hAnsi="Arial" w:cs="Arial"/>
                <w:kern w:val="0"/>
                <w:sz w:val="18"/>
                <w:szCs w:val="18"/>
                <w:lang w:eastAsia="en-IN"/>
                <w14:ligatures w14:val="none"/>
              </w:rPr>
            </w:pPr>
          </w:p>
        </w:tc>
        <w:tc>
          <w:tcPr>
            <w:tcW w:w="2461" w:type="dxa"/>
            <w:hideMark/>
          </w:tcPr>
          <w:p w14:paraId="37652FA7"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4.2.2 Impact on self-management behaviours and help-seeking</w:t>
            </w:r>
          </w:p>
        </w:tc>
        <w:tc>
          <w:tcPr>
            <w:tcW w:w="2933" w:type="dxa"/>
            <w:hideMark/>
          </w:tcPr>
          <w:p w14:paraId="3FE1DB88"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 xml:space="preserve">Patel et al. (2015a); Patel et al. (2015b); </w:t>
            </w:r>
            <w:proofErr w:type="spellStart"/>
            <w:r w:rsidRPr="00383CAA">
              <w:rPr>
                <w:rFonts w:ascii="Arial" w:eastAsia="Times New Roman" w:hAnsi="Arial" w:cs="Arial"/>
                <w:kern w:val="0"/>
                <w:sz w:val="18"/>
                <w:szCs w:val="18"/>
                <w:lang w:eastAsia="en-IN"/>
                <w14:ligatures w14:val="none"/>
              </w:rPr>
              <w:t>Omodara</w:t>
            </w:r>
            <w:proofErr w:type="spellEnd"/>
            <w:r w:rsidRPr="00383CAA">
              <w:rPr>
                <w:rFonts w:ascii="Arial" w:eastAsia="Times New Roman" w:hAnsi="Arial" w:cs="Arial"/>
                <w:kern w:val="0"/>
                <w:sz w:val="18"/>
                <w:szCs w:val="18"/>
                <w:lang w:eastAsia="en-IN"/>
                <w14:ligatures w14:val="none"/>
              </w:rPr>
              <w:t xml:space="preserve"> et al. (2022); </w:t>
            </w:r>
            <w:proofErr w:type="spellStart"/>
            <w:r w:rsidRPr="00383CAA">
              <w:rPr>
                <w:rFonts w:ascii="Arial" w:eastAsia="Times New Roman" w:hAnsi="Arial" w:cs="Arial"/>
                <w:kern w:val="0"/>
                <w:sz w:val="18"/>
                <w:szCs w:val="18"/>
                <w:lang w:eastAsia="en-IN"/>
                <w14:ligatures w14:val="none"/>
              </w:rPr>
              <w:t>Alloh</w:t>
            </w:r>
            <w:proofErr w:type="spellEnd"/>
            <w:r w:rsidRPr="00383CAA">
              <w:rPr>
                <w:rFonts w:ascii="Arial" w:eastAsia="Times New Roman" w:hAnsi="Arial" w:cs="Arial"/>
                <w:kern w:val="0"/>
                <w:sz w:val="18"/>
                <w:szCs w:val="18"/>
                <w:lang w:eastAsia="en-IN"/>
                <w14:ligatures w14:val="none"/>
              </w:rPr>
              <w:t xml:space="preserve"> et al. (2019); </w:t>
            </w:r>
            <w:proofErr w:type="spellStart"/>
            <w:r w:rsidRPr="00383CAA">
              <w:rPr>
                <w:rFonts w:ascii="Arial" w:eastAsia="Times New Roman" w:hAnsi="Arial" w:cs="Arial"/>
                <w:kern w:val="0"/>
                <w:sz w:val="18"/>
                <w:szCs w:val="18"/>
                <w:lang w:eastAsia="en-IN"/>
                <w14:ligatures w14:val="none"/>
              </w:rPr>
              <w:t>Pardhan</w:t>
            </w:r>
            <w:proofErr w:type="spellEnd"/>
            <w:r w:rsidRPr="00383CAA">
              <w:rPr>
                <w:rFonts w:ascii="Arial" w:eastAsia="Times New Roman" w:hAnsi="Arial" w:cs="Arial"/>
                <w:kern w:val="0"/>
                <w:sz w:val="18"/>
                <w:szCs w:val="18"/>
                <w:lang w:eastAsia="en-IN"/>
                <w14:ligatures w14:val="none"/>
              </w:rPr>
              <w:t xml:space="preserve"> et al. (2020); Sidhu et al. (2022)</w:t>
            </w:r>
          </w:p>
        </w:tc>
      </w:tr>
      <w:tr w:rsidR="007D286C" w:rsidRPr="00383CAA" w14:paraId="74E63A4B" w14:textId="77777777" w:rsidTr="006B09A2">
        <w:tc>
          <w:tcPr>
            <w:cnfStyle w:val="001000000000" w:firstRow="0" w:lastRow="0" w:firstColumn="1" w:lastColumn="0" w:oddVBand="0" w:evenVBand="0" w:oddHBand="0" w:evenHBand="0" w:firstRowFirstColumn="0" w:firstRowLastColumn="0" w:lastRowFirstColumn="0" w:lastRowLastColumn="0"/>
            <w:tcW w:w="3538" w:type="dxa"/>
            <w:hideMark/>
          </w:tcPr>
          <w:p w14:paraId="2EFD5AEF" w14:textId="77777777" w:rsidR="007D286C" w:rsidRPr="00383CAA" w:rsidRDefault="007D286C" w:rsidP="006761EE">
            <w:pPr>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4.3 Influence of barriers on main health outcomes</w:t>
            </w:r>
          </w:p>
        </w:tc>
        <w:tc>
          <w:tcPr>
            <w:tcW w:w="2461" w:type="dxa"/>
            <w:hideMark/>
          </w:tcPr>
          <w:p w14:paraId="48964C41"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4.3.1 Glycaemic control and treatment disparities</w:t>
            </w:r>
          </w:p>
        </w:tc>
        <w:tc>
          <w:tcPr>
            <w:tcW w:w="2933" w:type="dxa"/>
            <w:hideMark/>
          </w:tcPr>
          <w:p w14:paraId="48F833C0"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Mathur et al. (2020); Mathur et al. (2022); Au-Yeung et al. (2024); Anderson et al. (2021)</w:t>
            </w:r>
          </w:p>
        </w:tc>
      </w:tr>
      <w:tr w:rsidR="007D286C" w:rsidRPr="00383CAA" w14:paraId="2DA43CEA" w14:textId="77777777" w:rsidTr="006B09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8" w:type="dxa"/>
            <w:hideMark/>
          </w:tcPr>
          <w:p w14:paraId="3F573E84" w14:textId="77777777" w:rsidR="007D286C" w:rsidRPr="00383CAA" w:rsidRDefault="007D286C" w:rsidP="006761EE">
            <w:pPr>
              <w:rPr>
                <w:rFonts w:ascii="Arial" w:eastAsia="Times New Roman" w:hAnsi="Arial" w:cs="Arial"/>
                <w:kern w:val="0"/>
                <w:sz w:val="18"/>
                <w:szCs w:val="18"/>
                <w:lang w:eastAsia="en-IN"/>
                <w14:ligatures w14:val="none"/>
              </w:rPr>
            </w:pPr>
          </w:p>
        </w:tc>
        <w:tc>
          <w:tcPr>
            <w:tcW w:w="2461" w:type="dxa"/>
            <w:hideMark/>
          </w:tcPr>
          <w:p w14:paraId="11061DC1"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4.3.2 Complication rates and programme effectiveness</w:t>
            </w:r>
          </w:p>
        </w:tc>
        <w:tc>
          <w:tcPr>
            <w:tcW w:w="2933" w:type="dxa"/>
            <w:hideMark/>
          </w:tcPr>
          <w:p w14:paraId="32B039C0"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Goff et al. (2021); Low et al. (2024); Patel et al. (2015a); Olvera-Barrios et al. (2023); Mathur et al. (2018); Razieh et al. (2022)</w:t>
            </w:r>
          </w:p>
        </w:tc>
      </w:tr>
      <w:tr w:rsidR="007D286C" w:rsidRPr="00383CAA" w14:paraId="595C465F" w14:textId="77777777" w:rsidTr="006B09A2">
        <w:tc>
          <w:tcPr>
            <w:cnfStyle w:val="001000000000" w:firstRow="0" w:lastRow="0" w:firstColumn="1" w:lastColumn="0" w:oddVBand="0" w:evenVBand="0" w:oddHBand="0" w:evenHBand="0" w:firstRowFirstColumn="0" w:firstRowLastColumn="0" w:lastRowFirstColumn="0" w:lastRowLastColumn="0"/>
            <w:tcW w:w="3538" w:type="dxa"/>
            <w:hideMark/>
          </w:tcPr>
          <w:p w14:paraId="10C19F66" w14:textId="77777777" w:rsidR="007D286C" w:rsidRPr="00383CAA" w:rsidRDefault="007D286C" w:rsidP="006761EE">
            <w:pPr>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4.4 Gaps in evidence and evidence-based recommendations</w:t>
            </w:r>
          </w:p>
        </w:tc>
        <w:tc>
          <w:tcPr>
            <w:tcW w:w="2461" w:type="dxa"/>
            <w:hideMark/>
          </w:tcPr>
          <w:p w14:paraId="6F0CBCFB"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4.4.1 Gaps in evidence</w:t>
            </w:r>
          </w:p>
        </w:tc>
        <w:tc>
          <w:tcPr>
            <w:tcW w:w="2933" w:type="dxa"/>
            <w:hideMark/>
          </w:tcPr>
          <w:p w14:paraId="56BADA79"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proofErr w:type="spellStart"/>
            <w:r w:rsidRPr="00383CAA">
              <w:rPr>
                <w:rFonts w:ascii="Arial" w:eastAsia="Times New Roman" w:hAnsi="Arial" w:cs="Arial"/>
                <w:kern w:val="0"/>
                <w:sz w:val="18"/>
                <w:szCs w:val="18"/>
                <w:lang w:eastAsia="en-IN"/>
                <w14:ligatures w14:val="none"/>
              </w:rPr>
              <w:t>Katangwe-Chigamba</w:t>
            </w:r>
            <w:proofErr w:type="spellEnd"/>
            <w:r w:rsidRPr="00383CAA">
              <w:rPr>
                <w:rFonts w:ascii="Arial" w:eastAsia="Times New Roman" w:hAnsi="Arial" w:cs="Arial"/>
                <w:kern w:val="0"/>
                <w:sz w:val="18"/>
                <w:szCs w:val="18"/>
                <w:lang w:eastAsia="en-IN"/>
                <w14:ligatures w14:val="none"/>
              </w:rPr>
              <w:t xml:space="preserve"> et al. (2025); Chan et al. (2023); Elliott et al. (2025)</w:t>
            </w:r>
          </w:p>
        </w:tc>
      </w:tr>
      <w:tr w:rsidR="007D286C" w:rsidRPr="00383CAA" w14:paraId="6896B746" w14:textId="77777777" w:rsidTr="006B09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8" w:type="dxa"/>
            <w:hideMark/>
          </w:tcPr>
          <w:p w14:paraId="4404925D" w14:textId="77777777" w:rsidR="007D286C" w:rsidRPr="00383CAA" w:rsidRDefault="007D286C" w:rsidP="006761EE">
            <w:pPr>
              <w:rPr>
                <w:rFonts w:ascii="Arial" w:eastAsia="Times New Roman" w:hAnsi="Arial" w:cs="Arial"/>
                <w:kern w:val="0"/>
                <w:sz w:val="18"/>
                <w:szCs w:val="18"/>
                <w:lang w:eastAsia="en-IN"/>
                <w14:ligatures w14:val="none"/>
              </w:rPr>
            </w:pPr>
          </w:p>
        </w:tc>
        <w:tc>
          <w:tcPr>
            <w:tcW w:w="2461" w:type="dxa"/>
            <w:hideMark/>
          </w:tcPr>
          <w:p w14:paraId="7E6FCA2E" w14:textId="2EF05494" w:rsidR="007D286C" w:rsidRPr="00383CAA" w:rsidRDefault="00BB31B7"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hAnsi="Arial" w:cs="Arial"/>
                <w:sz w:val="18"/>
                <w:szCs w:val="18"/>
              </w:rPr>
              <w:t>Evidence-based recommendations drawn from this review are presented in full in Chapter 6.</w:t>
            </w:r>
          </w:p>
        </w:tc>
        <w:tc>
          <w:tcPr>
            <w:tcW w:w="2933" w:type="dxa"/>
            <w:hideMark/>
          </w:tcPr>
          <w:p w14:paraId="21AC4318"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NHS England (2021); Department of Health and Social Care (2023); Diabetes UK (2023); Kapadia et al. (2022); Equality Act (2010)</w:t>
            </w:r>
          </w:p>
        </w:tc>
      </w:tr>
    </w:tbl>
    <w:p w14:paraId="7901E42C" w14:textId="77777777" w:rsidR="007D286C" w:rsidRPr="005978B5" w:rsidRDefault="007D286C" w:rsidP="00C63566">
      <w:pPr>
        <w:spacing w:line="360" w:lineRule="auto"/>
        <w:rPr>
          <w:rFonts w:ascii="Arial" w:hAnsi="Arial" w:cs="Arial"/>
        </w:rPr>
      </w:pPr>
    </w:p>
    <w:p w14:paraId="11A654A9" w14:textId="2293CB2F" w:rsidR="00C422AE" w:rsidRPr="005978B5" w:rsidRDefault="00C422AE" w:rsidP="00AF7587">
      <w:pPr>
        <w:pStyle w:val="Caption"/>
        <w:keepNext/>
        <w:jc w:val="center"/>
        <w:rPr>
          <w:rFonts w:ascii="Arial" w:hAnsi="Arial" w:cs="Arial"/>
          <w:sz w:val="22"/>
          <w:szCs w:val="22"/>
        </w:rPr>
      </w:pPr>
      <w:bookmarkStart w:id="37" w:name="_Toc231680793"/>
      <w:r w:rsidRPr="005978B5">
        <w:rPr>
          <w:rFonts w:ascii="Arial" w:hAnsi="Arial" w:cs="Arial"/>
          <w:sz w:val="22"/>
          <w:szCs w:val="22"/>
        </w:rPr>
        <w:t xml:space="preserve">Table 4. </w:t>
      </w:r>
      <w:r w:rsidRPr="005978B5">
        <w:rPr>
          <w:rFonts w:ascii="Arial" w:hAnsi="Arial" w:cs="Arial"/>
          <w:sz w:val="22"/>
          <w:szCs w:val="22"/>
        </w:rPr>
        <w:fldChar w:fldCharType="begin"/>
      </w:r>
      <w:r w:rsidRPr="005978B5">
        <w:rPr>
          <w:rFonts w:ascii="Arial" w:hAnsi="Arial" w:cs="Arial"/>
          <w:sz w:val="22"/>
          <w:szCs w:val="22"/>
        </w:rPr>
        <w:instrText xml:space="preserve"> SEQ Table_4. \* ARABIC </w:instrText>
      </w:r>
      <w:r w:rsidRPr="005978B5">
        <w:rPr>
          <w:rFonts w:ascii="Arial" w:hAnsi="Arial" w:cs="Arial"/>
          <w:sz w:val="22"/>
          <w:szCs w:val="22"/>
        </w:rPr>
        <w:fldChar w:fldCharType="separate"/>
      </w:r>
      <w:r w:rsidRPr="005978B5">
        <w:rPr>
          <w:rFonts w:ascii="Arial" w:hAnsi="Arial" w:cs="Arial"/>
          <w:noProof/>
          <w:sz w:val="22"/>
          <w:szCs w:val="22"/>
        </w:rPr>
        <w:t>2</w:t>
      </w:r>
      <w:r w:rsidRPr="005978B5">
        <w:rPr>
          <w:rFonts w:ascii="Arial" w:hAnsi="Arial" w:cs="Arial"/>
          <w:noProof/>
          <w:sz w:val="22"/>
          <w:szCs w:val="22"/>
        </w:rPr>
        <w:fldChar w:fldCharType="end"/>
      </w:r>
      <w:r w:rsidR="00AF7587" w:rsidRPr="005978B5">
        <w:rPr>
          <w:rFonts w:ascii="Arial" w:hAnsi="Arial" w:cs="Arial"/>
          <w:sz w:val="22"/>
          <w:szCs w:val="22"/>
        </w:rPr>
        <w:t xml:space="preserve"> Characteristics of Included Studies (n = 15)</w:t>
      </w:r>
      <w:bookmarkEnd w:id="37"/>
    </w:p>
    <w:tbl>
      <w:tblPr>
        <w:tblpPr w:leftFromText="180" w:rightFromText="180" w:vertAnchor="text" w:tblpY="1"/>
        <w:tblOverlap w:val="never"/>
        <w:tblW w:w="98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39"/>
        <w:gridCol w:w="1214"/>
        <w:gridCol w:w="850"/>
        <w:gridCol w:w="1418"/>
        <w:gridCol w:w="1276"/>
        <w:gridCol w:w="1275"/>
        <w:gridCol w:w="1843"/>
        <w:gridCol w:w="1561"/>
      </w:tblGrid>
      <w:tr w:rsidR="00144F46" w:rsidRPr="00D12BDF" w14:paraId="2F5110D9" w14:textId="77777777" w:rsidTr="00C150E6">
        <w:trPr>
          <w:tblHeader/>
        </w:trPr>
        <w:tc>
          <w:tcPr>
            <w:tcW w:w="439" w:type="dxa"/>
            <w:shd w:val="clear" w:color="auto" w:fill="0D2B4E"/>
            <w:tcMar>
              <w:top w:w="90" w:type="dxa"/>
              <w:left w:w="150" w:type="dxa"/>
              <w:bottom w:w="90" w:type="dxa"/>
              <w:right w:w="150" w:type="dxa"/>
            </w:tcMar>
            <w:vAlign w:val="center"/>
          </w:tcPr>
          <w:p w14:paraId="55713FE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w:t>
            </w:r>
          </w:p>
        </w:tc>
        <w:tc>
          <w:tcPr>
            <w:tcW w:w="1214" w:type="dxa"/>
            <w:shd w:val="clear" w:color="auto" w:fill="0D2B4E"/>
            <w:tcMar>
              <w:top w:w="90" w:type="dxa"/>
              <w:left w:w="150" w:type="dxa"/>
              <w:bottom w:w="90" w:type="dxa"/>
              <w:right w:w="150" w:type="dxa"/>
            </w:tcMar>
            <w:vAlign w:val="center"/>
          </w:tcPr>
          <w:p w14:paraId="74AC7207"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Author(s) &amp; Year</w:t>
            </w:r>
          </w:p>
        </w:tc>
        <w:tc>
          <w:tcPr>
            <w:tcW w:w="850" w:type="dxa"/>
            <w:shd w:val="clear" w:color="auto" w:fill="0D2B4E"/>
            <w:tcMar>
              <w:top w:w="90" w:type="dxa"/>
              <w:left w:w="150" w:type="dxa"/>
              <w:bottom w:w="90" w:type="dxa"/>
              <w:right w:w="150" w:type="dxa"/>
            </w:tcMar>
            <w:vAlign w:val="center"/>
          </w:tcPr>
          <w:p w14:paraId="169F67D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Design</w:t>
            </w:r>
          </w:p>
        </w:tc>
        <w:tc>
          <w:tcPr>
            <w:tcW w:w="1418" w:type="dxa"/>
            <w:shd w:val="clear" w:color="auto" w:fill="0D2B4E"/>
            <w:tcMar>
              <w:top w:w="90" w:type="dxa"/>
              <w:left w:w="150" w:type="dxa"/>
              <w:bottom w:w="90" w:type="dxa"/>
              <w:right w:w="150" w:type="dxa"/>
            </w:tcMar>
            <w:vAlign w:val="center"/>
          </w:tcPr>
          <w:p w14:paraId="7C5F48C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N / Data Source</w:t>
            </w:r>
          </w:p>
        </w:tc>
        <w:tc>
          <w:tcPr>
            <w:tcW w:w="1276" w:type="dxa"/>
            <w:shd w:val="clear" w:color="auto" w:fill="0D2B4E"/>
            <w:tcMar>
              <w:top w:w="90" w:type="dxa"/>
              <w:left w:w="150" w:type="dxa"/>
              <w:bottom w:w="90" w:type="dxa"/>
              <w:right w:w="150" w:type="dxa"/>
            </w:tcMar>
            <w:vAlign w:val="center"/>
          </w:tcPr>
          <w:p w14:paraId="6E787B9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Ethnic Group(s)</w:t>
            </w:r>
          </w:p>
        </w:tc>
        <w:tc>
          <w:tcPr>
            <w:tcW w:w="1275" w:type="dxa"/>
            <w:shd w:val="clear" w:color="auto" w:fill="0D2B4E"/>
            <w:tcMar>
              <w:top w:w="90" w:type="dxa"/>
              <w:left w:w="150" w:type="dxa"/>
              <w:bottom w:w="90" w:type="dxa"/>
              <w:right w:w="150" w:type="dxa"/>
            </w:tcMar>
            <w:vAlign w:val="center"/>
          </w:tcPr>
          <w:p w14:paraId="1F2A6D2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UK Setting</w:t>
            </w:r>
          </w:p>
        </w:tc>
        <w:tc>
          <w:tcPr>
            <w:tcW w:w="1843" w:type="dxa"/>
            <w:shd w:val="clear" w:color="auto" w:fill="0D2B4E"/>
            <w:tcMar>
              <w:top w:w="90" w:type="dxa"/>
              <w:left w:w="150" w:type="dxa"/>
              <w:bottom w:w="90" w:type="dxa"/>
              <w:right w:w="150" w:type="dxa"/>
            </w:tcMar>
            <w:vAlign w:val="center"/>
          </w:tcPr>
          <w:p w14:paraId="39A96F05"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Key Barriers Identified</w:t>
            </w:r>
          </w:p>
        </w:tc>
        <w:tc>
          <w:tcPr>
            <w:tcW w:w="1561" w:type="dxa"/>
            <w:shd w:val="clear" w:color="auto" w:fill="0D2B4E"/>
            <w:tcMar>
              <w:top w:w="90" w:type="dxa"/>
              <w:left w:w="150" w:type="dxa"/>
              <w:bottom w:w="90" w:type="dxa"/>
              <w:right w:w="150" w:type="dxa"/>
            </w:tcMar>
            <w:vAlign w:val="center"/>
          </w:tcPr>
          <w:p w14:paraId="3414D91A"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Domain</w:t>
            </w:r>
          </w:p>
        </w:tc>
      </w:tr>
      <w:tr w:rsidR="00144F46" w:rsidRPr="00D12BDF" w14:paraId="2505B9ED" w14:textId="77777777" w:rsidTr="00C150E6">
        <w:trPr>
          <w:trHeight w:val="1197"/>
        </w:trPr>
        <w:tc>
          <w:tcPr>
            <w:tcW w:w="439" w:type="dxa"/>
            <w:shd w:val="clear" w:color="auto" w:fill="FFFFFF"/>
            <w:tcMar>
              <w:top w:w="70" w:type="dxa"/>
              <w:left w:w="130" w:type="dxa"/>
              <w:bottom w:w="70" w:type="dxa"/>
              <w:right w:w="130" w:type="dxa"/>
            </w:tcMar>
            <w:vAlign w:val="center"/>
          </w:tcPr>
          <w:p w14:paraId="18886F5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1</w:t>
            </w:r>
          </w:p>
        </w:tc>
        <w:tc>
          <w:tcPr>
            <w:tcW w:w="1214" w:type="dxa"/>
            <w:shd w:val="clear" w:color="auto" w:fill="FFFFFF"/>
            <w:tcMar>
              <w:top w:w="90" w:type="dxa"/>
              <w:left w:w="150" w:type="dxa"/>
              <w:bottom w:w="90" w:type="dxa"/>
              <w:right w:w="150" w:type="dxa"/>
            </w:tcMar>
          </w:tcPr>
          <w:p w14:paraId="452355F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Au-Yeung et al. (2024)</w:t>
            </w:r>
          </w:p>
        </w:tc>
        <w:tc>
          <w:tcPr>
            <w:tcW w:w="850" w:type="dxa"/>
            <w:shd w:val="clear" w:color="auto" w:fill="DBEAFE"/>
            <w:tcMar>
              <w:top w:w="90" w:type="dxa"/>
              <w:left w:w="150" w:type="dxa"/>
              <w:bottom w:w="90" w:type="dxa"/>
              <w:right w:w="150" w:type="dxa"/>
            </w:tcMar>
          </w:tcPr>
          <w:p w14:paraId="77A5888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Cross-sectional</w:t>
            </w:r>
          </w:p>
        </w:tc>
        <w:tc>
          <w:tcPr>
            <w:tcW w:w="1418" w:type="dxa"/>
            <w:shd w:val="clear" w:color="auto" w:fill="FFFFFF"/>
            <w:tcMar>
              <w:top w:w="90" w:type="dxa"/>
              <w:left w:w="150" w:type="dxa"/>
              <w:bottom w:w="90" w:type="dxa"/>
              <w:right w:w="150" w:type="dxa"/>
            </w:tcMar>
          </w:tcPr>
          <w:p w14:paraId="247435F5"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108,514 NHS Health Check attendees</w:t>
            </w:r>
          </w:p>
        </w:tc>
        <w:tc>
          <w:tcPr>
            <w:tcW w:w="1276" w:type="dxa"/>
            <w:shd w:val="clear" w:color="auto" w:fill="FFFFFF"/>
            <w:tcMar>
              <w:top w:w="90" w:type="dxa"/>
              <w:left w:w="150" w:type="dxa"/>
              <w:bottom w:w="90" w:type="dxa"/>
              <w:right w:w="150" w:type="dxa"/>
            </w:tcMar>
          </w:tcPr>
          <w:p w14:paraId="1946BC6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South Asian, Black</w:t>
            </w:r>
          </w:p>
        </w:tc>
        <w:tc>
          <w:tcPr>
            <w:tcW w:w="1275" w:type="dxa"/>
            <w:shd w:val="clear" w:color="auto" w:fill="FFFFFF"/>
            <w:tcMar>
              <w:top w:w="90" w:type="dxa"/>
              <w:left w:w="150" w:type="dxa"/>
              <w:bottom w:w="90" w:type="dxa"/>
              <w:right w:w="150" w:type="dxa"/>
            </w:tcMar>
          </w:tcPr>
          <w:p w14:paraId="49B7022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Birmingham NHS</w:t>
            </w:r>
          </w:p>
        </w:tc>
        <w:tc>
          <w:tcPr>
            <w:tcW w:w="1843" w:type="dxa"/>
            <w:shd w:val="clear" w:color="auto" w:fill="FFFFFF"/>
            <w:tcMar>
              <w:top w:w="90" w:type="dxa"/>
              <w:left w:w="150" w:type="dxa"/>
              <w:bottom w:w="90" w:type="dxa"/>
              <w:right w:w="150" w:type="dxa"/>
            </w:tcMar>
          </w:tcPr>
          <w:p w14:paraId="0CD97AB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Socioeconomic deprivation and ethnicity independently and additively predict T2DM risk; SA OR 5.43; Black OR 3.15 2.1m01m</w:t>
            </w:r>
          </w:p>
        </w:tc>
        <w:tc>
          <w:tcPr>
            <w:tcW w:w="1561" w:type="dxa"/>
            <w:shd w:val="clear" w:color="auto" w:fill="00695C"/>
            <w:tcMar>
              <w:top w:w="90" w:type="dxa"/>
              <w:left w:w="150" w:type="dxa"/>
              <w:bottom w:w="90" w:type="dxa"/>
              <w:right w:w="150" w:type="dxa"/>
            </w:tcMar>
            <w:vAlign w:val="center"/>
          </w:tcPr>
          <w:p w14:paraId="0E467AD5"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Socioeconomic</w:t>
            </w:r>
          </w:p>
        </w:tc>
      </w:tr>
      <w:tr w:rsidR="00144F46" w:rsidRPr="00D12BDF" w14:paraId="7A480281" w14:textId="77777777" w:rsidTr="00C150E6">
        <w:tc>
          <w:tcPr>
            <w:tcW w:w="439" w:type="dxa"/>
            <w:shd w:val="clear" w:color="auto" w:fill="EDF2F7"/>
            <w:tcMar>
              <w:top w:w="70" w:type="dxa"/>
              <w:left w:w="130" w:type="dxa"/>
              <w:bottom w:w="70" w:type="dxa"/>
              <w:right w:w="130" w:type="dxa"/>
            </w:tcMar>
            <w:vAlign w:val="center"/>
          </w:tcPr>
          <w:p w14:paraId="5C981AB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2</w:t>
            </w:r>
          </w:p>
        </w:tc>
        <w:tc>
          <w:tcPr>
            <w:tcW w:w="1214" w:type="dxa"/>
            <w:shd w:val="clear" w:color="auto" w:fill="EDF2F7"/>
            <w:tcMar>
              <w:top w:w="90" w:type="dxa"/>
              <w:left w:w="150" w:type="dxa"/>
              <w:bottom w:w="90" w:type="dxa"/>
              <w:right w:w="150" w:type="dxa"/>
            </w:tcMar>
          </w:tcPr>
          <w:p w14:paraId="52465A2A"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Barron et al. (2018)</w:t>
            </w:r>
          </w:p>
        </w:tc>
        <w:tc>
          <w:tcPr>
            <w:tcW w:w="850" w:type="dxa"/>
            <w:shd w:val="clear" w:color="auto" w:fill="DBEAFE"/>
            <w:tcMar>
              <w:top w:w="90" w:type="dxa"/>
              <w:left w:w="150" w:type="dxa"/>
              <w:bottom w:w="90" w:type="dxa"/>
              <w:right w:w="150" w:type="dxa"/>
            </w:tcMar>
          </w:tcPr>
          <w:p w14:paraId="6FFDDC1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Cohort</w:t>
            </w:r>
          </w:p>
        </w:tc>
        <w:tc>
          <w:tcPr>
            <w:tcW w:w="1418" w:type="dxa"/>
            <w:shd w:val="clear" w:color="auto" w:fill="EDF2F7"/>
            <w:tcMar>
              <w:top w:w="90" w:type="dxa"/>
              <w:left w:w="150" w:type="dxa"/>
              <w:bottom w:w="90" w:type="dxa"/>
              <w:right w:w="150" w:type="dxa"/>
            </w:tcMar>
          </w:tcPr>
          <w:p w14:paraId="78F2431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43,603 NHS DPP referrals (national)</w:t>
            </w:r>
          </w:p>
        </w:tc>
        <w:tc>
          <w:tcPr>
            <w:tcW w:w="1276" w:type="dxa"/>
            <w:shd w:val="clear" w:color="auto" w:fill="EDF2F7"/>
            <w:tcMar>
              <w:top w:w="90" w:type="dxa"/>
              <w:left w:w="150" w:type="dxa"/>
              <w:bottom w:w="90" w:type="dxa"/>
              <w:right w:w="150" w:type="dxa"/>
            </w:tcMar>
          </w:tcPr>
          <w:p w14:paraId="01049B4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Black, Asian</w:t>
            </w:r>
          </w:p>
        </w:tc>
        <w:tc>
          <w:tcPr>
            <w:tcW w:w="1275" w:type="dxa"/>
            <w:shd w:val="clear" w:color="auto" w:fill="EDF2F7"/>
            <w:tcMar>
              <w:top w:w="90" w:type="dxa"/>
              <w:left w:w="150" w:type="dxa"/>
              <w:bottom w:w="90" w:type="dxa"/>
              <w:right w:w="150" w:type="dxa"/>
            </w:tcMar>
          </w:tcPr>
          <w:p w14:paraId="28C4D49F"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NHS DPP (National)</w:t>
            </w:r>
          </w:p>
        </w:tc>
        <w:tc>
          <w:tcPr>
            <w:tcW w:w="1843" w:type="dxa"/>
            <w:shd w:val="clear" w:color="auto" w:fill="EDF2F7"/>
            <w:tcMar>
              <w:top w:w="90" w:type="dxa"/>
              <w:left w:w="150" w:type="dxa"/>
              <w:bottom w:w="90" w:type="dxa"/>
              <w:right w:w="150" w:type="dxa"/>
            </w:tcMar>
          </w:tcPr>
          <w:p w14:paraId="221DA09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Higher referral rates but lower programme completion — structural NHS DPP design barrier</w:t>
            </w:r>
          </w:p>
        </w:tc>
        <w:tc>
          <w:tcPr>
            <w:tcW w:w="1561" w:type="dxa"/>
            <w:shd w:val="clear" w:color="auto" w:fill="0D2B4E"/>
            <w:tcMar>
              <w:top w:w="90" w:type="dxa"/>
              <w:left w:w="150" w:type="dxa"/>
              <w:bottom w:w="90" w:type="dxa"/>
              <w:right w:w="150" w:type="dxa"/>
            </w:tcMar>
            <w:vAlign w:val="center"/>
          </w:tcPr>
          <w:p w14:paraId="65A6BB7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Healthcare Sys.</w:t>
            </w:r>
          </w:p>
        </w:tc>
      </w:tr>
      <w:tr w:rsidR="00144F46" w:rsidRPr="00D12BDF" w14:paraId="6C5BB1C0" w14:textId="77777777" w:rsidTr="00C150E6">
        <w:tc>
          <w:tcPr>
            <w:tcW w:w="439" w:type="dxa"/>
            <w:shd w:val="clear" w:color="auto" w:fill="FFFFFF"/>
            <w:tcMar>
              <w:top w:w="70" w:type="dxa"/>
              <w:left w:w="130" w:type="dxa"/>
              <w:bottom w:w="70" w:type="dxa"/>
              <w:right w:w="130" w:type="dxa"/>
            </w:tcMar>
            <w:vAlign w:val="center"/>
          </w:tcPr>
          <w:p w14:paraId="7FFD63C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3</w:t>
            </w:r>
          </w:p>
        </w:tc>
        <w:tc>
          <w:tcPr>
            <w:tcW w:w="1214" w:type="dxa"/>
            <w:shd w:val="clear" w:color="auto" w:fill="FFFFFF"/>
            <w:tcMar>
              <w:top w:w="90" w:type="dxa"/>
              <w:left w:w="150" w:type="dxa"/>
              <w:bottom w:w="90" w:type="dxa"/>
              <w:right w:w="150" w:type="dxa"/>
            </w:tcMar>
          </w:tcPr>
          <w:p w14:paraId="36E8F1DA"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Mathur et al. (2020)</w:t>
            </w:r>
          </w:p>
        </w:tc>
        <w:tc>
          <w:tcPr>
            <w:tcW w:w="850" w:type="dxa"/>
            <w:shd w:val="clear" w:color="auto" w:fill="DBEAFE"/>
            <w:tcMar>
              <w:top w:w="90" w:type="dxa"/>
              <w:left w:w="150" w:type="dxa"/>
              <w:bottom w:w="90" w:type="dxa"/>
              <w:right w:w="150" w:type="dxa"/>
            </w:tcMar>
          </w:tcPr>
          <w:p w14:paraId="2193131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Longitudinal Cohort</w:t>
            </w:r>
          </w:p>
        </w:tc>
        <w:tc>
          <w:tcPr>
            <w:tcW w:w="1418" w:type="dxa"/>
            <w:shd w:val="clear" w:color="auto" w:fill="FFFFFF"/>
            <w:tcMar>
              <w:top w:w="90" w:type="dxa"/>
              <w:left w:w="150" w:type="dxa"/>
              <w:bottom w:w="90" w:type="dxa"/>
              <w:right w:w="150" w:type="dxa"/>
            </w:tcMar>
          </w:tcPr>
          <w:p w14:paraId="224FF32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162,238 patients; 1990–2017 (27 yrs)</w:t>
            </w:r>
          </w:p>
        </w:tc>
        <w:tc>
          <w:tcPr>
            <w:tcW w:w="1276" w:type="dxa"/>
            <w:shd w:val="clear" w:color="auto" w:fill="FFFFFF"/>
            <w:tcMar>
              <w:top w:w="90" w:type="dxa"/>
              <w:left w:w="150" w:type="dxa"/>
              <w:bottom w:w="90" w:type="dxa"/>
              <w:right w:w="150" w:type="dxa"/>
            </w:tcMar>
          </w:tcPr>
          <w:p w14:paraId="702F256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South Asian, Black, Other</w:t>
            </w:r>
          </w:p>
        </w:tc>
        <w:tc>
          <w:tcPr>
            <w:tcW w:w="1275" w:type="dxa"/>
            <w:shd w:val="clear" w:color="auto" w:fill="FFFFFF"/>
            <w:tcMar>
              <w:top w:w="90" w:type="dxa"/>
              <w:left w:w="150" w:type="dxa"/>
              <w:bottom w:w="90" w:type="dxa"/>
              <w:right w:w="150" w:type="dxa"/>
            </w:tcMar>
          </w:tcPr>
          <w:p w14:paraId="5BBB009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 primary care</w:t>
            </w:r>
          </w:p>
        </w:tc>
        <w:tc>
          <w:tcPr>
            <w:tcW w:w="1843" w:type="dxa"/>
            <w:shd w:val="clear" w:color="auto" w:fill="FFFFFF"/>
            <w:tcMar>
              <w:top w:w="90" w:type="dxa"/>
              <w:left w:w="150" w:type="dxa"/>
              <w:bottom w:w="90" w:type="dxa"/>
              <w:right w:w="150" w:type="dxa"/>
            </w:tcMar>
          </w:tcPr>
          <w:p w14:paraId="30136E5D" w14:textId="7DEBC226"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 xml:space="preserve">Ethnic disparities in treatment initiation and intensification </w:t>
            </w:r>
            <w:r w:rsidR="004D17BA" w:rsidRPr="00D12BDF">
              <w:rPr>
                <w:rFonts w:ascii="Arial" w:eastAsia="Arial" w:hAnsi="Arial" w:cs="Arial"/>
                <w:color w:val="111827"/>
                <w:sz w:val="16"/>
                <w:szCs w:val="16"/>
              </w:rPr>
              <w:t>persist</w:t>
            </w:r>
            <w:r w:rsidRPr="00D12BDF">
              <w:rPr>
                <w:rFonts w:ascii="Arial" w:eastAsia="Arial" w:hAnsi="Arial" w:cs="Arial"/>
                <w:color w:val="111827"/>
                <w:sz w:val="16"/>
                <w:szCs w:val="16"/>
              </w:rPr>
              <w:t xml:space="preserve"> after clinical adjustment over 27 years</w:t>
            </w:r>
            <w:r w:rsidR="004D17BA" w:rsidRPr="00D12BDF">
              <w:rPr>
                <w:rFonts w:ascii="Arial" w:eastAsia="Arial" w:hAnsi="Arial" w:cs="Arial"/>
                <w:color w:val="111827"/>
                <w:sz w:val="16"/>
                <w:szCs w:val="16"/>
              </w:rPr>
              <w:t>.</w:t>
            </w:r>
          </w:p>
        </w:tc>
        <w:tc>
          <w:tcPr>
            <w:tcW w:w="1561" w:type="dxa"/>
            <w:shd w:val="clear" w:color="auto" w:fill="0D2B4E"/>
            <w:tcMar>
              <w:top w:w="90" w:type="dxa"/>
              <w:left w:w="150" w:type="dxa"/>
              <w:bottom w:w="90" w:type="dxa"/>
              <w:right w:w="150" w:type="dxa"/>
            </w:tcMar>
            <w:vAlign w:val="center"/>
          </w:tcPr>
          <w:p w14:paraId="747DABC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Healthcare Sys.</w:t>
            </w:r>
          </w:p>
        </w:tc>
      </w:tr>
      <w:tr w:rsidR="00144F46" w:rsidRPr="00D12BDF" w14:paraId="7FC89DA9" w14:textId="77777777" w:rsidTr="00C150E6">
        <w:tc>
          <w:tcPr>
            <w:tcW w:w="439" w:type="dxa"/>
            <w:shd w:val="clear" w:color="auto" w:fill="EDF2F7"/>
            <w:tcMar>
              <w:top w:w="70" w:type="dxa"/>
              <w:left w:w="130" w:type="dxa"/>
              <w:bottom w:w="70" w:type="dxa"/>
              <w:right w:w="130" w:type="dxa"/>
            </w:tcMar>
            <w:vAlign w:val="center"/>
          </w:tcPr>
          <w:p w14:paraId="1485848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4</w:t>
            </w:r>
          </w:p>
        </w:tc>
        <w:tc>
          <w:tcPr>
            <w:tcW w:w="1214" w:type="dxa"/>
            <w:shd w:val="clear" w:color="auto" w:fill="EDF2F7"/>
            <w:tcMar>
              <w:top w:w="90" w:type="dxa"/>
              <w:left w:w="150" w:type="dxa"/>
              <w:bottom w:w="90" w:type="dxa"/>
              <w:right w:w="150" w:type="dxa"/>
            </w:tcMar>
          </w:tcPr>
          <w:p w14:paraId="613AD3D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Mathur et al. (2022)</w:t>
            </w:r>
          </w:p>
        </w:tc>
        <w:tc>
          <w:tcPr>
            <w:tcW w:w="850" w:type="dxa"/>
            <w:shd w:val="clear" w:color="auto" w:fill="DBEAFE"/>
            <w:tcMar>
              <w:top w:w="90" w:type="dxa"/>
              <w:left w:w="150" w:type="dxa"/>
              <w:bottom w:w="90" w:type="dxa"/>
              <w:right w:w="150" w:type="dxa"/>
            </w:tcMar>
          </w:tcPr>
          <w:p w14:paraId="28DE996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Cohort</w:t>
            </w:r>
          </w:p>
        </w:tc>
        <w:tc>
          <w:tcPr>
            <w:tcW w:w="1418" w:type="dxa"/>
            <w:shd w:val="clear" w:color="auto" w:fill="EDF2F7"/>
            <w:tcMar>
              <w:top w:w="90" w:type="dxa"/>
              <w:left w:w="150" w:type="dxa"/>
              <w:bottom w:w="90" w:type="dxa"/>
              <w:right w:w="150" w:type="dxa"/>
            </w:tcMar>
          </w:tcPr>
          <w:p w14:paraId="7EB0EA1F"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31,931 patients; East London Primary Care Database</w:t>
            </w:r>
          </w:p>
        </w:tc>
        <w:tc>
          <w:tcPr>
            <w:tcW w:w="1276" w:type="dxa"/>
            <w:shd w:val="clear" w:color="auto" w:fill="EDF2F7"/>
            <w:tcMar>
              <w:top w:w="90" w:type="dxa"/>
              <w:left w:w="150" w:type="dxa"/>
              <w:bottom w:w="90" w:type="dxa"/>
              <w:right w:w="150" w:type="dxa"/>
            </w:tcMar>
          </w:tcPr>
          <w:p w14:paraId="6412AD4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South Asian, Black</w:t>
            </w:r>
          </w:p>
        </w:tc>
        <w:tc>
          <w:tcPr>
            <w:tcW w:w="1275" w:type="dxa"/>
            <w:shd w:val="clear" w:color="auto" w:fill="EDF2F7"/>
            <w:tcMar>
              <w:top w:w="90" w:type="dxa"/>
              <w:left w:w="150" w:type="dxa"/>
              <w:bottom w:w="90" w:type="dxa"/>
              <w:right w:w="150" w:type="dxa"/>
            </w:tcMar>
          </w:tcPr>
          <w:p w14:paraId="3B8F87E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East London</w:t>
            </w:r>
          </w:p>
        </w:tc>
        <w:tc>
          <w:tcPr>
            <w:tcW w:w="1843" w:type="dxa"/>
            <w:shd w:val="clear" w:color="auto" w:fill="EDF2F7"/>
            <w:tcMar>
              <w:top w:w="90" w:type="dxa"/>
              <w:left w:w="150" w:type="dxa"/>
              <w:bottom w:w="90" w:type="dxa"/>
              <w:right w:w="150" w:type="dxa"/>
            </w:tcMar>
          </w:tcPr>
          <w:p w14:paraId="0C5D07A7" w14:textId="3BBA3D3F"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 xml:space="preserve">Higher-risk T2DM subgroups overrepresented in ethnic minorities; treatment delay </w:t>
            </w:r>
            <w:r w:rsidR="004D17BA" w:rsidRPr="00D12BDF">
              <w:rPr>
                <w:rFonts w:ascii="Arial" w:eastAsia="Arial" w:hAnsi="Arial" w:cs="Arial"/>
                <w:color w:val="111827"/>
                <w:sz w:val="16"/>
                <w:szCs w:val="16"/>
              </w:rPr>
              <w:t xml:space="preserve">is </w:t>
            </w:r>
            <w:r w:rsidRPr="00D12BDF">
              <w:rPr>
                <w:rFonts w:ascii="Arial" w:eastAsia="Arial" w:hAnsi="Arial" w:cs="Arial"/>
                <w:color w:val="111827"/>
                <w:sz w:val="16"/>
                <w:szCs w:val="16"/>
              </w:rPr>
              <w:t>independent of clinical subtype</w:t>
            </w:r>
            <w:r w:rsidR="004D17BA" w:rsidRPr="00D12BDF">
              <w:rPr>
                <w:rFonts w:ascii="Arial" w:eastAsia="Arial" w:hAnsi="Arial" w:cs="Arial"/>
                <w:color w:val="111827"/>
                <w:sz w:val="16"/>
                <w:szCs w:val="16"/>
              </w:rPr>
              <w:t>.</w:t>
            </w:r>
          </w:p>
        </w:tc>
        <w:tc>
          <w:tcPr>
            <w:tcW w:w="1561" w:type="dxa"/>
            <w:shd w:val="clear" w:color="auto" w:fill="0D2B4E"/>
            <w:tcMar>
              <w:top w:w="90" w:type="dxa"/>
              <w:left w:w="150" w:type="dxa"/>
              <w:bottom w:w="90" w:type="dxa"/>
              <w:right w:w="150" w:type="dxa"/>
            </w:tcMar>
            <w:vAlign w:val="center"/>
          </w:tcPr>
          <w:p w14:paraId="67FB52A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Healthcare Sys.</w:t>
            </w:r>
          </w:p>
        </w:tc>
      </w:tr>
      <w:tr w:rsidR="00144F46" w:rsidRPr="00D12BDF" w14:paraId="39BA6354" w14:textId="77777777" w:rsidTr="00C150E6">
        <w:tc>
          <w:tcPr>
            <w:tcW w:w="439" w:type="dxa"/>
            <w:shd w:val="clear" w:color="auto" w:fill="FFFFFF"/>
            <w:tcMar>
              <w:top w:w="70" w:type="dxa"/>
              <w:left w:w="130" w:type="dxa"/>
              <w:bottom w:w="70" w:type="dxa"/>
              <w:right w:w="130" w:type="dxa"/>
            </w:tcMar>
            <w:vAlign w:val="center"/>
          </w:tcPr>
          <w:p w14:paraId="55479C3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lastRenderedPageBreak/>
              <w:t>5</w:t>
            </w:r>
          </w:p>
        </w:tc>
        <w:tc>
          <w:tcPr>
            <w:tcW w:w="1214" w:type="dxa"/>
            <w:shd w:val="clear" w:color="auto" w:fill="FFFFFF"/>
            <w:tcMar>
              <w:top w:w="90" w:type="dxa"/>
              <w:left w:w="150" w:type="dxa"/>
              <w:bottom w:w="90" w:type="dxa"/>
              <w:right w:w="150" w:type="dxa"/>
            </w:tcMar>
          </w:tcPr>
          <w:p w14:paraId="3741E1D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Howarth et al. (2020)</w:t>
            </w:r>
          </w:p>
        </w:tc>
        <w:tc>
          <w:tcPr>
            <w:tcW w:w="850" w:type="dxa"/>
            <w:shd w:val="clear" w:color="auto" w:fill="DBEAFE"/>
            <w:tcMar>
              <w:top w:w="90" w:type="dxa"/>
              <w:left w:w="150" w:type="dxa"/>
              <w:bottom w:w="90" w:type="dxa"/>
              <w:right w:w="150" w:type="dxa"/>
            </w:tcMar>
          </w:tcPr>
          <w:p w14:paraId="7581135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Cohort</w:t>
            </w:r>
          </w:p>
        </w:tc>
        <w:tc>
          <w:tcPr>
            <w:tcW w:w="1418" w:type="dxa"/>
            <w:shd w:val="clear" w:color="auto" w:fill="FFFFFF"/>
            <w:tcMar>
              <w:top w:w="90" w:type="dxa"/>
              <w:left w:w="150" w:type="dxa"/>
              <w:bottom w:w="90" w:type="dxa"/>
              <w:right w:w="150" w:type="dxa"/>
            </w:tcMar>
          </w:tcPr>
          <w:p w14:paraId="73CF2F6A"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99,473 NHS DPP referrals (national)</w:t>
            </w:r>
          </w:p>
        </w:tc>
        <w:tc>
          <w:tcPr>
            <w:tcW w:w="1276" w:type="dxa"/>
            <w:shd w:val="clear" w:color="auto" w:fill="FFFFFF"/>
            <w:tcMar>
              <w:top w:w="90" w:type="dxa"/>
              <w:left w:w="150" w:type="dxa"/>
              <w:bottom w:w="90" w:type="dxa"/>
              <w:right w:w="150" w:type="dxa"/>
            </w:tcMar>
          </w:tcPr>
          <w:p w14:paraId="6E5AF4CF"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Multiple</w:t>
            </w:r>
          </w:p>
        </w:tc>
        <w:tc>
          <w:tcPr>
            <w:tcW w:w="1275" w:type="dxa"/>
            <w:shd w:val="clear" w:color="auto" w:fill="FFFFFF"/>
            <w:tcMar>
              <w:top w:w="90" w:type="dxa"/>
              <w:left w:w="150" w:type="dxa"/>
              <w:bottom w:w="90" w:type="dxa"/>
              <w:right w:w="150" w:type="dxa"/>
            </w:tcMar>
          </w:tcPr>
          <w:p w14:paraId="326E9A6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NHS DPP (National)</w:t>
            </w:r>
          </w:p>
        </w:tc>
        <w:tc>
          <w:tcPr>
            <w:tcW w:w="1843" w:type="dxa"/>
            <w:shd w:val="clear" w:color="auto" w:fill="FFFFFF"/>
            <w:tcMar>
              <w:top w:w="90" w:type="dxa"/>
              <w:left w:w="150" w:type="dxa"/>
              <w:bottom w:w="90" w:type="dxa"/>
              <w:right w:w="150" w:type="dxa"/>
            </w:tcMar>
          </w:tcPr>
          <w:p w14:paraId="5826C007"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Geographic distance to delivery sites — strong predictor of non-completion, especially in deprived areas</w:t>
            </w:r>
          </w:p>
        </w:tc>
        <w:tc>
          <w:tcPr>
            <w:tcW w:w="1561" w:type="dxa"/>
            <w:shd w:val="clear" w:color="auto" w:fill="00695C"/>
            <w:tcMar>
              <w:top w:w="90" w:type="dxa"/>
              <w:left w:w="150" w:type="dxa"/>
              <w:bottom w:w="90" w:type="dxa"/>
              <w:right w:w="150" w:type="dxa"/>
            </w:tcMar>
            <w:vAlign w:val="center"/>
          </w:tcPr>
          <w:p w14:paraId="61A1BF7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Socioeconomic</w:t>
            </w:r>
          </w:p>
        </w:tc>
      </w:tr>
      <w:tr w:rsidR="00144F46" w:rsidRPr="00D12BDF" w14:paraId="06B170DD" w14:textId="77777777" w:rsidTr="00C150E6">
        <w:tc>
          <w:tcPr>
            <w:tcW w:w="439" w:type="dxa"/>
            <w:shd w:val="clear" w:color="auto" w:fill="EDF2F7"/>
            <w:tcMar>
              <w:top w:w="70" w:type="dxa"/>
              <w:left w:w="130" w:type="dxa"/>
              <w:bottom w:w="70" w:type="dxa"/>
              <w:right w:w="130" w:type="dxa"/>
            </w:tcMar>
            <w:vAlign w:val="center"/>
          </w:tcPr>
          <w:p w14:paraId="30D91B3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6</w:t>
            </w:r>
          </w:p>
        </w:tc>
        <w:tc>
          <w:tcPr>
            <w:tcW w:w="1214" w:type="dxa"/>
            <w:shd w:val="clear" w:color="auto" w:fill="EDF2F7"/>
            <w:tcMar>
              <w:top w:w="90" w:type="dxa"/>
              <w:left w:w="150" w:type="dxa"/>
              <w:bottom w:w="90" w:type="dxa"/>
              <w:right w:w="150" w:type="dxa"/>
            </w:tcMar>
          </w:tcPr>
          <w:p w14:paraId="13F4FF7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Zeh et al. (2016)</w:t>
            </w:r>
          </w:p>
        </w:tc>
        <w:tc>
          <w:tcPr>
            <w:tcW w:w="850" w:type="dxa"/>
            <w:shd w:val="clear" w:color="auto" w:fill="DBEAFE"/>
            <w:tcMar>
              <w:top w:w="90" w:type="dxa"/>
              <w:left w:w="150" w:type="dxa"/>
              <w:bottom w:w="90" w:type="dxa"/>
              <w:right w:w="150" w:type="dxa"/>
            </w:tcMar>
          </w:tcPr>
          <w:p w14:paraId="38F8675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Cross-sectional Survey</w:t>
            </w:r>
          </w:p>
        </w:tc>
        <w:tc>
          <w:tcPr>
            <w:tcW w:w="1418" w:type="dxa"/>
            <w:shd w:val="clear" w:color="auto" w:fill="EDF2F7"/>
            <w:tcMar>
              <w:top w:w="90" w:type="dxa"/>
              <w:left w:w="150" w:type="dxa"/>
              <w:bottom w:w="90" w:type="dxa"/>
              <w:right w:w="150" w:type="dxa"/>
            </w:tcMar>
          </w:tcPr>
          <w:p w14:paraId="2CA0836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Multi-site primary care survey</w:t>
            </w:r>
          </w:p>
        </w:tc>
        <w:tc>
          <w:tcPr>
            <w:tcW w:w="1276" w:type="dxa"/>
            <w:shd w:val="clear" w:color="auto" w:fill="EDF2F7"/>
            <w:tcMar>
              <w:top w:w="90" w:type="dxa"/>
              <w:left w:w="150" w:type="dxa"/>
              <w:bottom w:w="90" w:type="dxa"/>
              <w:right w:w="150" w:type="dxa"/>
            </w:tcMar>
          </w:tcPr>
          <w:p w14:paraId="24DD5B90"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South Asian</w:t>
            </w:r>
          </w:p>
        </w:tc>
        <w:tc>
          <w:tcPr>
            <w:tcW w:w="1275" w:type="dxa"/>
            <w:shd w:val="clear" w:color="auto" w:fill="EDF2F7"/>
            <w:tcMar>
              <w:top w:w="90" w:type="dxa"/>
              <w:left w:w="150" w:type="dxa"/>
              <w:bottom w:w="90" w:type="dxa"/>
              <w:right w:w="150" w:type="dxa"/>
            </w:tcMar>
          </w:tcPr>
          <w:p w14:paraId="5B0E5AAF"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Single UK city</w:t>
            </w:r>
          </w:p>
        </w:tc>
        <w:tc>
          <w:tcPr>
            <w:tcW w:w="1843" w:type="dxa"/>
            <w:shd w:val="clear" w:color="auto" w:fill="EDF2F7"/>
            <w:tcMar>
              <w:top w:w="90" w:type="dxa"/>
              <w:left w:w="150" w:type="dxa"/>
              <w:bottom w:w="90" w:type="dxa"/>
              <w:right w:w="150" w:type="dxa"/>
            </w:tcMar>
          </w:tcPr>
          <w:p w14:paraId="50B9CE54" w14:textId="120400E5"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Clinicians lack training in culturally adapted diabetes education; confidence gap in South Asian dietary norms</w:t>
            </w:r>
            <w:r w:rsidR="004D17BA" w:rsidRPr="00D12BDF">
              <w:rPr>
                <w:rFonts w:ascii="Arial" w:eastAsia="Arial" w:hAnsi="Arial" w:cs="Arial"/>
                <w:color w:val="111827"/>
                <w:sz w:val="16"/>
                <w:szCs w:val="16"/>
              </w:rPr>
              <w:t>.</w:t>
            </w:r>
          </w:p>
        </w:tc>
        <w:tc>
          <w:tcPr>
            <w:tcW w:w="1561" w:type="dxa"/>
            <w:shd w:val="clear" w:color="auto" w:fill="0D2B4E"/>
            <w:tcMar>
              <w:top w:w="90" w:type="dxa"/>
              <w:left w:w="150" w:type="dxa"/>
              <w:bottom w:w="90" w:type="dxa"/>
              <w:right w:w="150" w:type="dxa"/>
            </w:tcMar>
            <w:vAlign w:val="center"/>
          </w:tcPr>
          <w:p w14:paraId="032D55C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Healthcare Sys.</w:t>
            </w:r>
          </w:p>
        </w:tc>
      </w:tr>
      <w:tr w:rsidR="00144F46" w:rsidRPr="00D12BDF" w14:paraId="16BC5FB3" w14:textId="77777777" w:rsidTr="00C150E6">
        <w:tc>
          <w:tcPr>
            <w:tcW w:w="439" w:type="dxa"/>
            <w:shd w:val="clear" w:color="auto" w:fill="FFFFFF"/>
            <w:tcMar>
              <w:top w:w="70" w:type="dxa"/>
              <w:left w:w="130" w:type="dxa"/>
              <w:bottom w:w="70" w:type="dxa"/>
              <w:right w:w="130" w:type="dxa"/>
            </w:tcMar>
            <w:vAlign w:val="center"/>
          </w:tcPr>
          <w:p w14:paraId="42E02EC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7</w:t>
            </w:r>
          </w:p>
        </w:tc>
        <w:tc>
          <w:tcPr>
            <w:tcW w:w="1214" w:type="dxa"/>
            <w:shd w:val="clear" w:color="auto" w:fill="FFFFFF"/>
            <w:tcMar>
              <w:top w:w="90" w:type="dxa"/>
              <w:left w:w="150" w:type="dxa"/>
              <w:bottom w:w="90" w:type="dxa"/>
              <w:right w:w="150" w:type="dxa"/>
            </w:tcMar>
          </w:tcPr>
          <w:p w14:paraId="2D705427" w14:textId="77777777" w:rsidR="00C422AE" w:rsidRPr="00D12BDF" w:rsidRDefault="00C422AE" w:rsidP="0089793A">
            <w:pPr>
              <w:spacing w:line="240" w:lineRule="auto"/>
              <w:jc w:val="both"/>
              <w:rPr>
                <w:rFonts w:ascii="Arial" w:hAnsi="Arial" w:cs="Arial"/>
                <w:sz w:val="16"/>
                <w:szCs w:val="16"/>
              </w:rPr>
            </w:pPr>
            <w:proofErr w:type="spellStart"/>
            <w:r w:rsidRPr="00D12BDF">
              <w:rPr>
                <w:rFonts w:ascii="Arial" w:eastAsia="Arial" w:hAnsi="Arial" w:cs="Arial"/>
                <w:b/>
                <w:bCs/>
                <w:color w:val="0D2B4E"/>
                <w:sz w:val="16"/>
                <w:szCs w:val="16"/>
              </w:rPr>
              <w:t>Pardhan</w:t>
            </w:r>
            <w:proofErr w:type="spellEnd"/>
            <w:r w:rsidRPr="00D12BDF">
              <w:rPr>
                <w:rFonts w:ascii="Arial" w:eastAsia="Arial" w:hAnsi="Arial" w:cs="Arial"/>
                <w:b/>
                <w:bCs/>
                <w:color w:val="0D2B4E"/>
                <w:sz w:val="16"/>
                <w:szCs w:val="16"/>
              </w:rPr>
              <w:t xml:space="preserve"> et al. (2020)</w:t>
            </w:r>
          </w:p>
        </w:tc>
        <w:tc>
          <w:tcPr>
            <w:tcW w:w="850" w:type="dxa"/>
            <w:shd w:val="clear" w:color="auto" w:fill="FEF3C7"/>
            <w:tcMar>
              <w:top w:w="90" w:type="dxa"/>
              <w:left w:w="150" w:type="dxa"/>
              <w:bottom w:w="90" w:type="dxa"/>
              <w:right w:w="150" w:type="dxa"/>
            </w:tcMar>
          </w:tcPr>
          <w:p w14:paraId="4959224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Qualitative</w:t>
            </w:r>
          </w:p>
        </w:tc>
        <w:tc>
          <w:tcPr>
            <w:tcW w:w="1418" w:type="dxa"/>
            <w:shd w:val="clear" w:color="auto" w:fill="FFFFFF"/>
            <w:tcMar>
              <w:top w:w="90" w:type="dxa"/>
              <w:left w:w="150" w:type="dxa"/>
              <w:bottom w:w="90" w:type="dxa"/>
              <w:right w:w="150" w:type="dxa"/>
            </w:tcMar>
          </w:tcPr>
          <w:p w14:paraId="7B85BE6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In-depth interviews</w:t>
            </w:r>
          </w:p>
        </w:tc>
        <w:tc>
          <w:tcPr>
            <w:tcW w:w="1276" w:type="dxa"/>
            <w:shd w:val="clear" w:color="auto" w:fill="FFFFFF"/>
            <w:tcMar>
              <w:top w:w="90" w:type="dxa"/>
              <w:left w:w="150" w:type="dxa"/>
              <w:bottom w:w="90" w:type="dxa"/>
              <w:right w:w="150" w:type="dxa"/>
            </w:tcMar>
          </w:tcPr>
          <w:p w14:paraId="54E6A533"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South Asian</w:t>
            </w:r>
          </w:p>
        </w:tc>
        <w:tc>
          <w:tcPr>
            <w:tcW w:w="1275" w:type="dxa"/>
            <w:shd w:val="clear" w:color="auto" w:fill="FFFFFF"/>
            <w:tcMar>
              <w:top w:w="90" w:type="dxa"/>
              <w:left w:w="150" w:type="dxa"/>
              <w:bottom w:w="90" w:type="dxa"/>
              <w:right w:w="150" w:type="dxa"/>
            </w:tcMar>
          </w:tcPr>
          <w:p w14:paraId="2F5C747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 (unspecified)</w:t>
            </w:r>
          </w:p>
        </w:tc>
        <w:tc>
          <w:tcPr>
            <w:tcW w:w="1843" w:type="dxa"/>
            <w:shd w:val="clear" w:color="auto" w:fill="FFFFFF"/>
            <w:tcMar>
              <w:top w:w="90" w:type="dxa"/>
              <w:left w:w="150" w:type="dxa"/>
              <w:bottom w:w="90" w:type="dxa"/>
              <w:right w:w="150" w:type="dxa"/>
            </w:tcMar>
          </w:tcPr>
          <w:p w14:paraId="08ECB208" w14:textId="4D5A0FCD"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Low health literacy</w:t>
            </w:r>
            <w:r w:rsidR="004D17BA" w:rsidRPr="00D12BDF">
              <w:rPr>
                <w:rFonts w:ascii="Arial" w:eastAsia="Arial" w:hAnsi="Arial" w:cs="Arial"/>
                <w:color w:val="111827"/>
                <w:sz w:val="16"/>
                <w:szCs w:val="16"/>
              </w:rPr>
              <w:t>,</w:t>
            </w:r>
            <w:r w:rsidRPr="00D12BDF">
              <w:rPr>
                <w:rFonts w:ascii="Arial" w:eastAsia="Arial" w:hAnsi="Arial" w:cs="Arial"/>
                <w:color w:val="111827"/>
                <w:sz w:val="16"/>
                <w:szCs w:val="16"/>
              </w:rPr>
              <w:t xml:space="preserve"> difficulty navigating NHS systems</w:t>
            </w:r>
            <w:r w:rsidR="004D17BA" w:rsidRPr="00D12BDF">
              <w:rPr>
                <w:rFonts w:ascii="Arial" w:eastAsia="Arial" w:hAnsi="Arial" w:cs="Arial"/>
                <w:color w:val="111827"/>
                <w:sz w:val="16"/>
                <w:szCs w:val="16"/>
              </w:rPr>
              <w:t>, and</w:t>
            </w:r>
            <w:r w:rsidRPr="00D12BDF">
              <w:rPr>
                <w:rFonts w:ascii="Arial" w:eastAsia="Arial" w:hAnsi="Arial" w:cs="Arial"/>
                <w:color w:val="111827"/>
                <w:sz w:val="16"/>
                <w:szCs w:val="16"/>
              </w:rPr>
              <w:t xml:space="preserve"> language barriers</w:t>
            </w:r>
            <w:r w:rsidR="004D17BA" w:rsidRPr="00D12BDF">
              <w:rPr>
                <w:rFonts w:ascii="Arial" w:eastAsia="Arial" w:hAnsi="Arial" w:cs="Arial"/>
                <w:color w:val="111827"/>
                <w:sz w:val="16"/>
                <w:szCs w:val="16"/>
              </w:rPr>
              <w:t xml:space="preserve"> are</w:t>
            </w:r>
            <w:r w:rsidRPr="00D12BDF">
              <w:rPr>
                <w:rFonts w:ascii="Arial" w:eastAsia="Arial" w:hAnsi="Arial" w:cs="Arial"/>
                <w:color w:val="111827"/>
                <w:sz w:val="16"/>
                <w:szCs w:val="16"/>
              </w:rPr>
              <w:t xml:space="preserve"> attributed to systemic failures</w:t>
            </w:r>
            <w:r w:rsidR="004D17BA" w:rsidRPr="00D12BDF">
              <w:rPr>
                <w:rFonts w:ascii="Arial" w:eastAsia="Arial" w:hAnsi="Arial" w:cs="Arial"/>
                <w:color w:val="111827"/>
                <w:sz w:val="16"/>
                <w:szCs w:val="16"/>
              </w:rPr>
              <w:t>.</w:t>
            </w:r>
          </w:p>
        </w:tc>
        <w:tc>
          <w:tcPr>
            <w:tcW w:w="1561" w:type="dxa"/>
            <w:shd w:val="clear" w:color="auto" w:fill="00695C"/>
            <w:tcMar>
              <w:top w:w="90" w:type="dxa"/>
              <w:left w:w="150" w:type="dxa"/>
              <w:bottom w:w="90" w:type="dxa"/>
              <w:right w:w="150" w:type="dxa"/>
            </w:tcMar>
            <w:vAlign w:val="center"/>
          </w:tcPr>
          <w:p w14:paraId="7B76843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Socioeconomic</w:t>
            </w:r>
          </w:p>
        </w:tc>
      </w:tr>
      <w:tr w:rsidR="00144F46" w:rsidRPr="00D12BDF" w14:paraId="23D9867E" w14:textId="77777777" w:rsidTr="00C150E6">
        <w:tc>
          <w:tcPr>
            <w:tcW w:w="439" w:type="dxa"/>
            <w:shd w:val="clear" w:color="auto" w:fill="EDF2F7"/>
            <w:tcMar>
              <w:top w:w="70" w:type="dxa"/>
              <w:left w:w="130" w:type="dxa"/>
              <w:bottom w:w="70" w:type="dxa"/>
              <w:right w:w="130" w:type="dxa"/>
            </w:tcMar>
            <w:vAlign w:val="center"/>
          </w:tcPr>
          <w:p w14:paraId="2913418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8</w:t>
            </w:r>
          </w:p>
        </w:tc>
        <w:tc>
          <w:tcPr>
            <w:tcW w:w="1214" w:type="dxa"/>
            <w:shd w:val="clear" w:color="auto" w:fill="EDF2F7"/>
            <w:tcMar>
              <w:top w:w="90" w:type="dxa"/>
              <w:left w:w="150" w:type="dxa"/>
              <w:bottom w:w="90" w:type="dxa"/>
              <w:right w:w="150" w:type="dxa"/>
            </w:tcMar>
          </w:tcPr>
          <w:p w14:paraId="62C5DCAA"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Patel et al. (2015a)</w:t>
            </w:r>
          </w:p>
        </w:tc>
        <w:tc>
          <w:tcPr>
            <w:tcW w:w="850" w:type="dxa"/>
            <w:shd w:val="clear" w:color="auto" w:fill="FEF3C7"/>
            <w:tcMar>
              <w:top w:w="90" w:type="dxa"/>
              <w:left w:w="150" w:type="dxa"/>
              <w:bottom w:w="90" w:type="dxa"/>
              <w:right w:w="150" w:type="dxa"/>
            </w:tcMar>
          </w:tcPr>
          <w:p w14:paraId="5BAF52E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Qualitative</w:t>
            </w:r>
          </w:p>
        </w:tc>
        <w:tc>
          <w:tcPr>
            <w:tcW w:w="1418" w:type="dxa"/>
            <w:shd w:val="clear" w:color="auto" w:fill="EDF2F7"/>
            <w:tcMar>
              <w:top w:w="90" w:type="dxa"/>
              <w:left w:w="150" w:type="dxa"/>
              <w:bottom w:w="90" w:type="dxa"/>
              <w:right w:w="150" w:type="dxa"/>
            </w:tcMar>
          </w:tcPr>
          <w:p w14:paraId="700D40E3"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In-depth interviews</w:t>
            </w:r>
          </w:p>
        </w:tc>
        <w:tc>
          <w:tcPr>
            <w:tcW w:w="1276" w:type="dxa"/>
            <w:shd w:val="clear" w:color="auto" w:fill="EDF2F7"/>
            <w:tcMar>
              <w:top w:w="90" w:type="dxa"/>
              <w:left w:w="150" w:type="dxa"/>
              <w:bottom w:w="90" w:type="dxa"/>
              <w:right w:w="150" w:type="dxa"/>
            </w:tcMar>
          </w:tcPr>
          <w:p w14:paraId="477F28C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British Muslims</w:t>
            </w:r>
          </w:p>
        </w:tc>
        <w:tc>
          <w:tcPr>
            <w:tcW w:w="1275" w:type="dxa"/>
            <w:shd w:val="clear" w:color="auto" w:fill="EDF2F7"/>
            <w:tcMar>
              <w:top w:w="90" w:type="dxa"/>
              <w:left w:w="150" w:type="dxa"/>
              <w:bottom w:w="90" w:type="dxa"/>
              <w:right w:w="150" w:type="dxa"/>
            </w:tcMar>
          </w:tcPr>
          <w:p w14:paraId="744CD5F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 primary care</w:t>
            </w:r>
          </w:p>
        </w:tc>
        <w:tc>
          <w:tcPr>
            <w:tcW w:w="1843" w:type="dxa"/>
            <w:shd w:val="clear" w:color="auto" w:fill="EDF2F7"/>
            <w:tcMar>
              <w:top w:w="90" w:type="dxa"/>
              <w:left w:w="150" w:type="dxa"/>
              <w:bottom w:w="90" w:type="dxa"/>
              <w:right w:w="150" w:type="dxa"/>
            </w:tcMar>
          </w:tcPr>
          <w:p w14:paraId="42B9B6AE" w14:textId="584B67F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Ramadan fasting prioritised; inadequate culturally adapted pre-fasting clinical guidance — patient safety risk</w:t>
            </w:r>
            <w:r w:rsidR="004D17BA" w:rsidRPr="00D12BDF">
              <w:rPr>
                <w:rFonts w:ascii="Arial" w:eastAsia="Arial" w:hAnsi="Arial" w:cs="Arial"/>
                <w:color w:val="111827"/>
                <w:sz w:val="16"/>
                <w:szCs w:val="16"/>
              </w:rPr>
              <w:t>.</w:t>
            </w:r>
          </w:p>
        </w:tc>
        <w:tc>
          <w:tcPr>
            <w:tcW w:w="1561" w:type="dxa"/>
            <w:shd w:val="clear" w:color="auto" w:fill="4A148C"/>
            <w:tcMar>
              <w:top w:w="90" w:type="dxa"/>
              <w:left w:w="150" w:type="dxa"/>
              <w:bottom w:w="90" w:type="dxa"/>
              <w:right w:w="150" w:type="dxa"/>
            </w:tcMar>
            <w:vAlign w:val="center"/>
          </w:tcPr>
          <w:p w14:paraId="69A2098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Cultural</w:t>
            </w:r>
          </w:p>
        </w:tc>
      </w:tr>
      <w:tr w:rsidR="00144F46" w:rsidRPr="00D12BDF" w14:paraId="61FD6B07" w14:textId="77777777" w:rsidTr="00C150E6">
        <w:tc>
          <w:tcPr>
            <w:tcW w:w="439" w:type="dxa"/>
            <w:shd w:val="clear" w:color="auto" w:fill="FFFFFF"/>
            <w:tcMar>
              <w:top w:w="70" w:type="dxa"/>
              <w:left w:w="130" w:type="dxa"/>
              <w:bottom w:w="70" w:type="dxa"/>
              <w:right w:w="130" w:type="dxa"/>
            </w:tcMar>
            <w:vAlign w:val="center"/>
          </w:tcPr>
          <w:p w14:paraId="4A6A8D4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9</w:t>
            </w:r>
          </w:p>
        </w:tc>
        <w:tc>
          <w:tcPr>
            <w:tcW w:w="1214" w:type="dxa"/>
            <w:shd w:val="clear" w:color="auto" w:fill="FFFFFF"/>
            <w:tcMar>
              <w:top w:w="90" w:type="dxa"/>
              <w:left w:w="150" w:type="dxa"/>
              <w:bottom w:w="90" w:type="dxa"/>
              <w:right w:w="150" w:type="dxa"/>
            </w:tcMar>
          </w:tcPr>
          <w:p w14:paraId="74BA56C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Patel et al. (2015b)</w:t>
            </w:r>
          </w:p>
        </w:tc>
        <w:tc>
          <w:tcPr>
            <w:tcW w:w="850" w:type="dxa"/>
            <w:shd w:val="clear" w:color="auto" w:fill="FEE2E2"/>
            <w:tcMar>
              <w:top w:w="90" w:type="dxa"/>
              <w:left w:w="150" w:type="dxa"/>
              <w:bottom w:w="90" w:type="dxa"/>
              <w:right w:w="150" w:type="dxa"/>
            </w:tcMar>
          </w:tcPr>
          <w:p w14:paraId="2BA0BBEF"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Mixed-methods</w:t>
            </w:r>
          </w:p>
        </w:tc>
        <w:tc>
          <w:tcPr>
            <w:tcW w:w="1418" w:type="dxa"/>
            <w:shd w:val="clear" w:color="auto" w:fill="FFFFFF"/>
            <w:tcMar>
              <w:top w:w="90" w:type="dxa"/>
              <w:left w:w="150" w:type="dxa"/>
              <w:bottom w:w="90" w:type="dxa"/>
              <w:right w:w="150" w:type="dxa"/>
            </w:tcMar>
          </w:tcPr>
          <w:p w14:paraId="505681F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Mixed-method design</w:t>
            </w:r>
          </w:p>
        </w:tc>
        <w:tc>
          <w:tcPr>
            <w:tcW w:w="1276" w:type="dxa"/>
            <w:shd w:val="clear" w:color="auto" w:fill="FFFFFF"/>
            <w:tcMar>
              <w:top w:w="90" w:type="dxa"/>
              <w:left w:w="150" w:type="dxa"/>
              <w:bottom w:w="90" w:type="dxa"/>
              <w:right w:w="150" w:type="dxa"/>
            </w:tcMar>
          </w:tcPr>
          <w:p w14:paraId="21C5894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British South Asian</w:t>
            </w:r>
          </w:p>
        </w:tc>
        <w:tc>
          <w:tcPr>
            <w:tcW w:w="1275" w:type="dxa"/>
            <w:shd w:val="clear" w:color="auto" w:fill="FFFFFF"/>
            <w:tcMar>
              <w:top w:w="90" w:type="dxa"/>
              <w:left w:w="150" w:type="dxa"/>
              <w:bottom w:w="90" w:type="dxa"/>
              <w:right w:w="150" w:type="dxa"/>
            </w:tcMar>
          </w:tcPr>
          <w:p w14:paraId="3230FFE7"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 primary care</w:t>
            </w:r>
          </w:p>
        </w:tc>
        <w:tc>
          <w:tcPr>
            <w:tcW w:w="1843" w:type="dxa"/>
            <w:shd w:val="clear" w:color="auto" w:fill="FFFFFF"/>
            <w:tcMar>
              <w:top w:w="90" w:type="dxa"/>
              <w:left w:w="150" w:type="dxa"/>
              <w:bottom w:w="90" w:type="dxa"/>
              <w:right w:w="150" w:type="dxa"/>
            </w:tcMar>
          </w:tcPr>
          <w:p w14:paraId="1CD60BD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Fatalistic illness beliefs (karma, divine will); employment precarity; dietary-cultural conflict</w:t>
            </w:r>
          </w:p>
        </w:tc>
        <w:tc>
          <w:tcPr>
            <w:tcW w:w="1561" w:type="dxa"/>
            <w:shd w:val="clear" w:color="auto" w:fill="4A148C"/>
            <w:tcMar>
              <w:top w:w="90" w:type="dxa"/>
              <w:left w:w="150" w:type="dxa"/>
              <w:bottom w:w="90" w:type="dxa"/>
              <w:right w:w="150" w:type="dxa"/>
            </w:tcMar>
            <w:vAlign w:val="center"/>
          </w:tcPr>
          <w:p w14:paraId="5A914FE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Cultural</w:t>
            </w:r>
          </w:p>
        </w:tc>
      </w:tr>
      <w:tr w:rsidR="00144F46" w:rsidRPr="00D12BDF" w14:paraId="5C948EA7" w14:textId="77777777" w:rsidTr="00C150E6">
        <w:tc>
          <w:tcPr>
            <w:tcW w:w="439" w:type="dxa"/>
            <w:shd w:val="clear" w:color="auto" w:fill="EDF2F7"/>
            <w:tcMar>
              <w:top w:w="70" w:type="dxa"/>
              <w:left w:w="130" w:type="dxa"/>
              <w:bottom w:w="70" w:type="dxa"/>
              <w:right w:w="130" w:type="dxa"/>
            </w:tcMar>
            <w:vAlign w:val="center"/>
          </w:tcPr>
          <w:p w14:paraId="40D6F90A"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10</w:t>
            </w:r>
          </w:p>
        </w:tc>
        <w:tc>
          <w:tcPr>
            <w:tcW w:w="1214" w:type="dxa"/>
            <w:shd w:val="clear" w:color="auto" w:fill="EDF2F7"/>
            <w:tcMar>
              <w:top w:w="90" w:type="dxa"/>
              <w:left w:w="150" w:type="dxa"/>
              <w:bottom w:w="90" w:type="dxa"/>
              <w:right w:w="150" w:type="dxa"/>
            </w:tcMar>
          </w:tcPr>
          <w:p w14:paraId="121CCAA7" w14:textId="77777777" w:rsidR="00C422AE" w:rsidRPr="00D12BDF" w:rsidRDefault="00C422AE" w:rsidP="0089793A">
            <w:pPr>
              <w:spacing w:line="240" w:lineRule="auto"/>
              <w:jc w:val="both"/>
              <w:rPr>
                <w:rFonts w:ascii="Arial" w:hAnsi="Arial" w:cs="Arial"/>
                <w:sz w:val="16"/>
                <w:szCs w:val="16"/>
              </w:rPr>
            </w:pPr>
            <w:proofErr w:type="spellStart"/>
            <w:r w:rsidRPr="00D12BDF">
              <w:rPr>
                <w:rFonts w:ascii="Arial" w:eastAsia="Arial" w:hAnsi="Arial" w:cs="Arial"/>
                <w:b/>
                <w:bCs/>
                <w:color w:val="0D2B4E"/>
                <w:sz w:val="16"/>
                <w:szCs w:val="16"/>
              </w:rPr>
              <w:t>Omodara</w:t>
            </w:r>
            <w:proofErr w:type="spellEnd"/>
            <w:r w:rsidRPr="00D12BDF">
              <w:rPr>
                <w:rFonts w:ascii="Arial" w:eastAsia="Arial" w:hAnsi="Arial" w:cs="Arial"/>
                <w:b/>
                <w:bCs/>
                <w:color w:val="0D2B4E"/>
                <w:sz w:val="16"/>
                <w:szCs w:val="16"/>
              </w:rPr>
              <w:t xml:space="preserve"> et al. (2022)</w:t>
            </w:r>
          </w:p>
        </w:tc>
        <w:tc>
          <w:tcPr>
            <w:tcW w:w="850" w:type="dxa"/>
            <w:shd w:val="clear" w:color="auto" w:fill="FEF3C7"/>
            <w:tcMar>
              <w:top w:w="90" w:type="dxa"/>
              <w:left w:w="150" w:type="dxa"/>
              <w:bottom w:w="90" w:type="dxa"/>
              <w:right w:w="150" w:type="dxa"/>
            </w:tcMar>
          </w:tcPr>
          <w:p w14:paraId="7597303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Qualitative</w:t>
            </w:r>
          </w:p>
        </w:tc>
        <w:tc>
          <w:tcPr>
            <w:tcW w:w="1418" w:type="dxa"/>
            <w:shd w:val="clear" w:color="auto" w:fill="EDF2F7"/>
            <w:tcMar>
              <w:top w:w="90" w:type="dxa"/>
              <w:left w:w="150" w:type="dxa"/>
              <w:bottom w:w="90" w:type="dxa"/>
              <w:right w:w="150" w:type="dxa"/>
            </w:tcMar>
          </w:tcPr>
          <w:p w14:paraId="4421E67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In-depth interviews; PEN-3 model</w:t>
            </w:r>
          </w:p>
        </w:tc>
        <w:tc>
          <w:tcPr>
            <w:tcW w:w="1276" w:type="dxa"/>
            <w:shd w:val="clear" w:color="auto" w:fill="EDF2F7"/>
            <w:tcMar>
              <w:top w:w="90" w:type="dxa"/>
              <w:left w:w="150" w:type="dxa"/>
              <w:bottom w:w="90" w:type="dxa"/>
              <w:right w:w="150" w:type="dxa"/>
            </w:tcMar>
          </w:tcPr>
          <w:p w14:paraId="6392D1C5"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Black sub-Saharan African</w:t>
            </w:r>
          </w:p>
        </w:tc>
        <w:tc>
          <w:tcPr>
            <w:tcW w:w="1275" w:type="dxa"/>
            <w:shd w:val="clear" w:color="auto" w:fill="EDF2F7"/>
            <w:tcMar>
              <w:top w:w="90" w:type="dxa"/>
              <w:left w:w="150" w:type="dxa"/>
              <w:bottom w:w="90" w:type="dxa"/>
              <w:right w:w="150" w:type="dxa"/>
            </w:tcMar>
          </w:tcPr>
          <w:p w14:paraId="1286666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 (various)</w:t>
            </w:r>
          </w:p>
        </w:tc>
        <w:tc>
          <w:tcPr>
            <w:tcW w:w="1843" w:type="dxa"/>
            <w:shd w:val="clear" w:color="auto" w:fill="EDF2F7"/>
            <w:tcMar>
              <w:top w:w="90" w:type="dxa"/>
              <w:left w:w="150" w:type="dxa"/>
              <w:bottom w:w="90" w:type="dxa"/>
              <w:right w:w="150" w:type="dxa"/>
            </w:tcMar>
          </w:tcPr>
          <w:p w14:paraId="4913769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Spiritual/ancestral illness models; traditional remedy use; institutional distrust; delayed help-seeking</w:t>
            </w:r>
          </w:p>
        </w:tc>
        <w:tc>
          <w:tcPr>
            <w:tcW w:w="1561" w:type="dxa"/>
            <w:shd w:val="clear" w:color="auto" w:fill="4A148C"/>
            <w:tcMar>
              <w:top w:w="90" w:type="dxa"/>
              <w:left w:w="150" w:type="dxa"/>
              <w:bottom w:w="90" w:type="dxa"/>
              <w:right w:w="150" w:type="dxa"/>
            </w:tcMar>
            <w:vAlign w:val="center"/>
          </w:tcPr>
          <w:p w14:paraId="0AB8DA9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Cultural</w:t>
            </w:r>
          </w:p>
        </w:tc>
      </w:tr>
      <w:tr w:rsidR="00144F46" w:rsidRPr="00D12BDF" w14:paraId="667F6C31" w14:textId="77777777" w:rsidTr="00C150E6">
        <w:tc>
          <w:tcPr>
            <w:tcW w:w="439" w:type="dxa"/>
            <w:shd w:val="clear" w:color="auto" w:fill="FFFFFF"/>
            <w:tcMar>
              <w:top w:w="70" w:type="dxa"/>
              <w:left w:w="130" w:type="dxa"/>
              <w:bottom w:w="70" w:type="dxa"/>
              <w:right w:w="130" w:type="dxa"/>
            </w:tcMar>
            <w:vAlign w:val="center"/>
          </w:tcPr>
          <w:p w14:paraId="45BA74A5"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11</w:t>
            </w:r>
          </w:p>
        </w:tc>
        <w:tc>
          <w:tcPr>
            <w:tcW w:w="1214" w:type="dxa"/>
            <w:shd w:val="clear" w:color="auto" w:fill="FFFFFF"/>
            <w:tcMar>
              <w:top w:w="90" w:type="dxa"/>
              <w:left w:w="150" w:type="dxa"/>
              <w:bottom w:w="90" w:type="dxa"/>
              <w:right w:w="150" w:type="dxa"/>
            </w:tcMar>
          </w:tcPr>
          <w:p w14:paraId="1D19C1F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Goff et al. (2020b)</w:t>
            </w:r>
          </w:p>
        </w:tc>
        <w:tc>
          <w:tcPr>
            <w:tcW w:w="850" w:type="dxa"/>
            <w:shd w:val="clear" w:color="auto" w:fill="FEF3C7"/>
            <w:tcMar>
              <w:top w:w="90" w:type="dxa"/>
              <w:left w:w="150" w:type="dxa"/>
              <w:bottom w:w="90" w:type="dxa"/>
              <w:right w:w="150" w:type="dxa"/>
            </w:tcMar>
          </w:tcPr>
          <w:p w14:paraId="003333B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Qualitative</w:t>
            </w:r>
          </w:p>
        </w:tc>
        <w:tc>
          <w:tcPr>
            <w:tcW w:w="1418" w:type="dxa"/>
            <w:shd w:val="clear" w:color="auto" w:fill="FFFFFF"/>
            <w:tcMar>
              <w:top w:w="90" w:type="dxa"/>
              <w:left w:w="150" w:type="dxa"/>
              <w:bottom w:w="90" w:type="dxa"/>
              <w:right w:w="150" w:type="dxa"/>
            </w:tcMar>
          </w:tcPr>
          <w:p w14:paraId="4754C20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Practitioner and patient interviews</w:t>
            </w:r>
          </w:p>
        </w:tc>
        <w:tc>
          <w:tcPr>
            <w:tcW w:w="1276" w:type="dxa"/>
            <w:shd w:val="clear" w:color="auto" w:fill="FFFFFF"/>
            <w:tcMar>
              <w:top w:w="90" w:type="dxa"/>
              <w:left w:w="150" w:type="dxa"/>
              <w:bottom w:w="90" w:type="dxa"/>
              <w:right w:w="150" w:type="dxa"/>
            </w:tcMar>
          </w:tcPr>
          <w:p w14:paraId="19A4AE1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Black African/Caribbean</w:t>
            </w:r>
          </w:p>
        </w:tc>
        <w:tc>
          <w:tcPr>
            <w:tcW w:w="1275" w:type="dxa"/>
            <w:shd w:val="clear" w:color="auto" w:fill="FFFFFF"/>
            <w:tcMar>
              <w:top w:w="90" w:type="dxa"/>
              <w:left w:w="150" w:type="dxa"/>
              <w:bottom w:w="90" w:type="dxa"/>
              <w:right w:w="150" w:type="dxa"/>
            </w:tcMar>
          </w:tcPr>
          <w:p w14:paraId="5DB7498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Inner London</w:t>
            </w:r>
          </w:p>
        </w:tc>
        <w:tc>
          <w:tcPr>
            <w:tcW w:w="1843" w:type="dxa"/>
            <w:shd w:val="clear" w:color="auto" w:fill="FFFFFF"/>
            <w:tcMar>
              <w:top w:w="90" w:type="dxa"/>
              <w:left w:w="150" w:type="dxa"/>
              <w:bottom w:w="90" w:type="dxa"/>
              <w:right w:w="150" w:type="dxa"/>
            </w:tcMar>
          </w:tcPr>
          <w:p w14:paraId="5B8D6B9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Absence of culturally tailored DSMES materials; practitioner cultural competence gap; patient disengagement</w:t>
            </w:r>
          </w:p>
        </w:tc>
        <w:tc>
          <w:tcPr>
            <w:tcW w:w="1561" w:type="dxa"/>
            <w:shd w:val="clear" w:color="auto" w:fill="0D2B4E"/>
            <w:tcMar>
              <w:top w:w="90" w:type="dxa"/>
              <w:left w:w="150" w:type="dxa"/>
              <w:bottom w:w="90" w:type="dxa"/>
              <w:right w:w="150" w:type="dxa"/>
            </w:tcMar>
            <w:vAlign w:val="center"/>
          </w:tcPr>
          <w:p w14:paraId="5B65FACA"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Healthcare Sys.</w:t>
            </w:r>
          </w:p>
        </w:tc>
      </w:tr>
      <w:tr w:rsidR="00144F46" w:rsidRPr="00D12BDF" w14:paraId="11E4FA1D" w14:textId="77777777" w:rsidTr="00C150E6">
        <w:tc>
          <w:tcPr>
            <w:tcW w:w="439" w:type="dxa"/>
            <w:shd w:val="clear" w:color="auto" w:fill="EDF2F7"/>
            <w:tcMar>
              <w:top w:w="70" w:type="dxa"/>
              <w:left w:w="130" w:type="dxa"/>
              <w:bottom w:w="70" w:type="dxa"/>
              <w:right w:w="130" w:type="dxa"/>
            </w:tcMar>
            <w:vAlign w:val="center"/>
          </w:tcPr>
          <w:p w14:paraId="74CBB48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12</w:t>
            </w:r>
          </w:p>
        </w:tc>
        <w:tc>
          <w:tcPr>
            <w:tcW w:w="1214" w:type="dxa"/>
            <w:shd w:val="clear" w:color="auto" w:fill="EDF2F7"/>
            <w:tcMar>
              <w:top w:w="90" w:type="dxa"/>
              <w:left w:w="150" w:type="dxa"/>
              <w:bottom w:w="90" w:type="dxa"/>
              <w:right w:w="150" w:type="dxa"/>
            </w:tcMar>
          </w:tcPr>
          <w:p w14:paraId="45DAA019" w14:textId="77777777" w:rsidR="00C422AE" w:rsidRPr="00D12BDF" w:rsidRDefault="00C422AE" w:rsidP="0089793A">
            <w:pPr>
              <w:spacing w:line="240" w:lineRule="auto"/>
              <w:jc w:val="both"/>
              <w:rPr>
                <w:rFonts w:ascii="Arial" w:hAnsi="Arial" w:cs="Arial"/>
                <w:sz w:val="16"/>
                <w:szCs w:val="16"/>
              </w:rPr>
            </w:pPr>
            <w:proofErr w:type="spellStart"/>
            <w:r w:rsidRPr="00D12BDF">
              <w:rPr>
                <w:rFonts w:ascii="Arial" w:eastAsia="Arial" w:hAnsi="Arial" w:cs="Arial"/>
                <w:b/>
                <w:bCs/>
                <w:color w:val="0D2B4E"/>
                <w:sz w:val="16"/>
                <w:szCs w:val="16"/>
              </w:rPr>
              <w:t>Alloh</w:t>
            </w:r>
            <w:proofErr w:type="spellEnd"/>
            <w:r w:rsidRPr="00D12BDF">
              <w:rPr>
                <w:rFonts w:ascii="Arial" w:eastAsia="Arial" w:hAnsi="Arial" w:cs="Arial"/>
                <w:b/>
                <w:bCs/>
                <w:color w:val="0D2B4E"/>
                <w:sz w:val="16"/>
                <w:szCs w:val="16"/>
              </w:rPr>
              <w:t xml:space="preserve"> et al. (2019)</w:t>
            </w:r>
          </w:p>
        </w:tc>
        <w:tc>
          <w:tcPr>
            <w:tcW w:w="850" w:type="dxa"/>
            <w:shd w:val="clear" w:color="auto" w:fill="FEF3C7"/>
            <w:tcMar>
              <w:top w:w="90" w:type="dxa"/>
              <w:left w:w="150" w:type="dxa"/>
              <w:bottom w:w="90" w:type="dxa"/>
              <w:right w:w="150" w:type="dxa"/>
            </w:tcMar>
          </w:tcPr>
          <w:p w14:paraId="6F3CCA4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Qualitative</w:t>
            </w:r>
          </w:p>
        </w:tc>
        <w:tc>
          <w:tcPr>
            <w:tcW w:w="1418" w:type="dxa"/>
            <w:shd w:val="clear" w:color="auto" w:fill="EDF2F7"/>
            <w:tcMar>
              <w:top w:w="90" w:type="dxa"/>
              <w:left w:w="150" w:type="dxa"/>
              <w:bottom w:w="90" w:type="dxa"/>
              <w:right w:w="150" w:type="dxa"/>
            </w:tcMar>
          </w:tcPr>
          <w:p w14:paraId="0A29E96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34 in-depth interviews</w:t>
            </w:r>
          </w:p>
        </w:tc>
        <w:tc>
          <w:tcPr>
            <w:tcW w:w="1276" w:type="dxa"/>
            <w:shd w:val="clear" w:color="auto" w:fill="EDF2F7"/>
            <w:tcMar>
              <w:top w:w="90" w:type="dxa"/>
              <w:left w:w="150" w:type="dxa"/>
              <w:bottom w:w="90" w:type="dxa"/>
              <w:right w:w="150" w:type="dxa"/>
            </w:tcMar>
          </w:tcPr>
          <w:p w14:paraId="04EBF0F5"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West African immigrants</w:t>
            </w:r>
          </w:p>
        </w:tc>
        <w:tc>
          <w:tcPr>
            <w:tcW w:w="1275" w:type="dxa"/>
            <w:shd w:val="clear" w:color="auto" w:fill="EDF2F7"/>
            <w:tcMar>
              <w:top w:w="90" w:type="dxa"/>
              <w:left w:w="150" w:type="dxa"/>
              <w:bottom w:w="90" w:type="dxa"/>
              <w:right w:w="150" w:type="dxa"/>
            </w:tcMar>
          </w:tcPr>
          <w:p w14:paraId="6A87A6F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London</w:t>
            </w:r>
          </w:p>
        </w:tc>
        <w:tc>
          <w:tcPr>
            <w:tcW w:w="1843" w:type="dxa"/>
            <w:shd w:val="clear" w:color="auto" w:fill="EDF2F7"/>
            <w:tcMar>
              <w:top w:w="90" w:type="dxa"/>
              <w:left w:w="150" w:type="dxa"/>
              <w:bottom w:w="90" w:type="dxa"/>
              <w:right w:w="150" w:type="dxa"/>
            </w:tcMar>
          </w:tcPr>
          <w:p w14:paraId="711E3CC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Symptom normalisation pre-diagnosis; migration-shaped health norms; physical activity reduction post-migration</w:t>
            </w:r>
          </w:p>
        </w:tc>
        <w:tc>
          <w:tcPr>
            <w:tcW w:w="1561" w:type="dxa"/>
            <w:shd w:val="clear" w:color="auto" w:fill="4A148C"/>
            <w:tcMar>
              <w:top w:w="90" w:type="dxa"/>
              <w:left w:w="150" w:type="dxa"/>
              <w:bottom w:w="90" w:type="dxa"/>
              <w:right w:w="150" w:type="dxa"/>
            </w:tcMar>
            <w:vAlign w:val="center"/>
          </w:tcPr>
          <w:p w14:paraId="300DBA3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Cultural</w:t>
            </w:r>
          </w:p>
        </w:tc>
      </w:tr>
      <w:tr w:rsidR="00144F46" w:rsidRPr="00D12BDF" w14:paraId="1A8B864B" w14:textId="77777777" w:rsidTr="00C150E6">
        <w:tc>
          <w:tcPr>
            <w:tcW w:w="439" w:type="dxa"/>
            <w:shd w:val="clear" w:color="auto" w:fill="FFFFFF"/>
            <w:tcMar>
              <w:top w:w="70" w:type="dxa"/>
              <w:left w:w="130" w:type="dxa"/>
              <w:bottom w:w="70" w:type="dxa"/>
              <w:right w:w="130" w:type="dxa"/>
            </w:tcMar>
            <w:vAlign w:val="center"/>
          </w:tcPr>
          <w:p w14:paraId="0FFD68B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13</w:t>
            </w:r>
          </w:p>
        </w:tc>
        <w:tc>
          <w:tcPr>
            <w:tcW w:w="1214" w:type="dxa"/>
            <w:shd w:val="clear" w:color="auto" w:fill="FFFFFF"/>
            <w:tcMar>
              <w:top w:w="90" w:type="dxa"/>
              <w:left w:w="150" w:type="dxa"/>
              <w:bottom w:w="90" w:type="dxa"/>
              <w:right w:w="150" w:type="dxa"/>
            </w:tcMar>
          </w:tcPr>
          <w:p w14:paraId="07A7F24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Sidhu et al. (2022)</w:t>
            </w:r>
          </w:p>
        </w:tc>
        <w:tc>
          <w:tcPr>
            <w:tcW w:w="850" w:type="dxa"/>
            <w:shd w:val="clear" w:color="auto" w:fill="FEF3C7"/>
            <w:tcMar>
              <w:top w:w="90" w:type="dxa"/>
              <w:left w:w="150" w:type="dxa"/>
              <w:bottom w:w="90" w:type="dxa"/>
              <w:right w:w="150" w:type="dxa"/>
            </w:tcMar>
          </w:tcPr>
          <w:p w14:paraId="5105680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Qualitative</w:t>
            </w:r>
          </w:p>
        </w:tc>
        <w:tc>
          <w:tcPr>
            <w:tcW w:w="1418" w:type="dxa"/>
            <w:shd w:val="clear" w:color="auto" w:fill="FFFFFF"/>
            <w:tcMar>
              <w:top w:w="90" w:type="dxa"/>
              <w:left w:w="150" w:type="dxa"/>
              <w:bottom w:w="90" w:type="dxa"/>
              <w:right w:w="150" w:type="dxa"/>
            </w:tcMar>
          </w:tcPr>
          <w:p w14:paraId="57759CA7"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Focus groups</w:t>
            </w:r>
          </w:p>
        </w:tc>
        <w:tc>
          <w:tcPr>
            <w:tcW w:w="1276" w:type="dxa"/>
            <w:shd w:val="clear" w:color="auto" w:fill="FFFFFF"/>
            <w:tcMar>
              <w:top w:w="90" w:type="dxa"/>
              <w:left w:w="150" w:type="dxa"/>
              <w:bottom w:w="90" w:type="dxa"/>
              <w:right w:w="150" w:type="dxa"/>
            </w:tcMar>
          </w:tcPr>
          <w:p w14:paraId="56079C0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Young Punjabi Sikh</w:t>
            </w:r>
          </w:p>
        </w:tc>
        <w:tc>
          <w:tcPr>
            <w:tcW w:w="1275" w:type="dxa"/>
            <w:shd w:val="clear" w:color="auto" w:fill="FFFFFF"/>
            <w:tcMar>
              <w:top w:w="90" w:type="dxa"/>
              <w:left w:w="150" w:type="dxa"/>
              <w:bottom w:w="90" w:type="dxa"/>
              <w:right w:w="150" w:type="dxa"/>
            </w:tcMar>
          </w:tcPr>
          <w:p w14:paraId="7CF92E20"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 (unspecified)</w:t>
            </w:r>
          </w:p>
        </w:tc>
        <w:tc>
          <w:tcPr>
            <w:tcW w:w="1843" w:type="dxa"/>
            <w:shd w:val="clear" w:color="auto" w:fill="FFFFFF"/>
            <w:tcMar>
              <w:top w:w="90" w:type="dxa"/>
              <w:left w:w="150" w:type="dxa"/>
              <w:bottom w:w="90" w:type="dxa"/>
              <w:right w:w="150" w:type="dxa"/>
            </w:tcMar>
          </w:tcPr>
          <w:p w14:paraId="7E6B784F"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 xml:space="preserve">Cultural food identity over health; affordability of recommended diet; </w:t>
            </w:r>
            <w:r w:rsidRPr="00D12BDF">
              <w:rPr>
                <w:rFonts w:ascii="Arial" w:eastAsia="Arial" w:hAnsi="Arial" w:cs="Arial"/>
                <w:color w:val="111827"/>
                <w:sz w:val="16"/>
                <w:szCs w:val="16"/>
              </w:rPr>
              <w:lastRenderedPageBreak/>
              <w:t>tradition vs clinical guidance conflict</w:t>
            </w:r>
          </w:p>
        </w:tc>
        <w:tc>
          <w:tcPr>
            <w:tcW w:w="1561" w:type="dxa"/>
            <w:shd w:val="clear" w:color="auto" w:fill="4A148C"/>
            <w:tcMar>
              <w:top w:w="90" w:type="dxa"/>
              <w:left w:w="150" w:type="dxa"/>
              <w:bottom w:w="90" w:type="dxa"/>
              <w:right w:w="150" w:type="dxa"/>
            </w:tcMar>
            <w:vAlign w:val="center"/>
          </w:tcPr>
          <w:p w14:paraId="7BF3641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lastRenderedPageBreak/>
              <w:t>Cultural</w:t>
            </w:r>
          </w:p>
        </w:tc>
      </w:tr>
      <w:tr w:rsidR="00144F46" w:rsidRPr="00D12BDF" w14:paraId="57F442D6" w14:textId="77777777" w:rsidTr="00C150E6">
        <w:tc>
          <w:tcPr>
            <w:tcW w:w="439" w:type="dxa"/>
            <w:shd w:val="clear" w:color="auto" w:fill="EDF2F7"/>
            <w:tcMar>
              <w:top w:w="70" w:type="dxa"/>
              <w:left w:w="130" w:type="dxa"/>
              <w:bottom w:w="70" w:type="dxa"/>
              <w:right w:w="130" w:type="dxa"/>
            </w:tcMar>
            <w:vAlign w:val="center"/>
          </w:tcPr>
          <w:p w14:paraId="1A977AF0"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14</w:t>
            </w:r>
          </w:p>
        </w:tc>
        <w:tc>
          <w:tcPr>
            <w:tcW w:w="1214" w:type="dxa"/>
            <w:shd w:val="clear" w:color="auto" w:fill="EDF2F7"/>
            <w:tcMar>
              <w:top w:w="90" w:type="dxa"/>
              <w:left w:w="150" w:type="dxa"/>
              <w:bottom w:w="90" w:type="dxa"/>
              <w:right w:w="150" w:type="dxa"/>
            </w:tcMar>
          </w:tcPr>
          <w:p w14:paraId="40540AA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Goff et al. (2021)</w:t>
            </w:r>
          </w:p>
        </w:tc>
        <w:tc>
          <w:tcPr>
            <w:tcW w:w="850" w:type="dxa"/>
            <w:shd w:val="clear" w:color="auto" w:fill="FEE2E2"/>
            <w:tcMar>
              <w:top w:w="90" w:type="dxa"/>
              <w:left w:w="150" w:type="dxa"/>
              <w:bottom w:w="90" w:type="dxa"/>
              <w:right w:w="150" w:type="dxa"/>
            </w:tcMar>
          </w:tcPr>
          <w:p w14:paraId="732A5F3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Feasibility RCT</w:t>
            </w:r>
          </w:p>
        </w:tc>
        <w:tc>
          <w:tcPr>
            <w:tcW w:w="1418" w:type="dxa"/>
            <w:shd w:val="clear" w:color="auto" w:fill="EDF2F7"/>
            <w:tcMar>
              <w:top w:w="90" w:type="dxa"/>
              <w:left w:w="150" w:type="dxa"/>
              <w:bottom w:w="90" w:type="dxa"/>
              <w:right w:w="150" w:type="dxa"/>
            </w:tcMar>
          </w:tcPr>
          <w:p w14:paraId="3B94C9E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n = 55 Black African/Caribbean adults</w:t>
            </w:r>
          </w:p>
        </w:tc>
        <w:tc>
          <w:tcPr>
            <w:tcW w:w="1276" w:type="dxa"/>
            <w:shd w:val="clear" w:color="auto" w:fill="EDF2F7"/>
            <w:tcMar>
              <w:top w:w="90" w:type="dxa"/>
              <w:left w:w="150" w:type="dxa"/>
              <w:bottom w:w="90" w:type="dxa"/>
              <w:right w:w="150" w:type="dxa"/>
            </w:tcMar>
          </w:tcPr>
          <w:p w14:paraId="561290D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Black African/Caribbean</w:t>
            </w:r>
          </w:p>
        </w:tc>
        <w:tc>
          <w:tcPr>
            <w:tcW w:w="1275" w:type="dxa"/>
            <w:shd w:val="clear" w:color="auto" w:fill="EDF2F7"/>
            <w:tcMar>
              <w:top w:w="90" w:type="dxa"/>
              <w:left w:w="150" w:type="dxa"/>
              <w:bottom w:w="90" w:type="dxa"/>
              <w:right w:w="150" w:type="dxa"/>
            </w:tcMar>
          </w:tcPr>
          <w:p w14:paraId="214B4D7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w:t>
            </w:r>
          </w:p>
        </w:tc>
        <w:tc>
          <w:tcPr>
            <w:tcW w:w="1843" w:type="dxa"/>
            <w:shd w:val="clear" w:color="auto" w:fill="EDF2F7"/>
            <w:tcMar>
              <w:top w:w="90" w:type="dxa"/>
              <w:left w:w="150" w:type="dxa"/>
              <w:bottom w:w="90" w:type="dxa"/>
              <w:right w:w="150" w:type="dxa"/>
            </w:tcMar>
          </w:tcPr>
          <w:p w14:paraId="60E895E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HEAL-D culturally adapted DSMES: improved diabetes knowledge, dietary behaviour, and self-management confidence</w:t>
            </w:r>
          </w:p>
        </w:tc>
        <w:tc>
          <w:tcPr>
            <w:tcW w:w="1561" w:type="dxa"/>
            <w:shd w:val="clear" w:color="auto" w:fill="0D2B4E"/>
            <w:tcMar>
              <w:top w:w="90" w:type="dxa"/>
              <w:left w:w="150" w:type="dxa"/>
              <w:bottom w:w="90" w:type="dxa"/>
              <w:right w:w="150" w:type="dxa"/>
            </w:tcMar>
            <w:vAlign w:val="center"/>
          </w:tcPr>
          <w:p w14:paraId="55CB31B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Healthcare Sys.</w:t>
            </w:r>
          </w:p>
        </w:tc>
      </w:tr>
      <w:tr w:rsidR="00144F46" w:rsidRPr="00D12BDF" w14:paraId="4B282524" w14:textId="77777777" w:rsidTr="00C150E6">
        <w:trPr>
          <w:trHeight w:val="932"/>
        </w:trPr>
        <w:tc>
          <w:tcPr>
            <w:tcW w:w="439" w:type="dxa"/>
            <w:shd w:val="clear" w:color="auto" w:fill="FFFFFF"/>
            <w:tcMar>
              <w:top w:w="70" w:type="dxa"/>
              <w:left w:w="130" w:type="dxa"/>
              <w:bottom w:w="70" w:type="dxa"/>
              <w:right w:w="130" w:type="dxa"/>
            </w:tcMar>
            <w:vAlign w:val="center"/>
          </w:tcPr>
          <w:p w14:paraId="7901F787"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15</w:t>
            </w:r>
          </w:p>
        </w:tc>
        <w:tc>
          <w:tcPr>
            <w:tcW w:w="1214" w:type="dxa"/>
            <w:shd w:val="clear" w:color="auto" w:fill="FFFFFF"/>
            <w:tcMar>
              <w:top w:w="90" w:type="dxa"/>
              <w:left w:w="150" w:type="dxa"/>
              <w:bottom w:w="90" w:type="dxa"/>
              <w:right w:w="150" w:type="dxa"/>
            </w:tcMar>
          </w:tcPr>
          <w:p w14:paraId="5B8200B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Low et al. (2024)</w:t>
            </w:r>
          </w:p>
        </w:tc>
        <w:tc>
          <w:tcPr>
            <w:tcW w:w="850" w:type="dxa"/>
            <w:shd w:val="clear" w:color="auto" w:fill="FEE2E2"/>
            <w:tcMar>
              <w:top w:w="90" w:type="dxa"/>
              <w:left w:w="150" w:type="dxa"/>
              <w:bottom w:w="90" w:type="dxa"/>
              <w:right w:w="150" w:type="dxa"/>
            </w:tcMar>
          </w:tcPr>
          <w:p w14:paraId="25630E8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Mixed-methods</w:t>
            </w:r>
          </w:p>
        </w:tc>
        <w:tc>
          <w:tcPr>
            <w:tcW w:w="1418" w:type="dxa"/>
            <w:shd w:val="clear" w:color="auto" w:fill="FFFFFF"/>
            <w:tcMar>
              <w:top w:w="90" w:type="dxa"/>
              <w:left w:w="150" w:type="dxa"/>
              <w:bottom w:w="90" w:type="dxa"/>
              <w:right w:w="150" w:type="dxa"/>
            </w:tcMar>
          </w:tcPr>
          <w:p w14:paraId="64312FE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Online mixed-methods study</w:t>
            </w:r>
          </w:p>
        </w:tc>
        <w:tc>
          <w:tcPr>
            <w:tcW w:w="1276" w:type="dxa"/>
            <w:shd w:val="clear" w:color="auto" w:fill="FFFFFF"/>
            <w:tcMar>
              <w:top w:w="90" w:type="dxa"/>
              <w:left w:w="150" w:type="dxa"/>
              <w:bottom w:w="90" w:type="dxa"/>
              <w:right w:w="150" w:type="dxa"/>
            </w:tcMar>
          </w:tcPr>
          <w:p w14:paraId="4E07891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African/Caribbean</w:t>
            </w:r>
          </w:p>
        </w:tc>
        <w:tc>
          <w:tcPr>
            <w:tcW w:w="1275" w:type="dxa"/>
            <w:shd w:val="clear" w:color="auto" w:fill="FFFFFF"/>
            <w:tcMar>
              <w:top w:w="90" w:type="dxa"/>
              <w:left w:w="150" w:type="dxa"/>
              <w:bottom w:w="90" w:type="dxa"/>
              <w:right w:w="150" w:type="dxa"/>
            </w:tcMar>
          </w:tcPr>
          <w:p w14:paraId="1223C8FF"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 (digital)</w:t>
            </w:r>
          </w:p>
        </w:tc>
        <w:tc>
          <w:tcPr>
            <w:tcW w:w="1843" w:type="dxa"/>
            <w:shd w:val="clear" w:color="auto" w:fill="FFFFFF"/>
            <w:tcMar>
              <w:top w:w="90" w:type="dxa"/>
              <w:left w:w="150" w:type="dxa"/>
              <w:bottom w:w="90" w:type="dxa"/>
              <w:right w:w="150" w:type="dxa"/>
            </w:tcMar>
          </w:tcPr>
          <w:p w14:paraId="01E29F9B" w14:textId="0823117E"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HEAL-D Online: high engagement and acceptability; digitally delivered</w:t>
            </w:r>
            <w:r w:rsidR="004D17BA" w:rsidRPr="00D12BDF">
              <w:rPr>
                <w:rFonts w:ascii="Arial" w:eastAsia="Arial" w:hAnsi="Arial" w:cs="Arial"/>
                <w:color w:val="111827"/>
                <w:sz w:val="16"/>
                <w:szCs w:val="16"/>
              </w:rPr>
              <w:t>,</w:t>
            </w:r>
            <w:r w:rsidRPr="00D12BDF">
              <w:rPr>
                <w:rFonts w:ascii="Arial" w:eastAsia="Arial" w:hAnsi="Arial" w:cs="Arial"/>
                <w:color w:val="111827"/>
                <w:sz w:val="16"/>
                <w:szCs w:val="16"/>
              </w:rPr>
              <w:t xml:space="preserve"> culturally tailored DSMES is feasible</w:t>
            </w:r>
          </w:p>
        </w:tc>
        <w:tc>
          <w:tcPr>
            <w:tcW w:w="1561" w:type="dxa"/>
            <w:shd w:val="clear" w:color="auto" w:fill="0D2B4E"/>
            <w:tcMar>
              <w:top w:w="90" w:type="dxa"/>
              <w:left w:w="150" w:type="dxa"/>
              <w:bottom w:w="90" w:type="dxa"/>
              <w:right w:w="150" w:type="dxa"/>
            </w:tcMar>
            <w:vAlign w:val="center"/>
          </w:tcPr>
          <w:p w14:paraId="6E119CE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Healthcare Sys.</w:t>
            </w:r>
          </w:p>
        </w:tc>
      </w:tr>
      <w:tr w:rsidR="00144F46" w:rsidRPr="00D12BDF" w14:paraId="65596D5F" w14:textId="77777777" w:rsidTr="00C150E6">
        <w:tc>
          <w:tcPr>
            <w:tcW w:w="9876" w:type="dxa"/>
            <w:gridSpan w:val="8"/>
            <w:shd w:val="clear" w:color="auto" w:fill="E2EAF3"/>
            <w:tcMar>
              <w:top w:w="90" w:type="dxa"/>
              <w:left w:w="150" w:type="dxa"/>
              <w:bottom w:w="90" w:type="dxa"/>
              <w:right w:w="150" w:type="dxa"/>
            </w:tcMar>
          </w:tcPr>
          <w:p w14:paraId="7D5039AA" w14:textId="2BB0EA75"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111827"/>
                <w:sz w:val="16"/>
                <w:szCs w:val="16"/>
              </w:rPr>
              <w:t xml:space="preserve">Study design breakdown: </w:t>
            </w:r>
            <w:r w:rsidRPr="00D12BDF">
              <w:rPr>
                <w:rFonts w:ascii="Arial" w:eastAsia="Arial" w:hAnsi="Arial" w:cs="Arial"/>
                <w:color w:val="374151"/>
                <w:sz w:val="16"/>
                <w:szCs w:val="16"/>
              </w:rPr>
              <w:t>6 qualitative · 6 cohort/cross-sectional · 3 mixed-methods (including 1 feasibility RCT). All studies UK-based</w:t>
            </w:r>
            <w:r w:rsidR="004D17BA" w:rsidRPr="00D12BDF">
              <w:rPr>
                <w:rFonts w:ascii="Arial" w:eastAsia="Arial" w:hAnsi="Arial" w:cs="Arial"/>
                <w:color w:val="374151"/>
                <w:sz w:val="16"/>
                <w:szCs w:val="16"/>
              </w:rPr>
              <w:t xml:space="preserve"> and</w:t>
            </w:r>
            <w:r w:rsidRPr="00D12BDF">
              <w:rPr>
                <w:rFonts w:ascii="Arial" w:eastAsia="Arial" w:hAnsi="Arial" w:cs="Arial"/>
                <w:color w:val="374151"/>
                <w:sz w:val="16"/>
                <w:szCs w:val="16"/>
              </w:rPr>
              <w:t xml:space="preserve"> published </w:t>
            </w:r>
            <w:r w:rsidR="001652BE" w:rsidRPr="00D12BDF">
              <w:rPr>
                <w:rFonts w:ascii="Arial" w:eastAsia="Arial" w:hAnsi="Arial" w:cs="Arial"/>
                <w:color w:val="374151"/>
                <w:sz w:val="16"/>
                <w:szCs w:val="16"/>
              </w:rPr>
              <w:t>2015–2026</w:t>
            </w:r>
            <w:r w:rsidRPr="00D12BDF">
              <w:rPr>
                <w:rFonts w:ascii="Arial" w:eastAsia="Arial" w:hAnsi="Arial" w:cs="Arial"/>
                <w:color w:val="374151"/>
                <w:sz w:val="16"/>
                <w:szCs w:val="16"/>
              </w:rPr>
              <w:t xml:space="preserve">. All quality </w:t>
            </w:r>
            <w:r w:rsidR="004D17BA" w:rsidRPr="00D12BDF">
              <w:rPr>
                <w:rFonts w:ascii="Arial" w:eastAsia="Arial" w:hAnsi="Arial" w:cs="Arial"/>
                <w:color w:val="374151"/>
                <w:sz w:val="16"/>
                <w:szCs w:val="16"/>
              </w:rPr>
              <w:t xml:space="preserve">was </w:t>
            </w:r>
            <w:r w:rsidRPr="00D12BDF">
              <w:rPr>
                <w:rFonts w:ascii="Arial" w:eastAsia="Arial" w:hAnsi="Arial" w:cs="Arial"/>
                <w:color w:val="374151"/>
                <w:sz w:val="16"/>
                <w:szCs w:val="16"/>
              </w:rPr>
              <w:t xml:space="preserve">appraised using CASP tools </w:t>
            </w:r>
            <w:r w:rsidR="007C2F5E" w:rsidRPr="00D12BDF">
              <w:rPr>
                <w:rFonts w:ascii="Arial" w:hAnsi="Arial" w:cs="Arial"/>
                <w:sz w:val="16"/>
                <w:szCs w:val="16"/>
              </w:rPr>
              <w:t>(Tables B1–B3, Appendix B)</w:t>
            </w:r>
            <w:r w:rsidRPr="00D12BDF">
              <w:rPr>
                <w:rFonts w:ascii="Arial" w:eastAsia="Arial" w:hAnsi="Arial" w:cs="Arial"/>
                <w:color w:val="374151"/>
                <w:sz w:val="16"/>
                <w:szCs w:val="16"/>
              </w:rPr>
              <w:t>. DSMES = Diabetes Self-Management Education and Support. HEAL-D = Healthier Eating and Active Lifestyles for Diabetes. OR = odds ratio.</w:t>
            </w:r>
          </w:p>
        </w:tc>
      </w:tr>
    </w:tbl>
    <w:p w14:paraId="49576F95" w14:textId="6BE27A1C" w:rsidR="006B09A2" w:rsidRPr="009E3E7B" w:rsidRDefault="001B6AAC" w:rsidP="0089793A">
      <w:pPr>
        <w:spacing w:line="240" w:lineRule="auto"/>
        <w:jc w:val="center"/>
        <w:rPr>
          <w:rFonts w:ascii="Arial" w:hAnsi="Arial" w:cs="Arial"/>
          <w:b/>
          <w:i/>
          <w:iCs/>
          <w:sz w:val="18"/>
          <w:szCs w:val="18"/>
        </w:rPr>
      </w:pPr>
      <w:r w:rsidRPr="009E3E7B">
        <w:rPr>
          <w:rFonts w:ascii="Arial" w:hAnsi="Arial" w:cs="Arial"/>
          <w:i/>
          <w:iCs/>
          <w:sz w:val="18"/>
          <w:szCs w:val="18"/>
        </w:rPr>
        <w:t xml:space="preserve">All studies published in the UK between </w:t>
      </w:r>
      <w:r w:rsidR="00292470" w:rsidRPr="009E3E7B">
        <w:rPr>
          <w:rFonts w:ascii="Arial" w:hAnsi="Arial" w:cs="Arial"/>
          <w:i/>
          <w:iCs/>
          <w:sz w:val="18"/>
          <w:szCs w:val="18"/>
        </w:rPr>
        <w:t>2015 and 2026</w:t>
      </w:r>
      <w:r w:rsidRPr="009E3E7B">
        <w:rPr>
          <w:rFonts w:ascii="Arial" w:hAnsi="Arial" w:cs="Arial"/>
          <w:i/>
          <w:iCs/>
          <w:sz w:val="18"/>
          <w:szCs w:val="18"/>
        </w:rPr>
        <w:t>. CASP quality appraisal in Appendix B. DSMES = Diabetes Self-Management Education and Support; HEAL-D = Healthier Eating and Active Lifestyles for Diabetes.</w:t>
      </w:r>
    </w:p>
    <w:p w14:paraId="589B73D4" w14:textId="0C4DDF0E" w:rsidR="007D286C" w:rsidRPr="005978B5" w:rsidRDefault="007D286C" w:rsidP="00354518">
      <w:pPr>
        <w:pStyle w:val="Heading2"/>
        <w:spacing w:line="360" w:lineRule="auto"/>
        <w:jc w:val="both"/>
        <w:rPr>
          <w:rFonts w:ascii="Arial" w:hAnsi="Arial" w:cs="Arial"/>
          <w:sz w:val="22"/>
        </w:rPr>
      </w:pPr>
      <w:bookmarkStart w:id="38" w:name="_Toc232173686"/>
      <w:r w:rsidRPr="005978B5">
        <w:rPr>
          <w:rFonts w:ascii="Arial" w:hAnsi="Arial" w:cs="Arial"/>
          <w:sz w:val="22"/>
        </w:rPr>
        <w:t xml:space="preserve">4.1: Socioeconomic, cultural and healthcare system-based factors are important in the prevention and management of </w:t>
      </w:r>
      <w:r w:rsidR="007C2F5E" w:rsidRPr="005978B5">
        <w:rPr>
          <w:rFonts w:ascii="Arial" w:hAnsi="Arial" w:cs="Arial"/>
          <w:sz w:val="22"/>
        </w:rPr>
        <w:t>T2DM</w:t>
      </w:r>
      <w:r w:rsidRPr="005978B5">
        <w:rPr>
          <w:rFonts w:ascii="Arial" w:hAnsi="Arial" w:cs="Arial"/>
          <w:sz w:val="22"/>
        </w:rPr>
        <w:t>.</w:t>
      </w:r>
      <w:bookmarkEnd w:id="38"/>
    </w:p>
    <w:p w14:paraId="5EB771FE" w14:textId="77777777" w:rsidR="007D286C" w:rsidRPr="000D5E76" w:rsidRDefault="007D286C" w:rsidP="000D5E76">
      <w:pPr>
        <w:pStyle w:val="Heading3"/>
      </w:pPr>
      <w:bookmarkStart w:id="39" w:name="_Toc232173687"/>
      <w:r w:rsidRPr="000D5E76">
        <w:t>4.1.1 Socio-economic Factors</w:t>
      </w:r>
      <w:bookmarkEnd w:id="39"/>
    </w:p>
    <w:p w14:paraId="3E9CFF48" w14:textId="6CCB5E20" w:rsidR="007D286C" w:rsidRPr="005978B5" w:rsidRDefault="0061630C" w:rsidP="00354518">
      <w:pPr>
        <w:pStyle w:val="NormalWeb"/>
        <w:spacing w:before="0" w:beforeAutospacing="0" w:after="160" w:afterAutospacing="0" w:line="360" w:lineRule="auto"/>
        <w:jc w:val="both"/>
        <w:rPr>
          <w:rFonts w:ascii="Arial" w:hAnsi="Arial" w:cs="Arial"/>
          <w:sz w:val="22"/>
          <w:szCs w:val="22"/>
        </w:rPr>
      </w:pPr>
      <w:r w:rsidRPr="005978B5">
        <w:rPr>
          <w:rFonts w:ascii="Arial" w:eastAsiaTheme="majorEastAsia" w:hAnsi="Arial" w:cs="Arial"/>
          <w:sz w:val="22"/>
          <w:szCs w:val="22"/>
        </w:rPr>
        <w:t xml:space="preserve">The socioeconomic deprivation was found to be a recurrent structural factor affecting the prevention and management of Type 2 diabetes mellitus (T2DM) in ethnic minority adults in the UK. The quantitative and qualitative research found that poverty, low health literacy, employment insecurity, food prices and geographical access are interacting conditions leading to cumulative disadvantage. These inequalities did not act in a vacuum; rather, ethnicity and deprivation intertwined to produce greater vulnerability, a wider Social Determinants of Health system </w:t>
      </w:r>
      <w:r w:rsidR="005E259C" w:rsidRPr="005978B5">
        <w:rPr>
          <w:rFonts w:ascii="Arial" w:eastAsiaTheme="majorEastAsia" w:hAnsi="Arial" w:cs="Arial"/>
          <w:sz w:val="22"/>
          <w:szCs w:val="22"/>
        </w:rPr>
        <w:t>(World Health Organization, 2008; Marmot et al., 2010; 2020; Routen et al., 2023).</w:t>
      </w:r>
    </w:p>
    <w:p w14:paraId="27FA371D" w14:textId="4230FBCF" w:rsidR="007D286C" w:rsidRPr="005978B5" w:rsidRDefault="0061630C" w:rsidP="00354518">
      <w:pPr>
        <w:pStyle w:val="NormalWeb"/>
        <w:spacing w:before="0" w:beforeAutospacing="0" w:after="160" w:afterAutospacing="0" w:line="360" w:lineRule="auto"/>
        <w:jc w:val="both"/>
        <w:rPr>
          <w:rFonts w:ascii="Arial" w:hAnsi="Arial" w:cs="Arial"/>
          <w:sz w:val="22"/>
          <w:szCs w:val="22"/>
        </w:rPr>
      </w:pPr>
      <w:r w:rsidRPr="005978B5">
        <w:rPr>
          <w:rFonts w:ascii="Arial" w:eastAsiaTheme="majorEastAsia" w:hAnsi="Arial" w:cs="Arial"/>
          <w:sz w:val="22"/>
          <w:szCs w:val="22"/>
        </w:rPr>
        <w:t xml:space="preserve">Quantitative evidence indicated a close relationship between deprivation and T2DM risk. In a large cross-sectional analysis of 108,514 NHS Health Check attendees in Birmingham, Au-Yeung et al. (2024) report that South Asian and Black adults were still at high risk of having T2DM after deprivation was adjusted, with odds </w:t>
      </w:r>
      <w:r w:rsidR="00EA7BC6" w:rsidRPr="005978B5">
        <w:rPr>
          <w:rFonts w:ascii="Arial" w:eastAsiaTheme="majorEastAsia" w:hAnsi="Arial" w:cs="Arial"/>
          <w:sz w:val="22"/>
          <w:szCs w:val="22"/>
        </w:rPr>
        <w:t>ratios of</w:t>
      </w:r>
      <w:r w:rsidRPr="005978B5">
        <w:rPr>
          <w:rFonts w:ascii="Arial" w:eastAsiaTheme="majorEastAsia" w:hAnsi="Arial" w:cs="Arial"/>
          <w:sz w:val="22"/>
          <w:szCs w:val="22"/>
        </w:rPr>
        <w:t xml:space="preserve"> 5.43 and 3.15, respectively. In the cohort, the socioeconomic deprivation itself was a predictor of an estimated 64% of the diabetes cases, with ethnic minorities overrepresented in the most deprived regions. The results indicate that deprivation and ethnicity are not independent but interacting risk determinants. However, even with the high statistical reliability and generalisability associated </w:t>
      </w:r>
      <w:r w:rsidRPr="005978B5">
        <w:rPr>
          <w:rFonts w:ascii="Arial" w:eastAsiaTheme="majorEastAsia" w:hAnsi="Arial" w:cs="Arial"/>
          <w:sz w:val="22"/>
          <w:szCs w:val="22"/>
        </w:rPr>
        <w:lastRenderedPageBreak/>
        <w:t>with the large sample size, the study, being cross-sectional, cannot be causally interpreted since the relationships between deprivation and T2DM cannot establish the time direction.</w:t>
      </w:r>
    </w:p>
    <w:p w14:paraId="452111BA" w14:textId="2447E8BB" w:rsidR="007D286C" w:rsidRPr="005978B5" w:rsidRDefault="0061630C" w:rsidP="00354518">
      <w:pPr>
        <w:pStyle w:val="NormalWeb"/>
        <w:spacing w:before="0" w:beforeAutospacing="0" w:after="160" w:afterAutospacing="0" w:line="360" w:lineRule="auto"/>
        <w:jc w:val="both"/>
        <w:rPr>
          <w:rFonts w:ascii="Arial" w:hAnsi="Arial" w:cs="Arial"/>
          <w:sz w:val="22"/>
          <w:szCs w:val="22"/>
        </w:rPr>
      </w:pPr>
      <w:r w:rsidRPr="005978B5">
        <w:rPr>
          <w:rFonts w:ascii="Arial" w:eastAsiaTheme="majorEastAsia" w:hAnsi="Arial" w:cs="Arial"/>
          <w:sz w:val="22"/>
          <w:szCs w:val="22"/>
        </w:rPr>
        <w:t xml:space="preserve">The studies on the NHS Diabetes Prevention Programme (DPP) also found socioeconomic barriers to engagement. In an analysis of 99,473 referrals, Howarth et al. (2020) found distance to programme delivery sites to be a strong predictor of non-completion. Similarly, a study of national NHS DPP data of 43,603 reported lower completion rates in Black and Asian populations with higher referral rates </w:t>
      </w:r>
      <w:r w:rsidR="005E259C" w:rsidRPr="005978B5">
        <w:rPr>
          <w:rFonts w:ascii="Arial" w:eastAsiaTheme="majorEastAsia" w:hAnsi="Arial" w:cs="Arial"/>
          <w:sz w:val="22"/>
          <w:szCs w:val="22"/>
        </w:rPr>
        <w:t xml:space="preserve">(Barron et al., 2018; Chatzi et al., 2023). </w:t>
      </w:r>
      <w:r w:rsidRPr="005978B5">
        <w:rPr>
          <w:rFonts w:ascii="Arial" w:eastAsiaTheme="majorEastAsia" w:hAnsi="Arial" w:cs="Arial"/>
          <w:sz w:val="22"/>
          <w:szCs w:val="22"/>
        </w:rPr>
        <w:t xml:space="preserve">Taken together, these studies imply that the design of the programme may not correspond to the lives of the deprived populations, including the use of public transport, strict employment, and caring </w:t>
      </w:r>
      <w:r w:rsidR="00EA7BC6" w:rsidRPr="005978B5">
        <w:rPr>
          <w:rFonts w:ascii="Arial" w:eastAsiaTheme="majorEastAsia" w:hAnsi="Arial" w:cs="Arial"/>
          <w:sz w:val="22"/>
          <w:szCs w:val="22"/>
        </w:rPr>
        <w:t>for</w:t>
      </w:r>
      <w:r w:rsidRPr="005978B5">
        <w:rPr>
          <w:rFonts w:ascii="Arial" w:eastAsiaTheme="majorEastAsia" w:hAnsi="Arial" w:cs="Arial"/>
          <w:sz w:val="22"/>
          <w:szCs w:val="22"/>
        </w:rPr>
        <w:t xml:space="preserve"> the families. The high national datasets enhance the external validity of both studies, but the use of routine programme data restricted the possibility of studying the lived experiences of participants and the factors that may have caused disengagement. This resulted in the discovery of structural barriers, which were statistically identified but not contextualised.</w:t>
      </w:r>
    </w:p>
    <w:p w14:paraId="20B1DD45" w14:textId="24A6DF2B" w:rsidR="007D286C" w:rsidRPr="005978B5" w:rsidRDefault="0061630C" w:rsidP="00354518">
      <w:pPr>
        <w:pStyle w:val="NormalWeb"/>
        <w:spacing w:before="0" w:beforeAutospacing="0" w:after="160" w:afterAutospacing="0" w:line="360" w:lineRule="auto"/>
        <w:jc w:val="both"/>
        <w:rPr>
          <w:rFonts w:ascii="Arial" w:hAnsi="Arial" w:cs="Arial"/>
          <w:sz w:val="22"/>
          <w:szCs w:val="22"/>
        </w:rPr>
      </w:pPr>
      <w:r w:rsidRPr="005978B5">
        <w:rPr>
          <w:rFonts w:ascii="Arial" w:eastAsiaTheme="majorEastAsia" w:hAnsi="Arial" w:cs="Arial"/>
          <w:sz w:val="22"/>
          <w:szCs w:val="22"/>
        </w:rPr>
        <w:t xml:space="preserve">The qualitative results gave more insight into the relationship between deprivation and self-management and healthcare participation. </w:t>
      </w:r>
      <w:proofErr w:type="spellStart"/>
      <w:r w:rsidRPr="005978B5">
        <w:rPr>
          <w:rFonts w:ascii="Arial" w:eastAsiaTheme="majorEastAsia" w:hAnsi="Arial" w:cs="Arial"/>
          <w:sz w:val="22"/>
          <w:szCs w:val="22"/>
        </w:rPr>
        <w:t>Pardhan</w:t>
      </w:r>
      <w:proofErr w:type="spellEnd"/>
      <w:r w:rsidRPr="005978B5">
        <w:rPr>
          <w:rFonts w:ascii="Arial" w:eastAsiaTheme="majorEastAsia" w:hAnsi="Arial" w:cs="Arial"/>
          <w:sz w:val="22"/>
          <w:szCs w:val="22"/>
        </w:rPr>
        <w:t xml:space="preserve"> et al. (2020) found that </w:t>
      </w:r>
      <w:r w:rsidR="00EA7BC6" w:rsidRPr="005978B5">
        <w:rPr>
          <w:rFonts w:ascii="Arial" w:eastAsiaTheme="majorEastAsia" w:hAnsi="Arial" w:cs="Arial"/>
          <w:sz w:val="22"/>
          <w:szCs w:val="22"/>
        </w:rPr>
        <w:t xml:space="preserve">the </w:t>
      </w:r>
      <w:r w:rsidRPr="005978B5">
        <w:rPr>
          <w:rFonts w:ascii="Arial" w:eastAsiaTheme="majorEastAsia" w:hAnsi="Arial" w:cs="Arial"/>
          <w:sz w:val="22"/>
          <w:szCs w:val="22"/>
        </w:rPr>
        <w:t xml:space="preserve">readability of written health information, access to healthcare systems, and effective communication in clinical consultations were significantly lower in participants with low levels of education and low health literacy. Importantly, respondents in this study did not blame themselves but systemic ineffectiveness - in this case, the fact that NHS services were not tailored to meet the diversity of literacy and language needs within societies served by the NHS. This attribution is analytically important: it situates health literacy not as a personal gap to be filled in, but a structural gap between the design of services and the </w:t>
      </w:r>
      <w:r w:rsidR="00EA7BC6" w:rsidRPr="005978B5">
        <w:rPr>
          <w:rFonts w:ascii="Arial" w:eastAsiaTheme="majorEastAsia" w:hAnsi="Arial" w:cs="Arial"/>
          <w:sz w:val="22"/>
          <w:szCs w:val="22"/>
        </w:rPr>
        <w:t>needs</w:t>
      </w:r>
      <w:r w:rsidRPr="005978B5">
        <w:rPr>
          <w:rFonts w:ascii="Arial" w:eastAsiaTheme="majorEastAsia" w:hAnsi="Arial" w:cs="Arial"/>
          <w:sz w:val="22"/>
          <w:szCs w:val="22"/>
        </w:rPr>
        <w:t xml:space="preserve"> of the population - one which can be fully addressed by equity-focused commissioning. Participants defined these challenges as systemic failures instead of personal deficits, implying that healthcare services were not modified to a variety of literacy and communication requirements. The qualitative design allowed a profound exploration of lived experiences, yet the limited sample limits the </w:t>
      </w:r>
      <w:r w:rsidR="00EA7BC6" w:rsidRPr="005978B5">
        <w:rPr>
          <w:rFonts w:ascii="Arial" w:eastAsiaTheme="majorEastAsia" w:hAnsi="Arial" w:cs="Arial"/>
          <w:sz w:val="22"/>
          <w:szCs w:val="22"/>
        </w:rPr>
        <w:t>generalisation</w:t>
      </w:r>
      <w:r w:rsidRPr="005978B5">
        <w:rPr>
          <w:rFonts w:ascii="Arial" w:eastAsiaTheme="majorEastAsia" w:hAnsi="Arial" w:cs="Arial"/>
          <w:sz w:val="22"/>
          <w:szCs w:val="22"/>
        </w:rPr>
        <w:t xml:space="preserve"> of the study results to other groups (</w:t>
      </w:r>
      <w:proofErr w:type="spellStart"/>
      <w:r w:rsidRPr="005978B5">
        <w:rPr>
          <w:rFonts w:ascii="Arial" w:eastAsiaTheme="majorEastAsia" w:hAnsi="Arial" w:cs="Arial"/>
          <w:sz w:val="22"/>
          <w:szCs w:val="22"/>
        </w:rPr>
        <w:t>Stalmeijer</w:t>
      </w:r>
      <w:proofErr w:type="spellEnd"/>
      <w:r w:rsidRPr="005978B5">
        <w:rPr>
          <w:rFonts w:ascii="Arial" w:eastAsiaTheme="majorEastAsia" w:hAnsi="Arial" w:cs="Arial"/>
          <w:sz w:val="22"/>
          <w:szCs w:val="22"/>
        </w:rPr>
        <w:t xml:space="preserve">, Brown and O'Brien, 2024). </w:t>
      </w:r>
    </w:p>
    <w:p w14:paraId="62826B98" w14:textId="45CEF545" w:rsidR="007D286C" w:rsidRPr="005978B5" w:rsidRDefault="00132620" w:rsidP="00354518">
      <w:pPr>
        <w:pStyle w:val="NormalWeb"/>
        <w:spacing w:before="0" w:beforeAutospacing="0" w:after="160" w:afterAutospacing="0" w:line="360" w:lineRule="auto"/>
        <w:jc w:val="both"/>
        <w:rPr>
          <w:rFonts w:ascii="Arial" w:hAnsi="Arial" w:cs="Arial"/>
          <w:sz w:val="22"/>
          <w:szCs w:val="22"/>
        </w:rPr>
      </w:pPr>
      <w:r w:rsidRPr="005978B5">
        <w:rPr>
          <w:rFonts w:ascii="Arial" w:eastAsiaTheme="majorEastAsia" w:hAnsi="Arial" w:cs="Arial"/>
          <w:sz w:val="22"/>
          <w:szCs w:val="22"/>
        </w:rPr>
        <w:t xml:space="preserve">Another common barrier in qualitative studies was financial strains and job safety. Patel et al. (2015b) discovered that the inability to engage in diabetes education and lifestyle interventions was due to long working hours, heavy physical work, and low levels of leave. Similarly, Sidhu, </w:t>
      </w:r>
      <w:proofErr w:type="spellStart"/>
      <w:r w:rsidRPr="005978B5">
        <w:rPr>
          <w:rFonts w:ascii="Arial" w:eastAsiaTheme="majorEastAsia" w:hAnsi="Arial" w:cs="Arial"/>
          <w:sz w:val="22"/>
          <w:szCs w:val="22"/>
        </w:rPr>
        <w:t>Lemetyinen</w:t>
      </w:r>
      <w:proofErr w:type="spellEnd"/>
      <w:r w:rsidRPr="005978B5">
        <w:rPr>
          <w:rFonts w:ascii="Arial" w:eastAsiaTheme="majorEastAsia" w:hAnsi="Arial" w:cs="Arial"/>
          <w:sz w:val="22"/>
          <w:szCs w:val="22"/>
        </w:rPr>
        <w:t xml:space="preserve"> and Edge (2022) wrote that healthier foods were often seen as unaffordable, particularly in areas where the cheaper staple food was more culturally accepted and cheaper. Consistent with these findings, </w:t>
      </w:r>
      <w:proofErr w:type="spellStart"/>
      <w:r w:rsidRPr="005978B5">
        <w:rPr>
          <w:rFonts w:ascii="Arial" w:eastAsiaTheme="majorEastAsia" w:hAnsi="Arial" w:cs="Arial"/>
          <w:sz w:val="22"/>
          <w:szCs w:val="22"/>
        </w:rPr>
        <w:t>Alloh</w:t>
      </w:r>
      <w:proofErr w:type="spellEnd"/>
      <w:r w:rsidRPr="005978B5">
        <w:rPr>
          <w:rFonts w:ascii="Arial" w:eastAsiaTheme="majorEastAsia" w:hAnsi="Arial" w:cs="Arial"/>
          <w:sz w:val="22"/>
          <w:szCs w:val="22"/>
        </w:rPr>
        <w:t xml:space="preserve"> et al. (2019) in a study of West African immigrants in London noted affordability of recommended foods and healthcare spending as a long-standing impediment to managing diabetes. All these studies are examples of the way economic </w:t>
      </w:r>
      <w:r w:rsidRPr="005978B5">
        <w:rPr>
          <w:rFonts w:ascii="Arial" w:eastAsiaTheme="majorEastAsia" w:hAnsi="Arial" w:cs="Arial"/>
          <w:sz w:val="22"/>
          <w:szCs w:val="22"/>
        </w:rPr>
        <w:lastRenderedPageBreak/>
        <w:t>disadvantage limits the ability of people to apply behavioural recommendations, even when they are aware of their necessity.</w:t>
      </w:r>
    </w:p>
    <w:p w14:paraId="406683A8" w14:textId="77777777" w:rsidR="007D286C" w:rsidRPr="005978B5" w:rsidRDefault="007D286C" w:rsidP="00354518">
      <w:pPr>
        <w:spacing w:line="360" w:lineRule="auto"/>
        <w:jc w:val="both"/>
        <w:rPr>
          <w:rFonts w:ascii="Arial" w:hAnsi="Arial" w:cs="Arial"/>
        </w:rPr>
      </w:pPr>
    </w:p>
    <w:p w14:paraId="37D58AEA" w14:textId="77777777" w:rsidR="007D286C" w:rsidRPr="005978B5" w:rsidRDefault="007D286C" w:rsidP="000D5E76">
      <w:pPr>
        <w:pStyle w:val="Heading3"/>
      </w:pPr>
      <w:bookmarkStart w:id="40" w:name="_Toc232173688"/>
      <w:r w:rsidRPr="005978B5">
        <w:t>4.1.2 Cultural Factors</w:t>
      </w:r>
      <w:bookmarkEnd w:id="40"/>
    </w:p>
    <w:p w14:paraId="163F0668" w14:textId="3E2B8090" w:rsidR="007D286C" w:rsidRPr="005978B5" w:rsidRDefault="00132620" w:rsidP="00354518">
      <w:pPr>
        <w:pStyle w:val="NormalWeb"/>
        <w:spacing w:before="0" w:beforeAutospacing="0" w:after="160" w:afterAutospacing="0" w:line="360" w:lineRule="auto"/>
        <w:jc w:val="both"/>
        <w:rPr>
          <w:rFonts w:ascii="Arial" w:hAnsi="Arial" w:cs="Arial"/>
          <w:sz w:val="22"/>
          <w:szCs w:val="22"/>
        </w:rPr>
      </w:pPr>
      <w:r w:rsidRPr="005978B5">
        <w:rPr>
          <w:rFonts w:ascii="Arial" w:eastAsiaTheme="majorEastAsia" w:hAnsi="Arial" w:cs="Arial"/>
          <w:sz w:val="22"/>
          <w:szCs w:val="22"/>
        </w:rPr>
        <w:t>Cultural barriers were a topical theme in the literature reviewed, particularly in qualitative studies conducted among the South Asian, West African, sub-Saharan African and Black Caribbean groups. The information revealed that cultural beliefs, religion, migration experiences, eating traditions, stigma, and gendered expectations were critical factors in determining engagement in the process of T2DM prevention and self-management. These barriers influenced the perception of susceptibility to illness, the efficacy of treatment and self-management of diabetes</w:t>
      </w:r>
      <w:r w:rsidR="00EA7BC6" w:rsidRPr="005978B5">
        <w:rPr>
          <w:rFonts w:ascii="Arial" w:eastAsiaTheme="majorEastAsia" w:hAnsi="Arial" w:cs="Arial"/>
          <w:sz w:val="22"/>
          <w:szCs w:val="22"/>
        </w:rPr>
        <w:t>,</w:t>
      </w:r>
      <w:r w:rsidRPr="005978B5">
        <w:rPr>
          <w:rFonts w:ascii="Arial" w:eastAsiaTheme="majorEastAsia" w:hAnsi="Arial" w:cs="Arial"/>
          <w:sz w:val="22"/>
          <w:szCs w:val="22"/>
        </w:rPr>
        <w:t xml:space="preserve"> which are key Health Belief Model constructs (Rosenstock, 1966; Champion and Skinner, 2008).</w:t>
      </w:r>
    </w:p>
    <w:p w14:paraId="4D90C120" w14:textId="72A1FAEC" w:rsidR="007D286C" w:rsidRPr="005978B5" w:rsidRDefault="00BC772D" w:rsidP="00354518">
      <w:pPr>
        <w:pStyle w:val="NormalWeb"/>
        <w:spacing w:before="0" w:beforeAutospacing="0" w:after="160" w:afterAutospacing="0" w:line="360" w:lineRule="auto"/>
        <w:jc w:val="both"/>
        <w:rPr>
          <w:rFonts w:ascii="Arial" w:hAnsi="Arial" w:cs="Arial"/>
          <w:sz w:val="22"/>
          <w:szCs w:val="22"/>
        </w:rPr>
      </w:pPr>
      <w:r w:rsidRPr="005978B5">
        <w:rPr>
          <w:rFonts w:ascii="Arial" w:eastAsiaTheme="majorEastAsia" w:hAnsi="Arial" w:cs="Arial"/>
          <w:sz w:val="22"/>
          <w:szCs w:val="22"/>
        </w:rPr>
        <w:t xml:space="preserve">The effects of cultural morbidity and fatalistic knowledge of T2DM </w:t>
      </w:r>
      <w:r w:rsidR="00EA7BC6" w:rsidRPr="005978B5">
        <w:rPr>
          <w:rFonts w:ascii="Arial" w:eastAsiaTheme="majorEastAsia" w:hAnsi="Arial" w:cs="Arial"/>
          <w:sz w:val="22"/>
          <w:szCs w:val="22"/>
        </w:rPr>
        <w:t>were</w:t>
      </w:r>
      <w:r w:rsidRPr="005978B5">
        <w:rPr>
          <w:rFonts w:ascii="Arial" w:eastAsiaTheme="majorEastAsia" w:hAnsi="Arial" w:cs="Arial"/>
          <w:sz w:val="22"/>
          <w:szCs w:val="22"/>
        </w:rPr>
        <w:t xml:space="preserve"> one of the conclusions of several studies. In a qualitative study among British South Asian adults, Patel et al. (2015b) found that most often participants linked diabetes with fate, karma, or the will of God and felt less in control of the disease. Similarly, exploring the experiences of Black sub-Saharan African adults residing in the UK using the PEN-3 cultural model, </w:t>
      </w:r>
      <w:proofErr w:type="spellStart"/>
      <w:r w:rsidRPr="005978B5">
        <w:rPr>
          <w:rFonts w:ascii="Arial" w:eastAsiaTheme="majorEastAsia" w:hAnsi="Arial" w:cs="Arial"/>
          <w:sz w:val="22"/>
          <w:szCs w:val="22"/>
        </w:rPr>
        <w:t>Omodara</w:t>
      </w:r>
      <w:proofErr w:type="spellEnd"/>
      <w:r w:rsidRPr="005978B5">
        <w:rPr>
          <w:rFonts w:ascii="Arial" w:eastAsiaTheme="majorEastAsia" w:hAnsi="Arial" w:cs="Arial"/>
          <w:sz w:val="22"/>
          <w:szCs w:val="22"/>
        </w:rPr>
        <w:t>, Gibson</w:t>
      </w:r>
      <w:r w:rsidR="00EA7BC6" w:rsidRPr="005978B5">
        <w:rPr>
          <w:rFonts w:ascii="Arial" w:eastAsiaTheme="majorEastAsia" w:hAnsi="Arial" w:cs="Arial"/>
          <w:sz w:val="22"/>
          <w:szCs w:val="22"/>
        </w:rPr>
        <w:t>,</w:t>
      </w:r>
      <w:r w:rsidRPr="005978B5">
        <w:rPr>
          <w:rFonts w:ascii="Arial" w:eastAsiaTheme="majorEastAsia" w:hAnsi="Arial" w:cs="Arial"/>
          <w:sz w:val="22"/>
          <w:szCs w:val="22"/>
        </w:rPr>
        <w:t xml:space="preserve"> and </w:t>
      </w:r>
      <w:proofErr w:type="spellStart"/>
      <w:r w:rsidRPr="005978B5">
        <w:rPr>
          <w:rFonts w:ascii="Arial" w:eastAsiaTheme="majorEastAsia" w:hAnsi="Arial" w:cs="Arial"/>
          <w:sz w:val="22"/>
          <w:szCs w:val="22"/>
        </w:rPr>
        <w:t>Bowpitt</w:t>
      </w:r>
      <w:proofErr w:type="spellEnd"/>
      <w:r w:rsidRPr="005978B5">
        <w:rPr>
          <w:rFonts w:ascii="Arial" w:eastAsiaTheme="majorEastAsia" w:hAnsi="Arial" w:cs="Arial"/>
          <w:sz w:val="22"/>
          <w:szCs w:val="22"/>
        </w:rPr>
        <w:t xml:space="preserve"> (2022) identified beliefs in witchcraft, ancestral forces, and spiritual punishment and biomedical notions of diabetes. The participants tended to self-treat with traditional remedies and postponed seeking formal help when they were worsening. Such findings suggest that biomedical treatments may not align with the explicatory models of illness in patients. </w:t>
      </w:r>
    </w:p>
    <w:p w14:paraId="454DBBF2" w14:textId="5FD7F1F3" w:rsidR="007D286C" w:rsidRDefault="007A4674" w:rsidP="00354518">
      <w:pPr>
        <w:pStyle w:val="NormalWeb"/>
        <w:spacing w:before="0" w:beforeAutospacing="0" w:after="160" w:afterAutospacing="0" w:line="360" w:lineRule="auto"/>
        <w:jc w:val="both"/>
        <w:rPr>
          <w:rFonts w:ascii="Arial" w:eastAsiaTheme="majorEastAsia" w:hAnsi="Arial" w:cs="Arial"/>
          <w:sz w:val="22"/>
          <w:szCs w:val="22"/>
        </w:rPr>
      </w:pPr>
      <w:r w:rsidRPr="007A4674">
        <w:rPr>
          <w:rFonts w:ascii="Arial" w:eastAsiaTheme="majorEastAsia" w:hAnsi="Arial" w:cs="Arial"/>
          <w:sz w:val="22"/>
          <w:szCs w:val="22"/>
        </w:rPr>
        <w:t xml:space="preserve">Barriers that were identified in the qualitative studies included cultural barriers. These encompassed fatalistic illness beliefs, spiritual explanatory models (Patel et al., 2015b; </w:t>
      </w:r>
      <w:proofErr w:type="spellStart"/>
      <w:r w:rsidRPr="007A4674">
        <w:rPr>
          <w:rFonts w:ascii="Arial" w:eastAsiaTheme="majorEastAsia" w:hAnsi="Arial" w:cs="Arial"/>
          <w:sz w:val="22"/>
          <w:szCs w:val="22"/>
        </w:rPr>
        <w:t>Omodara</w:t>
      </w:r>
      <w:proofErr w:type="spellEnd"/>
      <w:r w:rsidRPr="007A4674">
        <w:rPr>
          <w:rFonts w:ascii="Arial" w:eastAsiaTheme="majorEastAsia" w:hAnsi="Arial" w:cs="Arial"/>
          <w:sz w:val="22"/>
          <w:szCs w:val="22"/>
        </w:rPr>
        <w:t xml:space="preserve"> et al., 2022), religious fasting practices which are not supported by clinically competent guidance (Patel et al., 2015a), problematic dietary norms associated with cultural identity and in conflict with standard NHS advice (Sidhu et al., 2022; Goff et al., 2020b), and stigma and language barriers that hinder help-seeking (</w:t>
      </w:r>
      <w:proofErr w:type="spellStart"/>
      <w:r w:rsidRPr="007A4674">
        <w:rPr>
          <w:rFonts w:ascii="Arial" w:eastAsiaTheme="majorEastAsia" w:hAnsi="Arial" w:cs="Arial"/>
          <w:sz w:val="22"/>
          <w:szCs w:val="22"/>
        </w:rPr>
        <w:t>Pardhan</w:t>
      </w:r>
      <w:proofErr w:type="spellEnd"/>
      <w:r w:rsidRPr="007A4674">
        <w:rPr>
          <w:rFonts w:ascii="Arial" w:eastAsiaTheme="majorEastAsia" w:hAnsi="Arial" w:cs="Arial"/>
          <w:sz w:val="22"/>
          <w:szCs w:val="22"/>
        </w:rPr>
        <w:t xml:space="preserve"> et al., 2020). The barriers are explored in greater depth in relation to the impact on </w:t>
      </w:r>
      <w:r w:rsidR="00B26ED9">
        <w:rPr>
          <w:rFonts w:ascii="Arial" w:eastAsiaTheme="majorEastAsia" w:hAnsi="Arial" w:cs="Arial"/>
          <w:sz w:val="22"/>
          <w:szCs w:val="22"/>
        </w:rPr>
        <w:t>self-management</w:t>
      </w:r>
      <w:r w:rsidRPr="007A4674">
        <w:rPr>
          <w:rFonts w:ascii="Arial" w:eastAsiaTheme="majorEastAsia" w:hAnsi="Arial" w:cs="Arial"/>
          <w:sz w:val="22"/>
          <w:szCs w:val="22"/>
        </w:rPr>
        <w:t xml:space="preserve"> in Section 4.2.2.</w:t>
      </w:r>
    </w:p>
    <w:p w14:paraId="74A83D27" w14:textId="77777777" w:rsidR="00826E04" w:rsidRPr="00826E04" w:rsidRDefault="00826E04">
      <w:pPr>
        <w:spacing w:line="360" w:lineRule="auto"/>
        <w:jc w:val="both"/>
        <w:rPr>
          <w:color w:val="7030A0"/>
          <w:lang w:eastAsia="en-GB"/>
        </w:rPr>
      </w:pPr>
      <w:r w:rsidRPr="002D3BF4">
        <w:rPr>
          <w:rFonts w:ascii="Arial" w:hAnsi="Arial" w:cs="Arial"/>
        </w:rPr>
        <w:t xml:space="preserve">Overall, the mainly qualitative evidence strengthens this theme by providing rich insight into how cultural beliefs, religion, migration experiences, stigma, language barriers and food practices shape T2DM prevention and self-management. These studies are valuable because they explain why standardised NHS advice may not resonate with ethnic minority communities. However, most used small purposive samples from specific communities or local areas, meaning the findings are better understood as transferable rather than statistically </w:t>
      </w:r>
      <w:r w:rsidRPr="002D3BF4">
        <w:rPr>
          <w:rFonts w:ascii="Arial" w:hAnsi="Arial" w:cs="Arial"/>
        </w:rPr>
        <w:lastRenderedPageBreak/>
        <w:t>generalisable. Reliance on self-reported experiences may also introduce recall or response bias, particularly when discussing sensitive issues such as stigma, religious practice or distrust of services. Therefore, the evidence offers strong explanatory depth but should be interpreted cautiously and supported, where possible, by larger mixed-methods or quantitative studies.</w:t>
      </w:r>
    </w:p>
    <w:p w14:paraId="6DD1E285" w14:textId="77777777" w:rsidR="006B583A" w:rsidRPr="005978B5" w:rsidRDefault="006B583A" w:rsidP="006B583A">
      <w:pPr>
        <w:pStyle w:val="NormalWeb"/>
        <w:spacing w:before="0" w:beforeAutospacing="0" w:after="160" w:afterAutospacing="0" w:line="360" w:lineRule="auto"/>
        <w:jc w:val="both"/>
        <w:rPr>
          <w:rFonts w:ascii="Arial" w:hAnsi="Arial" w:cs="Arial"/>
          <w:sz w:val="22"/>
          <w:szCs w:val="22"/>
        </w:rPr>
      </w:pPr>
    </w:p>
    <w:p w14:paraId="52300C27" w14:textId="77777777" w:rsidR="007D286C" w:rsidRPr="005978B5" w:rsidRDefault="007D286C" w:rsidP="000D5E76">
      <w:pPr>
        <w:pStyle w:val="Heading3"/>
      </w:pPr>
      <w:bookmarkStart w:id="41" w:name="_Toc232173689"/>
      <w:r w:rsidRPr="005978B5">
        <w:t>4.1.3 Healthcare system factors</w:t>
      </w:r>
      <w:bookmarkEnd w:id="41"/>
    </w:p>
    <w:p w14:paraId="184F1AD3" w14:textId="008904C2" w:rsidR="007D286C" w:rsidRPr="005978B5" w:rsidRDefault="00BC772D" w:rsidP="00354518">
      <w:pPr>
        <w:spacing w:line="360" w:lineRule="auto"/>
        <w:jc w:val="both"/>
        <w:rPr>
          <w:rFonts w:ascii="Arial" w:hAnsi="Arial" w:cs="Arial"/>
        </w:rPr>
      </w:pPr>
      <w:r w:rsidRPr="005978B5">
        <w:rPr>
          <w:rFonts w:ascii="Arial" w:hAnsi="Arial" w:cs="Arial"/>
        </w:rPr>
        <w:t>The obstacles to the healthcare systems identified in the literature were multi-level and structural barriers to fair access to T2DM prevention and management in ethnic minority adults in the UK. The findings revealed that the constraints in healthcare services were beyond the personal interaction of the clinicians to include the lack of cultural competence, inadequate interpreter services, poor programme design and institutional racism experiences. All these obstacles blocked efficient healthcare use despite evident clinical demand, which represents the Behavioural Model of Health Services Use (Andersen, 1995).</w:t>
      </w:r>
    </w:p>
    <w:p w14:paraId="2DC4BE49" w14:textId="4EC2DB95" w:rsidR="007D286C" w:rsidRPr="005978B5" w:rsidRDefault="00BC772D" w:rsidP="00354518">
      <w:pPr>
        <w:spacing w:line="360" w:lineRule="auto"/>
        <w:jc w:val="both"/>
        <w:rPr>
          <w:rStyle w:val="cursor-pointer"/>
          <w:rFonts w:ascii="Arial" w:hAnsi="Arial" w:cs="Arial"/>
        </w:rPr>
      </w:pPr>
      <w:r w:rsidRPr="005978B5">
        <w:rPr>
          <w:rFonts w:ascii="Arial" w:hAnsi="Arial" w:cs="Arial"/>
        </w:rPr>
        <w:t xml:space="preserve">One common issue in all studies was the lack of cultural competence of health practitioners in diabetes care. Zeh et al. (2016) surveyed primary care diabetes services cross-sectionally and found that resources and training were lacking to deliver culturally modified diabetes education to South Asian patients. Clinicians indicated a lack of clarity in responding to culturally distinct dietary habits, religious beliefs, and perceptions of illnesses in routine care. Likewise, in their qualitative interview-based study of practitioners providing diabetes self-management education and support (DSMES) to Black African and Caribbean peoples, Goff et al. (2020b) found that practitioners lacked culturally competent educational resources and institutional training in culturally responsive care. </w:t>
      </w:r>
    </w:p>
    <w:p w14:paraId="6FC4C1BF" w14:textId="4478546B" w:rsidR="007D286C" w:rsidRPr="005978B5" w:rsidRDefault="00BC772D" w:rsidP="00354518">
      <w:pPr>
        <w:spacing w:line="360" w:lineRule="auto"/>
        <w:jc w:val="both"/>
        <w:rPr>
          <w:rFonts w:ascii="Arial" w:hAnsi="Arial" w:cs="Arial"/>
        </w:rPr>
      </w:pPr>
      <w:r w:rsidRPr="005978B5">
        <w:rPr>
          <w:rFonts w:ascii="Arial" w:hAnsi="Arial" w:cs="Arial"/>
        </w:rPr>
        <w:t xml:space="preserve">Combined, these studies indicate that mainstream NHS diabetes services still place emphasis on standardised models of care that do not consider the needs of ethnically diverse populations sufficiently. Although Zeh et al. (2016) offered more comprehensive service-level data due to the survey methodology, the study was confined to a single UK city. Goff et al. (2020b), in </w:t>
      </w:r>
      <w:r w:rsidR="00EA7BC6" w:rsidRPr="005978B5">
        <w:rPr>
          <w:rFonts w:ascii="Arial" w:hAnsi="Arial" w:cs="Arial"/>
        </w:rPr>
        <w:t>their</w:t>
      </w:r>
      <w:r w:rsidRPr="005978B5">
        <w:rPr>
          <w:rFonts w:ascii="Arial" w:hAnsi="Arial" w:cs="Arial"/>
        </w:rPr>
        <w:t xml:space="preserve"> turn, developed a rich contextual understanding based on qualitative interviews, though the findings could not be generalised. </w:t>
      </w:r>
    </w:p>
    <w:p w14:paraId="6A49A44F" w14:textId="6D48913E" w:rsidR="007D286C" w:rsidRPr="005978B5" w:rsidRDefault="00BC772D" w:rsidP="00354518">
      <w:pPr>
        <w:spacing w:line="360" w:lineRule="auto"/>
        <w:jc w:val="both"/>
        <w:rPr>
          <w:rFonts w:ascii="Arial" w:hAnsi="Arial" w:cs="Arial"/>
        </w:rPr>
      </w:pPr>
      <w:r w:rsidRPr="005978B5">
        <w:rPr>
          <w:rFonts w:ascii="Arial" w:hAnsi="Arial" w:cs="Arial"/>
        </w:rPr>
        <w:t xml:space="preserve">Studies that assess culturally modified interventions also provided supporting evidence of deficiencies in mainstream provision. In a feasibility randomised controlled trial of 55 Black African and Caribbean adults (Goff et al., 2021), the culturally adapted HEAL-D programme enhanced diabetes knowledge, dietary behaviours and self-management confidence. The results were similarly obtained by Low et al. (2024), who also revealed the great engagement and acceptability of the online adaptation of HEAL-D, confirming the potential of culturally </w:t>
      </w:r>
      <w:r w:rsidRPr="005978B5">
        <w:rPr>
          <w:rFonts w:ascii="Arial" w:hAnsi="Arial" w:cs="Arial"/>
        </w:rPr>
        <w:lastRenderedPageBreak/>
        <w:t>responsive digital interventions. These results matter as they show that culturally modified diabetes education can be successfully implemented and it works. The limited sample size of Goff et al. (2021), though, limits the statistical strength and the generalizability of findings. Also, long-term effectiveness and sustainability cannot be identified in feasibility studies. Nevertheless, the success of HEAL-D makes assumptions that culturally-specific services cannot exist within generic NHS provision.</w:t>
      </w:r>
    </w:p>
    <w:p w14:paraId="26316881" w14:textId="0C6AE1CF" w:rsidR="007D286C" w:rsidRPr="005978B5" w:rsidRDefault="00BC772D" w:rsidP="00354518">
      <w:pPr>
        <w:spacing w:line="360" w:lineRule="auto"/>
        <w:jc w:val="both"/>
        <w:rPr>
          <w:rFonts w:ascii="Arial" w:hAnsi="Arial" w:cs="Arial"/>
        </w:rPr>
      </w:pPr>
      <w:r w:rsidRPr="005978B5">
        <w:rPr>
          <w:rFonts w:ascii="Arial" w:hAnsi="Arial" w:cs="Arial"/>
        </w:rPr>
        <w:t xml:space="preserve">There was also poor interpreter support and communication barriers. According to Patel et al. (2015a), low English proficiency among British Muslims decreased the likelihood of knowing pre-Ramadan medical advice and the range of shared decision-making opportunities in clinically high-risk contexts. Similarly, </w:t>
      </w:r>
      <w:proofErr w:type="spellStart"/>
      <w:r w:rsidRPr="005978B5">
        <w:rPr>
          <w:rFonts w:ascii="Arial" w:hAnsi="Arial" w:cs="Arial"/>
        </w:rPr>
        <w:t>Pardhan</w:t>
      </w:r>
      <w:proofErr w:type="spellEnd"/>
      <w:r w:rsidRPr="005978B5">
        <w:rPr>
          <w:rFonts w:ascii="Arial" w:hAnsi="Arial" w:cs="Arial"/>
        </w:rPr>
        <w:t xml:space="preserve"> et al. (2020) found language barriers to be a significant barrier among older South Asian adults who seek to access healthcare systems and diabetes self-management. Such findings suggest that patient education, medication adherence, and patient safety are barriers to communication issues. The two studies had the advantage of qualitative methodologies that led to exploration of patient experiences, though self-reported accounts might be subjective and prone to recall bias. </w:t>
      </w:r>
    </w:p>
    <w:p w14:paraId="5082F5BA" w14:textId="3EBF7409" w:rsidR="007D286C" w:rsidRPr="005978B5" w:rsidRDefault="00BC772D" w:rsidP="00354518">
      <w:pPr>
        <w:spacing w:line="360" w:lineRule="auto"/>
        <w:jc w:val="both"/>
        <w:rPr>
          <w:rFonts w:ascii="Arial" w:hAnsi="Arial" w:cs="Arial"/>
        </w:rPr>
      </w:pPr>
      <w:r w:rsidRPr="005978B5">
        <w:rPr>
          <w:rFonts w:ascii="Arial" w:hAnsi="Arial" w:cs="Arial"/>
        </w:rPr>
        <w:t>Structural inequities were especially vulnerable to the NHS Diabetes Prevention Programme (DPP). Barron et al. (2018) evaluated national data (n=43,603 participants) and found a lower rate of programme completion in relation to Asian and Black participants</w:t>
      </w:r>
      <w:r w:rsidR="00F528DF" w:rsidRPr="005978B5">
        <w:rPr>
          <w:rFonts w:ascii="Arial" w:hAnsi="Arial" w:cs="Arial"/>
        </w:rPr>
        <w:t>,</w:t>
      </w:r>
      <w:r w:rsidRPr="005978B5">
        <w:rPr>
          <w:rFonts w:ascii="Arial" w:hAnsi="Arial" w:cs="Arial"/>
        </w:rPr>
        <w:t xml:space="preserve"> even though both have higher rates of referral. Howarth et al. (2020) also found that geographical distance to the delivery sites was a strong predictor of non-completion. Such studies claim that the NHS DPP is not designed to fairly reflect the logistical realities of the high-risk ethnic minority groups, especially those residing in deprived regions. The reliability and generalisability of these findings are bolstered by the use of large national datasets, but these designs are limited in revealing the lived experiences and motivations of participants to disengage.</w:t>
      </w:r>
    </w:p>
    <w:p w14:paraId="7CF2BA49" w14:textId="30946E02" w:rsidR="00F07758" w:rsidRDefault="000D7F07" w:rsidP="00F07758">
      <w:pPr>
        <w:keepNext/>
        <w:spacing w:line="360" w:lineRule="auto"/>
        <w:jc w:val="both"/>
      </w:pPr>
      <w:r>
        <w:rPr>
          <w:noProof/>
        </w:rPr>
        <w:lastRenderedPageBreak/>
        <w:drawing>
          <wp:inline distT="0" distB="0" distL="0" distR="0" wp14:anchorId="7C99B0DA" wp14:editId="5422F817">
            <wp:extent cx="5731288" cy="4419600"/>
            <wp:effectExtent l="0" t="0" r="3175" b="0"/>
            <wp:docPr id="19286050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a:stretch>
                      <a:fillRect/>
                    </a:stretch>
                  </pic:blipFill>
                  <pic:spPr bwMode="auto">
                    <a:xfrm>
                      <a:off x="0" y="0"/>
                      <a:ext cx="5731510" cy="4419771"/>
                    </a:xfrm>
                    <a:prstGeom prst="rect">
                      <a:avLst/>
                    </a:prstGeom>
                    <a:noFill/>
                    <a:ln>
                      <a:noFill/>
                    </a:ln>
                    <a:extLst>
                      <a:ext uri="{53640926-AAD7-44D8-BBD7-CCE9431645EC}">
                        <a14:shadowObscured xmlns:a14="http://schemas.microsoft.com/office/drawing/2010/main"/>
                      </a:ext>
                    </a:extLst>
                  </pic:spPr>
                </pic:pic>
              </a:graphicData>
            </a:graphic>
          </wp:inline>
        </w:drawing>
      </w:r>
    </w:p>
    <w:p w14:paraId="10E9BCCD" w14:textId="7A69D11D" w:rsidR="00EF0D46" w:rsidRPr="00F07758" w:rsidRDefault="00F07758" w:rsidP="00363C9B">
      <w:pPr>
        <w:pStyle w:val="Caption"/>
        <w:jc w:val="center"/>
        <w:rPr>
          <w:rFonts w:ascii="Arial" w:hAnsi="Arial" w:cs="Arial"/>
        </w:rPr>
      </w:pPr>
      <w:bookmarkStart w:id="42" w:name="_Toc232173137"/>
      <w:r w:rsidRPr="00F07758">
        <w:rPr>
          <w:rFonts w:ascii="Arial" w:hAnsi="Arial" w:cs="Arial"/>
        </w:rPr>
        <w:t xml:space="preserve">Figure </w:t>
      </w:r>
      <w:r w:rsidRPr="00F07758">
        <w:rPr>
          <w:rFonts w:ascii="Arial" w:hAnsi="Arial" w:cs="Arial"/>
        </w:rPr>
        <w:fldChar w:fldCharType="begin"/>
      </w:r>
      <w:r w:rsidRPr="00F07758">
        <w:rPr>
          <w:rFonts w:ascii="Arial" w:hAnsi="Arial" w:cs="Arial"/>
        </w:rPr>
        <w:instrText xml:space="preserve"> SEQ Figure \* ARABIC </w:instrText>
      </w:r>
      <w:r w:rsidRPr="00F07758">
        <w:rPr>
          <w:rFonts w:ascii="Arial" w:hAnsi="Arial" w:cs="Arial"/>
        </w:rPr>
        <w:fldChar w:fldCharType="separate"/>
      </w:r>
      <w:r w:rsidRPr="00F07758">
        <w:rPr>
          <w:rFonts w:ascii="Arial" w:hAnsi="Arial" w:cs="Arial"/>
          <w:noProof/>
        </w:rPr>
        <w:t>3</w:t>
      </w:r>
      <w:r w:rsidRPr="00F07758">
        <w:rPr>
          <w:rFonts w:ascii="Arial" w:hAnsi="Arial" w:cs="Arial"/>
        </w:rPr>
        <w:fldChar w:fldCharType="end"/>
      </w:r>
      <w:r w:rsidRPr="00F07758">
        <w:rPr>
          <w:rFonts w:ascii="Arial" w:hAnsi="Arial" w:cs="Arial"/>
        </w:rPr>
        <w:t>: Illustrative comparison of NHS DPP referral and programme completion rates by ethnic group. Based on directional findings reported by Barron et al. (2018; n = 43,603) and Howarth et al. (2020; n = 99,473). Bar proportions represent relative patterns, not exact percentages</w:t>
      </w:r>
      <w:bookmarkEnd w:id="42"/>
      <w:r w:rsidR="00B26ED9">
        <w:rPr>
          <w:rFonts w:ascii="Arial" w:hAnsi="Arial" w:cs="Arial"/>
        </w:rPr>
        <w:t>.</w:t>
      </w:r>
    </w:p>
    <w:p w14:paraId="4B19CABE" w14:textId="35B50C96" w:rsidR="007D286C" w:rsidRPr="005978B5" w:rsidRDefault="0025209B" w:rsidP="00354518">
      <w:pPr>
        <w:spacing w:line="360" w:lineRule="auto"/>
        <w:jc w:val="both"/>
        <w:rPr>
          <w:rFonts w:ascii="Arial" w:hAnsi="Arial" w:cs="Arial"/>
        </w:rPr>
      </w:pPr>
      <w:r w:rsidRPr="0025209B">
        <w:rPr>
          <w:rFonts w:ascii="Arial" w:hAnsi="Arial" w:cs="Arial"/>
        </w:rPr>
        <w:t>Figure 3 illustrates the structural gap between referral and completion, confirming that high clinical risk in ethnic minority populations does not translate into equitable programme engagement when enabling barriers remain unaddressed.</w:t>
      </w:r>
      <w:r>
        <w:rPr>
          <w:rFonts w:ascii="Arial" w:hAnsi="Arial" w:cs="Arial"/>
        </w:rPr>
        <w:t xml:space="preserve"> </w:t>
      </w:r>
      <w:r w:rsidR="00BC772D" w:rsidRPr="005978B5">
        <w:rPr>
          <w:rFonts w:ascii="Arial" w:hAnsi="Arial" w:cs="Arial"/>
        </w:rPr>
        <w:t xml:space="preserve">Institutional racism and distrust were also factors that affected healthcare engagement. According to </w:t>
      </w:r>
      <w:proofErr w:type="spellStart"/>
      <w:r w:rsidR="00BC772D" w:rsidRPr="005978B5">
        <w:rPr>
          <w:rFonts w:ascii="Arial" w:hAnsi="Arial" w:cs="Arial"/>
        </w:rPr>
        <w:t>Omodara</w:t>
      </w:r>
      <w:proofErr w:type="spellEnd"/>
      <w:r w:rsidR="00BC772D" w:rsidRPr="005978B5">
        <w:rPr>
          <w:rFonts w:ascii="Arial" w:hAnsi="Arial" w:cs="Arial"/>
        </w:rPr>
        <w:t xml:space="preserve">, Gibson and </w:t>
      </w:r>
      <w:proofErr w:type="spellStart"/>
      <w:r w:rsidR="00BC772D" w:rsidRPr="005978B5">
        <w:rPr>
          <w:rFonts w:ascii="Arial" w:hAnsi="Arial" w:cs="Arial"/>
        </w:rPr>
        <w:t>Bowpitt</w:t>
      </w:r>
      <w:proofErr w:type="spellEnd"/>
      <w:r w:rsidR="00BC772D" w:rsidRPr="005978B5">
        <w:rPr>
          <w:rFonts w:ascii="Arial" w:hAnsi="Arial" w:cs="Arial"/>
        </w:rPr>
        <w:t xml:space="preserve"> (2022), Black sub-Saharan African participants reported their experiences of cultural insensitivity and perceived discrimination in healthcare encounters, which also led to distrust of the services</w:t>
      </w:r>
      <w:r w:rsidR="00D15E9E" w:rsidRPr="005978B5">
        <w:rPr>
          <w:rFonts w:ascii="Arial" w:hAnsi="Arial" w:cs="Arial"/>
        </w:rPr>
        <w:t xml:space="preserve"> (Ekezie et al., 2024).</w:t>
      </w:r>
      <w:r w:rsidR="00BC772D" w:rsidRPr="005978B5">
        <w:rPr>
          <w:rFonts w:ascii="Arial" w:hAnsi="Arial" w:cs="Arial"/>
        </w:rPr>
        <w:t xml:space="preserve"> Patel et al. (2015b) also discovered that South Asian participants perceived that their cultural conceptualisations of illness were ignored in meetings. Based on these qualitative findings, using longitudinal patient data of 162,238 adults with T2DM across 27 years (1990-2017), Mathur et al. (2020) found enduring ethnic disparities in treatment initiation and intensification after controlling for clinical factors. The large longitudinal data confirm the soundness of this evidence and suggest that inequities cannot be reduced to clinical need.</w:t>
      </w:r>
    </w:p>
    <w:p w14:paraId="3BEDA10F" w14:textId="77777777" w:rsidR="00863A8C" w:rsidRPr="005978B5" w:rsidRDefault="00863A8C" w:rsidP="00354518">
      <w:pPr>
        <w:pStyle w:val="Heading2"/>
        <w:spacing w:after="160" w:line="360" w:lineRule="auto"/>
        <w:jc w:val="both"/>
        <w:rPr>
          <w:rFonts w:ascii="Arial" w:hAnsi="Arial" w:cs="Arial"/>
          <w:sz w:val="22"/>
        </w:rPr>
      </w:pPr>
    </w:p>
    <w:p w14:paraId="3783C3A0" w14:textId="33C5878B" w:rsidR="007D286C" w:rsidRPr="005978B5" w:rsidRDefault="007D286C" w:rsidP="00354518">
      <w:pPr>
        <w:pStyle w:val="Heading2"/>
        <w:spacing w:line="360" w:lineRule="auto"/>
        <w:jc w:val="both"/>
        <w:rPr>
          <w:rFonts w:ascii="Arial" w:hAnsi="Arial" w:cs="Arial"/>
          <w:sz w:val="22"/>
        </w:rPr>
      </w:pPr>
      <w:bookmarkStart w:id="43" w:name="_Toc232173690"/>
      <w:r w:rsidRPr="005978B5">
        <w:rPr>
          <w:rFonts w:ascii="Arial" w:hAnsi="Arial" w:cs="Arial"/>
          <w:sz w:val="22"/>
        </w:rPr>
        <w:t>4.2: Impact of barriers</w:t>
      </w:r>
      <w:bookmarkEnd w:id="43"/>
    </w:p>
    <w:p w14:paraId="54F49A7B" w14:textId="6C043F0C" w:rsidR="007D286C" w:rsidRPr="005978B5" w:rsidRDefault="00BC772D" w:rsidP="00354518">
      <w:pPr>
        <w:pStyle w:val="font-claude-response-body"/>
        <w:spacing w:before="0" w:beforeAutospacing="0" w:after="160" w:afterAutospacing="0" w:line="360" w:lineRule="auto"/>
        <w:jc w:val="both"/>
        <w:rPr>
          <w:rStyle w:val="cursor-pointer"/>
          <w:rFonts w:ascii="Arial" w:eastAsiaTheme="majorEastAsia" w:hAnsi="Arial" w:cs="Arial"/>
          <w:sz w:val="22"/>
          <w:szCs w:val="22"/>
          <w:lang w:val="en-GB"/>
        </w:rPr>
      </w:pPr>
      <w:r w:rsidRPr="005978B5">
        <w:rPr>
          <w:rFonts w:ascii="Arial" w:eastAsiaTheme="majorEastAsia" w:hAnsi="Arial" w:cs="Arial"/>
          <w:sz w:val="22"/>
          <w:szCs w:val="22"/>
          <w:lang w:val="en-GB"/>
        </w:rPr>
        <w:t xml:space="preserve">The socioeconomic, cultural and healthcare system barriers outlined in Section 4.1 do not act independently; instead, when they intersect, they result in quantifiable effects on the ability of ethnic minority adults to access prevention services, self-management behaviours and effective use of healthcare. The section will address how these barriers contribute to the reduction in programme attendance and poor self-management </w:t>
      </w:r>
      <w:r w:rsidR="00F528DF" w:rsidRPr="005978B5">
        <w:rPr>
          <w:rFonts w:ascii="Arial" w:eastAsiaTheme="majorEastAsia" w:hAnsi="Arial" w:cs="Arial"/>
          <w:sz w:val="22"/>
          <w:szCs w:val="22"/>
          <w:lang w:val="en-GB"/>
        </w:rPr>
        <w:t>habits</w:t>
      </w:r>
      <w:r w:rsidRPr="005978B5">
        <w:rPr>
          <w:rFonts w:ascii="Arial" w:eastAsiaTheme="majorEastAsia" w:hAnsi="Arial" w:cs="Arial"/>
          <w:sz w:val="22"/>
          <w:szCs w:val="22"/>
          <w:lang w:val="en-GB"/>
        </w:rPr>
        <w:t xml:space="preserve"> using quantitative and qualitative research.</w:t>
      </w:r>
    </w:p>
    <w:p w14:paraId="3EF0A1FA" w14:textId="77777777" w:rsidR="00863A8C" w:rsidRPr="005978B5" w:rsidRDefault="00863A8C" w:rsidP="00354518">
      <w:pPr>
        <w:pStyle w:val="font-claude-response-body"/>
        <w:spacing w:before="0" w:beforeAutospacing="0" w:after="160" w:afterAutospacing="0" w:line="360" w:lineRule="auto"/>
        <w:jc w:val="both"/>
        <w:rPr>
          <w:rFonts w:ascii="Arial" w:hAnsi="Arial" w:cs="Arial"/>
          <w:sz w:val="22"/>
          <w:szCs w:val="22"/>
          <w:lang w:val="en-GB"/>
        </w:rPr>
      </w:pPr>
    </w:p>
    <w:p w14:paraId="46D733DB" w14:textId="4B21DD8C" w:rsidR="007D286C" w:rsidRPr="00D9716E" w:rsidRDefault="00D9716E" w:rsidP="00D9716E">
      <w:pPr>
        <w:pStyle w:val="Heading3"/>
      </w:pPr>
      <w:bookmarkStart w:id="44" w:name="_Toc232173691"/>
      <w:r w:rsidRPr="00D9716E">
        <w:t>4.2.</w:t>
      </w:r>
      <w:r w:rsidR="007D286C" w:rsidRPr="00D9716E">
        <w:rPr>
          <w:rStyle w:val="Strong"/>
          <w:b/>
          <w:bCs/>
        </w:rPr>
        <w:t>1: Impact on Prevention and Programme Engagement</w:t>
      </w:r>
      <w:bookmarkEnd w:id="44"/>
    </w:p>
    <w:p w14:paraId="48ED23DC" w14:textId="4265D00A"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The interplay between socioeconomic and structural factors largely diminished participation in the NHS Diabetes Prevention Programme (DPP) among ethnic minorities. Barron et al. (2018) found that, even with the higher referral rates, Black and Asian participants were </w:t>
      </w:r>
      <w:r w:rsidR="00F528DF" w:rsidRPr="005978B5">
        <w:rPr>
          <w:rFonts w:ascii="Arial" w:eastAsiaTheme="majorEastAsia" w:hAnsi="Arial" w:cs="Arial"/>
          <w:sz w:val="22"/>
          <w:szCs w:val="22"/>
          <w:lang w:val="en-GB"/>
        </w:rPr>
        <w:t>less</w:t>
      </w:r>
      <w:r w:rsidRPr="005978B5">
        <w:rPr>
          <w:rFonts w:ascii="Arial" w:eastAsiaTheme="majorEastAsia" w:hAnsi="Arial" w:cs="Arial"/>
          <w:sz w:val="22"/>
          <w:szCs w:val="22"/>
          <w:lang w:val="en-GB"/>
        </w:rPr>
        <w:t xml:space="preserve"> likely to be in programmes </w:t>
      </w:r>
      <w:r w:rsidR="00F528DF" w:rsidRPr="005978B5">
        <w:rPr>
          <w:rFonts w:ascii="Arial" w:eastAsiaTheme="majorEastAsia" w:hAnsi="Arial" w:cs="Arial"/>
          <w:sz w:val="22"/>
          <w:szCs w:val="22"/>
          <w:lang w:val="en-GB"/>
        </w:rPr>
        <w:t>among</w:t>
      </w:r>
      <w:r w:rsidRPr="005978B5">
        <w:rPr>
          <w:rFonts w:ascii="Arial" w:eastAsiaTheme="majorEastAsia" w:hAnsi="Arial" w:cs="Arial"/>
          <w:sz w:val="22"/>
          <w:szCs w:val="22"/>
          <w:lang w:val="en-GB"/>
        </w:rPr>
        <w:t xml:space="preserve"> 43,603 participants of </w:t>
      </w:r>
      <w:r w:rsidR="00F528DF" w:rsidRPr="005978B5">
        <w:rPr>
          <w:rFonts w:ascii="Arial" w:eastAsiaTheme="majorEastAsia" w:hAnsi="Arial" w:cs="Arial"/>
          <w:sz w:val="22"/>
          <w:szCs w:val="22"/>
          <w:lang w:val="en-GB"/>
        </w:rPr>
        <w:t xml:space="preserve">the </w:t>
      </w:r>
      <w:r w:rsidRPr="005978B5">
        <w:rPr>
          <w:rFonts w:ascii="Arial" w:eastAsiaTheme="majorEastAsia" w:hAnsi="Arial" w:cs="Arial"/>
          <w:sz w:val="22"/>
          <w:szCs w:val="22"/>
          <w:lang w:val="en-GB"/>
        </w:rPr>
        <w:t>national data. This gap indicates that the impediments apparent at the identification stage, such as inflexible employment, caring roles and inadequate cultural accommodation of programme content, directly translated into reduced prevention benefit. The large national sample makes these results more applicable, yet the quantitative design did not allow the study of the personal causes of non-completion, which would give a more comprehensive understanding of the disengagement mechanisms.</w:t>
      </w:r>
    </w:p>
    <w:p w14:paraId="4C859DD1" w14:textId="5E0AF63D"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A study of 99,473 NHS DPP referrals (Howarth et al., 2020) further showed that the geographical distance between delivery sites was a significant predictor of non-completion, indicating that structural inaccessibility was a key way in which deprivation influenced programme participation. Taking the results of both Barron et al. (2018) and Howarth et al. (2020), the NHS DPP did not successfully transfer the identification to equitable involvement among the riskiest people. The benefit of the two studies is the large datasets, which were nationally representative, but the routine programme data did not enable them to analyse the interacting personal, cultural and logistical factors that led to individual decisions of disengagement.</w:t>
      </w:r>
    </w:p>
    <w:p w14:paraId="3D042E2C" w14:textId="5F97E496" w:rsidR="007D286C" w:rsidRPr="005978B5" w:rsidRDefault="004210CC" w:rsidP="00354518">
      <w:pPr>
        <w:pStyle w:val="font-claude-response-body"/>
        <w:spacing w:before="0" w:beforeAutospacing="0" w:after="160" w:afterAutospacing="0" w:line="360" w:lineRule="auto"/>
        <w:jc w:val="both"/>
        <w:rPr>
          <w:rStyle w:val="cursor-pointer"/>
          <w:rFonts w:ascii="Arial" w:eastAsiaTheme="majorEastAsia" w:hAnsi="Arial" w:cs="Arial"/>
          <w:sz w:val="22"/>
          <w:szCs w:val="22"/>
          <w:lang w:val="en-GB"/>
        </w:rPr>
      </w:pPr>
      <w:r w:rsidRPr="005978B5">
        <w:rPr>
          <w:rFonts w:ascii="Arial" w:eastAsiaTheme="majorEastAsia" w:hAnsi="Arial" w:cs="Arial"/>
          <w:sz w:val="22"/>
          <w:szCs w:val="22"/>
          <w:lang w:val="en-GB"/>
        </w:rPr>
        <w:t xml:space="preserve">The role of cultural and healthcare system obstacles in the involvement in diabetes self-management education and support (DSMES) was also evident. In qualitative interviews with practitioners and patients in inner London, Goff et al. (2020b) discovered that disengagement of the patient with the mainstream DSMES was directly linked to the lack of materials and dietary advice that were culturally adapted to align with Black African and Caribbean food practices. Practitioners themselves admitted that standardised resources did not consider the </w:t>
      </w:r>
      <w:r w:rsidRPr="005978B5">
        <w:rPr>
          <w:rFonts w:ascii="Arial" w:eastAsiaTheme="majorEastAsia" w:hAnsi="Arial" w:cs="Arial"/>
          <w:sz w:val="22"/>
          <w:szCs w:val="22"/>
          <w:lang w:val="en-GB"/>
        </w:rPr>
        <w:lastRenderedPageBreak/>
        <w:t>cultural context of patients, and some patients did not come back after the first sessions when their advice was viewed as inappropriate or irrelevant. Although the qualitative design produced deep insight into service-level failures, results based on a geographically localised sample of London might not be representative of the experiences of ethnic minority communities in other areas of the UK. On the same note, Zeh et al. (2016) established that lack of cultural competence among the primary care staff led to poor quality and relevance of diabetes consultations among South Asian patients, with practitioners citing lack of confidence in discussing illness beliefs and dietary norms. These findings</w:t>
      </w:r>
      <w:r w:rsidR="008F78F6" w:rsidRPr="005978B5">
        <w:rPr>
          <w:rFonts w:ascii="Arial" w:eastAsiaTheme="majorEastAsia" w:hAnsi="Arial" w:cs="Arial"/>
          <w:sz w:val="22"/>
          <w:szCs w:val="22"/>
          <w:lang w:val="en-GB"/>
        </w:rPr>
        <w:t>,</w:t>
      </w:r>
      <w:r w:rsidRPr="005978B5">
        <w:rPr>
          <w:rFonts w:ascii="Arial" w:eastAsiaTheme="majorEastAsia" w:hAnsi="Arial" w:cs="Arial"/>
          <w:sz w:val="22"/>
          <w:szCs w:val="22"/>
          <w:lang w:val="en-GB"/>
        </w:rPr>
        <w:t xml:space="preserve"> though pointing to systemic failures in service delivery</w:t>
      </w:r>
      <w:r w:rsidR="008F78F6" w:rsidRPr="005978B5">
        <w:rPr>
          <w:rFonts w:ascii="Arial" w:eastAsiaTheme="majorEastAsia" w:hAnsi="Arial" w:cs="Arial"/>
          <w:sz w:val="22"/>
          <w:szCs w:val="22"/>
          <w:lang w:val="en-GB"/>
        </w:rPr>
        <w:t>,</w:t>
      </w:r>
      <w:r w:rsidRPr="005978B5">
        <w:rPr>
          <w:rFonts w:ascii="Arial" w:eastAsiaTheme="majorEastAsia" w:hAnsi="Arial" w:cs="Arial"/>
          <w:sz w:val="22"/>
          <w:szCs w:val="22"/>
          <w:lang w:val="en-GB"/>
        </w:rPr>
        <w:t xml:space="preserve"> are limited to one city in the UK</w:t>
      </w:r>
      <w:r w:rsidR="008F78F6" w:rsidRPr="005978B5">
        <w:rPr>
          <w:rFonts w:ascii="Arial" w:eastAsiaTheme="majorEastAsia" w:hAnsi="Arial" w:cs="Arial"/>
          <w:sz w:val="22"/>
          <w:szCs w:val="22"/>
          <w:lang w:val="en-GB"/>
        </w:rPr>
        <w:t>,</w:t>
      </w:r>
      <w:r w:rsidRPr="005978B5">
        <w:rPr>
          <w:rFonts w:ascii="Arial" w:eastAsiaTheme="majorEastAsia" w:hAnsi="Arial" w:cs="Arial"/>
          <w:sz w:val="22"/>
          <w:szCs w:val="22"/>
          <w:lang w:val="en-GB"/>
        </w:rPr>
        <w:t xml:space="preserve"> thus making it impossible to generalise.</w:t>
      </w:r>
    </w:p>
    <w:p w14:paraId="607E025C" w14:textId="77777777" w:rsidR="00863A8C" w:rsidRPr="005978B5" w:rsidRDefault="00863A8C" w:rsidP="00354518">
      <w:pPr>
        <w:pStyle w:val="font-claude-response-body"/>
        <w:spacing w:before="0" w:beforeAutospacing="0" w:after="160" w:afterAutospacing="0" w:line="360" w:lineRule="auto"/>
        <w:jc w:val="both"/>
        <w:rPr>
          <w:rFonts w:ascii="Arial" w:hAnsi="Arial" w:cs="Arial"/>
          <w:sz w:val="22"/>
          <w:szCs w:val="22"/>
          <w:lang w:val="en-GB"/>
        </w:rPr>
      </w:pPr>
    </w:p>
    <w:p w14:paraId="646C2041" w14:textId="4135A7BC" w:rsidR="007D286C" w:rsidRPr="00D9716E" w:rsidRDefault="00D9716E" w:rsidP="00D9716E">
      <w:pPr>
        <w:pStyle w:val="Heading3"/>
      </w:pPr>
      <w:bookmarkStart w:id="45" w:name="_Toc232173692"/>
      <w:r w:rsidRPr="00F56568">
        <w:t>4.2.</w:t>
      </w:r>
      <w:r w:rsidR="007D286C" w:rsidRPr="00F56568">
        <w:t>2</w:t>
      </w:r>
      <w:r w:rsidR="007D286C" w:rsidRPr="00D9716E">
        <w:t>: Impact on Self-Management Behaviours and Help-Seeking</w:t>
      </w:r>
      <w:bookmarkEnd w:id="45"/>
    </w:p>
    <w:p w14:paraId="231E4863" w14:textId="0C3E8006"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Obstacles to effective self-management were consistently found in qualitative research, and the data showed that the combination of socioeconomic pressures, cultural beliefs and healthcare system failures impaired the ability of individuals to carry out recommended behaviours. Patel et al. (2015b) in a qualitative study of British South Asian adults found that long working hours, physical job demands and absence of annual leave did not permit regular attendance of diabetes education programmes and </w:t>
      </w:r>
      <w:r w:rsidR="00F528DF" w:rsidRPr="005978B5">
        <w:rPr>
          <w:rFonts w:ascii="Arial" w:eastAsiaTheme="majorEastAsia" w:hAnsi="Arial" w:cs="Arial"/>
          <w:sz w:val="22"/>
          <w:szCs w:val="22"/>
          <w:lang w:val="en-GB"/>
        </w:rPr>
        <w:t>organised</w:t>
      </w:r>
      <w:r w:rsidRPr="005978B5">
        <w:rPr>
          <w:rFonts w:ascii="Arial" w:eastAsiaTheme="majorEastAsia" w:hAnsi="Arial" w:cs="Arial"/>
          <w:sz w:val="22"/>
          <w:szCs w:val="22"/>
          <w:lang w:val="en-GB"/>
        </w:rPr>
        <w:t xml:space="preserve"> physical activity. The budget also limited dietary change, and the respondents admitted that the proposed foods and household budgets did not match. The results assist in illuminating the role of structural and economic constraints in restricting behaviour change at an individual level</w:t>
      </w:r>
      <w:r w:rsidR="00F528DF" w:rsidRPr="005978B5">
        <w:rPr>
          <w:rFonts w:ascii="Arial" w:eastAsiaTheme="majorEastAsia" w:hAnsi="Arial" w:cs="Arial"/>
          <w:sz w:val="22"/>
          <w:szCs w:val="22"/>
          <w:lang w:val="en-GB"/>
        </w:rPr>
        <w:t>,</w:t>
      </w:r>
      <w:r w:rsidRPr="005978B5">
        <w:rPr>
          <w:rFonts w:ascii="Arial" w:eastAsiaTheme="majorEastAsia" w:hAnsi="Arial" w:cs="Arial"/>
          <w:sz w:val="22"/>
          <w:szCs w:val="22"/>
          <w:lang w:val="en-GB"/>
        </w:rPr>
        <w:t xml:space="preserve"> even when there is motivation and awareness. The qualitative method is suitable to delve into the lived experiences of the participants; however, the sample is rather small, and the study is culturally context-specific, which limits the ability to </w:t>
      </w:r>
      <w:r w:rsidR="00F528DF" w:rsidRPr="005978B5">
        <w:rPr>
          <w:rFonts w:ascii="Arial" w:eastAsiaTheme="majorEastAsia" w:hAnsi="Arial" w:cs="Arial"/>
          <w:sz w:val="22"/>
          <w:szCs w:val="22"/>
          <w:lang w:val="en-GB"/>
        </w:rPr>
        <w:t>generalise</w:t>
      </w:r>
      <w:r w:rsidRPr="005978B5">
        <w:rPr>
          <w:rFonts w:ascii="Arial" w:eastAsiaTheme="majorEastAsia" w:hAnsi="Arial" w:cs="Arial"/>
          <w:sz w:val="22"/>
          <w:szCs w:val="22"/>
          <w:lang w:val="en-GB"/>
        </w:rPr>
        <w:t xml:space="preserve"> to other ethnic minorities.</w:t>
      </w:r>
    </w:p>
    <w:p w14:paraId="5BCBD195" w14:textId="01007A0A"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The cultural illness beliefs directly influenced the help-seeking behaviours and safety of self-management practices. </w:t>
      </w:r>
      <w:proofErr w:type="spellStart"/>
      <w:r w:rsidRPr="005978B5">
        <w:rPr>
          <w:rFonts w:ascii="Arial" w:eastAsiaTheme="majorEastAsia" w:hAnsi="Arial" w:cs="Arial"/>
          <w:sz w:val="22"/>
          <w:szCs w:val="22"/>
          <w:lang w:val="en-GB"/>
        </w:rPr>
        <w:t>Omodara</w:t>
      </w:r>
      <w:proofErr w:type="spellEnd"/>
      <w:r w:rsidRPr="005978B5">
        <w:rPr>
          <w:rFonts w:ascii="Arial" w:eastAsiaTheme="majorEastAsia" w:hAnsi="Arial" w:cs="Arial"/>
          <w:sz w:val="22"/>
          <w:szCs w:val="22"/>
          <w:lang w:val="en-GB"/>
        </w:rPr>
        <w:t xml:space="preserve">, Gibson and </w:t>
      </w:r>
      <w:proofErr w:type="spellStart"/>
      <w:r w:rsidRPr="005978B5">
        <w:rPr>
          <w:rFonts w:ascii="Arial" w:eastAsiaTheme="majorEastAsia" w:hAnsi="Arial" w:cs="Arial"/>
          <w:sz w:val="22"/>
          <w:szCs w:val="22"/>
          <w:lang w:val="en-GB"/>
        </w:rPr>
        <w:t>Bowpitt</w:t>
      </w:r>
      <w:proofErr w:type="spellEnd"/>
      <w:r w:rsidRPr="005978B5">
        <w:rPr>
          <w:rFonts w:ascii="Arial" w:eastAsiaTheme="majorEastAsia" w:hAnsi="Arial" w:cs="Arial"/>
          <w:sz w:val="22"/>
          <w:szCs w:val="22"/>
          <w:lang w:val="en-GB"/>
        </w:rPr>
        <w:t xml:space="preserve"> (2022) found that black sub-Saharan African patients in the UK tended to use traditional remedies with prescribed medication and delayed the necessity to seek professional assistance during the time of clinical deterioration due to the spiritual explanatory model and institutional distrust. Such a trend of using remedies concurrently creates pharmacological interaction risks, which are not adequately considered in the mainstream NHS primary care guidelines. Similarly, </w:t>
      </w:r>
      <w:proofErr w:type="spellStart"/>
      <w:r w:rsidRPr="005978B5">
        <w:rPr>
          <w:rFonts w:ascii="Arial" w:eastAsiaTheme="majorEastAsia" w:hAnsi="Arial" w:cs="Arial"/>
          <w:sz w:val="22"/>
          <w:szCs w:val="22"/>
          <w:lang w:val="en-GB"/>
        </w:rPr>
        <w:t>Alloh</w:t>
      </w:r>
      <w:proofErr w:type="spellEnd"/>
      <w:r w:rsidRPr="005978B5">
        <w:rPr>
          <w:rFonts w:ascii="Arial" w:eastAsiaTheme="majorEastAsia" w:hAnsi="Arial" w:cs="Arial"/>
          <w:sz w:val="22"/>
          <w:szCs w:val="22"/>
          <w:lang w:val="en-GB"/>
        </w:rPr>
        <w:t xml:space="preserve"> et al. (2019) found that the West African immigrants who had T2DM tended to normalise symptoms until diagnosis due to health beliefs that were shaped by the pre-migration experiences and consequently resulted in late help-seeking and late presentation. Although both studies give a very rich qualitative </w:t>
      </w:r>
      <w:r w:rsidRPr="005978B5">
        <w:rPr>
          <w:rFonts w:ascii="Arial" w:eastAsiaTheme="majorEastAsia" w:hAnsi="Arial" w:cs="Arial"/>
          <w:sz w:val="22"/>
          <w:szCs w:val="22"/>
          <w:lang w:val="en-GB"/>
        </w:rPr>
        <w:lastRenderedPageBreak/>
        <w:t>evidence, the sample sizes are small and culturally specific, making it difficult to extrapolate the results to the entire population of Black African communities in the UK.</w:t>
      </w:r>
    </w:p>
    <w:p w14:paraId="3534363E" w14:textId="448036B0" w:rsidR="007D286C" w:rsidRPr="005978B5" w:rsidRDefault="004210CC" w:rsidP="00354518">
      <w:pPr>
        <w:pStyle w:val="font-claude-response-body"/>
        <w:spacing w:before="0" w:beforeAutospacing="0" w:after="160" w:afterAutospacing="0" w:line="360" w:lineRule="auto"/>
        <w:jc w:val="both"/>
        <w:rPr>
          <w:rStyle w:val="cursor-pointer"/>
          <w:rFonts w:ascii="Arial" w:eastAsiaTheme="majorEastAsia" w:hAnsi="Arial" w:cs="Arial"/>
          <w:sz w:val="22"/>
          <w:szCs w:val="22"/>
          <w:lang w:val="en-GB"/>
        </w:rPr>
      </w:pPr>
      <w:r w:rsidRPr="005978B5">
        <w:rPr>
          <w:rFonts w:ascii="Arial" w:eastAsiaTheme="majorEastAsia" w:hAnsi="Arial" w:cs="Arial"/>
          <w:sz w:val="22"/>
          <w:szCs w:val="22"/>
          <w:lang w:val="en-GB"/>
        </w:rPr>
        <w:t xml:space="preserve">The risk of inadequate clinical guidance in self-management safety was particularly heightened when it came to British Muslim participants. According to Patel et al. (2015a), non-adherents of structured pre-Ramadan clinical care missed the medication intake and suffered hypoglycaemia and hyperglycaemia at least 18 hours of fasting. This is a first-order and avoidable patient safety outcome of the healthcare system's failure to support religious practice in clinical practice. Though the qualitative design of the study gave a rich account of the experiences and priorities of the participants, self-reporting of clinical events can be affected by recall inaccuracy. As </w:t>
      </w:r>
      <w:proofErr w:type="spellStart"/>
      <w:r w:rsidRPr="005978B5">
        <w:rPr>
          <w:rFonts w:ascii="Arial" w:eastAsiaTheme="majorEastAsia" w:hAnsi="Arial" w:cs="Arial"/>
          <w:sz w:val="22"/>
          <w:szCs w:val="22"/>
          <w:lang w:val="en-GB"/>
        </w:rPr>
        <w:t>Pardhan</w:t>
      </w:r>
      <w:proofErr w:type="spellEnd"/>
      <w:r w:rsidRPr="005978B5">
        <w:rPr>
          <w:rFonts w:ascii="Arial" w:eastAsiaTheme="majorEastAsia" w:hAnsi="Arial" w:cs="Arial"/>
          <w:sz w:val="22"/>
          <w:szCs w:val="22"/>
          <w:lang w:val="en-GB"/>
        </w:rPr>
        <w:t xml:space="preserve"> et al. (2020) showed, insufficient health literacy among South Asian adults minimised the ability to process clinical data and demand care, and the participants noted that they struggled with learning how to take treatment and find appointment systems on their own. Similarly, Sidhu, </w:t>
      </w:r>
      <w:proofErr w:type="spellStart"/>
      <w:r w:rsidRPr="005978B5">
        <w:rPr>
          <w:rFonts w:ascii="Arial" w:eastAsiaTheme="majorEastAsia" w:hAnsi="Arial" w:cs="Arial"/>
          <w:sz w:val="22"/>
          <w:szCs w:val="22"/>
          <w:lang w:val="en-GB"/>
        </w:rPr>
        <w:t>Lemetyinen</w:t>
      </w:r>
      <w:proofErr w:type="spellEnd"/>
      <w:r w:rsidRPr="005978B5">
        <w:rPr>
          <w:rFonts w:ascii="Arial" w:eastAsiaTheme="majorEastAsia" w:hAnsi="Arial" w:cs="Arial"/>
          <w:sz w:val="22"/>
          <w:szCs w:val="22"/>
          <w:lang w:val="en-GB"/>
        </w:rPr>
        <w:t xml:space="preserve"> and Edge (2022) established that dietary self-management was compromised by </w:t>
      </w:r>
      <w:r w:rsidR="00F528DF" w:rsidRPr="005978B5">
        <w:rPr>
          <w:rFonts w:ascii="Arial" w:eastAsiaTheme="majorEastAsia" w:hAnsi="Arial" w:cs="Arial"/>
          <w:sz w:val="22"/>
          <w:szCs w:val="22"/>
          <w:lang w:val="en-GB"/>
        </w:rPr>
        <w:t xml:space="preserve">the </w:t>
      </w:r>
      <w:r w:rsidRPr="005978B5">
        <w:rPr>
          <w:rFonts w:ascii="Arial" w:eastAsiaTheme="majorEastAsia" w:hAnsi="Arial" w:cs="Arial"/>
          <w:sz w:val="22"/>
          <w:szCs w:val="22"/>
          <w:lang w:val="en-GB"/>
        </w:rPr>
        <w:t>inappropriateness of prescribed foods in cultural practice and household budgets and led to partial or inconsistent adherence to dietary prescriptions. In spite of the fact that both qualitative studies led to a useful insight into the processes that link the socioeconomic and cultural barriers to self-management behaviours, relatively small and ethnically selective samples restrict the generalisation of findings. Taken together, the pieces of evidence in this section show that the barriers listed in Section 4.1 are reflected in significant and quantifiable decreases in prevention engagement and self-management capacity among various ethnic minority communities in the UK.</w:t>
      </w:r>
    </w:p>
    <w:p w14:paraId="572C987E" w14:textId="77777777" w:rsidR="00863A8C" w:rsidRPr="005978B5" w:rsidRDefault="00863A8C" w:rsidP="00354518">
      <w:pPr>
        <w:pStyle w:val="font-claude-response-body"/>
        <w:spacing w:before="0" w:beforeAutospacing="0" w:after="160" w:afterAutospacing="0" w:line="360" w:lineRule="auto"/>
        <w:jc w:val="both"/>
        <w:rPr>
          <w:rFonts w:ascii="Arial" w:hAnsi="Arial" w:cs="Arial"/>
          <w:sz w:val="22"/>
          <w:szCs w:val="22"/>
          <w:lang w:val="en-GB"/>
        </w:rPr>
      </w:pPr>
    </w:p>
    <w:p w14:paraId="2F11BEB1" w14:textId="77777777" w:rsidR="007D286C" w:rsidRPr="005978B5" w:rsidRDefault="007D286C" w:rsidP="00354518">
      <w:pPr>
        <w:pStyle w:val="Heading2"/>
        <w:spacing w:line="360" w:lineRule="auto"/>
        <w:jc w:val="both"/>
        <w:rPr>
          <w:rFonts w:ascii="Arial" w:hAnsi="Arial" w:cs="Arial"/>
          <w:sz w:val="22"/>
        </w:rPr>
      </w:pPr>
      <w:bookmarkStart w:id="46" w:name="_Toc232173693"/>
      <w:r w:rsidRPr="005978B5">
        <w:rPr>
          <w:rFonts w:ascii="Arial" w:hAnsi="Arial" w:cs="Arial"/>
          <w:sz w:val="22"/>
        </w:rPr>
        <w:t>4.3: Influence of barriers on main health outcomes</w:t>
      </w:r>
      <w:bookmarkEnd w:id="46"/>
    </w:p>
    <w:p w14:paraId="56CD61CB" w14:textId="69F55924" w:rsidR="007D286C" w:rsidRPr="005978B5" w:rsidRDefault="004210CC" w:rsidP="00354518">
      <w:pPr>
        <w:pStyle w:val="font-claude-response-body"/>
        <w:spacing w:before="0" w:beforeAutospacing="0" w:after="160" w:afterAutospacing="0" w:line="360" w:lineRule="auto"/>
        <w:jc w:val="both"/>
        <w:rPr>
          <w:rStyle w:val="cursor-pointer"/>
          <w:rFonts w:ascii="Arial" w:eastAsiaTheme="majorEastAsia" w:hAnsi="Arial" w:cs="Arial"/>
          <w:sz w:val="22"/>
          <w:szCs w:val="22"/>
          <w:lang w:val="en-GB"/>
        </w:rPr>
      </w:pPr>
      <w:r w:rsidRPr="005978B5">
        <w:rPr>
          <w:rFonts w:ascii="Arial" w:eastAsiaTheme="majorEastAsia" w:hAnsi="Arial" w:cs="Arial"/>
          <w:sz w:val="22"/>
          <w:szCs w:val="22"/>
          <w:lang w:val="en-GB"/>
        </w:rPr>
        <w:t>These barriers, as described in Section 4.1 and their impacts, as described in Section 4.2, will be translated into sustainable and measurable changes in clinical health outcomes of ethnic minority adults with T2DM in the UK. The section discusses how these barriers affect glycaemic control and treatment equity, complication rates, and the effectiveness of prevention programmes, both in large-scale quantitative and mixed-method reviews.</w:t>
      </w:r>
    </w:p>
    <w:p w14:paraId="32A44AE4" w14:textId="77777777" w:rsidR="00863A8C" w:rsidRPr="005978B5" w:rsidRDefault="00863A8C" w:rsidP="00354518">
      <w:pPr>
        <w:pStyle w:val="font-claude-response-body"/>
        <w:spacing w:before="0" w:beforeAutospacing="0" w:after="160" w:afterAutospacing="0" w:line="360" w:lineRule="auto"/>
        <w:jc w:val="both"/>
        <w:rPr>
          <w:rFonts w:ascii="Arial" w:hAnsi="Arial" w:cs="Arial"/>
          <w:sz w:val="22"/>
          <w:szCs w:val="22"/>
          <w:lang w:val="en-GB"/>
        </w:rPr>
      </w:pPr>
    </w:p>
    <w:p w14:paraId="202D8C41" w14:textId="6359DA16" w:rsidR="007D286C" w:rsidRPr="00F56568" w:rsidRDefault="00211962" w:rsidP="00F56568">
      <w:pPr>
        <w:pStyle w:val="Heading3"/>
      </w:pPr>
      <w:bookmarkStart w:id="47" w:name="_Toc232173694"/>
      <w:r>
        <w:t xml:space="preserve">4.3.1: </w:t>
      </w:r>
      <w:r w:rsidR="007D286C" w:rsidRPr="00F56568">
        <w:t>Glycaemic Control and Treatment Disparities</w:t>
      </w:r>
      <w:bookmarkEnd w:id="47"/>
    </w:p>
    <w:p w14:paraId="0E6A557C" w14:textId="44678583"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Ethnic differences in glycaemic control and the equity of treatment were reported in numerous of the included studies, and quantitative evidence showed the most direct evidence of the clinical impact of systemic barriers. The longitudinal primary care data of 162,238 adults with T2DM older than 27 years (1990-2017) showed that ethnic disparities in the initiation of first-</w:t>
      </w:r>
      <w:r w:rsidRPr="005978B5">
        <w:rPr>
          <w:rFonts w:ascii="Arial" w:eastAsiaTheme="majorEastAsia" w:hAnsi="Arial" w:cs="Arial"/>
          <w:sz w:val="22"/>
          <w:szCs w:val="22"/>
          <w:lang w:val="en-GB"/>
        </w:rPr>
        <w:lastRenderedPageBreak/>
        <w:t>line treatment and the intensity of treatment based on persistent hyperglycaemia remained (Mathur et al., 2020). The treatment intensification delay was highest in South Asian patients and longest in patients of Black compared to White patients with similar clinical profiles. These differences remained even after controlling for the various clinical confounders, indicating that the root cause was systemic inequities in care provision, as opposed to clinical presentation differences. The large longitudinal dataset contributes to the credibility and generalisability of these findings, but the primary care routine data available limited the opportunity to explore patient-specific reasons behind delays in treatment or the effects of patient preference on clinical decision-making.</w:t>
      </w:r>
    </w:p>
    <w:p w14:paraId="205E2E8C" w14:textId="0FB489EF"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Mathur et al. (2022) furthered this evidence with latent-class analysis of 31,931 adults with T2DM in the East London Primary Care Database (2008-2018). The paper identified specific clinical subgroups of T2DM and showed that South Asian and Black patients were overrepresented in the higher-risk subgroups that were characterised by a higher burden of complications. Notably, ethnic differences in time to treatment initiation persisted even in matched clinical subgroups, thus supporting the notion that ethnicity is a predictor of delayed treatment independent of clinical disease subtype. This finding decouples the role of healthcare system inequity with clinical risk profile, which is a positive sign that treatment disparities are structural failures, and not differences in patient need. The large and ethnically diverse East London dataset makes these results more credible, yet electronic primary care records might not fully reflect the social and cultural factors of treatment choices.</w:t>
      </w:r>
    </w:p>
    <w:p w14:paraId="582C62AF" w14:textId="758C7502" w:rsidR="007D286C" w:rsidRPr="005978B5" w:rsidRDefault="004210CC" w:rsidP="00354518">
      <w:pPr>
        <w:pStyle w:val="font-claude-response-body"/>
        <w:spacing w:before="0" w:beforeAutospacing="0" w:after="160" w:afterAutospacing="0" w:line="360" w:lineRule="auto"/>
        <w:jc w:val="both"/>
        <w:rPr>
          <w:rStyle w:val="cursor-pointer"/>
          <w:rFonts w:ascii="Arial" w:eastAsiaTheme="majorEastAsia" w:hAnsi="Arial" w:cs="Arial"/>
          <w:sz w:val="22"/>
          <w:szCs w:val="22"/>
          <w:lang w:val="en-GB"/>
        </w:rPr>
      </w:pPr>
      <w:r w:rsidRPr="005978B5">
        <w:rPr>
          <w:rFonts w:ascii="Arial" w:eastAsiaTheme="majorEastAsia" w:hAnsi="Arial" w:cs="Arial"/>
          <w:sz w:val="22"/>
          <w:szCs w:val="22"/>
          <w:lang w:val="en-GB"/>
        </w:rPr>
        <w:t xml:space="preserve">Congruent with these findings, Au-Yeung et al. (2024) found that ethnic minority adults were overrepresented in those who reported presenting with previously undiagnosed T2DM at NHS Health Check in Birmingham, which confirms the barriers to preventive engagement as the factors that contribute to the delay of formal diagnosis and </w:t>
      </w:r>
      <w:r w:rsidR="008F78F6" w:rsidRPr="005978B5">
        <w:rPr>
          <w:rFonts w:ascii="Arial" w:eastAsiaTheme="majorEastAsia" w:hAnsi="Arial" w:cs="Arial"/>
          <w:sz w:val="22"/>
          <w:szCs w:val="22"/>
          <w:lang w:val="en-GB"/>
        </w:rPr>
        <w:t>allow</w:t>
      </w:r>
      <w:r w:rsidRPr="005978B5">
        <w:rPr>
          <w:rFonts w:ascii="Arial" w:eastAsiaTheme="majorEastAsia" w:hAnsi="Arial" w:cs="Arial"/>
          <w:sz w:val="22"/>
          <w:szCs w:val="22"/>
          <w:lang w:val="en-GB"/>
        </w:rPr>
        <w:t xml:space="preserve"> the glycaemic maladjustment to go unnoticed. In a UK Biobank study, Anderson et al. (2021) further showed that actionable HbA1c levels were substantially higher in South Asian and Black adults, compared to White Europeans, showing that population-level glycaemic inequality is a consequence of failures in early identification. Although UK Biobank data are a huge and well-characterised cohort, their self-selection as a sample may restrict representativeness along the entire socioeconomic range of ethnic minority groups. </w:t>
      </w:r>
    </w:p>
    <w:p w14:paraId="46B05F67" w14:textId="77777777" w:rsidR="000D12EB" w:rsidRPr="005978B5" w:rsidRDefault="000D12EB" w:rsidP="00354518">
      <w:pPr>
        <w:pStyle w:val="font-claude-response-body"/>
        <w:spacing w:before="0" w:beforeAutospacing="0" w:after="160" w:afterAutospacing="0" w:line="360" w:lineRule="auto"/>
        <w:jc w:val="both"/>
        <w:rPr>
          <w:rFonts w:ascii="Arial" w:hAnsi="Arial" w:cs="Arial"/>
          <w:sz w:val="22"/>
          <w:szCs w:val="22"/>
          <w:lang w:val="en-GB"/>
        </w:rPr>
      </w:pPr>
    </w:p>
    <w:p w14:paraId="39D2CBC3" w14:textId="0051C846" w:rsidR="007D286C" w:rsidRPr="005978B5" w:rsidRDefault="00211962" w:rsidP="000D5E76">
      <w:pPr>
        <w:pStyle w:val="Heading3"/>
      </w:pPr>
      <w:bookmarkStart w:id="48" w:name="_Toc232173695"/>
      <w:r>
        <w:t>4.</w:t>
      </w:r>
      <w:r w:rsidR="007D286C" w:rsidRPr="00211962">
        <w:t>3.2: Complication Rates and Programme Effectiveness</w:t>
      </w:r>
      <w:bookmarkEnd w:id="48"/>
    </w:p>
    <w:p w14:paraId="66DFB8CD" w14:textId="48883D92"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Clinical outcomes of persistent glycaemic disparity and late treatment are manifested in high complication rates in ethnic minority adults with T2DM in the UK. Among blacks and South </w:t>
      </w:r>
      <w:r w:rsidRPr="005978B5">
        <w:rPr>
          <w:rFonts w:ascii="Arial" w:eastAsiaTheme="majorEastAsia" w:hAnsi="Arial" w:cs="Arial"/>
          <w:sz w:val="22"/>
          <w:szCs w:val="22"/>
          <w:lang w:val="en-GB"/>
        </w:rPr>
        <w:lastRenderedPageBreak/>
        <w:t xml:space="preserve">Asians, substantially increased rates of sight-threatening diabetic retinopathy </w:t>
      </w:r>
      <w:r w:rsidR="00035495" w:rsidRPr="005978B5">
        <w:rPr>
          <w:rFonts w:ascii="Arial" w:hAnsi="Arial" w:cs="Arial"/>
          <w:sz w:val="22"/>
          <w:szCs w:val="22"/>
        </w:rPr>
        <w:t>have been reported (Olvera</w:t>
      </w:r>
      <w:r w:rsidR="00B324F9" w:rsidRPr="005978B5">
        <w:rPr>
          <w:rFonts w:ascii="Arial" w:hAnsi="Arial" w:cs="Arial"/>
          <w:sz w:val="22"/>
          <w:szCs w:val="22"/>
        </w:rPr>
        <w:t xml:space="preserve">-Barrios et al., 2023; </w:t>
      </w:r>
      <w:proofErr w:type="spellStart"/>
      <w:r w:rsidR="00B324F9" w:rsidRPr="005978B5">
        <w:rPr>
          <w:rFonts w:ascii="Arial" w:hAnsi="Arial" w:cs="Arial"/>
          <w:sz w:val="22"/>
          <w:szCs w:val="22"/>
        </w:rPr>
        <w:t>Nugawela</w:t>
      </w:r>
      <w:proofErr w:type="spellEnd"/>
      <w:r w:rsidR="00B324F9" w:rsidRPr="005978B5">
        <w:rPr>
          <w:rFonts w:ascii="Arial" w:hAnsi="Arial" w:cs="Arial"/>
          <w:sz w:val="22"/>
          <w:szCs w:val="22"/>
        </w:rPr>
        <w:t xml:space="preserve"> et al., 2021)</w:t>
      </w:r>
      <w:r w:rsidRPr="005978B5">
        <w:rPr>
          <w:rFonts w:ascii="Arial" w:eastAsiaTheme="majorEastAsia" w:hAnsi="Arial" w:cs="Arial"/>
          <w:sz w:val="22"/>
          <w:szCs w:val="22"/>
          <w:lang w:val="en-GB"/>
        </w:rPr>
        <w:t>, and progressive renal disease disproportionately affects T2DM patients of Bangladeshi, African and Caribbean descent in the UK (Mathur et al., 2018;</w:t>
      </w:r>
      <w:r w:rsidR="00B26ED9">
        <w:rPr>
          <w:rFonts w:ascii="Arial" w:eastAsiaTheme="majorEastAsia" w:hAnsi="Arial" w:cs="Arial"/>
          <w:sz w:val="22"/>
          <w:szCs w:val="22"/>
          <w:lang w:val="en-GB"/>
        </w:rPr>
        <w:t xml:space="preserve"> </w:t>
      </w:r>
      <w:r w:rsidR="00035495" w:rsidRPr="005978B5">
        <w:rPr>
          <w:rFonts w:ascii="Arial" w:hAnsi="Arial" w:cs="Arial"/>
          <w:sz w:val="22"/>
          <w:szCs w:val="22"/>
        </w:rPr>
        <w:t>NHS England, 2024a)</w:t>
      </w:r>
      <w:r w:rsidRPr="005978B5">
        <w:rPr>
          <w:rFonts w:ascii="Arial" w:eastAsiaTheme="majorEastAsia" w:hAnsi="Arial" w:cs="Arial"/>
          <w:sz w:val="22"/>
          <w:szCs w:val="22"/>
          <w:lang w:val="en-GB"/>
        </w:rPr>
        <w:t xml:space="preserve">. South Asian adults have also been found to have elevated cardiovascular risk despite being adjusted to typical clinical risk factors </w:t>
      </w:r>
      <w:r w:rsidR="00B324F9" w:rsidRPr="005978B5">
        <w:rPr>
          <w:rFonts w:ascii="Arial" w:hAnsi="Arial" w:cs="Arial"/>
          <w:sz w:val="22"/>
          <w:szCs w:val="22"/>
        </w:rPr>
        <w:t>(Razieh et al., 2022; Coles et al., 2021)</w:t>
      </w:r>
      <w:r w:rsidRPr="005978B5">
        <w:rPr>
          <w:rFonts w:ascii="Arial" w:eastAsiaTheme="majorEastAsia" w:hAnsi="Arial" w:cs="Arial"/>
          <w:sz w:val="22"/>
          <w:szCs w:val="22"/>
          <w:lang w:val="en-GB"/>
        </w:rPr>
        <w:t>. These sources are not the main evidence in the context of the present review, but they support the idea that the barriers to the synthesised barriers in Section 4.1 indeed cause quantifiable excess morbidity among ethnic minorities, and that the treatment disparities reported by Mathur et al. (2020; 2022) do have direct clinical implications in the long run.</w:t>
      </w:r>
    </w:p>
    <w:p w14:paraId="2FC17CD2" w14:textId="0F15F959"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The acute level was also found to be associated with the patient safety implications of unaddressed cultural barriers. British Muslim participants who did not receive any relevant clinical support during the entire period of Ramadan reported hypoglycaemic and hyperglycaemic events, which were preventable acute events because of a failure of the healthcare system to provide proactive, culturally competent pre-fasting advice (Patel et al., 2015a). Even though the qualitative methodology was highly instructive in terms of the experiences of the participants, it is not evident how well such events can be systematically reflected </w:t>
      </w:r>
      <w:r w:rsidR="008F78F6" w:rsidRPr="005978B5">
        <w:rPr>
          <w:rFonts w:ascii="Arial" w:eastAsiaTheme="majorEastAsia" w:hAnsi="Arial" w:cs="Arial"/>
          <w:sz w:val="22"/>
          <w:szCs w:val="22"/>
          <w:lang w:val="en-GB"/>
        </w:rPr>
        <w:t>in</w:t>
      </w:r>
      <w:r w:rsidRPr="005978B5">
        <w:rPr>
          <w:rFonts w:ascii="Arial" w:eastAsiaTheme="majorEastAsia" w:hAnsi="Arial" w:cs="Arial"/>
          <w:sz w:val="22"/>
          <w:szCs w:val="22"/>
          <w:lang w:val="en-GB"/>
        </w:rPr>
        <w:t xml:space="preserve"> the regular clinical data.</w:t>
      </w:r>
    </w:p>
    <w:p w14:paraId="2CDE50CB" w14:textId="13F70EEC"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Style w:val="cursor-pointer"/>
          <w:rFonts w:ascii="Arial" w:hAnsi="Arial" w:cs="Arial"/>
          <w:sz w:val="22"/>
          <w:szCs w:val="22"/>
        </w:rPr>
        <w:t>Contrastingly, research comparing culturally modified interventions proved that obstacles to favourable health results are amenable.</w:t>
      </w:r>
      <w:r w:rsidRPr="005978B5">
        <w:rPr>
          <w:rFonts w:ascii="Arial" w:hAnsi="Arial" w:cs="Arial"/>
          <w:sz w:val="22"/>
          <w:szCs w:val="22"/>
        </w:rPr>
        <w:t xml:space="preserve"> </w:t>
      </w:r>
      <w:r w:rsidRPr="005978B5">
        <w:rPr>
          <w:rStyle w:val="cursor-pointer"/>
          <w:rFonts w:ascii="Arial" w:hAnsi="Arial" w:cs="Arial"/>
          <w:sz w:val="22"/>
          <w:szCs w:val="22"/>
        </w:rPr>
        <w:t>The researchers in a feasibility randomised controlled trial of 55 Black African and Caribbean adults (Goff et al., 2021) found that the culturally-sensitive HEAL-D DSMES programme produced substantial dietary behaviour changes, diabetes knowledge and self-management confidence.</w:t>
      </w:r>
      <w:r w:rsidRPr="005978B5">
        <w:rPr>
          <w:rFonts w:ascii="Arial" w:hAnsi="Arial" w:cs="Arial"/>
          <w:sz w:val="22"/>
          <w:szCs w:val="22"/>
        </w:rPr>
        <w:t xml:space="preserve"> </w:t>
      </w:r>
      <w:r w:rsidRPr="005978B5">
        <w:rPr>
          <w:rStyle w:val="cursor-pointer"/>
          <w:rFonts w:ascii="Arial" w:hAnsi="Arial" w:cs="Arial"/>
          <w:sz w:val="22"/>
          <w:szCs w:val="22"/>
        </w:rPr>
        <w:t xml:space="preserve">Similar results were reported by Low et al. (2024): online adaptation of HEAL-D was highly engaging and positively changed behaviour, indicating that digitally delivered culturally responsive interventions have </w:t>
      </w:r>
      <w:r w:rsidR="00F528DF" w:rsidRPr="005978B5">
        <w:rPr>
          <w:rStyle w:val="cursor-pointer"/>
          <w:rFonts w:ascii="Arial" w:hAnsi="Arial" w:cs="Arial"/>
          <w:sz w:val="22"/>
          <w:szCs w:val="22"/>
        </w:rPr>
        <w:t xml:space="preserve">the </w:t>
      </w:r>
      <w:r w:rsidRPr="005978B5">
        <w:rPr>
          <w:rStyle w:val="cursor-pointer"/>
          <w:rFonts w:ascii="Arial" w:hAnsi="Arial" w:cs="Arial"/>
          <w:sz w:val="22"/>
          <w:szCs w:val="22"/>
        </w:rPr>
        <w:t>potential to reach underserved populations.</w:t>
      </w:r>
      <w:r w:rsidRPr="005978B5">
        <w:rPr>
          <w:rFonts w:ascii="Arial" w:hAnsi="Arial" w:cs="Arial"/>
          <w:sz w:val="22"/>
          <w:szCs w:val="22"/>
        </w:rPr>
        <w:t xml:space="preserve"> </w:t>
      </w:r>
      <w:r w:rsidRPr="005978B5">
        <w:rPr>
          <w:rStyle w:val="cursor-pointer"/>
          <w:rFonts w:ascii="Arial" w:hAnsi="Arial" w:cs="Arial"/>
          <w:sz w:val="22"/>
          <w:szCs w:val="22"/>
        </w:rPr>
        <w:t>These results are important in proving that outcome differences are not predetermined but can be corrected significantly by creating services of proper design.</w:t>
      </w:r>
      <w:r w:rsidRPr="005978B5">
        <w:rPr>
          <w:rFonts w:ascii="Arial" w:hAnsi="Arial" w:cs="Arial"/>
          <w:sz w:val="22"/>
          <w:szCs w:val="22"/>
        </w:rPr>
        <w:t xml:space="preserve"> </w:t>
      </w:r>
      <w:r w:rsidRPr="005978B5">
        <w:rPr>
          <w:rStyle w:val="cursor-pointer"/>
          <w:rFonts w:ascii="Arial" w:hAnsi="Arial" w:cs="Arial"/>
          <w:sz w:val="22"/>
          <w:szCs w:val="22"/>
        </w:rPr>
        <w:t xml:space="preserve">In Goff et al. (2021), the statistical power of the outcome results is limited by the small sample size used, and the feasibility design does not permit </w:t>
      </w:r>
      <w:r w:rsidR="00F528DF" w:rsidRPr="005978B5">
        <w:rPr>
          <w:rStyle w:val="cursor-pointer"/>
          <w:rFonts w:ascii="Arial" w:hAnsi="Arial" w:cs="Arial"/>
          <w:sz w:val="22"/>
          <w:szCs w:val="22"/>
        </w:rPr>
        <w:t>generalisation</w:t>
      </w:r>
      <w:r w:rsidRPr="005978B5">
        <w:rPr>
          <w:rStyle w:val="cursor-pointer"/>
          <w:rFonts w:ascii="Arial" w:hAnsi="Arial" w:cs="Arial"/>
          <w:sz w:val="22"/>
          <w:szCs w:val="22"/>
        </w:rPr>
        <w:t xml:space="preserve"> on the long-term clinical usefulness.</w:t>
      </w:r>
      <w:r w:rsidRPr="005978B5">
        <w:rPr>
          <w:rFonts w:ascii="Arial" w:hAnsi="Arial" w:cs="Arial"/>
          <w:sz w:val="22"/>
          <w:szCs w:val="22"/>
        </w:rPr>
        <w:t xml:space="preserve"> </w:t>
      </w:r>
      <w:r w:rsidRPr="005978B5">
        <w:rPr>
          <w:rStyle w:val="cursor-pointer"/>
          <w:rFonts w:ascii="Arial" w:hAnsi="Arial" w:cs="Arial"/>
          <w:sz w:val="22"/>
          <w:szCs w:val="22"/>
        </w:rPr>
        <w:t>However, all these studies point to the fact that culturally adapted commissioning is an evidence-based necessity, and not a non-essential addition to routine care.</w:t>
      </w:r>
      <w:r w:rsidRPr="005978B5">
        <w:rPr>
          <w:rFonts w:ascii="Arial" w:hAnsi="Arial" w:cs="Arial"/>
          <w:sz w:val="22"/>
          <w:szCs w:val="22"/>
        </w:rPr>
        <w:t xml:space="preserve"> </w:t>
      </w:r>
    </w:p>
    <w:p w14:paraId="67CE40AE" w14:textId="77777777" w:rsidR="007D286C" w:rsidRPr="005978B5" w:rsidRDefault="007D286C" w:rsidP="00354518">
      <w:pPr>
        <w:pStyle w:val="Heading2"/>
        <w:spacing w:line="360" w:lineRule="auto"/>
        <w:jc w:val="both"/>
        <w:rPr>
          <w:rFonts w:ascii="Arial" w:hAnsi="Arial" w:cs="Arial"/>
          <w:sz w:val="22"/>
        </w:rPr>
      </w:pPr>
      <w:bookmarkStart w:id="49" w:name="_Toc232173696"/>
      <w:r w:rsidRPr="005978B5">
        <w:rPr>
          <w:rFonts w:ascii="Arial" w:hAnsi="Arial" w:cs="Arial"/>
          <w:sz w:val="22"/>
        </w:rPr>
        <w:t>4.4: Gaps in evidence and Evidence-based recommendations</w:t>
      </w:r>
      <w:bookmarkEnd w:id="49"/>
    </w:p>
    <w:p w14:paraId="6E94313E" w14:textId="6F4A5E4F"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Although the body of evidence revealed in this review is substantial, there are still gaps in the body of research and opportunities to improve evidence-based policy and practice. This </w:t>
      </w:r>
      <w:r w:rsidRPr="005978B5">
        <w:rPr>
          <w:rFonts w:ascii="Arial" w:eastAsiaTheme="majorEastAsia" w:hAnsi="Arial" w:cs="Arial"/>
          <w:sz w:val="22"/>
          <w:szCs w:val="22"/>
          <w:lang w:val="en-GB"/>
        </w:rPr>
        <w:lastRenderedPageBreak/>
        <w:t xml:space="preserve">section outlines the main limitations of the current evidence base and provides a list of evidence-based policies </w:t>
      </w:r>
      <w:r w:rsidR="00B26ED9">
        <w:rPr>
          <w:rFonts w:ascii="Arial" w:eastAsiaTheme="majorEastAsia" w:hAnsi="Arial" w:cs="Arial"/>
          <w:sz w:val="22"/>
          <w:szCs w:val="22"/>
          <w:lang w:val="en-GB"/>
        </w:rPr>
        <w:t>for policymakers, NHS commissioners,</w:t>
      </w:r>
      <w:r w:rsidRPr="005978B5">
        <w:rPr>
          <w:rFonts w:ascii="Arial" w:eastAsiaTheme="majorEastAsia" w:hAnsi="Arial" w:cs="Arial"/>
          <w:sz w:val="22"/>
          <w:szCs w:val="22"/>
          <w:lang w:val="en-GB"/>
        </w:rPr>
        <w:t xml:space="preserve"> and healthcare practitioners.</w:t>
      </w:r>
    </w:p>
    <w:p w14:paraId="063ED697" w14:textId="77777777" w:rsidR="007D286C" w:rsidRPr="005978B5" w:rsidRDefault="007D286C" w:rsidP="00354518">
      <w:pPr>
        <w:spacing w:line="360" w:lineRule="auto"/>
        <w:jc w:val="both"/>
        <w:rPr>
          <w:rFonts w:ascii="Arial" w:hAnsi="Arial" w:cs="Arial"/>
          <w:color w:val="5B9BD5" w:themeColor="accent5"/>
        </w:rPr>
      </w:pPr>
    </w:p>
    <w:p w14:paraId="28F4E50E" w14:textId="77777777" w:rsidR="00042B90" w:rsidRPr="00211962" w:rsidRDefault="00042B90" w:rsidP="00211962">
      <w:pPr>
        <w:pStyle w:val="Heading3"/>
      </w:pPr>
      <w:bookmarkStart w:id="50" w:name="_Toc232173697"/>
      <w:r w:rsidRPr="00211962">
        <w:t>4.4.1</w:t>
      </w:r>
      <w:r w:rsidRPr="00211962">
        <w:rPr>
          <w:rStyle w:val="Strong"/>
          <w:b/>
          <w:bCs/>
        </w:rPr>
        <w:t xml:space="preserve"> Gaps in Evidence</w:t>
      </w:r>
      <w:bookmarkEnd w:id="50"/>
      <w:r w:rsidRPr="00211962">
        <w:rPr>
          <w:rStyle w:val="Strong"/>
          <w:b/>
          <w:bCs/>
        </w:rPr>
        <w:t xml:space="preserve"> </w:t>
      </w:r>
    </w:p>
    <w:p w14:paraId="56041576" w14:textId="37C1D2A5" w:rsidR="00042B90"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One of the major limitations of the evidence base available is that the studies have been limited to a few ethnic minority groups. Most of the studies included concentrated on South Asian and Black African or Caribbean people, and there was little evidence on the experiences of Chinese, mixed heritage, Eastern European, Gypsy or Traveller, and other ethnic minority groups living with or at risk of T2DM in the UK. </w:t>
      </w:r>
      <w:proofErr w:type="spellStart"/>
      <w:r w:rsidRPr="005978B5">
        <w:rPr>
          <w:rFonts w:ascii="Arial" w:eastAsiaTheme="majorEastAsia" w:hAnsi="Arial" w:cs="Arial"/>
          <w:sz w:val="22"/>
          <w:szCs w:val="22"/>
          <w:lang w:val="en-GB"/>
        </w:rPr>
        <w:t>Katangwe-Chigamba</w:t>
      </w:r>
      <w:proofErr w:type="spellEnd"/>
      <w:r w:rsidRPr="005978B5">
        <w:rPr>
          <w:rFonts w:ascii="Arial" w:eastAsiaTheme="majorEastAsia" w:hAnsi="Arial" w:cs="Arial"/>
          <w:sz w:val="22"/>
          <w:szCs w:val="22"/>
          <w:lang w:val="en-GB"/>
        </w:rPr>
        <w:t xml:space="preserve"> et al. (2025) single out Black African and Caribbean populations as particularly underrepresented in UK lifestyle interventions studies, with a need to produce co-produced, culturally based studies, supported by long-term clinical outcomes. This drawback limits the extrapolation of the results of the reviews to the whole ethnic group of the UK and may veil the obstacles of the less-researched groups.</w:t>
      </w:r>
    </w:p>
    <w:p w14:paraId="75B845BA" w14:textId="50E2A591" w:rsidR="00042B90"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Another limitation is geographic concentration. Some of the studies conducted were conducted in specific urban areas (in specific inner London, Birmingham and East London), which, despite such a high density of ethnic minorities, were probably not reflective of the experiences of ethnic minority adults in rural and suburban or other urban areas in England, or in Wales, Scotland and Northern Ireland. In </w:t>
      </w:r>
      <w:r w:rsidR="00F528DF" w:rsidRPr="005978B5">
        <w:rPr>
          <w:rFonts w:ascii="Arial" w:eastAsiaTheme="majorEastAsia" w:hAnsi="Arial" w:cs="Arial"/>
          <w:sz w:val="22"/>
          <w:szCs w:val="22"/>
          <w:lang w:val="en-GB"/>
        </w:rPr>
        <w:t>analysing</w:t>
      </w:r>
      <w:r w:rsidRPr="005978B5">
        <w:rPr>
          <w:rFonts w:ascii="Arial" w:eastAsiaTheme="majorEastAsia" w:hAnsi="Arial" w:cs="Arial"/>
          <w:sz w:val="22"/>
          <w:szCs w:val="22"/>
          <w:lang w:val="en-GB"/>
        </w:rPr>
        <w:t xml:space="preserve"> the content of 43 Integrated Care System strategy documents, Elliott et al. (2025) noted that the range of local implementation of equity-oriented diabetes models is substantial, which means that the evidence base may not be representative of regional variations in service delivery.</w:t>
      </w:r>
    </w:p>
    <w:p w14:paraId="18194F8F" w14:textId="2F515DF4" w:rsidR="009F64C5" w:rsidRPr="005978B5" w:rsidRDefault="004210CC" w:rsidP="00354518">
      <w:pPr>
        <w:spacing w:line="360" w:lineRule="auto"/>
        <w:jc w:val="both"/>
        <w:rPr>
          <w:rFonts w:ascii="Arial" w:hAnsi="Arial" w:cs="Arial"/>
        </w:rPr>
      </w:pPr>
      <w:r w:rsidRPr="005978B5">
        <w:rPr>
          <w:rFonts w:ascii="Arial" w:eastAsiaTheme="majorEastAsia" w:hAnsi="Arial" w:cs="Arial"/>
        </w:rPr>
        <w:t>Long-term outcome data for culturally adapted interventions are limited. Goff et al. (2021) and Low et al. (2024) report preliminary outcome and feasibility data of HEAL-D, but neither trial was adequately powered to establish long-term clinical efficacy or cost-effectiveness. Chan et al. (2023) note that long-term assessment, co-produced research design, and disaggregated ethnicity data collection are key priorities to improve equitable diabetes research in the UK. The argument of large-scale commissioning of culturally adapted programmes, though highly implied by available evidence, is not complete without sustained outcome evidence.</w:t>
      </w:r>
      <w:r w:rsidR="009F64C5" w:rsidRPr="005978B5">
        <w:rPr>
          <w:rFonts w:ascii="Arial" w:eastAsia="Calibri" w:hAnsi="Arial" w:cs="Arial"/>
        </w:rPr>
        <w:tab/>
      </w:r>
      <w:r w:rsidR="009F64C5" w:rsidRPr="005978B5">
        <w:rPr>
          <w:rFonts w:ascii="Arial" w:hAnsi="Arial" w:cs="Arial"/>
          <w:b/>
        </w:rPr>
        <w:t xml:space="preserve"> </w:t>
      </w:r>
    </w:p>
    <w:p w14:paraId="0EF1A48F" w14:textId="77777777" w:rsidR="007D286C" w:rsidRPr="005978B5" w:rsidRDefault="007D286C" w:rsidP="00354518">
      <w:pPr>
        <w:spacing w:line="360" w:lineRule="auto"/>
        <w:jc w:val="both"/>
        <w:rPr>
          <w:rFonts w:ascii="Arial" w:hAnsi="Arial" w:cs="Arial"/>
        </w:rPr>
      </w:pPr>
      <w:r w:rsidRPr="005978B5">
        <w:rPr>
          <w:rFonts w:ascii="Arial" w:hAnsi="Arial" w:cs="Arial"/>
        </w:rPr>
        <w:br w:type="page"/>
      </w:r>
    </w:p>
    <w:p w14:paraId="214FC0FF" w14:textId="72B19D92" w:rsidR="007D286C" w:rsidRPr="005978B5" w:rsidRDefault="00DD7AA5" w:rsidP="00354518">
      <w:pPr>
        <w:pStyle w:val="Heading1"/>
        <w:spacing w:line="360" w:lineRule="auto"/>
        <w:jc w:val="both"/>
        <w:rPr>
          <w:rFonts w:ascii="Arial" w:hAnsi="Arial" w:cs="Arial"/>
          <w:sz w:val="22"/>
        </w:rPr>
      </w:pPr>
      <w:bookmarkStart w:id="51" w:name="_Toc232173698"/>
      <w:r w:rsidRPr="005978B5">
        <w:rPr>
          <w:rFonts w:ascii="Arial" w:hAnsi="Arial" w:cs="Arial"/>
          <w:sz w:val="22"/>
        </w:rPr>
        <w:lastRenderedPageBreak/>
        <w:t xml:space="preserve">Chapter 5: </w:t>
      </w:r>
      <w:r w:rsidR="009F64C5" w:rsidRPr="005978B5">
        <w:rPr>
          <w:rFonts w:ascii="Arial" w:hAnsi="Arial" w:cs="Arial"/>
          <w:sz w:val="22"/>
        </w:rPr>
        <w:t>D</w:t>
      </w:r>
      <w:r w:rsidR="007D286C" w:rsidRPr="005978B5">
        <w:rPr>
          <w:rFonts w:ascii="Arial" w:hAnsi="Arial" w:cs="Arial"/>
          <w:sz w:val="22"/>
        </w:rPr>
        <w:t>ISCUSSION</w:t>
      </w:r>
      <w:bookmarkEnd w:id="51"/>
    </w:p>
    <w:p w14:paraId="0BABB5A8" w14:textId="2990543B" w:rsidR="007D286C" w:rsidRPr="005978B5" w:rsidRDefault="00C86227" w:rsidP="00354518">
      <w:pPr>
        <w:spacing w:line="360" w:lineRule="auto"/>
        <w:jc w:val="both"/>
        <w:rPr>
          <w:rFonts w:ascii="Arial" w:hAnsi="Arial" w:cs="Arial"/>
        </w:rPr>
      </w:pPr>
      <w:r w:rsidRPr="005978B5">
        <w:rPr>
          <w:rFonts w:ascii="Arial" w:hAnsi="Arial" w:cs="Arial"/>
        </w:rPr>
        <w:t xml:space="preserve">This chapter discusses the findings of the systematic review in relation to the three theoretical frameworks established in Chapter 2, and considers implications for policy, practice and future research. The review included 15 peer-reviewed UK-based studies published between </w:t>
      </w:r>
      <w:r w:rsidR="00292470" w:rsidRPr="00292470">
        <w:rPr>
          <w:rFonts w:ascii="Arial" w:hAnsi="Arial" w:cs="Arial"/>
        </w:rPr>
        <w:t>2015 and 2026</w:t>
      </w:r>
      <w:r w:rsidRPr="005978B5">
        <w:rPr>
          <w:rFonts w:ascii="Arial" w:hAnsi="Arial" w:cs="Arial"/>
        </w:rPr>
        <w:t xml:space="preserve"> and </w:t>
      </w:r>
      <w:r w:rsidR="00035495" w:rsidRPr="005978B5">
        <w:rPr>
          <w:rStyle w:val="Emphasis"/>
          <w:rFonts w:ascii="Arial" w:hAnsi="Arial" w:cs="Arial"/>
          <w:i w:val="0"/>
          <w:iCs w:val="0"/>
        </w:rPr>
        <w:t>found four broad themes: (1) socioeconomic, cultural and healthcare system barriers to prevention and management; (2) the impact of those barriers on prevention engagement and self-management; (3) their effect on health outcomes; and (4) gaps in evidence and evidence-based recommendations.</w:t>
      </w:r>
      <w:r w:rsidRPr="005978B5">
        <w:rPr>
          <w:rFonts w:ascii="Arial" w:hAnsi="Arial" w:cs="Arial"/>
        </w:rPr>
        <w:t xml:space="preserve"> The key conclusion is that ethnic minority T2DM disparities in the UK are systemic and structurally produced - </w:t>
      </w:r>
      <w:r w:rsidR="00354518" w:rsidRPr="005978B5">
        <w:rPr>
          <w:rFonts w:ascii="Arial" w:hAnsi="Arial" w:cs="Arial"/>
        </w:rPr>
        <w:t>not the result of personal behaviour or cultural deficit</w:t>
      </w:r>
      <w:r w:rsidRPr="005978B5">
        <w:rPr>
          <w:rFonts w:ascii="Arial" w:hAnsi="Arial" w:cs="Arial"/>
        </w:rPr>
        <w:t xml:space="preserve"> - and can be significantly redressed by properly designed services.</w:t>
      </w:r>
    </w:p>
    <w:p w14:paraId="0F3339CF" w14:textId="109ED628" w:rsidR="007D286C" w:rsidRPr="005978B5" w:rsidRDefault="007D286C" w:rsidP="00354518">
      <w:pPr>
        <w:spacing w:line="360" w:lineRule="auto"/>
        <w:jc w:val="both"/>
        <w:rPr>
          <w:rFonts w:ascii="Arial" w:hAnsi="Arial" w:cs="Arial"/>
        </w:rPr>
      </w:pPr>
    </w:p>
    <w:p w14:paraId="4DD77362" w14:textId="5FE98A1D" w:rsidR="00042B90" w:rsidRDefault="00B91790" w:rsidP="00354518">
      <w:pPr>
        <w:pStyle w:val="Heading2"/>
        <w:spacing w:line="360" w:lineRule="auto"/>
        <w:jc w:val="both"/>
        <w:rPr>
          <w:rFonts w:ascii="Arial" w:hAnsi="Arial" w:cs="Arial"/>
          <w:sz w:val="22"/>
        </w:rPr>
      </w:pPr>
      <w:bookmarkStart w:id="52" w:name="_Toc232173699"/>
      <w:r w:rsidRPr="00B91790">
        <w:rPr>
          <w:rFonts w:ascii="Arial" w:hAnsi="Arial" w:cs="Arial"/>
          <w:sz w:val="22"/>
        </w:rPr>
        <w:t>5.1 Discussion of Findings by Theme</w:t>
      </w:r>
      <w:bookmarkEnd w:id="52"/>
    </w:p>
    <w:p w14:paraId="1FB746DF" w14:textId="6E033F3A" w:rsidR="00E16F95" w:rsidRPr="00E16F95" w:rsidRDefault="00E16F95" w:rsidP="00E16F95">
      <w:pPr>
        <w:spacing w:line="360" w:lineRule="auto"/>
        <w:jc w:val="both"/>
        <w:rPr>
          <w:rFonts w:ascii="Arial" w:hAnsi="Arial" w:cs="Arial"/>
        </w:rPr>
      </w:pPr>
      <w:r w:rsidRPr="00E16F95">
        <w:rPr>
          <w:rFonts w:ascii="Arial" w:hAnsi="Arial" w:cs="Arial"/>
        </w:rPr>
        <w:t>The four themes identified in Chapter 4 are all recurrent evidence that T2DM disparities among ethnic minority adults are structurally produced. Theme 1 showed that socioeconomic deprivation and cultural ill health beliefs and failures of the health service work together as a multi-layered barrier which cannot be separated from one another. Theme 2 demonstrated that these barriers are directly related to lower rates of completing NHS DPP and poorer self-management ability. In Theme 3, measurable clinical impacts such as delayed treatment initiation, poor glycaemic control and higher rates of complications are shown. Theme 4 highlighted the lack of evidence for specific areas, including underrepresented ethnic groups, rural areas and long-term intervention outcomes. These findings are explained in the light of the three theoretical frameworks that were developed in Chapter 2.</w:t>
      </w:r>
    </w:p>
    <w:p w14:paraId="5D725A54" w14:textId="2DAEE394" w:rsidR="00042B90" w:rsidRPr="005978B5" w:rsidRDefault="002B1AAA" w:rsidP="00354518">
      <w:pPr>
        <w:spacing w:line="360" w:lineRule="auto"/>
        <w:jc w:val="both"/>
        <w:rPr>
          <w:rFonts w:ascii="Arial" w:hAnsi="Arial" w:cs="Arial"/>
        </w:rPr>
      </w:pPr>
      <w:r w:rsidRPr="002B1AAA">
        <w:rPr>
          <w:rFonts w:ascii="Arial" w:hAnsi="Arial" w:cs="Arial"/>
        </w:rPr>
        <w:t>The four themes that emerged in Chapter 4 consistently show that disparities in T2DM among ethnic minority adults are structurally created. Theme 1 showed that socioeconomic deprivation, cultural illness beliefs and failures of the healthcare system are not discrete issues, but are linked. Theme 2 demonstrated that these barriers directly impact completion rates of the NHS DPP and self-management capacity. The measuring tools for the clinical impact in Theme 3 were delayed treatment initiation, poor glycaemic control and elevated complication rates. Theme 4 highlighted gaps in evidence, including for underrepresented ethnic groups, rural settings, and long-term outcomes of intervention. These results are discussed in terms of the three theories developed in Chapter 2.</w:t>
      </w:r>
      <w:r>
        <w:rPr>
          <w:rFonts w:ascii="Arial" w:hAnsi="Arial" w:cs="Arial"/>
        </w:rPr>
        <w:t xml:space="preserve"> </w:t>
      </w:r>
      <w:r w:rsidR="00C86227" w:rsidRPr="005978B5">
        <w:rPr>
          <w:rFonts w:ascii="Arial" w:hAnsi="Arial" w:cs="Arial"/>
        </w:rPr>
        <w:t>The three theoretical frameworks developed in Chapter 2 are interpretive prisms through which the results outlined in Chapter 4 can be interpreted on several levels simultaneously.</w:t>
      </w:r>
    </w:p>
    <w:p w14:paraId="07003FA8" w14:textId="468F776A" w:rsidR="00042B90" w:rsidRPr="005978B5" w:rsidRDefault="00C86227" w:rsidP="00354518">
      <w:pPr>
        <w:spacing w:line="360" w:lineRule="auto"/>
        <w:jc w:val="both"/>
        <w:rPr>
          <w:rFonts w:ascii="Arial" w:hAnsi="Arial" w:cs="Arial"/>
        </w:rPr>
      </w:pPr>
      <w:r w:rsidRPr="005978B5">
        <w:rPr>
          <w:rFonts w:ascii="Arial" w:hAnsi="Arial" w:cs="Arial"/>
        </w:rPr>
        <w:lastRenderedPageBreak/>
        <w:t xml:space="preserve">The evidence synthesised in this review supports and amplifies the Social Determinants of Health (SDH) model (World Health Organization, 2008; Marmot et al., 2010). The model </w:t>
      </w:r>
      <w:r w:rsidR="00F528DF" w:rsidRPr="005978B5">
        <w:rPr>
          <w:rFonts w:ascii="Arial" w:hAnsi="Arial" w:cs="Arial"/>
        </w:rPr>
        <w:t>hypothesises</w:t>
      </w:r>
      <w:r w:rsidRPr="005978B5">
        <w:rPr>
          <w:rFonts w:ascii="Arial" w:hAnsi="Arial" w:cs="Arial"/>
        </w:rPr>
        <w:t xml:space="preserve"> that health disparities are not a result of individual </w:t>
      </w:r>
      <w:r w:rsidR="00F528DF" w:rsidRPr="005978B5">
        <w:rPr>
          <w:rFonts w:ascii="Arial" w:hAnsi="Arial" w:cs="Arial"/>
        </w:rPr>
        <w:t>behaviour</w:t>
      </w:r>
      <w:r w:rsidRPr="005978B5">
        <w:rPr>
          <w:rFonts w:ascii="Arial" w:hAnsi="Arial" w:cs="Arial"/>
        </w:rPr>
        <w:t xml:space="preserve"> but rather caused by structural factors, which is directly corroborated by Au-Yeung et al. (2024), who found that 64% of diabetes cases could be attributed to socioeconomic deprivation. Nevertheless, </w:t>
      </w:r>
      <w:r w:rsidR="00354518" w:rsidRPr="005978B5">
        <w:rPr>
          <w:rFonts w:ascii="Arial" w:hAnsi="Arial" w:cs="Arial"/>
        </w:rPr>
        <w:t xml:space="preserve">the SDH model does not fully account for why inequalities persist within the NHS, </w:t>
      </w:r>
      <w:r w:rsidR="00BB31B7" w:rsidRPr="005978B5">
        <w:rPr>
          <w:rFonts w:ascii="Arial" w:hAnsi="Arial" w:cs="Arial"/>
        </w:rPr>
        <w:t>a universal healthcare system designed to equalise access</w:t>
      </w:r>
      <w:r w:rsidRPr="005978B5">
        <w:rPr>
          <w:rFonts w:ascii="Arial" w:hAnsi="Arial" w:cs="Arial"/>
        </w:rPr>
        <w:t xml:space="preserve">. The institutional racism manifestation (Mathur et al., 2020) and cultural competence gaps (Zeh et al., 2016; </w:t>
      </w:r>
      <w:proofErr w:type="spellStart"/>
      <w:r w:rsidRPr="005978B5">
        <w:rPr>
          <w:rFonts w:ascii="Arial" w:hAnsi="Arial" w:cs="Arial"/>
        </w:rPr>
        <w:t>Omodara</w:t>
      </w:r>
      <w:proofErr w:type="spellEnd"/>
      <w:r w:rsidRPr="005978B5">
        <w:rPr>
          <w:rFonts w:ascii="Arial" w:hAnsi="Arial" w:cs="Arial"/>
        </w:rPr>
        <w:t xml:space="preserve"> et al., 2022) indicate that the model needs to be supplemented with models that capture the dynamics of institutions, rather than the upstream social factors.</w:t>
      </w:r>
    </w:p>
    <w:p w14:paraId="2F96BC2A" w14:textId="44489126" w:rsidR="00042B90" w:rsidRPr="005978B5" w:rsidRDefault="00C86227" w:rsidP="00354518">
      <w:pPr>
        <w:spacing w:line="360" w:lineRule="auto"/>
        <w:jc w:val="both"/>
        <w:rPr>
          <w:rFonts w:ascii="Arial" w:hAnsi="Arial" w:cs="Arial"/>
        </w:rPr>
      </w:pPr>
      <w:r w:rsidRPr="005978B5">
        <w:rPr>
          <w:rFonts w:ascii="Arial" w:hAnsi="Arial" w:cs="Arial"/>
        </w:rPr>
        <w:t xml:space="preserve">The Health Belief Model (HBM; Rosenstock, 1966; Champion and Skinner, 2008) explains the cultural barrier dimension. </w:t>
      </w:r>
      <w:proofErr w:type="gramStart"/>
      <w:r w:rsidRPr="005978B5">
        <w:rPr>
          <w:rFonts w:ascii="Arial" w:hAnsi="Arial" w:cs="Arial"/>
        </w:rPr>
        <w:t>Fatalistic illness beliefs,</w:t>
      </w:r>
      <w:proofErr w:type="gramEnd"/>
      <w:r w:rsidRPr="005978B5">
        <w:rPr>
          <w:rFonts w:ascii="Arial" w:hAnsi="Arial" w:cs="Arial"/>
        </w:rPr>
        <w:t xml:space="preserve"> decreased perceived susceptibility and low self-efficacy among South Asian and Black African-Caribbean participants (Patel et al., 2015b; </w:t>
      </w:r>
      <w:proofErr w:type="spellStart"/>
      <w:r w:rsidRPr="005978B5">
        <w:rPr>
          <w:rFonts w:ascii="Arial" w:hAnsi="Arial" w:cs="Arial"/>
        </w:rPr>
        <w:t>Omodara</w:t>
      </w:r>
      <w:proofErr w:type="spellEnd"/>
      <w:r w:rsidRPr="005978B5">
        <w:rPr>
          <w:rFonts w:ascii="Arial" w:hAnsi="Arial" w:cs="Arial"/>
        </w:rPr>
        <w:t xml:space="preserve"> et al., 2022) work directly through the constructs the HBM identifies. Nevertheless, the personal cognitive emphasis of the model reflects its weakness in the context of the evidence used in this review: </w:t>
      </w:r>
      <w:r w:rsidR="00354518" w:rsidRPr="005978B5">
        <w:rPr>
          <w:rFonts w:ascii="Arial" w:hAnsi="Arial" w:cs="Arial"/>
        </w:rPr>
        <w:t>structural constraints such as poverty, food insecurity and employment precarity shape self-care capacity in ways that cannot be adequately addressed through cognitive reframing alone</w:t>
      </w:r>
      <w:r w:rsidRPr="005978B5">
        <w:rPr>
          <w:rFonts w:ascii="Arial" w:hAnsi="Arial" w:cs="Arial"/>
        </w:rPr>
        <w:t>. Used alone, the HBM runs the risk of explaining structural disadvantage by individual cognitive deficits. It should be applied in conjunction with the SDH framework, not replacing it.</w:t>
      </w:r>
    </w:p>
    <w:p w14:paraId="466FFD72" w14:textId="490CC683" w:rsidR="007D286C" w:rsidRPr="005978B5" w:rsidRDefault="00C86227" w:rsidP="00354518">
      <w:pPr>
        <w:spacing w:line="360" w:lineRule="auto"/>
        <w:jc w:val="both"/>
        <w:rPr>
          <w:rFonts w:ascii="Arial" w:hAnsi="Arial" w:cs="Arial"/>
        </w:rPr>
      </w:pPr>
      <w:r w:rsidRPr="005978B5">
        <w:rPr>
          <w:rFonts w:ascii="Arial" w:hAnsi="Arial" w:cs="Arial"/>
        </w:rPr>
        <w:t xml:space="preserve">The healthcare system barrier dimension is explained directly by </w:t>
      </w:r>
      <w:r w:rsidR="00F528DF" w:rsidRPr="005978B5">
        <w:rPr>
          <w:rFonts w:ascii="Arial" w:hAnsi="Arial" w:cs="Arial"/>
        </w:rPr>
        <w:t xml:space="preserve">the </w:t>
      </w:r>
      <w:r w:rsidRPr="005978B5">
        <w:rPr>
          <w:rFonts w:ascii="Arial" w:hAnsi="Arial" w:cs="Arial"/>
        </w:rPr>
        <w:t xml:space="preserve">Andersen Behavioural Model (Andersen, 1995). The enabling factors identified by the model as determinants of healthcare utilisation are enabling resource deficits, i.e., geographical distance to DPP sites (Howarth et al., 2020), insufficient interpreter provision (Patel et al., 2015a), and culturally incompetent educational materials (Goff et al., 2020b). </w:t>
      </w:r>
      <w:r w:rsidR="00354518" w:rsidRPr="005978B5">
        <w:rPr>
          <w:rFonts w:ascii="Arial" w:hAnsi="Arial" w:cs="Arial"/>
        </w:rPr>
        <w:t>The model correctly predicts that ethnic minority non-engagement with NHS prevention services is not a reflection of clinical need difference but of enabling resource failure — confirming that structural intervention at the enabling resource level is both necessary and sufficient to improve equitable access.</w:t>
      </w:r>
      <w:r w:rsidRPr="005978B5">
        <w:rPr>
          <w:rFonts w:ascii="Arial" w:hAnsi="Arial" w:cs="Arial"/>
        </w:rPr>
        <w:t xml:space="preserve"> Collectively, the results of this review imply that none of the frameworks is adequate on its own, and a multi-layered model that integrates structural, cognitive-cultural and enabling-resource levels is needed to explain and address T2DM disparities in post-migration universal healthcare systems like the NHS.</w:t>
      </w:r>
    </w:p>
    <w:p w14:paraId="3A299E0D" w14:textId="78195779" w:rsidR="007D286C" w:rsidRPr="005978B5" w:rsidRDefault="007D286C" w:rsidP="00354518">
      <w:pPr>
        <w:pStyle w:val="font-claude-response-body"/>
        <w:spacing w:before="0" w:beforeAutospacing="0" w:after="160" w:afterAutospacing="0" w:line="360" w:lineRule="auto"/>
        <w:jc w:val="both"/>
        <w:rPr>
          <w:rFonts w:ascii="Arial" w:hAnsi="Arial" w:cs="Arial"/>
          <w:sz w:val="22"/>
          <w:szCs w:val="22"/>
          <w:lang w:val="en-GB"/>
        </w:rPr>
      </w:pPr>
    </w:p>
    <w:p w14:paraId="69A122AD" w14:textId="350C74FE" w:rsidR="007D286C" w:rsidRPr="005978B5" w:rsidRDefault="007D286C" w:rsidP="00354518">
      <w:pPr>
        <w:pStyle w:val="Heading2"/>
        <w:spacing w:line="360" w:lineRule="auto"/>
        <w:jc w:val="both"/>
        <w:rPr>
          <w:rFonts w:ascii="Arial" w:hAnsi="Arial" w:cs="Arial"/>
          <w:sz w:val="22"/>
        </w:rPr>
      </w:pPr>
      <w:bookmarkStart w:id="53" w:name="_Toc232173700"/>
      <w:r w:rsidRPr="005978B5">
        <w:rPr>
          <w:rFonts w:ascii="Arial" w:hAnsi="Arial" w:cs="Arial"/>
          <w:sz w:val="22"/>
        </w:rPr>
        <w:lastRenderedPageBreak/>
        <w:t>5.</w:t>
      </w:r>
      <w:r w:rsidR="000D12EB" w:rsidRPr="005978B5">
        <w:rPr>
          <w:rFonts w:ascii="Arial" w:hAnsi="Arial" w:cs="Arial"/>
          <w:sz w:val="22"/>
        </w:rPr>
        <w:t>2</w:t>
      </w:r>
      <w:r w:rsidRPr="005978B5">
        <w:rPr>
          <w:rFonts w:ascii="Arial" w:hAnsi="Arial" w:cs="Arial"/>
          <w:sz w:val="22"/>
        </w:rPr>
        <w:t xml:space="preserve"> Implications for Policy and Practice</w:t>
      </w:r>
      <w:bookmarkEnd w:id="53"/>
    </w:p>
    <w:p w14:paraId="65BC2B66" w14:textId="3257A8BA" w:rsidR="007D286C" w:rsidRPr="005978B5" w:rsidRDefault="00C86227" w:rsidP="00354518">
      <w:pPr>
        <w:spacing w:line="360" w:lineRule="auto"/>
        <w:jc w:val="both"/>
        <w:rPr>
          <w:rFonts w:ascii="Arial" w:hAnsi="Arial" w:cs="Arial"/>
        </w:rPr>
      </w:pPr>
      <w:r w:rsidRPr="005978B5">
        <w:rPr>
          <w:rFonts w:ascii="Arial" w:hAnsi="Arial" w:cs="Arial"/>
        </w:rPr>
        <w:t>The national policy, NHS service commissioning</w:t>
      </w:r>
      <w:r w:rsidR="00F528DF" w:rsidRPr="005978B5">
        <w:rPr>
          <w:rFonts w:ascii="Arial" w:hAnsi="Arial" w:cs="Arial"/>
        </w:rPr>
        <w:t>,</w:t>
      </w:r>
      <w:r w:rsidRPr="005978B5">
        <w:rPr>
          <w:rFonts w:ascii="Arial" w:hAnsi="Arial" w:cs="Arial"/>
        </w:rPr>
        <w:t xml:space="preserve"> and workforce development implications of the findings are profound. At the national level, the UK Government, in its Major Conditions Strategy (Department of Health and Social Care, 2023), lists diabetes as one of its priority conditions that disproportionately impact deprived and ethnic minority populations and proposes prevention as the main process of decreasing its population burden. The </w:t>
      </w:r>
      <w:r w:rsidR="00035495" w:rsidRPr="005978B5">
        <w:rPr>
          <w:rFonts w:ascii="Arial" w:hAnsi="Arial" w:cs="Arial"/>
        </w:rPr>
        <w:t>Diabetes UK (2023)</w:t>
      </w:r>
      <w:r w:rsidRPr="005978B5">
        <w:rPr>
          <w:rFonts w:ascii="Arial" w:hAnsi="Arial" w:cs="Arial"/>
        </w:rPr>
        <w:t xml:space="preserve"> provides seven calls to action, such as recognising structural racism and adopting anti-racist practices in diabetes service design, which directly translate the recommendations in this review. It is a statutory duty of NHS organisations to foster equal opportunities, and the Equality Act (2010) exposes the remaining hindrances, as identified in this review, to both a legal requirement and a clinical concern.</w:t>
      </w:r>
    </w:p>
    <w:p w14:paraId="7ED9DF1D" w14:textId="75E9A93D" w:rsidR="007D286C" w:rsidRPr="005978B5" w:rsidRDefault="00F528DF" w:rsidP="00354518">
      <w:pPr>
        <w:spacing w:line="360" w:lineRule="auto"/>
        <w:jc w:val="both"/>
        <w:rPr>
          <w:rFonts w:ascii="Arial" w:hAnsi="Arial" w:cs="Arial"/>
        </w:rPr>
      </w:pPr>
      <w:r w:rsidRPr="005978B5">
        <w:rPr>
          <w:rFonts w:ascii="Arial" w:hAnsi="Arial" w:cs="Arial"/>
        </w:rPr>
        <w:t xml:space="preserve">The </w:t>
      </w:r>
      <w:r w:rsidR="00C86227" w:rsidRPr="005978B5">
        <w:rPr>
          <w:rFonts w:ascii="Arial" w:hAnsi="Arial" w:cs="Arial"/>
        </w:rPr>
        <w:t>Core20PLUS5 framework (NHS England, 2021) provides the most feasible tool to support change at the NHS commissioning level. However, Elliott et al. (2025) in their content analysis of 43 Integrated Care System strategy documents found that local Core20PLUS5 adoption varied a lot. Accountability mechanisms to make sure published equity guidance is translated into structural change must be strengthened, as per the monitoring role Kapadia et al. (2022) cited as one of the NHS Race and Health Observatory.</w:t>
      </w:r>
    </w:p>
    <w:p w14:paraId="07514D6E" w14:textId="69B91D50" w:rsidR="007D286C" w:rsidRPr="005978B5" w:rsidRDefault="006A5A6E" w:rsidP="00354518">
      <w:pPr>
        <w:spacing w:line="360" w:lineRule="auto"/>
        <w:jc w:val="both"/>
        <w:rPr>
          <w:rFonts w:ascii="Arial" w:hAnsi="Arial" w:cs="Arial"/>
        </w:rPr>
      </w:pPr>
      <w:r w:rsidRPr="005978B5">
        <w:rPr>
          <w:rFonts w:ascii="Arial" w:hAnsi="Arial" w:cs="Arial"/>
        </w:rPr>
        <w:t xml:space="preserve">At the service level, there is strong evidence in commissioning culturally adapted structured diabetes self-management education and support (DSMES) as a standard and equity-driven part of NHS diabetes care. The HEAL-D programme provides direct evidence that culturally tailored interventions are feasible, acceptable and </w:t>
      </w:r>
      <w:r w:rsidR="007C1006" w:rsidRPr="005978B5">
        <w:rPr>
          <w:rFonts w:ascii="Arial" w:hAnsi="Arial" w:cs="Arial"/>
        </w:rPr>
        <w:t xml:space="preserve">effective </w:t>
      </w:r>
      <w:r w:rsidR="00D15E9E" w:rsidRPr="005978B5">
        <w:rPr>
          <w:rFonts w:ascii="Arial" w:hAnsi="Arial" w:cs="Arial"/>
        </w:rPr>
        <w:t xml:space="preserve">(Goff et al., 2021; Low et al., 2024; </w:t>
      </w:r>
      <w:proofErr w:type="spellStart"/>
      <w:r w:rsidR="00D15E9E" w:rsidRPr="005978B5">
        <w:rPr>
          <w:rFonts w:ascii="Arial" w:hAnsi="Arial" w:cs="Arial"/>
        </w:rPr>
        <w:t>Dallosso</w:t>
      </w:r>
      <w:proofErr w:type="spellEnd"/>
      <w:r w:rsidR="00D15E9E" w:rsidRPr="005978B5">
        <w:rPr>
          <w:rFonts w:ascii="Arial" w:hAnsi="Arial" w:cs="Arial"/>
        </w:rPr>
        <w:t xml:space="preserve"> et al., 2022; Grant and Litchfield, 2024; Ramasawmy et al., 2022). </w:t>
      </w:r>
      <w:r w:rsidRPr="005978B5">
        <w:rPr>
          <w:rFonts w:ascii="Arial" w:hAnsi="Arial" w:cs="Arial"/>
        </w:rPr>
        <w:t xml:space="preserve">According to Abu and </w:t>
      </w:r>
      <w:proofErr w:type="spellStart"/>
      <w:r w:rsidRPr="005978B5">
        <w:rPr>
          <w:rFonts w:ascii="Arial" w:hAnsi="Arial" w:cs="Arial"/>
        </w:rPr>
        <w:t>Llahana</w:t>
      </w:r>
      <w:proofErr w:type="spellEnd"/>
      <w:r w:rsidRPr="005978B5">
        <w:rPr>
          <w:rFonts w:ascii="Arial" w:hAnsi="Arial" w:cs="Arial"/>
        </w:rPr>
        <w:t xml:space="preserve"> (2025), co-production, building community trust and cultural customisation are key enablers that should be built in, not added afterwards. Community health worker model, interpreter sustained services and linguistically accessible health information must be identified as structural needs towards achieving equitable T2DM delivery in all four UK countries.</w:t>
      </w:r>
    </w:p>
    <w:p w14:paraId="22FC1E5B" w14:textId="3E659D4E" w:rsidR="00EA662D" w:rsidRPr="005978B5" w:rsidRDefault="006A5A6E" w:rsidP="00354518">
      <w:pPr>
        <w:spacing w:line="360" w:lineRule="auto"/>
        <w:jc w:val="both"/>
        <w:rPr>
          <w:rFonts w:ascii="Arial" w:hAnsi="Arial" w:cs="Arial"/>
        </w:rPr>
      </w:pPr>
      <w:r w:rsidRPr="005978B5">
        <w:rPr>
          <w:rFonts w:ascii="Arial" w:hAnsi="Arial" w:cs="Arial"/>
        </w:rPr>
        <w:t xml:space="preserve">The unfair allocation of prevention </w:t>
      </w:r>
      <w:r w:rsidR="00F528DF" w:rsidRPr="005978B5">
        <w:rPr>
          <w:rFonts w:ascii="Arial" w:hAnsi="Arial" w:cs="Arial"/>
        </w:rPr>
        <w:t>benefits</w:t>
      </w:r>
      <w:r w:rsidRPr="005978B5">
        <w:rPr>
          <w:rFonts w:ascii="Arial" w:hAnsi="Arial" w:cs="Arial"/>
        </w:rPr>
        <w:t xml:space="preserve"> observed in this review can be directly compared to international evidence.</w:t>
      </w:r>
      <w:r w:rsidR="00BB31B7" w:rsidRPr="005978B5">
        <w:rPr>
          <w:rFonts w:ascii="Arial" w:hAnsi="Arial" w:cs="Arial"/>
        </w:rPr>
        <w:t xml:space="preserve"> </w:t>
      </w:r>
      <w:r w:rsidRPr="005978B5">
        <w:rPr>
          <w:rFonts w:ascii="Arial" w:hAnsi="Arial" w:cs="Arial"/>
        </w:rPr>
        <w:t>This comparative aspect reinforces the argument of structurally embedded, not individually targeted, responses, and the argument by Kapadia et al. (2022) that anti-racist frameworks need operationalisation at the commissioning level, not to be only recognised at the policy level.</w:t>
      </w:r>
    </w:p>
    <w:p w14:paraId="0D94BE5E" w14:textId="77777777" w:rsidR="000D12EB" w:rsidRPr="005978B5" w:rsidRDefault="000D12EB" w:rsidP="00354518">
      <w:pPr>
        <w:spacing w:line="360" w:lineRule="auto"/>
        <w:jc w:val="both"/>
        <w:rPr>
          <w:rFonts w:ascii="Arial" w:hAnsi="Arial" w:cs="Arial"/>
        </w:rPr>
      </w:pPr>
    </w:p>
    <w:p w14:paraId="55142C08" w14:textId="3B519F87" w:rsidR="007D286C" w:rsidRPr="005978B5" w:rsidRDefault="007D286C" w:rsidP="00354518">
      <w:pPr>
        <w:pStyle w:val="Heading2"/>
        <w:spacing w:line="360" w:lineRule="auto"/>
        <w:jc w:val="both"/>
        <w:rPr>
          <w:rFonts w:ascii="Arial" w:hAnsi="Arial" w:cs="Arial"/>
          <w:sz w:val="22"/>
        </w:rPr>
      </w:pPr>
      <w:bookmarkStart w:id="54" w:name="_Toc232173701"/>
      <w:r w:rsidRPr="005978B5">
        <w:rPr>
          <w:rFonts w:ascii="Arial" w:hAnsi="Arial" w:cs="Arial"/>
          <w:sz w:val="22"/>
        </w:rPr>
        <w:lastRenderedPageBreak/>
        <w:t>5.</w:t>
      </w:r>
      <w:r w:rsidR="000D12EB" w:rsidRPr="005978B5">
        <w:rPr>
          <w:rFonts w:ascii="Arial" w:hAnsi="Arial" w:cs="Arial"/>
          <w:sz w:val="22"/>
        </w:rPr>
        <w:t>3</w:t>
      </w:r>
      <w:r w:rsidRPr="005978B5">
        <w:rPr>
          <w:rFonts w:ascii="Arial" w:hAnsi="Arial" w:cs="Arial"/>
          <w:sz w:val="22"/>
        </w:rPr>
        <w:t xml:space="preserve"> Strengths, Limitations and Future Research Directions</w:t>
      </w:r>
      <w:bookmarkEnd w:id="54"/>
    </w:p>
    <w:p w14:paraId="43E073C9" w14:textId="77777777" w:rsidR="00EB0E01" w:rsidRPr="005978B5" w:rsidRDefault="00EB0E01" w:rsidP="00EB0E01">
      <w:pPr>
        <w:spacing w:line="360" w:lineRule="auto"/>
        <w:jc w:val="both"/>
        <w:rPr>
          <w:rFonts w:ascii="Arial" w:hAnsi="Arial" w:cs="Arial"/>
        </w:rPr>
      </w:pPr>
      <w:r w:rsidRPr="005978B5">
        <w:rPr>
          <w:rFonts w:ascii="Arial" w:hAnsi="Arial" w:cs="Arial"/>
        </w:rPr>
        <w:t>This review has several methodological strengths. The use of a pre-specified, PRISMA 2020-compliant protocol (Page et al., 2021) ensured transparency and reproducibility. Thematic synthesis based on Thomas and Harden (2008) enabled the coherent integration of both qualitative and quantitative data and was true to the overall study results. CASP appraisal of all 15 included studies ensured methodologically acceptable evidence used in the synthesis, and conferred contextual and policy coherence.</w:t>
      </w:r>
    </w:p>
    <w:p w14:paraId="0D46D791" w14:textId="290A2C1F" w:rsidR="007D286C" w:rsidRPr="005978B5" w:rsidRDefault="00EB0E01" w:rsidP="00EB0E01">
      <w:pPr>
        <w:spacing w:line="360" w:lineRule="auto"/>
        <w:jc w:val="both"/>
        <w:rPr>
          <w:rFonts w:ascii="Arial" w:hAnsi="Arial" w:cs="Arial"/>
        </w:rPr>
      </w:pPr>
      <w:r w:rsidRPr="005978B5">
        <w:rPr>
          <w:rFonts w:ascii="Arial" w:hAnsi="Arial" w:cs="Arial"/>
          <w:kern w:val="0"/>
          <w14:ligatures w14:val="none"/>
        </w:rPr>
        <w:t xml:space="preserve">This review has </w:t>
      </w:r>
      <w:r w:rsidR="004D17BA" w:rsidRPr="005978B5">
        <w:rPr>
          <w:rFonts w:ascii="Arial" w:hAnsi="Arial" w:cs="Arial"/>
          <w:kern w:val="0"/>
          <w14:ligatures w14:val="none"/>
        </w:rPr>
        <w:t>several</w:t>
      </w:r>
      <w:r w:rsidRPr="005978B5">
        <w:rPr>
          <w:rFonts w:ascii="Arial" w:hAnsi="Arial" w:cs="Arial"/>
          <w:kern w:val="0"/>
          <w14:ligatures w14:val="none"/>
        </w:rPr>
        <w:t xml:space="preserve"> limitations. To begin with, it considered only peer-reviewed published materials, disqualifying grey literature, third-sector organisational reports and community-based evidence, which might reflect service-user views not reflected in scholarly journals. Second, four databases were searched, and the omission of Embase, Web of Science and PsycINFO could exclude relevant studies (Bramer et al., 2017). Third, a single reviewer did all screening, quality appraisal and data extraction, introducing the risk of selection bias and lowering the rigour of the study selection process than dual-reviewer designs suggested by Higgins et al. (2023). Fourth, the studies that have been included are highly focused on South Asian communities and Black African or Caribbean communities in urban </w:t>
      </w:r>
      <w:r w:rsidR="004D17BA" w:rsidRPr="005978B5">
        <w:rPr>
          <w:rFonts w:ascii="Arial" w:hAnsi="Arial" w:cs="Arial"/>
          <w:kern w:val="0"/>
          <w14:ligatures w14:val="none"/>
        </w:rPr>
        <w:t>England</w:t>
      </w:r>
      <w:r w:rsidRPr="005978B5">
        <w:rPr>
          <w:rFonts w:ascii="Arial" w:hAnsi="Arial" w:cs="Arial"/>
          <w:kern w:val="0"/>
          <w14:ligatures w14:val="none"/>
        </w:rPr>
        <w:t xml:space="preserve">, limiting the generalizability of the results to other ethnic minorities and devolved countries. </w:t>
      </w:r>
      <w:proofErr w:type="spellStart"/>
      <w:r w:rsidRPr="005978B5">
        <w:rPr>
          <w:rFonts w:ascii="Arial" w:hAnsi="Arial" w:cs="Arial"/>
          <w:kern w:val="0"/>
          <w14:ligatures w14:val="none"/>
        </w:rPr>
        <w:t>Stalmeijer</w:t>
      </w:r>
      <w:proofErr w:type="spellEnd"/>
      <w:r w:rsidRPr="005978B5">
        <w:rPr>
          <w:rFonts w:ascii="Arial" w:hAnsi="Arial" w:cs="Arial"/>
          <w:kern w:val="0"/>
          <w14:ligatures w14:val="none"/>
        </w:rPr>
        <w:t>, Brown and O’Brien (2024) warn that the transferability of qualitative results should be evaluated explicitly</w:t>
      </w:r>
      <w:r w:rsidR="004D17BA" w:rsidRPr="005978B5">
        <w:rPr>
          <w:rFonts w:ascii="Arial" w:hAnsi="Arial" w:cs="Arial"/>
          <w:kern w:val="0"/>
          <w14:ligatures w14:val="none"/>
        </w:rPr>
        <w:t>,</w:t>
      </w:r>
      <w:r w:rsidRPr="005978B5">
        <w:rPr>
          <w:rFonts w:ascii="Arial" w:hAnsi="Arial" w:cs="Arial"/>
          <w:kern w:val="0"/>
          <w14:ligatures w14:val="none"/>
        </w:rPr>
        <w:t xml:space="preserve"> and this restriction directly applies here. Lastly, the long-term clinical effectiveness of culturally adapted interventions like HEAL-D has little evidence; the available trials were not long-term (Goff et al., 2021; Low et al., 2024).</w:t>
      </w:r>
    </w:p>
    <w:p w14:paraId="71C88F85" w14:textId="078FEF16" w:rsidR="007D286C" w:rsidRPr="005978B5" w:rsidRDefault="00EA7BC6" w:rsidP="00354518">
      <w:pPr>
        <w:spacing w:line="360" w:lineRule="auto"/>
        <w:jc w:val="both"/>
        <w:rPr>
          <w:rFonts w:ascii="Arial" w:hAnsi="Arial" w:cs="Arial"/>
        </w:rPr>
      </w:pPr>
      <w:r w:rsidRPr="005978B5">
        <w:rPr>
          <w:rFonts w:ascii="Arial" w:hAnsi="Arial" w:cs="Arial"/>
        </w:rPr>
        <w:t>Several</w:t>
      </w:r>
      <w:r w:rsidR="006A5A6E" w:rsidRPr="005978B5">
        <w:rPr>
          <w:rFonts w:ascii="Arial" w:hAnsi="Arial" w:cs="Arial"/>
        </w:rPr>
        <w:t xml:space="preserve"> research priorities </w:t>
      </w:r>
      <w:r w:rsidR="00F528DF" w:rsidRPr="005978B5">
        <w:rPr>
          <w:rFonts w:ascii="Arial" w:hAnsi="Arial" w:cs="Arial"/>
        </w:rPr>
        <w:t>emerge</w:t>
      </w:r>
      <w:r w:rsidR="006A5A6E" w:rsidRPr="005978B5">
        <w:rPr>
          <w:rFonts w:ascii="Arial" w:hAnsi="Arial" w:cs="Arial"/>
        </w:rPr>
        <w:t xml:space="preserve">. </w:t>
      </w:r>
      <w:proofErr w:type="spellStart"/>
      <w:r w:rsidR="006A5A6E" w:rsidRPr="005978B5">
        <w:rPr>
          <w:rFonts w:ascii="Arial" w:hAnsi="Arial" w:cs="Arial"/>
        </w:rPr>
        <w:t>Katangwe-Chigamba</w:t>
      </w:r>
      <w:proofErr w:type="spellEnd"/>
      <w:r w:rsidR="006A5A6E" w:rsidRPr="005978B5">
        <w:rPr>
          <w:rFonts w:ascii="Arial" w:hAnsi="Arial" w:cs="Arial"/>
        </w:rPr>
        <w:t xml:space="preserve"> et al. (2025) list black African and Caribbean populations as having been critically underrepresented in the UK lifestyle intervention </w:t>
      </w:r>
      <w:r w:rsidR="00F528DF" w:rsidRPr="005978B5">
        <w:rPr>
          <w:rFonts w:ascii="Arial" w:hAnsi="Arial" w:cs="Arial"/>
        </w:rPr>
        <w:t>research</w:t>
      </w:r>
      <w:r w:rsidR="006A5A6E" w:rsidRPr="005978B5">
        <w:rPr>
          <w:rFonts w:ascii="Arial" w:hAnsi="Arial" w:cs="Arial"/>
        </w:rPr>
        <w:t xml:space="preserve"> and require co-production of culturally based studies that have long-term clinical outcomes. Chan et al. (2023) outline patient and public involvement, implementation science and disaggregated ethnicity data collection as key priorities to equitable diabetes research. Future systematic reviews should increase coverage of databases, to underrepresented UK countries and communities, and focus on the co-produced community-based models and culturally adapted digital health tools.</w:t>
      </w:r>
    </w:p>
    <w:p w14:paraId="3636DAD7" w14:textId="27C555D2" w:rsidR="007D286C" w:rsidRPr="005978B5" w:rsidRDefault="007D286C" w:rsidP="00354518">
      <w:pPr>
        <w:pStyle w:val="Heading2"/>
        <w:spacing w:line="360" w:lineRule="auto"/>
        <w:jc w:val="both"/>
        <w:rPr>
          <w:rFonts w:ascii="Arial" w:hAnsi="Arial" w:cs="Arial"/>
          <w:sz w:val="22"/>
        </w:rPr>
      </w:pPr>
      <w:bookmarkStart w:id="55" w:name="_Toc232173702"/>
      <w:r w:rsidRPr="005978B5">
        <w:rPr>
          <w:rFonts w:ascii="Arial" w:hAnsi="Arial" w:cs="Arial"/>
          <w:sz w:val="22"/>
        </w:rPr>
        <w:t>5.</w:t>
      </w:r>
      <w:r w:rsidR="000D12EB" w:rsidRPr="005978B5">
        <w:rPr>
          <w:rFonts w:ascii="Arial" w:hAnsi="Arial" w:cs="Arial"/>
          <w:sz w:val="22"/>
        </w:rPr>
        <w:t>4</w:t>
      </w:r>
      <w:r w:rsidRPr="005978B5">
        <w:rPr>
          <w:rFonts w:ascii="Arial" w:hAnsi="Arial" w:cs="Arial"/>
          <w:sz w:val="22"/>
        </w:rPr>
        <w:t xml:space="preserve"> Critical Reflection</w:t>
      </w:r>
      <w:bookmarkEnd w:id="55"/>
    </w:p>
    <w:p w14:paraId="71764CA2" w14:textId="1A541B31" w:rsidR="007D286C" w:rsidRPr="005978B5" w:rsidRDefault="006A5A6E" w:rsidP="00354518">
      <w:pPr>
        <w:spacing w:line="360" w:lineRule="auto"/>
        <w:jc w:val="both"/>
        <w:rPr>
          <w:rFonts w:ascii="Arial" w:hAnsi="Arial" w:cs="Arial"/>
        </w:rPr>
      </w:pPr>
      <w:r w:rsidRPr="005978B5">
        <w:rPr>
          <w:rFonts w:ascii="Arial" w:hAnsi="Arial" w:cs="Arial"/>
        </w:rPr>
        <w:t xml:space="preserve">This part discusses </w:t>
      </w:r>
      <w:r w:rsidR="00862B9C" w:rsidRPr="005978B5">
        <w:rPr>
          <w:rFonts w:ascii="Arial" w:hAnsi="Arial" w:cs="Arial"/>
        </w:rPr>
        <w:t>the module's critical reflection learning outcome</w:t>
      </w:r>
      <w:r w:rsidRPr="005978B5">
        <w:rPr>
          <w:rFonts w:ascii="Arial" w:hAnsi="Arial" w:cs="Arial"/>
        </w:rPr>
        <w:t xml:space="preserve">, which involves critically reflecting on the process of doing this research. The use of this systematic review has gone a long way in enhancing my ability as a public health practitioner to critically </w:t>
      </w:r>
      <w:r w:rsidR="00F528DF" w:rsidRPr="005978B5">
        <w:rPr>
          <w:rFonts w:ascii="Arial" w:hAnsi="Arial" w:cs="Arial"/>
        </w:rPr>
        <w:t>analyse</w:t>
      </w:r>
      <w:r w:rsidRPr="005978B5">
        <w:rPr>
          <w:rFonts w:ascii="Arial" w:hAnsi="Arial" w:cs="Arial"/>
        </w:rPr>
        <w:t xml:space="preserve"> evidence, to use theoretical frameworks and combine the various study designs into evidence that is policy-relevant. The breadth of the evidence that forms ethnic minority T2DM disparities has </w:t>
      </w:r>
      <w:r w:rsidRPr="005978B5">
        <w:rPr>
          <w:rFonts w:ascii="Arial" w:hAnsi="Arial" w:cs="Arial"/>
        </w:rPr>
        <w:lastRenderedPageBreak/>
        <w:t>given me a clearer understanding of how structural, cultural and institutional factors interact to create health disparities and reinforce my belief that equitable practice would imply systemic thinking that goes far beyond the individual clinical management level. All these steps to implement the PRISMA 2020 protocol and CASP quality appraisal tools have enhanced my methodological trust and my ability to put a systematically developed evidence into practical public health consideration.</w:t>
      </w:r>
    </w:p>
    <w:p w14:paraId="6266DD95" w14:textId="69558F1B" w:rsidR="007D286C" w:rsidRPr="005978B5" w:rsidRDefault="006A5A6E" w:rsidP="00354518">
      <w:pPr>
        <w:spacing w:line="360" w:lineRule="auto"/>
        <w:jc w:val="both"/>
        <w:rPr>
          <w:rFonts w:ascii="Arial" w:hAnsi="Arial" w:cs="Arial"/>
        </w:rPr>
      </w:pPr>
      <w:r w:rsidRPr="005978B5">
        <w:rPr>
          <w:rFonts w:ascii="Arial" w:hAnsi="Arial" w:cs="Arial"/>
        </w:rPr>
        <w:t xml:space="preserve">A key learning point is that I must explore my positionality and values that I will apply to a research question that focuses on equity. The need to maintain analytical rigour and actively engage in reflexivity was necessitated by the active study data involvement that I needed to maintain critical thinking during the examination of evidence of structural racism and systemic injustice. This aligns with causality standards of reflexivity in the process of synthesising evidence in qualitative research (Langlois, Daniels and Akl, 2018). This review has confirmed that health equity is not a fringe issue, as opposed to a mainstream professional and ethical aspect of the practice of public health practitioners. Uday (2025) cites the ongoing disparity between the institutional awareness of ethnic disparities in diabetes care and action as </w:t>
      </w:r>
      <w:r w:rsidR="00F528DF" w:rsidRPr="005978B5">
        <w:rPr>
          <w:rFonts w:ascii="Arial" w:hAnsi="Arial" w:cs="Arial"/>
        </w:rPr>
        <w:t>a</w:t>
      </w:r>
      <w:r w:rsidRPr="005978B5">
        <w:rPr>
          <w:rFonts w:ascii="Arial" w:hAnsi="Arial" w:cs="Arial"/>
        </w:rPr>
        <w:t xml:space="preserve"> problematic issue </w:t>
      </w:r>
      <w:r w:rsidR="00F528DF" w:rsidRPr="005978B5">
        <w:rPr>
          <w:rFonts w:ascii="Arial" w:hAnsi="Arial" w:cs="Arial"/>
        </w:rPr>
        <w:t>in</w:t>
      </w:r>
      <w:r w:rsidRPr="005978B5">
        <w:rPr>
          <w:rFonts w:ascii="Arial" w:hAnsi="Arial" w:cs="Arial"/>
        </w:rPr>
        <w:t xml:space="preserve"> the field in the United Kingdom.</w:t>
      </w:r>
    </w:p>
    <w:p w14:paraId="730D6F1A" w14:textId="77777777" w:rsidR="007D286C" w:rsidRPr="005978B5" w:rsidRDefault="007D286C" w:rsidP="00354518">
      <w:pPr>
        <w:spacing w:line="360" w:lineRule="auto"/>
        <w:jc w:val="both"/>
        <w:rPr>
          <w:rFonts w:ascii="Arial" w:hAnsi="Arial" w:cs="Arial"/>
        </w:rPr>
      </w:pPr>
      <w:r w:rsidRPr="005978B5">
        <w:rPr>
          <w:rFonts w:ascii="Arial" w:hAnsi="Arial" w:cs="Arial"/>
        </w:rPr>
        <w:br w:type="page"/>
      </w:r>
    </w:p>
    <w:p w14:paraId="37298599" w14:textId="2EBB7AD7" w:rsidR="007D286C" w:rsidRPr="005978B5" w:rsidRDefault="007D286C" w:rsidP="00354518">
      <w:pPr>
        <w:pStyle w:val="Heading1"/>
        <w:spacing w:line="360" w:lineRule="auto"/>
        <w:jc w:val="both"/>
        <w:rPr>
          <w:rFonts w:ascii="Arial" w:hAnsi="Arial" w:cs="Arial"/>
          <w:sz w:val="22"/>
        </w:rPr>
      </w:pPr>
      <w:bookmarkStart w:id="56" w:name="_Toc232173703"/>
      <w:r w:rsidRPr="005978B5">
        <w:rPr>
          <w:rFonts w:ascii="Arial" w:hAnsi="Arial" w:cs="Arial"/>
          <w:sz w:val="22"/>
        </w:rPr>
        <w:lastRenderedPageBreak/>
        <w:t>Chapter 6 – Conclusion and Recommendations</w:t>
      </w:r>
      <w:bookmarkEnd w:id="56"/>
    </w:p>
    <w:p w14:paraId="65D332E8" w14:textId="0CD5A253" w:rsidR="007D286C" w:rsidRPr="005978B5" w:rsidRDefault="007D286C" w:rsidP="00354518">
      <w:pPr>
        <w:pStyle w:val="Heading2"/>
        <w:spacing w:line="360" w:lineRule="auto"/>
        <w:jc w:val="both"/>
        <w:rPr>
          <w:rFonts w:ascii="Arial" w:hAnsi="Arial" w:cs="Arial"/>
          <w:color w:val="C00000"/>
          <w:sz w:val="22"/>
        </w:rPr>
      </w:pPr>
      <w:bookmarkStart w:id="57" w:name="_Toc232173704"/>
      <w:r w:rsidRPr="005978B5">
        <w:rPr>
          <w:rFonts w:ascii="Arial" w:hAnsi="Arial" w:cs="Arial"/>
          <w:sz w:val="22"/>
        </w:rPr>
        <w:t>6.1 Conclusion</w:t>
      </w:r>
      <w:bookmarkEnd w:id="57"/>
    </w:p>
    <w:p w14:paraId="00884799" w14:textId="13580F62" w:rsidR="007D5D49" w:rsidRPr="005978B5" w:rsidRDefault="006A5A6E" w:rsidP="00354518">
      <w:pPr>
        <w:spacing w:line="360" w:lineRule="auto"/>
        <w:jc w:val="both"/>
        <w:rPr>
          <w:rFonts w:ascii="Arial" w:hAnsi="Arial" w:cs="Arial"/>
        </w:rPr>
      </w:pPr>
      <w:r w:rsidRPr="005978B5">
        <w:rPr>
          <w:rFonts w:ascii="Arial" w:hAnsi="Arial" w:cs="Arial"/>
        </w:rPr>
        <w:t xml:space="preserve">This systematic review examined the socioeconomic, cultural and healthcare system barriers to the prevention and management of type 2 diabetes mellitus (T2DM) in adults of ethnic minorities in the United Kingdom, and the translation of these barriers into quantifiable health outcome disparities. Based on 15 peer-reviewed UK-based studies published between </w:t>
      </w:r>
      <w:r w:rsidR="00292470" w:rsidRPr="00292470">
        <w:rPr>
          <w:rFonts w:ascii="Arial" w:hAnsi="Arial" w:cs="Arial"/>
        </w:rPr>
        <w:t>2015 and 2026</w:t>
      </w:r>
      <w:r w:rsidRPr="005978B5">
        <w:rPr>
          <w:rFonts w:ascii="Arial" w:hAnsi="Arial" w:cs="Arial"/>
        </w:rPr>
        <w:t>, and synthesised according to PRISMA 2020 standards, the review synthesised all three barrier domains into one, UK-specific evidence framework - a feat not previously accomplished in the literature.</w:t>
      </w:r>
    </w:p>
    <w:p w14:paraId="072F71FB" w14:textId="40300AEA" w:rsidR="007D5D49" w:rsidRPr="005978B5" w:rsidRDefault="006A5A6E" w:rsidP="00354518">
      <w:pPr>
        <w:spacing w:line="360" w:lineRule="auto"/>
        <w:jc w:val="both"/>
        <w:rPr>
          <w:rFonts w:ascii="Arial" w:hAnsi="Arial" w:cs="Arial"/>
        </w:rPr>
      </w:pPr>
      <w:r w:rsidRPr="005978B5">
        <w:rPr>
          <w:rFonts w:ascii="Arial" w:hAnsi="Arial" w:cs="Arial"/>
        </w:rPr>
        <w:t xml:space="preserve">The main conclusion is clear: the ethnic minority T2DM disparities in the UK are </w:t>
      </w:r>
      <w:r w:rsidR="00354518" w:rsidRPr="005978B5">
        <w:rPr>
          <w:rFonts w:ascii="Arial" w:hAnsi="Arial" w:cs="Arial"/>
        </w:rPr>
        <w:t>systemically generated, structurally sustained and structurally remediable</w:t>
      </w:r>
      <w:r w:rsidRPr="005978B5">
        <w:rPr>
          <w:rFonts w:ascii="Arial" w:hAnsi="Arial" w:cs="Arial"/>
        </w:rPr>
        <w:t xml:space="preserve">. They do not result </w:t>
      </w:r>
      <w:r w:rsidR="00F528DF" w:rsidRPr="005978B5">
        <w:rPr>
          <w:rFonts w:ascii="Arial" w:hAnsi="Arial" w:cs="Arial"/>
        </w:rPr>
        <w:t>from</w:t>
      </w:r>
      <w:r w:rsidRPr="005978B5">
        <w:rPr>
          <w:rFonts w:ascii="Arial" w:hAnsi="Arial" w:cs="Arial"/>
        </w:rPr>
        <w:t xml:space="preserve"> individual behaviour, cultural deficit or biological predisposition. Socioeconomic deprivation, which explains about 64% of diabetes cases in a single large cohort in Birmingham (Au-Yeung et al., 2024), is an independent and additive risk factor in the same way as ethnicity. Engagement is mediated by cultural barriers, such as illness beliefs based on the frameworks of spiritual beliefs, Ramadan-specific clinical risk, incompatible diet and migration-related health system mismatch. Barriers to healthcare systems, such as the lack of cultural competence, structural inequity in the design of NHS DPP, and institutional racism, are independent predictors of treatment delays both in a </w:t>
      </w:r>
      <w:r w:rsidR="00F528DF" w:rsidRPr="005978B5">
        <w:rPr>
          <w:rFonts w:ascii="Arial" w:hAnsi="Arial" w:cs="Arial"/>
        </w:rPr>
        <w:t>162,238-patient</w:t>
      </w:r>
      <w:r w:rsidRPr="005978B5">
        <w:rPr>
          <w:rFonts w:ascii="Arial" w:hAnsi="Arial" w:cs="Arial"/>
        </w:rPr>
        <w:t xml:space="preserve"> study of 27 years (Mathur et al., 2020) and in a </w:t>
      </w:r>
      <w:r w:rsidR="00F528DF" w:rsidRPr="005978B5">
        <w:rPr>
          <w:rFonts w:ascii="Arial" w:hAnsi="Arial" w:cs="Arial"/>
        </w:rPr>
        <w:t>31,931-patient</w:t>
      </w:r>
      <w:r w:rsidRPr="005978B5">
        <w:rPr>
          <w:rFonts w:ascii="Arial" w:hAnsi="Arial" w:cs="Arial"/>
        </w:rPr>
        <w:t xml:space="preserve"> East London study (Mathur et al., 2022).</w:t>
      </w:r>
    </w:p>
    <w:p w14:paraId="291BE08A" w14:textId="52006DC9" w:rsidR="007D5D49" w:rsidRPr="005978B5" w:rsidRDefault="006A5A6E" w:rsidP="00354518">
      <w:pPr>
        <w:spacing w:line="360" w:lineRule="auto"/>
        <w:jc w:val="both"/>
        <w:rPr>
          <w:rFonts w:ascii="Arial" w:hAnsi="Arial" w:cs="Arial"/>
        </w:rPr>
      </w:pPr>
      <w:r w:rsidRPr="005978B5">
        <w:rPr>
          <w:rFonts w:ascii="Arial" w:hAnsi="Arial" w:cs="Arial"/>
        </w:rPr>
        <w:t xml:space="preserve">The three theoretical frameworks used (the Social Determinants of Health model, the Health Belief Model, and the Behavioural Model of Andersen) reveal that equitable T2DM care cannot be implemented through the intervention at a single level. Response is demanded institutionally, structurally and culturally in parallel. The reviewed evidence confirms that culturally adapted methods are effective: the HEAL-D programme shows that culturally responsive service design is not only possible but also effective (Goff et al., 2021; Low et al., 2024), which means that anything that does not lead to equity in mainstream provision is not a failure of clinical possibility, but a failure of commissioning policy. The need to work on these disparities is not only a clinical imperative but a legal requirement in the Equality Act (2010) and a direct requirement of the Core20PLUS5 framework (NHS England, 2021). The evidence clustering in South Asian and Black African or Caribbean populations in urban English settings is a real limitation of the existing evidence base, as </w:t>
      </w:r>
      <w:r w:rsidR="00F528DF" w:rsidRPr="005978B5">
        <w:rPr>
          <w:rFonts w:ascii="Arial" w:hAnsi="Arial" w:cs="Arial"/>
        </w:rPr>
        <w:t>realised</w:t>
      </w:r>
      <w:r w:rsidRPr="005978B5">
        <w:rPr>
          <w:rFonts w:ascii="Arial" w:hAnsi="Arial" w:cs="Arial"/>
        </w:rPr>
        <w:t xml:space="preserve"> under Section 4.4.1. The voices of Chinese, mixed-heritage, Eastern European, Gypsy and Traveller and other ethnic minority communities - and those in the rural regions and the devolved nations - are not well represented in research on UK T2DM. The focus of future studies should be on co-produced, </w:t>
      </w:r>
      <w:r w:rsidRPr="005978B5">
        <w:rPr>
          <w:rFonts w:ascii="Arial" w:hAnsi="Arial" w:cs="Arial"/>
        </w:rPr>
        <w:lastRenderedPageBreak/>
        <w:t xml:space="preserve">community-based research within such populations with the use of long-term clinical outcome measures to establish whether the culturally adapted interventions identified in this review yield lasting changes in glycaemic control, complication rates and quality of life. The disjunction between the evidenced and commissioned T2DM care constitutes the central challenge of fair T2DM care in the UK. The review adds a theoretically anchored, thoroughly evaluated synthesis that enhances the evidence base to which commissioners, policy makers and practitioners devoted to </w:t>
      </w:r>
      <w:r w:rsidR="00F528DF" w:rsidRPr="005978B5">
        <w:rPr>
          <w:rFonts w:ascii="Arial" w:hAnsi="Arial" w:cs="Arial"/>
        </w:rPr>
        <w:t>realising</w:t>
      </w:r>
      <w:r w:rsidRPr="005978B5">
        <w:rPr>
          <w:rFonts w:ascii="Arial" w:hAnsi="Arial" w:cs="Arial"/>
        </w:rPr>
        <w:t xml:space="preserve"> equitable T2DM outcomes in the UK can refer to. </w:t>
      </w:r>
    </w:p>
    <w:p w14:paraId="0B3B13F8" w14:textId="77777777" w:rsidR="007D5D49" w:rsidRPr="005978B5" w:rsidRDefault="007D5D49" w:rsidP="00354518">
      <w:pPr>
        <w:spacing w:line="360" w:lineRule="auto"/>
        <w:jc w:val="both"/>
        <w:rPr>
          <w:rFonts w:ascii="Arial" w:hAnsi="Arial" w:cs="Arial"/>
          <w:b/>
          <w:bCs/>
          <w:color w:val="C00000"/>
        </w:rPr>
      </w:pPr>
    </w:p>
    <w:p w14:paraId="7254DF46" w14:textId="77777777" w:rsidR="007D286C" w:rsidRPr="005978B5" w:rsidRDefault="007D286C" w:rsidP="00354518">
      <w:pPr>
        <w:pStyle w:val="Heading2"/>
        <w:spacing w:line="360" w:lineRule="auto"/>
        <w:jc w:val="both"/>
        <w:rPr>
          <w:rFonts w:ascii="Arial" w:hAnsi="Arial" w:cs="Arial"/>
          <w:color w:val="C00000"/>
          <w:sz w:val="22"/>
        </w:rPr>
      </w:pPr>
      <w:bookmarkStart w:id="58" w:name="_Toc232173705"/>
      <w:r w:rsidRPr="005978B5">
        <w:rPr>
          <w:rFonts w:ascii="Arial" w:hAnsi="Arial" w:cs="Arial"/>
          <w:sz w:val="22"/>
        </w:rPr>
        <w:t>6.2 Recommendations</w:t>
      </w:r>
      <w:bookmarkEnd w:id="58"/>
    </w:p>
    <w:p w14:paraId="23B14D26" w14:textId="0CE78CC8" w:rsidR="007D5D49" w:rsidRPr="005978B5" w:rsidRDefault="006A5A6E" w:rsidP="00354518">
      <w:pPr>
        <w:spacing w:line="360" w:lineRule="auto"/>
        <w:jc w:val="both"/>
        <w:rPr>
          <w:rFonts w:ascii="Arial" w:hAnsi="Arial" w:cs="Arial"/>
        </w:rPr>
      </w:pPr>
      <w:r w:rsidRPr="005978B5">
        <w:rPr>
          <w:rFonts w:ascii="Arial" w:hAnsi="Arial" w:cs="Arial"/>
        </w:rPr>
        <w:t>The recommendations that follow are based directly on the evidence synthesised in this review, arranged in terms of level of action, and directly respond to the four objectives set in Chapter 1.</w:t>
      </w:r>
    </w:p>
    <w:p w14:paraId="63E972BC" w14:textId="0461F60E" w:rsidR="007D5D49" w:rsidRPr="005978B5" w:rsidRDefault="007D5D49" w:rsidP="00354518">
      <w:pPr>
        <w:spacing w:line="360" w:lineRule="auto"/>
        <w:jc w:val="both"/>
        <w:rPr>
          <w:rFonts w:ascii="Arial" w:hAnsi="Arial" w:cs="Arial"/>
        </w:rPr>
      </w:pPr>
      <w:r w:rsidRPr="005978B5">
        <w:rPr>
          <w:rFonts w:ascii="Arial" w:hAnsi="Arial" w:cs="Arial"/>
          <w:b/>
          <w:bCs/>
        </w:rPr>
        <w:t>Recommendation 1 — Establish accountability mechanisms for equity commitments (National Policy)</w:t>
      </w:r>
      <w:r w:rsidR="00B26ED9">
        <w:rPr>
          <w:rFonts w:ascii="Arial" w:hAnsi="Arial" w:cs="Arial"/>
          <w:b/>
          <w:bCs/>
        </w:rPr>
        <w:t>.</w:t>
      </w:r>
      <w:r w:rsidRPr="005978B5">
        <w:rPr>
          <w:rFonts w:ascii="Arial" w:hAnsi="Arial" w:cs="Arial"/>
        </w:rPr>
        <w:t xml:space="preserve"> </w:t>
      </w:r>
      <w:r w:rsidR="006A5A6E" w:rsidRPr="005978B5">
        <w:rPr>
          <w:rFonts w:ascii="Arial" w:hAnsi="Arial" w:cs="Arial"/>
        </w:rPr>
        <w:t xml:space="preserve">NHS Race and Health Observatory (2021) and </w:t>
      </w:r>
      <w:r w:rsidR="00035495" w:rsidRPr="005978B5">
        <w:rPr>
          <w:rFonts w:ascii="Arial" w:hAnsi="Arial" w:cs="Arial"/>
        </w:rPr>
        <w:t>Diabetes UK (2023)</w:t>
      </w:r>
      <w:r w:rsidR="006A5A6E" w:rsidRPr="005978B5">
        <w:rPr>
          <w:rFonts w:ascii="Arial" w:hAnsi="Arial" w:cs="Arial"/>
        </w:rPr>
        <w:t xml:space="preserve"> have identified structural racism as a source of T2DM inequalities. To eliminate the implementation gap reported by Elliott et al. (2025), NHS England should incorporate ethnic minority T2DM outcome measures into the NHS Standard Contracts, whereby Integrated Care Systems would be required to publicly report against the targets of Core20PLUS5 annually</w:t>
      </w:r>
      <w:r w:rsidR="00D15E9E" w:rsidRPr="005978B5">
        <w:rPr>
          <w:rFonts w:ascii="Arial" w:hAnsi="Arial" w:cs="Arial"/>
        </w:rPr>
        <w:t xml:space="preserve"> (van Daalen et al., 2021; Naqvi et al., 2022).</w:t>
      </w:r>
    </w:p>
    <w:p w14:paraId="0DE37E87" w14:textId="69D2DBF9" w:rsidR="007D5D49" w:rsidRPr="005978B5" w:rsidRDefault="007D5D49" w:rsidP="00354518">
      <w:pPr>
        <w:spacing w:line="360" w:lineRule="auto"/>
        <w:jc w:val="both"/>
        <w:rPr>
          <w:rFonts w:ascii="Arial" w:hAnsi="Arial" w:cs="Arial"/>
        </w:rPr>
      </w:pPr>
      <w:r w:rsidRPr="005978B5">
        <w:rPr>
          <w:rFonts w:ascii="Arial" w:hAnsi="Arial" w:cs="Arial"/>
          <w:b/>
          <w:bCs/>
        </w:rPr>
        <w:t>Recommendation 2 — Redesign the NHS DPP for structural equity (NHS Commissioning)</w:t>
      </w:r>
      <w:r w:rsidR="00F528DF" w:rsidRPr="005978B5">
        <w:rPr>
          <w:rFonts w:ascii="Arial" w:hAnsi="Arial" w:cs="Arial"/>
          <w:b/>
          <w:bCs/>
        </w:rPr>
        <w:t>.</w:t>
      </w:r>
      <w:r w:rsidRPr="005978B5">
        <w:rPr>
          <w:rFonts w:ascii="Arial" w:hAnsi="Arial" w:cs="Arial"/>
        </w:rPr>
        <w:t xml:space="preserve"> </w:t>
      </w:r>
      <w:r w:rsidR="007C1006" w:rsidRPr="005978B5">
        <w:rPr>
          <w:rFonts w:ascii="Arial" w:hAnsi="Arial" w:cs="Arial"/>
        </w:rPr>
        <w:t xml:space="preserve">Barron et al. (2018), Howarth et al. (2020) and Whelan and Bell (2022) demonstrate that the NHS DPP systematically underserves its highest-risk populations. </w:t>
      </w:r>
      <w:r w:rsidR="00175BB5" w:rsidRPr="005978B5">
        <w:rPr>
          <w:rFonts w:ascii="Arial" w:hAnsi="Arial" w:cs="Arial"/>
        </w:rPr>
        <w:t xml:space="preserve">The programme should be redesigned with flexible digital and community-based delivery formats, proactive ethnic minority outreach and </w:t>
      </w:r>
      <w:r w:rsidR="007C1006" w:rsidRPr="005978B5">
        <w:rPr>
          <w:rFonts w:ascii="Arial" w:hAnsi="Arial" w:cs="Arial"/>
        </w:rPr>
        <w:t>culturally adapted content (Valabhji et al., 2020</w:t>
      </w:r>
      <w:r w:rsidR="00DC1572" w:rsidRPr="005978B5">
        <w:rPr>
          <w:rFonts w:ascii="Arial" w:hAnsi="Arial" w:cs="Arial"/>
        </w:rPr>
        <w:t xml:space="preserve">; Bower et al., 2023; </w:t>
      </w:r>
      <w:proofErr w:type="spellStart"/>
      <w:r w:rsidR="00DC1572" w:rsidRPr="005978B5">
        <w:rPr>
          <w:rFonts w:ascii="Arial" w:hAnsi="Arial" w:cs="Arial"/>
        </w:rPr>
        <w:t>Dallosso</w:t>
      </w:r>
      <w:proofErr w:type="spellEnd"/>
      <w:r w:rsidR="00DC1572" w:rsidRPr="005978B5">
        <w:rPr>
          <w:rFonts w:ascii="Arial" w:hAnsi="Arial" w:cs="Arial"/>
        </w:rPr>
        <w:t xml:space="preserve"> et al., 2023)</w:t>
      </w:r>
      <w:r w:rsidR="00175BB5" w:rsidRPr="005978B5">
        <w:rPr>
          <w:rFonts w:ascii="Arial" w:hAnsi="Arial" w:cs="Arial"/>
        </w:rPr>
        <w:t>.</w:t>
      </w:r>
    </w:p>
    <w:p w14:paraId="6B79A78E" w14:textId="70D16857" w:rsidR="007D5D49" w:rsidRPr="005978B5" w:rsidRDefault="007D5D49" w:rsidP="00354518">
      <w:pPr>
        <w:spacing w:line="360" w:lineRule="auto"/>
        <w:jc w:val="both"/>
        <w:rPr>
          <w:rFonts w:ascii="Arial" w:hAnsi="Arial" w:cs="Arial"/>
        </w:rPr>
      </w:pPr>
      <w:r w:rsidRPr="005978B5">
        <w:rPr>
          <w:rFonts w:ascii="Arial" w:hAnsi="Arial" w:cs="Arial"/>
          <w:b/>
          <w:bCs/>
        </w:rPr>
        <w:t>Recommendation 3 — Commission HEAL-D at national scale (Service Level)</w:t>
      </w:r>
      <w:r w:rsidRPr="005978B5">
        <w:rPr>
          <w:rFonts w:ascii="Arial" w:hAnsi="Arial" w:cs="Arial"/>
        </w:rPr>
        <w:t xml:space="preserve"> </w:t>
      </w:r>
      <w:r w:rsidR="00175BB5" w:rsidRPr="005978B5">
        <w:rPr>
          <w:rFonts w:ascii="Arial" w:hAnsi="Arial" w:cs="Arial"/>
        </w:rPr>
        <w:t xml:space="preserve">HEAL-D programme offers evidence-of-concept culturally-adapted DSMES (Goff et al., 2021; Low et al., 2024). Abu and </w:t>
      </w:r>
      <w:proofErr w:type="spellStart"/>
      <w:r w:rsidR="00175BB5" w:rsidRPr="005978B5">
        <w:rPr>
          <w:rFonts w:ascii="Arial" w:hAnsi="Arial" w:cs="Arial"/>
        </w:rPr>
        <w:t>Llahana</w:t>
      </w:r>
      <w:proofErr w:type="spellEnd"/>
      <w:r w:rsidR="00175BB5" w:rsidRPr="005978B5">
        <w:rPr>
          <w:rFonts w:ascii="Arial" w:hAnsi="Arial" w:cs="Arial"/>
        </w:rPr>
        <w:t xml:space="preserve"> (2025) recommend </w:t>
      </w:r>
      <w:r w:rsidR="00F528DF" w:rsidRPr="005978B5">
        <w:rPr>
          <w:rFonts w:ascii="Arial" w:hAnsi="Arial" w:cs="Arial"/>
        </w:rPr>
        <w:t xml:space="preserve">that </w:t>
      </w:r>
      <w:r w:rsidR="00175BB5" w:rsidRPr="005978B5">
        <w:rPr>
          <w:rFonts w:ascii="Arial" w:hAnsi="Arial" w:cs="Arial"/>
        </w:rPr>
        <w:t xml:space="preserve">NHS commissioners invest in a full-scale randomised controlled trial to produce the long-term outcome and cost-effectiveness data needed </w:t>
      </w:r>
      <w:r w:rsidR="00F528DF" w:rsidRPr="005978B5">
        <w:rPr>
          <w:rFonts w:ascii="Arial" w:hAnsi="Arial" w:cs="Arial"/>
        </w:rPr>
        <w:t>for</w:t>
      </w:r>
      <w:r w:rsidR="00175BB5" w:rsidRPr="005978B5">
        <w:rPr>
          <w:rFonts w:ascii="Arial" w:hAnsi="Arial" w:cs="Arial"/>
        </w:rPr>
        <w:t xml:space="preserve"> national commissioning, co-produced with communities.</w:t>
      </w:r>
    </w:p>
    <w:p w14:paraId="351DDA5D" w14:textId="08F56024" w:rsidR="007D5D49" w:rsidRPr="005978B5" w:rsidRDefault="007D5D49" w:rsidP="00354518">
      <w:pPr>
        <w:spacing w:line="360" w:lineRule="auto"/>
        <w:jc w:val="both"/>
        <w:rPr>
          <w:rFonts w:ascii="Arial" w:hAnsi="Arial" w:cs="Arial"/>
        </w:rPr>
      </w:pPr>
      <w:r w:rsidRPr="005978B5">
        <w:rPr>
          <w:rFonts w:ascii="Arial" w:hAnsi="Arial" w:cs="Arial"/>
          <w:b/>
          <w:bCs/>
        </w:rPr>
        <w:t>Recommendation 4 — Mandate cultural competence training for the diabetes workforce (Practice)</w:t>
      </w:r>
      <w:r w:rsidRPr="005978B5">
        <w:rPr>
          <w:rFonts w:ascii="Arial" w:hAnsi="Arial" w:cs="Arial"/>
        </w:rPr>
        <w:t xml:space="preserve"> </w:t>
      </w:r>
      <w:r w:rsidR="00175BB5" w:rsidRPr="005978B5">
        <w:rPr>
          <w:rFonts w:ascii="Arial" w:hAnsi="Arial" w:cs="Arial"/>
        </w:rPr>
        <w:t xml:space="preserve">Primary care staff </w:t>
      </w:r>
      <w:r w:rsidR="00F528DF" w:rsidRPr="005978B5">
        <w:rPr>
          <w:rFonts w:ascii="Arial" w:hAnsi="Arial" w:cs="Arial"/>
        </w:rPr>
        <w:t>need</w:t>
      </w:r>
      <w:r w:rsidR="00175BB5" w:rsidRPr="005978B5">
        <w:rPr>
          <w:rFonts w:ascii="Arial" w:hAnsi="Arial" w:cs="Arial"/>
        </w:rPr>
        <w:t xml:space="preserve"> to be trained in Ramadan clinical protocols, explanatory model diversity, language-accessible consultation and anti-racist practice </w:t>
      </w:r>
      <w:r w:rsidR="00D15E9E" w:rsidRPr="005978B5">
        <w:rPr>
          <w:rFonts w:ascii="Arial" w:hAnsi="Arial" w:cs="Arial"/>
        </w:rPr>
        <w:t xml:space="preserve">(Zeh et al., 2016, </w:t>
      </w:r>
      <w:r w:rsidR="00D15E9E" w:rsidRPr="005978B5">
        <w:rPr>
          <w:rFonts w:ascii="Arial" w:hAnsi="Arial" w:cs="Arial"/>
        </w:rPr>
        <w:lastRenderedPageBreak/>
        <w:t xml:space="preserve">2018; Goff et al., 2020b; McCann et al., 2023). </w:t>
      </w:r>
      <w:r w:rsidR="00175BB5" w:rsidRPr="005978B5">
        <w:rPr>
          <w:rFonts w:ascii="Arial" w:hAnsi="Arial" w:cs="Arial"/>
        </w:rPr>
        <w:t xml:space="preserve">This should be included in the compulsory NHS professional development rather than as </w:t>
      </w:r>
      <w:r w:rsidR="00F528DF" w:rsidRPr="005978B5">
        <w:rPr>
          <w:rFonts w:ascii="Arial" w:hAnsi="Arial" w:cs="Arial"/>
        </w:rPr>
        <w:t xml:space="preserve">a </w:t>
      </w:r>
      <w:r w:rsidR="00175BB5" w:rsidRPr="005978B5">
        <w:rPr>
          <w:rFonts w:ascii="Arial" w:hAnsi="Arial" w:cs="Arial"/>
        </w:rPr>
        <w:t>voluntary improvement.</w:t>
      </w:r>
    </w:p>
    <w:p w14:paraId="554EEB4A" w14:textId="019C9366" w:rsidR="007D5D49" w:rsidRPr="005978B5" w:rsidRDefault="007D5D49" w:rsidP="00354518">
      <w:pPr>
        <w:spacing w:line="360" w:lineRule="auto"/>
        <w:jc w:val="both"/>
        <w:rPr>
          <w:rFonts w:ascii="Arial" w:hAnsi="Arial" w:cs="Arial"/>
        </w:rPr>
      </w:pPr>
      <w:r w:rsidRPr="005978B5">
        <w:rPr>
          <w:rFonts w:ascii="Arial" w:hAnsi="Arial" w:cs="Arial"/>
          <w:b/>
          <w:bCs/>
        </w:rPr>
        <w:t>Recommendation 5 — Adopt disaggregated ethnicity data collection universally (Data)</w:t>
      </w:r>
      <w:r w:rsidR="00F528DF" w:rsidRPr="005978B5">
        <w:rPr>
          <w:rFonts w:ascii="Arial" w:hAnsi="Arial" w:cs="Arial"/>
          <w:b/>
          <w:bCs/>
        </w:rPr>
        <w:t>.</w:t>
      </w:r>
      <w:r w:rsidRPr="005978B5">
        <w:rPr>
          <w:rFonts w:ascii="Arial" w:hAnsi="Arial" w:cs="Arial"/>
        </w:rPr>
        <w:t xml:space="preserve"> </w:t>
      </w:r>
      <w:r w:rsidR="00175BB5" w:rsidRPr="005978B5">
        <w:rPr>
          <w:rFonts w:ascii="Arial" w:hAnsi="Arial" w:cs="Arial"/>
        </w:rPr>
        <w:t xml:space="preserve">Aggregate ethnic groups mask clinically important heterogeneity in South Asian and Black groups </w:t>
      </w:r>
      <w:r w:rsidR="00D15E9E" w:rsidRPr="005978B5">
        <w:rPr>
          <w:rFonts w:ascii="Arial" w:hAnsi="Arial" w:cs="Arial"/>
        </w:rPr>
        <w:t>(Kapadia et al., 2022; Pineda-</w:t>
      </w:r>
      <w:proofErr w:type="spellStart"/>
      <w:r w:rsidR="00D15E9E" w:rsidRPr="005978B5">
        <w:rPr>
          <w:rFonts w:ascii="Arial" w:hAnsi="Arial" w:cs="Arial"/>
        </w:rPr>
        <w:t>Moncusí</w:t>
      </w:r>
      <w:proofErr w:type="spellEnd"/>
      <w:r w:rsidR="00D15E9E" w:rsidRPr="005978B5">
        <w:rPr>
          <w:rFonts w:ascii="Arial" w:hAnsi="Arial" w:cs="Arial"/>
        </w:rPr>
        <w:t xml:space="preserve"> et al., 2024). </w:t>
      </w:r>
      <w:r w:rsidR="00175BB5" w:rsidRPr="005978B5">
        <w:rPr>
          <w:rFonts w:ascii="Arial" w:hAnsi="Arial" w:cs="Arial"/>
        </w:rPr>
        <w:t xml:space="preserve">All NHS datasets on T2DM should use disaggregated ethnicity coding based on </w:t>
      </w:r>
      <w:r w:rsidR="00F528DF" w:rsidRPr="005978B5">
        <w:rPr>
          <w:rFonts w:ascii="Arial" w:hAnsi="Arial" w:cs="Arial"/>
        </w:rPr>
        <w:t xml:space="preserve">the </w:t>
      </w:r>
      <w:r w:rsidR="00175BB5" w:rsidRPr="005978B5">
        <w:rPr>
          <w:rFonts w:ascii="Arial" w:hAnsi="Arial" w:cs="Arial"/>
        </w:rPr>
        <w:t>2021 Census to allow commissioning and equity monitoring.</w:t>
      </w:r>
    </w:p>
    <w:p w14:paraId="4FA556FD" w14:textId="32B1D8F5" w:rsidR="007D5D49" w:rsidRPr="005978B5" w:rsidRDefault="007D5D49" w:rsidP="00354518">
      <w:pPr>
        <w:spacing w:line="360" w:lineRule="auto"/>
        <w:jc w:val="both"/>
        <w:rPr>
          <w:rFonts w:ascii="Arial" w:hAnsi="Arial" w:cs="Arial"/>
        </w:rPr>
      </w:pPr>
      <w:r w:rsidRPr="005978B5">
        <w:rPr>
          <w:rFonts w:ascii="Arial" w:hAnsi="Arial" w:cs="Arial"/>
          <w:b/>
          <w:bCs/>
        </w:rPr>
        <w:t>Recommendation 6 — Fund co-produced research in underrepresented communities (Research)</w:t>
      </w:r>
      <w:r w:rsidR="00F528DF" w:rsidRPr="005978B5">
        <w:rPr>
          <w:rFonts w:ascii="Arial" w:hAnsi="Arial" w:cs="Arial"/>
          <w:b/>
          <w:bCs/>
        </w:rPr>
        <w:t>.</w:t>
      </w:r>
      <w:r w:rsidRPr="005978B5">
        <w:rPr>
          <w:rFonts w:ascii="Arial" w:hAnsi="Arial" w:cs="Arial"/>
        </w:rPr>
        <w:t xml:space="preserve"> </w:t>
      </w:r>
      <w:r w:rsidR="00175BB5" w:rsidRPr="005978B5">
        <w:rPr>
          <w:rFonts w:ascii="Arial" w:hAnsi="Arial" w:cs="Arial"/>
        </w:rPr>
        <w:t>The evidence base is located within the urban South Asian and Black African or Caribbean communities in England. Further studies should focus on co-produced Chinese, mixed-heritage, Eastern European, and Gypsy or Traveller community-based studies, long-term clinical outcomes, in rural and devolved nation settings</w:t>
      </w:r>
      <w:r w:rsidR="00C14D51" w:rsidRPr="005978B5">
        <w:rPr>
          <w:rFonts w:ascii="Arial" w:hAnsi="Arial" w:cs="Arial"/>
        </w:rPr>
        <w:t xml:space="preserve"> (</w:t>
      </w:r>
      <w:proofErr w:type="spellStart"/>
      <w:r w:rsidR="00C14D51" w:rsidRPr="005978B5">
        <w:rPr>
          <w:rFonts w:ascii="Arial" w:hAnsi="Arial" w:cs="Arial"/>
        </w:rPr>
        <w:t>Katangwe-Chigamba</w:t>
      </w:r>
      <w:proofErr w:type="spellEnd"/>
      <w:r w:rsidR="00C14D51" w:rsidRPr="005978B5">
        <w:rPr>
          <w:rFonts w:ascii="Arial" w:hAnsi="Arial" w:cs="Arial"/>
        </w:rPr>
        <w:t xml:space="preserve"> et al., 2025; Chan et al., 2023; Ramasawmy et al., 2024).</w:t>
      </w:r>
    </w:p>
    <w:p w14:paraId="63A975BD" w14:textId="77777777" w:rsidR="007D286C" w:rsidRPr="005978B5" w:rsidRDefault="007D286C" w:rsidP="00354518">
      <w:pPr>
        <w:spacing w:line="360" w:lineRule="auto"/>
        <w:jc w:val="both"/>
        <w:rPr>
          <w:rFonts w:ascii="Arial" w:hAnsi="Arial" w:cs="Arial"/>
        </w:rPr>
      </w:pPr>
    </w:p>
    <w:p w14:paraId="31ADBAB5" w14:textId="08786F6D" w:rsidR="007D286C" w:rsidRPr="005978B5" w:rsidRDefault="007D286C" w:rsidP="00354518">
      <w:pPr>
        <w:spacing w:line="360" w:lineRule="auto"/>
        <w:jc w:val="both"/>
        <w:rPr>
          <w:rFonts w:ascii="Arial" w:hAnsi="Arial" w:cs="Arial"/>
        </w:rPr>
      </w:pPr>
    </w:p>
    <w:p w14:paraId="23494F89" w14:textId="77777777" w:rsidR="007D286C" w:rsidRPr="005978B5" w:rsidRDefault="007D286C" w:rsidP="00354518">
      <w:pPr>
        <w:spacing w:line="360" w:lineRule="auto"/>
        <w:jc w:val="both"/>
        <w:rPr>
          <w:rFonts w:ascii="Arial" w:eastAsia="Times New Roman" w:hAnsi="Arial" w:cs="Arial"/>
          <w:b/>
          <w:color w:val="000000"/>
        </w:rPr>
      </w:pPr>
      <w:r w:rsidRPr="005978B5">
        <w:rPr>
          <w:rFonts w:ascii="Arial" w:hAnsi="Arial" w:cs="Arial"/>
        </w:rPr>
        <w:br w:type="page"/>
      </w:r>
    </w:p>
    <w:p w14:paraId="1C880B3B" w14:textId="0F574D9E" w:rsidR="009F64C5" w:rsidRPr="005978B5" w:rsidRDefault="009F64C5" w:rsidP="00354518">
      <w:pPr>
        <w:pStyle w:val="Heading1"/>
        <w:spacing w:line="360" w:lineRule="auto"/>
        <w:jc w:val="both"/>
        <w:rPr>
          <w:rFonts w:ascii="Arial" w:hAnsi="Arial" w:cs="Arial"/>
          <w:sz w:val="22"/>
        </w:rPr>
      </w:pPr>
      <w:bookmarkStart w:id="59" w:name="_Toc232173706"/>
      <w:r w:rsidRPr="005978B5">
        <w:rPr>
          <w:rFonts w:ascii="Arial" w:hAnsi="Arial" w:cs="Arial"/>
          <w:sz w:val="22"/>
        </w:rPr>
        <w:lastRenderedPageBreak/>
        <w:t>Reference list</w:t>
      </w:r>
      <w:bookmarkEnd w:id="59"/>
      <w:r w:rsidRPr="005978B5">
        <w:rPr>
          <w:rFonts w:ascii="Arial" w:hAnsi="Arial" w:cs="Arial"/>
          <w:sz w:val="22"/>
        </w:rPr>
        <w:t xml:space="preserve"> </w:t>
      </w:r>
    </w:p>
    <w:p w14:paraId="19FBA487" w14:textId="0CA1ABAE"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Abu, S. and </w:t>
      </w:r>
      <w:proofErr w:type="spellStart"/>
      <w:r w:rsidRPr="005978B5">
        <w:rPr>
          <w:rFonts w:ascii="Arial" w:eastAsia="Times New Roman" w:hAnsi="Arial" w:cs="Arial"/>
          <w:kern w:val="0"/>
          <w:lang w:eastAsia="en-GB"/>
          <w14:ligatures w14:val="none"/>
        </w:rPr>
        <w:t>Llahana</w:t>
      </w:r>
      <w:proofErr w:type="spellEnd"/>
      <w:r w:rsidRPr="005978B5">
        <w:rPr>
          <w:rFonts w:ascii="Arial" w:eastAsia="Times New Roman" w:hAnsi="Arial" w:cs="Arial"/>
          <w:kern w:val="0"/>
          <w:lang w:eastAsia="en-GB"/>
          <w14:ligatures w14:val="none"/>
        </w:rPr>
        <w:t xml:space="preserve">, S. (2025) 'Factors influencing the uptake of culturally tailored diabetes self-management education and support programmes among ethnic minority patients with type 2 diabetes: a systematic review', </w:t>
      </w:r>
      <w:r w:rsidRPr="005978B5">
        <w:rPr>
          <w:rFonts w:ascii="Arial" w:eastAsia="Times New Roman" w:hAnsi="Arial" w:cs="Arial"/>
          <w:i/>
          <w:iCs/>
          <w:kern w:val="0"/>
          <w:lang w:eastAsia="en-GB"/>
          <w14:ligatures w14:val="none"/>
        </w:rPr>
        <w:t>Primary Care Diabetes</w:t>
      </w:r>
      <w:r w:rsidRPr="005978B5">
        <w:rPr>
          <w:rFonts w:ascii="Arial" w:eastAsia="Times New Roman" w:hAnsi="Arial" w:cs="Arial"/>
          <w:kern w:val="0"/>
          <w:lang w:eastAsia="en-GB"/>
          <w14:ligatures w14:val="none"/>
        </w:rPr>
        <w:t>, 19(2), pp. 103–110.</w:t>
      </w:r>
    </w:p>
    <w:p w14:paraId="65E39AF1" w14:textId="1086E935"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Ahmed, S.H., Chowdhury, T.A., Hussain, S., Syed, A., Karamat, A., Helmy, A., Waqar, S., Ali, S., </w:t>
      </w:r>
      <w:proofErr w:type="spellStart"/>
      <w:r w:rsidRPr="005978B5">
        <w:rPr>
          <w:rFonts w:ascii="Arial" w:eastAsia="Times New Roman" w:hAnsi="Arial" w:cs="Arial"/>
          <w:kern w:val="0"/>
          <w:lang w:eastAsia="en-GB"/>
          <w14:ligatures w14:val="none"/>
        </w:rPr>
        <w:t>Dabhad</w:t>
      </w:r>
      <w:proofErr w:type="spellEnd"/>
      <w:r w:rsidRPr="005978B5">
        <w:rPr>
          <w:rFonts w:ascii="Arial" w:eastAsia="Times New Roman" w:hAnsi="Arial" w:cs="Arial"/>
          <w:kern w:val="0"/>
          <w:lang w:eastAsia="en-GB"/>
          <w14:ligatures w14:val="none"/>
        </w:rPr>
        <w:t xml:space="preserve">, A., Seal, S.T., Hodgkinson, A., Azmi, S. and </w:t>
      </w:r>
      <w:proofErr w:type="spellStart"/>
      <w:r w:rsidRPr="005978B5">
        <w:rPr>
          <w:rFonts w:ascii="Arial" w:eastAsia="Times New Roman" w:hAnsi="Arial" w:cs="Arial"/>
          <w:kern w:val="0"/>
          <w:lang w:eastAsia="en-GB"/>
          <w14:ligatures w14:val="none"/>
        </w:rPr>
        <w:t>Ghouri</w:t>
      </w:r>
      <w:proofErr w:type="spellEnd"/>
      <w:r w:rsidRPr="005978B5">
        <w:rPr>
          <w:rFonts w:ascii="Arial" w:eastAsia="Times New Roman" w:hAnsi="Arial" w:cs="Arial"/>
          <w:kern w:val="0"/>
          <w:lang w:eastAsia="en-GB"/>
          <w14:ligatures w14:val="none"/>
        </w:rPr>
        <w:t xml:space="preserve">, N. (2020) 'Ramadan and diabetes: a narrative review and practice update', </w:t>
      </w:r>
      <w:r w:rsidRPr="005978B5">
        <w:rPr>
          <w:rFonts w:ascii="Arial" w:eastAsia="Times New Roman" w:hAnsi="Arial" w:cs="Arial"/>
          <w:i/>
          <w:iCs/>
          <w:kern w:val="0"/>
          <w:lang w:eastAsia="en-GB"/>
          <w14:ligatures w14:val="none"/>
        </w:rPr>
        <w:t>Diabetes Therapy</w:t>
      </w:r>
      <w:r w:rsidRPr="005978B5">
        <w:rPr>
          <w:rFonts w:ascii="Arial" w:eastAsia="Times New Roman" w:hAnsi="Arial" w:cs="Arial"/>
          <w:kern w:val="0"/>
          <w:lang w:eastAsia="en-GB"/>
          <w14:ligatures w14:val="none"/>
        </w:rPr>
        <w:t xml:space="preserve">, 11(11), pp. 2477–2520. </w:t>
      </w:r>
    </w:p>
    <w:p w14:paraId="67BC0FD3" w14:textId="22AD5B57" w:rsidR="00E862C3" w:rsidRPr="005978B5" w:rsidRDefault="0089662A"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Alloh</w:t>
      </w:r>
      <w:proofErr w:type="spellEnd"/>
      <w:r w:rsidRPr="005978B5">
        <w:rPr>
          <w:rFonts w:ascii="Arial" w:eastAsia="Times New Roman" w:hAnsi="Arial" w:cs="Arial"/>
          <w:kern w:val="0"/>
          <w:lang w:eastAsia="en-GB"/>
          <w14:ligatures w14:val="none"/>
        </w:rPr>
        <w:t xml:space="preserve">, F., Hemingway, A. and Turner-Wilson, A. (2019) 'Exploring the experiences of West African immigrants living with type 2 diabetes in the UK', </w:t>
      </w:r>
      <w:r w:rsidRPr="005978B5">
        <w:rPr>
          <w:rFonts w:ascii="Arial" w:eastAsia="Times New Roman" w:hAnsi="Arial" w:cs="Arial"/>
          <w:i/>
          <w:iCs/>
          <w:kern w:val="0"/>
          <w:lang w:eastAsia="en-GB"/>
          <w14:ligatures w14:val="none"/>
        </w:rPr>
        <w:t>International Journal of Environmental Research and Public Health</w:t>
      </w:r>
      <w:r w:rsidRPr="005978B5">
        <w:rPr>
          <w:rFonts w:ascii="Arial" w:eastAsia="Times New Roman" w:hAnsi="Arial" w:cs="Arial"/>
          <w:kern w:val="0"/>
          <w:lang w:eastAsia="en-GB"/>
          <w14:ligatures w14:val="none"/>
        </w:rPr>
        <w:t xml:space="preserve">, 16(19), article 3516. </w:t>
      </w:r>
    </w:p>
    <w:p w14:paraId="34B810A8" w14:textId="6F95DE36"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Andersen, R.M. (1995) 'Revisiting the behavioral model and access to medical care: does it matter?', </w:t>
      </w:r>
      <w:r w:rsidRPr="005978B5">
        <w:rPr>
          <w:rFonts w:ascii="Arial" w:eastAsia="Times New Roman" w:hAnsi="Arial" w:cs="Arial"/>
          <w:i/>
          <w:iCs/>
          <w:kern w:val="0"/>
          <w:lang w:eastAsia="en-GB"/>
          <w14:ligatures w14:val="none"/>
        </w:rPr>
        <w:t>Journal of Health and Social Behavior</w:t>
      </w:r>
      <w:r w:rsidRPr="005978B5">
        <w:rPr>
          <w:rFonts w:ascii="Arial" w:eastAsia="Times New Roman" w:hAnsi="Arial" w:cs="Arial"/>
          <w:kern w:val="0"/>
          <w:lang w:eastAsia="en-GB"/>
          <w14:ligatures w14:val="none"/>
        </w:rPr>
        <w:t xml:space="preserve">, 36(1), pp. 1–10. </w:t>
      </w:r>
    </w:p>
    <w:p w14:paraId="5487A292" w14:textId="637AB401"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Anderson, J.J., Welsh, P., Ho, F.K., Ferguson, L.D., Welsh, C.E., Pellicori, P., Cleland, J.G.F., Forbes, J., </w:t>
      </w:r>
      <w:proofErr w:type="spellStart"/>
      <w:r w:rsidRPr="005978B5">
        <w:rPr>
          <w:rFonts w:ascii="Arial" w:eastAsia="Times New Roman" w:hAnsi="Arial" w:cs="Arial"/>
          <w:kern w:val="0"/>
          <w:lang w:eastAsia="en-GB"/>
          <w14:ligatures w14:val="none"/>
        </w:rPr>
        <w:t>Iliodromiti</w:t>
      </w:r>
      <w:proofErr w:type="spellEnd"/>
      <w:r w:rsidRPr="005978B5">
        <w:rPr>
          <w:rFonts w:ascii="Arial" w:eastAsia="Times New Roman" w:hAnsi="Arial" w:cs="Arial"/>
          <w:kern w:val="0"/>
          <w:lang w:eastAsia="en-GB"/>
          <w14:ligatures w14:val="none"/>
        </w:rPr>
        <w:t xml:space="preserve">, S., Boyle, J., Lindsay, R., Celis-Morales, C., Gray, S.R., Katikireddi, S.V., Gill, J.M.R., Pell, J.P. and Sattar, N. (2021) 'Ethnic differences in prevalence of actionable HbA1c levels in UK Biobank: implications for screening', </w:t>
      </w:r>
      <w:r w:rsidRPr="005978B5">
        <w:rPr>
          <w:rFonts w:ascii="Arial" w:eastAsia="Times New Roman" w:hAnsi="Arial" w:cs="Arial"/>
          <w:i/>
          <w:iCs/>
          <w:kern w:val="0"/>
          <w:lang w:eastAsia="en-GB"/>
          <w14:ligatures w14:val="none"/>
        </w:rPr>
        <w:t>BMJ Open Diabetes Research &amp; Care</w:t>
      </w:r>
      <w:r w:rsidRPr="005978B5">
        <w:rPr>
          <w:rFonts w:ascii="Arial" w:eastAsia="Times New Roman" w:hAnsi="Arial" w:cs="Arial"/>
          <w:kern w:val="0"/>
          <w:lang w:eastAsia="en-GB"/>
          <w14:ligatures w14:val="none"/>
        </w:rPr>
        <w:t>, 9(1), e002176.</w:t>
      </w:r>
    </w:p>
    <w:p w14:paraId="7274A9A1" w14:textId="755863E6"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Au-Yeung, C.H., Ellis, D., </w:t>
      </w:r>
      <w:proofErr w:type="spellStart"/>
      <w:r w:rsidRPr="005978B5">
        <w:rPr>
          <w:rFonts w:ascii="Arial" w:eastAsia="Times New Roman" w:hAnsi="Arial" w:cs="Arial"/>
          <w:kern w:val="0"/>
          <w:lang w:eastAsia="en-GB"/>
          <w14:ligatures w14:val="none"/>
        </w:rPr>
        <w:t>Dallaway</w:t>
      </w:r>
      <w:proofErr w:type="spellEnd"/>
      <w:r w:rsidRPr="005978B5">
        <w:rPr>
          <w:rFonts w:ascii="Arial" w:eastAsia="Times New Roman" w:hAnsi="Arial" w:cs="Arial"/>
          <w:kern w:val="0"/>
          <w:lang w:eastAsia="en-GB"/>
          <w14:ligatures w14:val="none"/>
        </w:rPr>
        <w:t xml:space="preserve">, A., Riley, J., Varney, J. and Howell-Jones, R. (2024) 'Socioeconomic and ethnic inequalities increase the risk of type 2 diabetes: an analysis of NHS health check attendees in Birmingham', </w:t>
      </w:r>
      <w:r w:rsidRPr="005978B5">
        <w:rPr>
          <w:rFonts w:ascii="Arial" w:eastAsia="Times New Roman" w:hAnsi="Arial" w:cs="Arial"/>
          <w:i/>
          <w:iCs/>
          <w:kern w:val="0"/>
          <w:lang w:eastAsia="en-GB"/>
          <w14:ligatures w14:val="none"/>
        </w:rPr>
        <w:t>Frontiers in Public Health</w:t>
      </w:r>
      <w:r w:rsidRPr="005978B5">
        <w:rPr>
          <w:rFonts w:ascii="Arial" w:eastAsia="Times New Roman" w:hAnsi="Arial" w:cs="Arial"/>
          <w:kern w:val="0"/>
          <w:lang w:eastAsia="en-GB"/>
          <w14:ligatures w14:val="none"/>
        </w:rPr>
        <w:t>, 12, article 1477418.</w:t>
      </w:r>
    </w:p>
    <w:p w14:paraId="009C8997" w14:textId="7777777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Aveyard, H. (2019) </w:t>
      </w:r>
      <w:r w:rsidRPr="005978B5">
        <w:rPr>
          <w:rFonts w:ascii="Arial" w:eastAsia="Times New Roman" w:hAnsi="Arial" w:cs="Arial"/>
          <w:i/>
          <w:iCs/>
          <w:kern w:val="0"/>
          <w:lang w:eastAsia="en-GB"/>
          <w14:ligatures w14:val="none"/>
        </w:rPr>
        <w:t>Doing a Literature Review in Health and Social Care: A Practical Guide</w:t>
      </w:r>
      <w:r w:rsidRPr="005978B5">
        <w:rPr>
          <w:rFonts w:ascii="Arial" w:eastAsia="Times New Roman" w:hAnsi="Arial" w:cs="Arial"/>
          <w:kern w:val="0"/>
          <w:lang w:eastAsia="en-GB"/>
          <w14:ligatures w14:val="none"/>
        </w:rPr>
        <w:t>. 4th edn. London: Open University Press/McGraw-Hill Education.</w:t>
      </w:r>
    </w:p>
    <w:p w14:paraId="10572253" w14:textId="5AFD7114"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Barnett-Page, E. and Thomas, J. (2009) 'Methods for the synthesis of qualitative research: a critical review', </w:t>
      </w:r>
      <w:r w:rsidRPr="005978B5">
        <w:rPr>
          <w:rFonts w:ascii="Arial" w:eastAsia="Times New Roman" w:hAnsi="Arial" w:cs="Arial"/>
          <w:i/>
          <w:iCs/>
          <w:kern w:val="0"/>
          <w:lang w:eastAsia="en-GB"/>
          <w14:ligatures w14:val="none"/>
        </w:rPr>
        <w:t>BMC Medical Research Methodology</w:t>
      </w:r>
      <w:r w:rsidRPr="005978B5">
        <w:rPr>
          <w:rFonts w:ascii="Arial" w:eastAsia="Times New Roman" w:hAnsi="Arial" w:cs="Arial"/>
          <w:kern w:val="0"/>
          <w:lang w:eastAsia="en-GB"/>
          <w14:ligatures w14:val="none"/>
        </w:rPr>
        <w:t>, 9, article 59.</w:t>
      </w:r>
    </w:p>
    <w:p w14:paraId="79CC9408" w14:textId="47E7F64A"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Barron, E., Clark, R., Hewings, R., Smith, J. and Valabhji, J. (2018) 'Progress of the Healthier You: NHS Diabetes Prevention Programme: referrals, uptake and participant characteristics',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35(4), pp. 513–518.</w:t>
      </w:r>
    </w:p>
    <w:p w14:paraId="1E38F6DB" w14:textId="28E04F8C"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lastRenderedPageBreak/>
        <w:t xml:space="preserve">Booth, A. (2016) 'Searching for qualitative research for inclusion in systematic reviews: a structured methodological review', </w:t>
      </w:r>
      <w:r w:rsidRPr="005978B5">
        <w:rPr>
          <w:rFonts w:ascii="Arial" w:eastAsia="Times New Roman" w:hAnsi="Arial" w:cs="Arial"/>
          <w:i/>
          <w:iCs/>
          <w:kern w:val="0"/>
          <w:lang w:eastAsia="en-GB"/>
          <w14:ligatures w14:val="none"/>
        </w:rPr>
        <w:t>Systematic Reviews</w:t>
      </w:r>
      <w:r w:rsidRPr="005978B5">
        <w:rPr>
          <w:rFonts w:ascii="Arial" w:eastAsia="Times New Roman" w:hAnsi="Arial" w:cs="Arial"/>
          <w:kern w:val="0"/>
          <w:lang w:eastAsia="en-GB"/>
          <w14:ligatures w14:val="none"/>
        </w:rPr>
        <w:t>, 5, article 74.</w:t>
      </w:r>
    </w:p>
    <w:p w14:paraId="0A62F266" w14:textId="40587F75"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Booth, A., Noyes, J., Flemming, K., Moore, G., </w:t>
      </w:r>
      <w:proofErr w:type="spellStart"/>
      <w:r w:rsidRPr="005978B5">
        <w:rPr>
          <w:rFonts w:ascii="Arial" w:eastAsia="Times New Roman" w:hAnsi="Arial" w:cs="Arial"/>
          <w:kern w:val="0"/>
          <w:lang w:eastAsia="en-GB"/>
          <w14:ligatures w14:val="none"/>
        </w:rPr>
        <w:t>Tunçalp</w:t>
      </w:r>
      <w:proofErr w:type="spellEnd"/>
      <w:r w:rsidRPr="005978B5">
        <w:rPr>
          <w:rFonts w:ascii="Arial" w:eastAsia="Times New Roman" w:hAnsi="Arial" w:cs="Arial"/>
          <w:kern w:val="0"/>
          <w:lang w:eastAsia="en-GB"/>
          <w14:ligatures w14:val="none"/>
        </w:rPr>
        <w:t xml:space="preserve">, Ö. and </w:t>
      </w:r>
      <w:proofErr w:type="spellStart"/>
      <w:r w:rsidRPr="005978B5">
        <w:rPr>
          <w:rFonts w:ascii="Arial" w:eastAsia="Times New Roman" w:hAnsi="Arial" w:cs="Arial"/>
          <w:kern w:val="0"/>
          <w:lang w:eastAsia="en-GB"/>
          <w14:ligatures w14:val="none"/>
        </w:rPr>
        <w:t>Shakibazadeh</w:t>
      </w:r>
      <w:proofErr w:type="spellEnd"/>
      <w:r w:rsidRPr="005978B5">
        <w:rPr>
          <w:rFonts w:ascii="Arial" w:eastAsia="Times New Roman" w:hAnsi="Arial" w:cs="Arial"/>
          <w:kern w:val="0"/>
          <w:lang w:eastAsia="en-GB"/>
          <w14:ligatures w14:val="none"/>
        </w:rPr>
        <w:t xml:space="preserve">, E. (2019) 'Formulating questions to explore complex interventions within qualitative evidence synthesis', </w:t>
      </w:r>
      <w:r w:rsidRPr="005978B5">
        <w:rPr>
          <w:rFonts w:ascii="Arial" w:eastAsia="Times New Roman" w:hAnsi="Arial" w:cs="Arial"/>
          <w:i/>
          <w:iCs/>
          <w:kern w:val="0"/>
          <w:lang w:eastAsia="en-GB"/>
          <w14:ligatures w14:val="none"/>
        </w:rPr>
        <w:t>BMJ Global Health</w:t>
      </w:r>
      <w:r w:rsidRPr="005978B5">
        <w:rPr>
          <w:rFonts w:ascii="Arial" w:eastAsia="Times New Roman" w:hAnsi="Arial" w:cs="Arial"/>
          <w:kern w:val="0"/>
          <w:lang w:eastAsia="en-GB"/>
          <w14:ligatures w14:val="none"/>
        </w:rPr>
        <w:t>, 4(</w:t>
      </w:r>
      <w:proofErr w:type="spellStart"/>
      <w:r w:rsidRPr="005978B5">
        <w:rPr>
          <w:rFonts w:ascii="Arial" w:eastAsia="Times New Roman" w:hAnsi="Arial" w:cs="Arial"/>
          <w:kern w:val="0"/>
          <w:lang w:eastAsia="en-GB"/>
          <w14:ligatures w14:val="none"/>
        </w:rPr>
        <w:t>Suppl</w:t>
      </w:r>
      <w:proofErr w:type="spellEnd"/>
      <w:r w:rsidRPr="005978B5">
        <w:rPr>
          <w:rFonts w:ascii="Arial" w:eastAsia="Times New Roman" w:hAnsi="Arial" w:cs="Arial"/>
          <w:kern w:val="0"/>
          <w:lang w:eastAsia="en-GB"/>
          <w14:ligatures w14:val="none"/>
        </w:rPr>
        <w:t xml:space="preserve"> 1), e001107.</w:t>
      </w:r>
    </w:p>
    <w:p w14:paraId="10F9E76F" w14:textId="1E1E7DE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Bower, P., </w:t>
      </w:r>
      <w:proofErr w:type="spellStart"/>
      <w:r w:rsidRPr="005978B5">
        <w:rPr>
          <w:rFonts w:ascii="Arial" w:eastAsia="Times New Roman" w:hAnsi="Arial" w:cs="Arial"/>
          <w:kern w:val="0"/>
          <w:lang w:eastAsia="en-GB"/>
          <w14:ligatures w14:val="none"/>
        </w:rPr>
        <w:t>Soiland</w:t>
      </w:r>
      <w:proofErr w:type="spellEnd"/>
      <w:r w:rsidRPr="005978B5">
        <w:rPr>
          <w:rFonts w:ascii="Arial" w:eastAsia="Times New Roman" w:hAnsi="Arial" w:cs="Arial"/>
          <w:kern w:val="0"/>
          <w:lang w:eastAsia="en-GB"/>
          <w14:ligatures w14:val="none"/>
        </w:rPr>
        <w:t xml:space="preserve">-Reyes, C., Heller, S., Wilson, P., Cotterill, S., French, D. and Sutton, M. (2023) 'Diabetes prevention at scale: narrative review of findings and lessons from the DIPLOMA evaluation of the NHS Diabetes Prevention Programme in England',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40(11), e15209.</w:t>
      </w:r>
    </w:p>
    <w:p w14:paraId="5E303F86" w14:textId="12D1BF72"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Bramer, W.M., </w:t>
      </w:r>
      <w:proofErr w:type="spellStart"/>
      <w:r w:rsidRPr="005978B5">
        <w:rPr>
          <w:rFonts w:ascii="Arial" w:eastAsia="Times New Roman" w:hAnsi="Arial" w:cs="Arial"/>
          <w:kern w:val="0"/>
          <w:lang w:eastAsia="en-GB"/>
          <w14:ligatures w14:val="none"/>
        </w:rPr>
        <w:t>Rethlefsen</w:t>
      </w:r>
      <w:proofErr w:type="spellEnd"/>
      <w:r w:rsidRPr="005978B5">
        <w:rPr>
          <w:rFonts w:ascii="Arial" w:eastAsia="Times New Roman" w:hAnsi="Arial" w:cs="Arial"/>
          <w:kern w:val="0"/>
          <w:lang w:eastAsia="en-GB"/>
          <w14:ligatures w14:val="none"/>
        </w:rPr>
        <w:t xml:space="preserve">, M.L., Kleijnen, J. and Franco, O.H. (2017) 'Optimal database combinations for literature searches in systematic reviews: a prospective exploratory study', </w:t>
      </w:r>
      <w:r w:rsidRPr="005978B5">
        <w:rPr>
          <w:rFonts w:ascii="Arial" w:eastAsia="Times New Roman" w:hAnsi="Arial" w:cs="Arial"/>
          <w:i/>
          <w:iCs/>
          <w:kern w:val="0"/>
          <w:lang w:eastAsia="en-GB"/>
          <w14:ligatures w14:val="none"/>
        </w:rPr>
        <w:t>Systematic Reviews</w:t>
      </w:r>
      <w:r w:rsidRPr="005978B5">
        <w:rPr>
          <w:rFonts w:ascii="Arial" w:eastAsia="Times New Roman" w:hAnsi="Arial" w:cs="Arial"/>
          <w:kern w:val="0"/>
          <w:lang w:eastAsia="en-GB"/>
          <w14:ligatures w14:val="none"/>
        </w:rPr>
        <w:t>, 6(1), article 245.</w:t>
      </w:r>
    </w:p>
    <w:p w14:paraId="7C01EC57" w14:textId="13AA43CC"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Caleyachetty</w:t>
      </w:r>
      <w:proofErr w:type="spellEnd"/>
      <w:r w:rsidRPr="005978B5">
        <w:rPr>
          <w:rFonts w:ascii="Arial" w:eastAsia="Times New Roman" w:hAnsi="Arial" w:cs="Arial"/>
          <w:kern w:val="0"/>
          <w:lang w:eastAsia="en-GB"/>
          <w14:ligatures w14:val="none"/>
        </w:rPr>
        <w:t xml:space="preserve">, R., Barber, T.M., Mohammed, N.I., Cappuccio, F.P., Hardy, R., Mathur, R., Banerjee, A. and Gill, P. (2021) 'Ethnicity-specific BMI cutoffs for obesity based on type 2 diabetes risk in England: a population-based cohort study', </w:t>
      </w:r>
      <w:r w:rsidRPr="005978B5">
        <w:rPr>
          <w:rFonts w:ascii="Arial" w:eastAsia="Times New Roman" w:hAnsi="Arial" w:cs="Arial"/>
          <w:i/>
          <w:iCs/>
          <w:kern w:val="0"/>
          <w:lang w:eastAsia="en-GB"/>
          <w14:ligatures w14:val="none"/>
        </w:rPr>
        <w:t>The Lancet Diabetes and Endocrinology</w:t>
      </w:r>
      <w:r w:rsidRPr="005978B5">
        <w:rPr>
          <w:rFonts w:ascii="Arial" w:eastAsia="Times New Roman" w:hAnsi="Arial" w:cs="Arial"/>
          <w:kern w:val="0"/>
          <w:lang w:eastAsia="en-GB"/>
          <w14:ligatures w14:val="none"/>
        </w:rPr>
        <w:t>, 9(7), pp. 419–426.</w:t>
      </w:r>
    </w:p>
    <w:p w14:paraId="70D4BEB0" w14:textId="7777777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Champion, V.L. and Skinner, C.S. (2008) 'The Health Belief Model', in Glanz, K., Rimer, B.K. and Viswanath, K. (eds.) </w:t>
      </w:r>
      <w:r w:rsidRPr="005978B5">
        <w:rPr>
          <w:rFonts w:ascii="Arial" w:eastAsia="Times New Roman" w:hAnsi="Arial" w:cs="Arial"/>
          <w:i/>
          <w:iCs/>
          <w:kern w:val="0"/>
          <w:lang w:eastAsia="en-GB"/>
          <w14:ligatures w14:val="none"/>
        </w:rPr>
        <w:t>Health Behavior and Health Education: Theory, Research, and Practice</w:t>
      </w:r>
      <w:r w:rsidRPr="005978B5">
        <w:rPr>
          <w:rFonts w:ascii="Arial" w:eastAsia="Times New Roman" w:hAnsi="Arial" w:cs="Arial"/>
          <w:kern w:val="0"/>
          <w:lang w:eastAsia="en-GB"/>
          <w14:ligatures w14:val="none"/>
        </w:rPr>
        <w:t>. 4th edn. San Francisco: Jossey-Bass, pp. 45–65.</w:t>
      </w:r>
    </w:p>
    <w:p w14:paraId="373D63DD" w14:textId="05F79240"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Chan, J., Blane, D., Choudhary, P., Chowdhury, T.A., Goyal, A., Hanif, W., Jacca, J., Mathur, R., Misra, S., Ocran, N., Rutter, M.K., Studley, R., Treweek, S., Valabhji, J. and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(2023) 'Addressing health inequalities in diabetes through research: recommendations from Diabetes UK's 2022 health inequalities in diabetes workshop',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40(4), e15024.</w:t>
      </w:r>
    </w:p>
    <w:p w14:paraId="5B969387" w14:textId="05B24A04"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Chatzi, G., Whittaker, W., Chandola, T., Mason, T. and </w:t>
      </w:r>
      <w:proofErr w:type="spellStart"/>
      <w:r w:rsidRPr="005978B5">
        <w:rPr>
          <w:rFonts w:ascii="Arial" w:eastAsia="Times New Roman" w:hAnsi="Arial" w:cs="Arial"/>
          <w:kern w:val="0"/>
          <w:lang w:eastAsia="en-GB"/>
          <w14:ligatures w14:val="none"/>
        </w:rPr>
        <w:t>Soiland</w:t>
      </w:r>
      <w:proofErr w:type="spellEnd"/>
      <w:r w:rsidRPr="005978B5">
        <w:rPr>
          <w:rFonts w:ascii="Arial" w:eastAsia="Times New Roman" w:hAnsi="Arial" w:cs="Arial"/>
          <w:kern w:val="0"/>
          <w:lang w:eastAsia="en-GB"/>
          <w14:ligatures w14:val="none"/>
        </w:rPr>
        <w:t xml:space="preserve">-Reyes, C. (2023) 'Could diabetes prevention programmes result in the widening of sociodemographic inequalities in type 2 diabetes? Comparison of survey and administrative data for England', </w:t>
      </w:r>
      <w:r w:rsidRPr="005978B5">
        <w:rPr>
          <w:rFonts w:ascii="Arial" w:eastAsia="Times New Roman" w:hAnsi="Arial" w:cs="Arial"/>
          <w:i/>
          <w:iCs/>
          <w:kern w:val="0"/>
          <w:lang w:eastAsia="en-GB"/>
          <w14:ligatures w14:val="none"/>
        </w:rPr>
        <w:t>Journal of Epidemiology and Community Health</w:t>
      </w:r>
      <w:r w:rsidRPr="005978B5">
        <w:rPr>
          <w:rFonts w:ascii="Arial" w:eastAsia="Times New Roman" w:hAnsi="Arial" w:cs="Arial"/>
          <w:kern w:val="0"/>
          <w:lang w:eastAsia="en-GB"/>
          <w14:ligatures w14:val="none"/>
        </w:rPr>
        <w:t>, 77(9), pp. 565–570.</w:t>
      </w:r>
    </w:p>
    <w:p w14:paraId="31544CF8" w14:textId="23CE27B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Coles, B., Zaccardi, F., Ling, S., Davies, M.J., Samani, N.J. and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(2021) 'Cardiovascular events and mortality in people with and without type 2 diabetes: an </w:t>
      </w:r>
      <w:r w:rsidRPr="005978B5">
        <w:rPr>
          <w:rFonts w:ascii="Arial" w:eastAsia="Times New Roman" w:hAnsi="Arial" w:cs="Arial"/>
          <w:kern w:val="0"/>
          <w:lang w:eastAsia="en-GB"/>
          <w14:ligatures w14:val="none"/>
        </w:rPr>
        <w:lastRenderedPageBreak/>
        <w:t xml:space="preserve">observational study in a contemporary multi-ethnic population', </w:t>
      </w:r>
      <w:r w:rsidRPr="005978B5">
        <w:rPr>
          <w:rFonts w:ascii="Arial" w:eastAsia="Times New Roman" w:hAnsi="Arial" w:cs="Arial"/>
          <w:i/>
          <w:iCs/>
          <w:kern w:val="0"/>
          <w:lang w:eastAsia="en-GB"/>
          <w14:ligatures w14:val="none"/>
        </w:rPr>
        <w:t>Journal of Diabetes Investigation</w:t>
      </w:r>
      <w:r w:rsidRPr="005978B5">
        <w:rPr>
          <w:rFonts w:ascii="Arial" w:eastAsia="Times New Roman" w:hAnsi="Arial" w:cs="Arial"/>
          <w:kern w:val="0"/>
          <w:lang w:eastAsia="en-GB"/>
          <w14:ligatures w14:val="none"/>
        </w:rPr>
        <w:t>, 12(7), pp. 1175–1182.</w:t>
      </w:r>
    </w:p>
    <w:p w14:paraId="0A199E83" w14:textId="36D73E8D" w:rsidR="00E862C3" w:rsidRPr="005978B5" w:rsidRDefault="00E862C3" w:rsidP="00211962">
      <w:pPr>
        <w:spacing w:before="100" w:beforeAutospacing="1" w:after="100" w:afterAutospacing="1" w:line="360" w:lineRule="auto"/>
        <w:ind w:left="10"/>
        <w:rPr>
          <w:rFonts w:ascii="Arial" w:eastAsia="Times New Roman" w:hAnsi="Arial" w:cs="Arial"/>
          <w:kern w:val="0"/>
          <w:highlight w:val="yellow"/>
          <w:lang w:eastAsia="en-GB"/>
          <w14:ligatures w14:val="none"/>
        </w:rPr>
      </w:pPr>
      <w:proofErr w:type="spellStart"/>
      <w:r w:rsidRPr="005978B5">
        <w:rPr>
          <w:rFonts w:ascii="Arial" w:eastAsia="Times New Roman" w:hAnsi="Arial" w:cs="Arial"/>
          <w:kern w:val="0"/>
          <w:lang w:eastAsia="en-GB"/>
          <w14:ligatures w14:val="none"/>
        </w:rPr>
        <w:t>Dallosso</w:t>
      </w:r>
      <w:proofErr w:type="spellEnd"/>
      <w:r w:rsidRPr="005978B5">
        <w:rPr>
          <w:rFonts w:ascii="Arial" w:eastAsia="Times New Roman" w:hAnsi="Arial" w:cs="Arial"/>
          <w:kern w:val="0"/>
          <w:lang w:eastAsia="en-GB"/>
          <w14:ligatures w14:val="none"/>
        </w:rPr>
        <w:t xml:space="preserve">, H.,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Gray, L.J., Hulley, K., Ghaly, M., Patel, N., Kai, J., Aujla, N., Davies, M.J. and Yates, T. (2023) 'Implementation of a diabetes prevention programme in a multi-ethnic community in primary care in England: an evaluation using constructs from the RE-AIM Framework', </w:t>
      </w:r>
      <w:r w:rsidRPr="005978B5">
        <w:rPr>
          <w:rFonts w:ascii="Arial" w:eastAsia="Times New Roman" w:hAnsi="Arial" w:cs="Arial"/>
          <w:i/>
          <w:iCs/>
          <w:kern w:val="0"/>
          <w:lang w:eastAsia="en-GB"/>
          <w14:ligatures w14:val="none"/>
        </w:rPr>
        <w:t>Primary Care Diabetes</w:t>
      </w:r>
      <w:r w:rsidRPr="005978B5">
        <w:rPr>
          <w:rFonts w:ascii="Arial" w:eastAsia="Times New Roman" w:hAnsi="Arial" w:cs="Arial"/>
          <w:kern w:val="0"/>
          <w:lang w:eastAsia="en-GB"/>
          <w14:ligatures w14:val="none"/>
        </w:rPr>
        <w:t>, 17(4), pp. 309–313.</w:t>
      </w:r>
    </w:p>
    <w:p w14:paraId="13E2C7F5" w14:textId="7A87663C"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proofErr w:type="spellStart"/>
      <w:r w:rsidRPr="005978B5">
        <w:rPr>
          <w:rFonts w:ascii="Arial" w:eastAsia="Times New Roman" w:hAnsi="Arial" w:cs="Arial"/>
          <w:kern w:val="0"/>
          <w:lang w:eastAsia="en-GB"/>
          <w14:ligatures w14:val="none"/>
        </w:rPr>
        <w:t>Dallosso</w:t>
      </w:r>
      <w:proofErr w:type="spellEnd"/>
      <w:r w:rsidRPr="005978B5">
        <w:rPr>
          <w:rFonts w:ascii="Arial" w:eastAsia="Times New Roman" w:hAnsi="Arial" w:cs="Arial"/>
          <w:kern w:val="0"/>
          <w:lang w:eastAsia="en-GB"/>
          <w14:ligatures w14:val="none"/>
        </w:rPr>
        <w:t xml:space="preserve">, H., Mandalia, P., Gray, L.J., Chudasama, Y.V., Choudhury, S., Taheri, S., Patel, N.,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and Davies, M.J. (2022) 'The effectiveness of a structured group education programme for people with established type 2 diabetes in a multi-ethnic population in primary care: a cluster randomised trial', </w:t>
      </w:r>
      <w:r w:rsidRPr="005978B5">
        <w:rPr>
          <w:rFonts w:ascii="Arial" w:eastAsia="Times New Roman" w:hAnsi="Arial" w:cs="Arial"/>
          <w:i/>
          <w:iCs/>
          <w:kern w:val="0"/>
          <w:lang w:eastAsia="en-GB"/>
          <w14:ligatures w14:val="none"/>
        </w:rPr>
        <w:t>Nutrition, Metabolism and Cardiovascular Diseases</w:t>
      </w:r>
      <w:r w:rsidRPr="005978B5">
        <w:rPr>
          <w:rFonts w:ascii="Arial" w:eastAsia="Times New Roman" w:hAnsi="Arial" w:cs="Arial"/>
          <w:kern w:val="0"/>
          <w:lang w:eastAsia="en-GB"/>
          <w14:ligatures w14:val="none"/>
        </w:rPr>
        <w:t>, 32(6), pp. 1549–1559.</w:t>
      </w:r>
    </w:p>
    <w:p w14:paraId="7E1DB69A" w14:textId="376A02C9"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Danso, A. and Danso, Y. (2021) 'The complexities of race and health', </w:t>
      </w:r>
      <w:r w:rsidRPr="005978B5">
        <w:rPr>
          <w:rFonts w:ascii="Arial" w:eastAsia="Times New Roman" w:hAnsi="Arial" w:cs="Arial"/>
          <w:i/>
          <w:iCs/>
          <w:kern w:val="0"/>
          <w:lang w:eastAsia="en-GB"/>
          <w14:ligatures w14:val="none"/>
        </w:rPr>
        <w:t>Future Healthcare Journal</w:t>
      </w:r>
      <w:r w:rsidRPr="005978B5">
        <w:rPr>
          <w:rFonts w:ascii="Arial" w:eastAsia="Times New Roman" w:hAnsi="Arial" w:cs="Arial"/>
          <w:kern w:val="0"/>
          <w:lang w:eastAsia="en-GB"/>
          <w14:ligatures w14:val="none"/>
        </w:rPr>
        <w:t>, 8(1), pp. 22–27.</w:t>
      </w:r>
    </w:p>
    <w:p w14:paraId="54F31F6A" w14:textId="0C0D448A"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Department of Health and Social Care (2023) </w:t>
      </w:r>
      <w:r w:rsidRPr="005978B5">
        <w:rPr>
          <w:rFonts w:ascii="Arial" w:eastAsia="Times New Roman" w:hAnsi="Arial" w:cs="Arial"/>
          <w:i/>
          <w:iCs/>
          <w:kern w:val="0"/>
          <w:lang w:eastAsia="en-GB"/>
          <w14:ligatures w14:val="none"/>
        </w:rPr>
        <w:t>Major Conditions Strategy: Case for Change and Our Strategic Framework</w:t>
      </w:r>
      <w:r w:rsidRPr="005978B5">
        <w:rPr>
          <w:rFonts w:ascii="Arial" w:eastAsia="Times New Roman" w:hAnsi="Arial" w:cs="Arial"/>
          <w:kern w:val="0"/>
          <w:lang w:eastAsia="en-GB"/>
          <w14:ligatures w14:val="none"/>
        </w:rPr>
        <w:t xml:space="preserve">. London: Department of Health and Social Care. Available at: </w:t>
      </w:r>
      <w:hyperlink r:id="rId18" w:history="1">
        <w:r w:rsidRPr="005978B5">
          <w:rPr>
            <w:rStyle w:val="Hyperlink"/>
            <w:rFonts w:ascii="Arial" w:eastAsia="Times New Roman" w:hAnsi="Arial" w:cs="Arial"/>
            <w:kern w:val="0"/>
            <w:lang w:eastAsia="en-GB"/>
            <w14:ligatures w14:val="none"/>
          </w:rPr>
          <w:t>https://www.gov.uk/government/publications/major-conditions-strategy-case-for-change-and-our-strategic-framework</w:t>
        </w:r>
      </w:hyperlink>
      <w:r w:rsidRPr="005978B5">
        <w:rPr>
          <w:rFonts w:ascii="Arial" w:eastAsia="Times New Roman" w:hAnsi="Arial" w:cs="Arial"/>
          <w:kern w:val="0"/>
          <w:lang w:eastAsia="en-GB"/>
          <w14:ligatures w14:val="none"/>
        </w:rPr>
        <w:t xml:space="preserve"> (Accessed: </w:t>
      </w:r>
      <w:r w:rsidR="000F625C">
        <w:rPr>
          <w:rFonts w:ascii="Arial" w:eastAsia="Times New Roman" w:hAnsi="Arial" w:cs="Arial"/>
          <w:kern w:val="0"/>
          <w:lang w:eastAsia="en-GB"/>
          <w14:ligatures w14:val="none"/>
        </w:rPr>
        <w:t>19</w:t>
      </w:r>
      <w:r w:rsidRPr="005978B5">
        <w:rPr>
          <w:rFonts w:ascii="Arial" w:eastAsia="Times New Roman" w:hAnsi="Arial" w:cs="Arial"/>
          <w:kern w:val="0"/>
          <w:lang w:eastAsia="en-GB"/>
          <w14:ligatures w14:val="none"/>
        </w:rPr>
        <w:t xml:space="preserve"> March 2026).</w:t>
      </w:r>
    </w:p>
    <w:p w14:paraId="0E090DE3" w14:textId="1C5D97EF"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Diabetes UK (2023) </w:t>
      </w:r>
      <w:r w:rsidRPr="005978B5">
        <w:rPr>
          <w:rFonts w:ascii="Arial" w:eastAsia="Times New Roman" w:hAnsi="Arial" w:cs="Arial"/>
          <w:i/>
          <w:iCs/>
          <w:kern w:val="0"/>
          <w:lang w:eastAsia="en-GB"/>
          <w14:ligatures w14:val="none"/>
        </w:rPr>
        <w:t>Tackling Inequality Commission Report</w:t>
      </w:r>
      <w:r w:rsidRPr="005978B5">
        <w:rPr>
          <w:rFonts w:ascii="Arial" w:eastAsia="Times New Roman" w:hAnsi="Arial" w:cs="Arial"/>
          <w:kern w:val="0"/>
          <w:lang w:eastAsia="en-GB"/>
          <w14:ligatures w14:val="none"/>
        </w:rPr>
        <w:t xml:space="preserve">. London: Diabetes UK. Available at: </w:t>
      </w:r>
      <w:hyperlink r:id="rId19" w:history="1">
        <w:r w:rsidRPr="005978B5">
          <w:rPr>
            <w:rStyle w:val="Hyperlink"/>
            <w:rFonts w:ascii="Arial" w:eastAsia="Times New Roman" w:hAnsi="Arial" w:cs="Arial"/>
            <w:kern w:val="0"/>
            <w:lang w:eastAsia="en-GB"/>
            <w14:ligatures w14:val="none"/>
          </w:rPr>
          <w:t>https://www.diabetes.org.uk/for-professionals/improving-care/tackling-inequality-commission</w:t>
        </w:r>
      </w:hyperlink>
      <w:r w:rsidRPr="005978B5">
        <w:rPr>
          <w:rFonts w:ascii="Arial" w:eastAsia="Times New Roman" w:hAnsi="Arial" w:cs="Arial"/>
          <w:kern w:val="0"/>
          <w:lang w:eastAsia="en-GB"/>
          <w14:ligatures w14:val="none"/>
        </w:rPr>
        <w:t xml:space="preserve"> (Accessed: 1</w:t>
      </w:r>
      <w:r w:rsidR="000F625C">
        <w:rPr>
          <w:rFonts w:ascii="Arial" w:eastAsia="Times New Roman" w:hAnsi="Arial" w:cs="Arial"/>
          <w:kern w:val="0"/>
          <w:lang w:eastAsia="en-GB"/>
          <w14:ligatures w14:val="none"/>
        </w:rPr>
        <w:t>0</w:t>
      </w:r>
      <w:r w:rsidRPr="005978B5">
        <w:rPr>
          <w:rFonts w:ascii="Arial" w:eastAsia="Times New Roman" w:hAnsi="Arial" w:cs="Arial"/>
          <w:kern w:val="0"/>
          <w:lang w:eastAsia="en-GB"/>
          <w14:ligatures w14:val="none"/>
        </w:rPr>
        <w:t xml:space="preserve"> </w:t>
      </w:r>
      <w:r w:rsidR="000F625C">
        <w:rPr>
          <w:rFonts w:ascii="Arial" w:eastAsia="Times New Roman" w:hAnsi="Arial" w:cs="Arial"/>
          <w:kern w:val="0"/>
          <w:lang w:eastAsia="en-GB"/>
          <w14:ligatures w14:val="none"/>
        </w:rPr>
        <w:t xml:space="preserve">April </w:t>
      </w:r>
      <w:r w:rsidRPr="005978B5">
        <w:rPr>
          <w:rFonts w:ascii="Arial" w:eastAsia="Times New Roman" w:hAnsi="Arial" w:cs="Arial"/>
          <w:kern w:val="0"/>
          <w:lang w:eastAsia="en-GB"/>
          <w14:ligatures w14:val="none"/>
        </w:rPr>
        <w:t>2026).</w:t>
      </w:r>
    </w:p>
    <w:p w14:paraId="0C6671EB" w14:textId="45F0725A"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Diabetes UK (2024) </w:t>
      </w:r>
      <w:r w:rsidRPr="005978B5">
        <w:rPr>
          <w:rFonts w:ascii="Arial" w:eastAsia="Times New Roman" w:hAnsi="Arial" w:cs="Arial"/>
          <w:i/>
          <w:iCs/>
          <w:kern w:val="0"/>
          <w:lang w:eastAsia="en-GB"/>
          <w14:ligatures w14:val="none"/>
        </w:rPr>
        <w:t>How Many People in the UK Have Diabetes?</w:t>
      </w:r>
      <w:r w:rsidRPr="005978B5">
        <w:rPr>
          <w:rFonts w:ascii="Arial" w:eastAsia="Times New Roman" w:hAnsi="Arial" w:cs="Arial"/>
          <w:kern w:val="0"/>
          <w:lang w:eastAsia="en-GB"/>
          <w14:ligatures w14:val="none"/>
        </w:rPr>
        <w:t xml:space="preserve"> London: Diabetes UK. Available at: </w:t>
      </w:r>
      <w:hyperlink r:id="rId20" w:history="1">
        <w:r w:rsidRPr="005978B5">
          <w:rPr>
            <w:rStyle w:val="Hyperlink"/>
            <w:rFonts w:ascii="Arial" w:eastAsia="Times New Roman" w:hAnsi="Arial" w:cs="Arial"/>
            <w:kern w:val="0"/>
            <w:lang w:eastAsia="en-GB"/>
            <w14:ligatures w14:val="none"/>
          </w:rPr>
          <w:t>https://www.diabetes.org.uk/about-us/about-the-charity/our-strategy/statistics</w:t>
        </w:r>
      </w:hyperlink>
      <w:r w:rsidRPr="005978B5">
        <w:rPr>
          <w:rFonts w:ascii="Arial" w:eastAsia="Times New Roman" w:hAnsi="Arial" w:cs="Arial"/>
          <w:kern w:val="0"/>
          <w:lang w:eastAsia="en-GB"/>
          <w14:ligatures w14:val="none"/>
        </w:rPr>
        <w:t xml:space="preserve"> (Accessed: </w:t>
      </w:r>
      <w:r w:rsidR="000F625C">
        <w:rPr>
          <w:rFonts w:ascii="Arial" w:eastAsia="Times New Roman" w:hAnsi="Arial" w:cs="Arial"/>
          <w:kern w:val="0"/>
          <w:lang w:eastAsia="en-GB"/>
          <w14:ligatures w14:val="none"/>
        </w:rPr>
        <w:t>28</w:t>
      </w:r>
      <w:r w:rsidRPr="005978B5">
        <w:rPr>
          <w:rFonts w:ascii="Arial" w:eastAsia="Times New Roman" w:hAnsi="Arial" w:cs="Arial"/>
          <w:kern w:val="0"/>
          <w:lang w:eastAsia="en-GB"/>
          <w14:ligatures w14:val="none"/>
        </w:rPr>
        <w:t xml:space="preserve"> March 2026).</w:t>
      </w:r>
    </w:p>
    <w:p w14:paraId="512CFD8A" w14:textId="78F99D93"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Ekezie, W., </w:t>
      </w:r>
      <w:proofErr w:type="spellStart"/>
      <w:r w:rsidRPr="005978B5">
        <w:rPr>
          <w:rFonts w:ascii="Arial" w:eastAsia="Times New Roman" w:hAnsi="Arial" w:cs="Arial"/>
          <w:kern w:val="0"/>
          <w:lang w:eastAsia="en-GB"/>
          <w14:ligatures w14:val="none"/>
        </w:rPr>
        <w:t>Cassambai</w:t>
      </w:r>
      <w:proofErr w:type="spellEnd"/>
      <w:r w:rsidRPr="005978B5">
        <w:rPr>
          <w:rFonts w:ascii="Arial" w:eastAsia="Times New Roman" w:hAnsi="Arial" w:cs="Arial"/>
          <w:kern w:val="0"/>
          <w:lang w:eastAsia="en-GB"/>
          <w14:ligatures w14:val="none"/>
        </w:rPr>
        <w:t xml:space="preserve">, S., </w:t>
      </w:r>
      <w:proofErr w:type="spellStart"/>
      <w:r w:rsidRPr="005978B5">
        <w:rPr>
          <w:rFonts w:ascii="Arial" w:eastAsia="Times New Roman" w:hAnsi="Arial" w:cs="Arial"/>
          <w:kern w:val="0"/>
          <w:lang w:eastAsia="en-GB"/>
          <w14:ligatures w14:val="none"/>
        </w:rPr>
        <w:t>Czyznikowska</w:t>
      </w:r>
      <w:proofErr w:type="spellEnd"/>
      <w:r w:rsidRPr="005978B5">
        <w:rPr>
          <w:rFonts w:ascii="Arial" w:eastAsia="Times New Roman" w:hAnsi="Arial" w:cs="Arial"/>
          <w:kern w:val="0"/>
          <w:lang w:eastAsia="en-GB"/>
          <w14:ligatures w14:val="none"/>
        </w:rPr>
        <w:t xml:space="preserve">, B., Curtis, F., O'Mahoney, L.L., Willis, A., Chudasama, Y.,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and Farooqi, A. (2024) 'Health and social care experience and research perception of different ethnic minority populations in the East Midlands, United Kingdom (REPRESENT study)', </w:t>
      </w:r>
      <w:r w:rsidRPr="005978B5">
        <w:rPr>
          <w:rFonts w:ascii="Arial" w:eastAsia="Times New Roman" w:hAnsi="Arial" w:cs="Arial"/>
          <w:i/>
          <w:iCs/>
          <w:kern w:val="0"/>
          <w:lang w:eastAsia="en-GB"/>
          <w14:ligatures w14:val="none"/>
        </w:rPr>
        <w:t>Health Expectations</w:t>
      </w:r>
      <w:r w:rsidRPr="005978B5">
        <w:rPr>
          <w:rFonts w:ascii="Arial" w:eastAsia="Times New Roman" w:hAnsi="Arial" w:cs="Arial"/>
          <w:kern w:val="0"/>
          <w:lang w:eastAsia="en-GB"/>
          <w14:ligatures w14:val="none"/>
        </w:rPr>
        <w:t>, 27(1), e13944.</w:t>
      </w:r>
    </w:p>
    <w:p w14:paraId="460787AD" w14:textId="1B1F1853"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Elliott, H., Tozer, C., Fenton, A., Powers, C., Lines, C., Hill, M., Owolabi, B. and Ford, J.A. (2025) 'From policy to action: a document content analysis reviewing the adoption of the healthcare inequalities programme in local health system plans in England', </w:t>
      </w:r>
      <w:r w:rsidRPr="005978B5">
        <w:rPr>
          <w:rFonts w:ascii="Arial" w:eastAsia="Times New Roman" w:hAnsi="Arial" w:cs="Arial"/>
          <w:i/>
          <w:iCs/>
          <w:kern w:val="0"/>
          <w:lang w:eastAsia="en-GB"/>
          <w14:ligatures w14:val="none"/>
        </w:rPr>
        <w:t>BMJ Open</w:t>
      </w:r>
      <w:r w:rsidRPr="005978B5">
        <w:rPr>
          <w:rFonts w:ascii="Arial" w:eastAsia="Times New Roman" w:hAnsi="Arial" w:cs="Arial"/>
          <w:kern w:val="0"/>
          <w:lang w:eastAsia="en-GB"/>
          <w14:ligatures w14:val="none"/>
        </w:rPr>
        <w:t>, 15(10), e102163.</w:t>
      </w:r>
    </w:p>
    <w:p w14:paraId="29ECCAF2" w14:textId="3A058CC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lastRenderedPageBreak/>
        <w:t xml:space="preserve">Equality Act 2010 (c. 15). Available at: </w:t>
      </w:r>
      <w:hyperlink r:id="rId21" w:history="1">
        <w:r w:rsidRPr="005978B5">
          <w:rPr>
            <w:rStyle w:val="Hyperlink"/>
            <w:rFonts w:ascii="Arial" w:eastAsia="Times New Roman" w:hAnsi="Arial" w:cs="Arial"/>
            <w:kern w:val="0"/>
            <w:lang w:eastAsia="en-GB"/>
            <w14:ligatures w14:val="none"/>
          </w:rPr>
          <w:t>https://www.legislation.gov.uk/ukpga/2010/15/contents</w:t>
        </w:r>
      </w:hyperlink>
      <w:r w:rsidRPr="005978B5">
        <w:rPr>
          <w:rFonts w:ascii="Arial" w:eastAsia="Times New Roman" w:hAnsi="Arial" w:cs="Arial"/>
          <w:kern w:val="0"/>
          <w:lang w:eastAsia="en-GB"/>
          <w14:ligatures w14:val="none"/>
        </w:rPr>
        <w:t xml:space="preserve"> (Accessed: </w:t>
      </w:r>
      <w:r w:rsidR="000F625C">
        <w:rPr>
          <w:rFonts w:ascii="Arial" w:eastAsia="Times New Roman" w:hAnsi="Arial" w:cs="Arial"/>
          <w:kern w:val="0"/>
          <w:lang w:eastAsia="en-GB"/>
          <w14:ligatures w14:val="none"/>
        </w:rPr>
        <w:t>20</w:t>
      </w:r>
      <w:r w:rsidRPr="005978B5">
        <w:rPr>
          <w:rFonts w:ascii="Arial" w:eastAsia="Times New Roman" w:hAnsi="Arial" w:cs="Arial"/>
          <w:kern w:val="0"/>
          <w:lang w:eastAsia="en-GB"/>
          <w14:ligatures w14:val="none"/>
        </w:rPr>
        <w:t xml:space="preserve"> March 2026).</w:t>
      </w:r>
    </w:p>
    <w:p w14:paraId="7C326A3F" w14:textId="12F4EED0"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Farmaki, A.E., Garfield, V., Eastwood, S.V., Farmer, R.E., Mathur, R., Giannakopoulou, O., </w:t>
      </w:r>
      <w:proofErr w:type="spellStart"/>
      <w:r w:rsidRPr="005978B5">
        <w:rPr>
          <w:rFonts w:ascii="Arial" w:eastAsia="Times New Roman" w:hAnsi="Arial" w:cs="Arial"/>
          <w:kern w:val="0"/>
          <w:lang w:eastAsia="en-GB"/>
          <w14:ligatures w14:val="none"/>
        </w:rPr>
        <w:t>Patalay</w:t>
      </w:r>
      <w:proofErr w:type="spellEnd"/>
      <w:r w:rsidRPr="005978B5">
        <w:rPr>
          <w:rFonts w:ascii="Arial" w:eastAsia="Times New Roman" w:hAnsi="Arial" w:cs="Arial"/>
          <w:kern w:val="0"/>
          <w:lang w:eastAsia="en-GB"/>
          <w14:ligatures w14:val="none"/>
        </w:rPr>
        <w:t xml:space="preserve">, P., </w:t>
      </w:r>
      <w:proofErr w:type="spellStart"/>
      <w:r w:rsidRPr="005978B5">
        <w:rPr>
          <w:rFonts w:ascii="Arial" w:eastAsia="Times New Roman" w:hAnsi="Arial" w:cs="Arial"/>
          <w:kern w:val="0"/>
          <w:lang w:eastAsia="en-GB"/>
          <w14:ligatures w14:val="none"/>
        </w:rPr>
        <w:t>Kuchenbaecker</w:t>
      </w:r>
      <w:proofErr w:type="spellEnd"/>
      <w:r w:rsidRPr="005978B5">
        <w:rPr>
          <w:rFonts w:ascii="Arial" w:eastAsia="Times New Roman" w:hAnsi="Arial" w:cs="Arial"/>
          <w:kern w:val="0"/>
          <w:lang w:eastAsia="en-GB"/>
          <w14:ligatures w14:val="none"/>
        </w:rPr>
        <w:t xml:space="preserve">, K., Sattar, N., Hughes, A., Bhaskaran, K., Smeeth, L. and Chaturvedi, N. (2022) 'Type 2 diabetes risks and determinants in second-generation migrants and mixed ethnicity people of South Asian and African Caribbean descent in the UK', </w:t>
      </w:r>
      <w:proofErr w:type="spellStart"/>
      <w:r w:rsidRPr="005978B5">
        <w:rPr>
          <w:rFonts w:ascii="Arial" w:eastAsia="Times New Roman" w:hAnsi="Arial" w:cs="Arial"/>
          <w:i/>
          <w:iCs/>
          <w:kern w:val="0"/>
          <w:lang w:eastAsia="en-GB"/>
          <w14:ligatures w14:val="none"/>
        </w:rPr>
        <w:t>Diabetologia</w:t>
      </w:r>
      <w:proofErr w:type="spellEnd"/>
      <w:r w:rsidRPr="005978B5">
        <w:rPr>
          <w:rFonts w:ascii="Arial" w:eastAsia="Times New Roman" w:hAnsi="Arial" w:cs="Arial"/>
          <w:kern w:val="0"/>
          <w:lang w:eastAsia="en-GB"/>
          <w14:ligatures w14:val="none"/>
        </w:rPr>
        <w:t>, 65(1), pp. 113–127.</w:t>
      </w:r>
    </w:p>
    <w:p w14:paraId="16DAA1DE" w14:textId="597A600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GBD 2021 Diabetes Collaborators (2023) 'Global, regional, and national burden of diabetes from 1990 to 2021, with projections of prevalence to 2050: a systematic analysis for the Global Burden of Disease Study 2021', </w:t>
      </w:r>
      <w:r w:rsidRPr="005978B5">
        <w:rPr>
          <w:rFonts w:ascii="Arial" w:eastAsia="Times New Roman" w:hAnsi="Arial" w:cs="Arial"/>
          <w:i/>
          <w:iCs/>
          <w:kern w:val="0"/>
          <w:lang w:eastAsia="en-GB"/>
          <w14:ligatures w14:val="none"/>
        </w:rPr>
        <w:t>The Lancet</w:t>
      </w:r>
      <w:r w:rsidRPr="005978B5">
        <w:rPr>
          <w:rFonts w:ascii="Arial" w:eastAsia="Times New Roman" w:hAnsi="Arial" w:cs="Arial"/>
          <w:kern w:val="0"/>
          <w:lang w:eastAsia="en-GB"/>
          <w14:ligatures w14:val="none"/>
        </w:rPr>
        <w:t>, 402(10397), pp. 203–234.</w:t>
      </w:r>
    </w:p>
    <w:p w14:paraId="5C80780C" w14:textId="46C3BF4B"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Goff, L.M. (2019) 'Ethnicity and type 2 diabetes in the UK',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36(8), pp. 927–938.</w:t>
      </w:r>
    </w:p>
    <w:p w14:paraId="478A3941" w14:textId="5E8E81A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Goff, L.M., </w:t>
      </w:r>
      <w:proofErr w:type="spellStart"/>
      <w:r w:rsidRPr="005978B5">
        <w:rPr>
          <w:rFonts w:ascii="Arial" w:eastAsia="Times New Roman" w:hAnsi="Arial" w:cs="Arial"/>
          <w:kern w:val="0"/>
          <w:lang w:eastAsia="en-GB"/>
          <w14:ligatures w14:val="none"/>
        </w:rPr>
        <w:t>Ladwa</w:t>
      </w:r>
      <w:proofErr w:type="spellEnd"/>
      <w:r w:rsidRPr="005978B5">
        <w:rPr>
          <w:rFonts w:ascii="Arial" w:eastAsia="Times New Roman" w:hAnsi="Arial" w:cs="Arial"/>
          <w:kern w:val="0"/>
          <w:lang w:eastAsia="en-GB"/>
          <w14:ligatures w14:val="none"/>
        </w:rPr>
        <w:t xml:space="preserve">, M., Hakim, O. and Bello, O. (2020a) 'Ethnic distinctions in the pathophysiology of type 2 diabetes: a focus on black African-Caribbean populations', </w:t>
      </w:r>
      <w:r w:rsidRPr="005978B5">
        <w:rPr>
          <w:rFonts w:ascii="Arial" w:eastAsia="Times New Roman" w:hAnsi="Arial" w:cs="Arial"/>
          <w:i/>
          <w:iCs/>
          <w:kern w:val="0"/>
          <w:lang w:eastAsia="en-GB"/>
          <w14:ligatures w14:val="none"/>
        </w:rPr>
        <w:t>Proceedings of the Nutrition Society</w:t>
      </w:r>
      <w:r w:rsidRPr="005978B5">
        <w:rPr>
          <w:rFonts w:ascii="Arial" w:eastAsia="Times New Roman" w:hAnsi="Arial" w:cs="Arial"/>
          <w:kern w:val="0"/>
          <w:lang w:eastAsia="en-GB"/>
          <w14:ligatures w14:val="none"/>
        </w:rPr>
        <w:t>, 79(2), pp. 184–193.</w:t>
      </w:r>
    </w:p>
    <w:p w14:paraId="1CC344BD" w14:textId="1C10C29B"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Goff, L.M., Moore, A., Harding, S. and Rivas, C. (2020b) 'Providing culturally sensitive diabetes self-management education and support for black African and Caribbean communities: a qualitative exploration of the challenges experienced by healthcare practitioners in inner London', </w:t>
      </w:r>
      <w:r w:rsidRPr="005978B5">
        <w:rPr>
          <w:rFonts w:ascii="Arial" w:eastAsia="Times New Roman" w:hAnsi="Arial" w:cs="Arial"/>
          <w:i/>
          <w:iCs/>
          <w:kern w:val="0"/>
          <w:lang w:eastAsia="en-GB"/>
          <w14:ligatures w14:val="none"/>
        </w:rPr>
        <w:t>BMJ Open Diabetes Research &amp; Care</w:t>
      </w:r>
      <w:r w:rsidRPr="005978B5">
        <w:rPr>
          <w:rFonts w:ascii="Arial" w:eastAsia="Times New Roman" w:hAnsi="Arial" w:cs="Arial"/>
          <w:kern w:val="0"/>
          <w:lang w:eastAsia="en-GB"/>
          <w14:ligatures w14:val="none"/>
        </w:rPr>
        <w:t>, 8(2), e001818.</w:t>
      </w:r>
    </w:p>
    <w:p w14:paraId="0A30BD23" w14:textId="4A066D1B"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Goff, L.M., Rivas, C., Moore, A., Beckley-Hoelscher, N., Reid, F. and Harding, S. (2021) 'Healthy Eating and Active Lifestyles for Diabetes (HEAL-D), a culturally tailored self-management education and support program for type 2 diabetes in black-British adults: a randomized controlled feasibility trial', </w:t>
      </w:r>
      <w:r w:rsidRPr="005978B5">
        <w:rPr>
          <w:rFonts w:ascii="Arial" w:eastAsia="Times New Roman" w:hAnsi="Arial" w:cs="Arial"/>
          <w:i/>
          <w:iCs/>
          <w:kern w:val="0"/>
          <w:lang w:eastAsia="en-GB"/>
          <w14:ligatures w14:val="none"/>
        </w:rPr>
        <w:t>BMJ Open Diabetes Research &amp; Care</w:t>
      </w:r>
      <w:r w:rsidRPr="005978B5">
        <w:rPr>
          <w:rFonts w:ascii="Arial" w:eastAsia="Times New Roman" w:hAnsi="Arial" w:cs="Arial"/>
          <w:kern w:val="0"/>
          <w:lang w:eastAsia="en-GB"/>
          <w14:ligatures w14:val="none"/>
        </w:rPr>
        <w:t>, 9(1), e002438.</w:t>
      </w:r>
    </w:p>
    <w:p w14:paraId="0AD49D38" w14:textId="73947282"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Grant, M.J. and Booth, A. (2009) 'A typology of reviews: an analysis of 14 review types and associated methodologies', </w:t>
      </w:r>
      <w:r w:rsidRPr="005978B5">
        <w:rPr>
          <w:rFonts w:ascii="Arial" w:eastAsia="Times New Roman" w:hAnsi="Arial" w:cs="Arial"/>
          <w:i/>
          <w:iCs/>
          <w:kern w:val="0"/>
          <w:lang w:eastAsia="en-GB"/>
          <w14:ligatures w14:val="none"/>
        </w:rPr>
        <w:t>Health Information and Libraries Journal</w:t>
      </w:r>
      <w:r w:rsidRPr="005978B5">
        <w:rPr>
          <w:rFonts w:ascii="Arial" w:eastAsia="Times New Roman" w:hAnsi="Arial" w:cs="Arial"/>
          <w:kern w:val="0"/>
          <w:lang w:eastAsia="en-GB"/>
          <w14:ligatures w14:val="none"/>
        </w:rPr>
        <w:t>, 26(2), pp. 91–108.</w:t>
      </w:r>
    </w:p>
    <w:p w14:paraId="19A014FC" w14:textId="20F9CCEE"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Grant, V. and Litchfield, I. (2024) 'Acceptability of community health worker and peer supported interventions for ethnic minorities with type 2 diabetes: a qualitative systematic review', </w:t>
      </w:r>
      <w:r w:rsidRPr="005978B5">
        <w:rPr>
          <w:rFonts w:ascii="Arial" w:eastAsia="Times New Roman" w:hAnsi="Arial" w:cs="Arial"/>
          <w:i/>
          <w:iCs/>
          <w:kern w:val="0"/>
          <w:lang w:eastAsia="en-GB"/>
          <w14:ligatures w14:val="none"/>
        </w:rPr>
        <w:t>Frontiers in Clinical Diabetes and Healthcare</w:t>
      </w:r>
      <w:r w:rsidRPr="005978B5">
        <w:rPr>
          <w:rFonts w:ascii="Arial" w:eastAsia="Times New Roman" w:hAnsi="Arial" w:cs="Arial"/>
          <w:kern w:val="0"/>
          <w:lang w:eastAsia="en-GB"/>
          <w14:ligatures w14:val="none"/>
        </w:rPr>
        <w:t>, 5, article 1306199.</w:t>
      </w:r>
    </w:p>
    <w:p w14:paraId="2D51BE65" w14:textId="2A3788E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Hanif, W., Patel, V., Ali, S.N., Karamat, A., Saeed, M., Hassanein, M., Syed, A., Chowdhury, T.A., Farooqi, A. and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(2020) 'The South Asian Health Foundation (UK) guidelines </w:t>
      </w:r>
      <w:r w:rsidRPr="005978B5">
        <w:rPr>
          <w:rFonts w:ascii="Arial" w:eastAsia="Times New Roman" w:hAnsi="Arial" w:cs="Arial"/>
          <w:kern w:val="0"/>
          <w:lang w:eastAsia="en-GB"/>
          <w14:ligatures w14:val="none"/>
        </w:rPr>
        <w:lastRenderedPageBreak/>
        <w:t xml:space="preserve">for managing diabetes during Ramadan', </w:t>
      </w:r>
      <w:r w:rsidRPr="005978B5">
        <w:rPr>
          <w:rFonts w:ascii="Arial" w:eastAsia="Times New Roman" w:hAnsi="Arial" w:cs="Arial"/>
          <w:i/>
          <w:iCs/>
          <w:kern w:val="0"/>
          <w:lang w:eastAsia="en-GB"/>
          <w14:ligatures w14:val="none"/>
        </w:rPr>
        <w:t>Diabetes Research and Clinical Practice</w:t>
      </w:r>
      <w:r w:rsidRPr="005978B5">
        <w:rPr>
          <w:rFonts w:ascii="Arial" w:eastAsia="Times New Roman" w:hAnsi="Arial" w:cs="Arial"/>
          <w:kern w:val="0"/>
          <w:lang w:eastAsia="en-GB"/>
          <w14:ligatures w14:val="none"/>
        </w:rPr>
        <w:t>, 164, article 108145.</w:t>
      </w:r>
    </w:p>
    <w:p w14:paraId="34020108" w14:textId="2F8CA3FF"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Hex, N., MacDonald, R., Pocock, J., Uzdzinska, B., Taylor, M., Atkin, M., Wild, S.H., Beba, H. and Jones, R. (2024) 'Estimation of the direct health and indirect societal costs of diabetes in the UK using a cost of illness model',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xml:space="preserve">, 41(9), e15326. </w:t>
      </w:r>
    </w:p>
    <w:p w14:paraId="4BEE6FAA" w14:textId="3DC9EBA5"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Higgins, J.P.T., Thomas, J., Chandler, J., Cumpston, M., Li, T., Page, M.J. and Welch, V.A. (eds.) (2023) </w:t>
      </w:r>
      <w:r w:rsidRPr="005978B5">
        <w:rPr>
          <w:rFonts w:ascii="Arial" w:eastAsia="Times New Roman" w:hAnsi="Arial" w:cs="Arial"/>
          <w:i/>
          <w:iCs/>
          <w:kern w:val="0"/>
          <w:lang w:eastAsia="en-GB"/>
          <w14:ligatures w14:val="none"/>
        </w:rPr>
        <w:t>Cochrane Handbook for Systematic Reviews of Interventions</w:t>
      </w:r>
      <w:r w:rsidRPr="005978B5">
        <w:rPr>
          <w:rFonts w:ascii="Arial" w:eastAsia="Times New Roman" w:hAnsi="Arial" w:cs="Arial"/>
          <w:kern w:val="0"/>
          <w:lang w:eastAsia="en-GB"/>
          <w14:ligatures w14:val="none"/>
        </w:rPr>
        <w:t xml:space="preserve">. Version 6.4. Cochrane. Available at: </w:t>
      </w:r>
      <w:hyperlink r:id="rId22" w:tgtFrame="_blank" w:history="1">
        <w:r w:rsidRPr="005978B5">
          <w:rPr>
            <w:rStyle w:val="Hyperlink"/>
            <w:rFonts w:ascii="Arial" w:eastAsia="Times New Roman" w:hAnsi="Arial" w:cs="Arial"/>
            <w:kern w:val="0"/>
            <w:lang w:eastAsia="en-GB"/>
            <w14:ligatures w14:val="none"/>
          </w:rPr>
          <w:t>https://docs.edtechhub.org/lib/2F9DRA2K</w:t>
        </w:r>
      </w:hyperlink>
      <w:r w:rsidRPr="005978B5">
        <w:rPr>
          <w:rFonts w:ascii="Arial" w:eastAsia="Times New Roman" w:hAnsi="Arial" w:cs="Arial"/>
          <w:kern w:val="0"/>
          <w:lang w:eastAsia="en-GB"/>
          <w14:ligatures w14:val="none"/>
        </w:rPr>
        <w:t xml:space="preserve"> (Accessed: </w:t>
      </w:r>
      <w:r w:rsidR="000F625C">
        <w:rPr>
          <w:rFonts w:ascii="Arial" w:eastAsia="Times New Roman" w:hAnsi="Arial" w:cs="Arial"/>
          <w:kern w:val="0"/>
          <w:lang w:eastAsia="en-GB"/>
          <w14:ligatures w14:val="none"/>
        </w:rPr>
        <w:t>04</w:t>
      </w:r>
      <w:r w:rsidRPr="005978B5">
        <w:rPr>
          <w:rFonts w:ascii="Arial" w:eastAsia="Times New Roman" w:hAnsi="Arial" w:cs="Arial"/>
          <w:kern w:val="0"/>
          <w:lang w:eastAsia="en-GB"/>
          <w14:ligatures w14:val="none"/>
        </w:rPr>
        <w:t xml:space="preserve"> </w:t>
      </w:r>
      <w:r w:rsidR="000F625C">
        <w:rPr>
          <w:rFonts w:ascii="Arial" w:eastAsia="Times New Roman" w:hAnsi="Arial" w:cs="Arial"/>
          <w:kern w:val="0"/>
          <w:lang w:eastAsia="en-GB"/>
          <w14:ligatures w14:val="none"/>
        </w:rPr>
        <w:t xml:space="preserve">April </w:t>
      </w:r>
      <w:r w:rsidRPr="005978B5">
        <w:rPr>
          <w:rFonts w:ascii="Arial" w:eastAsia="Times New Roman" w:hAnsi="Arial" w:cs="Arial"/>
          <w:kern w:val="0"/>
          <w:lang w:eastAsia="en-GB"/>
          <w14:ligatures w14:val="none"/>
        </w:rPr>
        <w:t>2026).</w:t>
      </w:r>
    </w:p>
    <w:p w14:paraId="153EABD8" w14:textId="417C3472"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Howarth, E., Bower, P.J., </w:t>
      </w:r>
      <w:proofErr w:type="spellStart"/>
      <w:r w:rsidRPr="005978B5">
        <w:rPr>
          <w:rFonts w:ascii="Arial" w:eastAsia="Times New Roman" w:hAnsi="Arial" w:cs="Arial"/>
          <w:kern w:val="0"/>
          <w:lang w:eastAsia="en-GB"/>
          <w14:ligatures w14:val="none"/>
        </w:rPr>
        <w:t>Kontopantelis</w:t>
      </w:r>
      <w:proofErr w:type="spellEnd"/>
      <w:r w:rsidRPr="005978B5">
        <w:rPr>
          <w:rFonts w:ascii="Arial" w:eastAsia="Times New Roman" w:hAnsi="Arial" w:cs="Arial"/>
          <w:kern w:val="0"/>
          <w:lang w:eastAsia="en-GB"/>
          <w14:ligatures w14:val="none"/>
        </w:rPr>
        <w:t xml:space="preserve">, E., </w:t>
      </w:r>
      <w:proofErr w:type="spellStart"/>
      <w:r w:rsidRPr="005978B5">
        <w:rPr>
          <w:rFonts w:ascii="Arial" w:eastAsia="Times New Roman" w:hAnsi="Arial" w:cs="Arial"/>
          <w:kern w:val="0"/>
          <w:lang w:eastAsia="en-GB"/>
          <w14:ligatures w14:val="none"/>
        </w:rPr>
        <w:t>Soiland</w:t>
      </w:r>
      <w:proofErr w:type="spellEnd"/>
      <w:r w:rsidRPr="005978B5">
        <w:rPr>
          <w:rFonts w:ascii="Arial" w:eastAsia="Times New Roman" w:hAnsi="Arial" w:cs="Arial"/>
          <w:kern w:val="0"/>
          <w:lang w:eastAsia="en-GB"/>
          <w14:ligatures w14:val="none"/>
        </w:rPr>
        <w:t xml:space="preserve">-Reyes, C., Meacock, R., Whittaker, W. and Cotterill, S. (2020) '"Going the distance": an independent cohort study of engagement and dropout among the first 100,000 referrals into a large-scale diabetes prevention program', </w:t>
      </w:r>
      <w:r w:rsidRPr="005978B5">
        <w:rPr>
          <w:rFonts w:ascii="Arial" w:eastAsia="Times New Roman" w:hAnsi="Arial" w:cs="Arial"/>
          <w:i/>
          <w:iCs/>
          <w:kern w:val="0"/>
          <w:lang w:eastAsia="en-GB"/>
          <w14:ligatures w14:val="none"/>
        </w:rPr>
        <w:t>BMJ Open Diabetes Research &amp; Care</w:t>
      </w:r>
      <w:r w:rsidRPr="005978B5">
        <w:rPr>
          <w:rFonts w:ascii="Arial" w:eastAsia="Times New Roman" w:hAnsi="Arial" w:cs="Arial"/>
          <w:kern w:val="0"/>
          <w:lang w:eastAsia="en-GB"/>
          <w14:ligatures w14:val="none"/>
        </w:rPr>
        <w:t>, 8(2), e001835.</w:t>
      </w:r>
    </w:p>
    <w:p w14:paraId="20534434" w14:textId="5D34E2E1"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International Diabetes Federation (2021) </w:t>
      </w:r>
      <w:r w:rsidRPr="005978B5">
        <w:rPr>
          <w:rFonts w:ascii="Arial" w:eastAsia="Times New Roman" w:hAnsi="Arial" w:cs="Arial"/>
          <w:i/>
          <w:iCs/>
          <w:kern w:val="0"/>
          <w:lang w:eastAsia="en-GB"/>
          <w14:ligatures w14:val="none"/>
        </w:rPr>
        <w:t>IDF Diabetes Atlas</w:t>
      </w:r>
      <w:r w:rsidRPr="005978B5">
        <w:rPr>
          <w:rFonts w:ascii="Arial" w:eastAsia="Times New Roman" w:hAnsi="Arial" w:cs="Arial"/>
          <w:kern w:val="0"/>
          <w:lang w:eastAsia="en-GB"/>
          <w14:ligatures w14:val="none"/>
        </w:rPr>
        <w:t xml:space="preserve">. 10th edn. Brussels: International Diabetes Federation. Available at: </w:t>
      </w:r>
      <w:hyperlink r:id="rId23" w:history="1">
        <w:r w:rsidRPr="005978B5">
          <w:rPr>
            <w:rStyle w:val="Hyperlink"/>
            <w:rFonts w:ascii="Arial" w:eastAsia="Times New Roman" w:hAnsi="Arial" w:cs="Arial"/>
            <w:kern w:val="0"/>
            <w:lang w:eastAsia="en-GB"/>
            <w14:ligatures w14:val="none"/>
          </w:rPr>
          <w:t>https://idf.org/news-and-resources/resources/idf-diabetes-atlas-2021/</w:t>
        </w:r>
      </w:hyperlink>
      <w:r w:rsidRPr="005978B5">
        <w:rPr>
          <w:rFonts w:ascii="Arial" w:eastAsia="Times New Roman" w:hAnsi="Arial" w:cs="Arial"/>
          <w:kern w:val="0"/>
          <w:lang w:eastAsia="en-GB"/>
          <w14:ligatures w14:val="none"/>
        </w:rPr>
        <w:t xml:space="preserve"> (Accessed: </w:t>
      </w:r>
      <w:r w:rsidR="000F625C">
        <w:rPr>
          <w:rFonts w:ascii="Arial" w:eastAsia="Times New Roman" w:hAnsi="Arial" w:cs="Arial"/>
          <w:kern w:val="0"/>
          <w:lang w:eastAsia="en-GB"/>
          <w14:ligatures w14:val="none"/>
        </w:rPr>
        <w:t xml:space="preserve">27 Feb </w:t>
      </w:r>
      <w:r w:rsidRPr="005978B5">
        <w:rPr>
          <w:rFonts w:ascii="Arial" w:eastAsia="Times New Roman" w:hAnsi="Arial" w:cs="Arial"/>
          <w:kern w:val="0"/>
          <w:lang w:eastAsia="en-GB"/>
          <w14:ligatures w14:val="none"/>
        </w:rPr>
        <w:t>2026).</w:t>
      </w:r>
    </w:p>
    <w:p w14:paraId="356C445A" w14:textId="54F4C5D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Iqbal, S. (2023) 'Cultural factors influencing the eating behaviours of type 2 diabetes in the British South-Asian population: a scoping review of the literature', </w:t>
      </w:r>
      <w:r w:rsidRPr="005978B5">
        <w:rPr>
          <w:rFonts w:ascii="Arial" w:eastAsia="Times New Roman" w:hAnsi="Arial" w:cs="Arial"/>
          <w:i/>
          <w:iCs/>
          <w:kern w:val="0"/>
          <w:lang w:eastAsia="en-GB"/>
          <w14:ligatures w14:val="none"/>
        </w:rPr>
        <w:t>Journal of Global Health Reports</w:t>
      </w:r>
      <w:r w:rsidRPr="005978B5">
        <w:rPr>
          <w:rFonts w:ascii="Arial" w:eastAsia="Times New Roman" w:hAnsi="Arial" w:cs="Arial"/>
          <w:kern w:val="0"/>
          <w:lang w:eastAsia="en-GB"/>
          <w14:ligatures w14:val="none"/>
        </w:rPr>
        <w:t>, 7, e2023050.</w:t>
      </w:r>
    </w:p>
    <w:p w14:paraId="1586F2C9" w14:textId="4D56AD6F"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Ismail, S.U., </w:t>
      </w:r>
      <w:proofErr w:type="spellStart"/>
      <w:r w:rsidRPr="005978B5">
        <w:rPr>
          <w:rFonts w:ascii="Arial" w:eastAsia="Times New Roman" w:hAnsi="Arial" w:cs="Arial"/>
          <w:kern w:val="0"/>
          <w:lang w:eastAsia="en-GB"/>
          <w14:ligatures w14:val="none"/>
        </w:rPr>
        <w:t>Asamane</w:t>
      </w:r>
      <w:proofErr w:type="spellEnd"/>
      <w:r w:rsidRPr="005978B5">
        <w:rPr>
          <w:rFonts w:ascii="Arial" w:eastAsia="Times New Roman" w:hAnsi="Arial" w:cs="Arial"/>
          <w:kern w:val="0"/>
          <w:lang w:eastAsia="en-GB"/>
          <w14:ligatures w14:val="none"/>
        </w:rPr>
        <w:t xml:space="preserve">, E.A., Osei-Kwasi, H.A. and Boateng, D. (2022) 'Socioeconomic determinants of cardiovascular diseases, obesity, and diabetes among migrants in the United Kingdom: a systematic review', </w:t>
      </w:r>
      <w:r w:rsidRPr="005978B5">
        <w:rPr>
          <w:rFonts w:ascii="Arial" w:eastAsia="Times New Roman" w:hAnsi="Arial" w:cs="Arial"/>
          <w:i/>
          <w:iCs/>
          <w:kern w:val="0"/>
          <w:lang w:eastAsia="en-GB"/>
          <w14:ligatures w14:val="none"/>
        </w:rPr>
        <w:t>International Journal of Environmental Research and Public Health</w:t>
      </w:r>
      <w:r w:rsidRPr="005978B5">
        <w:rPr>
          <w:rFonts w:ascii="Arial" w:eastAsia="Times New Roman" w:hAnsi="Arial" w:cs="Arial"/>
          <w:kern w:val="0"/>
          <w:lang w:eastAsia="en-GB"/>
          <w14:ligatures w14:val="none"/>
        </w:rPr>
        <w:t>, 19(5), article 3070.</w:t>
      </w:r>
    </w:p>
    <w:p w14:paraId="751CC46F" w14:textId="45B6D593"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Kapadia, D., Zhang, J., Salway, S., Nazroo, J., Booth, A., Villarroel-Williams, N., Bécares, L. and Esmail, A. (2022) </w:t>
      </w:r>
      <w:r w:rsidRPr="005978B5">
        <w:rPr>
          <w:rFonts w:ascii="Arial" w:eastAsia="Times New Roman" w:hAnsi="Arial" w:cs="Arial"/>
          <w:i/>
          <w:iCs/>
          <w:kern w:val="0"/>
          <w:lang w:eastAsia="en-GB"/>
          <w14:ligatures w14:val="none"/>
        </w:rPr>
        <w:t>Ethnic Inequalities in Healthcare: A Rapid Evidence Review</w:t>
      </w:r>
      <w:r w:rsidRPr="005978B5">
        <w:rPr>
          <w:rFonts w:ascii="Arial" w:eastAsia="Times New Roman" w:hAnsi="Arial" w:cs="Arial"/>
          <w:kern w:val="0"/>
          <w:lang w:eastAsia="en-GB"/>
          <w14:ligatures w14:val="none"/>
        </w:rPr>
        <w:t xml:space="preserve">. London: NHS Race and Health Observatory. Available at: </w:t>
      </w:r>
      <w:hyperlink r:id="rId24" w:history="1">
        <w:r w:rsidRPr="005978B5">
          <w:rPr>
            <w:rStyle w:val="Hyperlink"/>
            <w:rFonts w:ascii="Arial" w:eastAsia="Times New Roman" w:hAnsi="Arial" w:cs="Arial"/>
            <w:kern w:val="0"/>
            <w:lang w:eastAsia="en-GB"/>
            <w14:ligatures w14:val="none"/>
          </w:rPr>
          <w:t>https://www.nhsrho.org/wp-content/uploads/2023/05/RHO-Rapid-Review-Final-Report_.pdf</w:t>
        </w:r>
      </w:hyperlink>
      <w:r w:rsidRPr="005978B5">
        <w:rPr>
          <w:rFonts w:ascii="Arial" w:eastAsia="Times New Roman" w:hAnsi="Arial" w:cs="Arial"/>
          <w:kern w:val="0"/>
          <w:lang w:eastAsia="en-GB"/>
          <w14:ligatures w14:val="none"/>
        </w:rPr>
        <w:t xml:space="preserve">  (Accessed: </w:t>
      </w:r>
      <w:r w:rsidR="000F625C">
        <w:rPr>
          <w:rFonts w:ascii="Arial" w:eastAsia="Times New Roman" w:hAnsi="Arial" w:cs="Arial"/>
          <w:kern w:val="0"/>
          <w:lang w:eastAsia="en-GB"/>
          <w14:ligatures w14:val="none"/>
        </w:rPr>
        <w:t>03</w:t>
      </w:r>
      <w:r w:rsidRPr="005978B5">
        <w:rPr>
          <w:rFonts w:ascii="Arial" w:eastAsia="Times New Roman" w:hAnsi="Arial" w:cs="Arial"/>
          <w:kern w:val="0"/>
          <w:lang w:eastAsia="en-GB"/>
          <w14:ligatures w14:val="none"/>
        </w:rPr>
        <w:t xml:space="preserve"> March 2026).</w:t>
      </w:r>
    </w:p>
    <w:p w14:paraId="6BA8D819" w14:textId="11485D7C"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Katangwe-Chigamba</w:t>
      </w:r>
      <w:proofErr w:type="spellEnd"/>
      <w:r w:rsidRPr="005978B5">
        <w:rPr>
          <w:rFonts w:ascii="Arial" w:eastAsia="Times New Roman" w:hAnsi="Arial" w:cs="Arial"/>
          <w:kern w:val="0"/>
          <w:lang w:eastAsia="en-GB"/>
          <w14:ligatures w14:val="none"/>
        </w:rPr>
        <w:t xml:space="preserve">, T., Kantilal, K., Hartley-Palmer, J., Salisu-Olatunji, S.O., Seeley, C., Naughton, F. and Chester, R. (2025) 'Diet and physical activity interventions for people from </w:t>
      </w:r>
      <w:r w:rsidRPr="005978B5">
        <w:rPr>
          <w:rFonts w:ascii="Arial" w:eastAsia="Times New Roman" w:hAnsi="Arial" w:cs="Arial"/>
          <w:kern w:val="0"/>
          <w:lang w:eastAsia="en-GB"/>
          <w14:ligatures w14:val="none"/>
        </w:rPr>
        <w:lastRenderedPageBreak/>
        <w:t xml:space="preserve">minority ethnic backgrounds in the UK: a scoping review exploring barriers, enablers and cultural adaptations', </w:t>
      </w:r>
      <w:r w:rsidRPr="005978B5">
        <w:rPr>
          <w:rFonts w:ascii="Arial" w:eastAsia="Times New Roman" w:hAnsi="Arial" w:cs="Arial"/>
          <w:i/>
          <w:iCs/>
          <w:kern w:val="0"/>
          <w:lang w:eastAsia="en-GB"/>
          <w14:ligatures w14:val="none"/>
        </w:rPr>
        <w:t>Journal of Racial and Ethnic Health Disparities</w:t>
      </w:r>
      <w:r w:rsidRPr="005978B5">
        <w:rPr>
          <w:rFonts w:ascii="Arial" w:eastAsia="Times New Roman" w:hAnsi="Arial" w:cs="Arial"/>
          <w:kern w:val="0"/>
          <w:lang w:eastAsia="en-GB"/>
          <w14:ligatures w14:val="none"/>
        </w:rPr>
        <w:t>, 12(5), pp. 3024–3068.</w:t>
      </w:r>
    </w:p>
    <w:p w14:paraId="414657A6" w14:textId="20370F94" w:rsidR="00E862C3" w:rsidRPr="005978B5" w:rsidRDefault="00E862C3" w:rsidP="00211962">
      <w:pPr>
        <w:spacing w:before="100" w:beforeAutospacing="1" w:after="100" w:afterAutospacing="1" w:line="360" w:lineRule="auto"/>
        <w:ind w:left="10"/>
        <w:rPr>
          <w:rFonts w:ascii="Arial" w:eastAsia="Times New Roman" w:hAnsi="Arial" w:cs="Arial"/>
          <w:kern w:val="0"/>
          <w:highlight w:val="yellow"/>
          <w:lang w:eastAsia="en-GB"/>
          <w14:ligatures w14:val="none"/>
        </w:rPr>
      </w:pP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(2022) 'Diabetes, ethnic minority groups and COVID-19: an inevitable storm', </w:t>
      </w:r>
      <w:r w:rsidRPr="005978B5">
        <w:rPr>
          <w:rFonts w:ascii="Arial" w:eastAsia="Times New Roman" w:hAnsi="Arial" w:cs="Arial"/>
          <w:i/>
          <w:iCs/>
          <w:kern w:val="0"/>
          <w:lang w:eastAsia="en-GB"/>
          <w14:ligatures w14:val="none"/>
        </w:rPr>
        <w:t>Practical Diabetes</w:t>
      </w:r>
      <w:r w:rsidRPr="005978B5">
        <w:rPr>
          <w:rFonts w:ascii="Arial" w:eastAsia="Times New Roman" w:hAnsi="Arial" w:cs="Arial"/>
          <w:kern w:val="0"/>
          <w:lang w:eastAsia="en-GB"/>
          <w14:ligatures w14:val="none"/>
        </w:rPr>
        <w:t>, 39(4), pp. 13–18.</w:t>
      </w:r>
    </w:p>
    <w:p w14:paraId="429D585E" w14:textId="7B5D56B6"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Feldman, E.L., </w:t>
      </w:r>
      <w:proofErr w:type="spellStart"/>
      <w:r w:rsidRPr="005978B5">
        <w:rPr>
          <w:rFonts w:ascii="Arial" w:eastAsia="Times New Roman" w:hAnsi="Arial" w:cs="Arial"/>
          <w:kern w:val="0"/>
          <w:lang w:eastAsia="en-GB"/>
          <w14:ligatures w14:val="none"/>
        </w:rPr>
        <w:t>Laiteerapong</w:t>
      </w:r>
      <w:proofErr w:type="spellEnd"/>
      <w:r w:rsidRPr="005978B5">
        <w:rPr>
          <w:rFonts w:ascii="Arial" w:eastAsia="Times New Roman" w:hAnsi="Arial" w:cs="Arial"/>
          <w:kern w:val="0"/>
          <w:lang w:eastAsia="en-GB"/>
          <w14:ligatures w14:val="none"/>
        </w:rPr>
        <w:t xml:space="preserve">, N., Parker, W., Routen, A. and Peek, M. (2023) 'The impact of the COVID-19 pandemic on ethnic minority groups with diabetes', </w:t>
      </w:r>
      <w:r w:rsidRPr="005978B5">
        <w:rPr>
          <w:rFonts w:ascii="Arial" w:eastAsia="Times New Roman" w:hAnsi="Arial" w:cs="Arial"/>
          <w:i/>
          <w:iCs/>
          <w:kern w:val="0"/>
          <w:lang w:eastAsia="en-GB"/>
          <w14:ligatures w14:val="none"/>
        </w:rPr>
        <w:t>Diabetes Care</w:t>
      </w:r>
      <w:r w:rsidRPr="005978B5">
        <w:rPr>
          <w:rFonts w:ascii="Arial" w:eastAsia="Times New Roman" w:hAnsi="Arial" w:cs="Arial"/>
          <w:kern w:val="0"/>
          <w:lang w:eastAsia="en-GB"/>
          <w14:ligatures w14:val="none"/>
        </w:rPr>
        <w:t>, 46(2), pp. 228–236.</w:t>
      </w:r>
    </w:p>
    <w:p w14:paraId="2953D88E" w14:textId="46D47BE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Kumar, K., Greenfield, S., Raza, K., Gill, P. and Stack, R. (2016) 'Understanding adherence-related beliefs about medicine amongst patients of South Asian origin with diabetes and cardiovascular disease: a qualitative synthesis', </w:t>
      </w:r>
      <w:r w:rsidRPr="005978B5">
        <w:rPr>
          <w:rFonts w:ascii="Arial" w:eastAsia="Times New Roman" w:hAnsi="Arial" w:cs="Arial"/>
          <w:i/>
          <w:iCs/>
          <w:kern w:val="0"/>
          <w:lang w:eastAsia="en-GB"/>
          <w14:ligatures w14:val="none"/>
        </w:rPr>
        <w:t>BMC Endocrine Disorders</w:t>
      </w:r>
      <w:r w:rsidRPr="005978B5">
        <w:rPr>
          <w:rFonts w:ascii="Arial" w:eastAsia="Times New Roman" w:hAnsi="Arial" w:cs="Arial"/>
          <w:kern w:val="0"/>
          <w:lang w:eastAsia="en-GB"/>
          <w14:ligatures w14:val="none"/>
        </w:rPr>
        <w:t>, 16(1), article 24.</w:t>
      </w:r>
    </w:p>
    <w:p w14:paraId="10A7813A" w14:textId="516D42C0"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Langlois, É.V., Daniels, K. and Akl, E.A. (eds.) (2018) </w:t>
      </w:r>
      <w:r w:rsidRPr="005978B5">
        <w:rPr>
          <w:rFonts w:ascii="Arial" w:eastAsia="Times New Roman" w:hAnsi="Arial" w:cs="Arial"/>
          <w:i/>
          <w:iCs/>
          <w:kern w:val="0"/>
          <w:lang w:eastAsia="en-GB"/>
          <w14:ligatures w14:val="none"/>
        </w:rPr>
        <w:t>Evidence Synthesis for Health Policy and Systems: A Methods Guide</w:t>
      </w:r>
      <w:r w:rsidRPr="005978B5">
        <w:rPr>
          <w:rFonts w:ascii="Arial" w:eastAsia="Times New Roman" w:hAnsi="Arial" w:cs="Arial"/>
          <w:kern w:val="0"/>
          <w:lang w:eastAsia="en-GB"/>
          <w14:ligatures w14:val="none"/>
        </w:rPr>
        <w:t xml:space="preserve">. Geneva: World Health Organization. Available at: </w:t>
      </w:r>
      <w:hyperlink r:id="rId25" w:history="1">
        <w:r w:rsidR="000F625C" w:rsidRPr="004830B9">
          <w:rPr>
            <w:rStyle w:val="Hyperlink"/>
            <w:rFonts w:ascii="Arial" w:eastAsia="Times New Roman" w:hAnsi="Arial" w:cs="Arial"/>
            <w:kern w:val="0"/>
            <w:lang w:eastAsia="en-GB"/>
            <w14:ligatures w14:val="none"/>
          </w:rPr>
          <w:t>https://www.ncbi.nlm.nih.gov/books/NBK569590/</w:t>
        </w:r>
      </w:hyperlink>
      <w:r w:rsidR="000F625C">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1</w:t>
      </w:r>
      <w:r w:rsidRPr="005978B5">
        <w:rPr>
          <w:rFonts w:ascii="Arial" w:eastAsia="Times New Roman" w:hAnsi="Arial" w:cs="Arial"/>
          <w:kern w:val="0"/>
          <w:lang w:eastAsia="en-GB"/>
          <w14:ligatures w14:val="none"/>
        </w:rPr>
        <w:t>5 March 2026).</w:t>
      </w:r>
    </w:p>
    <w:p w14:paraId="0515460C" w14:textId="60A31E05"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Liberati, A., Altman, D.G., Tetzlaff, J., Mulrow, C., Gøtzsche, P.C., Ioannidis, J.P.A., Clarke, M., Devereaux, P.J., </w:t>
      </w:r>
      <w:proofErr w:type="spellStart"/>
      <w:r w:rsidRPr="005978B5">
        <w:rPr>
          <w:rFonts w:ascii="Arial" w:eastAsia="Times New Roman" w:hAnsi="Arial" w:cs="Arial"/>
          <w:kern w:val="0"/>
          <w:lang w:eastAsia="en-GB"/>
          <w14:ligatures w14:val="none"/>
        </w:rPr>
        <w:t>Kleijnen</w:t>
      </w:r>
      <w:proofErr w:type="spellEnd"/>
      <w:r w:rsidRPr="005978B5">
        <w:rPr>
          <w:rFonts w:ascii="Arial" w:eastAsia="Times New Roman" w:hAnsi="Arial" w:cs="Arial"/>
          <w:kern w:val="0"/>
          <w:lang w:eastAsia="en-GB"/>
          <w14:ligatures w14:val="none"/>
        </w:rPr>
        <w:t xml:space="preserve">, J. and Moher, D. (2009) 'The PRISMA statement for reporting systematic reviews and meta-analyses of studies that evaluate health care interventions: explanation and elaboration', </w:t>
      </w:r>
      <w:r w:rsidRPr="005978B5">
        <w:rPr>
          <w:rFonts w:ascii="Arial" w:eastAsia="Times New Roman" w:hAnsi="Arial" w:cs="Arial"/>
          <w:i/>
          <w:iCs/>
          <w:kern w:val="0"/>
          <w:lang w:eastAsia="en-GB"/>
          <w14:ligatures w14:val="none"/>
        </w:rPr>
        <w:t>Journal of Clinical Epidemiology</w:t>
      </w:r>
      <w:r w:rsidRPr="005978B5">
        <w:rPr>
          <w:rFonts w:ascii="Arial" w:eastAsia="Times New Roman" w:hAnsi="Arial" w:cs="Arial"/>
          <w:kern w:val="0"/>
          <w:lang w:eastAsia="en-GB"/>
          <w14:ligatures w14:val="none"/>
        </w:rPr>
        <w:t>, 62(10), pp. e1–e34.</w:t>
      </w:r>
    </w:p>
    <w:p w14:paraId="1C2CE1C6" w14:textId="6CC3875F"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Lloyd, C.E., Wilson, A., Holt, R.I.G., Whicher, C., Kar, P. and Language Matters Group (2018) 'Language matters: a UK perspective',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xml:space="preserve">, 35(12), pp. 1635–1641. </w:t>
      </w:r>
    </w:p>
    <w:p w14:paraId="00DE313D" w14:textId="242D3462"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Love, O., Peter, D. and Santy-Tomlinson, J. (2022) 'Systematic review: perceptions of type 2 diabetes of people of African descent living in high-income countries', </w:t>
      </w:r>
      <w:r w:rsidRPr="005978B5">
        <w:rPr>
          <w:rFonts w:ascii="Arial" w:eastAsia="Times New Roman" w:hAnsi="Arial" w:cs="Arial"/>
          <w:i/>
          <w:iCs/>
          <w:kern w:val="0"/>
          <w:lang w:eastAsia="en-GB"/>
          <w14:ligatures w14:val="none"/>
        </w:rPr>
        <w:t>Journal of Advanced Nursing</w:t>
      </w:r>
      <w:r w:rsidRPr="005978B5">
        <w:rPr>
          <w:rFonts w:ascii="Arial" w:eastAsia="Times New Roman" w:hAnsi="Arial" w:cs="Arial"/>
          <w:kern w:val="0"/>
          <w:lang w:eastAsia="en-GB"/>
          <w14:ligatures w14:val="none"/>
        </w:rPr>
        <w:t>, 78(8), pp. 2277–2289.</w:t>
      </w:r>
    </w:p>
    <w:p w14:paraId="6713AF80" w14:textId="753F6A9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Low, J.T.S., Lowry, S., Goff, L.M., Irwin, S., Brady, O., Curran, N., </w:t>
      </w:r>
      <w:proofErr w:type="spellStart"/>
      <w:r w:rsidRPr="005978B5">
        <w:rPr>
          <w:rFonts w:ascii="Arial" w:eastAsia="Times New Roman" w:hAnsi="Arial" w:cs="Arial"/>
          <w:kern w:val="0"/>
          <w:lang w:eastAsia="en-GB"/>
          <w14:ligatures w14:val="none"/>
        </w:rPr>
        <w:t>Sevdalis</w:t>
      </w:r>
      <w:proofErr w:type="spellEnd"/>
      <w:r w:rsidRPr="005978B5">
        <w:rPr>
          <w:rFonts w:ascii="Arial" w:eastAsia="Times New Roman" w:hAnsi="Arial" w:cs="Arial"/>
          <w:kern w:val="0"/>
          <w:lang w:eastAsia="en-GB"/>
          <w14:ligatures w14:val="none"/>
        </w:rPr>
        <w:t xml:space="preserve">, N. and Walker, A. (2024) 'Healthy Eating and Active Lifestyles for Diabetes (HEAL-D) Online: a mixed methods evaluation exploring the feasibility of implementing a virtual culturally tailored diabetes self-management programme for African and Caribbean communities', </w:t>
      </w:r>
      <w:r w:rsidRPr="005978B5">
        <w:rPr>
          <w:rFonts w:ascii="Arial" w:eastAsia="Times New Roman" w:hAnsi="Arial" w:cs="Arial"/>
          <w:i/>
          <w:iCs/>
          <w:kern w:val="0"/>
          <w:lang w:eastAsia="en-GB"/>
          <w14:ligatures w14:val="none"/>
        </w:rPr>
        <w:t>BMJ Open</w:t>
      </w:r>
      <w:r w:rsidRPr="005978B5">
        <w:rPr>
          <w:rFonts w:ascii="Arial" w:eastAsia="Times New Roman" w:hAnsi="Arial" w:cs="Arial"/>
          <w:kern w:val="0"/>
          <w:lang w:eastAsia="en-GB"/>
          <w14:ligatures w14:val="none"/>
        </w:rPr>
        <w:t>, 14(10), e085847.</w:t>
      </w:r>
    </w:p>
    <w:p w14:paraId="7940A022" w14:textId="1D412842"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Marmot, M., Allen, J., Goldblatt, P., Boyce, T., McNeish, D., Grady, M. and Geddes, I. (2010) </w:t>
      </w:r>
      <w:r w:rsidRPr="005978B5">
        <w:rPr>
          <w:rFonts w:ascii="Arial" w:eastAsia="Times New Roman" w:hAnsi="Arial" w:cs="Arial"/>
          <w:i/>
          <w:iCs/>
          <w:kern w:val="0"/>
          <w:lang w:eastAsia="en-GB"/>
          <w14:ligatures w14:val="none"/>
        </w:rPr>
        <w:t>Fair Society, Healthy Lives: The Marmot Review — Strategic Review of Health Inequalities in England Post-2010</w:t>
      </w:r>
      <w:r w:rsidRPr="005978B5">
        <w:rPr>
          <w:rFonts w:ascii="Arial" w:eastAsia="Times New Roman" w:hAnsi="Arial" w:cs="Arial"/>
          <w:kern w:val="0"/>
          <w:lang w:eastAsia="en-GB"/>
          <w14:ligatures w14:val="none"/>
        </w:rPr>
        <w:t xml:space="preserve">. London: Institute of Health Equity. Available at: </w:t>
      </w:r>
      <w:hyperlink r:id="rId26" w:history="1">
        <w:r w:rsidR="002E08BF" w:rsidRPr="004830B9">
          <w:rPr>
            <w:rStyle w:val="Hyperlink"/>
            <w:rFonts w:ascii="Arial" w:eastAsia="Times New Roman" w:hAnsi="Arial" w:cs="Arial"/>
            <w:kern w:val="0"/>
            <w:lang w:eastAsia="en-GB"/>
            <w14:ligatures w14:val="none"/>
          </w:rPr>
          <w:t>https://www.instituteofhealthequity.org/resources-reports/fair-society-healthy-lives-the-marmot-review</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05 April</w:t>
      </w:r>
      <w:r w:rsidRPr="005978B5">
        <w:rPr>
          <w:rFonts w:ascii="Arial" w:eastAsia="Times New Roman" w:hAnsi="Arial" w:cs="Arial"/>
          <w:kern w:val="0"/>
          <w:lang w:eastAsia="en-GB"/>
          <w14:ligatures w14:val="none"/>
        </w:rPr>
        <w:t xml:space="preserve"> 2026).</w:t>
      </w:r>
    </w:p>
    <w:p w14:paraId="3F4C2D77" w14:textId="709393E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Marmot, M., Allen, J., Boyce, T., Goldblatt, P. and Morrison, J. (2020) </w:t>
      </w:r>
      <w:r w:rsidRPr="005978B5">
        <w:rPr>
          <w:rFonts w:ascii="Arial" w:eastAsia="Times New Roman" w:hAnsi="Arial" w:cs="Arial"/>
          <w:i/>
          <w:iCs/>
          <w:kern w:val="0"/>
          <w:lang w:eastAsia="en-GB"/>
          <w14:ligatures w14:val="none"/>
        </w:rPr>
        <w:t>Health Equity in England: The Marmot Review 10 Years On</w:t>
      </w:r>
      <w:r w:rsidRPr="005978B5">
        <w:rPr>
          <w:rFonts w:ascii="Arial" w:eastAsia="Times New Roman" w:hAnsi="Arial" w:cs="Arial"/>
          <w:kern w:val="0"/>
          <w:lang w:eastAsia="en-GB"/>
          <w14:ligatures w14:val="none"/>
        </w:rPr>
        <w:t xml:space="preserve">. London: Institute of Health Equity. Available at: </w:t>
      </w:r>
      <w:hyperlink r:id="rId27" w:history="1">
        <w:r w:rsidR="002E08BF" w:rsidRPr="004830B9">
          <w:rPr>
            <w:rStyle w:val="Hyperlink"/>
            <w:rFonts w:ascii="Arial" w:eastAsia="Times New Roman" w:hAnsi="Arial" w:cs="Arial"/>
            <w:kern w:val="0"/>
            <w:lang w:eastAsia="en-GB"/>
            <w14:ligatures w14:val="none"/>
          </w:rPr>
          <w:t>https://www.instituteofhealthequity.org/resources-reports/marmot-review-10-years-on</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19</w:t>
      </w:r>
      <w:r w:rsidRPr="005978B5">
        <w:rPr>
          <w:rFonts w:ascii="Arial" w:eastAsia="Times New Roman" w:hAnsi="Arial" w:cs="Arial"/>
          <w:kern w:val="0"/>
          <w:lang w:eastAsia="en-GB"/>
          <w14:ligatures w14:val="none"/>
        </w:rPr>
        <w:t xml:space="preserve"> Ma</w:t>
      </w:r>
      <w:r w:rsidR="000F625C">
        <w:rPr>
          <w:rFonts w:ascii="Arial" w:eastAsia="Times New Roman" w:hAnsi="Arial" w:cs="Arial"/>
          <w:kern w:val="0"/>
          <w:lang w:eastAsia="en-GB"/>
          <w14:ligatures w14:val="none"/>
        </w:rPr>
        <w:t>y</w:t>
      </w:r>
      <w:r w:rsidRPr="005978B5">
        <w:rPr>
          <w:rFonts w:ascii="Arial" w:eastAsia="Times New Roman" w:hAnsi="Arial" w:cs="Arial"/>
          <w:kern w:val="0"/>
          <w:lang w:eastAsia="en-GB"/>
          <w14:ligatures w14:val="none"/>
        </w:rPr>
        <w:t xml:space="preserve"> 2026).</w:t>
      </w:r>
    </w:p>
    <w:p w14:paraId="68790479" w14:textId="61E0D90B"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Mathur, R., Dreyer, G., Yaqoob, M.M. and Hull, S.A. (2018) 'Ethnic differences in the progression of chronic kidney disease and risk of death in a UK diabetic population: an observational cohort study', </w:t>
      </w:r>
      <w:r w:rsidRPr="005978B5">
        <w:rPr>
          <w:rFonts w:ascii="Arial" w:eastAsia="Times New Roman" w:hAnsi="Arial" w:cs="Arial"/>
          <w:i/>
          <w:iCs/>
          <w:kern w:val="0"/>
          <w:lang w:eastAsia="en-GB"/>
          <w14:ligatures w14:val="none"/>
        </w:rPr>
        <w:t>BMJ Open</w:t>
      </w:r>
      <w:r w:rsidRPr="005978B5">
        <w:rPr>
          <w:rFonts w:ascii="Arial" w:eastAsia="Times New Roman" w:hAnsi="Arial" w:cs="Arial"/>
          <w:kern w:val="0"/>
          <w:lang w:eastAsia="en-GB"/>
          <w14:ligatures w14:val="none"/>
        </w:rPr>
        <w:t>, 8(3), e020145.</w:t>
      </w:r>
    </w:p>
    <w:p w14:paraId="05AD726C" w14:textId="09F36E1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Mathur, R., Farmer, R.E., Eastwood, S.V., Chaturvedi, N., Douglas, I. and Smeeth, L. (2020) 'Ethnic disparities in initiation and intensification of diabetes treatment in adults with type 2 diabetes in the UK, 1990–2017: a cohort study', </w:t>
      </w:r>
      <w:r w:rsidRPr="005978B5">
        <w:rPr>
          <w:rFonts w:ascii="Arial" w:eastAsia="Times New Roman" w:hAnsi="Arial" w:cs="Arial"/>
          <w:i/>
          <w:iCs/>
          <w:kern w:val="0"/>
          <w:lang w:eastAsia="en-GB"/>
          <w14:ligatures w14:val="none"/>
        </w:rPr>
        <w:t>PLOS Medicine</w:t>
      </w:r>
      <w:r w:rsidRPr="005978B5">
        <w:rPr>
          <w:rFonts w:ascii="Arial" w:eastAsia="Times New Roman" w:hAnsi="Arial" w:cs="Arial"/>
          <w:kern w:val="0"/>
          <w:lang w:eastAsia="en-GB"/>
          <w14:ligatures w14:val="none"/>
        </w:rPr>
        <w:t>, 17(5), e1003106.</w:t>
      </w:r>
    </w:p>
    <w:p w14:paraId="6A0B5241" w14:textId="5AD31BD4"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Mathur, R., Hull, S.A., Hodgson, S. and Finer, S. (2022) 'Characterisation of type 2 diabetes subgroups and their association with ethnicity and clinical outcomes: a UK real-world data study using the East London Database', </w:t>
      </w:r>
      <w:r w:rsidRPr="005978B5">
        <w:rPr>
          <w:rFonts w:ascii="Arial" w:eastAsia="Times New Roman" w:hAnsi="Arial" w:cs="Arial"/>
          <w:i/>
          <w:iCs/>
          <w:kern w:val="0"/>
          <w:lang w:eastAsia="en-GB"/>
          <w14:ligatures w14:val="none"/>
        </w:rPr>
        <w:t>British Journal of General Practice</w:t>
      </w:r>
      <w:r w:rsidRPr="005978B5">
        <w:rPr>
          <w:rFonts w:ascii="Arial" w:eastAsia="Times New Roman" w:hAnsi="Arial" w:cs="Arial"/>
          <w:kern w:val="0"/>
          <w:lang w:eastAsia="en-GB"/>
          <w14:ligatures w14:val="none"/>
        </w:rPr>
        <w:t>, 72(719), pp. e421–e429.</w:t>
      </w:r>
    </w:p>
    <w:p w14:paraId="4F5F6A38" w14:textId="6FDF8C0C"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Mays, N. and Pope, C. (2000) 'Qualitative research in health care: assessing quality in qualitative research', </w:t>
      </w:r>
      <w:r w:rsidRPr="005978B5">
        <w:rPr>
          <w:rFonts w:ascii="Arial" w:eastAsia="Times New Roman" w:hAnsi="Arial" w:cs="Arial"/>
          <w:i/>
          <w:iCs/>
          <w:kern w:val="0"/>
          <w:lang w:eastAsia="en-GB"/>
          <w14:ligatures w14:val="none"/>
        </w:rPr>
        <w:t>BMJ</w:t>
      </w:r>
      <w:r w:rsidRPr="005978B5">
        <w:rPr>
          <w:rFonts w:ascii="Arial" w:eastAsia="Times New Roman" w:hAnsi="Arial" w:cs="Arial"/>
          <w:kern w:val="0"/>
          <w:lang w:eastAsia="en-GB"/>
          <w14:ligatures w14:val="none"/>
        </w:rPr>
        <w:t>, 320(7226), pp. 50–52.</w:t>
      </w:r>
    </w:p>
    <w:p w14:paraId="72651A28" w14:textId="6E0CA81C"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McCann, J., Lau, W.M., Husband, A., Todd, A., Sile, L., Doll, A.K., Varia, S. and Robinson-Barella, A. (2023) '"Creating a culturally competent pharmacy profession": a qualitative exploration of pharmacy staff perspectives of cultural competence and its training in community pharmacy settings', </w:t>
      </w:r>
      <w:r w:rsidRPr="005978B5">
        <w:rPr>
          <w:rFonts w:ascii="Arial" w:eastAsia="Times New Roman" w:hAnsi="Arial" w:cs="Arial"/>
          <w:i/>
          <w:iCs/>
          <w:kern w:val="0"/>
          <w:lang w:eastAsia="en-GB"/>
          <w14:ligatures w14:val="none"/>
        </w:rPr>
        <w:t>Health Expectations</w:t>
      </w:r>
      <w:r w:rsidRPr="005978B5">
        <w:rPr>
          <w:rFonts w:ascii="Arial" w:eastAsia="Times New Roman" w:hAnsi="Arial" w:cs="Arial"/>
          <w:kern w:val="0"/>
          <w:lang w:eastAsia="en-GB"/>
          <w14:ligatures w14:val="none"/>
        </w:rPr>
        <w:t xml:space="preserve">, 26(5), pp. 1941–1953. </w:t>
      </w:r>
    </w:p>
    <w:p w14:paraId="2BA96A97" w14:textId="769A2ED5"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Milner, A. and Jumbe, S. (2020) 'Using the right words to address racial disparities in COVID-19', </w:t>
      </w:r>
      <w:r w:rsidRPr="005978B5">
        <w:rPr>
          <w:rFonts w:ascii="Arial" w:eastAsia="Times New Roman" w:hAnsi="Arial" w:cs="Arial"/>
          <w:i/>
          <w:iCs/>
          <w:kern w:val="0"/>
          <w:lang w:eastAsia="en-GB"/>
          <w14:ligatures w14:val="none"/>
        </w:rPr>
        <w:t>The Lancet Public Health</w:t>
      </w:r>
      <w:r w:rsidRPr="005978B5">
        <w:rPr>
          <w:rFonts w:ascii="Arial" w:eastAsia="Times New Roman" w:hAnsi="Arial" w:cs="Arial"/>
          <w:kern w:val="0"/>
          <w:lang w:eastAsia="en-GB"/>
          <w14:ligatures w14:val="none"/>
        </w:rPr>
        <w:t>, 5(8), pp. e419–e420.</w:t>
      </w:r>
    </w:p>
    <w:p w14:paraId="1D6AF8A7" w14:textId="14039A8A"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Moher, D., Liberati, A., Tetzlaff, J., Altman, D.G. and the PRISMA Group (2009) 'Preferred reporting items for systematic reviews and meta-analyses: the PRISMA statement', </w:t>
      </w:r>
      <w:r w:rsidRPr="005978B5">
        <w:rPr>
          <w:rFonts w:ascii="Arial" w:eastAsia="Times New Roman" w:hAnsi="Arial" w:cs="Arial"/>
          <w:i/>
          <w:iCs/>
          <w:kern w:val="0"/>
          <w:lang w:eastAsia="en-GB"/>
          <w14:ligatures w14:val="none"/>
        </w:rPr>
        <w:t>Journal of Clinical Epidemiology</w:t>
      </w:r>
      <w:r w:rsidRPr="005978B5">
        <w:rPr>
          <w:rFonts w:ascii="Arial" w:eastAsia="Times New Roman" w:hAnsi="Arial" w:cs="Arial"/>
          <w:kern w:val="0"/>
          <w:lang w:eastAsia="en-GB"/>
          <w14:ligatures w14:val="none"/>
        </w:rPr>
        <w:t>, 62(10), pp. 1006–1012.</w:t>
      </w:r>
    </w:p>
    <w:p w14:paraId="2BD1D152" w14:textId="694C6F08"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Nagar, S.D., Nápoles, A.M., Jordan, I.K. and Mariño-Ramírez, L. (2021) 'Socioeconomic deprivation and genetic ancestry interact to modify type 2 diabetes ethnic disparities in the United Kingdom', </w:t>
      </w:r>
      <w:proofErr w:type="spellStart"/>
      <w:r w:rsidRPr="005978B5">
        <w:rPr>
          <w:rFonts w:ascii="Arial" w:eastAsia="Times New Roman" w:hAnsi="Arial" w:cs="Arial"/>
          <w:i/>
          <w:iCs/>
          <w:kern w:val="0"/>
          <w:lang w:eastAsia="en-GB"/>
          <w14:ligatures w14:val="none"/>
        </w:rPr>
        <w:t>eClinicalMedicine</w:t>
      </w:r>
      <w:proofErr w:type="spellEnd"/>
      <w:r w:rsidRPr="005978B5">
        <w:rPr>
          <w:rFonts w:ascii="Arial" w:eastAsia="Times New Roman" w:hAnsi="Arial" w:cs="Arial"/>
          <w:kern w:val="0"/>
          <w:lang w:eastAsia="en-GB"/>
          <w14:ligatures w14:val="none"/>
        </w:rPr>
        <w:t>, 37, article 100960.</w:t>
      </w:r>
    </w:p>
    <w:p w14:paraId="2B58088A" w14:textId="344C6A03"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lastRenderedPageBreak/>
        <w:t xml:space="preserve">Naqvi, H., Gabriel, M. and Adebowale, V. (2022) 'The critical role of the NHS Race and Health Observatory', </w:t>
      </w:r>
      <w:r w:rsidRPr="005978B5">
        <w:rPr>
          <w:rFonts w:ascii="Arial" w:eastAsia="Times New Roman" w:hAnsi="Arial" w:cs="Arial"/>
          <w:i/>
          <w:iCs/>
          <w:kern w:val="0"/>
          <w:lang w:eastAsia="en-GB"/>
          <w14:ligatures w14:val="none"/>
        </w:rPr>
        <w:t>BMJ Leader</w:t>
      </w:r>
      <w:r w:rsidRPr="005978B5">
        <w:rPr>
          <w:rFonts w:ascii="Arial" w:eastAsia="Times New Roman" w:hAnsi="Arial" w:cs="Arial"/>
          <w:kern w:val="0"/>
          <w:lang w:eastAsia="en-GB"/>
          <w14:ligatures w14:val="none"/>
        </w:rPr>
        <w:t>, 6(2), pp. 130–131.</w:t>
      </w:r>
    </w:p>
    <w:p w14:paraId="6B4C5020" w14:textId="23670B8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National Institute for Health and Care Excellence (2012) </w:t>
      </w:r>
      <w:r w:rsidRPr="005978B5">
        <w:rPr>
          <w:rFonts w:ascii="Arial" w:eastAsia="Times New Roman" w:hAnsi="Arial" w:cs="Arial"/>
          <w:i/>
          <w:iCs/>
          <w:kern w:val="0"/>
          <w:lang w:eastAsia="en-GB"/>
          <w14:ligatures w14:val="none"/>
        </w:rPr>
        <w:t>Type 2 Diabetes: Prevention in People at High Risk</w:t>
      </w:r>
      <w:r w:rsidRPr="005978B5">
        <w:rPr>
          <w:rFonts w:ascii="Arial" w:eastAsia="Times New Roman" w:hAnsi="Arial" w:cs="Arial"/>
          <w:kern w:val="0"/>
          <w:lang w:eastAsia="en-GB"/>
          <w14:ligatures w14:val="none"/>
        </w:rPr>
        <w:t xml:space="preserve"> [PH38]. London: NICE. Available at: </w:t>
      </w:r>
      <w:hyperlink r:id="rId28" w:history="1">
        <w:r w:rsidR="002E08BF" w:rsidRPr="004830B9">
          <w:rPr>
            <w:rStyle w:val="Hyperlink"/>
            <w:rFonts w:ascii="Arial" w:eastAsia="Times New Roman" w:hAnsi="Arial" w:cs="Arial"/>
            <w:kern w:val="0"/>
            <w:lang w:eastAsia="en-GB"/>
            <w14:ligatures w14:val="none"/>
          </w:rPr>
          <w:t>https://www.nice.org.uk/guidance/ph38</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22</w:t>
      </w:r>
      <w:r w:rsidRPr="005978B5">
        <w:rPr>
          <w:rFonts w:ascii="Arial" w:eastAsia="Times New Roman" w:hAnsi="Arial" w:cs="Arial"/>
          <w:kern w:val="0"/>
          <w:lang w:eastAsia="en-GB"/>
          <w14:ligatures w14:val="none"/>
        </w:rPr>
        <w:t xml:space="preserve"> Ma</w:t>
      </w:r>
      <w:r w:rsidR="000F625C">
        <w:rPr>
          <w:rFonts w:ascii="Arial" w:eastAsia="Times New Roman" w:hAnsi="Arial" w:cs="Arial"/>
          <w:kern w:val="0"/>
          <w:lang w:eastAsia="en-GB"/>
          <w14:ligatures w14:val="none"/>
        </w:rPr>
        <w:t>y</w:t>
      </w:r>
      <w:r w:rsidRPr="005978B5">
        <w:rPr>
          <w:rFonts w:ascii="Arial" w:eastAsia="Times New Roman" w:hAnsi="Arial" w:cs="Arial"/>
          <w:kern w:val="0"/>
          <w:lang w:eastAsia="en-GB"/>
          <w14:ligatures w14:val="none"/>
        </w:rPr>
        <w:t xml:space="preserve"> 2026).</w:t>
      </w:r>
    </w:p>
    <w:p w14:paraId="69AACC17" w14:textId="28F0C09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National Institute for Health and Care Excellence (2015, last updated 2026) </w:t>
      </w:r>
      <w:r w:rsidRPr="005978B5">
        <w:rPr>
          <w:rFonts w:ascii="Arial" w:eastAsia="Times New Roman" w:hAnsi="Arial" w:cs="Arial"/>
          <w:i/>
          <w:iCs/>
          <w:kern w:val="0"/>
          <w:lang w:eastAsia="en-GB"/>
          <w14:ligatures w14:val="none"/>
        </w:rPr>
        <w:t>Type 2 Diabetes in Adults: Management</w:t>
      </w:r>
      <w:r w:rsidRPr="005978B5">
        <w:rPr>
          <w:rFonts w:ascii="Arial" w:eastAsia="Times New Roman" w:hAnsi="Arial" w:cs="Arial"/>
          <w:kern w:val="0"/>
          <w:lang w:eastAsia="en-GB"/>
          <w14:ligatures w14:val="none"/>
        </w:rPr>
        <w:t xml:space="preserve"> [NG28]. London: NICE. Available at: </w:t>
      </w:r>
      <w:hyperlink r:id="rId29" w:history="1">
        <w:r w:rsidR="002E08BF" w:rsidRPr="004830B9">
          <w:rPr>
            <w:rStyle w:val="Hyperlink"/>
            <w:rFonts w:ascii="Arial" w:eastAsia="Times New Roman" w:hAnsi="Arial" w:cs="Arial"/>
            <w:kern w:val="0"/>
            <w:lang w:eastAsia="en-GB"/>
            <w14:ligatures w14:val="none"/>
          </w:rPr>
          <w:t>https://www.nice.org.uk/guidance/ng28</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(Accessed: 10 March 2026).</w:t>
      </w:r>
    </w:p>
    <w:p w14:paraId="586480EB" w14:textId="5C04E652"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Nazroo, J.Y. (2003) 'The structuring of ethnic inequalities in health: economic position, racial discrimination, and racism', </w:t>
      </w:r>
      <w:r w:rsidRPr="005978B5">
        <w:rPr>
          <w:rFonts w:ascii="Arial" w:eastAsia="Times New Roman" w:hAnsi="Arial" w:cs="Arial"/>
          <w:i/>
          <w:iCs/>
          <w:kern w:val="0"/>
          <w:lang w:eastAsia="en-GB"/>
          <w14:ligatures w14:val="none"/>
        </w:rPr>
        <w:t>American Journal of Public Health</w:t>
      </w:r>
      <w:r w:rsidRPr="005978B5">
        <w:rPr>
          <w:rFonts w:ascii="Arial" w:eastAsia="Times New Roman" w:hAnsi="Arial" w:cs="Arial"/>
          <w:kern w:val="0"/>
          <w:lang w:eastAsia="en-GB"/>
          <w14:ligatures w14:val="none"/>
        </w:rPr>
        <w:t xml:space="preserve">, 93(2), pp. 277–284. </w:t>
      </w:r>
    </w:p>
    <w:p w14:paraId="22B2AD29" w14:textId="4304BB38"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Ng, Y., Hayes, J.F. and Jeffery, A. (2024) 'Antidepressant prescribing inequalities in people with comorbid depression and type 2 diabetes: a UK primary care electronic health record study', </w:t>
      </w:r>
      <w:r w:rsidRPr="005978B5">
        <w:rPr>
          <w:rFonts w:ascii="Arial" w:eastAsia="Times New Roman" w:hAnsi="Arial" w:cs="Arial"/>
          <w:i/>
          <w:iCs/>
          <w:kern w:val="0"/>
          <w:lang w:eastAsia="en-GB"/>
          <w14:ligatures w14:val="none"/>
        </w:rPr>
        <w:t>PLOS ONE</w:t>
      </w:r>
      <w:r w:rsidRPr="005978B5">
        <w:rPr>
          <w:rFonts w:ascii="Arial" w:eastAsia="Times New Roman" w:hAnsi="Arial" w:cs="Arial"/>
          <w:kern w:val="0"/>
          <w:lang w:eastAsia="en-GB"/>
          <w14:ligatures w14:val="none"/>
        </w:rPr>
        <w:t>, 19(11), e0309153.</w:t>
      </w:r>
    </w:p>
    <w:p w14:paraId="3BA9C60D" w14:textId="79192291"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NHS England (2019) </w:t>
      </w:r>
      <w:r w:rsidRPr="005978B5">
        <w:rPr>
          <w:rFonts w:ascii="Arial" w:eastAsia="Times New Roman" w:hAnsi="Arial" w:cs="Arial"/>
          <w:i/>
          <w:iCs/>
          <w:kern w:val="0"/>
          <w:lang w:eastAsia="en-GB"/>
          <w14:ligatures w14:val="none"/>
        </w:rPr>
        <w:t>The NHS Long Term Plan</w:t>
      </w:r>
      <w:r w:rsidRPr="005978B5">
        <w:rPr>
          <w:rFonts w:ascii="Arial" w:eastAsia="Times New Roman" w:hAnsi="Arial" w:cs="Arial"/>
          <w:kern w:val="0"/>
          <w:lang w:eastAsia="en-GB"/>
          <w14:ligatures w14:val="none"/>
        </w:rPr>
        <w:t xml:space="preserve">. London: NHS England. Available at: </w:t>
      </w:r>
      <w:hyperlink r:id="rId30" w:history="1">
        <w:r w:rsidR="008D4F6C" w:rsidRPr="000F625C">
          <w:rPr>
            <w:rStyle w:val="Hyperlink"/>
            <w:rFonts w:ascii="Arial" w:eastAsia="Times New Roman" w:hAnsi="Arial" w:cs="Arial"/>
            <w:kern w:val="0"/>
            <w:lang w:eastAsia="en-GB"/>
            <w14:ligatures w14:val="none"/>
          </w:rPr>
          <w:t>https://www.longtermplan.nhs.uk</w:t>
        </w:r>
      </w:hyperlink>
      <w:r w:rsidR="008D4F6C" w:rsidRPr="005978B5">
        <w:rPr>
          <w:rFonts w:ascii="Arial" w:eastAsia="Times New Roman" w:hAnsi="Arial" w:cs="Arial"/>
          <w:kern w:val="0"/>
          <w:lang w:eastAsia="en-GB"/>
          <w14:ligatures w14:val="none"/>
        </w:rPr>
        <w:t xml:space="preserve"> </w:t>
      </w:r>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24</w:t>
      </w:r>
      <w:r w:rsidRPr="005978B5">
        <w:rPr>
          <w:rFonts w:ascii="Arial" w:eastAsia="Times New Roman" w:hAnsi="Arial" w:cs="Arial"/>
          <w:kern w:val="0"/>
          <w:lang w:eastAsia="en-GB"/>
          <w14:ligatures w14:val="none"/>
        </w:rPr>
        <w:t xml:space="preserve"> Ma</w:t>
      </w:r>
      <w:r w:rsidR="000F625C">
        <w:rPr>
          <w:rFonts w:ascii="Arial" w:eastAsia="Times New Roman" w:hAnsi="Arial" w:cs="Arial"/>
          <w:kern w:val="0"/>
          <w:lang w:eastAsia="en-GB"/>
          <w14:ligatures w14:val="none"/>
        </w:rPr>
        <w:t>y</w:t>
      </w:r>
      <w:r w:rsidRPr="005978B5">
        <w:rPr>
          <w:rFonts w:ascii="Arial" w:eastAsia="Times New Roman" w:hAnsi="Arial" w:cs="Arial"/>
          <w:kern w:val="0"/>
          <w:lang w:eastAsia="en-GB"/>
          <w14:ligatures w14:val="none"/>
        </w:rPr>
        <w:t xml:space="preserve"> 2026).</w:t>
      </w:r>
    </w:p>
    <w:p w14:paraId="7B1FB77D" w14:textId="58332A63"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NHS England (2021) </w:t>
      </w:r>
      <w:r w:rsidRPr="005978B5">
        <w:rPr>
          <w:rFonts w:ascii="Arial" w:eastAsia="Times New Roman" w:hAnsi="Arial" w:cs="Arial"/>
          <w:i/>
          <w:iCs/>
          <w:kern w:val="0"/>
          <w:lang w:eastAsia="en-GB"/>
          <w14:ligatures w14:val="none"/>
        </w:rPr>
        <w:t>Core20PLUS5 (Adults) — An Approach to Reducing Healthcare Inequalities</w:t>
      </w:r>
      <w:r w:rsidRPr="005978B5">
        <w:rPr>
          <w:rFonts w:ascii="Arial" w:eastAsia="Times New Roman" w:hAnsi="Arial" w:cs="Arial"/>
          <w:kern w:val="0"/>
          <w:lang w:eastAsia="en-GB"/>
          <w14:ligatures w14:val="none"/>
        </w:rPr>
        <w:t xml:space="preserve">. London: NHS England. Available at: </w:t>
      </w:r>
      <w:hyperlink r:id="rId31" w:history="1">
        <w:r w:rsidR="008D4F6C" w:rsidRPr="000F625C">
          <w:rPr>
            <w:rStyle w:val="Hyperlink"/>
            <w:rFonts w:ascii="Arial" w:eastAsia="Times New Roman" w:hAnsi="Arial" w:cs="Arial"/>
            <w:kern w:val="0"/>
            <w:lang w:eastAsia="en-GB"/>
            <w14:ligatures w14:val="none"/>
          </w:rPr>
          <w:t>https://www.england.nhs.uk/about/equality/equality-hub/national-healthcare-inequalities-improvement-programme/core20plus5/</w:t>
        </w:r>
      </w:hyperlink>
      <w:r w:rsidR="008D4F6C" w:rsidRPr="005978B5">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 (Accessed: </w:t>
      </w:r>
      <w:r w:rsidR="000F625C">
        <w:rPr>
          <w:rFonts w:ascii="Arial" w:eastAsia="Times New Roman" w:hAnsi="Arial" w:cs="Arial"/>
          <w:kern w:val="0"/>
          <w:lang w:eastAsia="en-GB"/>
          <w14:ligatures w14:val="none"/>
        </w:rPr>
        <w:t>15</w:t>
      </w:r>
      <w:r w:rsidRPr="005978B5">
        <w:rPr>
          <w:rFonts w:ascii="Arial" w:eastAsia="Times New Roman" w:hAnsi="Arial" w:cs="Arial"/>
          <w:kern w:val="0"/>
          <w:lang w:eastAsia="en-GB"/>
          <w14:ligatures w14:val="none"/>
        </w:rPr>
        <w:t xml:space="preserve"> </w:t>
      </w:r>
      <w:r w:rsidR="000F625C">
        <w:rPr>
          <w:rFonts w:ascii="Arial" w:eastAsia="Times New Roman" w:hAnsi="Arial" w:cs="Arial"/>
          <w:kern w:val="0"/>
          <w:lang w:eastAsia="en-GB"/>
          <w14:ligatures w14:val="none"/>
        </w:rPr>
        <w:t>Feb</w:t>
      </w:r>
      <w:r w:rsidRPr="005978B5">
        <w:rPr>
          <w:rFonts w:ascii="Arial" w:eastAsia="Times New Roman" w:hAnsi="Arial" w:cs="Arial"/>
          <w:kern w:val="0"/>
          <w:lang w:eastAsia="en-GB"/>
          <w14:ligatures w14:val="none"/>
        </w:rPr>
        <w:t xml:space="preserve"> 2026).</w:t>
      </w:r>
    </w:p>
    <w:p w14:paraId="46A3627E" w14:textId="4A688FF1"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NHS England (2024a) </w:t>
      </w:r>
      <w:r w:rsidRPr="005978B5">
        <w:rPr>
          <w:rFonts w:ascii="Arial" w:eastAsia="Times New Roman" w:hAnsi="Arial" w:cs="Arial"/>
          <w:i/>
          <w:iCs/>
          <w:kern w:val="0"/>
          <w:lang w:eastAsia="en-GB"/>
          <w14:ligatures w14:val="none"/>
        </w:rPr>
        <w:t>National Diabetes Audit Core Report 1: Care Processes and Treatment Targets 2022–23, Underlying Data</w:t>
      </w:r>
      <w:r w:rsidRPr="005978B5">
        <w:rPr>
          <w:rFonts w:ascii="Arial" w:eastAsia="Times New Roman" w:hAnsi="Arial" w:cs="Arial"/>
          <w:kern w:val="0"/>
          <w:lang w:eastAsia="en-GB"/>
          <w14:ligatures w14:val="none"/>
        </w:rPr>
        <w:t xml:space="preserve">. London: NHS England Digital. Available at: </w:t>
      </w:r>
      <w:hyperlink r:id="rId32" w:history="1">
        <w:r w:rsidR="00BA7A1A" w:rsidRPr="000F625C">
          <w:rPr>
            <w:rStyle w:val="Hyperlink"/>
            <w:rFonts w:ascii="Arial" w:eastAsia="Times New Roman" w:hAnsi="Arial" w:cs="Arial"/>
            <w:kern w:val="0"/>
            <w:lang w:eastAsia="en-GB"/>
            <w14:ligatures w14:val="none"/>
          </w:rPr>
          <w:t>https://digital.nhs.uk/data-and-information/publications/statistical/national-diabetes-audit/report-1-cp-and-tt-data-release-2022-23</w:t>
        </w:r>
      </w:hyperlink>
      <w:r w:rsidR="00BA7A1A" w:rsidRPr="005978B5">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20</w:t>
      </w:r>
      <w:r w:rsidRPr="005978B5">
        <w:rPr>
          <w:rFonts w:ascii="Arial" w:eastAsia="Times New Roman" w:hAnsi="Arial" w:cs="Arial"/>
          <w:kern w:val="0"/>
          <w:lang w:eastAsia="en-GB"/>
          <w14:ligatures w14:val="none"/>
        </w:rPr>
        <w:t xml:space="preserve"> Ma</w:t>
      </w:r>
      <w:r w:rsidR="000F625C">
        <w:rPr>
          <w:rFonts w:ascii="Arial" w:eastAsia="Times New Roman" w:hAnsi="Arial" w:cs="Arial"/>
          <w:kern w:val="0"/>
          <w:lang w:eastAsia="en-GB"/>
          <w14:ligatures w14:val="none"/>
        </w:rPr>
        <w:t>y</w:t>
      </w:r>
      <w:r w:rsidRPr="005978B5">
        <w:rPr>
          <w:rFonts w:ascii="Arial" w:eastAsia="Times New Roman" w:hAnsi="Arial" w:cs="Arial"/>
          <w:kern w:val="0"/>
          <w:lang w:eastAsia="en-GB"/>
          <w14:ligatures w14:val="none"/>
        </w:rPr>
        <w:t xml:space="preserve"> 2026).</w:t>
      </w:r>
    </w:p>
    <w:p w14:paraId="050667F9" w14:textId="605FC2F1"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NHS Race and Health Observatory (2021) </w:t>
      </w:r>
      <w:r w:rsidRPr="005978B5">
        <w:rPr>
          <w:rFonts w:ascii="Arial" w:eastAsia="Times New Roman" w:hAnsi="Arial" w:cs="Arial"/>
          <w:i/>
          <w:iCs/>
          <w:kern w:val="0"/>
          <w:lang w:eastAsia="en-GB"/>
          <w14:ligatures w14:val="none"/>
        </w:rPr>
        <w:t>The Power of Language: A Consultation Report on the Use of Collective Terminology at the NHS Race and Health Observatory</w:t>
      </w:r>
      <w:r w:rsidRPr="005978B5">
        <w:rPr>
          <w:rFonts w:ascii="Arial" w:eastAsia="Times New Roman" w:hAnsi="Arial" w:cs="Arial"/>
          <w:kern w:val="0"/>
          <w:lang w:eastAsia="en-GB"/>
          <w14:ligatures w14:val="none"/>
        </w:rPr>
        <w:t xml:space="preserve">. London: NHS Race and Health Observatory. Available at: </w:t>
      </w:r>
      <w:hyperlink r:id="rId33" w:history="1">
        <w:r w:rsidR="002E08BF" w:rsidRPr="004830B9">
          <w:rPr>
            <w:rStyle w:val="Hyperlink"/>
            <w:rFonts w:ascii="Arial" w:eastAsia="Times New Roman" w:hAnsi="Arial" w:cs="Arial"/>
            <w:kern w:val="0"/>
            <w:lang w:eastAsia="en-GB"/>
            <w14:ligatures w14:val="none"/>
          </w:rPr>
          <w:t>https://nhsrho.org/research/the-power-of-language-a-consultation-report-on-the-use-of-collective-terminology-at-the-nhs-race-health-observatory/</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(Accessed: 11 March 2026).</w:t>
      </w:r>
    </w:p>
    <w:p w14:paraId="61CF7A05" w14:textId="54C675F6"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Noyes, J., Booth, A., Flemming, K., Garside, R., Harden, A., Lewin, S., Pantoja, T., Hannes, K., Cargo, M. and Thomas, J. (2018) 'Cochrane Qualitative and Implementation Methods </w:t>
      </w:r>
      <w:r w:rsidRPr="005978B5">
        <w:rPr>
          <w:rFonts w:ascii="Arial" w:eastAsia="Times New Roman" w:hAnsi="Arial" w:cs="Arial"/>
          <w:kern w:val="0"/>
          <w:lang w:eastAsia="en-GB"/>
          <w14:ligatures w14:val="none"/>
        </w:rPr>
        <w:lastRenderedPageBreak/>
        <w:t xml:space="preserve">Group guidance series — paper 3: methods for assessing methodological limitations, data extraction and synthesis, and confidence in synthesized qualitative findings', </w:t>
      </w:r>
      <w:r w:rsidRPr="005978B5">
        <w:rPr>
          <w:rFonts w:ascii="Arial" w:eastAsia="Times New Roman" w:hAnsi="Arial" w:cs="Arial"/>
          <w:i/>
          <w:iCs/>
          <w:kern w:val="0"/>
          <w:lang w:eastAsia="en-GB"/>
          <w14:ligatures w14:val="none"/>
        </w:rPr>
        <w:t>Journal of Clinical Epidemiology</w:t>
      </w:r>
      <w:r w:rsidRPr="005978B5">
        <w:rPr>
          <w:rFonts w:ascii="Arial" w:eastAsia="Times New Roman" w:hAnsi="Arial" w:cs="Arial"/>
          <w:kern w:val="0"/>
          <w:lang w:eastAsia="en-GB"/>
          <w14:ligatures w14:val="none"/>
        </w:rPr>
        <w:t xml:space="preserve">, 97, pp. 49–58. </w:t>
      </w:r>
    </w:p>
    <w:p w14:paraId="6F89055A" w14:textId="5CA8331C"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Nugawela</w:t>
      </w:r>
      <w:proofErr w:type="spellEnd"/>
      <w:r w:rsidRPr="005978B5">
        <w:rPr>
          <w:rFonts w:ascii="Arial" w:eastAsia="Times New Roman" w:hAnsi="Arial" w:cs="Arial"/>
          <w:kern w:val="0"/>
          <w:lang w:eastAsia="en-GB"/>
          <w14:ligatures w14:val="none"/>
        </w:rPr>
        <w:t xml:space="preserve">, M.D., Gurudas, S., Prevost, A.T., Mathur, R., Robson, J., Hanif, W., Majeed, A. and </w:t>
      </w:r>
      <w:proofErr w:type="spellStart"/>
      <w:r w:rsidRPr="005978B5">
        <w:rPr>
          <w:rFonts w:ascii="Arial" w:eastAsia="Times New Roman" w:hAnsi="Arial" w:cs="Arial"/>
          <w:kern w:val="0"/>
          <w:lang w:eastAsia="en-GB"/>
          <w14:ligatures w14:val="none"/>
        </w:rPr>
        <w:t>Sivaprasad</w:t>
      </w:r>
      <w:proofErr w:type="spellEnd"/>
      <w:r w:rsidRPr="005978B5">
        <w:rPr>
          <w:rFonts w:ascii="Arial" w:eastAsia="Times New Roman" w:hAnsi="Arial" w:cs="Arial"/>
          <w:kern w:val="0"/>
          <w:lang w:eastAsia="en-GB"/>
          <w14:ligatures w14:val="none"/>
        </w:rPr>
        <w:t xml:space="preserve">, S. (2021) 'Ethnic disparities in the development of sight-threatening diabetic retinopathy in a UK multi-ethnic population with diabetes: an observational cohort study', </w:t>
      </w:r>
      <w:r w:rsidRPr="005978B5">
        <w:rPr>
          <w:rFonts w:ascii="Arial" w:eastAsia="Times New Roman" w:hAnsi="Arial" w:cs="Arial"/>
          <w:i/>
          <w:iCs/>
          <w:kern w:val="0"/>
          <w:lang w:eastAsia="en-GB"/>
          <w14:ligatures w14:val="none"/>
        </w:rPr>
        <w:t>Journal of Personalized Medicine</w:t>
      </w:r>
      <w:r w:rsidRPr="005978B5">
        <w:rPr>
          <w:rFonts w:ascii="Arial" w:eastAsia="Times New Roman" w:hAnsi="Arial" w:cs="Arial"/>
          <w:kern w:val="0"/>
          <w:lang w:eastAsia="en-GB"/>
          <w14:ligatures w14:val="none"/>
        </w:rPr>
        <w:t>, 11(8), article 740.</w:t>
      </w:r>
    </w:p>
    <w:p w14:paraId="769F5157" w14:textId="54555730"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Office for National Statistics (2022) </w:t>
      </w:r>
      <w:r w:rsidRPr="005978B5">
        <w:rPr>
          <w:rFonts w:ascii="Arial" w:eastAsia="Times New Roman" w:hAnsi="Arial" w:cs="Arial"/>
          <w:i/>
          <w:iCs/>
          <w:kern w:val="0"/>
          <w:lang w:eastAsia="en-GB"/>
          <w14:ligatures w14:val="none"/>
        </w:rPr>
        <w:t>Ethnic Group, England and Wales: Census 2021</w:t>
      </w:r>
      <w:r w:rsidRPr="005978B5">
        <w:rPr>
          <w:rFonts w:ascii="Arial" w:eastAsia="Times New Roman" w:hAnsi="Arial" w:cs="Arial"/>
          <w:kern w:val="0"/>
          <w:lang w:eastAsia="en-GB"/>
          <w14:ligatures w14:val="none"/>
        </w:rPr>
        <w:t xml:space="preserve">. Newport: Office for National Statistics. Available at: </w:t>
      </w:r>
      <w:hyperlink r:id="rId34" w:history="1">
        <w:r w:rsidR="002E08BF" w:rsidRPr="004830B9">
          <w:rPr>
            <w:rStyle w:val="Hyperlink"/>
            <w:rFonts w:ascii="Arial" w:eastAsia="Times New Roman" w:hAnsi="Arial" w:cs="Arial"/>
            <w:kern w:val="0"/>
            <w:lang w:eastAsia="en-GB"/>
            <w14:ligatures w14:val="none"/>
          </w:rPr>
          <w:t>https://www.ons.gov.uk/peoplepopulationandcommunity/culturalidentity/ethnicity/bulletins/ethnicgroupenglandandwales/census2021</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 xml:space="preserve">24 Feb </w:t>
      </w:r>
      <w:r w:rsidRPr="005978B5">
        <w:rPr>
          <w:rFonts w:ascii="Arial" w:eastAsia="Times New Roman" w:hAnsi="Arial" w:cs="Arial"/>
          <w:kern w:val="0"/>
          <w:lang w:eastAsia="en-GB"/>
          <w14:ligatures w14:val="none"/>
        </w:rPr>
        <w:t>2026).</w:t>
      </w:r>
    </w:p>
    <w:p w14:paraId="59007C5A" w14:textId="11D093B4"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Office for National Statistics (2024) </w:t>
      </w:r>
      <w:r w:rsidRPr="005978B5">
        <w:rPr>
          <w:rFonts w:ascii="Arial" w:eastAsia="Times New Roman" w:hAnsi="Arial" w:cs="Arial"/>
          <w:i/>
          <w:iCs/>
          <w:kern w:val="0"/>
          <w:lang w:eastAsia="en-GB"/>
          <w14:ligatures w14:val="none"/>
        </w:rPr>
        <w:t>Risk Factors for Pre-diabetes and Undiagnosed Type 2 Diabetes in England, 2013 to 2019</w:t>
      </w:r>
      <w:r w:rsidRPr="005978B5">
        <w:rPr>
          <w:rFonts w:ascii="Arial" w:eastAsia="Times New Roman" w:hAnsi="Arial" w:cs="Arial"/>
          <w:kern w:val="0"/>
          <w:lang w:eastAsia="en-GB"/>
          <w14:ligatures w14:val="none"/>
        </w:rPr>
        <w:t xml:space="preserve">. Newport: Office for National Statistics. Available at: </w:t>
      </w:r>
      <w:hyperlink r:id="rId35" w:history="1">
        <w:r w:rsidR="002E08BF" w:rsidRPr="004830B9">
          <w:rPr>
            <w:rStyle w:val="Hyperlink"/>
            <w:rFonts w:ascii="Arial" w:eastAsia="Times New Roman" w:hAnsi="Arial" w:cs="Arial"/>
            <w:kern w:val="0"/>
            <w:lang w:eastAsia="en-GB"/>
            <w14:ligatures w14:val="none"/>
          </w:rPr>
          <w:t>https://www.ons.gov.uk/peoplepopulationandcommunity/healthandsocialcare/healthinequalities/bulletins/riskfactorsforprediabetesandundiagnosedtype2diabetesinengland/2013to2019</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24</w:t>
      </w:r>
      <w:r w:rsidRPr="005978B5">
        <w:rPr>
          <w:rFonts w:ascii="Arial" w:eastAsia="Times New Roman" w:hAnsi="Arial" w:cs="Arial"/>
          <w:kern w:val="0"/>
          <w:lang w:eastAsia="en-GB"/>
          <w14:ligatures w14:val="none"/>
        </w:rPr>
        <w:t xml:space="preserve"> </w:t>
      </w:r>
      <w:r w:rsidR="000F625C">
        <w:rPr>
          <w:rFonts w:ascii="Arial" w:eastAsia="Times New Roman" w:hAnsi="Arial" w:cs="Arial"/>
          <w:kern w:val="0"/>
          <w:lang w:eastAsia="en-GB"/>
          <w14:ligatures w14:val="none"/>
        </w:rPr>
        <w:t xml:space="preserve">Feb </w:t>
      </w:r>
      <w:r w:rsidRPr="005978B5">
        <w:rPr>
          <w:rFonts w:ascii="Arial" w:eastAsia="Times New Roman" w:hAnsi="Arial" w:cs="Arial"/>
          <w:kern w:val="0"/>
          <w:lang w:eastAsia="en-GB"/>
          <w14:ligatures w14:val="none"/>
        </w:rPr>
        <w:t>2026).</w:t>
      </w:r>
    </w:p>
    <w:p w14:paraId="02AF6B61" w14:textId="432CB2DE"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Olvera-Barrios, A., Owen, C.G., Anderson, J., Warwick, A.N., Chambers, R., Bolter, L., Wu, Y., </w:t>
      </w:r>
      <w:proofErr w:type="spellStart"/>
      <w:r w:rsidRPr="005978B5">
        <w:rPr>
          <w:rFonts w:ascii="Arial" w:eastAsia="Times New Roman" w:hAnsi="Arial" w:cs="Arial"/>
          <w:kern w:val="0"/>
          <w:lang w:eastAsia="en-GB"/>
          <w14:ligatures w14:val="none"/>
        </w:rPr>
        <w:t>Welikala</w:t>
      </w:r>
      <w:proofErr w:type="spellEnd"/>
      <w:r w:rsidRPr="005978B5">
        <w:rPr>
          <w:rFonts w:ascii="Arial" w:eastAsia="Times New Roman" w:hAnsi="Arial" w:cs="Arial"/>
          <w:kern w:val="0"/>
          <w:lang w:eastAsia="en-GB"/>
          <w14:ligatures w14:val="none"/>
        </w:rPr>
        <w:t xml:space="preserve">, R., </w:t>
      </w:r>
      <w:proofErr w:type="spellStart"/>
      <w:r w:rsidRPr="005978B5">
        <w:rPr>
          <w:rFonts w:ascii="Arial" w:eastAsia="Times New Roman" w:hAnsi="Arial" w:cs="Arial"/>
          <w:kern w:val="0"/>
          <w:lang w:eastAsia="en-GB"/>
          <w14:ligatures w14:val="none"/>
        </w:rPr>
        <w:t>Fajtl</w:t>
      </w:r>
      <w:proofErr w:type="spellEnd"/>
      <w:r w:rsidRPr="005978B5">
        <w:rPr>
          <w:rFonts w:ascii="Arial" w:eastAsia="Times New Roman" w:hAnsi="Arial" w:cs="Arial"/>
          <w:kern w:val="0"/>
          <w:lang w:eastAsia="en-GB"/>
          <w14:ligatures w14:val="none"/>
        </w:rPr>
        <w:t xml:space="preserve">, J., Barman, S.A., </w:t>
      </w:r>
      <w:proofErr w:type="spellStart"/>
      <w:r w:rsidRPr="005978B5">
        <w:rPr>
          <w:rFonts w:ascii="Arial" w:eastAsia="Times New Roman" w:hAnsi="Arial" w:cs="Arial"/>
          <w:kern w:val="0"/>
          <w:lang w:eastAsia="en-GB"/>
          <w14:ligatures w14:val="none"/>
        </w:rPr>
        <w:t>Remagnino</w:t>
      </w:r>
      <w:proofErr w:type="spellEnd"/>
      <w:r w:rsidRPr="005978B5">
        <w:rPr>
          <w:rFonts w:ascii="Arial" w:eastAsia="Times New Roman" w:hAnsi="Arial" w:cs="Arial"/>
          <w:kern w:val="0"/>
          <w:lang w:eastAsia="en-GB"/>
          <w14:ligatures w14:val="none"/>
        </w:rPr>
        <w:t xml:space="preserve">, P., Chew, E.Y., Ferris, F.L., Hingorani, A.D., </w:t>
      </w:r>
      <w:proofErr w:type="spellStart"/>
      <w:r w:rsidRPr="005978B5">
        <w:rPr>
          <w:rFonts w:ascii="Arial" w:eastAsia="Times New Roman" w:hAnsi="Arial" w:cs="Arial"/>
          <w:kern w:val="0"/>
          <w:lang w:eastAsia="en-GB"/>
          <w14:ligatures w14:val="none"/>
        </w:rPr>
        <w:t>Sofat</w:t>
      </w:r>
      <w:proofErr w:type="spellEnd"/>
      <w:r w:rsidRPr="005978B5">
        <w:rPr>
          <w:rFonts w:ascii="Arial" w:eastAsia="Times New Roman" w:hAnsi="Arial" w:cs="Arial"/>
          <w:kern w:val="0"/>
          <w:lang w:eastAsia="en-GB"/>
          <w14:ligatures w14:val="none"/>
        </w:rPr>
        <w:t xml:space="preserve">, R., Lee, A.Y., Egan, C., Tufail, A., Rudnicka, A.R. and ARIAS Research Group (2023) 'Ethnic disparities in progression rates for sight-threatening diabetic retinopathy in diabetic eye screening: a population-based retrospective cohort study', </w:t>
      </w:r>
      <w:r w:rsidRPr="005978B5">
        <w:rPr>
          <w:rFonts w:ascii="Arial" w:eastAsia="Times New Roman" w:hAnsi="Arial" w:cs="Arial"/>
          <w:i/>
          <w:iCs/>
          <w:kern w:val="0"/>
          <w:lang w:eastAsia="en-GB"/>
          <w14:ligatures w14:val="none"/>
        </w:rPr>
        <w:t>BMJ Open Diabetes Research &amp; Care</w:t>
      </w:r>
      <w:r w:rsidRPr="005978B5">
        <w:rPr>
          <w:rFonts w:ascii="Arial" w:eastAsia="Times New Roman" w:hAnsi="Arial" w:cs="Arial"/>
          <w:kern w:val="0"/>
          <w:lang w:eastAsia="en-GB"/>
          <w14:ligatures w14:val="none"/>
        </w:rPr>
        <w:t>, 11(6).</w:t>
      </w:r>
    </w:p>
    <w:p w14:paraId="1EB7242F" w14:textId="24D6B469"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Omodara</w:t>
      </w:r>
      <w:proofErr w:type="spellEnd"/>
      <w:r w:rsidRPr="005978B5">
        <w:rPr>
          <w:rFonts w:ascii="Arial" w:eastAsia="Times New Roman" w:hAnsi="Arial" w:cs="Arial"/>
          <w:kern w:val="0"/>
          <w:lang w:eastAsia="en-GB"/>
          <w14:ligatures w14:val="none"/>
        </w:rPr>
        <w:t xml:space="preserve">, D.A., Gibson, L. and Bowpitt, G. (2022) 'Exploring the impact of cultural beliefs in the self-management of type 2 diabetes among Black sub-Saharan Africans in the UK: a qualitative study informed by the PEN-3 cultural model', </w:t>
      </w:r>
      <w:r w:rsidRPr="005978B5">
        <w:rPr>
          <w:rFonts w:ascii="Arial" w:eastAsia="Times New Roman" w:hAnsi="Arial" w:cs="Arial"/>
          <w:i/>
          <w:iCs/>
          <w:kern w:val="0"/>
          <w:lang w:eastAsia="en-GB"/>
          <w14:ligatures w14:val="none"/>
        </w:rPr>
        <w:t>Ethnicity &amp; Health</w:t>
      </w:r>
      <w:r w:rsidRPr="005978B5">
        <w:rPr>
          <w:rFonts w:ascii="Arial" w:eastAsia="Times New Roman" w:hAnsi="Arial" w:cs="Arial"/>
          <w:kern w:val="0"/>
          <w:lang w:eastAsia="en-GB"/>
          <w14:ligatures w14:val="none"/>
        </w:rPr>
        <w:t>, 27(6), pp. 1358–1376.</w:t>
      </w:r>
    </w:p>
    <w:p w14:paraId="72F3DE8A" w14:textId="5BD3D7BD"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Paduch, A., Kuske, S., </w:t>
      </w:r>
      <w:proofErr w:type="spellStart"/>
      <w:r w:rsidRPr="005978B5">
        <w:rPr>
          <w:rFonts w:ascii="Arial" w:eastAsia="Times New Roman" w:hAnsi="Arial" w:cs="Arial"/>
          <w:kern w:val="0"/>
          <w:lang w:eastAsia="en-GB"/>
          <w14:ligatures w14:val="none"/>
        </w:rPr>
        <w:t>Schiereck</w:t>
      </w:r>
      <w:proofErr w:type="spellEnd"/>
      <w:r w:rsidRPr="005978B5">
        <w:rPr>
          <w:rFonts w:ascii="Arial" w:eastAsia="Times New Roman" w:hAnsi="Arial" w:cs="Arial"/>
          <w:kern w:val="0"/>
          <w:lang w:eastAsia="en-GB"/>
          <w14:ligatures w14:val="none"/>
        </w:rPr>
        <w:t xml:space="preserve">, T., Droste, S., </w:t>
      </w:r>
      <w:proofErr w:type="spellStart"/>
      <w:r w:rsidRPr="005978B5">
        <w:rPr>
          <w:rFonts w:ascii="Arial" w:eastAsia="Times New Roman" w:hAnsi="Arial" w:cs="Arial"/>
          <w:kern w:val="0"/>
          <w:lang w:eastAsia="en-GB"/>
          <w14:ligatures w14:val="none"/>
        </w:rPr>
        <w:t>Loerbroks</w:t>
      </w:r>
      <w:proofErr w:type="spellEnd"/>
      <w:r w:rsidRPr="005978B5">
        <w:rPr>
          <w:rFonts w:ascii="Arial" w:eastAsia="Times New Roman" w:hAnsi="Arial" w:cs="Arial"/>
          <w:kern w:val="0"/>
          <w:lang w:eastAsia="en-GB"/>
          <w14:ligatures w14:val="none"/>
        </w:rPr>
        <w:t xml:space="preserve">, A., Sørensen, M., Maggini, M. and </w:t>
      </w:r>
      <w:proofErr w:type="spellStart"/>
      <w:r w:rsidRPr="005978B5">
        <w:rPr>
          <w:rFonts w:ascii="Arial" w:eastAsia="Times New Roman" w:hAnsi="Arial" w:cs="Arial"/>
          <w:kern w:val="0"/>
          <w:lang w:eastAsia="en-GB"/>
          <w14:ligatures w14:val="none"/>
        </w:rPr>
        <w:t>Icks</w:t>
      </w:r>
      <w:proofErr w:type="spellEnd"/>
      <w:r w:rsidRPr="005978B5">
        <w:rPr>
          <w:rFonts w:ascii="Arial" w:eastAsia="Times New Roman" w:hAnsi="Arial" w:cs="Arial"/>
          <w:kern w:val="0"/>
          <w:lang w:eastAsia="en-GB"/>
          <w14:ligatures w14:val="none"/>
        </w:rPr>
        <w:t xml:space="preserve">, A. (2017) 'Psychosocial barriers to healthcare use among individuals with diabetes mellitus: a systematic review', </w:t>
      </w:r>
      <w:r w:rsidRPr="005978B5">
        <w:rPr>
          <w:rFonts w:ascii="Arial" w:eastAsia="Times New Roman" w:hAnsi="Arial" w:cs="Arial"/>
          <w:i/>
          <w:iCs/>
          <w:kern w:val="0"/>
          <w:lang w:eastAsia="en-GB"/>
          <w14:ligatures w14:val="none"/>
        </w:rPr>
        <w:t>Primary Care Diabetes</w:t>
      </w:r>
      <w:r w:rsidRPr="005978B5">
        <w:rPr>
          <w:rFonts w:ascii="Arial" w:eastAsia="Times New Roman" w:hAnsi="Arial" w:cs="Arial"/>
          <w:kern w:val="0"/>
          <w:lang w:eastAsia="en-GB"/>
          <w14:ligatures w14:val="none"/>
        </w:rPr>
        <w:t xml:space="preserve">, 11(6), pp. 495–514. </w:t>
      </w:r>
    </w:p>
    <w:p w14:paraId="10AD3F35" w14:textId="69086552"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Page, M.J., McKenzie, J.E., Bossuyt, P.M., Boutron, I., Hoffmann, T.C., Mulrow, C.D., Shamseer, L., Tetzlaff, J.M., Akl, E.A., Brennan, S.E., Chou, R., Glanville, J., Grimshaw, </w:t>
      </w:r>
      <w:r w:rsidRPr="005978B5">
        <w:rPr>
          <w:rFonts w:ascii="Arial" w:eastAsia="Times New Roman" w:hAnsi="Arial" w:cs="Arial"/>
          <w:kern w:val="0"/>
          <w:lang w:eastAsia="en-GB"/>
          <w14:ligatures w14:val="none"/>
        </w:rPr>
        <w:lastRenderedPageBreak/>
        <w:t xml:space="preserve">J.M., Hróbjartsson, A., Lalu, M.M., Li, T., Loder, E.W., Mayo-Wilson, E., McDonald, S., McGuinness, L.A., Stewart, L.A., Thomas, J., Tricco, A.C., Welch, V.A., Whiting, P. and Moher, D. (2021) 'The PRISMA 2020 statement: an updated guideline for reporting systematic reviews', </w:t>
      </w:r>
      <w:r w:rsidRPr="005978B5">
        <w:rPr>
          <w:rFonts w:ascii="Arial" w:eastAsia="Times New Roman" w:hAnsi="Arial" w:cs="Arial"/>
          <w:i/>
          <w:iCs/>
          <w:kern w:val="0"/>
          <w:lang w:eastAsia="en-GB"/>
          <w14:ligatures w14:val="none"/>
        </w:rPr>
        <w:t>BMJ</w:t>
      </w:r>
      <w:r w:rsidRPr="005978B5">
        <w:rPr>
          <w:rFonts w:ascii="Arial" w:eastAsia="Times New Roman" w:hAnsi="Arial" w:cs="Arial"/>
          <w:kern w:val="0"/>
          <w:lang w:eastAsia="en-GB"/>
          <w14:ligatures w14:val="none"/>
        </w:rPr>
        <w:t>, 372, n71.</w:t>
      </w:r>
    </w:p>
    <w:p w14:paraId="615E9D75" w14:textId="0223D7B4"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Pardhan</w:t>
      </w:r>
      <w:proofErr w:type="spellEnd"/>
      <w:r w:rsidRPr="005978B5">
        <w:rPr>
          <w:rFonts w:ascii="Arial" w:eastAsia="Times New Roman" w:hAnsi="Arial" w:cs="Arial"/>
          <w:kern w:val="0"/>
          <w:lang w:eastAsia="en-GB"/>
          <w14:ligatures w14:val="none"/>
        </w:rPr>
        <w:t xml:space="preserve">, S., </w:t>
      </w:r>
      <w:proofErr w:type="spellStart"/>
      <w:r w:rsidRPr="005978B5">
        <w:rPr>
          <w:rFonts w:ascii="Arial" w:eastAsia="Times New Roman" w:hAnsi="Arial" w:cs="Arial"/>
          <w:kern w:val="0"/>
          <w:lang w:eastAsia="en-GB"/>
          <w14:ligatures w14:val="none"/>
        </w:rPr>
        <w:t>Nakafero</w:t>
      </w:r>
      <w:proofErr w:type="spellEnd"/>
      <w:r w:rsidRPr="005978B5">
        <w:rPr>
          <w:rFonts w:ascii="Arial" w:eastAsia="Times New Roman" w:hAnsi="Arial" w:cs="Arial"/>
          <w:kern w:val="0"/>
          <w:lang w:eastAsia="en-GB"/>
          <w14:ligatures w14:val="none"/>
        </w:rPr>
        <w:t xml:space="preserve">, G., Raman, R. and Sapkota, R. (2020) 'Barriers to diabetes awareness and self-help are influenced by people's demographics: perspectives of South Asians with type 2 diabetes', </w:t>
      </w:r>
      <w:r w:rsidRPr="005978B5">
        <w:rPr>
          <w:rFonts w:ascii="Arial" w:eastAsia="Times New Roman" w:hAnsi="Arial" w:cs="Arial"/>
          <w:i/>
          <w:iCs/>
          <w:kern w:val="0"/>
          <w:lang w:eastAsia="en-GB"/>
          <w14:ligatures w14:val="none"/>
        </w:rPr>
        <w:t>Ethnicity &amp; Health</w:t>
      </w:r>
      <w:r w:rsidRPr="005978B5">
        <w:rPr>
          <w:rFonts w:ascii="Arial" w:eastAsia="Times New Roman" w:hAnsi="Arial" w:cs="Arial"/>
          <w:kern w:val="0"/>
          <w:lang w:eastAsia="en-GB"/>
          <w14:ligatures w14:val="none"/>
        </w:rPr>
        <w:t>, 25(6), pp. 843–861</w:t>
      </w:r>
    </w:p>
    <w:p w14:paraId="6A8B21FD" w14:textId="3416D0DC"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Park, J.-H., Sherman, L.D., Smith, M.L., Patterson, M.S. and Prochnow, T. (2025) 'The association between Health Belief Model components and self-care practices among Black/African American men with type 2 diabetes', </w:t>
      </w:r>
      <w:r w:rsidRPr="005978B5">
        <w:rPr>
          <w:rFonts w:ascii="Arial" w:eastAsia="Times New Roman" w:hAnsi="Arial" w:cs="Arial"/>
          <w:i/>
          <w:iCs/>
          <w:kern w:val="0"/>
          <w:lang w:eastAsia="en-GB"/>
          <w14:ligatures w14:val="none"/>
        </w:rPr>
        <w:t>International Journal of Environmental Research and Public Health</w:t>
      </w:r>
      <w:r w:rsidRPr="005978B5">
        <w:rPr>
          <w:rFonts w:ascii="Arial" w:eastAsia="Times New Roman" w:hAnsi="Arial" w:cs="Arial"/>
          <w:kern w:val="0"/>
          <w:lang w:eastAsia="en-GB"/>
          <w14:ligatures w14:val="none"/>
        </w:rPr>
        <w:t>, 22(3), article 414.</w:t>
      </w:r>
    </w:p>
    <w:p w14:paraId="76A3D50D" w14:textId="3FEBA476"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Patel, N.R., Kennedy, A., Blickem, C., Rogers, A., Reeves, D. and Chew-Graham, C. (2015a) 'Having diabetes and having to fast: a qualitative study of British Muslims with diabetes', </w:t>
      </w:r>
      <w:r w:rsidRPr="005978B5">
        <w:rPr>
          <w:rFonts w:ascii="Arial" w:eastAsia="Times New Roman" w:hAnsi="Arial" w:cs="Arial"/>
          <w:i/>
          <w:iCs/>
          <w:kern w:val="0"/>
          <w:lang w:eastAsia="en-GB"/>
          <w14:ligatures w14:val="none"/>
        </w:rPr>
        <w:t>Health Expectations</w:t>
      </w:r>
      <w:r w:rsidRPr="005978B5">
        <w:rPr>
          <w:rFonts w:ascii="Arial" w:eastAsia="Times New Roman" w:hAnsi="Arial" w:cs="Arial"/>
          <w:kern w:val="0"/>
          <w:lang w:eastAsia="en-GB"/>
          <w14:ligatures w14:val="none"/>
        </w:rPr>
        <w:t>, 18(5), pp. 1698–1708.</w:t>
      </w:r>
    </w:p>
    <w:p w14:paraId="06315461" w14:textId="4E1111D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Patel, N.R., Chew-Graham, C., Bundy, C., Kennedy, A., Blickem, C. and Reeves, D. (2015b) 'Illness beliefs and the sociocultural context of diabetes self-management in British South Asians: a mixed methods study', </w:t>
      </w:r>
      <w:r w:rsidRPr="005978B5">
        <w:rPr>
          <w:rFonts w:ascii="Arial" w:eastAsia="Times New Roman" w:hAnsi="Arial" w:cs="Arial"/>
          <w:i/>
          <w:iCs/>
          <w:kern w:val="0"/>
          <w:lang w:eastAsia="en-GB"/>
          <w14:ligatures w14:val="none"/>
        </w:rPr>
        <w:t>BMC Family Practice</w:t>
      </w:r>
      <w:r w:rsidRPr="005978B5">
        <w:rPr>
          <w:rFonts w:ascii="Arial" w:eastAsia="Times New Roman" w:hAnsi="Arial" w:cs="Arial"/>
          <w:kern w:val="0"/>
          <w:lang w:eastAsia="en-GB"/>
          <w14:ligatures w14:val="none"/>
        </w:rPr>
        <w:t>, 16, article 58.</w:t>
      </w:r>
    </w:p>
    <w:p w14:paraId="2D7EBC12" w14:textId="7FE6502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Patel, N., Ferrer, H.B., Tyrer, F., Wray, P., Farooqi, A., Davies, M.J. and Khunti, K. (2017) 'Barriers and facilitators to healthy lifestyle changes in minority ethnic populations in the UK: a narrative review', </w:t>
      </w:r>
      <w:r w:rsidRPr="005978B5">
        <w:rPr>
          <w:rFonts w:ascii="Arial" w:eastAsia="Times New Roman" w:hAnsi="Arial" w:cs="Arial"/>
          <w:i/>
          <w:iCs/>
          <w:kern w:val="0"/>
          <w:lang w:eastAsia="en-GB"/>
          <w14:ligatures w14:val="none"/>
        </w:rPr>
        <w:t>Journal of Racial and Ethnic Health Disparities</w:t>
      </w:r>
      <w:r w:rsidRPr="005978B5">
        <w:rPr>
          <w:rFonts w:ascii="Arial" w:eastAsia="Times New Roman" w:hAnsi="Arial" w:cs="Arial"/>
          <w:kern w:val="0"/>
          <w:lang w:eastAsia="en-GB"/>
          <w14:ligatures w14:val="none"/>
        </w:rPr>
        <w:t>, 4(6), pp. 1107–1119.</w:t>
      </w:r>
    </w:p>
    <w:p w14:paraId="7201C62B" w14:textId="419EBDD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Pineda-</w:t>
      </w:r>
      <w:proofErr w:type="spellStart"/>
      <w:r w:rsidRPr="005978B5">
        <w:rPr>
          <w:rFonts w:ascii="Arial" w:eastAsia="Times New Roman" w:hAnsi="Arial" w:cs="Arial"/>
          <w:kern w:val="0"/>
          <w:lang w:eastAsia="en-GB"/>
          <w14:ligatures w14:val="none"/>
        </w:rPr>
        <w:t>Moncusí</w:t>
      </w:r>
      <w:proofErr w:type="spellEnd"/>
      <w:r w:rsidRPr="005978B5">
        <w:rPr>
          <w:rFonts w:ascii="Arial" w:eastAsia="Times New Roman" w:hAnsi="Arial" w:cs="Arial"/>
          <w:kern w:val="0"/>
          <w:lang w:eastAsia="en-GB"/>
          <w14:ligatures w14:val="none"/>
        </w:rPr>
        <w:t xml:space="preserve">, M., Allery, F., </w:t>
      </w:r>
      <w:proofErr w:type="spellStart"/>
      <w:r w:rsidRPr="005978B5">
        <w:rPr>
          <w:rFonts w:ascii="Arial" w:eastAsia="Times New Roman" w:hAnsi="Arial" w:cs="Arial"/>
          <w:kern w:val="0"/>
          <w:lang w:eastAsia="en-GB"/>
          <w14:ligatures w14:val="none"/>
        </w:rPr>
        <w:t>Delmestri</w:t>
      </w:r>
      <w:proofErr w:type="spellEnd"/>
      <w:r w:rsidRPr="005978B5">
        <w:rPr>
          <w:rFonts w:ascii="Arial" w:eastAsia="Times New Roman" w:hAnsi="Arial" w:cs="Arial"/>
          <w:kern w:val="0"/>
          <w:lang w:eastAsia="en-GB"/>
          <w14:ligatures w14:val="none"/>
        </w:rPr>
        <w:t xml:space="preserve">, A., Bolton, T., Nolan, J., Thygesen, J.H., Handy, A., Banerjee, A., </w:t>
      </w:r>
      <w:proofErr w:type="spellStart"/>
      <w:r w:rsidRPr="005978B5">
        <w:rPr>
          <w:rFonts w:ascii="Arial" w:eastAsia="Times New Roman" w:hAnsi="Arial" w:cs="Arial"/>
          <w:kern w:val="0"/>
          <w:lang w:eastAsia="en-GB"/>
          <w14:ligatures w14:val="none"/>
        </w:rPr>
        <w:t>Denaxas</w:t>
      </w:r>
      <w:proofErr w:type="spellEnd"/>
      <w:r w:rsidRPr="005978B5">
        <w:rPr>
          <w:rFonts w:ascii="Arial" w:eastAsia="Times New Roman" w:hAnsi="Arial" w:cs="Arial"/>
          <w:kern w:val="0"/>
          <w:lang w:eastAsia="en-GB"/>
          <w14:ligatures w14:val="none"/>
        </w:rPr>
        <w:t xml:space="preserve">, S., Tomlinson, C., Denniston, A.K., Sudlow, C., Akbari, A., Wood, A., Collins, G.S., Petersen, I., Coates, L.C.,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Prieto-Alhambra, D., Khalid, S. and CVD-COVID-UK/COVID-IMPACT Consortium (2024) 'Ethnicity data resource in population-wide health records: completeness, coverage and granularity of diversity', </w:t>
      </w:r>
      <w:r w:rsidRPr="005978B5">
        <w:rPr>
          <w:rFonts w:ascii="Arial" w:eastAsia="Times New Roman" w:hAnsi="Arial" w:cs="Arial"/>
          <w:i/>
          <w:iCs/>
          <w:kern w:val="0"/>
          <w:lang w:eastAsia="en-GB"/>
          <w14:ligatures w14:val="none"/>
        </w:rPr>
        <w:t>Scientific Data</w:t>
      </w:r>
      <w:r w:rsidRPr="005978B5">
        <w:rPr>
          <w:rFonts w:ascii="Arial" w:eastAsia="Times New Roman" w:hAnsi="Arial" w:cs="Arial"/>
          <w:kern w:val="0"/>
          <w:lang w:eastAsia="en-GB"/>
          <w14:ligatures w14:val="none"/>
        </w:rPr>
        <w:t>, 11, article 221.</w:t>
      </w:r>
    </w:p>
    <w:p w14:paraId="491C5256" w14:textId="522FF79E"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Popay, J., Roberts, H., Sowden, A., Petticrew, M., Arai, L., Rodgers, M. and Britten, N. (2006) </w:t>
      </w:r>
      <w:r w:rsidRPr="005978B5">
        <w:rPr>
          <w:rFonts w:ascii="Arial" w:eastAsia="Times New Roman" w:hAnsi="Arial" w:cs="Arial"/>
          <w:i/>
          <w:iCs/>
          <w:kern w:val="0"/>
          <w:lang w:eastAsia="en-GB"/>
          <w14:ligatures w14:val="none"/>
        </w:rPr>
        <w:t>Guidance on the Conduct of Narrative Synthesis in Systematic Reviews: A Product from the ESRC Methods Programme</w:t>
      </w:r>
      <w:r w:rsidRPr="005978B5">
        <w:rPr>
          <w:rFonts w:ascii="Arial" w:eastAsia="Times New Roman" w:hAnsi="Arial" w:cs="Arial"/>
          <w:kern w:val="0"/>
          <w:lang w:eastAsia="en-GB"/>
          <w14:ligatures w14:val="none"/>
        </w:rPr>
        <w:t xml:space="preserve">. Lancaster: Lancaster University. Available at: </w:t>
      </w:r>
      <w:hyperlink r:id="rId36" w:history="1">
        <w:r w:rsidR="002E08BF" w:rsidRPr="004830B9">
          <w:rPr>
            <w:rStyle w:val="Hyperlink"/>
            <w:rFonts w:ascii="Arial" w:eastAsia="Times New Roman" w:hAnsi="Arial" w:cs="Arial"/>
            <w:kern w:val="0"/>
            <w:lang w:eastAsia="en-GB"/>
            <w14:ligatures w14:val="none"/>
          </w:rPr>
          <w:t>https://eppi.ioe.ac.uk/cms/Default.aspx?tabid=2914</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03</w:t>
      </w:r>
      <w:r w:rsidRPr="005978B5">
        <w:rPr>
          <w:rFonts w:ascii="Arial" w:eastAsia="Times New Roman" w:hAnsi="Arial" w:cs="Arial"/>
          <w:kern w:val="0"/>
          <w:lang w:eastAsia="en-GB"/>
          <w14:ligatures w14:val="none"/>
        </w:rPr>
        <w:t xml:space="preserve"> </w:t>
      </w:r>
      <w:r w:rsidR="000F625C">
        <w:rPr>
          <w:rFonts w:ascii="Arial" w:eastAsia="Times New Roman" w:hAnsi="Arial" w:cs="Arial"/>
          <w:kern w:val="0"/>
          <w:lang w:eastAsia="en-GB"/>
          <w14:ligatures w14:val="none"/>
        </w:rPr>
        <w:t xml:space="preserve">April </w:t>
      </w:r>
      <w:r w:rsidRPr="005978B5">
        <w:rPr>
          <w:rFonts w:ascii="Arial" w:eastAsia="Times New Roman" w:hAnsi="Arial" w:cs="Arial"/>
          <w:kern w:val="0"/>
          <w:lang w:eastAsia="en-GB"/>
          <w14:ligatures w14:val="none"/>
        </w:rPr>
        <w:t>2026).</w:t>
      </w:r>
    </w:p>
    <w:p w14:paraId="5E8F8AAD" w14:textId="0063D42A"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lastRenderedPageBreak/>
        <w:t xml:space="preserve">Power, M., Uphoff, E.P., Stewart-Knox, B., Small, N., Doherty, B. and Pickett, K.E. (2018) 'Food insecurity and socio-demographic characteristics in two UK ethnic groups: an analysis of women in the Born in Bradford cohort', </w:t>
      </w:r>
      <w:r w:rsidRPr="005978B5">
        <w:rPr>
          <w:rFonts w:ascii="Arial" w:eastAsia="Times New Roman" w:hAnsi="Arial" w:cs="Arial"/>
          <w:i/>
          <w:iCs/>
          <w:kern w:val="0"/>
          <w:lang w:eastAsia="en-GB"/>
          <w14:ligatures w14:val="none"/>
        </w:rPr>
        <w:t>Journal of Public Health</w:t>
      </w:r>
      <w:r w:rsidRPr="005978B5">
        <w:rPr>
          <w:rFonts w:ascii="Arial" w:eastAsia="Times New Roman" w:hAnsi="Arial" w:cs="Arial"/>
          <w:kern w:val="0"/>
          <w:lang w:eastAsia="en-GB"/>
          <w14:ligatures w14:val="none"/>
        </w:rPr>
        <w:t xml:space="preserve">, 40(1), pp. 32–40. </w:t>
      </w:r>
    </w:p>
    <w:p w14:paraId="43C7FC18" w14:textId="34E838F6"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Public Health England (2018) </w:t>
      </w:r>
      <w:r w:rsidRPr="005978B5">
        <w:rPr>
          <w:rFonts w:ascii="Arial" w:eastAsia="Times New Roman" w:hAnsi="Arial" w:cs="Arial"/>
          <w:i/>
          <w:iCs/>
          <w:kern w:val="0"/>
          <w:lang w:eastAsia="en-GB"/>
          <w14:ligatures w14:val="none"/>
        </w:rPr>
        <w:t>Health Matters: Preventing Type 2 Diabetes</w:t>
      </w:r>
      <w:r w:rsidRPr="005978B5">
        <w:rPr>
          <w:rFonts w:ascii="Arial" w:eastAsia="Times New Roman" w:hAnsi="Arial" w:cs="Arial"/>
          <w:kern w:val="0"/>
          <w:lang w:eastAsia="en-GB"/>
          <w14:ligatures w14:val="none"/>
        </w:rPr>
        <w:t xml:space="preserve">. London: Public Health England. Available at: </w:t>
      </w:r>
      <w:hyperlink r:id="rId37" w:history="1">
        <w:r w:rsidR="002E08BF" w:rsidRPr="004830B9">
          <w:rPr>
            <w:rStyle w:val="Hyperlink"/>
            <w:rFonts w:ascii="Arial" w:eastAsia="Times New Roman" w:hAnsi="Arial" w:cs="Arial"/>
            <w:kern w:val="0"/>
            <w:lang w:eastAsia="en-GB"/>
            <w14:ligatures w14:val="none"/>
          </w:rPr>
          <w:t>https://www.gov.uk/government/publications/health-matters-preventing-type-2-diabetes/health-matters-preventing-type-2-diabetes</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 xml:space="preserve">14 April </w:t>
      </w:r>
      <w:r w:rsidRPr="005978B5">
        <w:rPr>
          <w:rFonts w:ascii="Arial" w:eastAsia="Times New Roman" w:hAnsi="Arial" w:cs="Arial"/>
          <w:kern w:val="0"/>
          <w:lang w:eastAsia="en-GB"/>
          <w14:ligatures w14:val="none"/>
        </w:rPr>
        <w:t xml:space="preserve"> 2026).</w:t>
      </w:r>
    </w:p>
    <w:p w14:paraId="6A1EF81D" w14:textId="71AC8393"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Public Health England (2020) </w:t>
      </w:r>
      <w:r w:rsidRPr="005978B5">
        <w:rPr>
          <w:rFonts w:ascii="Arial" w:eastAsia="Times New Roman" w:hAnsi="Arial" w:cs="Arial"/>
          <w:i/>
          <w:iCs/>
          <w:kern w:val="0"/>
          <w:lang w:eastAsia="en-GB"/>
          <w14:ligatures w14:val="none"/>
        </w:rPr>
        <w:t>Disparities in the Risk and Outcomes of COVID-19</w:t>
      </w:r>
      <w:r w:rsidRPr="005978B5">
        <w:rPr>
          <w:rFonts w:ascii="Arial" w:eastAsia="Times New Roman" w:hAnsi="Arial" w:cs="Arial"/>
          <w:kern w:val="0"/>
          <w:lang w:eastAsia="en-GB"/>
          <w14:ligatures w14:val="none"/>
        </w:rPr>
        <w:t xml:space="preserve">. London: Public Health England. Available at: </w:t>
      </w:r>
      <w:hyperlink r:id="rId38" w:history="1">
        <w:r w:rsidR="002E08BF" w:rsidRPr="004830B9">
          <w:rPr>
            <w:rStyle w:val="Hyperlink"/>
            <w:rFonts w:ascii="Arial" w:eastAsia="Times New Roman" w:hAnsi="Arial" w:cs="Arial"/>
            <w:kern w:val="0"/>
            <w:lang w:eastAsia="en-GB"/>
            <w14:ligatures w14:val="none"/>
          </w:rPr>
          <w:t>https://www.gov.uk/government/publications/covid-19-review-of-disparities-in-risks-and-outcomes</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 xml:space="preserve">21 April </w:t>
      </w:r>
      <w:r w:rsidRPr="005978B5">
        <w:rPr>
          <w:rFonts w:ascii="Arial" w:eastAsia="Times New Roman" w:hAnsi="Arial" w:cs="Arial"/>
          <w:kern w:val="0"/>
          <w:lang w:eastAsia="en-GB"/>
          <w14:ligatures w14:val="none"/>
        </w:rPr>
        <w:t>2026).</w:t>
      </w:r>
    </w:p>
    <w:p w14:paraId="412150BE" w14:textId="1855F2E7"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proofErr w:type="spellStart"/>
      <w:r w:rsidRPr="005978B5">
        <w:rPr>
          <w:rFonts w:ascii="Arial" w:eastAsia="Times New Roman" w:hAnsi="Arial" w:cs="Arial"/>
          <w:kern w:val="0"/>
          <w:lang w:eastAsia="en-GB"/>
          <w14:ligatures w14:val="none"/>
        </w:rPr>
        <w:t>Puzhakkal</w:t>
      </w:r>
      <w:proofErr w:type="spellEnd"/>
      <w:r w:rsidRPr="005978B5">
        <w:rPr>
          <w:rFonts w:ascii="Arial" w:eastAsia="Times New Roman" w:hAnsi="Arial" w:cs="Arial"/>
          <w:kern w:val="0"/>
          <w:lang w:eastAsia="en-GB"/>
          <w14:ligatures w14:val="none"/>
        </w:rPr>
        <w:t xml:space="preserve">, S., Conway, B., Zaidi, S.T.R., Kow, C.S. and Hasan, S.S. (2025) 'Diabetes self-care among South Asians in Western countries: a systematic review', </w:t>
      </w:r>
      <w:r w:rsidRPr="005978B5">
        <w:rPr>
          <w:rFonts w:ascii="Arial" w:eastAsia="Times New Roman" w:hAnsi="Arial" w:cs="Arial"/>
          <w:i/>
          <w:iCs/>
          <w:kern w:val="0"/>
          <w:lang w:eastAsia="en-GB"/>
          <w14:ligatures w14:val="none"/>
        </w:rPr>
        <w:t>Journal of Immigrant and Minority Health</w:t>
      </w:r>
      <w:r w:rsidRPr="005978B5">
        <w:rPr>
          <w:rFonts w:ascii="Arial" w:eastAsia="Times New Roman" w:hAnsi="Arial" w:cs="Arial"/>
          <w:kern w:val="0"/>
          <w:lang w:eastAsia="en-GB"/>
          <w14:ligatures w14:val="none"/>
        </w:rPr>
        <w:t xml:space="preserve"> [online first].</w:t>
      </w:r>
    </w:p>
    <w:p w14:paraId="36236B8E" w14:textId="3454363A"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highlight w:val="yellow"/>
          <w:lang w:eastAsia="en-GB"/>
          <w14:ligatures w14:val="none"/>
        </w:rPr>
      </w:pPr>
      <w:r w:rsidRPr="005978B5">
        <w:rPr>
          <w:rFonts w:ascii="Arial" w:eastAsia="Times New Roman" w:hAnsi="Arial" w:cs="Arial"/>
          <w:kern w:val="0"/>
          <w:lang w:eastAsia="en-GB"/>
          <w14:ligatures w14:val="none"/>
        </w:rPr>
        <w:t xml:space="preserve">Ramasawmy, M., Poole, L., </w:t>
      </w:r>
      <w:proofErr w:type="spellStart"/>
      <w:r w:rsidRPr="005978B5">
        <w:rPr>
          <w:rFonts w:ascii="Arial" w:eastAsia="Times New Roman" w:hAnsi="Arial" w:cs="Arial"/>
          <w:kern w:val="0"/>
          <w:lang w:eastAsia="en-GB"/>
          <w14:ligatures w14:val="none"/>
        </w:rPr>
        <w:t>Thorlu</w:t>
      </w:r>
      <w:proofErr w:type="spellEnd"/>
      <w:r w:rsidRPr="005978B5">
        <w:rPr>
          <w:rFonts w:ascii="Arial" w:eastAsia="Times New Roman" w:hAnsi="Arial" w:cs="Arial"/>
          <w:kern w:val="0"/>
          <w:lang w:eastAsia="en-GB"/>
          <w14:ligatures w14:val="none"/>
        </w:rPr>
        <w:t xml:space="preserve">-Bangura, Z., Chauhan, A., Murali, M., Jagpal, P., Bijral, M., Prashar, J., G-Medhin, A., Murray, E., Stevenson, F., Blandford, A., Potts, H.W.W., Khunti, K., Hanif, W., Gill, P., Sajid, M., Patel, K., Sood, H., Bhala, N., Modha, S., Mistry, M., Patel, V., Ali, S.N., Ala, A. and Banerjee, A. (2022) 'Frameworks for implementation, uptake, and use of cardiometabolic disease-related digital health interventions in ethnic minority populations: scoping review', </w:t>
      </w:r>
      <w:r w:rsidRPr="005978B5">
        <w:rPr>
          <w:rFonts w:ascii="Arial" w:eastAsia="Times New Roman" w:hAnsi="Arial" w:cs="Arial"/>
          <w:i/>
          <w:iCs/>
          <w:kern w:val="0"/>
          <w:lang w:eastAsia="en-GB"/>
          <w14:ligatures w14:val="none"/>
        </w:rPr>
        <w:t>JMIR Cardio</w:t>
      </w:r>
      <w:r w:rsidRPr="005978B5">
        <w:rPr>
          <w:rFonts w:ascii="Arial" w:eastAsia="Times New Roman" w:hAnsi="Arial" w:cs="Arial"/>
          <w:kern w:val="0"/>
          <w:lang w:eastAsia="en-GB"/>
          <w14:ligatures w14:val="none"/>
        </w:rPr>
        <w:t xml:space="preserve">, 6(2), e37360. </w:t>
      </w:r>
    </w:p>
    <w:p w14:paraId="07E1FAF5" w14:textId="1DB10C4A"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Ramasawmy, M., Roland Persson, D., </w:t>
      </w:r>
      <w:proofErr w:type="spellStart"/>
      <w:r w:rsidRPr="005978B5">
        <w:rPr>
          <w:rFonts w:ascii="Arial" w:eastAsia="Times New Roman" w:hAnsi="Arial" w:cs="Arial"/>
          <w:kern w:val="0"/>
          <w:lang w:eastAsia="en-GB"/>
          <w14:ligatures w14:val="none"/>
        </w:rPr>
        <w:t>Sunkersing</w:t>
      </w:r>
      <w:proofErr w:type="spellEnd"/>
      <w:r w:rsidRPr="005978B5">
        <w:rPr>
          <w:rFonts w:ascii="Arial" w:eastAsia="Times New Roman" w:hAnsi="Arial" w:cs="Arial"/>
          <w:kern w:val="0"/>
          <w:lang w:eastAsia="en-GB"/>
          <w14:ligatures w14:val="none"/>
        </w:rPr>
        <w:t xml:space="preserve">, D., Gill, P., Khunti, K., Poole, L., Hanif, W., Blandford, A., Sajid, M., Stevenson, F., Khan, N. and Banerjee, A. (2024) 'Uptake of digital health interventions for cardiometabolic disease in British South Asian individuals: think aloud study', </w:t>
      </w:r>
      <w:r w:rsidRPr="005978B5">
        <w:rPr>
          <w:rFonts w:ascii="Arial" w:eastAsia="Times New Roman" w:hAnsi="Arial" w:cs="Arial"/>
          <w:i/>
          <w:iCs/>
          <w:kern w:val="0"/>
          <w:lang w:eastAsia="en-GB"/>
          <w14:ligatures w14:val="none"/>
        </w:rPr>
        <w:t>JMIR Human Factors</w:t>
      </w:r>
      <w:r w:rsidRPr="005978B5">
        <w:rPr>
          <w:rFonts w:ascii="Arial" w:eastAsia="Times New Roman" w:hAnsi="Arial" w:cs="Arial"/>
          <w:kern w:val="0"/>
          <w:lang w:eastAsia="en-GB"/>
          <w14:ligatures w14:val="none"/>
        </w:rPr>
        <w:t xml:space="preserve">, 11, e57338. </w:t>
      </w:r>
    </w:p>
    <w:p w14:paraId="036550B7" w14:textId="2C3135B8"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Razieh, C., Zaccardi, F., Miksza, J., Davies, M.J., Hansell, A.L., Khunti, K. and Yates, T. (2022) 'Differences in the risk of cardiovascular disease across ethnic groups: UK Biobank observational study', </w:t>
      </w:r>
      <w:r w:rsidRPr="005978B5">
        <w:rPr>
          <w:rFonts w:ascii="Arial" w:eastAsia="Times New Roman" w:hAnsi="Arial" w:cs="Arial"/>
          <w:i/>
          <w:iCs/>
          <w:kern w:val="0"/>
          <w:lang w:eastAsia="en-GB"/>
          <w14:ligatures w14:val="none"/>
        </w:rPr>
        <w:t>Nutrition, Metabolism and Cardiovascular Diseases</w:t>
      </w:r>
      <w:r w:rsidRPr="005978B5">
        <w:rPr>
          <w:rFonts w:ascii="Arial" w:eastAsia="Times New Roman" w:hAnsi="Arial" w:cs="Arial"/>
          <w:kern w:val="0"/>
          <w:lang w:eastAsia="en-GB"/>
          <w14:ligatures w14:val="none"/>
        </w:rPr>
        <w:t xml:space="preserve">, 32(11), pp. 2594–2602. </w:t>
      </w:r>
    </w:p>
    <w:p w14:paraId="60D62970" w14:textId="76E6AE94"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Rosenstock, I.M. (1966) 'Why people use health services', </w:t>
      </w:r>
      <w:r w:rsidRPr="005978B5">
        <w:rPr>
          <w:rFonts w:ascii="Arial" w:eastAsia="Times New Roman" w:hAnsi="Arial" w:cs="Arial"/>
          <w:i/>
          <w:iCs/>
          <w:kern w:val="0"/>
          <w:lang w:eastAsia="en-GB"/>
          <w14:ligatures w14:val="none"/>
        </w:rPr>
        <w:t>The Milbank Memorial Fund Quarterly</w:t>
      </w:r>
      <w:r w:rsidRPr="005978B5">
        <w:rPr>
          <w:rFonts w:ascii="Arial" w:eastAsia="Times New Roman" w:hAnsi="Arial" w:cs="Arial"/>
          <w:kern w:val="0"/>
          <w:lang w:eastAsia="en-GB"/>
          <w14:ligatures w14:val="none"/>
        </w:rPr>
        <w:t xml:space="preserve">, 44(3, Pt. 2), pp. 94–124. </w:t>
      </w:r>
    </w:p>
    <w:p w14:paraId="130086EE" w14:textId="0AC462B3"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Routen, A., Lekas, H.-M., Harrison, J. and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(2023) 'Intersectionality in health equity research', </w:t>
      </w:r>
      <w:r w:rsidRPr="005978B5">
        <w:rPr>
          <w:rFonts w:ascii="Arial" w:eastAsia="Times New Roman" w:hAnsi="Arial" w:cs="Arial"/>
          <w:i/>
          <w:iCs/>
          <w:kern w:val="0"/>
          <w:lang w:eastAsia="en-GB"/>
          <w14:ligatures w14:val="none"/>
        </w:rPr>
        <w:t>BMJ</w:t>
      </w:r>
      <w:r w:rsidRPr="005978B5">
        <w:rPr>
          <w:rFonts w:ascii="Arial" w:eastAsia="Times New Roman" w:hAnsi="Arial" w:cs="Arial"/>
          <w:kern w:val="0"/>
          <w:lang w:eastAsia="en-GB"/>
          <w14:ligatures w14:val="none"/>
        </w:rPr>
        <w:t xml:space="preserve">, 383, p2953. </w:t>
      </w:r>
    </w:p>
    <w:p w14:paraId="164518C1" w14:textId="2B0B151E"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lastRenderedPageBreak/>
        <w:t xml:space="preserve">Seale, C., Rivas, C. and Kelly, M. (2013) 'The challenge of communication in interpreted consultations in diabetes care: a mixed methods study', </w:t>
      </w:r>
      <w:r w:rsidRPr="005978B5">
        <w:rPr>
          <w:rFonts w:ascii="Arial" w:eastAsia="Times New Roman" w:hAnsi="Arial" w:cs="Arial"/>
          <w:i/>
          <w:iCs/>
          <w:kern w:val="0"/>
          <w:lang w:eastAsia="en-GB"/>
          <w14:ligatures w14:val="none"/>
        </w:rPr>
        <w:t>British Journal of General Practice</w:t>
      </w:r>
      <w:r w:rsidRPr="005978B5">
        <w:rPr>
          <w:rFonts w:ascii="Arial" w:eastAsia="Times New Roman" w:hAnsi="Arial" w:cs="Arial"/>
          <w:kern w:val="0"/>
          <w:lang w:eastAsia="en-GB"/>
          <w14:ligatures w14:val="none"/>
        </w:rPr>
        <w:t>, 63(607), pp. e125–e133.</w:t>
      </w:r>
    </w:p>
    <w:p w14:paraId="0CF3D79E" w14:textId="6335DA31"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Seewoodhary</w:t>
      </w:r>
      <w:proofErr w:type="spellEnd"/>
      <w:r w:rsidRPr="005978B5">
        <w:rPr>
          <w:rFonts w:ascii="Arial" w:eastAsia="Times New Roman" w:hAnsi="Arial" w:cs="Arial"/>
          <w:kern w:val="0"/>
          <w:lang w:eastAsia="en-GB"/>
          <w14:ligatures w14:val="none"/>
        </w:rPr>
        <w:t xml:space="preserve">, J. (2021) 'Black Lives Matter: tackling racial and ethnic inequalities in diabetes health care', </w:t>
      </w:r>
      <w:r w:rsidRPr="005978B5">
        <w:rPr>
          <w:rFonts w:ascii="Arial" w:eastAsia="Times New Roman" w:hAnsi="Arial" w:cs="Arial"/>
          <w:i/>
          <w:iCs/>
          <w:kern w:val="0"/>
          <w:lang w:eastAsia="en-GB"/>
          <w14:ligatures w14:val="none"/>
        </w:rPr>
        <w:t>Practical Diabetes</w:t>
      </w:r>
      <w:r w:rsidRPr="005978B5">
        <w:rPr>
          <w:rFonts w:ascii="Arial" w:eastAsia="Times New Roman" w:hAnsi="Arial" w:cs="Arial"/>
          <w:kern w:val="0"/>
          <w:lang w:eastAsia="en-GB"/>
          <w14:ligatures w14:val="none"/>
        </w:rPr>
        <w:t>, 38(3), pp. 26–30.</w:t>
      </w:r>
    </w:p>
    <w:p w14:paraId="01A389F7" w14:textId="24006FC8"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Sidhu, T., </w:t>
      </w:r>
      <w:proofErr w:type="spellStart"/>
      <w:r w:rsidRPr="005978B5">
        <w:rPr>
          <w:rFonts w:ascii="Arial" w:eastAsia="Times New Roman" w:hAnsi="Arial" w:cs="Arial"/>
          <w:kern w:val="0"/>
          <w:lang w:eastAsia="en-GB"/>
          <w14:ligatures w14:val="none"/>
        </w:rPr>
        <w:t>Lemetyinen</w:t>
      </w:r>
      <w:proofErr w:type="spellEnd"/>
      <w:r w:rsidRPr="005978B5">
        <w:rPr>
          <w:rFonts w:ascii="Arial" w:eastAsia="Times New Roman" w:hAnsi="Arial" w:cs="Arial"/>
          <w:kern w:val="0"/>
          <w:lang w:eastAsia="en-GB"/>
          <w14:ligatures w14:val="none"/>
        </w:rPr>
        <w:t xml:space="preserve">, H. and Edge, D. (2022) '"Diabetes doesn't matter as long as we're keeping traditions alive": a qualitative study exploring the knowledge and awareness of type 2 diabetes and related risk factors amongst the young Punjabi Sikh population in the UK', </w:t>
      </w:r>
      <w:r w:rsidRPr="005978B5">
        <w:rPr>
          <w:rFonts w:ascii="Arial" w:eastAsia="Times New Roman" w:hAnsi="Arial" w:cs="Arial"/>
          <w:i/>
          <w:iCs/>
          <w:kern w:val="0"/>
          <w:lang w:eastAsia="en-GB"/>
          <w14:ligatures w14:val="none"/>
        </w:rPr>
        <w:t>Ethnicity &amp; Health</w:t>
      </w:r>
      <w:r w:rsidRPr="005978B5">
        <w:rPr>
          <w:rFonts w:ascii="Arial" w:eastAsia="Times New Roman" w:hAnsi="Arial" w:cs="Arial"/>
          <w:kern w:val="0"/>
          <w:lang w:eastAsia="en-GB"/>
          <w14:ligatures w14:val="none"/>
        </w:rPr>
        <w:t>, 27(4), pp. 781–799.</w:t>
      </w:r>
    </w:p>
    <w:p w14:paraId="79F079BB" w14:textId="3FCD074D"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Singh, H., Cinnirella, M. and Bradley, C. (2012) 'Support systems for and barriers to diabetes management in South Asians and Whites in the UK: qualitative study of patients' perspectives', </w:t>
      </w:r>
      <w:r w:rsidRPr="005978B5">
        <w:rPr>
          <w:rFonts w:ascii="Arial" w:eastAsia="Times New Roman" w:hAnsi="Arial" w:cs="Arial"/>
          <w:i/>
          <w:iCs/>
          <w:kern w:val="0"/>
          <w:lang w:eastAsia="en-GB"/>
          <w14:ligatures w14:val="none"/>
        </w:rPr>
        <w:t>BMJ Open</w:t>
      </w:r>
      <w:r w:rsidRPr="005978B5">
        <w:rPr>
          <w:rFonts w:ascii="Arial" w:eastAsia="Times New Roman" w:hAnsi="Arial" w:cs="Arial"/>
          <w:kern w:val="0"/>
          <w:lang w:eastAsia="en-GB"/>
          <w14:ligatures w14:val="none"/>
        </w:rPr>
        <w:t>, 2(6), e001459.</w:t>
      </w:r>
    </w:p>
    <w:p w14:paraId="197AF333" w14:textId="0B84F5B7"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proofErr w:type="spellStart"/>
      <w:r w:rsidRPr="005978B5">
        <w:rPr>
          <w:rFonts w:ascii="Arial" w:eastAsia="Times New Roman" w:hAnsi="Arial" w:cs="Arial"/>
          <w:kern w:val="0"/>
          <w:lang w:eastAsia="en-GB"/>
          <w14:ligatures w14:val="none"/>
        </w:rPr>
        <w:t>Sotubo</w:t>
      </w:r>
      <w:proofErr w:type="spellEnd"/>
      <w:r w:rsidRPr="005978B5">
        <w:rPr>
          <w:rFonts w:ascii="Arial" w:eastAsia="Times New Roman" w:hAnsi="Arial" w:cs="Arial"/>
          <w:kern w:val="0"/>
          <w:lang w:eastAsia="en-GB"/>
          <w14:ligatures w14:val="none"/>
        </w:rPr>
        <w:t xml:space="preserve">, O.A. (2021) 'A perspective on health inequalities in BAME communities and how to improve access to primary care', </w:t>
      </w:r>
      <w:r w:rsidRPr="005978B5">
        <w:rPr>
          <w:rFonts w:ascii="Arial" w:eastAsia="Times New Roman" w:hAnsi="Arial" w:cs="Arial"/>
          <w:i/>
          <w:iCs/>
          <w:kern w:val="0"/>
          <w:lang w:eastAsia="en-GB"/>
          <w14:ligatures w14:val="none"/>
        </w:rPr>
        <w:t>Future Healthcare Journal</w:t>
      </w:r>
      <w:r w:rsidRPr="005978B5">
        <w:rPr>
          <w:rFonts w:ascii="Arial" w:eastAsia="Times New Roman" w:hAnsi="Arial" w:cs="Arial"/>
          <w:kern w:val="0"/>
          <w:lang w:eastAsia="en-GB"/>
          <w14:ligatures w14:val="none"/>
        </w:rPr>
        <w:t>, 8(1), pp. 36–39.</w:t>
      </w:r>
    </w:p>
    <w:p w14:paraId="1CD098B6" w14:textId="06D31ABE"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Stalmeijer</w:t>
      </w:r>
      <w:proofErr w:type="spellEnd"/>
      <w:r w:rsidRPr="005978B5">
        <w:rPr>
          <w:rFonts w:ascii="Arial" w:eastAsia="Times New Roman" w:hAnsi="Arial" w:cs="Arial"/>
          <w:kern w:val="0"/>
          <w:lang w:eastAsia="en-GB"/>
          <w14:ligatures w14:val="none"/>
        </w:rPr>
        <w:t xml:space="preserve">, R.E., Brown, M.E.L. and O'Brien, B.C. (2024) 'How to discuss transferability of qualitative research in health professions education', </w:t>
      </w:r>
      <w:r w:rsidRPr="005978B5">
        <w:rPr>
          <w:rFonts w:ascii="Arial" w:eastAsia="Times New Roman" w:hAnsi="Arial" w:cs="Arial"/>
          <w:i/>
          <w:iCs/>
          <w:kern w:val="0"/>
          <w:lang w:eastAsia="en-GB"/>
          <w14:ligatures w14:val="none"/>
        </w:rPr>
        <w:t>The Clinical Teacher</w:t>
      </w:r>
      <w:r w:rsidRPr="005978B5">
        <w:rPr>
          <w:rFonts w:ascii="Arial" w:eastAsia="Times New Roman" w:hAnsi="Arial" w:cs="Arial"/>
          <w:kern w:val="0"/>
          <w:lang w:eastAsia="en-GB"/>
          <w14:ligatures w14:val="none"/>
        </w:rPr>
        <w:t xml:space="preserve">, 21(6), e13762. </w:t>
      </w:r>
    </w:p>
    <w:p w14:paraId="72A962D7" w14:textId="6BB59368"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Sun, H., Saeedi, P., </w:t>
      </w:r>
      <w:proofErr w:type="spellStart"/>
      <w:r w:rsidRPr="005978B5">
        <w:rPr>
          <w:rFonts w:ascii="Arial" w:eastAsia="Times New Roman" w:hAnsi="Arial" w:cs="Arial"/>
          <w:kern w:val="0"/>
          <w:lang w:eastAsia="en-GB"/>
          <w14:ligatures w14:val="none"/>
        </w:rPr>
        <w:t>Karuranga</w:t>
      </w:r>
      <w:proofErr w:type="spellEnd"/>
      <w:r w:rsidRPr="005978B5">
        <w:rPr>
          <w:rFonts w:ascii="Arial" w:eastAsia="Times New Roman" w:hAnsi="Arial" w:cs="Arial"/>
          <w:kern w:val="0"/>
          <w:lang w:eastAsia="en-GB"/>
          <w14:ligatures w14:val="none"/>
        </w:rPr>
        <w:t xml:space="preserve">, S., </w:t>
      </w:r>
      <w:proofErr w:type="spellStart"/>
      <w:r w:rsidRPr="005978B5">
        <w:rPr>
          <w:rFonts w:ascii="Arial" w:eastAsia="Times New Roman" w:hAnsi="Arial" w:cs="Arial"/>
          <w:kern w:val="0"/>
          <w:lang w:eastAsia="en-GB"/>
          <w14:ligatures w14:val="none"/>
        </w:rPr>
        <w:t>Pinkepank</w:t>
      </w:r>
      <w:proofErr w:type="spellEnd"/>
      <w:r w:rsidRPr="005978B5">
        <w:rPr>
          <w:rFonts w:ascii="Arial" w:eastAsia="Times New Roman" w:hAnsi="Arial" w:cs="Arial"/>
          <w:kern w:val="0"/>
          <w:lang w:eastAsia="en-GB"/>
          <w14:ligatures w14:val="none"/>
        </w:rPr>
        <w:t xml:space="preserve">, M., </w:t>
      </w:r>
      <w:proofErr w:type="spellStart"/>
      <w:r w:rsidRPr="005978B5">
        <w:rPr>
          <w:rFonts w:ascii="Arial" w:eastAsia="Times New Roman" w:hAnsi="Arial" w:cs="Arial"/>
          <w:kern w:val="0"/>
          <w:lang w:eastAsia="en-GB"/>
          <w14:ligatures w14:val="none"/>
        </w:rPr>
        <w:t>Ogurtsova</w:t>
      </w:r>
      <w:proofErr w:type="spellEnd"/>
      <w:r w:rsidRPr="005978B5">
        <w:rPr>
          <w:rFonts w:ascii="Arial" w:eastAsia="Times New Roman" w:hAnsi="Arial" w:cs="Arial"/>
          <w:kern w:val="0"/>
          <w:lang w:eastAsia="en-GB"/>
          <w14:ligatures w14:val="none"/>
        </w:rPr>
        <w:t xml:space="preserve">, K., Duncan, B.B., Stein, C., Basit, A., Chan, J.C.N., </w:t>
      </w:r>
      <w:proofErr w:type="spellStart"/>
      <w:r w:rsidRPr="005978B5">
        <w:rPr>
          <w:rFonts w:ascii="Arial" w:eastAsia="Times New Roman" w:hAnsi="Arial" w:cs="Arial"/>
          <w:kern w:val="0"/>
          <w:lang w:eastAsia="en-GB"/>
          <w14:ligatures w14:val="none"/>
        </w:rPr>
        <w:t>Mbanya</w:t>
      </w:r>
      <w:proofErr w:type="spellEnd"/>
      <w:r w:rsidRPr="005978B5">
        <w:rPr>
          <w:rFonts w:ascii="Arial" w:eastAsia="Times New Roman" w:hAnsi="Arial" w:cs="Arial"/>
          <w:kern w:val="0"/>
          <w:lang w:eastAsia="en-GB"/>
          <w14:ligatures w14:val="none"/>
        </w:rPr>
        <w:t xml:space="preserve">, J.C., Pavkov, M.E., </w:t>
      </w:r>
      <w:proofErr w:type="spellStart"/>
      <w:r w:rsidRPr="005978B5">
        <w:rPr>
          <w:rFonts w:ascii="Arial" w:eastAsia="Times New Roman" w:hAnsi="Arial" w:cs="Arial"/>
          <w:kern w:val="0"/>
          <w:lang w:eastAsia="en-GB"/>
          <w14:ligatures w14:val="none"/>
        </w:rPr>
        <w:t>Ramachandaran</w:t>
      </w:r>
      <w:proofErr w:type="spellEnd"/>
      <w:r w:rsidRPr="005978B5">
        <w:rPr>
          <w:rFonts w:ascii="Arial" w:eastAsia="Times New Roman" w:hAnsi="Arial" w:cs="Arial"/>
          <w:kern w:val="0"/>
          <w:lang w:eastAsia="en-GB"/>
          <w14:ligatures w14:val="none"/>
        </w:rPr>
        <w:t xml:space="preserve">, A., Wild, S.H., James, S., Herman, W.H., Zhang, P., Bommer, C., Kuo, S., Boyko, E.J. and Magliano, D.J. (2022) 'IDF Diabetes Atlas: global, regional and country-level diabetes prevalence estimates for 2021 and projections for 2045', </w:t>
      </w:r>
      <w:r w:rsidRPr="005978B5">
        <w:rPr>
          <w:rFonts w:ascii="Arial" w:eastAsia="Times New Roman" w:hAnsi="Arial" w:cs="Arial"/>
          <w:i/>
          <w:iCs/>
          <w:kern w:val="0"/>
          <w:lang w:eastAsia="en-GB"/>
          <w14:ligatures w14:val="none"/>
        </w:rPr>
        <w:t>Diabetes Research and Clinical Practice</w:t>
      </w:r>
      <w:r w:rsidRPr="005978B5">
        <w:rPr>
          <w:rFonts w:ascii="Arial" w:eastAsia="Times New Roman" w:hAnsi="Arial" w:cs="Arial"/>
          <w:kern w:val="0"/>
          <w:lang w:eastAsia="en-GB"/>
          <w14:ligatures w14:val="none"/>
        </w:rPr>
        <w:t>, 183, article 109119.</w:t>
      </w:r>
    </w:p>
    <w:p w14:paraId="6741CD96" w14:textId="2FE4F950"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Thomas, J. and Harden, A. (2008) 'Methods for the thematic synthesis of qualitative research in systematic reviews', </w:t>
      </w:r>
      <w:r w:rsidRPr="005978B5">
        <w:rPr>
          <w:rFonts w:ascii="Arial" w:eastAsia="Times New Roman" w:hAnsi="Arial" w:cs="Arial"/>
          <w:i/>
          <w:iCs/>
          <w:kern w:val="0"/>
          <w:lang w:eastAsia="en-GB"/>
          <w14:ligatures w14:val="none"/>
        </w:rPr>
        <w:t>BMC Medical Research Methodology</w:t>
      </w:r>
      <w:r w:rsidRPr="005978B5">
        <w:rPr>
          <w:rFonts w:ascii="Arial" w:eastAsia="Times New Roman" w:hAnsi="Arial" w:cs="Arial"/>
          <w:kern w:val="0"/>
          <w:lang w:eastAsia="en-GB"/>
          <w14:ligatures w14:val="none"/>
        </w:rPr>
        <w:t xml:space="preserve">, 8(1), article 45. </w:t>
      </w:r>
    </w:p>
    <w:p w14:paraId="2079C9F3" w14:textId="7E3D47B4"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Tillin</w:t>
      </w:r>
      <w:proofErr w:type="spellEnd"/>
      <w:r w:rsidRPr="005978B5">
        <w:rPr>
          <w:rFonts w:ascii="Arial" w:eastAsia="Times New Roman" w:hAnsi="Arial" w:cs="Arial"/>
          <w:kern w:val="0"/>
          <w:lang w:eastAsia="en-GB"/>
          <w14:ligatures w14:val="none"/>
        </w:rPr>
        <w:t xml:space="preserve">, T., Hughes, A.D., </w:t>
      </w:r>
      <w:proofErr w:type="spellStart"/>
      <w:r w:rsidRPr="005978B5">
        <w:rPr>
          <w:rFonts w:ascii="Arial" w:eastAsia="Times New Roman" w:hAnsi="Arial" w:cs="Arial"/>
          <w:kern w:val="0"/>
          <w:lang w:eastAsia="en-GB"/>
          <w14:ligatures w14:val="none"/>
        </w:rPr>
        <w:t>Godsland</w:t>
      </w:r>
      <w:proofErr w:type="spellEnd"/>
      <w:r w:rsidRPr="005978B5">
        <w:rPr>
          <w:rFonts w:ascii="Arial" w:eastAsia="Times New Roman" w:hAnsi="Arial" w:cs="Arial"/>
          <w:kern w:val="0"/>
          <w:lang w:eastAsia="en-GB"/>
          <w14:ligatures w14:val="none"/>
        </w:rPr>
        <w:t xml:space="preserve">, I.F., Whincup, P., </w:t>
      </w:r>
      <w:proofErr w:type="spellStart"/>
      <w:r w:rsidRPr="005978B5">
        <w:rPr>
          <w:rFonts w:ascii="Arial" w:eastAsia="Times New Roman" w:hAnsi="Arial" w:cs="Arial"/>
          <w:kern w:val="0"/>
          <w:lang w:eastAsia="en-GB"/>
          <w14:ligatures w14:val="none"/>
        </w:rPr>
        <w:t>Forouhi</w:t>
      </w:r>
      <w:proofErr w:type="spellEnd"/>
      <w:r w:rsidRPr="005978B5">
        <w:rPr>
          <w:rFonts w:ascii="Arial" w:eastAsia="Times New Roman" w:hAnsi="Arial" w:cs="Arial"/>
          <w:kern w:val="0"/>
          <w:lang w:eastAsia="en-GB"/>
          <w14:ligatures w14:val="none"/>
        </w:rPr>
        <w:t xml:space="preserve">, N.G., Welsh, P., Sattar, N., McKeigue, P.M. and Chaturvedi, N. (2013) 'Insulin resistance and truncal obesity as important determinants of the greater incidence of diabetes in Indian Asians and African Caribbeans compared with Europeans: the Southall And Brent </w:t>
      </w:r>
      <w:proofErr w:type="spellStart"/>
      <w:r w:rsidRPr="005978B5">
        <w:rPr>
          <w:rFonts w:ascii="Arial" w:eastAsia="Times New Roman" w:hAnsi="Arial" w:cs="Arial"/>
          <w:kern w:val="0"/>
          <w:lang w:eastAsia="en-GB"/>
          <w14:ligatures w14:val="none"/>
        </w:rPr>
        <w:t>REvisited</w:t>
      </w:r>
      <w:proofErr w:type="spellEnd"/>
      <w:r w:rsidRPr="005978B5">
        <w:rPr>
          <w:rFonts w:ascii="Arial" w:eastAsia="Times New Roman" w:hAnsi="Arial" w:cs="Arial"/>
          <w:kern w:val="0"/>
          <w:lang w:eastAsia="en-GB"/>
          <w14:ligatures w14:val="none"/>
        </w:rPr>
        <w:t xml:space="preserve"> (SABRE) cohort', </w:t>
      </w:r>
      <w:r w:rsidRPr="005978B5">
        <w:rPr>
          <w:rFonts w:ascii="Arial" w:eastAsia="Times New Roman" w:hAnsi="Arial" w:cs="Arial"/>
          <w:i/>
          <w:iCs/>
          <w:kern w:val="0"/>
          <w:lang w:eastAsia="en-GB"/>
          <w14:ligatures w14:val="none"/>
        </w:rPr>
        <w:t>Diabetes Care</w:t>
      </w:r>
      <w:r w:rsidRPr="005978B5">
        <w:rPr>
          <w:rFonts w:ascii="Arial" w:eastAsia="Times New Roman" w:hAnsi="Arial" w:cs="Arial"/>
          <w:kern w:val="0"/>
          <w:lang w:eastAsia="en-GB"/>
          <w14:ligatures w14:val="none"/>
        </w:rPr>
        <w:t>, 36(2), pp. 383–393.</w:t>
      </w:r>
    </w:p>
    <w:p w14:paraId="7B453509" w14:textId="0FF4B5D6"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lastRenderedPageBreak/>
        <w:t xml:space="preserve">Uday, S. (2025) 'Editorial: ethnic inequalities in diabetes care and outcomes', </w:t>
      </w:r>
      <w:r w:rsidRPr="005978B5">
        <w:rPr>
          <w:rFonts w:ascii="Arial" w:eastAsia="Times New Roman" w:hAnsi="Arial" w:cs="Arial"/>
          <w:i/>
          <w:iCs/>
          <w:kern w:val="0"/>
          <w:lang w:eastAsia="en-GB"/>
          <w14:ligatures w14:val="none"/>
        </w:rPr>
        <w:t>Frontiers in Clinical Diabetes and Healthcare</w:t>
      </w:r>
      <w:r w:rsidRPr="005978B5">
        <w:rPr>
          <w:rFonts w:ascii="Arial" w:eastAsia="Times New Roman" w:hAnsi="Arial" w:cs="Arial"/>
          <w:kern w:val="0"/>
          <w:lang w:eastAsia="en-GB"/>
          <w14:ligatures w14:val="none"/>
        </w:rPr>
        <w:t xml:space="preserve">, 6, article 1595078. </w:t>
      </w:r>
    </w:p>
    <w:p w14:paraId="29108F3C" w14:textId="39F08685"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Valabhji, J., Barron, E., Bradley, D., </w:t>
      </w:r>
      <w:proofErr w:type="spellStart"/>
      <w:r w:rsidRPr="005978B5">
        <w:rPr>
          <w:rFonts w:ascii="Arial" w:eastAsia="Times New Roman" w:hAnsi="Arial" w:cs="Arial"/>
          <w:kern w:val="0"/>
          <w:lang w:eastAsia="en-GB"/>
          <w14:ligatures w14:val="none"/>
        </w:rPr>
        <w:t>Bakhai</w:t>
      </w:r>
      <w:proofErr w:type="spellEnd"/>
      <w:r w:rsidRPr="005978B5">
        <w:rPr>
          <w:rFonts w:ascii="Arial" w:eastAsia="Times New Roman" w:hAnsi="Arial" w:cs="Arial"/>
          <w:kern w:val="0"/>
          <w:lang w:eastAsia="en-GB"/>
          <w14:ligatures w14:val="none"/>
        </w:rPr>
        <w:t xml:space="preserve">, C., Fagg, J., O'Neill, S., Young, B., Wareham, N.,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Jebb, S. and Smith, J. (2020) 'Early outcomes from the English National Health Service Diabetes Prevention Programme', </w:t>
      </w:r>
      <w:r w:rsidRPr="005978B5">
        <w:rPr>
          <w:rFonts w:ascii="Arial" w:eastAsia="Times New Roman" w:hAnsi="Arial" w:cs="Arial"/>
          <w:i/>
          <w:iCs/>
          <w:kern w:val="0"/>
          <w:lang w:eastAsia="en-GB"/>
          <w14:ligatures w14:val="none"/>
        </w:rPr>
        <w:t>Diabetes Care</w:t>
      </w:r>
      <w:r w:rsidRPr="005978B5">
        <w:rPr>
          <w:rFonts w:ascii="Arial" w:eastAsia="Times New Roman" w:hAnsi="Arial" w:cs="Arial"/>
          <w:kern w:val="0"/>
          <w:lang w:eastAsia="en-GB"/>
          <w14:ligatures w14:val="none"/>
        </w:rPr>
        <w:t xml:space="preserve">, 43(1), pp. 152–160. </w:t>
      </w:r>
    </w:p>
    <w:p w14:paraId="7B53B919" w14:textId="21A10A19"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van Daalen, K.R., Davey, F., Norman, C. and Ford, J.A. (2021) 'Health equity audits: a systematic review of the effectiveness', </w:t>
      </w:r>
      <w:r w:rsidRPr="005978B5">
        <w:rPr>
          <w:rFonts w:ascii="Arial" w:eastAsia="Times New Roman" w:hAnsi="Arial" w:cs="Arial"/>
          <w:i/>
          <w:iCs/>
          <w:kern w:val="0"/>
          <w:lang w:eastAsia="en-GB"/>
          <w14:ligatures w14:val="none"/>
        </w:rPr>
        <w:t>BMJ Open</w:t>
      </w:r>
      <w:r w:rsidRPr="005978B5">
        <w:rPr>
          <w:rFonts w:ascii="Arial" w:eastAsia="Times New Roman" w:hAnsi="Arial" w:cs="Arial"/>
          <w:kern w:val="0"/>
          <w:lang w:eastAsia="en-GB"/>
          <w14:ligatures w14:val="none"/>
        </w:rPr>
        <w:t>, 11(11), e053392.</w:t>
      </w:r>
    </w:p>
    <w:p w14:paraId="55F0FF26" w14:textId="3A0D2678"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Welch, V., Dewidar, O., Tanjong Ghogomu, E., Abdisalam, S., Al Ameer, A., Barbeau, V.I., Brand, K., </w:t>
      </w:r>
      <w:proofErr w:type="spellStart"/>
      <w:r w:rsidRPr="005978B5">
        <w:rPr>
          <w:rFonts w:ascii="Arial" w:eastAsia="Times New Roman" w:hAnsi="Arial" w:cs="Arial"/>
          <w:kern w:val="0"/>
          <w:lang w:eastAsia="en-GB"/>
          <w14:ligatures w14:val="none"/>
        </w:rPr>
        <w:t>Kebedom</w:t>
      </w:r>
      <w:proofErr w:type="spellEnd"/>
      <w:r w:rsidRPr="005978B5">
        <w:rPr>
          <w:rFonts w:ascii="Arial" w:eastAsia="Times New Roman" w:hAnsi="Arial" w:cs="Arial"/>
          <w:kern w:val="0"/>
          <w:lang w:eastAsia="en-GB"/>
          <w14:ligatures w14:val="none"/>
        </w:rPr>
        <w:t xml:space="preserve">, K., </w:t>
      </w:r>
      <w:proofErr w:type="spellStart"/>
      <w:r w:rsidRPr="005978B5">
        <w:rPr>
          <w:rFonts w:ascii="Arial" w:eastAsia="Times New Roman" w:hAnsi="Arial" w:cs="Arial"/>
          <w:kern w:val="0"/>
          <w:lang w:eastAsia="en-GB"/>
          <w14:ligatures w14:val="none"/>
        </w:rPr>
        <w:t>Benkhalti</w:t>
      </w:r>
      <w:proofErr w:type="spellEnd"/>
      <w:r w:rsidRPr="005978B5">
        <w:rPr>
          <w:rFonts w:ascii="Arial" w:eastAsia="Times New Roman" w:hAnsi="Arial" w:cs="Arial"/>
          <w:kern w:val="0"/>
          <w:lang w:eastAsia="en-GB"/>
          <w14:ligatures w14:val="none"/>
        </w:rPr>
        <w:t xml:space="preserve">, M., Kristjansson, E., Madani, M.T., Antequera Martín, A.M., Mathew, C.M., McGowan, J., McLeod, W., Park, H.A., Petkovic, J., Riddle, A., Tugwell, P., Petticrew, M., </w:t>
      </w:r>
      <w:proofErr w:type="spellStart"/>
      <w:r w:rsidRPr="005978B5">
        <w:rPr>
          <w:rFonts w:ascii="Arial" w:eastAsia="Times New Roman" w:hAnsi="Arial" w:cs="Arial"/>
          <w:kern w:val="0"/>
          <w:lang w:eastAsia="en-GB"/>
          <w14:ligatures w14:val="none"/>
        </w:rPr>
        <w:t>Trawin</w:t>
      </w:r>
      <w:proofErr w:type="spellEnd"/>
      <w:r w:rsidRPr="005978B5">
        <w:rPr>
          <w:rFonts w:ascii="Arial" w:eastAsia="Times New Roman" w:hAnsi="Arial" w:cs="Arial"/>
          <w:kern w:val="0"/>
          <w:lang w:eastAsia="en-GB"/>
          <w14:ligatures w14:val="none"/>
        </w:rPr>
        <w:t xml:space="preserve">, J. and Wells, G.A. (2022) 'How effects on health equity are assessed in systematic reviews of interventions', </w:t>
      </w:r>
      <w:r w:rsidRPr="005978B5">
        <w:rPr>
          <w:rFonts w:ascii="Arial" w:eastAsia="Times New Roman" w:hAnsi="Arial" w:cs="Arial"/>
          <w:i/>
          <w:iCs/>
          <w:kern w:val="0"/>
          <w:lang w:eastAsia="en-GB"/>
          <w14:ligatures w14:val="none"/>
        </w:rPr>
        <w:t>Cochrane Database of Systematic Reviews</w:t>
      </w:r>
      <w:r w:rsidRPr="005978B5">
        <w:rPr>
          <w:rFonts w:ascii="Arial" w:eastAsia="Times New Roman" w:hAnsi="Arial" w:cs="Arial"/>
          <w:kern w:val="0"/>
          <w:lang w:eastAsia="en-GB"/>
          <w14:ligatures w14:val="none"/>
        </w:rPr>
        <w:t xml:space="preserve">, Issue 1, MR000028. </w:t>
      </w:r>
    </w:p>
    <w:p w14:paraId="19793371" w14:textId="25899BB8"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Whelan, M. and Bell, L. (2022) 'The English National Health Service Diabetes Prevention Programme (NHS DPP): a scoping review of existing evidence',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xml:space="preserve">, 39(7), e14855. </w:t>
      </w:r>
    </w:p>
    <w:p w14:paraId="11001320" w14:textId="77777777" w:rsidR="00FB3A12" w:rsidRPr="005978B5" w:rsidRDefault="00FB3A12"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p>
    <w:p w14:paraId="59B73956" w14:textId="2B279851"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Whyte, M.B., Hinton, W., McGovern, A., van </w:t>
      </w:r>
      <w:proofErr w:type="spellStart"/>
      <w:r w:rsidRPr="005978B5">
        <w:rPr>
          <w:rFonts w:ascii="Arial" w:eastAsia="Times New Roman" w:hAnsi="Arial" w:cs="Arial"/>
          <w:kern w:val="0"/>
          <w:lang w:eastAsia="en-GB"/>
          <w14:ligatures w14:val="none"/>
        </w:rPr>
        <w:t>Vlymen</w:t>
      </w:r>
      <w:proofErr w:type="spellEnd"/>
      <w:r w:rsidRPr="005978B5">
        <w:rPr>
          <w:rFonts w:ascii="Arial" w:eastAsia="Times New Roman" w:hAnsi="Arial" w:cs="Arial"/>
          <w:kern w:val="0"/>
          <w:lang w:eastAsia="en-GB"/>
          <w14:ligatures w14:val="none"/>
        </w:rPr>
        <w:t xml:space="preserve">, J., Ferreira, F., Calderara, S., Mount, J., Munro, N. and de Lusignan, S. (2019) 'Disparities in glycaemic control, monitoring, and treatment of type 2 diabetes in England: a retrospective cohort analysis', </w:t>
      </w:r>
      <w:r w:rsidRPr="005978B5">
        <w:rPr>
          <w:rFonts w:ascii="Arial" w:eastAsia="Times New Roman" w:hAnsi="Arial" w:cs="Arial"/>
          <w:i/>
          <w:iCs/>
          <w:kern w:val="0"/>
          <w:lang w:eastAsia="en-GB"/>
          <w14:ligatures w14:val="none"/>
        </w:rPr>
        <w:t>PLOS Medicine</w:t>
      </w:r>
      <w:r w:rsidRPr="005978B5">
        <w:rPr>
          <w:rFonts w:ascii="Arial" w:eastAsia="Times New Roman" w:hAnsi="Arial" w:cs="Arial"/>
          <w:kern w:val="0"/>
          <w:lang w:eastAsia="en-GB"/>
          <w14:ligatures w14:val="none"/>
        </w:rPr>
        <w:t>, 16(10), e1002942.</w:t>
      </w:r>
    </w:p>
    <w:p w14:paraId="1F52CE7D" w14:textId="5612AC2E" w:rsidR="00FB3A12" w:rsidRPr="005978B5" w:rsidRDefault="00FB3A12"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hAnsi="Arial" w:cs="Arial"/>
        </w:rPr>
        <w:t xml:space="preserve">World Health Organization (2008) </w:t>
      </w:r>
      <w:r w:rsidRPr="005978B5">
        <w:rPr>
          <w:rStyle w:val="Emphasis"/>
          <w:rFonts w:ascii="Arial" w:hAnsi="Arial" w:cs="Arial"/>
        </w:rPr>
        <w:t>Closing the Gap in a Generation: Health Equity Through Action on the Social Determinants of Health.</w:t>
      </w:r>
      <w:r w:rsidRPr="005978B5">
        <w:rPr>
          <w:rFonts w:ascii="Arial" w:hAnsi="Arial" w:cs="Arial"/>
        </w:rPr>
        <w:t xml:space="preserve"> Geneva: World Health Organization. Available at: </w:t>
      </w:r>
      <w:hyperlink r:id="rId39" w:history="1">
        <w:r w:rsidRPr="005978B5">
          <w:rPr>
            <w:rStyle w:val="Hyperlink"/>
            <w:rFonts w:ascii="Arial" w:hAnsi="Arial" w:cs="Arial"/>
          </w:rPr>
          <w:t>https://www.who.int/publications/i/item/WHO-IER-CSDH-08.1</w:t>
        </w:r>
      </w:hyperlink>
      <w:r w:rsidRPr="005978B5">
        <w:rPr>
          <w:rFonts w:ascii="Arial" w:hAnsi="Arial" w:cs="Arial"/>
        </w:rPr>
        <w:t xml:space="preserve"> (Accessed: 15 May 2026).</w:t>
      </w:r>
    </w:p>
    <w:p w14:paraId="651F766D" w14:textId="290B374A"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Zeh, P., Sandhu, H.K., </w:t>
      </w:r>
      <w:proofErr w:type="spellStart"/>
      <w:r w:rsidRPr="005978B5">
        <w:rPr>
          <w:rFonts w:ascii="Arial" w:eastAsia="Times New Roman" w:hAnsi="Arial" w:cs="Arial"/>
          <w:kern w:val="0"/>
          <w:lang w:eastAsia="en-GB"/>
          <w14:ligatures w14:val="none"/>
        </w:rPr>
        <w:t>Cannaby</w:t>
      </w:r>
      <w:proofErr w:type="spellEnd"/>
      <w:r w:rsidRPr="005978B5">
        <w:rPr>
          <w:rFonts w:ascii="Arial" w:eastAsia="Times New Roman" w:hAnsi="Arial" w:cs="Arial"/>
          <w:kern w:val="0"/>
          <w:lang w:eastAsia="en-GB"/>
          <w14:ligatures w14:val="none"/>
        </w:rPr>
        <w:t xml:space="preserve">, A.M., Warwick, J. and Sturt, J.A. (2016) 'Exploring culturally competent primary care diabetes services: a single-city survey',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33(6), pp. 786–793.</w:t>
      </w:r>
    </w:p>
    <w:p w14:paraId="030F19CE" w14:textId="2E54DFE2"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Zeh, P., </w:t>
      </w:r>
      <w:proofErr w:type="spellStart"/>
      <w:r w:rsidRPr="005978B5">
        <w:rPr>
          <w:rFonts w:ascii="Arial" w:eastAsia="Times New Roman" w:hAnsi="Arial" w:cs="Arial"/>
          <w:kern w:val="0"/>
          <w:lang w:eastAsia="en-GB"/>
          <w14:ligatures w14:val="none"/>
        </w:rPr>
        <w:t>Cannaby</w:t>
      </w:r>
      <w:proofErr w:type="spellEnd"/>
      <w:r w:rsidRPr="005978B5">
        <w:rPr>
          <w:rFonts w:ascii="Arial" w:eastAsia="Times New Roman" w:hAnsi="Arial" w:cs="Arial"/>
          <w:kern w:val="0"/>
          <w:lang w:eastAsia="en-GB"/>
          <w14:ligatures w14:val="none"/>
        </w:rPr>
        <w:t xml:space="preserve">, A.M., Sandhu, H.K., Warwick, J. and Sturt, J.A. (2018) 'A cross-sectional survey of general practice health workers' perceptions of their provision of culturally </w:t>
      </w:r>
      <w:r w:rsidRPr="005978B5">
        <w:rPr>
          <w:rFonts w:ascii="Arial" w:eastAsia="Times New Roman" w:hAnsi="Arial" w:cs="Arial"/>
          <w:kern w:val="0"/>
          <w:lang w:eastAsia="en-GB"/>
          <w14:ligatures w14:val="none"/>
        </w:rPr>
        <w:lastRenderedPageBreak/>
        <w:t xml:space="preserve">competent services to ethnic minority people with diabetes', </w:t>
      </w:r>
      <w:r w:rsidRPr="005978B5">
        <w:rPr>
          <w:rFonts w:ascii="Arial" w:eastAsia="Times New Roman" w:hAnsi="Arial" w:cs="Arial"/>
          <w:i/>
          <w:iCs/>
          <w:kern w:val="0"/>
          <w:lang w:eastAsia="en-GB"/>
          <w14:ligatures w14:val="none"/>
        </w:rPr>
        <w:t>Primary Care Diabetes</w:t>
      </w:r>
      <w:r w:rsidRPr="005978B5">
        <w:rPr>
          <w:rFonts w:ascii="Arial" w:eastAsia="Times New Roman" w:hAnsi="Arial" w:cs="Arial"/>
          <w:kern w:val="0"/>
          <w:lang w:eastAsia="en-GB"/>
          <w14:ligatures w14:val="none"/>
        </w:rPr>
        <w:t>, 12(6), pp. 501–509.</w:t>
      </w:r>
    </w:p>
    <w:p w14:paraId="15D7A485" w14:textId="606FA213" w:rsidR="007D286C" w:rsidRPr="005978B5" w:rsidRDefault="007D286C" w:rsidP="00354518">
      <w:pPr>
        <w:spacing w:line="360" w:lineRule="auto"/>
        <w:jc w:val="both"/>
        <w:rPr>
          <w:rFonts w:ascii="Arial" w:hAnsi="Arial" w:cs="Arial"/>
        </w:rPr>
      </w:pPr>
    </w:p>
    <w:p w14:paraId="1689C4FE" w14:textId="77777777" w:rsidR="00F35B71" w:rsidRDefault="00F35B71">
      <w:pPr>
        <w:rPr>
          <w:rFonts w:ascii="Arial" w:eastAsia="Times New Roman" w:hAnsi="Arial" w:cs="Arial"/>
          <w:b/>
          <w:color w:val="000000"/>
        </w:rPr>
      </w:pPr>
      <w:r>
        <w:rPr>
          <w:rFonts w:ascii="Arial" w:hAnsi="Arial" w:cs="Arial"/>
        </w:rPr>
        <w:br w:type="page"/>
      </w:r>
    </w:p>
    <w:p w14:paraId="6E671E6A" w14:textId="00F6C900" w:rsidR="007D286C" w:rsidRPr="005978B5" w:rsidRDefault="00BB31B7" w:rsidP="00354518">
      <w:pPr>
        <w:pStyle w:val="Heading1"/>
        <w:spacing w:after="160" w:line="360" w:lineRule="auto"/>
        <w:ind w:left="12" w:right="0"/>
        <w:jc w:val="both"/>
        <w:rPr>
          <w:rFonts w:ascii="Arial" w:hAnsi="Arial" w:cs="Arial"/>
          <w:sz w:val="22"/>
        </w:rPr>
      </w:pPr>
      <w:bookmarkStart w:id="60" w:name="_Toc232173707"/>
      <w:r w:rsidRPr="005978B5">
        <w:rPr>
          <w:rFonts w:ascii="Arial" w:hAnsi="Arial" w:cs="Arial"/>
          <w:sz w:val="22"/>
        </w:rPr>
        <w:lastRenderedPageBreak/>
        <w:t>Appendix A</w:t>
      </w:r>
      <w:r w:rsidR="009F64C5" w:rsidRPr="005978B5">
        <w:rPr>
          <w:rFonts w:ascii="Arial" w:hAnsi="Arial" w:cs="Arial"/>
          <w:sz w:val="22"/>
        </w:rPr>
        <w:t>:</w:t>
      </w:r>
      <w:bookmarkEnd w:id="60"/>
      <w:r w:rsidR="009F64C5" w:rsidRPr="005978B5">
        <w:rPr>
          <w:rFonts w:ascii="Arial" w:hAnsi="Arial" w:cs="Arial"/>
          <w:sz w:val="22"/>
        </w:rPr>
        <w:t xml:space="preserve"> </w:t>
      </w:r>
      <w:r w:rsidR="009F64C5" w:rsidRPr="005978B5">
        <w:rPr>
          <w:rFonts w:ascii="Arial" w:eastAsia="Calibri" w:hAnsi="Arial" w:cs="Arial"/>
          <w:sz w:val="22"/>
        </w:rPr>
        <w:t xml:space="preserve"> </w:t>
      </w:r>
      <w:r w:rsidR="009F64C5" w:rsidRPr="005978B5">
        <w:rPr>
          <w:rFonts w:ascii="Arial" w:eastAsia="Calibri" w:hAnsi="Arial" w:cs="Arial"/>
          <w:sz w:val="22"/>
        </w:rPr>
        <w:tab/>
      </w:r>
      <w:r w:rsidR="009F64C5" w:rsidRPr="005978B5">
        <w:rPr>
          <w:rFonts w:ascii="Arial" w:hAnsi="Arial" w:cs="Arial"/>
          <w:sz w:val="22"/>
        </w:rPr>
        <w:t xml:space="preserve"> </w:t>
      </w:r>
    </w:p>
    <w:p w14:paraId="5EC3D0A5" w14:textId="1BC07CB3" w:rsidR="00E96E65" w:rsidRPr="005978B5" w:rsidRDefault="00674B58" w:rsidP="00B111E0">
      <w:pPr>
        <w:jc w:val="center"/>
        <w:rPr>
          <w:rFonts w:ascii="Arial" w:hAnsi="Arial" w:cs="Arial"/>
        </w:rPr>
      </w:pPr>
      <w:r>
        <w:rPr>
          <w:noProof/>
        </w:rPr>
        <w:drawing>
          <wp:inline distT="0" distB="0" distL="0" distR="0" wp14:anchorId="7F058119" wp14:editId="70A57A1C">
            <wp:extent cx="5731510" cy="6980555"/>
            <wp:effectExtent l="0" t="0" r="2540" b="0"/>
            <wp:docPr id="10774064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6980555"/>
                    </a:xfrm>
                    <a:prstGeom prst="rect">
                      <a:avLst/>
                    </a:prstGeom>
                    <a:noFill/>
                    <a:ln>
                      <a:noFill/>
                    </a:ln>
                  </pic:spPr>
                </pic:pic>
              </a:graphicData>
            </a:graphic>
          </wp:inline>
        </w:drawing>
      </w:r>
    </w:p>
    <w:p w14:paraId="4A5FC5E0" w14:textId="57370D4C" w:rsidR="00B111E0" w:rsidRPr="006E74A0" w:rsidRDefault="00B111E0" w:rsidP="006E74A0">
      <w:pPr>
        <w:spacing w:line="240" w:lineRule="auto"/>
        <w:jc w:val="center"/>
        <w:rPr>
          <w:rFonts w:ascii="Arial" w:hAnsi="Arial" w:cs="Arial"/>
          <w:sz w:val="18"/>
          <w:szCs w:val="18"/>
        </w:rPr>
      </w:pPr>
      <w:r w:rsidRPr="006E74A0">
        <w:rPr>
          <w:rFonts w:ascii="Arial" w:hAnsi="Arial" w:cs="Arial"/>
          <w:i/>
          <w:sz w:val="18"/>
          <w:szCs w:val="18"/>
        </w:rPr>
        <w:t xml:space="preserve"> PRISMA 2020 flow diagram documenting the identification, screening and inclusion of studies for this systematic review. Adapted from Page et al. (2021), BMJ, 372, n71.</w:t>
      </w:r>
    </w:p>
    <w:p w14:paraId="6F2C6D00" w14:textId="77777777" w:rsidR="007D286C" w:rsidRPr="005978B5" w:rsidRDefault="007D286C" w:rsidP="00354518">
      <w:pPr>
        <w:spacing w:line="360" w:lineRule="auto"/>
        <w:jc w:val="both"/>
        <w:rPr>
          <w:rFonts w:ascii="Arial" w:eastAsia="Times New Roman" w:hAnsi="Arial" w:cs="Arial"/>
          <w:b/>
          <w:color w:val="000000"/>
        </w:rPr>
      </w:pPr>
      <w:r w:rsidRPr="005978B5">
        <w:rPr>
          <w:rFonts w:ascii="Arial" w:hAnsi="Arial" w:cs="Arial"/>
        </w:rPr>
        <w:br w:type="page"/>
      </w:r>
    </w:p>
    <w:p w14:paraId="4E9F67F1" w14:textId="3379C68D" w:rsidR="009F64C5" w:rsidRPr="005978B5" w:rsidRDefault="00BB31B7" w:rsidP="00354518">
      <w:pPr>
        <w:pStyle w:val="Heading1"/>
        <w:spacing w:after="160" w:line="360" w:lineRule="auto"/>
        <w:ind w:left="12" w:right="0"/>
        <w:jc w:val="both"/>
        <w:rPr>
          <w:rFonts w:ascii="Arial" w:hAnsi="Arial" w:cs="Arial"/>
          <w:sz w:val="22"/>
        </w:rPr>
      </w:pPr>
      <w:bookmarkStart w:id="61" w:name="_Toc232173708"/>
      <w:r w:rsidRPr="005978B5">
        <w:rPr>
          <w:rFonts w:ascii="Arial" w:hAnsi="Arial" w:cs="Arial"/>
          <w:sz w:val="22"/>
        </w:rPr>
        <w:lastRenderedPageBreak/>
        <w:t>Appendix B</w:t>
      </w:r>
      <w:r w:rsidR="009F64C5" w:rsidRPr="005978B5">
        <w:rPr>
          <w:rFonts w:ascii="Arial" w:hAnsi="Arial" w:cs="Arial"/>
          <w:sz w:val="22"/>
        </w:rPr>
        <w:t>:</w:t>
      </w:r>
      <w:bookmarkEnd w:id="61"/>
      <w:r w:rsidR="009F64C5" w:rsidRPr="005978B5">
        <w:rPr>
          <w:rFonts w:ascii="Arial" w:hAnsi="Arial" w:cs="Arial"/>
          <w:sz w:val="22"/>
        </w:rPr>
        <w:t xml:space="preserve"> </w:t>
      </w:r>
    </w:p>
    <w:p w14:paraId="546377F8" w14:textId="39691134" w:rsidR="009F64C5" w:rsidRPr="005978B5" w:rsidRDefault="008D4561" w:rsidP="00354518">
      <w:pPr>
        <w:spacing w:line="360" w:lineRule="auto"/>
        <w:jc w:val="both"/>
        <w:rPr>
          <w:rFonts w:ascii="Arial" w:hAnsi="Arial" w:cs="Arial"/>
        </w:rPr>
      </w:pPr>
      <w:r w:rsidRPr="005978B5">
        <w:rPr>
          <w:rFonts w:ascii="Arial" w:hAnsi="Arial" w:cs="Arial"/>
          <w:b/>
        </w:rPr>
        <w:t>Table B1 — Qualitative Studies (n = 6) — CASP Qualitative Checklist</w:t>
      </w:r>
    </w:p>
    <w:tbl>
      <w:tblPr>
        <w:tblW w:w="102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99"/>
        <w:gridCol w:w="817"/>
        <w:gridCol w:w="840"/>
        <w:gridCol w:w="761"/>
        <w:gridCol w:w="833"/>
        <w:gridCol w:w="817"/>
        <w:gridCol w:w="928"/>
        <w:gridCol w:w="850"/>
        <w:gridCol w:w="851"/>
        <w:gridCol w:w="992"/>
        <w:gridCol w:w="1417"/>
      </w:tblGrid>
      <w:tr w:rsidR="00144F46" w:rsidRPr="00F35B71" w14:paraId="67184804" w14:textId="77777777" w:rsidTr="003C477A">
        <w:trPr>
          <w:tblHeader/>
        </w:trPr>
        <w:tc>
          <w:tcPr>
            <w:tcW w:w="1099" w:type="dxa"/>
            <w:shd w:val="clear" w:color="auto" w:fill="0D2B4E"/>
            <w:tcMar>
              <w:top w:w="80" w:type="dxa"/>
              <w:left w:w="120" w:type="dxa"/>
              <w:bottom w:w="80" w:type="dxa"/>
              <w:right w:w="120" w:type="dxa"/>
            </w:tcMar>
            <w:vAlign w:val="center"/>
          </w:tcPr>
          <w:p w14:paraId="19C38B25" w14:textId="77777777" w:rsidR="002138E5" w:rsidRPr="00F35B71" w:rsidRDefault="002138E5" w:rsidP="00F35B71">
            <w:pPr>
              <w:spacing w:line="240" w:lineRule="auto"/>
              <w:rPr>
                <w:rFonts w:ascii="Arial" w:hAnsi="Arial" w:cs="Arial"/>
                <w:sz w:val="18"/>
                <w:szCs w:val="18"/>
              </w:rPr>
            </w:pPr>
            <w:r w:rsidRPr="00F35B71">
              <w:rPr>
                <w:rFonts w:ascii="Arial" w:eastAsia="Arial" w:hAnsi="Arial" w:cs="Arial"/>
                <w:b/>
                <w:bCs/>
                <w:color w:val="FFFFFF"/>
                <w:sz w:val="18"/>
                <w:szCs w:val="18"/>
              </w:rPr>
              <w:t>Author(s) &amp; Year</w:t>
            </w:r>
          </w:p>
        </w:tc>
        <w:tc>
          <w:tcPr>
            <w:tcW w:w="817" w:type="dxa"/>
            <w:shd w:val="clear" w:color="auto" w:fill="0D2B4E"/>
            <w:tcMar>
              <w:top w:w="60" w:type="dxa"/>
              <w:left w:w="80" w:type="dxa"/>
              <w:bottom w:w="60" w:type="dxa"/>
              <w:right w:w="80" w:type="dxa"/>
            </w:tcMar>
            <w:vAlign w:val="center"/>
          </w:tcPr>
          <w:p w14:paraId="7DBDCB07"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Q1 Aims</w:t>
            </w:r>
          </w:p>
        </w:tc>
        <w:tc>
          <w:tcPr>
            <w:tcW w:w="840" w:type="dxa"/>
            <w:shd w:val="clear" w:color="auto" w:fill="0D2B4E"/>
            <w:tcMar>
              <w:top w:w="60" w:type="dxa"/>
              <w:left w:w="80" w:type="dxa"/>
              <w:bottom w:w="60" w:type="dxa"/>
              <w:right w:w="80" w:type="dxa"/>
            </w:tcMar>
            <w:vAlign w:val="center"/>
          </w:tcPr>
          <w:p w14:paraId="7522BB68"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Q2 Method</w:t>
            </w:r>
          </w:p>
        </w:tc>
        <w:tc>
          <w:tcPr>
            <w:tcW w:w="761" w:type="dxa"/>
            <w:shd w:val="clear" w:color="auto" w:fill="0D2B4E"/>
            <w:tcMar>
              <w:top w:w="60" w:type="dxa"/>
              <w:left w:w="80" w:type="dxa"/>
              <w:bottom w:w="60" w:type="dxa"/>
              <w:right w:w="80" w:type="dxa"/>
            </w:tcMar>
            <w:vAlign w:val="center"/>
          </w:tcPr>
          <w:p w14:paraId="507C8C53"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Q3 Design</w:t>
            </w:r>
          </w:p>
        </w:tc>
        <w:tc>
          <w:tcPr>
            <w:tcW w:w="833" w:type="dxa"/>
            <w:shd w:val="clear" w:color="auto" w:fill="0D2B4E"/>
            <w:tcMar>
              <w:top w:w="60" w:type="dxa"/>
              <w:left w:w="80" w:type="dxa"/>
              <w:bottom w:w="60" w:type="dxa"/>
              <w:right w:w="80" w:type="dxa"/>
            </w:tcMar>
            <w:vAlign w:val="center"/>
          </w:tcPr>
          <w:p w14:paraId="55203C9E"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Q4 Recruit</w:t>
            </w:r>
          </w:p>
        </w:tc>
        <w:tc>
          <w:tcPr>
            <w:tcW w:w="817" w:type="dxa"/>
            <w:shd w:val="clear" w:color="auto" w:fill="0D2B4E"/>
            <w:tcMar>
              <w:top w:w="60" w:type="dxa"/>
              <w:left w:w="80" w:type="dxa"/>
              <w:bottom w:w="60" w:type="dxa"/>
              <w:right w:w="80" w:type="dxa"/>
            </w:tcMar>
            <w:vAlign w:val="center"/>
          </w:tcPr>
          <w:p w14:paraId="50C26BE3"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Q5 Data Coll.</w:t>
            </w:r>
          </w:p>
        </w:tc>
        <w:tc>
          <w:tcPr>
            <w:tcW w:w="928" w:type="dxa"/>
            <w:shd w:val="clear" w:color="auto" w:fill="0D2B4E"/>
            <w:tcMar>
              <w:top w:w="60" w:type="dxa"/>
              <w:left w:w="80" w:type="dxa"/>
              <w:bottom w:w="60" w:type="dxa"/>
              <w:right w:w="80" w:type="dxa"/>
            </w:tcMar>
            <w:vAlign w:val="center"/>
          </w:tcPr>
          <w:p w14:paraId="4DB1D249"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Q6 Reflexivity</w:t>
            </w:r>
          </w:p>
        </w:tc>
        <w:tc>
          <w:tcPr>
            <w:tcW w:w="850" w:type="dxa"/>
            <w:shd w:val="clear" w:color="auto" w:fill="0D2B4E"/>
            <w:tcMar>
              <w:top w:w="60" w:type="dxa"/>
              <w:left w:w="80" w:type="dxa"/>
              <w:bottom w:w="60" w:type="dxa"/>
              <w:right w:w="80" w:type="dxa"/>
            </w:tcMar>
            <w:vAlign w:val="center"/>
          </w:tcPr>
          <w:p w14:paraId="39DD06CC"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Q7 Ethics</w:t>
            </w:r>
          </w:p>
        </w:tc>
        <w:tc>
          <w:tcPr>
            <w:tcW w:w="851" w:type="dxa"/>
            <w:shd w:val="clear" w:color="auto" w:fill="0D2B4E"/>
            <w:tcMar>
              <w:top w:w="60" w:type="dxa"/>
              <w:left w:w="80" w:type="dxa"/>
              <w:bottom w:w="60" w:type="dxa"/>
              <w:right w:w="80" w:type="dxa"/>
            </w:tcMar>
            <w:vAlign w:val="center"/>
          </w:tcPr>
          <w:p w14:paraId="6F5A9680"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Q8 Analysis</w:t>
            </w:r>
          </w:p>
        </w:tc>
        <w:tc>
          <w:tcPr>
            <w:tcW w:w="992" w:type="dxa"/>
            <w:shd w:val="clear" w:color="auto" w:fill="0D2B4E"/>
            <w:tcMar>
              <w:top w:w="60" w:type="dxa"/>
              <w:left w:w="80" w:type="dxa"/>
              <w:bottom w:w="60" w:type="dxa"/>
              <w:right w:w="80" w:type="dxa"/>
            </w:tcMar>
            <w:vAlign w:val="center"/>
          </w:tcPr>
          <w:p w14:paraId="014C96E7"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Q9 Findings</w:t>
            </w:r>
          </w:p>
        </w:tc>
        <w:tc>
          <w:tcPr>
            <w:tcW w:w="1417" w:type="dxa"/>
            <w:shd w:val="clear" w:color="auto" w:fill="0D2B4E"/>
            <w:tcMar>
              <w:top w:w="60" w:type="dxa"/>
              <w:left w:w="80" w:type="dxa"/>
              <w:bottom w:w="60" w:type="dxa"/>
              <w:right w:w="80" w:type="dxa"/>
            </w:tcMar>
            <w:vAlign w:val="center"/>
          </w:tcPr>
          <w:p w14:paraId="7245CCB2"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Overall Quality</w:t>
            </w:r>
          </w:p>
        </w:tc>
      </w:tr>
      <w:tr w:rsidR="00144F46" w:rsidRPr="00F35B71" w14:paraId="0AA3601B" w14:textId="77777777" w:rsidTr="003C477A">
        <w:tc>
          <w:tcPr>
            <w:tcW w:w="1099" w:type="dxa"/>
            <w:shd w:val="clear" w:color="auto" w:fill="FFFFFF"/>
            <w:tcMar>
              <w:top w:w="80" w:type="dxa"/>
              <w:left w:w="120" w:type="dxa"/>
              <w:bottom w:w="80" w:type="dxa"/>
              <w:right w:w="120" w:type="dxa"/>
            </w:tcMar>
            <w:vAlign w:val="center"/>
          </w:tcPr>
          <w:p w14:paraId="4C361BA6" w14:textId="77777777" w:rsidR="002138E5" w:rsidRPr="00F35B71" w:rsidRDefault="002138E5" w:rsidP="00F35B71">
            <w:pPr>
              <w:spacing w:line="240" w:lineRule="auto"/>
              <w:rPr>
                <w:rFonts w:ascii="Arial" w:hAnsi="Arial" w:cs="Arial"/>
                <w:sz w:val="18"/>
                <w:szCs w:val="18"/>
              </w:rPr>
            </w:pPr>
            <w:proofErr w:type="spellStart"/>
            <w:r w:rsidRPr="00F35B71">
              <w:rPr>
                <w:rFonts w:ascii="Arial" w:eastAsia="Arial" w:hAnsi="Arial" w:cs="Arial"/>
                <w:b/>
                <w:bCs/>
                <w:color w:val="0D2B4E"/>
                <w:sz w:val="18"/>
                <w:szCs w:val="18"/>
              </w:rPr>
              <w:t>Pardhan</w:t>
            </w:r>
            <w:proofErr w:type="spellEnd"/>
            <w:r w:rsidRPr="00F35B71">
              <w:rPr>
                <w:rFonts w:ascii="Arial" w:eastAsia="Arial" w:hAnsi="Arial" w:cs="Arial"/>
                <w:b/>
                <w:bCs/>
                <w:color w:val="0D2B4E"/>
                <w:sz w:val="18"/>
                <w:szCs w:val="18"/>
              </w:rPr>
              <w:t xml:space="preserve"> et al. (2020)</w:t>
            </w:r>
          </w:p>
        </w:tc>
        <w:tc>
          <w:tcPr>
            <w:tcW w:w="817" w:type="dxa"/>
            <w:shd w:val="clear" w:color="auto" w:fill="E8F5E9"/>
            <w:tcMar>
              <w:top w:w="60" w:type="dxa"/>
              <w:left w:w="80" w:type="dxa"/>
              <w:bottom w:w="60" w:type="dxa"/>
              <w:right w:w="80" w:type="dxa"/>
            </w:tcMar>
            <w:vAlign w:val="center"/>
          </w:tcPr>
          <w:p w14:paraId="52CF956E"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40" w:type="dxa"/>
            <w:shd w:val="clear" w:color="auto" w:fill="E8F5E9"/>
            <w:tcMar>
              <w:top w:w="60" w:type="dxa"/>
              <w:left w:w="80" w:type="dxa"/>
              <w:bottom w:w="60" w:type="dxa"/>
              <w:right w:w="80" w:type="dxa"/>
            </w:tcMar>
            <w:vAlign w:val="center"/>
          </w:tcPr>
          <w:p w14:paraId="00A48CE8"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761" w:type="dxa"/>
            <w:shd w:val="clear" w:color="auto" w:fill="E8F5E9"/>
            <w:tcMar>
              <w:top w:w="60" w:type="dxa"/>
              <w:left w:w="80" w:type="dxa"/>
              <w:bottom w:w="60" w:type="dxa"/>
              <w:right w:w="80" w:type="dxa"/>
            </w:tcMar>
            <w:vAlign w:val="center"/>
          </w:tcPr>
          <w:p w14:paraId="43BE61FE"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33" w:type="dxa"/>
            <w:shd w:val="clear" w:color="auto" w:fill="E8F5E9"/>
            <w:tcMar>
              <w:top w:w="60" w:type="dxa"/>
              <w:left w:w="80" w:type="dxa"/>
              <w:bottom w:w="60" w:type="dxa"/>
              <w:right w:w="80" w:type="dxa"/>
            </w:tcMar>
            <w:vAlign w:val="center"/>
          </w:tcPr>
          <w:p w14:paraId="79C23293"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17" w:type="dxa"/>
            <w:shd w:val="clear" w:color="auto" w:fill="E8F5E9"/>
            <w:tcMar>
              <w:top w:w="60" w:type="dxa"/>
              <w:left w:w="80" w:type="dxa"/>
              <w:bottom w:w="60" w:type="dxa"/>
              <w:right w:w="80" w:type="dxa"/>
            </w:tcMar>
            <w:vAlign w:val="center"/>
          </w:tcPr>
          <w:p w14:paraId="2A1B2CE3"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28" w:type="dxa"/>
            <w:shd w:val="clear" w:color="auto" w:fill="FFF8E1"/>
            <w:tcMar>
              <w:top w:w="60" w:type="dxa"/>
              <w:left w:w="80" w:type="dxa"/>
              <w:bottom w:w="60" w:type="dxa"/>
              <w:right w:w="80" w:type="dxa"/>
            </w:tcMar>
            <w:vAlign w:val="center"/>
          </w:tcPr>
          <w:p w14:paraId="6F95C120"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50" w:type="dxa"/>
            <w:shd w:val="clear" w:color="auto" w:fill="E8F5E9"/>
            <w:tcMar>
              <w:top w:w="60" w:type="dxa"/>
              <w:left w:w="80" w:type="dxa"/>
              <w:bottom w:w="60" w:type="dxa"/>
              <w:right w:w="80" w:type="dxa"/>
            </w:tcMar>
            <w:vAlign w:val="center"/>
          </w:tcPr>
          <w:p w14:paraId="5F1EDF76"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51" w:type="dxa"/>
            <w:shd w:val="clear" w:color="auto" w:fill="E8F5E9"/>
            <w:tcMar>
              <w:top w:w="60" w:type="dxa"/>
              <w:left w:w="80" w:type="dxa"/>
              <w:bottom w:w="60" w:type="dxa"/>
              <w:right w:w="80" w:type="dxa"/>
            </w:tcMar>
            <w:vAlign w:val="center"/>
          </w:tcPr>
          <w:p w14:paraId="3E6F8F01"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92" w:type="dxa"/>
            <w:shd w:val="clear" w:color="auto" w:fill="E8F5E9"/>
            <w:tcMar>
              <w:top w:w="60" w:type="dxa"/>
              <w:left w:w="80" w:type="dxa"/>
              <w:bottom w:w="60" w:type="dxa"/>
              <w:right w:w="80" w:type="dxa"/>
            </w:tcMar>
            <w:vAlign w:val="center"/>
          </w:tcPr>
          <w:p w14:paraId="58CDEABC"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1417" w:type="dxa"/>
            <w:shd w:val="clear" w:color="auto" w:fill="2E7D32"/>
            <w:tcMar>
              <w:top w:w="60" w:type="dxa"/>
              <w:left w:w="80" w:type="dxa"/>
              <w:bottom w:w="60" w:type="dxa"/>
              <w:right w:w="80" w:type="dxa"/>
            </w:tcMar>
            <w:vAlign w:val="center"/>
          </w:tcPr>
          <w:p w14:paraId="6EB3122C"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High</w:t>
            </w:r>
          </w:p>
        </w:tc>
      </w:tr>
      <w:tr w:rsidR="00144F46" w:rsidRPr="00F35B71" w14:paraId="029C9CFE" w14:textId="77777777" w:rsidTr="003C477A">
        <w:tc>
          <w:tcPr>
            <w:tcW w:w="1099" w:type="dxa"/>
            <w:shd w:val="clear" w:color="auto" w:fill="EDF2F7"/>
            <w:tcMar>
              <w:top w:w="80" w:type="dxa"/>
              <w:left w:w="120" w:type="dxa"/>
              <w:bottom w:w="80" w:type="dxa"/>
              <w:right w:w="120" w:type="dxa"/>
            </w:tcMar>
            <w:vAlign w:val="center"/>
          </w:tcPr>
          <w:p w14:paraId="676034B3" w14:textId="77777777" w:rsidR="002138E5" w:rsidRPr="00F35B71" w:rsidRDefault="002138E5" w:rsidP="00F35B71">
            <w:pPr>
              <w:spacing w:line="240" w:lineRule="auto"/>
              <w:rPr>
                <w:rFonts w:ascii="Arial" w:hAnsi="Arial" w:cs="Arial"/>
                <w:sz w:val="18"/>
                <w:szCs w:val="18"/>
              </w:rPr>
            </w:pPr>
            <w:r w:rsidRPr="00F35B71">
              <w:rPr>
                <w:rFonts w:ascii="Arial" w:eastAsia="Arial" w:hAnsi="Arial" w:cs="Arial"/>
                <w:b/>
                <w:bCs/>
                <w:color w:val="0D2B4E"/>
                <w:sz w:val="18"/>
                <w:szCs w:val="18"/>
              </w:rPr>
              <w:t>Patel et al. (2015a)</w:t>
            </w:r>
          </w:p>
        </w:tc>
        <w:tc>
          <w:tcPr>
            <w:tcW w:w="817" w:type="dxa"/>
            <w:shd w:val="clear" w:color="auto" w:fill="E8F5E9"/>
            <w:tcMar>
              <w:top w:w="60" w:type="dxa"/>
              <w:left w:w="80" w:type="dxa"/>
              <w:bottom w:w="60" w:type="dxa"/>
              <w:right w:w="80" w:type="dxa"/>
            </w:tcMar>
            <w:vAlign w:val="center"/>
          </w:tcPr>
          <w:p w14:paraId="70D2B774"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40" w:type="dxa"/>
            <w:shd w:val="clear" w:color="auto" w:fill="E8F5E9"/>
            <w:tcMar>
              <w:top w:w="60" w:type="dxa"/>
              <w:left w:w="80" w:type="dxa"/>
              <w:bottom w:w="60" w:type="dxa"/>
              <w:right w:w="80" w:type="dxa"/>
            </w:tcMar>
            <w:vAlign w:val="center"/>
          </w:tcPr>
          <w:p w14:paraId="5ED4C3B7"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761" w:type="dxa"/>
            <w:shd w:val="clear" w:color="auto" w:fill="E8F5E9"/>
            <w:tcMar>
              <w:top w:w="60" w:type="dxa"/>
              <w:left w:w="80" w:type="dxa"/>
              <w:bottom w:w="60" w:type="dxa"/>
              <w:right w:w="80" w:type="dxa"/>
            </w:tcMar>
            <w:vAlign w:val="center"/>
          </w:tcPr>
          <w:p w14:paraId="236536F2"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33" w:type="dxa"/>
            <w:shd w:val="clear" w:color="auto" w:fill="E8F5E9"/>
            <w:tcMar>
              <w:top w:w="60" w:type="dxa"/>
              <w:left w:w="80" w:type="dxa"/>
              <w:bottom w:w="60" w:type="dxa"/>
              <w:right w:w="80" w:type="dxa"/>
            </w:tcMar>
            <w:vAlign w:val="center"/>
          </w:tcPr>
          <w:p w14:paraId="7CF9B83A"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17" w:type="dxa"/>
            <w:shd w:val="clear" w:color="auto" w:fill="E8F5E9"/>
            <w:tcMar>
              <w:top w:w="60" w:type="dxa"/>
              <w:left w:w="80" w:type="dxa"/>
              <w:bottom w:w="60" w:type="dxa"/>
              <w:right w:w="80" w:type="dxa"/>
            </w:tcMar>
            <w:vAlign w:val="center"/>
          </w:tcPr>
          <w:p w14:paraId="131D92DE"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28" w:type="dxa"/>
            <w:shd w:val="clear" w:color="auto" w:fill="FFF8E1"/>
            <w:tcMar>
              <w:top w:w="60" w:type="dxa"/>
              <w:left w:w="80" w:type="dxa"/>
              <w:bottom w:w="60" w:type="dxa"/>
              <w:right w:w="80" w:type="dxa"/>
            </w:tcMar>
            <w:vAlign w:val="center"/>
          </w:tcPr>
          <w:p w14:paraId="7098039F"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50" w:type="dxa"/>
            <w:shd w:val="clear" w:color="auto" w:fill="E8F5E9"/>
            <w:tcMar>
              <w:top w:w="60" w:type="dxa"/>
              <w:left w:w="80" w:type="dxa"/>
              <w:bottom w:w="60" w:type="dxa"/>
              <w:right w:w="80" w:type="dxa"/>
            </w:tcMar>
            <w:vAlign w:val="center"/>
          </w:tcPr>
          <w:p w14:paraId="12CFD4B7"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51" w:type="dxa"/>
            <w:shd w:val="clear" w:color="auto" w:fill="FFF8E1"/>
            <w:tcMar>
              <w:top w:w="60" w:type="dxa"/>
              <w:left w:w="80" w:type="dxa"/>
              <w:bottom w:w="60" w:type="dxa"/>
              <w:right w:w="80" w:type="dxa"/>
            </w:tcMar>
            <w:vAlign w:val="center"/>
          </w:tcPr>
          <w:p w14:paraId="4A201DF6"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992" w:type="dxa"/>
            <w:shd w:val="clear" w:color="auto" w:fill="E8F5E9"/>
            <w:tcMar>
              <w:top w:w="60" w:type="dxa"/>
              <w:left w:w="80" w:type="dxa"/>
              <w:bottom w:w="60" w:type="dxa"/>
              <w:right w:w="80" w:type="dxa"/>
            </w:tcMar>
            <w:vAlign w:val="center"/>
          </w:tcPr>
          <w:p w14:paraId="4D2A4A05"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1417" w:type="dxa"/>
            <w:shd w:val="clear" w:color="auto" w:fill="C17D00"/>
            <w:tcMar>
              <w:top w:w="60" w:type="dxa"/>
              <w:left w:w="80" w:type="dxa"/>
              <w:bottom w:w="60" w:type="dxa"/>
              <w:right w:w="80" w:type="dxa"/>
            </w:tcMar>
            <w:vAlign w:val="center"/>
          </w:tcPr>
          <w:p w14:paraId="6A6691FB"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Mod–High</w:t>
            </w:r>
          </w:p>
        </w:tc>
      </w:tr>
      <w:tr w:rsidR="00144F46" w:rsidRPr="00F35B71" w14:paraId="1444BAB9" w14:textId="77777777" w:rsidTr="003C477A">
        <w:tc>
          <w:tcPr>
            <w:tcW w:w="1099" w:type="dxa"/>
            <w:shd w:val="clear" w:color="auto" w:fill="FFFFFF"/>
            <w:tcMar>
              <w:top w:w="80" w:type="dxa"/>
              <w:left w:w="120" w:type="dxa"/>
              <w:bottom w:w="80" w:type="dxa"/>
              <w:right w:w="120" w:type="dxa"/>
            </w:tcMar>
            <w:vAlign w:val="center"/>
          </w:tcPr>
          <w:p w14:paraId="71E5EF32" w14:textId="77777777" w:rsidR="002138E5" w:rsidRPr="00F35B71" w:rsidRDefault="002138E5" w:rsidP="00F35B71">
            <w:pPr>
              <w:spacing w:line="240" w:lineRule="auto"/>
              <w:rPr>
                <w:rFonts w:ascii="Arial" w:hAnsi="Arial" w:cs="Arial"/>
                <w:sz w:val="18"/>
                <w:szCs w:val="18"/>
              </w:rPr>
            </w:pPr>
            <w:proofErr w:type="spellStart"/>
            <w:r w:rsidRPr="00F35B71">
              <w:rPr>
                <w:rFonts w:ascii="Arial" w:eastAsia="Arial" w:hAnsi="Arial" w:cs="Arial"/>
                <w:b/>
                <w:bCs/>
                <w:color w:val="0D2B4E"/>
                <w:sz w:val="18"/>
                <w:szCs w:val="18"/>
              </w:rPr>
              <w:t>Omodara</w:t>
            </w:r>
            <w:proofErr w:type="spellEnd"/>
            <w:r w:rsidRPr="00F35B71">
              <w:rPr>
                <w:rFonts w:ascii="Arial" w:eastAsia="Arial" w:hAnsi="Arial" w:cs="Arial"/>
                <w:b/>
                <w:bCs/>
                <w:color w:val="0D2B4E"/>
                <w:sz w:val="18"/>
                <w:szCs w:val="18"/>
              </w:rPr>
              <w:t xml:space="preserve"> et al. (2022)</w:t>
            </w:r>
          </w:p>
        </w:tc>
        <w:tc>
          <w:tcPr>
            <w:tcW w:w="817" w:type="dxa"/>
            <w:shd w:val="clear" w:color="auto" w:fill="E8F5E9"/>
            <w:tcMar>
              <w:top w:w="60" w:type="dxa"/>
              <w:left w:w="80" w:type="dxa"/>
              <w:bottom w:w="60" w:type="dxa"/>
              <w:right w:w="80" w:type="dxa"/>
            </w:tcMar>
            <w:vAlign w:val="center"/>
          </w:tcPr>
          <w:p w14:paraId="1D164262"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40" w:type="dxa"/>
            <w:shd w:val="clear" w:color="auto" w:fill="E8F5E9"/>
            <w:tcMar>
              <w:top w:w="60" w:type="dxa"/>
              <w:left w:w="80" w:type="dxa"/>
              <w:bottom w:w="60" w:type="dxa"/>
              <w:right w:w="80" w:type="dxa"/>
            </w:tcMar>
            <w:vAlign w:val="center"/>
          </w:tcPr>
          <w:p w14:paraId="79FD6EC2"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761" w:type="dxa"/>
            <w:shd w:val="clear" w:color="auto" w:fill="E8F5E9"/>
            <w:tcMar>
              <w:top w:w="60" w:type="dxa"/>
              <w:left w:w="80" w:type="dxa"/>
              <w:bottom w:w="60" w:type="dxa"/>
              <w:right w:w="80" w:type="dxa"/>
            </w:tcMar>
            <w:vAlign w:val="center"/>
          </w:tcPr>
          <w:p w14:paraId="0A8EFB6C"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33" w:type="dxa"/>
            <w:shd w:val="clear" w:color="auto" w:fill="FFF8E1"/>
            <w:tcMar>
              <w:top w:w="60" w:type="dxa"/>
              <w:left w:w="80" w:type="dxa"/>
              <w:bottom w:w="60" w:type="dxa"/>
              <w:right w:w="80" w:type="dxa"/>
            </w:tcMar>
            <w:vAlign w:val="center"/>
          </w:tcPr>
          <w:p w14:paraId="2A5003ED"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17" w:type="dxa"/>
            <w:shd w:val="clear" w:color="auto" w:fill="E8F5E9"/>
            <w:tcMar>
              <w:top w:w="60" w:type="dxa"/>
              <w:left w:w="80" w:type="dxa"/>
              <w:bottom w:w="60" w:type="dxa"/>
              <w:right w:w="80" w:type="dxa"/>
            </w:tcMar>
            <w:vAlign w:val="center"/>
          </w:tcPr>
          <w:p w14:paraId="5AB35C95"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28" w:type="dxa"/>
            <w:shd w:val="clear" w:color="auto" w:fill="FFF8E1"/>
            <w:tcMar>
              <w:top w:w="60" w:type="dxa"/>
              <w:left w:w="80" w:type="dxa"/>
              <w:bottom w:w="60" w:type="dxa"/>
              <w:right w:w="80" w:type="dxa"/>
            </w:tcMar>
            <w:vAlign w:val="center"/>
          </w:tcPr>
          <w:p w14:paraId="2DF3B6E4"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50" w:type="dxa"/>
            <w:shd w:val="clear" w:color="auto" w:fill="E8F5E9"/>
            <w:tcMar>
              <w:top w:w="60" w:type="dxa"/>
              <w:left w:w="80" w:type="dxa"/>
              <w:bottom w:w="60" w:type="dxa"/>
              <w:right w:w="80" w:type="dxa"/>
            </w:tcMar>
            <w:vAlign w:val="center"/>
          </w:tcPr>
          <w:p w14:paraId="79BC1ED8"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51" w:type="dxa"/>
            <w:shd w:val="clear" w:color="auto" w:fill="E8F5E9"/>
            <w:tcMar>
              <w:top w:w="60" w:type="dxa"/>
              <w:left w:w="80" w:type="dxa"/>
              <w:bottom w:w="60" w:type="dxa"/>
              <w:right w:w="80" w:type="dxa"/>
            </w:tcMar>
            <w:vAlign w:val="center"/>
          </w:tcPr>
          <w:p w14:paraId="40F83264"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92" w:type="dxa"/>
            <w:shd w:val="clear" w:color="auto" w:fill="E8F5E9"/>
            <w:tcMar>
              <w:top w:w="60" w:type="dxa"/>
              <w:left w:w="80" w:type="dxa"/>
              <w:bottom w:w="60" w:type="dxa"/>
              <w:right w:w="80" w:type="dxa"/>
            </w:tcMar>
            <w:vAlign w:val="center"/>
          </w:tcPr>
          <w:p w14:paraId="0CB1EBCA"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1417" w:type="dxa"/>
            <w:shd w:val="clear" w:color="auto" w:fill="C17D00"/>
            <w:tcMar>
              <w:top w:w="60" w:type="dxa"/>
              <w:left w:w="80" w:type="dxa"/>
              <w:bottom w:w="60" w:type="dxa"/>
              <w:right w:w="80" w:type="dxa"/>
            </w:tcMar>
            <w:vAlign w:val="center"/>
          </w:tcPr>
          <w:p w14:paraId="20AF6679"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Mod–High</w:t>
            </w:r>
          </w:p>
        </w:tc>
      </w:tr>
      <w:tr w:rsidR="00144F46" w:rsidRPr="00F35B71" w14:paraId="66DB6919" w14:textId="77777777" w:rsidTr="003C477A">
        <w:tc>
          <w:tcPr>
            <w:tcW w:w="1099" w:type="dxa"/>
            <w:shd w:val="clear" w:color="auto" w:fill="EDF2F7"/>
            <w:tcMar>
              <w:top w:w="80" w:type="dxa"/>
              <w:left w:w="120" w:type="dxa"/>
              <w:bottom w:w="80" w:type="dxa"/>
              <w:right w:w="120" w:type="dxa"/>
            </w:tcMar>
            <w:vAlign w:val="center"/>
          </w:tcPr>
          <w:p w14:paraId="4C249D49" w14:textId="77777777" w:rsidR="002138E5" w:rsidRPr="00F35B71" w:rsidRDefault="002138E5" w:rsidP="00F35B71">
            <w:pPr>
              <w:spacing w:line="240" w:lineRule="auto"/>
              <w:rPr>
                <w:rFonts w:ascii="Arial" w:hAnsi="Arial" w:cs="Arial"/>
                <w:sz w:val="18"/>
                <w:szCs w:val="18"/>
              </w:rPr>
            </w:pPr>
            <w:r w:rsidRPr="00F35B71">
              <w:rPr>
                <w:rFonts w:ascii="Arial" w:eastAsia="Arial" w:hAnsi="Arial" w:cs="Arial"/>
                <w:b/>
                <w:bCs/>
                <w:color w:val="0D2B4E"/>
                <w:sz w:val="18"/>
                <w:szCs w:val="18"/>
              </w:rPr>
              <w:t>Goff et al. (2020b)</w:t>
            </w:r>
          </w:p>
        </w:tc>
        <w:tc>
          <w:tcPr>
            <w:tcW w:w="817" w:type="dxa"/>
            <w:shd w:val="clear" w:color="auto" w:fill="E8F5E9"/>
            <w:tcMar>
              <w:top w:w="60" w:type="dxa"/>
              <w:left w:w="80" w:type="dxa"/>
              <w:bottom w:w="60" w:type="dxa"/>
              <w:right w:w="80" w:type="dxa"/>
            </w:tcMar>
            <w:vAlign w:val="center"/>
          </w:tcPr>
          <w:p w14:paraId="33B2EA70"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40" w:type="dxa"/>
            <w:shd w:val="clear" w:color="auto" w:fill="E8F5E9"/>
            <w:tcMar>
              <w:top w:w="60" w:type="dxa"/>
              <w:left w:w="80" w:type="dxa"/>
              <w:bottom w:w="60" w:type="dxa"/>
              <w:right w:w="80" w:type="dxa"/>
            </w:tcMar>
            <w:vAlign w:val="center"/>
          </w:tcPr>
          <w:p w14:paraId="71D89A42"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761" w:type="dxa"/>
            <w:shd w:val="clear" w:color="auto" w:fill="E8F5E9"/>
            <w:tcMar>
              <w:top w:w="60" w:type="dxa"/>
              <w:left w:w="80" w:type="dxa"/>
              <w:bottom w:w="60" w:type="dxa"/>
              <w:right w:w="80" w:type="dxa"/>
            </w:tcMar>
            <w:vAlign w:val="center"/>
          </w:tcPr>
          <w:p w14:paraId="1DA2D26F"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33" w:type="dxa"/>
            <w:shd w:val="clear" w:color="auto" w:fill="E8F5E9"/>
            <w:tcMar>
              <w:top w:w="60" w:type="dxa"/>
              <w:left w:w="80" w:type="dxa"/>
              <w:bottom w:w="60" w:type="dxa"/>
              <w:right w:w="80" w:type="dxa"/>
            </w:tcMar>
            <w:vAlign w:val="center"/>
          </w:tcPr>
          <w:p w14:paraId="0A6FBAED"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17" w:type="dxa"/>
            <w:shd w:val="clear" w:color="auto" w:fill="E8F5E9"/>
            <w:tcMar>
              <w:top w:w="60" w:type="dxa"/>
              <w:left w:w="80" w:type="dxa"/>
              <w:bottom w:w="60" w:type="dxa"/>
              <w:right w:w="80" w:type="dxa"/>
            </w:tcMar>
            <w:vAlign w:val="center"/>
          </w:tcPr>
          <w:p w14:paraId="7B62DE53"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28" w:type="dxa"/>
            <w:shd w:val="clear" w:color="auto" w:fill="E8F5E9"/>
            <w:tcMar>
              <w:top w:w="60" w:type="dxa"/>
              <w:left w:w="80" w:type="dxa"/>
              <w:bottom w:w="60" w:type="dxa"/>
              <w:right w:w="80" w:type="dxa"/>
            </w:tcMar>
            <w:vAlign w:val="center"/>
          </w:tcPr>
          <w:p w14:paraId="1AF81A41"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50" w:type="dxa"/>
            <w:shd w:val="clear" w:color="auto" w:fill="E8F5E9"/>
            <w:tcMar>
              <w:top w:w="60" w:type="dxa"/>
              <w:left w:w="80" w:type="dxa"/>
              <w:bottom w:w="60" w:type="dxa"/>
              <w:right w:w="80" w:type="dxa"/>
            </w:tcMar>
            <w:vAlign w:val="center"/>
          </w:tcPr>
          <w:p w14:paraId="3B13EC15"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51" w:type="dxa"/>
            <w:shd w:val="clear" w:color="auto" w:fill="E8F5E9"/>
            <w:tcMar>
              <w:top w:w="60" w:type="dxa"/>
              <w:left w:w="80" w:type="dxa"/>
              <w:bottom w:w="60" w:type="dxa"/>
              <w:right w:w="80" w:type="dxa"/>
            </w:tcMar>
            <w:vAlign w:val="center"/>
          </w:tcPr>
          <w:p w14:paraId="0654AB83"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92" w:type="dxa"/>
            <w:shd w:val="clear" w:color="auto" w:fill="E8F5E9"/>
            <w:tcMar>
              <w:top w:w="60" w:type="dxa"/>
              <w:left w:w="80" w:type="dxa"/>
              <w:bottom w:w="60" w:type="dxa"/>
              <w:right w:w="80" w:type="dxa"/>
            </w:tcMar>
            <w:vAlign w:val="center"/>
          </w:tcPr>
          <w:p w14:paraId="794477CF"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1417" w:type="dxa"/>
            <w:shd w:val="clear" w:color="auto" w:fill="2E7D32"/>
            <w:tcMar>
              <w:top w:w="60" w:type="dxa"/>
              <w:left w:w="80" w:type="dxa"/>
              <w:bottom w:w="60" w:type="dxa"/>
              <w:right w:w="80" w:type="dxa"/>
            </w:tcMar>
            <w:vAlign w:val="center"/>
          </w:tcPr>
          <w:p w14:paraId="52B53B61"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High</w:t>
            </w:r>
          </w:p>
        </w:tc>
      </w:tr>
      <w:tr w:rsidR="00144F46" w:rsidRPr="00F35B71" w14:paraId="7DD6A9CA" w14:textId="77777777" w:rsidTr="003C477A">
        <w:tc>
          <w:tcPr>
            <w:tcW w:w="1099" w:type="dxa"/>
            <w:shd w:val="clear" w:color="auto" w:fill="FFFFFF"/>
            <w:tcMar>
              <w:top w:w="80" w:type="dxa"/>
              <w:left w:w="120" w:type="dxa"/>
              <w:bottom w:w="80" w:type="dxa"/>
              <w:right w:w="120" w:type="dxa"/>
            </w:tcMar>
            <w:vAlign w:val="center"/>
          </w:tcPr>
          <w:p w14:paraId="4A1B7212" w14:textId="77777777" w:rsidR="002138E5" w:rsidRPr="00F35B71" w:rsidRDefault="002138E5" w:rsidP="00F35B71">
            <w:pPr>
              <w:spacing w:line="240" w:lineRule="auto"/>
              <w:rPr>
                <w:rFonts w:ascii="Arial" w:hAnsi="Arial" w:cs="Arial"/>
                <w:sz w:val="18"/>
                <w:szCs w:val="18"/>
              </w:rPr>
            </w:pPr>
            <w:proofErr w:type="spellStart"/>
            <w:r w:rsidRPr="00F35B71">
              <w:rPr>
                <w:rFonts w:ascii="Arial" w:eastAsia="Arial" w:hAnsi="Arial" w:cs="Arial"/>
                <w:b/>
                <w:bCs/>
                <w:color w:val="0D2B4E"/>
                <w:sz w:val="18"/>
                <w:szCs w:val="18"/>
              </w:rPr>
              <w:t>Alloh</w:t>
            </w:r>
            <w:proofErr w:type="spellEnd"/>
            <w:r w:rsidRPr="00F35B71">
              <w:rPr>
                <w:rFonts w:ascii="Arial" w:eastAsia="Arial" w:hAnsi="Arial" w:cs="Arial"/>
                <w:b/>
                <w:bCs/>
                <w:color w:val="0D2B4E"/>
                <w:sz w:val="18"/>
                <w:szCs w:val="18"/>
              </w:rPr>
              <w:t xml:space="preserve"> et al. (2019)</w:t>
            </w:r>
          </w:p>
        </w:tc>
        <w:tc>
          <w:tcPr>
            <w:tcW w:w="817" w:type="dxa"/>
            <w:shd w:val="clear" w:color="auto" w:fill="E8F5E9"/>
            <w:tcMar>
              <w:top w:w="60" w:type="dxa"/>
              <w:left w:w="80" w:type="dxa"/>
              <w:bottom w:w="60" w:type="dxa"/>
              <w:right w:w="80" w:type="dxa"/>
            </w:tcMar>
            <w:vAlign w:val="center"/>
          </w:tcPr>
          <w:p w14:paraId="19F3F807"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40" w:type="dxa"/>
            <w:shd w:val="clear" w:color="auto" w:fill="E8F5E9"/>
            <w:tcMar>
              <w:top w:w="60" w:type="dxa"/>
              <w:left w:w="80" w:type="dxa"/>
              <w:bottom w:w="60" w:type="dxa"/>
              <w:right w:w="80" w:type="dxa"/>
            </w:tcMar>
            <w:vAlign w:val="center"/>
          </w:tcPr>
          <w:p w14:paraId="3F7EF611"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761" w:type="dxa"/>
            <w:shd w:val="clear" w:color="auto" w:fill="E8F5E9"/>
            <w:tcMar>
              <w:top w:w="60" w:type="dxa"/>
              <w:left w:w="80" w:type="dxa"/>
              <w:bottom w:w="60" w:type="dxa"/>
              <w:right w:w="80" w:type="dxa"/>
            </w:tcMar>
            <w:vAlign w:val="center"/>
          </w:tcPr>
          <w:p w14:paraId="04B2B5A2"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33" w:type="dxa"/>
            <w:shd w:val="clear" w:color="auto" w:fill="FFF8E1"/>
            <w:tcMar>
              <w:top w:w="60" w:type="dxa"/>
              <w:left w:w="80" w:type="dxa"/>
              <w:bottom w:w="60" w:type="dxa"/>
              <w:right w:w="80" w:type="dxa"/>
            </w:tcMar>
            <w:vAlign w:val="center"/>
          </w:tcPr>
          <w:p w14:paraId="56EEB7F4"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17" w:type="dxa"/>
            <w:shd w:val="clear" w:color="auto" w:fill="E8F5E9"/>
            <w:tcMar>
              <w:top w:w="60" w:type="dxa"/>
              <w:left w:w="80" w:type="dxa"/>
              <w:bottom w:w="60" w:type="dxa"/>
              <w:right w:w="80" w:type="dxa"/>
            </w:tcMar>
            <w:vAlign w:val="center"/>
          </w:tcPr>
          <w:p w14:paraId="1F13FD02"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28" w:type="dxa"/>
            <w:shd w:val="clear" w:color="auto" w:fill="FFF8E1"/>
            <w:tcMar>
              <w:top w:w="60" w:type="dxa"/>
              <w:left w:w="80" w:type="dxa"/>
              <w:bottom w:w="60" w:type="dxa"/>
              <w:right w:w="80" w:type="dxa"/>
            </w:tcMar>
            <w:vAlign w:val="center"/>
          </w:tcPr>
          <w:p w14:paraId="5CDE08BF"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50" w:type="dxa"/>
            <w:shd w:val="clear" w:color="auto" w:fill="E8F5E9"/>
            <w:tcMar>
              <w:top w:w="60" w:type="dxa"/>
              <w:left w:w="80" w:type="dxa"/>
              <w:bottom w:w="60" w:type="dxa"/>
              <w:right w:w="80" w:type="dxa"/>
            </w:tcMar>
            <w:vAlign w:val="center"/>
          </w:tcPr>
          <w:p w14:paraId="4D026B1E"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51" w:type="dxa"/>
            <w:shd w:val="clear" w:color="auto" w:fill="FFF8E1"/>
            <w:tcMar>
              <w:top w:w="60" w:type="dxa"/>
              <w:left w:w="80" w:type="dxa"/>
              <w:bottom w:w="60" w:type="dxa"/>
              <w:right w:w="80" w:type="dxa"/>
            </w:tcMar>
            <w:vAlign w:val="center"/>
          </w:tcPr>
          <w:p w14:paraId="70D42EAB"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992" w:type="dxa"/>
            <w:shd w:val="clear" w:color="auto" w:fill="E8F5E9"/>
            <w:tcMar>
              <w:top w:w="60" w:type="dxa"/>
              <w:left w:w="80" w:type="dxa"/>
              <w:bottom w:w="60" w:type="dxa"/>
              <w:right w:w="80" w:type="dxa"/>
            </w:tcMar>
            <w:vAlign w:val="center"/>
          </w:tcPr>
          <w:p w14:paraId="170F4EFC"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1417" w:type="dxa"/>
            <w:shd w:val="clear" w:color="auto" w:fill="C17D00"/>
            <w:tcMar>
              <w:top w:w="60" w:type="dxa"/>
              <w:left w:w="80" w:type="dxa"/>
              <w:bottom w:w="60" w:type="dxa"/>
              <w:right w:w="80" w:type="dxa"/>
            </w:tcMar>
            <w:vAlign w:val="center"/>
          </w:tcPr>
          <w:p w14:paraId="4155CC93"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Moderate</w:t>
            </w:r>
          </w:p>
        </w:tc>
      </w:tr>
      <w:tr w:rsidR="00144F46" w:rsidRPr="00F35B71" w14:paraId="448BB846" w14:textId="77777777" w:rsidTr="003C477A">
        <w:tc>
          <w:tcPr>
            <w:tcW w:w="1099" w:type="dxa"/>
            <w:shd w:val="clear" w:color="auto" w:fill="EDF2F7"/>
            <w:tcMar>
              <w:top w:w="80" w:type="dxa"/>
              <w:left w:w="120" w:type="dxa"/>
              <w:bottom w:w="80" w:type="dxa"/>
              <w:right w:w="120" w:type="dxa"/>
            </w:tcMar>
            <w:vAlign w:val="center"/>
          </w:tcPr>
          <w:p w14:paraId="7A63793D" w14:textId="77777777" w:rsidR="002138E5" w:rsidRPr="00F35B71" w:rsidRDefault="002138E5" w:rsidP="00F35B71">
            <w:pPr>
              <w:spacing w:line="240" w:lineRule="auto"/>
              <w:rPr>
                <w:rFonts w:ascii="Arial" w:hAnsi="Arial" w:cs="Arial"/>
                <w:sz w:val="18"/>
                <w:szCs w:val="18"/>
              </w:rPr>
            </w:pPr>
            <w:r w:rsidRPr="00F35B71">
              <w:rPr>
                <w:rFonts w:ascii="Arial" w:eastAsia="Arial" w:hAnsi="Arial" w:cs="Arial"/>
                <w:b/>
                <w:bCs/>
                <w:color w:val="0D2B4E"/>
                <w:sz w:val="18"/>
                <w:szCs w:val="18"/>
              </w:rPr>
              <w:t>Sidhu et al. (2022)</w:t>
            </w:r>
          </w:p>
        </w:tc>
        <w:tc>
          <w:tcPr>
            <w:tcW w:w="817" w:type="dxa"/>
            <w:shd w:val="clear" w:color="auto" w:fill="E8F5E9"/>
            <w:tcMar>
              <w:top w:w="60" w:type="dxa"/>
              <w:left w:w="80" w:type="dxa"/>
              <w:bottom w:w="60" w:type="dxa"/>
              <w:right w:w="80" w:type="dxa"/>
            </w:tcMar>
            <w:vAlign w:val="center"/>
          </w:tcPr>
          <w:p w14:paraId="552F0B80"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40" w:type="dxa"/>
            <w:shd w:val="clear" w:color="auto" w:fill="E8F5E9"/>
            <w:tcMar>
              <w:top w:w="60" w:type="dxa"/>
              <w:left w:w="80" w:type="dxa"/>
              <w:bottom w:w="60" w:type="dxa"/>
              <w:right w:w="80" w:type="dxa"/>
            </w:tcMar>
            <w:vAlign w:val="center"/>
          </w:tcPr>
          <w:p w14:paraId="08D90E89"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761" w:type="dxa"/>
            <w:shd w:val="clear" w:color="auto" w:fill="E8F5E9"/>
            <w:tcMar>
              <w:top w:w="60" w:type="dxa"/>
              <w:left w:w="80" w:type="dxa"/>
              <w:bottom w:w="60" w:type="dxa"/>
              <w:right w:w="80" w:type="dxa"/>
            </w:tcMar>
            <w:vAlign w:val="center"/>
          </w:tcPr>
          <w:p w14:paraId="0A0F59DE"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33" w:type="dxa"/>
            <w:shd w:val="clear" w:color="auto" w:fill="FFF8E1"/>
            <w:tcMar>
              <w:top w:w="60" w:type="dxa"/>
              <w:left w:w="80" w:type="dxa"/>
              <w:bottom w:w="60" w:type="dxa"/>
              <w:right w:w="80" w:type="dxa"/>
            </w:tcMar>
            <w:vAlign w:val="center"/>
          </w:tcPr>
          <w:p w14:paraId="09F740B1"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17" w:type="dxa"/>
            <w:shd w:val="clear" w:color="auto" w:fill="E8F5E9"/>
            <w:tcMar>
              <w:top w:w="60" w:type="dxa"/>
              <w:left w:w="80" w:type="dxa"/>
              <w:bottom w:w="60" w:type="dxa"/>
              <w:right w:w="80" w:type="dxa"/>
            </w:tcMar>
            <w:vAlign w:val="center"/>
          </w:tcPr>
          <w:p w14:paraId="6D796BC3"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28" w:type="dxa"/>
            <w:shd w:val="clear" w:color="auto" w:fill="FFF8E1"/>
            <w:tcMar>
              <w:top w:w="60" w:type="dxa"/>
              <w:left w:w="80" w:type="dxa"/>
              <w:bottom w:w="60" w:type="dxa"/>
              <w:right w:w="80" w:type="dxa"/>
            </w:tcMar>
            <w:vAlign w:val="center"/>
          </w:tcPr>
          <w:p w14:paraId="66281126"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50" w:type="dxa"/>
            <w:shd w:val="clear" w:color="auto" w:fill="E8F5E9"/>
            <w:tcMar>
              <w:top w:w="60" w:type="dxa"/>
              <w:left w:w="80" w:type="dxa"/>
              <w:bottom w:w="60" w:type="dxa"/>
              <w:right w:w="80" w:type="dxa"/>
            </w:tcMar>
            <w:vAlign w:val="center"/>
          </w:tcPr>
          <w:p w14:paraId="2A26BBA4"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51" w:type="dxa"/>
            <w:shd w:val="clear" w:color="auto" w:fill="FFF8E1"/>
            <w:tcMar>
              <w:top w:w="60" w:type="dxa"/>
              <w:left w:w="80" w:type="dxa"/>
              <w:bottom w:w="60" w:type="dxa"/>
              <w:right w:w="80" w:type="dxa"/>
            </w:tcMar>
            <w:vAlign w:val="center"/>
          </w:tcPr>
          <w:p w14:paraId="2AF95E71"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992" w:type="dxa"/>
            <w:shd w:val="clear" w:color="auto" w:fill="E8F5E9"/>
            <w:tcMar>
              <w:top w:w="60" w:type="dxa"/>
              <w:left w:w="80" w:type="dxa"/>
              <w:bottom w:w="60" w:type="dxa"/>
              <w:right w:w="80" w:type="dxa"/>
            </w:tcMar>
            <w:vAlign w:val="center"/>
          </w:tcPr>
          <w:p w14:paraId="3BA8E30D"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1417" w:type="dxa"/>
            <w:shd w:val="clear" w:color="auto" w:fill="C17D00"/>
            <w:tcMar>
              <w:top w:w="60" w:type="dxa"/>
              <w:left w:w="80" w:type="dxa"/>
              <w:bottom w:w="60" w:type="dxa"/>
              <w:right w:w="80" w:type="dxa"/>
            </w:tcMar>
            <w:vAlign w:val="center"/>
          </w:tcPr>
          <w:p w14:paraId="591B46EF"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Moderate</w:t>
            </w:r>
          </w:p>
        </w:tc>
      </w:tr>
      <w:tr w:rsidR="00144F46" w:rsidRPr="00F35B71" w14:paraId="27DC74B3" w14:textId="77777777" w:rsidTr="003C477A">
        <w:tc>
          <w:tcPr>
            <w:tcW w:w="10205" w:type="dxa"/>
            <w:gridSpan w:val="11"/>
            <w:shd w:val="clear" w:color="auto" w:fill="E2EAF3"/>
            <w:tcMar>
              <w:top w:w="80" w:type="dxa"/>
              <w:left w:w="120" w:type="dxa"/>
              <w:bottom w:w="80" w:type="dxa"/>
              <w:right w:w="120" w:type="dxa"/>
            </w:tcMar>
          </w:tcPr>
          <w:p w14:paraId="07EE8605" w14:textId="7773F9EE" w:rsidR="002138E5" w:rsidRPr="00F35B71" w:rsidRDefault="002138E5" w:rsidP="00F35B71">
            <w:pPr>
              <w:spacing w:line="240" w:lineRule="auto"/>
              <w:rPr>
                <w:rFonts w:ascii="Arial" w:hAnsi="Arial" w:cs="Arial"/>
                <w:sz w:val="18"/>
                <w:szCs w:val="18"/>
              </w:rPr>
            </w:pPr>
            <w:r w:rsidRPr="00F35B71">
              <w:rPr>
                <w:rFonts w:ascii="Arial" w:eastAsia="Arial" w:hAnsi="Arial" w:cs="Arial"/>
                <w:b/>
                <w:bCs/>
                <w:color w:val="111827"/>
                <w:sz w:val="18"/>
                <w:szCs w:val="18"/>
              </w:rPr>
              <w:t>CASP Qualitative Checklist (</w:t>
            </w:r>
            <w:r w:rsidR="00E822A5" w:rsidRPr="00F35B71">
              <w:rPr>
                <w:rFonts w:ascii="Arial" w:eastAsia="Arial" w:hAnsi="Arial" w:cs="Arial"/>
                <w:b/>
                <w:bCs/>
                <w:color w:val="111827"/>
                <w:sz w:val="18"/>
                <w:szCs w:val="18"/>
              </w:rPr>
              <w:t>9 items shown; overall value reflected in Quality Rating</w:t>
            </w:r>
            <w:r w:rsidRPr="00F35B71">
              <w:rPr>
                <w:rFonts w:ascii="Arial" w:eastAsia="Arial" w:hAnsi="Arial" w:cs="Arial"/>
                <w:b/>
                <w:bCs/>
                <w:color w:val="111827"/>
                <w:sz w:val="18"/>
                <w:szCs w:val="18"/>
              </w:rPr>
              <w:t xml:space="preserve">) applied. </w:t>
            </w:r>
            <w:r w:rsidRPr="00F35B71">
              <w:rPr>
                <w:rFonts w:ascii="Arial" w:eastAsia="Arial" w:hAnsi="Arial" w:cs="Arial"/>
                <w:color w:val="374151"/>
                <w:sz w:val="18"/>
                <w:szCs w:val="18"/>
              </w:rPr>
              <w:t xml:space="preserve">Q1 = Clear aims; Q2 = Qualitative methodology appropriate; Q3 = Research design appropriate; Q4 = Recruitment strategy appropriate; Q5 = Data collection addressed issue; Q6 = Researcher-participant relationship considered; Q7 = Ethical issues considered; Q8 = Analysis sufficiently rigorous; Q9 = Clear statement of findings. </w:t>
            </w:r>
            <w:r w:rsidRPr="00F35B71">
              <w:rPr>
                <w:rFonts w:ascii="Segoe UI Symbol" w:eastAsia="Arial" w:hAnsi="Segoe UI Symbol" w:cs="Segoe UI Symbol"/>
                <w:color w:val="6B7280"/>
                <w:sz w:val="18"/>
                <w:szCs w:val="18"/>
              </w:rPr>
              <w:t>✓</w:t>
            </w:r>
            <w:r w:rsidRPr="00F35B71">
              <w:rPr>
                <w:rFonts w:ascii="Arial" w:eastAsia="Arial" w:hAnsi="Arial" w:cs="Arial"/>
                <w:color w:val="6B7280"/>
                <w:sz w:val="18"/>
                <w:szCs w:val="18"/>
              </w:rPr>
              <w:t xml:space="preserve"> = Yes/Met  ~ = Partial/Can’t tell  </w:t>
            </w:r>
            <w:r w:rsidRPr="00F35B71">
              <w:rPr>
                <w:rFonts w:ascii="Segoe UI Symbol" w:eastAsia="Arial" w:hAnsi="Segoe UI Symbol" w:cs="Segoe UI Symbol"/>
                <w:color w:val="6B7280"/>
                <w:sz w:val="18"/>
                <w:szCs w:val="18"/>
              </w:rPr>
              <w:t>✕</w:t>
            </w:r>
            <w:r w:rsidRPr="00F35B71">
              <w:rPr>
                <w:rFonts w:ascii="Arial" w:eastAsia="Arial" w:hAnsi="Arial" w:cs="Arial"/>
                <w:color w:val="6B7280"/>
                <w:sz w:val="18"/>
                <w:szCs w:val="18"/>
              </w:rPr>
              <w:t xml:space="preserve"> = No/Not met.</w:t>
            </w:r>
          </w:p>
        </w:tc>
      </w:tr>
    </w:tbl>
    <w:p w14:paraId="06FE42C2"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61F6AD0B" w14:textId="77777777" w:rsidR="00407DAC" w:rsidRPr="005978B5" w:rsidRDefault="00407DAC" w:rsidP="00354518">
      <w:pPr>
        <w:spacing w:line="360" w:lineRule="auto"/>
        <w:jc w:val="both"/>
        <w:rPr>
          <w:rFonts w:ascii="Arial" w:hAnsi="Arial" w:cs="Arial"/>
          <w:b/>
        </w:rPr>
      </w:pPr>
      <w:r w:rsidRPr="005978B5">
        <w:rPr>
          <w:rFonts w:ascii="Arial" w:hAnsi="Arial" w:cs="Arial"/>
          <w:b/>
        </w:rPr>
        <w:t>Table B2 — Cohort and Cross-sectional Studies (n = 6) — CASP Cohort Checklist</w:t>
      </w:r>
    </w:p>
    <w:tbl>
      <w:tblPr>
        <w:tblW w:w="100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1"/>
        <w:gridCol w:w="1106"/>
        <w:gridCol w:w="781"/>
        <w:gridCol w:w="981"/>
        <w:gridCol w:w="941"/>
        <w:gridCol w:w="732"/>
        <w:gridCol w:w="620"/>
        <w:gridCol w:w="790"/>
        <w:gridCol w:w="971"/>
        <w:gridCol w:w="708"/>
        <w:gridCol w:w="1383"/>
      </w:tblGrid>
      <w:tr w:rsidR="00144F46" w:rsidRPr="005978B5" w14:paraId="743F98D0" w14:textId="77777777" w:rsidTr="003C477A">
        <w:trPr>
          <w:tblHeader/>
        </w:trPr>
        <w:tc>
          <w:tcPr>
            <w:tcW w:w="1051" w:type="dxa"/>
            <w:shd w:val="clear" w:color="auto" w:fill="00695C"/>
            <w:tcMar>
              <w:top w:w="80" w:type="dxa"/>
              <w:left w:w="120" w:type="dxa"/>
              <w:bottom w:w="80" w:type="dxa"/>
              <w:right w:w="120" w:type="dxa"/>
            </w:tcMar>
            <w:vAlign w:val="center"/>
          </w:tcPr>
          <w:p w14:paraId="6D7CB0F1"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FFFFFF"/>
                <w:sz w:val="18"/>
                <w:szCs w:val="18"/>
              </w:rPr>
              <w:t>Author(s) &amp; Year</w:t>
            </w:r>
          </w:p>
        </w:tc>
        <w:tc>
          <w:tcPr>
            <w:tcW w:w="1106" w:type="dxa"/>
            <w:shd w:val="clear" w:color="auto" w:fill="00695C"/>
            <w:tcMar>
              <w:top w:w="60" w:type="dxa"/>
              <w:left w:w="80" w:type="dxa"/>
              <w:bottom w:w="60" w:type="dxa"/>
              <w:right w:w="80" w:type="dxa"/>
            </w:tcMar>
            <w:vAlign w:val="center"/>
          </w:tcPr>
          <w:p w14:paraId="639CF22D"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C1 Focus</w:t>
            </w:r>
          </w:p>
        </w:tc>
        <w:tc>
          <w:tcPr>
            <w:tcW w:w="781" w:type="dxa"/>
            <w:shd w:val="clear" w:color="auto" w:fill="00695C"/>
            <w:tcMar>
              <w:top w:w="60" w:type="dxa"/>
              <w:left w:w="80" w:type="dxa"/>
              <w:bottom w:w="60" w:type="dxa"/>
              <w:right w:w="80" w:type="dxa"/>
            </w:tcMar>
            <w:vAlign w:val="center"/>
          </w:tcPr>
          <w:p w14:paraId="1703A674"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C2 Recruit</w:t>
            </w:r>
          </w:p>
        </w:tc>
        <w:tc>
          <w:tcPr>
            <w:tcW w:w="981" w:type="dxa"/>
            <w:shd w:val="clear" w:color="auto" w:fill="00695C"/>
            <w:tcMar>
              <w:top w:w="60" w:type="dxa"/>
              <w:left w:w="80" w:type="dxa"/>
              <w:bottom w:w="60" w:type="dxa"/>
              <w:right w:w="80" w:type="dxa"/>
            </w:tcMar>
            <w:vAlign w:val="center"/>
          </w:tcPr>
          <w:p w14:paraId="02157E85"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C3 Exposure</w:t>
            </w:r>
          </w:p>
        </w:tc>
        <w:tc>
          <w:tcPr>
            <w:tcW w:w="941" w:type="dxa"/>
            <w:shd w:val="clear" w:color="auto" w:fill="00695C"/>
            <w:tcMar>
              <w:top w:w="60" w:type="dxa"/>
              <w:left w:w="80" w:type="dxa"/>
              <w:bottom w:w="60" w:type="dxa"/>
              <w:right w:w="80" w:type="dxa"/>
            </w:tcMar>
            <w:vAlign w:val="center"/>
          </w:tcPr>
          <w:p w14:paraId="0DA367A5"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C4 Outcome</w:t>
            </w:r>
          </w:p>
        </w:tc>
        <w:tc>
          <w:tcPr>
            <w:tcW w:w="732" w:type="dxa"/>
            <w:shd w:val="clear" w:color="auto" w:fill="00695C"/>
            <w:tcMar>
              <w:top w:w="60" w:type="dxa"/>
              <w:left w:w="80" w:type="dxa"/>
              <w:bottom w:w="60" w:type="dxa"/>
              <w:right w:w="80" w:type="dxa"/>
            </w:tcMar>
            <w:vAlign w:val="center"/>
          </w:tcPr>
          <w:p w14:paraId="50CBE8AE"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C5 Conf. ID</w:t>
            </w:r>
          </w:p>
        </w:tc>
        <w:tc>
          <w:tcPr>
            <w:tcW w:w="620" w:type="dxa"/>
            <w:shd w:val="clear" w:color="auto" w:fill="00695C"/>
            <w:tcMar>
              <w:top w:w="60" w:type="dxa"/>
              <w:left w:w="80" w:type="dxa"/>
              <w:bottom w:w="60" w:type="dxa"/>
              <w:right w:w="80" w:type="dxa"/>
            </w:tcMar>
            <w:vAlign w:val="center"/>
          </w:tcPr>
          <w:p w14:paraId="39AA2D7C"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C6 Conf. Adj.</w:t>
            </w:r>
          </w:p>
        </w:tc>
        <w:tc>
          <w:tcPr>
            <w:tcW w:w="790" w:type="dxa"/>
            <w:shd w:val="clear" w:color="auto" w:fill="00695C"/>
            <w:tcMar>
              <w:top w:w="60" w:type="dxa"/>
              <w:left w:w="80" w:type="dxa"/>
              <w:bottom w:w="60" w:type="dxa"/>
              <w:right w:w="80" w:type="dxa"/>
            </w:tcMar>
            <w:vAlign w:val="center"/>
          </w:tcPr>
          <w:p w14:paraId="509FB275"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C7 Follow-up</w:t>
            </w:r>
          </w:p>
        </w:tc>
        <w:tc>
          <w:tcPr>
            <w:tcW w:w="971" w:type="dxa"/>
            <w:shd w:val="clear" w:color="auto" w:fill="00695C"/>
            <w:tcMar>
              <w:top w:w="60" w:type="dxa"/>
              <w:left w:w="80" w:type="dxa"/>
              <w:bottom w:w="60" w:type="dxa"/>
              <w:right w:w="80" w:type="dxa"/>
            </w:tcMar>
            <w:vAlign w:val="center"/>
          </w:tcPr>
          <w:p w14:paraId="198E0620"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C8 Precision</w:t>
            </w:r>
          </w:p>
        </w:tc>
        <w:tc>
          <w:tcPr>
            <w:tcW w:w="708" w:type="dxa"/>
            <w:shd w:val="clear" w:color="auto" w:fill="00695C"/>
            <w:tcMar>
              <w:top w:w="60" w:type="dxa"/>
              <w:left w:w="80" w:type="dxa"/>
              <w:bottom w:w="60" w:type="dxa"/>
              <w:right w:w="80" w:type="dxa"/>
            </w:tcMar>
            <w:vAlign w:val="center"/>
          </w:tcPr>
          <w:p w14:paraId="788DC85F"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C9 Apply</w:t>
            </w:r>
          </w:p>
        </w:tc>
        <w:tc>
          <w:tcPr>
            <w:tcW w:w="1383" w:type="dxa"/>
            <w:shd w:val="clear" w:color="auto" w:fill="00695C"/>
            <w:tcMar>
              <w:top w:w="60" w:type="dxa"/>
              <w:left w:w="80" w:type="dxa"/>
              <w:bottom w:w="60" w:type="dxa"/>
              <w:right w:w="80" w:type="dxa"/>
            </w:tcMar>
            <w:vAlign w:val="center"/>
          </w:tcPr>
          <w:p w14:paraId="724CE10A"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Overall Quality</w:t>
            </w:r>
          </w:p>
        </w:tc>
      </w:tr>
      <w:tr w:rsidR="00144F46" w:rsidRPr="005978B5" w14:paraId="2600F318" w14:textId="77777777" w:rsidTr="003C477A">
        <w:tc>
          <w:tcPr>
            <w:tcW w:w="1051" w:type="dxa"/>
            <w:shd w:val="clear" w:color="auto" w:fill="FFFFFF"/>
            <w:tcMar>
              <w:top w:w="80" w:type="dxa"/>
              <w:left w:w="120" w:type="dxa"/>
              <w:bottom w:w="80" w:type="dxa"/>
              <w:right w:w="120" w:type="dxa"/>
            </w:tcMar>
            <w:vAlign w:val="center"/>
          </w:tcPr>
          <w:p w14:paraId="7523B6BA"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0D2B4E"/>
                <w:sz w:val="18"/>
                <w:szCs w:val="18"/>
              </w:rPr>
              <w:t>Au-Yeung et al. (2024)</w:t>
            </w:r>
          </w:p>
        </w:tc>
        <w:tc>
          <w:tcPr>
            <w:tcW w:w="1106" w:type="dxa"/>
            <w:shd w:val="clear" w:color="auto" w:fill="E8F5E9"/>
            <w:tcMar>
              <w:top w:w="60" w:type="dxa"/>
              <w:left w:w="80" w:type="dxa"/>
              <w:bottom w:w="60" w:type="dxa"/>
              <w:right w:w="80" w:type="dxa"/>
            </w:tcMar>
            <w:vAlign w:val="center"/>
          </w:tcPr>
          <w:p w14:paraId="762604E3"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81" w:type="dxa"/>
            <w:shd w:val="clear" w:color="auto" w:fill="E8F5E9"/>
            <w:tcMar>
              <w:top w:w="60" w:type="dxa"/>
              <w:left w:w="80" w:type="dxa"/>
              <w:bottom w:w="60" w:type="dxa"/>
              <w:right w:w="80" w:type="dxa"/>
            </w:tcMar>
            <w:vAlign w:val="center"/>
          </w:tcPr>
          <w:p w14:paraId="2B967A78"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81" w:type="dxa"/>
            <w:shd w:val="clear" w:color="auto" w:fill="E8F5E9"/>
            <w:tcMar>
              <w:top w:w="60" w:type="dxa"/>
              <w:left w:w="80" w:type="dxa"/>
              <w:bottom w:w="60" w:type="dxa"/>
              <w:right w:w="80" w:type="dxa"/>
            </w:tcMar>
            <w:vAlign w:val="center"/>
          </w:tcPr>
          <w:p w14:paraId="46E506C4"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1" w:type="dxa"/>
            <w:shd w:val="clear" w:color="auto" w:fill="E8F5E9"/>
            <w:tcMar>
              <w:top w:w="60" w:type="dxa"/>
              <w:left w:w="80" w:type="dxa"/>
              <w:bottom w:w="60" w:type="dxa"/>
              <w:right w:w="80" w:type="dxa"/>
            </w:tcMar>
            <w:vAlign w:val="center"/>
          </w:tcPr>
          <w:p w14:paraId="5B415761"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2" w:type="dxa"/>
            <w:shd w:val="clear" w:color="auto" w:fill="E8F5E9"/>
            <w:tcMar>
              <w:top w:w="60" w:type="dxa"/>
              <w:left w:w="80" w:type="dxa"/>
              <w:bottom w:w="60" w:type="dxa"/>
              <w:right w:w="80" w:type="dxa"/>
            </w:tcMar>
            <w:vAlign w:val="center"/>
          </w:tcPr>
          <w:p w14:paraId="74C21DB2"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620" w:type="dxa"/>
            <w:shd w:val="clear" w:color="auto" w:fill="E8F5E9"/>
            <w:tcMar>
              <w:top w:w="60" w:type="dxa"/>
              <w:left w:w="80" w:type="dxa"/>
              <w:bottom w:w="60" w:type="dxa"/>
              <w:right w:w="80" w:type="dxa"/>
            </w:tcMar>
            <w:vAlign w:val="center"/>
          </w:tcPr>
          <w:p w14:paraId="55FA205C"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90" w:type="dxa"/>
            <w:shd w:val="clear" w:color="auto" w:fill="FFEBEE"/>
            <w:tcMar>
              <w:top w:w="60" w:type="dxa"/>
              <w:left w:w="80" w:type="dxa"/>
              <w:bottom w:w="60" w:type="dxa"/>
              <w:right w:w="80" w:type="dxa"/>
            </w:tcMar>
            <w:vAlign w:val="center"/>
          </w:tcPr>
          <w:p w14:paraId="77B85C6F"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B71C1C"/>
                <w:sz w:val="18"/>
                <w:szCs w:val="18"/>
              </w:rPr>
              <w:t>✕</w:t>
            </w:r>
          </w:p>
        </w:tc>
        <w:tc>
          <w:tcPr>
            <w:tcW w:w="971" w:type="dxa"/>
            <w:shd w:val="clear" w:color="auto" w:fill="E8F5E9"/>
            <w:tcMar>
              <w:top w:w="60" w:type="dxa"/>
              <w:left w:w="80" w:type="dxa"/>
              <w:bottom w:w="60" w:type="dxa"/>
              <w:right w:w="80" w:type="dxa"/>
            </w:tcMar>
            <w:vAlign w:val="center"/>
          </w:tcPr>
          <w:p w14:paraId="76BF078E"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08" w:type="dxa"/>
            <w:shd w:val="clear" w:color="auto" w:fill="E8F5E9"/>
            <w:tcMar>
              <w:top w:w="60" w:type="dxa"/>
              <w:left w:w="80" w:type="dxa"/>
              <w:bottom w:w="60" w:type="dxa"/>
              <w:right w:w="80" w:type="dxa"/>
            </w:tcMar>
            <w:vAlign w:val="center"/>
          </w:tcPr>
          <w:p w14:paraId="1991CEE5"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1383" w:type="dxa"/>
            <w:shd w:val="clear" w:color="auto" w:fill="2E7D32"/>
            <w:tcMar>
              <w:top w:w="60" w:type="dxa"/>
              <w:left w:w="80" w:type="dxa"/>
              <w:bottom w:w="60" w:type="dxa"/>
              <w:right w:w="80" w:type="dxa"/>
            </w:tcMar>
            <w:vAlign w:val="center"/>
          </w:tcPr>
          <w:p w14:paraId="09BAE7DC"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3322CEB1" w14:textId="77777777" w:rsidTr="003C477A">
        <w:tc>
          <w:tcPr>
            <w:tcW w:w="1051" w:type="dxa"/>
            <w:shd w:val="clear" w:color="auto" w:fill="EDF2F7"/>
            <w:tcMar>
              <w:top w:w="80" w:type="dxa"/>
              <w:left w:w="120" w:type="dxa"/>
              <w:bottom w:w="80" w:type="dxa"/>
              <w:right w:w="120" w:type="dxa"/>
            </w:tcMar>
            <w:vAlign w:val="center"/>
          </w:tcPr>
          <w:p w14:paraId="39F848E5"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0D2B4E"/>
                <w:sz w:val="18"/>
                <w:szCs w:val="18"/>
              </w:rPr>
              <w:t>Barron et al. (2018)</w:t>
            </w:r>
          </w:p>
        </w:tc>
        <w:tc>
          <w:tcPr>
            <w:tcW w:w="1106" w:type="dxa"/>
            <w:shd w:val="clear" w:color="auto" w:fill="E8F5E9"/>
            <w:tcMar>
              <w:top w:w="60" w:type="dxa"/>
              <w:left w:w="80" w:type="dxa"/>
              <w:bottom w:w="60" w:type="dxa"/>
              <w:right w:w="80" w:type="dxa"/>
            </w:tcMar>
            <w:vAlign w:val="center"/>
          </w:tcPr>
          <w:p w14:paraId="05113CA1"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81" w:type="dxa"/>
            <w:shd w:val="clear" w:color="auto" w:fill="E8F5E9"/>
            <w:tcMar>
              <w:top w:w="60" w:type="dxa"/>
              <w:left w:w="80" w:type="dxa"/>
              <w:bottom w:w="60" w:type="dxa"/>
              <w:right w:w="80" w:type="dxa"/>
            </w:tcMar>
            <w:vAlign w:val="center"/>
          </w:tcPr>
          <w:p w14:paraId="014FB240"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81" w:type="dxa"/>
            <w:shd w:val="clear" w:color="auto" w:fill="E8F5E9"/>
            <w:tcMar>
              <w:top w:w="60" w:type="dxa"/>
              <w:left w:w="80" w:type="dxa"/>
              <w:bottom w:w="60" w:type="dxa"/>
              <w:right w:w="80" w:type="dxa"/>
            </w:tcMar>
            <w:vAlign w:val="center"/>
          </w:tcPr>
          <w:p w14:paraId="6975F8D8"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1" w:type="dxa"/>
            <w:shd w:val="clear" w:color="auto" w:fill="E8F5E9"/>
            <w:tcMar>
              <w:top w:w="60" w:type="dxa"/>
              <w:left w:w="80" w:type="dxa"/>
              <w:bottom w:w="60" w:type="dxa"/>
              <w:right w:w="80" w:type="dxa"/>
            </w:tcMar>
            <w:vAlign w:val="center"/>
          </w:tcPr>
          <w:p w14:paraId="6DD86E21"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2" w:type="dxa"/>
            <w:shd w:val="clear" w:color="auto" w:fill="E8F5E9"/>
            <w:tcMar>
              <w:top w:w="60" w:type="dxa"/>
              <w:left w:w="80" w:type="dxa"/>
              <w:bottom w:w="60" w:type="dxa"/>
              <w:right w:w="80" w:type="dxa"/>
            </w:tcMar>
            <w:vAlign w:val="center"/>
          </w:tcPr>
          <w:p w14:paraId="2305D05E"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620" w:type="dxa"/>
            <w:shd w:val="clear" w:color="auto" w:fill="E8F5E9"/>
            <w:tcMar>
              <w:top w:w="60" w:type="dxa"/>
              <w:left w:w="80" w:type="dxa"/>
              <w:bottom w:w="60" w:type="dxa"/>
              <w:right w:w="80" w:type="dxa"/>
            </w:tcMar>
            <w:vAlign w:val="center"/>
          </w:tcPr>
          <w:p w14:paraId="31175AAD"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90" w:type="dxa"/>
            <w:shd w:val="clear" w:color="auto" w:fill="E8F5E9"/>
            <w:tcMar>
              <w:top w:w="60" w:type="dxa"/>
              <w:left w:w="80" w:type="dxa"/>
              <w:bottom w:w="60" w:type="dxa"/>
              <w:right w:w="80" w:type="dxa"/>
            </w:tcMar>
            <w:vAlign w:val="center"/>
          </w:tcPr>
          <w:p w14:paraId="67FE5EFC"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71" w:type="dxa"/>
            <w:shd w:val="clear" w:color="auto" w:fill="E8F5E9"/>
            <w:tcMar>
              <w:top w:w="60" w:type="dxa"/>
              <w:left w:w="80" w:type="dxa"/>
              <w:bottom w:w="60" w:type="dxa"/>
              <w:right w:w="80" w:type="dxa"/>
            </w:tcMar>
            <w:vAlign w:val="center"/>
          </w:tcPr>
          <w:p w14:paraId="248ED5F8"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08" w:type="dxa"/>
            <w:shd w:val="clear" w:color="auto" w:fill="E8F5E9"/>
            <w:tcMar>
              <w:top w:w="60" w:type="dxa"/>
              <w:left w:w="80" w:type="dxa"/>
              <w:bottom w:w="60" w:type="dxa"/>
              <w:right w:w="80" w:type="dxa"/>
            </w:tcMar>
            <w:vAlign w:val="center"/>
          </w:tcPr>
          <w:p w14:paraId="16B35E91"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1383" w:type="dxa"/>
            <w:shd w:val="clear" w:color="auto" w:fill="2E7D32"/>
            <w:tcMar>
              <w:top w:w="60" w:type="dxa"/>
              <w:left w:w="80" w:type="dxa"/>
              <w:bottom w:w="60" w:type="dxa"/>
              <w:right w:w="80" w:type="dxa"/>
            </w:tcMar>
            <w:vAlign w:val="center"/>
          </w:tcPr>
          <w:p w14:paraId="7A3FA17C"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568EE85A" w14:textId="77777777" w:rsidTr="003C477A">
        <w:tc>
          <w:tcPr>
            <w:tcW w:w="1051" w:type="dxa"/>
            <w:shd w:val="clear" w:color="auto" w:fill="FFFFFF"/>
            <w:tcMar>
              <w:top w:w="80" w:type="dxa"/>
              <w:left w:w="120" w:type="dxa"/>
              <w:bottom w:w="80" w:type="dxa"/>
              <w:right w:w="120" w:type="dxa"/>
            </w:tcMar>
            <w:vAlign w:val="center"/>
          </w:tcPr>
          <w:p w14:paraId="3B2F4B09"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0D2B4E"/>
                <w:sz w:val="18"/>
                <w:szCs w:val="18"/>
              </w:rPr>
              <w:t>Mathur et al. (2020)</w:t>
            </w:r>
          </w:p>
        </w:tc>
        <w:tc>
          <w:tcPr>
            <w:tcW w:w="1106" w:type="dxa"/>
            <w:shd w:val="clear" w:color="auto" w:fill="E8F5E9"/>
            <w:tcMar>
              <w:top w:w="60" w:type="dxa"/>
              <w:left w:w="80" w:type="dxa"/>
              <w:bottom w:w="60" w:type="dxa"/>
              <w:right w:w="80" w:type="dxa"/>
            </w:tcMar>
            <w:vAlign w:val="center"/>
          </w:tcPr>
          <w:p w14:paraId="205E5C88"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81" w:type="dxa"/>
            <w:shd w:val="clear" w:color="auto" w:fill="E8F5E9"/>
            <w:tcMar>
              <w:top w:w="60" w:type="dxa"/>
              <w:left w:w="80" w:type="dxa"/>
              <w:bottom w:w="60" w:type="dxa"/>
              <w:right w:w="80" w:type="dxa"/>
            </w:tcMar>
            <w:vAlign w:val="center"/>
          </w:tcPr>
          <w:p w14:paraId="5F109317"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81" w:type="dxa"/>
            <w:shd w:val="clear" w:color="auto" w:fill="E8F5E9"/>
            <w:tcMar>
              <w:top w:w="60" w:type="dxa"/>
              <w:left w:w="80" w:type="dxa"/>
              <w:bottom w:w="60" w:type="dxa"/>
              <w:right w:w="80" w:type="dxa"/>
            </w:tcMar>
            <w:vAlign w:val="center"/>
          </w:tcPr>
          <w:p w14:paraId="19E7B05A"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1" w:type="dxa"/>
            <w:shd w:val="clear" w:color="auto" w:fill="E8F5E9"/>
            <w:tcMar>
              <w:top w:w="60" w:type="dxa"/>
              <w:left w:w="80" w:type="dxa"/>
              <w:bottom w:w="60" w:type="dxa"/>
              <w:right w:w="80" w:type="dxa"/>
            </w:tcMar>
            <w:vAlign w:val="center"/>
          </w:tcPr>
          <w:p w14:paraId="68651BC0"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2" w:type="dxa"/>
            <w:shd w:val="clear" w:color="auto" w:fill="E8F5E9"/>
            <w:tcMar>
              <w:top w:w="60" w:type="dxa"/>
              <w:left w:w="80" w:type="dxa"/>
              <w:bottom w:w="60" w:type="dxa"/>
              <w:right w:w="80" w:type="dxa"/>
            </w:tcMar>
            <w:vAlign w:val="center"/>
          </w:tcPr>
          <w:p w14:paraId="09E6714A"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620" w:type="dxa"/>
            <w:shd w:val="clear" w:color="auto" w:fill="E8F5E9"/>
            <w:tcMar>
              <w:top w:w="60" w:type="dxa"/>
              <w:left w:w="80" w:type="dxa"/>
              <w:bottom w:w="60" w:type="dxa"/>
              <w:right w:w="80" w:type="dxa"/>
            </w:tcMar>
            <w:vAlign w:val="center"/>
          </w:tcPr>
          <w:p w14:paraId="6894E3DF"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90" w:type="dxa"/>
            <w:shd w:val="clear" w:color="auto" w:fill="E8F5E9"/>
            <w:tcMar>
              <w:top w:w="60" w:type="dxa"/>
              <w:left w:w="80" w:type="dxa"/>
              <w:bottom w:w="60" w:type="dxa"/>
              <w:right w:w="80" w:type="dxa"/>
            </w:tcMar>
            <w:vAlign w:val="center"/>
          </w:tcPr>
          <w:p w14:paraId="32F6C07F"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71" w:type="dxa"/>
            <w:shd w:val="clear" w:color="auto" w:fill="E8F5E9"/>
            <w:tcMar>
              <w:top w:w="60" w:type="dxa"/>
              <w:left w:w="80" w:type="dxa"/>
              <w:bottom w:w="60" w:type="dxa"/>
              <w:right w:w="80" w:type="dxa"/>
            </w:tcMar>
            <w:vAlign w:val="center"/>
          </w:tcPr>
          <w:p w14:paraId="3F43A3D9"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08" w:type="dxa"/>
            <w:shd w:val="clear" w:color="auto" w:fill="E8F5E9"/>
            <w:tcMar>
              <w:top w:w="60" w:type="dxa"/>
              <w:left w:w="80" w:type="dxa"/>
              <w:bottom w:w="60" w:type="dxa"/>
              <w:right w:w="80" w:type="dxa"/>
            </w:tcMar>
            <w:vAlign w:val="center"/>
          </w:tcPr>
          <w:p w14:paraId="20F1A243"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1383" w:type="dxa"/>
            <w:shd w:val="clear" w:color="auto" w:fill="2E7D32"/>
            <w:tcMar>
              <w:top w:w="60" w:type="dxa"/>
              <w:left w:w="80" w:type="dxa"/>
              <w:bottom w:w="60" w:type="dxa"/>
              <w:right w:w="80" w:type="dxa"/>
            </w:tcMar>
            <w:vAlign w:val="center"/>
          </w:tcPr>
          <w:p w14:paraId="70EAA36D"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6B156966" w14:textId="77777777" w:rsidTr="003C477A">
        <w:tc>
          <w:tcPr>
            <w:tcW w:w="1051" w:type="dxa"/>
            <w:shd w:val="clear" w:color="auto" w:fill="EDF2F7"/>
            <w:tcMar>
              <w:top w:w="80" w:type="dxa"/>
              <w:left w:w="120" w:type="dxa"/>
              <w:bottom w:w="80" w:type="dxa"/>
              <w:right w:w="120" w:type="dxa"/>
            </w:tcMar>
            <w:vAlign w:val="center"/>
          </w:tcPr>
          <w:p w14:paraId="4EAC2A19"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0D2B4E"/>
                <w:sz w:val="18"/>
                <w:szCs w:val="18"/>
              </w:rPr>
              <w:t>Mathur et al. (2022)</w:t>
            </w:r>
          </w:p>
        </w:tc>
        <w:tc>
          <w:tcPr>
            <w:tcW w:w="1106" w:type="dxa"/>
            <w:shd w:val="clear" w:color="auto" w:fill="E8F5E9"/>
            <w:tcMar>
              <w:top w:w="60" w:type="dxa"/>
              <w:left w:w="80" w:type="dxa"/>
              <w:bottom w:w="60" w:type="dxa"/>
              <w:right w:w="80" w:type="dxa"/>
            </w:tcMar>
            <w:vAlign w:val="center"/>
          </w:tcPr>
          <w:p w14:paraId="3DD7EA0F"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81" w:type="dxa"/>
            <w:shd w:val="clear" w:color="auto" w:fill="E8F5E9"/>
            <w:tcMar>
              <w:top w:w="60" w:type="dxa"/>
              <w:left w:w="80" w:type="dxa"/>
              <w:bottom w:w="60" w:type="dxa"/>
              <w:right w:w="80" w:type="dxa"/>
            </w:tcMar>
            <w:vAlign w:val="center"/>
          </w:tcPr>
          <w:p w14:paraId="1F3B0749"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81" w:type="dxa"/>
            <w:shd w:val="clear" w:color="auto" w:fill="E8F5E9"/>
            <w:tcMar>
              <w:top w:w="60" w:type="dxa"/>
              <w:left w:w="80" w:type="dxa"/>
              <w:bottom w:w="60" w:type="dxa"/>
              <w:right w:w="80" w:type="dxa"/>
            </w:tcMar>
            <w:vAlign w:val="center"/>
          </w:tcPr>
          <w:p w14:paraId="36933A16"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1" w:type="dxa"/>
            <w:shd w:val="clear" w:color="auto" w:fill="E8F5E9"/>
            <w:tcMar>
              <w:top w:w="60" w:type="dxa"/>
              <w:left w:w="80" w:type="dxa"/>
              <w:bottom w:w="60" w:type="dxa"/>
              <w:right w:w="80" w:type="dxa"/>
            </w:tcMar>
            <w:vAlign w:val="center"/>
          </w:tcPr>
          <w:p w14:paraId="49282B2B"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2" w:type="dxa"/>
            <w:shd w:val="clear" w:color="auto" w:fill="E8F5E9"/>
            <w:tcMar>
              <w:top w:w="60" w:type="dxa"/>
              <w:left w:w="80" w:type="dxa"/>
              <w:bottom w:w="60" w:type="dxa"/>
              <w:right w:w="80" w:type="dxa"/>
            </w:tcMar>
            <w:vAlign w:val="center"/>
          </w:tcPr>
          <w:p w14:paraId="250CEDE9"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620" w:type="dxa"/>
            <w:shd w:val="clear" w:color="auto" w:fill="E8F5E9"/>
            <w:tcMar>
              <w:top w:w="60" w:type="dxa"/>
              <w:left w:w="80" w:type="dxa"/>
              <w:bottom w:w="60" w:type="dxa"/>
              <w:right w:w="80" w:type="dxa"/>
            </w:tcMar>
            <w:vAlign w:val="center"/>
          </w:tcPr>
          <w:p w14:paraId="7C0FBC96"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90" w:type="dxa"/>
            <w:shd w:val="clear" w:color="auto" w:fill="FFEBEE"/>
            <w:tcMar>
              <w:top w:w="60" w:type="dxa"/>
              <w:left w:w="80" w:type="dxa"/>
              <w:bottom w:w="60" w:type="dxa"/>
              <w:right w:w="80" w:type="dxa"/>
            </w:tcMar>
            <w:vAlign w:val="center"/>
          </w:tcPr>
          <w:p w14:paraId="02C2C87F"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B71C1C"/>
                <w:sz w:val="18"/>
                <w:szCs w:val="18"/>
              </w:rPr>
              <w:t>✕</w:t>
            </w:r>
          </w:p>
        </w:tc>
        <w:tc>
          <w:tcPr>
            <w:tcW w:w="971" w:type="dxa"/>
            <w:shd w:val="clear" w:color="auto" w:fill="E8F5E9"/>
            <w:tcMar>
              <w:top w:w="60" w:type="dxa"/>
              <w:left w:w="80" w:type="dxa"/>
              <w:bottom w:w="60" w:type="dxa"/>
              <w:right w:w="80" w:type="dxa"/>
            </w:tcMar>
            <w:vAlign w:val="center"/>
          </w:tcPr>
          <w:p w14:paraId="05926950"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08" w:type="dxa"/>
            <w:shd w:val="clear" w:color="auto" w:fill="FFF8E1"/>
            <w:tcMar>
              <w:top w:w="60" w:type="dxa"/>
              <w:left w:w="80" w:type="dxa"/>
              <w:bottom w:w="60" w:type="dxa"/>
              <w:right w:w="80" w:type="dxa"/>
            </w:tcMar>
            <w:vAlign w:val="center"/>
          </w:tcPr>
          <w:p w14:paraId="5CDEC5E1"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383" w:type="dxa"/>
            <w:shd w:val="clear" w:color="auto" w:fill="2E7D32"/>
            <w:tcMar>
              <w:top w:w="60" w:type="dxa"/>
              <w:left w:w="80" w:type="dxa"/>
              <w:bottom w:w="60" w:type="dxa"/>
              <w:right w:w="80" w:type="dxa"/>
            </w:tcMar>
            <w:vAlign w:val="center"/>
          </w:tcPr>
          <w:p w14:paraId="695A32D3"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5C463CA9" w14:textId="77777777" w:rsidTr="003C477A">
        <w:tc>
          <w:tcPr>
            <w:tcW w:w="1051" w:type="dxa"/>
            <w:shd w:val="clear" w:color="auto" w:fill="FFFFFF"/>
            <w:tcMar>
              <w:top w:w="80" w:type="dxa"/>
              <w:left w:w="120" w:type="dxa"/>
              <w:bottom w:w="80" w:type="dxa"/>
              <w:right w:w="120" w:type="dxa"/>
            </w:tcMar>
            <w:vAlign w:val="center"/>
          </w:tcPr>
          <w:p w14:paraId="3572D82A"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0D2B4E"/>
                <w:sz w:val="18"/>
                <w:szCs w:val="18"/>
              </w:rPr>
              <w:lastRenderedPageBreak/>
              <w:t>Howarth et al. (2020)</w:t>
            </w:r>
          </w:p>
        </w:tc>
        <w:tc>
          <w:tcPr>
            <w:tcW w:w="1106" w:type="dxa"/>
            <w:shd w:val="clear" w:color="auto" w:fill="E8F5E9"/>
            <w:tcMar>
              <w:top w:w="60" w:type="dxa"/>
              <w:left w:w="80" w:type="dxa"/>
              <w:bottom w:w="60" w:type="dxa"/>
              <w:right w:w="80" w:type="dxa"/>
            </w:tcMar>
            <w:vAlign w:val="center"/>
          </w:tcPr>
          <w:p w14:paraId="11DB92C3"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81" w:type="dxa"/>
            <w:shd w:val="clear" w:color="auto" w:fill="E8F5E9"/>
            <w:tcMar>
              <w:top w:w="60" w:type="dxa"/>
              <w:left w:w="80" w:type="dxa"/>
              <w:bottom w:w="60" w:type="dxa"/>
              <w:right w:w="80" w:type="dxa"/>
            </w:tcMar>
            <w:vAlign w:val="center"/>
          </w:tcPr>
          <w:p w14:paraId="2F99EB9A"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81" w:type="dxa"/>
            <w:shd w:val="clear" w:color="auto" w:fill="E8F5E9"/>
            <w:tcMar>
              <w:top w:w="60" w:type="dxa"/>
              <w:left w:w="80" w:type="dxa"/>
              <w:bottom w:w="60" w:type="dxa"/>
              <w:right w:w="80" w:type="dxa"/>
            </w:tcMar>
            <w:vAlign w:val="center"/>
          </w:tcPr>
          <w:p w14:paraId="3EF04597"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1" w:type="dxa"/>
            <w:shd w:val="clear" w:color="auto" w:fill="E8F5E9"/>
            <w:tcMar>
              <w:top w:w="60" w:type="dxa"/>
              <w:left w:w="80" w:type="dxa"/>
              <w:bottom w:w="60" w:type="dxa"/>
              <w:right w:w="80" w:type="dxa"/>
            </w:tcMar>
            <w:vAlign w:val="center"/>
          </w:tcPr>
          <w:p w14:paraId="22AA991C"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2" w:type="dxa"/>
            <w:shd w:val="clear" w:color="auto" w:fill="FFF8E1"/>
            <w:tcMar>
              <w:top w:w="60" w:type="dxa"/>
              <w:left w:w="80" w:type="dxa"/>
              <w:bottom w:w="60" w:type="dxa"/>
              <w:right w:w="80" w:type="dxa"/>
            </w:tcMar>
            <w:vAlign w:val="center"/>
          </w:tcPr>
          <w:p w14:paraId="05C08631"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620" w:type="dxa"/>
            <w:shd w:val="clear" w:color="auto" w:fill="E8F5E9"/>
            <w:tcMar>
              <w:top w:w="60" w:type="dxa"/>
              <w:left w:w="80" w:type="dxa"/>
              <w:bottom w:w="60" w:type="dxa"/>
              <w:right w:w="80" w:type="dxa"/>
            </w:tcMar>
            <w:vAlign w:val="center"/>
          </w:tcPr>
          <w:p w14:paraId="45E8B00F"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90" w:type="dxa"/>
            <w:shd w:val="clear" w:color="auto" w:fill="FFEBEE"/>
            <w:tcMar>
              <w:top w:w="60" w:type="dxa"/>
              <w:left w:w="80" w:type="dxa"/>
              <w:bottom w:w="60" w:type="dxa"/>
              <w:right w:w="80" w:type="dxa"/>
            </w:tcMar>
            <w:vAlign w:val="center"/>
          </w:tcPr>
          <w:p w14:paraId="0AB71A60"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B71C1C"/>
                <w:sz w:val="18"/>
                <w:szCs w:val="18"/>
              </w:rPr>
              <w:t>✕</w:t>
            </w:r>
          </w:p>
        </w:tc>
        <w:tc>
          <w:tcPr>
            <w:tcW w:w="971" w:type="dxa"/>
            <w:shd w:val="clear" w:color="auto" w:fill="E8F5E9"/>
            <w:tcMar>
              <w:top w:w="60" w:type="dxa"/>
              <w:left w:w="80" w:type="dxa"/>
              <w:bottom w:w="60" w:type="dxa"/>
              <w:right w:w="80" w:type="dxa"/>
            </w:tcMar>
            <w:vAlign w:val="center"/>
          </w:tcPr>
          <w:p w14:paraId="2D7B9012"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08" w:type="dxa"/>
            <w:shd w:val="clear" w:color="auto" w:fill="FFF8E1"/>
            <w:tcMar>
              <w:top w:w="60" w:type="dxa"/>
              <w:left w:w="80" w:type="dxa"/>
              <w:bottom w:w="60" w:type="dxa"/>
              <w:right w:w="80" w:type="dxa"/>
            </w:tcMar>
            <w:vAlign w:val="center"/>
          </w:tcPr>
          <w:p w14:paraId="7852C90B"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383" w:type="dxa"/>
            <w:shd w:val="clear" w:color="auto" w:fill="2E7D32"/>
            <w:tcMar>
              <w:top w:w="60" w:type="dxa"/>
              <w:left w:w="80" w:type="dxa"/>
              <w:bottom w:w="60" w:type="dxa"/>
              <w:right w:w="80" w:type="dxa"/>
            </w:tcMar>
            <w:vAlign w:val="center"/>
          </w:tcPr>
          <w:p w14:paraId="1AF7A847"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381B360B" w14:textId="77777777" w:rsidTr="003C477A">
        <w:tc>
          <w:tcPr>
            <w:tcW w:w="1051" w:type="dxa"/>
            <w:shd w:val="clear" w:color="auto" w:fill="EDF2F7"/>
            <w:tcMar>
              <w:top w:w="80" w:type="dxa"/>
              <w:left w:w="120" w:type="dxa"/>
              <w:bottom w:w="80" w:type="dxa"/>
              <w:right w:w="120" w:type="dxa"/>
            </w:tcMar>
            <w:vAlign w:val="center"/>
          </w:tcPr>
          <w:p w14:paraId="49017D2E"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0D2B4E"/>
                <w:sz w:val="18"/>
                <w:szCs w:val="18"/>
              </w:rPr>
              <w:t>Zeh et al. (2016)</w:t>
            </w:r>
          </w:p>
        </w:tc>
        <w:tc>
          <w:tcPr>
            <w:tcW w:w="1106" w:type="dxa"/>
            <w:shd w:val="clear" w:color="auto" w:fill="E8F5E9"/>
            <w:tcMar>
              <w:top w:w="60" w:type="dxa"/>
              <w:left w:w="80" w:type="dxa"/>
              <w:bottom w:w="60" w:type="dxa"/>
              <w:right w:w="80" w:type="dxa"/>
            </w:tcMar>
            <w:vAlign w:val="center"/>
          </w:tcPr>
          <w:p w14:paraId="592C33B0"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81" w:type="dxa"/>
            <w:shd w:val="clear" w:color="auto" w:fill="FFF8E1"/>
            <w:tcMar>
              <w:top w:w="60" w:type="dxa"/>
              <w:left w:w="80" w:type="dxa"/>
              <w:bottom w:w="60" w:type="dxa"/>
              <w:right w:w="80" w:type="dxa"/>
            </w:tcMar>
            <w:vAlign w:val="center"/>
          </w:tcPr>
          <w:p w14:paraId="0FC7C8F2"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981" w:type="dxa"/>
            <w:shd w:val="clear" w:color="auto" w:fill="FFF8E1"/>
            <w:tcMar>
              <w:top w:w="60" w:type="dxa"/>
              <w:left w:w="80" w:type="dxa"/>
              <w:bottom w:w="60" w:type="dxa"/>
              <w:right w:w="80" w:type="dxa"/>
            </w:tcMar>
            <w:vAlign w:val="center"/>
          </w:tcPr>
          <w:p w14:paraId="7E74B5DD"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941" w:type="dxa"/>
            <w:shd w:val="clear" w:color="auto" w:fill="FFF8E1"/>
            <w:tcMar>
              <w:top w:w="60" w:type="dxa"/>
              <w:left w:w="80" w:type="dxa"/>
              <w:bottom w:w="60" w:type="dxa"/>
              <w:right w:w="80" w:type="dxa"/>
            </w:tcMar>
            <w:vAlign w:val="center"/>
          </w:tcPr>
          <w:p w14:paraId="5E71EA33"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732" w:type="dxa"/>
            <w:shd w:val="clear" w:color="auto" w:fill="FFF8E1"/>
            <w:tcMar>
              <w:top w:w="60" w:type="dxa"/>
              <w:left w:w="80" w:type="dxa"/>
              <w:bottom w:w="60" w:type="dxa"/>
              <w:right w:w="80" w:type="dxa"/>
            </w:tcMar>
            <w:vAlign w:val="center"/>
          </w:tcPr>
          <w:p w14:paraId="53329DBD"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620" w:type="dxa"/>
            <w:shd w:val="clear" w:color="auto" w:fill="FFF8E1"/>
            <w:tcMar>
              <w:top w:w="60" w:type="dxa"/>
              <w:left w:w="80" w:type="dxa"/>
              <w:bottom w:w="60" w:type="dxa"/>
              <w:right w:w="80" w:type="dxa"/>
            </w:tcMar>
            <w:vAlign w:val="center"/>
          </w:tcPr>
          <w:p w14:paraId="57DA3520"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790" w:type="dxa"/>
            <w:shd w:val="clear" w:color="auto" w:fill="FFEBEE"/>
            <w:tcMar>
              <w:top w:w="60" w:type="dxa"/>
              <w:left w:w="80" w:type="dxa"/>
              <w:bottom w:w="60" w:type="dxa"/>
              <w:right w:w="80" w:type="dxa"/>
            </w:tcMar>
            <w:vAlign w:val="center"/>
          </w:tcPr>
          <w:p w14:paraId="6934E1D1"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B71C1C"/>
                <w:sz w:val="18"/>
                <w:szCs w:val="18"/>
              </w:rPr>
              <w:t>✕</w:t>
            </w:r>
          </w:p>
        </w:tc>
        <w:tc>
          <w:tcPr>
            <w:tcW w:w="971" w:type="dxa"/>
            <w:shd w:val="clear" w:color="auto" w:fill="FFF8E1"/>
            <w:tcMar>
              <w:top w:w="60" w:type="dxa"/>
              <w:left w:w="80" w:type="dxa"/>
              <w:bottom w:w="60" w:type="dxa"/>
              <w:right w:w="80" w:type="dxa"/>
            </w:tcMar>
            <w:vAlign w:val="center"/>
          </w:tcPr>
          <w:p w14:paraId="2CC7FCEC"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708" w:type="dxa"/>
            <w:shd w:val="clear" w:color="auto" w:fill="FFF8E1"/>
            <w:tcMar>
              <w:top w:w="60" w:type="dxa"/>
              <w:left w:w="80" w:type="dxa"/>
              <w:bottom w:w="60" w:type="dxa"/>
              <w:right w:w="80" w:type="dxa"/>
            </w:tcMar>
            <w:vAlign w:val="center"/>
          </w:tcPr>
          <w:p w14:paraId="0F3EB617"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383" w:type="dxa"/>
            <w:shd w:val="clear" w:color="auto" w:fill="C17D00"/>
            <w:tcMar>
              <w:top w:w="60" w:type="dxa"/>
              <w:left w:w="80" w:type="dxa"/>
              <w:bottom w:w="60" w:type="dxa"/>
              <w:right w:w="80" w:type="dxa"/>
            </w:tcMar>
            <w:vAlign w:val="center"/>
          </w:tcPr>
          <w:p w14:paraId="73DC475A"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Moderate</w:t>
            </w:r>
          </w:p>
        </w:tc>
      </w:tr>
      <w:tr w:rsidR="00144F46" w:rsidRPr="005978B5" w14:paraId="01367292" w14:textId="77777777" w:rsidTr="003C477A">
        <w:tc>
          <w:tcPr>
            <w:tcW w:w="10064" w:type="dxa"/>
            <w:gridSpan w:val="11"/>
            <w:shd w:val="clear" w:color="auto" w:fill="E2EAF3"/>
            <w:tcMar>
              <w:top w:w="80" w:type="dxa"/>
              <w:left w:w="120" w:type="dxa"/>
              <w:bottom w:w="80" w:type="dxa"/>
              <w:right w:w="120" w:type="dxa"/>
            </w:tcMar>
          </w:tcPr>
          <w:p w14:paraId="6FB2810C"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111827"/>
                <w:sz w:val="18"/>
                <w:szCs w:val="18"/>
              </w:rPr>
              <w:t xml:space="preserve">CASP Cohort Study Checklist (12 items) applied. </w:t>
            </w:r>
            <w:r w:rsidRPr="005978B5">
              <w:rPr>
                <w:rFonts w:ascii="Arial" w:eastAsia="Arial" w:hAnsi="Arial" w:cs="Arial"/>
                <w:color w:val="374151"/>
                <w:sz w:val="18"/>
                <w:szCs w:val="18"/>
              </w:rPr>
              <w:t xml:space="preserve">C1 = Clearly focused issue; C2 = Cohort recruited appropriately; C3 = Exposure measured accurately; C4 = Outcome measured accurately; C5 = Confounding factors identified; C6 = Confounders accounted for; C7 = Follow-up complete (N/A for cross-sectional); C8 = Results precise; C9 = Applicable to local population. </w:t>
            </w:r>
            <w:r w:rsidRPr="005978B5">
              <w:rPr>
                <w:rFonts w:ascii="Segoe UI Symbol" w:eastAsia="Arial" w:hAnsi="Segoe UI Symbol" w:cs="Segoe UI Symbol"/>
                <w:color w:val="6B7280"/>
                <w:sz w:val="18"/>
                <w:szCs w:val="18"/>
              </w:rPr>
              <w:t>✓</w:t>
            </w:r>
            <w:r w:rsidRPr="005978B5">
              <w:rPr>
                <w:rFonts w:ascii="Arial" w:eastAsia="Arial" w:hAnsi="Arial" w:cs="Arial"/>
                <w:color w:val="6B7280"/>
                <w:sz w:val="18"/>
                <w:szCs w:val="18"/>
              </w:rPr>
              <w:t xml:space="preserve"> = Yes/Met  ~ = Partial/Can’t tell  </w:t>
            </w:r>
            <w:r w:rsidRPr="005978B5">
              <w:rPr>
                <w:rFonts w:ascii="Segoe UI Symbol" w:eastAsia="Arial" w:hAnsi="Segoe UI Symbol" w:cs="Segoe UI Symbol"/>
                <w:color w:val="6B7280"/>
                <w:sz w:val="18"/>
                <w:szCs w:val="18"/>
              </w:rPr>
              <w:t>✕</w:t>
            </w:r>
            <w:r w:rsidRPr="005978B5">
              <w:rPr>
                <w:rFonts w:ascii="Arial" w:eastAsia="Arial" w:hAnsi="Arial" w:cs="Arial"/>
                <w:color w:val="6B7280"/>
                <w:sz w:val="18"/>
                <w:szCs w:val="18"/>
              </w:rPr>
              <w:t xml:space="preserve"> = No/Not met/Not applicable.</w:t>
            </w:r>
          </w:p>
        </w:tc>
      </w:tr>
    </w:tbl>
    <w:p w14:paraId="6353C1E6" w14:textId="32A43E4C"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17FA7733" w14:textId="77777777" w:rsidR="00F12FF3" w:rsidRPr="005978B5" w:rsidRDefault="00F12FF3" w:rsidP="00BB31B7">
      <w:pPr>
        <w:tabs>
          <w:tab w:val="left" w:pos="3495"/>
        </w:tabs>
        <w:spacing w:line="360" w:lineRule="auto"/>
        <w:jc w:val="both"/>
        <w:rPr>
          <w:rFonts w:ascii="Arial" w:hAnsi="Arial" w:cs="Arial"/>
          <w:b/>
        </w:rPr>
      </w:pPr>
      <w:r w:rsidRPr="005978B5">
        <w:rPr>
          <w:rFonts w:ascii="Arial" w:hAnsi="Arial" w:cs="Arial"/>
          <w:b/>
        </w:rPr>
        <w:t>Table B3 — Mixed-methods and Feasibility RCT Studies (n = 3) — CASP Checklist</w:t>
      </w:r>
    </w:p>
    <w:tbl>
      <w:tblPr>
        <w:tblW w:w="94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60"/>
        <w:gridCol w:w="698"/>
        <w:gridCol w:w="943"/>
        <w:gridCol w:w="894"/>
        <w:gridCol w:w="637"/>
        <w:gridCol w:w="821"/>
        <w:gridCol w:w="1065"/>
        <w:gridCol w:w="1077"/>
        <w:gridCol w:w="735"/>
        <w:gridCol w:w="1367"/>
      </w:tblGrid>
      <w:tr w:rsidR="00144F46" w:rsidRPr="005978B5" w14:paraId="4AB794F7" w14:textId="77777777" w:rsidTr="003C477A">
        <w:trPr>
          <w:tblHeader/>
        </w:trPr>
        <w:tc>
          <w:tcPr>
            <w:tcW w:w="1260" w:type="dxa"/>
            <w:shd w:val="clear" w:color="auto" w:fill="4A148C"/>
            <w:tcMar>
              <w:top w:w="80" w:type="dxa"/>
              <w:left w:w="120" w:type="dxa"/>
              <w:bottom w:w="80" w:type="dxa"/>
              <w:right w:w="120" w:type="dxa"/>
            </w:tcMar>
            <w:vAlign w:val="center"/>
          </w:tcPr>
          <w:p w14:paraId="2DEDAB3C" w14:textId="77777777" w:rsidR="00B42E3E" w:rsidRPr="005978B5" w:rsidRDefault="00B42E3E" w:rsidP="005978B5">
            <w:pPr>
              <w:spacing w:line="240" w:lineRule="auto"/>
              <w:rPr>
                <w:rFonts w:ascii="Arial" w:hAnsi="Arial" w:cs="Arial"/>
                <w:sz w:val="18"/>
                <w:szCs w:val="18"/>
              </w:rPr>
            </w:pPr>
            <w:r w:rsidRPr="005978B5">
              <w:rPr>
                <w:rFonts w:ascii="Arial" w:eastAsia="Arial" w:hAnsi="Arial" w:cs="Arial"/>
                <w:b/>
                <w:bCs/>
                <w:color w:val="FFFFFF"/>
                <w:sz w:val="18"/>
                <w:szCs w:val="18"/>
              </w:rPr>
              <w:t>Author(s) &amp; Year</w:t>
            </w:r>
          </w:p>
        </w:tc>
        <w:tc>
          <w:tcPr>
            <w:tcW w:w="698" w:type="dxa"/>
            <w:shd w:val="clear" w:color="auto" w:fill="4A148C"/>
            <w:tcMar>
              <w:top w:w="60" w:type="dxa"/>
              <w:left w:w="80" w:type="dxa"/>
              <w:bottom w:w="60" w:type="dxa"/>
              <w:right w:w="80" w:type="dxa"/>
            </w:tcMar>
            <w:vAlign w:val="center"/>
          </w:tcPr>
          <w:p w14:paraId="11CEDB84"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M1 Aims</w:t>
            </w:r>
          </w:p>
        </w:tc>
        <w:tc>
          <w:tcPr>
            <w:tcW w:w="943" w:type="dxa"/>
            <w:shd w:val="clear" w:color="auto" w:fill="4A148C"/>
            <w:tcMar>
              <w:top w:w="60" w:type="dxa"/>
              <w:left w:w="80" w:type="dxa"/>
              <w:bottom w:w="60" w:type="dxa"/>
              <w:right w:w="80" w:type="dxa"/>
            </w:tcMar>
            <w:vAlign w:val="center"/>
          </w:tcPr>
          <w:p w14:paraId="47C80BB4"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M2 Method</w:t>
            </w:r>
          </w:p>
        </w:tc>
        <w:tc>
          <w:tcPr>
            <w:tcW w:w="894" w:type="dxa"/>
            <w:shd w:val="clear" w:color="auto" w:fill="4A148C"/>
            <w:tcMar>
              <w:top w:w="60" w:type="dxa"/>
              <w:left w:w="80" w:type="dxa"/>
              <w:bottom w:w="60" w:type="dxa"/>
              <w:right w:w="80" w:type="dxa"/>
            </w:tcMar>
            <w:vAlign w:val="center"/>
          </w:tcPr>
          <w:p w14:paraId="6075CD6F"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M3 Design</w:t>
            </w:r>
          </w:p>
        </w:tc>
        <w:tc>
          <w:tcPr>
            <w:tcW w:w="637" w:type="dxa"/>
            <w:shd w:val="clear" w:color="auto" w:fill="4A148C"/>
            <w:tcMar>
              <w:top w:w="60" w:type="dxa"/>
              <w:left w:w="80" w:type="dxa"/>
              <w:bottom w:w="60" w:type="dxa"/>
              <w:right w:w="80" w:type="dxa"/>
            </w:tcMar>
            <w:vAlign w:val="center"/>
          </w:tcPr>
          <w:p w14:paraId="2256FB62"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M4 Data Coll.</w:t>
            </w:r>
          </w:p>
        </w:tc>
        <w:tc>
          <w:tcPr>
            <w:tcW w:w="821" w:type="dxa"/>
            <w:shd w:val="clear" w:color="auto" w:fill="4A148C"/>
            <w:tcMar>
              <w:top w:w="60" w:type="dxa"/>
              <w:left w:w="80" w:type="dxa"/>
              <w:bottom w:w="60" w:type="dxa"/>
              <w:right w:w="80" w:type="dxa"/>
            </w:tcMar>
            <w:vAlign w:val="center"/>
          </w:tcPr>
          <w:p w14:paraId="7DF6B331"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M5 Ethics</w:t>
            </w:r>
          </w:p>
        </w:tc>
        <w:tc>
          <w:tcPr>
            <w:tcW w:w="1065" w:type="dxa"/>
            <w:shd w:val="clear" w:color="auto" w:fill="4A148C"/>
            <w:tcMar>
              <w:top w:w="60" w:type="dxa"/>
              <w:left w:w="80" w:type="dxa"/>
              <w:bottom w:w="60" w:type="dxa"/>
              <w:right w:w="80" w:type="dxa"/>
            </w:tcMar>
            <w:vAlign w:val="center"/>
          </w:tcPr>
          <w:p w14:paraId="7C4561C6"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M6 Analysis</w:t>
            </w:r>
          </w:p>
        </w:tc>
        <w:tc>
          <w:tcPr>
            <w:tcW w:w="1077" w:type="dxa"/>
            <w:shd w:val="clear" w:color="auto" w:fill="4A148C"/>
            <w:tcMar>
              <w:top w:w="60" w:type="dxa"/>
              <w:left w:w="80" w:type="dxa"/>
              <w:bottom w:w="60" w:type="dxa"/>
              <w:right w:w="80" w:type="dxa"/>
            </w:tcMar>
            <w:vAlign w:val="center"/>
          </w:tcPr>
          <w:p w14:paraId="0CC4D641"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M7 Findings</w:t>
            </w:r>
          </w:p>
        </w:tc>
        <w:tc>
          <w:tcPr>
            <w:tcW w:w="735" w:type="dxa"/>
            <w:shd w:val="clear" w:color="auto" w:fill="4A148C"/>
            <w:tcMar>
              <w:top w:w="60" w:type="dxa"/>
              <w:left w:w="80" w:type="dxa"/>
              <w:bottom w:w="60" w:type="dxa"/>
              <w:right w:w="80" w:type="dxa"/>
            </w:tcMar>
            <w:vAlign w:val="center"/>
          </w:tcPr>
          <w:p w14:paraId="765C2FAF"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M8 Value</w:t>
            </w:r>
          </w:p>
        </w:tc>
        <w:tc>
          <w:tcPr>
            <w:tcW w:w="1367" w:type="dxa"/>
            <w:shd w:val="clear" w:color="auto" w:fill="4A148C"/>
            <w:tcMar>
              <w:top w:w="60" w:type="dxa"/>
              <w:left w:w="80" w:type="dxa"/>
              <w:bottom w:w="60" w:type="dxa"/>
              <w:right w:w="80" w:type="dxa"/>
            </w:tcMar>
            <w:vAlign w:val="center"/>
          </w:tcPr>
          <w:p w14:paraId="499E55FE"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Overall Quality</w:t>
            </w:r>
          </w:p>
        </w:tc>
      </w:tr>
      <w:tr w:rsidR="00144F46" w:rsidRPr="005978B5" w14:paraId="0187DED6" w14:textId="77777777" w:rsidTr="003C477A">
        <w:tc>
          <w:tcPr>
            <w:tcW w:w="1260" w:type="dxa"/>
            <w:shd w:val="clear" w:color="auto" w:fill="FFFFFF"/>
            <w:tcMar>
              <w:top w:w="80" w:type="dxa"/>
              <w:left w:w="120" w:type="dxa"/>
              <w:bottom w:w="80" w:type="dxa"/>
              <w:right w:w="120" w:type="dxa"/>
            </w:tcMar>
            <w:vAlign w:val="center"/>
          </w:tcPr>
          <w:p w14:paraId="2921606A" w14:textId="77777777" w:rsidR="00B42E3E" w:rsidRPr="005978B5" w:rsidRDefault="00B42E3E" w:rsidP="005978B5">
            <w:pPr>
              <w:spacing w:line="240" w:lineRule="auto"/>
              <w:rPr>
                <w:rFonts w:ascii="Arial" w:hAnsi="Arial" w:cs="Arial"/>
                <w:sz w:val="18"/>
                <w:szCs w:val="18"/>
              </w:rPr>
            </w:pPr>
            <w:r w:rsidRPr="005978B5">
              <w:rPr>
                <w:rFonts w:ascii="Arial" w:eastAsia="Arial" w:hAnsi="Arial" w:cs="Arial"/>
                <w:b/>
                <w:bCs/>
                <w:color w:val="0D2B4E"/>
                <w:sz w:val="18"/>
                <w:szCs w:val="18"/>
              </w:rPr>
              <w:t>Patel et al. (2015b)</w:t>
            </w:r>
          </w:p>
        </w:tc>
        <w:tc>
          <w:tcPr>
            <w:tcW w:w="698" w:type="dxa"/>
            <w:shd w:val="clear" w:color="auto" w:fill="E8F5E9"/>
            <w:tcMar>
              <w:top w:w="60" w:type="dxa"/>
              <w:left w:w="80" w:type="dxa"/>
              <w:bottom w:w="60" w:type="dxa"/>
              <w:right w:w="80" w:type="dxa"/>
            </w:tcMar>
            <w:vAlign w:val="center"/>
          </w:tcPr>
          <w:p w14:paraId="007C9036"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3" w:type="dxa"/>
            <w:shd w:val="clear" w:color="auto" w:fill="E8F5E9"/>
            <w:tcMar>
              <w:top w:w="60" w:type="dxa"/>
              <w:left w:w="80" w:type="dxa"/>
              <w:bottom w:w="60" w:type="dxa"/>
              <w:right w:w="80" w:type="dxa"/>
            </w:tcMar>
            <w:vAlign w:val="center"/>
          </w:tcPr>
          <w:p w14:paraId="45B528F4"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894" w:type="dxa"/>
            <w:shd w:val="clear" w:color="auto" w:fill="E8F5E9"/>
            <w:tcMar>
              <w:top w:w="60" w:type="dxa"/>
              <w:left w:w="80" w:type="dxa"/>
              <w:bottom w:w="60" w:type="dxa"/>
              <w:right w:w="80" w:type="dxa"/>
            </w:tcMar>
            <w:vAlign w:val="center"/>
          </w:tcPr>
          <w:p w14:paraId="51F10177"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637" w:type="dxa"/>
            <w:shd w:val="clear" w:color="auto" w:fill="E8F5E9"/>
            <w:tcMar>
              <w:top w:w="60" w:type="dxa"/>
              <w:left w:w="80" w:type="dxa"/>
              <w:bottom w:w="60" w:type="dxa"/>
              <w:right w:w="80" w:type="dxa"/>
            </w:tcMar>
            <w:vAlign w:val="center"/>
          </w:tcPr>
          <w:p w14:paraId="25D21BF5"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821" w:type="dxa"/>
            <w:shd w:val="clear" w:color="auto" w:fill="E8F5E9"/>
            <w:tcMar>
              <w:top w:w="60" w:type="dxa"/>
              <w:left w:w="80" w:type="dxa"/>
              <w:bottom w:w="60" w:type="dxa"/>
              <w:right w:w="80" w:type="dxa"/>
            </w:tcMar>
            <w:vAlign w:val="center"/>
          </w:tcPr>
          <w:p w14:paraId="088744CC"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1065" w:type="dxa"/>
            <w:shd w:val="clear" w:color="auto" w:fill="E8F5E9"/>
            <w:tcMar>
              <w:top w:w="60" w:type="dxa"/>
              <w:left w:w="80" w:type="dxa"/>
              <w:bottom w:w="60" w:type="dxa"/>
              <w:right w:w="80" w:type="dxa"/>
            </w:tcMar>
            <w:vAlign w:val="center"/>
          </w:tcPr>
          <w:p w14:paraId="486701D4"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1077" w:type="dxa"/>
            <w:shd w:val="clear" w:color="auto" w:fill="E8F5E9"/>
            <w:tcMar>
              <w:top w:w="60" w:type="dxa"/>
              <w:left w:w="80" w:type="dxa"/>
              <w:bottom w:w="60" w:type="dxa"/>
              <w:right w:w="80" w:type="dxa"/>
            </w:tcMar>
            <w:vAlign w:val="center"/>
          </w:tcPr>
          <w:p w14:paraId="32BDF2F0"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5" w:type="dxa"/>
            <w:shd w:val="clear" w:color="auto" w:fill="FFF8E1"/>
            <w:tcMar>
              <w:top w:w="60" w:type="dxa"/>
              <w:left w:w="80" w:type="dxa"/>
              <w:bottom w:w="60" w:type="dxa"/>
              <w:right w:w="80" w:type="dxa"/>
            </w:tcMar>
            <w:vAlign w:val="center"/>
          </w:tcPr>
          <w:p w14:paraId="3C1DC19F"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367" w:type="dxa"/>
            <w:shd w:val="clear" w:color="auto" w:fill="2E7D32"/>
            <w:tcMar>
              <w:top w:w="60" w:type="dxa"/>
              <w:left w:w="80" w:type="dxa"/>
              <w:bottom w:w="60" w:type="dxa"/>
              <w:right w:w="80" w:type="dxa"/>
            </w:tcMar>
            <w:vAlign w:val="center"/>
          </w:tcPr>
          <w:p w14:paraId="5C99C1D5"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45550791" w14:textId="77777777" w:rsidTr="003C477A">
        <w:tc>
          <w:tcPr>
            <w:tcW w:w="1260" w:type="dxa"/>
            <w:shd w:val="clear" w:color="auto" w:fill="EDF2F7"/>
            <w:tcMar>
              <w:top w:w="80" w:type="dxa"/>
              <w:left w:w="120" w:type="dxa"/>
              <w:bottom w:w="80" w:type="dxa"/>
              <w:right w:w="120" w:type="dxa"/>
            </w:tcMar>
            <w:vAlign w:val="center"/>
          </w:tcPr>
          <w:p w14:paraId="59DFEC94" w14:textId="77777777" w:rsidR="00B42E3E" w:rsidRPr="005978B5" w:rsidRDefault="00B42E3E" w:rsidP="005978B5">
            <w:pPr>
              <w:spacing w:line="240" w:lineRule="auto"/>
              <w:rPr>
                <w:rFonts w:ascii="Arial" w:hAnsi="Arial" w:cs="Arial"/>
                <w:sz w:val="18"/>
                <w:szCs w:val="18"/>
              </w:rPr>
            </w:pPr>
            <w:r w:rsidRPr="005978B5">
              <w:rPr>
                <w:rFonts w:ascii="Arial" w:eastAsia="Arial" w:hAnsi="Arial" w:cs="Arial"/>
                <w:b/>
                <w:bCs/>
                <w:color w:val="0D2B4E"/>
                <w:sz w:val="18"/>
                <w:szCs w:val="18"/>
              </w:rPr>
              <w:t>Low et al. (2024)</w:t>
            </w:r>
          </w:p>
        </w:tc>
        <w:tc>
          <w:tcPr>
            <w:tcW w:w="698" w:type="dxa"/>
            <w:shd w:val="clear" w:color="auto" w:fill="E8F5E9"/>
            <w:tcMar>
              <w:top w:w="60" w:type="dxa"/>
              <w:left w:w="80" w:type="dxa"/>
              <w:bottom w:w="60" w:type="dxa"/>
              <w:right w:w="80" w:type="dxa"/>
            </w:tcMar>
            <w:vAlign w:val="center"/>
          </w:tcPr>
          <w:p w14:paraId="7E83D8E1"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3" w:type="dxa"/>
            <w:shd w:val="clear" w:color="auto" w:fill="E8F5E9"/>
            <w:tcMar>
              <w:top w:w="60" w:type="dxa"/>
              <w:left w:w="80" w:type="dxa"/>
              <w:bottom w:w="60" w:type="dxa"/>
              <w:right w:w="80" w:type="dxa"/>
            </w:tcMar>
            <w:vAlign w:val="center"/>
          </w:tcPr>
          <w:p w14:paraId="23243E41"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894" w:type="dxa"/>
            <w:shd w:val="clear" w:color="auto" w:fill="E8F5E9"/>
            <w:tcMar>
              <w:top w:w="60" w:type="dxa"/>
              <w:left w:w="80" w:type="dxa"/>
              <w:bottom w:w="60" w:type="dxa"/>
              <w:right w:w="80" w:type="dxa"/>
            </w:tcMar>
            <w:vAlign w:val="center"/>
          </w:tcPr>
          <w:p w14:paraId="407509AC"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637" w:type="dxa"/>
            <w:shd w:val="clear" w:color="auto" w:fill="FFF8E1"/>
            <w:tcMar>
              <w:top w:w="60" w:type="dxa"/>
              <w:left w:w="80" w:type="dxa"/>
              <w:bottom w:w="60" w:type="dxa"/>
              <w:right w:w="80" w:type="dxa"/>
            </w:tcMar>
            <w:vAlign w:val="center"/>
          </w:tcPr>
          <w:p w14:paraId="6500DEF4"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821" w:type="dxa"/>
            <w:shd w:val="clear" w:color="auto" w:fill="E8F5E9"/>
            <w:tcMar>
              <w:top w:w="60" w:type="dxa"/>
              <w:left w:w="80" w:type="dxa"/>
              <w:bottom w:w="60" w:type="dxa"/>
              <w:right w:w="80" w:type="dxa"/>
            </w:tcMar>
            <w:vAlign w:val="center"/>
          </w:tcPr>
          <w:p w14:paraId="6D761DD0"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1065" w:type="dxa"/>
            <w:shd w:val="clear" w:color="auto" w:fill="FFF8E1"/>
            <w:tcMar>
              <w:top w:w="60" w:type="dxa"/>
              <w:left w:w="80" w:type="dxa"/>
              <w:bottom w:w="60" w:type="dxa"/>
              <w:right w:w="80" w:type="dxa"/>
            </w:tcMar>
            <w:vAlign w:val="center"/>
          </w:tcPr>
          <w:p w14:paraId="6762B955"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077" w:type="dxa"/>
            <w:shd w:val="clear" w:color="auto" w:fill="E8F5E9"/>
            <w:tcMar>
              <w:top w:w="60" w:type="dxa"/>
              <w:left w:w="80" w:type="dxa"/>
              <w:bottom w:w="60" w:type="dxa"/>
              <w:right w:w="80" w:type="dxa"/>
            </w:tcMar>
            <w:vAlign w:val="center"/>
          </w:tcPr>
          <w:p w14:paraId="516CECFC"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5" w:type="dxa"/>
            <w:shd w:val="clear" w:color="auto" w:fill="FFF8E1"/>
            <w:tcMar>
              <w:top w:w="60" w:type="dxa"/>
              <w:left w:w="80" w:type="dxa"/>
              <w:bottom w:w="60" w:type="dxa"/>
              <w:right w:w="80" w:type="dxa"/>
            </w:tcMar>
            <w:vAlign w:val="center"/>
          </w:tcPr>
          <w:p w14:paraId="5ACC6A18"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367" w:type="dxa"/>
            <w:shd w:val="clear" w:color="auto" w:fill="C17D00"/>
            <w:tcMar>
              <w:top w:w="60" w:type="dxa"/>
              <w:left w:w="80" w:type="dxa"/>
              <w:bottom w:w="60" w:type="dxa"/>
              <w:right w:w="80" w:type="dxa"/>
            </w:tcMar>
            <w:vAlign w:val="center"/>
          </w:tcPr>
          <w:p w14:paraId="6F0EFFCB"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Mod–High</w:t>
            </w:r>
          </w:p>
        </w:tc>
      </w:tr>
      <w:tr w:rsidR="00144F46" w:rsidRPr="005978B5" w14:paraId="083F7500" w14:textId="77777777" w:rsidTr="003C477A">
        <w:tc>
          <w:tcPr>
            <w:tcW w:w="1260" w:type="dxa"/>
            <w:shd w:val="clear" w:color="auto" w:fill="FFFFFF"/>
            <w:tcMar>
              <w:top w:w="80" w:type="dxa"/>
              <w:left w:w="120" w:type="dxa"/>
              <w:bottom w:w="80" w:type="dxa"/>
              <w:right w:w="120" w:type="dxa"/>
            </w:tcMar>
            <w:vAlign w:val="center"/>
          </w:tcPr>
          <w:p w14:paraId="72132FBF" w14:textId="77777777" w:rsidR="00B42E3E" w:rsidRPr="005978B5" w:rsidRDefault="00B42E3E" w:rsidP="005978B5">
            <w:pPr>
              <w:spacing w:line="240" w:lineRule="auto"/>
              <w:rPr>
                <w:rFonts w:ascii="Arial" w:hAnsi="Arial" w:cs="Arial"/>
                <w:sz w:val="18"/>
                <w:szCs w:val="18"/>
              </w:rPr>
            </w:pPr>
            <w:r w:rsidRPr="005978B5">
              <w:rPr>
                <w:rFonts w:ascii="Arial" w:eastAsia="Arial" w:hAnsi="Arial" w:cs="Arial"/>
                <w:b/>
                <w:bCs/>
                <w:color w:val="0D2B4E"/>
                <w:sz w:val="18"/>
                <w:szCs w:val="18"/>
              </w:rPr>
              <w:t>Goff et al. (2021)</w:t>
            </w:r>
          </w:p>
        </w:tc>
        <w:tc>
          <w:tcPr>
            <w:tcW w:w="698" w:type="dxa"/>
            <w:shd w:val="clear" w:color="auto" w:fill="E8F5E9"/>
            <w:tcMar>
              <w:top w:w="60" w:type="dxa"/>
              <w:left w:w="80" w:type="dxa"/>
              <w:bottom w:w="60" w:type="dxa"/>
              <w:right w:w="80" w:type="dxa"/>
            </w:tcMar>
            <w:vAlign w:val="center"/>
          </w:tcPr>
          <w:p w14:paraId="651BB8CE"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3" w:type="dxa"/>
            <w:shd w:val="clear" w:color="auto" w:fill="E8F5E9"/>
            <w:tcMar>
              <w:top w:w="60" w:type="dxa"/>
              <w:left w:w="80" w:type="dxa"/>
              <w:bottom w:w="60" w:type="dxa"/>
              <w:right w:w="80" w:type="dxa"/>
            </w:tcMar>
            <w:vAlign w:val="center"/>
          </w:tcPr>
          <w:p w14:paraId="738DB1F1"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894" w:type="dxa"/>
            <w:shd w:val="clear" w:color="auto" w:fill="FFF8E1"/>
            <w:tcMar>
              <w:top w:w="60" w:type="dxa"/>
              <w:left w:w="80" w:type="dxa"/>
              <w:bottom w:w="60" w:type="dxa"/>
              <w:right w:w="80" w:type="dxa"/>
            </w:tcMar>
            <w:vAlign w:val="center"/>
          </w:tcPr>
          <w:p w14:paraId="1DF0551A"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637" w:type="dxa"/>
            <w:shd w:val="clear" w:color="auto" w:fill="E8F5E9"/>
            <w:tcMar>
              <w:top w:w="60" w:type="dxa"/>
              <w:left w:w="80" w:type="dxa"/>
              <w:bottom w:w="60" w:type="dxa"/>
              <w:right w:w="80" w:type="dxa"/>
            </w:tcMar>
            <w:vAlign w:val="center"/>
          </w:tcPr>
          <w:p w14:paraId="27FD8550"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821" w:type="dxa"/>
            <w:shd w:val="clear" w:color="auto" w:fill="E8F5E9"/>
            <w:tcMar>
              <w:top w:w="60" w:type="dxa"/>
              <w:left w:w="80" w:type="dxa"/>
              <w:bottom w:w="60" w:type="dxa"/>
              <w:right w:w="80" w:type="dxa"/>
            </w:tcMar>
            <w:vAlign w:val="center"/>
          </w:tcPr>
          <w:p w14:paraId="43F010C0"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1065" w:type="dxa"/>
            <w:shd w:val="clear" w:color="auto" w:fill="FFF8E1"/>
            <w:tcMar>
              <w:top w:w="60" w:type="dxa"/>
              <w:left w:w="80" w:type="dxa"/>
              <w:bottom w:w="60" w:type="dxa"/>
              <w:right w:w="80" w:type="dxa"/>
            </w:tcMar>
            <w:vAlign w:val="center"/>
          </w:tcPr>
          <w:p w14:paraId="6BBF628D"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077" w:type="dxa"/>
            <w:shd w:val="clear" w:color="auto" w:fill="E8F5E9"/>
            <w:tcMar>
              <w:top w:w="60" w:type="dxa"/>
              <w:left w:w="80" w:type="dxa"/>
              <w:bottom w:w="60" w:type="dxa"/>
              <w:right w:w="80" w:type="dxa"/>
            </w:tcMar>
            <w:vAlign w:val="center"/>
          </w:tcPr>
          <w:p w14:paraId="28349C08"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5" w:type="dxa"/>
            <w:shd w:val="clear" w:color="auto" w:fill="FFF8E1"/>
            <w:tcMar>
              <w:top w:w="60" w:type="dxa"/>
              <w:left w:w="80" w:type="dxa"/>
              <w:bottom w:w="60" w:type="dxa"/>
              <w:right w:w="80" w:type="dxa"/>
            </w:tcMar>
            <w:vAlign w:val="center"/>
          </w:tcPr>
          <w:p w14:paraId="0552AC76"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367" w:type="dxa"/>
            <w:shd w:val="clear" w:color="auto" w:fill="C17D00"/>
            <w:tcMar>
              <w:top w:w="60" w:type="dxa"/>
              <w:left w:w="80" w:type="dxa"/>
              <w:bottom w:w="60" w:type="dxa"/>
              <w:right w:w="80" w:type="dxa"/>
            </w:tcMar>
            <w:vAlign w:val="center"/>
          </w:tcPr>
          <w:p w14:paraId="4FAEDE44"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Moderate</w:t>
            </w:r>
          </w:p>
        </w:tc>
      </w:tr>
      <w:tr w:rsidR="00144F46" w:rsidRPr="005978B5" w14:paraId="6D7F7524" w14:textId="77777777" w:rsidTr="003C477A">
        <w:tc>
          <w:tcPr>
            <w:tcW w:w="9497" w:type="dxa"/>
            <w:gridSpan w:val="10"/>
            <w:shd w:val="clear" w:color="auto" w:fill="E2EAF3"/>
            <w:tcMar>
              <w:top w:w="80" w:type="dxa"/>
              <w:left w:w="120" w:type="dxa"/>
              <w:bottom w:w="80" w:type="dxa"/>
              <w:right w:w="120" w:type="dxa"/>
            </w:tcMar>
          </w:tcPr>
          <w:p w14:paraId="2DA9AE14" w14:textId="77777777" w:rsidR="00B42E3E" w:rsidRPr="005978B5" w:rsidRDefault="00B42E3E" w:rsidP="005978B5">
            <w:pPr>
              <w:spacing w:line="240" w:lineRule="auto"/>
              <w:rPr>
                <w:rFonts w:ascii="Arial" w:hAnsi="Arial" w:cs="Arial"/>
                <w:sz w:val="18"/>
                <w:szCs w:val="18"/>
              </w:rPr>
            </w:pPr>
            <w:r w:rsidRPr="005978B5">
              <w:rPr>
                <w:rFonts w:ascii="Arial" w:eastAsia="Arial" w:hAnsi="Arial" w:cs="Arial"/>
                <w:b/>
                <w:bCs/>
                <w:color w:val="111827"/>
                <w:sz w:val="18"/>
                <w:szCs w:val="18"/>
              </w:rPr>
              <w:t xml:space="preserve">CASP Qualitative Checklist applied to qualitative component; CASP RCT Checklist applied to Goff et al. (2021). </w:t>
            </w:r>
            <w:r w:rsidRPr="005978B5">
              <w:rPr>
                <w:rFonts w:ascii="Arial" w:eastAsia="Arial" w:hAnsi="Arial" w:cs="Arial"/>
                <w:color w:val="374151"/>
                <w:sz w:val="18"/>
                <w:szCs w:val="18"/>
              </w:rPr>
              <w:t xml:space="preserve">M1 = Clear aims; M2 = Methodology appropriate; M3 = Research design appropriate; M4 = Data collection rigorous; M5 = Ethical issues considered; M6 = Analysis sufficiently rigorous; M7 = Clear statement of findings; M8 = Value and applicability of research. </w:t>
            </w:r>
            <w:r w:rsidRPr="005978B5">
              <w:rPr>
                <w:rFonts w:ascii="Segoe UI Symbol" w:eastAsia="Arial" w:hAnsi="Segoe UI Symbol" w:cs="Segoe UI Symbol"/>
                <w:color w:val="6B7280"/>
                <w:sz w:val="18"/>
                <w:szCs w:val="18"/>
              </w:rPr>
              <w:t>✓</w:t>
            </w:r>
            <w:r w:rsidRPr="005978B5">
              <w:rPr>
                <w:rFonts w:ascii="Arial" w:eastAsia="Arial" w:hAnsi="Arial" w:cs="Arial"/>
                <w:color w:val="6B7280"/>
                <w:sz w:val="18"/>
                <w:szCs w:val="18"/>
              </w:rPr>
              <w:t xml:space="preserve"> = Yes/Met  ~ = Partial/Can’t tell  </w:t>
            </w:r>
            <w:r w:rsidRPr="005978B5">
              <w:rPr>
                <w:rFonts w:ascii="Segoe UI Symbol" w:eastAsia="Arial" w:hAnsi="Segoe UI Symbol" w:cs="Segoe UI Symbol"/>
                <w:color w:val="6B7280"/>
                <w:sz w:val="18"/>
                <w:szCs w:val="18"/>
              </w:rPr>
              <w:t>✕</w:t>
            </w:r>
            <w:r w:rsidRPr="005978B5">
              <w:rPr>
                <w:rFonts w:ascii="Arial" w:eastAsia="Arial" w:hAnsi="Arial" w:cs="Arial"/>
                <w:color w:val="6B7280"/>
                <w:sz w:val="18"/>
                <w:szCs w:val="18"/>
              </w:rPr>
              <w:t xml:space="preserve"> = No/Not met.</w:t>
            </w:r>
          </w:p>
        </w:tc>
      </w:tr>
    </w:tbl>
    <w:p w14:paraId="1F4281F4" w14:textId="4AE39C8E" w:rsidR="009F64C5" w:rsidRPr="006E74A0" w:rsidRDefault="00A12D64" w:rsidP="006E74A0">
      <w:pPr>
        <w:tabs>
          <w:tab w:val="left" w:pos="3495"/>
        </w:tabs>
        <w:spacing w:line="240" w:lineRule="auto"/>
        <w:jc w:val="center"/>
        <w:rPr>
          <w:rFonts w:ascii="Arial" w:hAnsi="Arial" w:cs="Arial"/>
          <w:sz w:val="18"/>
          <w:szCs w:val="18"/>
        </w:rPr>
      </w:pPr>
      <w:r w:rsidRPr="006E74A0">
        <w:rPr>
          <w:rFonts w:ascii="Segoe UI Symbol" w:hAnsi="Segoe UI Symbol" w:cs="Segoe UI Symbol"/>
          <w:i/>
          <w:sz w:val="18"/>
          <w:szCs w:val="18"/>
        </w:rPr>
        <w:t>✓</w:t>
      </w:r>
      <w:r w:rsidRPr="006E74A0">
        <w:rPr>
          <w:rFonts w:ascii="Arial" w:hAnsi="Arial" w:cs="Arial"/>
          <w:i/>
          <w:sz w:val="18"/>
          <w:szCs w:val="18"/>
        </w:rPr>
        <w:t xml:space="preserve"> = Yes/Met  ~ = Partial/Can’t tell  </w:t>
      </w:r>
      <w:r w:rsidRPr="006E74A0">
        <w:rPr>
          <w:rFonts w:ascii="Segoe UI Symbol" w:hAnsi="Segoe UI Symbol" w:cs="Segoe UI Symbol"/>
          <w:i/>
          <w:sz w:val="18"/>
          <w:szCs w:val="18"/>
        </w:rPr>
        <w:t>✕</w:t>
      </w:r>
      <w:r w:rsidRPr="006E74A0">
        <w:rPr>
          <w:rFonts w:ascii="Arial" w:hAnsi="Arial" w:cs="Arial"/>
          <w:i/>
          <w:sz w:val="18"/>
          <w:szCs w:val="18"/>
        </w:rPr>
        <w:t xml:space="preserve"> = No/Not met. All 15 studies rated Moderate or High quality. No studies </w:t>
      </w:r>
      <w:r w:rsidR="00C865A0" w:rsidRPr="006E74A0">
        <w:rPr>
          <w:rFonts w:ascii="Arial" w:hAnsi="Arial" w:cs="Arial"/>
          <w:i/>
          <w:sz w:val="18"/>
          <w:szCs w:val="18"/>
        </w:rPr>
        <w:t xml:space="preserve">were </w:t>
      </w:r>
      <w:r w:rsidRPr="006E74A0">
        <w:rPr>
          <w:rFonts w:ascii="Arial" w:hAnsi="Arial" w:cs="Arial"/>
          <w:i/>
          <w:sz w:val="18"/>
          <w:szCs w:val="18"/>
        </w:rPr>
        <w:t>excluded solely on quality grounds (Noyes et al., 2018). CASP = Critical Appraisal Skills Programme (CASP, 2018).</w:t>
      </w:r>
    </w:p>
    <w:p w14:paraId="0F006ECD" w14:textId="77777777" w:rsidR="00A12D64" w:rsidRPr="005978B5" w:rsidRDefault="00A12D64">
      <w:pPr>
        <w:rPr>
          <w:rFonts w:ascii="Arial" w:hAnsi="Arial" w:cs="Arial"/>
          <w:b/>
          <w:bCs/>
        </w:rPr>
      </w:pPr>
      <w:r w:rsidRPr="005978B5">
        <w:rPr>
          <w:rFonts w:ascii="Arial" w:hAnsi="Arial" w:cs="Arial"/>
          <w:b/>
          <w:bCs/>
        </w:rPr>
        <w:br w:type="page"/>
      </w:r>
    </w:p>
    <w:p w14:paraId="1A231E08" w14:textId="77777777" w:rsidR="007B74AE" w:rsidRPr="005978B5" w:rsidRDefault="00BB31B7" w:rsidP="007B74AE">
      <w:pPr>
        <w:pStyle w:val="Heading1"/>
        <w:jc w:val="left"/>
        <w:rPr>
          <w:rFonts w:ascii="Arial" w:hAnsi="Arial" w:cs="Arial"/>
          <w:sz w:val="22"/>
        </w:rPr>
      </w:pPr>
      <w:bookmarkStart w:id="62" w:name="_Toc232173709"/>
      <w:r w:rsidRPr="005978B5">
        <w:rPr>
          <w:rFonts w:ascii="Arial" w:hAnsi="Arial" w:cs="Arial"/>
          <w:sz w:val="22"/>
        </w:rPr>
        <w:lastRenderedPageBreak/>
        <w:t>Appendix C:</w:t>
      </w:r>
      <w:bookmarkEnd w:id="62"/>
      <w:r w:rsidR="00C66191" w:rsidRPr="005978B5">
        <w:rPr>
          <w:rFonts w:ascii="Arial" w:hAnsi="Arial" w:cs="Arial"/>
          <w:sz w:val="22"/>
        </w:rPr>
        <w:t xml:space="preserve"> </w:t>
      </w:r>
    </w:p>
    <w:p w14:paraId="4413D22D" w14:textId="6C267353" w:rsidR="00BB31B7" w:rsidRPr="005978B5" w:rsidRDefault="00C66191" w:rsidP="007B74AE">
      <w:pPr>
        <w:rPr>
          <w:rFonts w:ascii="Arial" w:hAnsi="Arial" w:cs="Arial"/>
          <w:b/>
          <w:bCs/>
        </w:rPr>
      </w:pPr>
      <w:r w:rsidRPr="005978B5">
        <w:rPr>
          <w:rFonts w:ascii="Arial" w:hAnsi="Arial" w:cs="Arial"/>
          <w:b/>
          <w:bCs/>
        </w:rPr>
        <w:t>Data Extraction Table</w:t>
      </w:r>
    </w:p>
    <w:p w14:paraId="5580289C" w14:textId="7E04C558" w:rsidR="009F64C5" w:rsidRPr="005978B5" w:rsidRDefault="00B16A97" w:rsidP="00354518">
      <w:pPr>
        <w:spacing w:line="360" w:lineRule="auto"/>
        <w:jc w:val="both"/>
        <w:rPr>
          <w:rFonts w:ascii="Arial" w:hAnsi="Arial" w:cs="Arial"/>
          <w:b/>
          <w:bCs/>
        </w:rPr>
      </w:pPr>
      <w:r w:rsidRPr="005978B5">
        <w:rPr>
          <w:rFonts w:ascii="Arial" w:hAnsi="Arial" w:cs="Arial"/>
        </w:rPr>
        <w:t>This appendix presents the data extraction for all 15 included studies in two parts. Table C1 presents study identification data. Table C2 presents study content, methods and key findings. Cross-reference both tables using the study number (#) column.</w:t>
      </w:r>
    </w:p>
    <w:p w14:paraId="30A2C0A4" w14:textId="1BF85E88" w:rsidR="009F64C5" w:rsidRPr="005978B5" w:rsidRDefault="0027349F" w:rsidP="00354518">
      <w:pPr>
        <w:spacing w:line="360" w:lineRule="auto"/>
        <w:jc w:val="both"/>
        <w:rPr>
          <w:rFonts w:ascii="Arial" w:hAnsi="Arial" w:cs="Arial"/>
        </w:rPr>
      </w:pPr>
      <w:r w:rsidRPr="005978B5">
        <w:rPr>
          <w:rFonts w:ascii="Arial" w:hAnsi="Arial" w:cs="Arial"/>
          <w:b/>
        </w:rPr>
        <w:t>Table C1 — Study Identification (Design, Setting, Sample, Ethnic Groups)</w:t>
      </w:r>
    </w:p>
    <w:tbl>
      <w:tblPr>
        <w:tblW w:w="8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1138"/>
        <w:gridCol w:w="1336"/>
        <w:gridCol w:w="1572"/>
        <w:gridCol w:w="2296"/>
        <w:gridCol w:w="1985"/>
      </w:tblGrid>
      <w:tr w:rsidR="00144F46" w:rsidRPr="005978B5" w14:paraId="04B77DD7" w14:textId="77777777" w:rsidTr="003C477A">
        <w:trPr>
          <w:tblHeader/>
        </w:trPr>
        <w:tc>
          <w:tcPr>
            <w:tcW w:w="461" w:type="dxa"/>
            <w:shd w:val="clear" w:color="auto" w:fill="0D2B4E"/>
            <w:tcMar>
              <w:top w:w="80" w:type="dxa"/>
              <w:left w:w="130" w:type="dxa"/>
              <w:bottom w:w="80" w:type="dxa"/>
              <w:right w:w="130" w:type="dxa"/>
            </w:tcMar>
            <w:vAlign w:val="center"/>
          </w:tcPr>
          <w:p w14:paraId="74F1A2F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FFFFFF"/>
                <w:sz w:val="18"/>
                <w:szCs w:val="18"/>
              </w:rPr>
              <w:t>#</w:t>
            </w:r>
          </w:p>
        </w:tc>
        <w:tc>
          <w:tcPr>
            <w:tcW w:w="1138" w:type="dxa"/>
            <w:shd w:val="clear" w:color="auto" w:fill="0D2B4E"/>
            <w:tcMar>
              <w:top w:w="80" w:type="dxa"/>
              <w:left w:w="130" w:type="dxa"/>
              <w:bottom w:w="80" w:type="dxa"/>
              <w:right w:w="130" w:type="dxa"/>
            </w:tcMar>
            <w:vAlign w:val="center"/>
          </w:tcPr>
          <w:p w14:paraId="7504E7B7"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FFFFFF"/>
                <w:sz w:val="18"/>
                <w:szCs w:val="18"/>
              </w:rPr>
              <w:t>Author(s) &amp; Year</w:t>
            </w:r>
          </w:p>
        </w:tc>
        <w:tc>
          <w:tcPr>
            <w:tcW w:w="1336" w:type="dxa"/>
            <w:shd w:val="clear" w:color="auto" w:fill="0D2B4E"/>
            <w:tcMar>
              <w:top w:w="80" w:type="dxa"/>
              <w:left w:w="130" w:type="dxa"/>
              <w:bottom w:w="80" w:type="dxa"/>
              <w:right w:w="130" w:type="dxa"/>
            </w:tcMar>
            <w:vAlign w:val="center"/>
          </w:tcPr>
          <w:p w14:paraId="583A5489"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FFFFFF"/>
                <w:sz w:val="18"/>
                <w:szCs w:val="18"/>
              </w:rPr>
              <w:t>Study Design</w:t>
            </w:r>
          </w:p>
        </w:tc>
        <w:tc>
          <w:tcPr>
            <w:tcW w:w="1572" w:type="dxa"/>
            <w:shd w:val="clear" w:color="auto" w:fill="0D2B4E"/>
            <w:tcMar>
              <w:top w:w="80" w:type="dxa"/>
              <w:left w:w="130" w:type="dxa"/>
              <w:bottom w:w="80" w:type="dxa"/>
              <w:right w:w="130" w:type="dxa"/>
            </w:tcMar>
            <w:vAlign w:val="center"/>
          </w:tcPr>
          <w:p w14:paraId="50C9EBC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FFFFFF"/>
                <w:sz w:val="18"/>
                <w:szCs w:val="18"/>
              </w:rPr>
              <w:t>Country / Setting</w:t>
            </w:r>
          </w:p>
        </w:tc>
        <w:tc>
          <w:tcPr>
            <w:tcW w:w="2296" w:type="dxa"/>
            <w:shd w:val="clear" w:color="auto" w:fill="0D2B4E"/>
            <w:tcMar>
              <w:top w:w="80" w:type="dxa"/>
              <w:left w:w="130" w:type="dxa"/>
              <w:bottom w:w="80" w:type="dxa"/>
              <w:right w:w="130" w:type="dxa"/>
            </w:tcMar>
            <w:vAlign w:val="center"/>
          </w:tcPr>
          <w:p w14:paraId="6D6618BD"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FFFFFF"/>
                <w:sz w:val="18"/>
                <w:szCs w:val="18"/>
              </w:rPr>
              <w:t>Sample (N &amp; Population Description)</w:t>
            </w:r>
          </w:p>
        </w:tc>
        <w:tc>
          <w:tcPr>
            <w:tcW w:w="1985" w:type="dxa"/>
            <w:shd w:val="clear" w:color="auto" w:fill="0D2B4E"/>
            <w:tcMar>
              <w:top w:w="80" w:type="dxa"/>
              <w:left w:w="130" w:type="dxa"/>
              <w:bottom w:w="80" w:type="dxa"/>
              <w:right w:w="130" w:type="dxa"/>
            </w:tcMar>
            <w:vAlign w:val="center"/>
          </w:tcPr>
          <w:p w14:paraId="00CFEB66"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FFFFFF"/>
                <w:sz w:val="18"/>
                <w:szCs w:val="18"/>
              </w:rPr>
              <w:t>Ethnic Group(s) Studied</w:t>
            </w:r>
          </w:p>
        </w:tc>
      </w:tr>
      <w:tr w:rsidR="00144F46" w:rsidRPr="005978B5" w14:paraId="16262D7B" w14:textId="77777777" w:rsidTr="003C477A">
        <w:tc>
          <w:tcPr>
            <w:tcW w:w="461" w:type="dxa"/>
            <w:shd w:val="clear" w:color="auto" w:fill="FFFFFF"/>
            <w:tcMar>
              <w:top w:w="80" w:type="dxa"/>
              <w:left w:w="130" w:type="dxa"/>
              <w:bottom w:w="80" w:type="dxa"/>
              <w:right w:w="130" w:type="dxa"/>
            </w:tcMar>
            <w:vAlign w:val="center"/>
          </w:tcPr>
          <w:p w14:paraId="11926331"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1</w:t>
            </w:r>
          </w:p>
        </w:tc>
        <w:tc>
          <w:tcPr>
            <w:tcW w:w="1138" w:type="dxa"/>
            <w:shd w:val="clear" w:color="auto" w:fill="FFFFFF"/>
            <w:tcMar>
              <w:top w:w="80" w:type="dxa"/>
              <w:left w:w="130" w:type="dxa"/>
              <w:bottom w:w="80" w:type="dxa"/>
              <w:right w:w="130" w:type="dxa"/>
            </w:tcMar>
          </w:tcPr>
          <w:p w14:paraId="37F3FA1C"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Au-Yeung et al. (2024)</w:t>
            </w:r>
          </w:p>
        </w:tc>
        <w:tc>
          <w:tcPr>
            <w:tcW w:w="1336" w:type="dxa"/>
            <w:shd w:val="clear" w:color="auto" w:fill="FFFFFF"/>
            <w:tcMar>
              <w:top w:w="80" w:type="dxa"/>
              <w:left w:w="130" w:type="dxa"/>
              <w:bottom w:w="80" w:type="dxa"/>
              <w:right w:w="130" w:type="dxa"/>
            </w:tcMar>
          </w:tcPr>
          <w:p w14:paraId="25CEDD90"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Cross-sectional</w:t>
            </w:r>
          </w:p>
        </w:tc>
        <w:tc>
          <w:tcPr>
            <w:tcW w:w="1572" w:type="dxa"/>
            <w:shd w:val="clear" w:color="auto" w:fill="FFFFFF"/>
            <w:tcMar>
              <w:top w:w="80" w:type="dxa"/>
              <w:left w:w="130" w:type="dxa"/>
              <w:bottom w:w="80" w:type="dxa"/>
              <w:right w:w="130" w:type="dxa"/>
            </w:tcMar>
          </w:tcPr>
          <w:p w14:paraId="0C16AB8B"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Birmingham NHS Health Checks</w:t>
            </w:r>
          </w:p>
        </w:tc>
        <w:tc>
          <w:tcPr>
            <w:tcW w:w="2296" w:type="dxa"/>
            <w:shd w:val="clear" w:color="auto" w:fill="FFFFFF"/>
            <w:tcMar>
              <w:top w:w="80" w:type="dxa"/>
              <w:left w:w="130" w:type="dxa"/>
              <w:bottom w:w="80" w:type="dxa"/>
              <w:right w:w="130" w:type="dxa"/>
            </w:tcMar>
          </w:tcPr>
          <w:p w14:paraId="5CBF98E2"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N = 108,514 NHS Health Check attendees; adults aged 40–74 years</w:t>
            </w:r>
          </w:p>
        </w:tc>
        <w:tc>
          <w:tcPr>
            <w:tcW w:w="1985" w:type="dxa"/>
            <w:shd w:val="clear" w:color="auto" w:fill="FFFFFF"/>
            <w:tcMar>
              <w:top w:w="80" w:type="dxa"/>
              <w:left w:w="130" w:type="dxa"/>
              <w:bottom w:w="80" w:type="dxa"/>
              <w:right w:w="130" w:type="dxa"/>
            </w:tcMar>
          </w:tcPr>
          <w:p w14:paraId="3D59087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South Asian; Black African/Caribbean; White British (reference)</w:t>
            </w:r>
          </w:p>
        </w:tc>
      </w:tr>
      <w:tr w:rsidR="00144F46" w:rsidRPr="005978B5" w14:paraId="3D49E6EB" w14:textId="77777777" w:rsidTr="003C477A">
        <w:tc>
          <w:tcPr>
            <w:tcW w:w="461" w:type="dxa"/>
            <w:shd w:val="clear" w:color="auto" w:fill="EDF2F7"/>
            <w:tcMar>
              <w:top w:w="80" w:type="dxa"/>
              <w:left w:w="130" w:type="dxa"/>
              <w:bottom w:w="80" w:type="dxa"/>
              <w:right w:w="130" w:type="dxa"/>
            </w:tcMar>
            <w:vAlign w:val="center"/>
          </w:tcPr>
          <w:p w14:paraId="3F8E2058"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2</w:t>
            </w:r>
          </w:p>
        </w:tc>
        <w:tc>
          <w:tcPr>
            <w:tcW w:w="1138" w:type="dxa"/>
            <w:shd w:val="clear" w:color="auto" w:fill="EDF2F7"/>
            <w:tcMar>
              <w:top w:w="80" w:type="dxa"/>
              <w:left w:w="130" w:type="dxa"/>
              <w:bottom w:w="80" w:type="dxa"/>
              <w:right w:w="130" w:type="dxa"/>
            </w:tcMar>
          </w:tcPr>
          <w:p w14:paraId="4A7BA59D"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Barron et al. (2018)</w:t>
            </w:r>
          </w:p>
        </w:tc>
        <w:tc>
          <w:tcPr>
            <w:tcW w:w="1336" w:type="dxa"/>
            <w:shd w:val="clear" w:color="auto" w:fill="EDF2F7"/>
            <w:tcMar>
              <w:top w:w="80" w:type="dxa"/>
              <w:left w:w="130" w:type="dxa"/>
              <w:bottom w:w="80" w:type="dxa"/>
              <w:right w:w="130" w:type="dxa"/>
            </w:tcMar>
          </w:tcPr>
          <w:p w14:paraId="048D431E"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Cohort</w:t>
            </w:r>
          </w:p>
        </w:tc>
        <w:tc>
          <w:tcPr>
            <w:tcW w:w="1572" w:type="dxa"/>
            <w:shd w:val="clear" w:color="auto" w:fill="EDF2F7"/>
            <w:tcMar>
              <w:top w:w="80" w:type="dxa"/>
              <w:left w:w="130" w:type="dxa"/>
              <w:bottom w:w="80" w:type="dxa"/>
              <w:right w:w="130" w:type="dxa"/>
            </w:tcMar>
          </w:tcPr>
          <w:p w14:paraId="3A548986"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National NHS DPP</w:t>
            </w:r>
          </w:p>
        </w:tc>
        <w:tc>
          <w:tcPr>
            <w:tcW w:w="2296" w:type="dxa"/>
            <w:shd w:val="clear" w:color="auto" w:fill="EDF2F7"/>
            <w:tcMar>
              <w:top w:w="80" w:type="dxa"/>
              <w:left w:w="130" w:type="dxa"/>
              <w:bottom w:w="80" w:type="dxa"/>
              <w:right w:w="130" w:type="dxa"/>
            </w:tcMar>
          </w:tcPr>
          <w:p w14:paraId="582CB949"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N = 43,603 NHS DPP referrals (national programme data, 2016–2017)</w:t>
            </w:r>
          </w:p>
        </w:tc>
        <w:tc>
          <w:tcPr>
            <w:tcW w:w="1985" w:type="dxa"/>
            <w:shd w:val="clear" w:color="auto" w:fill="EDF2F7"/>
            <w:tcMar>
              <w:top w:w="80" w:type="dxa"/>
              <w:left w:w="130" w:type="dxa"/>
              <w:bottom w:w="80" w:type="dxa"/>
              <w:right w:w="130" w:type="dxa"/>
            </w:tcMar>
          </w:tcPr>
          <w:p w14:paraId="46CD1D08"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Black; Asian; White British; Mixed/Other</w:t>
            </w:r>
          </w:p>
        </w:tc>
      </w:tr>
      <w:tr w:rsidR="00144F46" w:rsidRPr="005978B5" w14:paraId="632FEB74" w14:textId="77777777" w:rsidTr="003C477A">
        <w:tc>
          <w:tcPr>
            <w:tcW w:w="461" w:type="dxa"/>
            <w:shd w:val="clear" w:color="auto" w:fill="FFFFFF"/>
            <w:tcMar>
              <w:top w:w="80" w:type="dxa"/>
              <w:left w:w="130" w:type="dxa"/>
              <w:bottom w:w="80" w:type="dxa"/>
              <w:right w:w="130" w:type="dxa"/>
            </w:tcMar>
            <w:vAlign w:val="center"/>
          </w:tcPr>
          <w:p w14:paraId="2BDFC4D0"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3</w:t>
            </w:r>
          </w:p>
        </w:tc>
        <w:tc>
          <w:tcPr>
            <w:tcW w:w="1138" w:type="dxa"/>
            <w:shd w:val="clear" w:color="auto" w:fill="FFFFFF"/>
            <w:tcMar>
              <w:top w:w="80" w:type="dxa"/>
              <w:left w:w="130" w:type="dxa"/>
              <w:bottom w:w="80" w:type="dxa"/>
              <w:right w:w="130" w:type="dxa"/>
            </w:tcMar>
          </w:tcPr>
          <w:p w14:paraId="428E28B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Mathur et al. (2020)</w:t>
            </w:r>
          </w:p>
        </w:tc>
        <w:tc>
          <w:tcPr>
            <w:tcW w:w="1336" w:type="dxa"/>
            <w:shd w:val="clear" w:color="auto" w:fill="FFFFFF"/>
            <w:tcMar>
              <w:top w:w="80" w:type="dxa"/>
              <w:left w:w="130" w:type="dxa"/>
              <w:bottom w:w="80" w:type="dxa"/>
              <w:right w:w="130" w:type="dxa"/>
            </w:tcMar>
          </w:tcPr>
          <w:p w14:paraId="62BBF2ED"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Longitudinal Cohort</w:t>
            </w:r>
          </w:p>
        </w:tc>
        <w:tc>
          <w:tcPr>
            <w:tcW w:w="1572" w:type="dxa"/>
            <w:shd w:val="clear" w:color="auto" w:fill="FFFFFF"/>
            <w:tcMar>
              <w:top w:w="80" w:type="dxa"/>
              <w:left w:w="130" w:type="dxa"/>
              <w:bottom w:w="80" w:type="dxa"/>
              <w:right w:w="130" w:type="dxa"/>
            </w:tcMar>
          </w:tcPr>
          <w:p w14:paraId="5F636C20"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National primary care</w:t>
            </w:r>
          </w:p>
        </w:tc>
        <w:tc>
          <w:tcPr>
            <w:tcW w:w="2296" w:type="dxa"/>
            <w:shd w:val="clear" w:color="auto" w:fill="FFFFFF"/>
            <w:tcMar>
              <w:top w:w="80" w:type="dxa"/>
              <w:left w:w="130" w:type="dxa"/>
              <w:bottom w:w="80" w:type="dxa"/>
              <w:right w:w="130" w:type="dxa"/>
            </w:tcMar>
          </w:tcPr>
          <w:p w14:paraId="0437F566"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N = 162,238 patients; 27-year follow-up (CPRD, 1990–2017); adults with new T2DM diagnosis</w:t>
            </w:r>
          </w:p>
        </w:tc>
        <w:tc>
          <w:tcPr>
            <w:tcW w:w="1985" w:type="dxa"/>
            <w:shd w:val="clear" w:color="auto" w:fill="FFFFFF"/>
            <w:tcMar>
              <w:top w:w="80" w:type="dxa"/>
              <w:left w:w="130" w:type="dxa"/>
              <w:bottom w:w="80" w:type="dxa"/>
              <w:right w:w="130" w:type="dxa"/>
            </w:tcMar>
          </w:tcPr>
          <w:p w14:paraId="71CE0180"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South Asian; Black African/Caribbean; Other; White British (reference)</w:t>
            </w:r>
          </w:p>
        </w:tc>
      </w:tr>
      <w:tr w:rsidR="00144F46" w:rsidRPr="005978B5" w14:paraId="0D1906CB" w14:textId="77777777" w:rsidTr="003C477A">
        <w:tc>
          <w:tcPr>
            <w:tcW w:w="461" w:type="dxa"/>
            <w:shd w:val="clear" w:color="auto" w:fill="EDF2F7"/>
            <w:tcMar>
              <w:top w:w="80" w:type="dxa"/>
              <w:left w:w="130" w:type="dxa"/>
              <w:bottom w:w="80" w:type="dxa"/>
              <w:right w:w="130" w:type="dxa"/>
            </w:tcMar>
            <w:vAlign w:val="center"/>
          </w:tcPr>
          <w:p w14:paraId="69C9F0EF"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4</w:t>
            </w:r>
          </w:p>
        </w:tc>
        <w:tc>
          <w:tcPr>
            <w:tcW w:w="1138" w:type="dxa"/>
            <w:shd w:val="clear" w:color="auto" w:fill="EDF2F7"/>
            <w:tcMar>
              <w:top w:w="80" w:type="dxa"/>
              <w:left w:w="130" w:type="dxa"/>
              <w:bottom w:w="80" w:type="dxa"/>
              <w:right w:w="130" w:type="dxa"/>
            </w:tcMar>
          </w:tcPr>
          <w:p w14:paraId="032CE9E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Mathur et al. (2022)</w:t>
            </w:r>
          </w:p>
        </w:tc>
        <w:tc>
          <w:tcPr>
            <w:tcW w:w="1336" w:type="dxa"/>
            <w:shd w:val="clear" w:color="auto" w:fill="EDF2F7"/>
            <w:tcMar>
              <w:top w:w="80" w:type="dxa"/>
              <w:left w:w="130" w:type="dxa"/>
              <w:bottom w:w="80" w:type="dxa"/>
              <w:right w:w="130" w:type="dxa"/>
            </w:tcMar>
          </w:tcPr>
          <w:p w14:paraId="6D15032D"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Cohort</w:t>
            </w:r>
          </w:p>
        </w:tc>
        <w:tc>
          <w:tcPr>
            <w:tcW w:w="1572" w:type="dxa"/>
            <w:shd w:val="clear" w:color="auto" w:fill="EDF2F7"/>
            <w:tcMar>
              <w:top w:w="80" w:type="dxa"/>
              <w:left w:w="130" w:type="dxa"/>
              <w:bottom w:w="80" w:type="dxa"/>
              <w:right w:w="130" w:type="dxa"/>
            </w:tcMar>
          </w:tcPr>
          <w:p w14:paraId="5A27B628"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East London primary care</w:t>
            </w:r>
          </w:p>
        </w:tc>
        <w:tc>
          <w:tcPr>
            <w:tcW w:w="2296" w:type="dxa"/>
            <w:shd w:val="clear" w:color="auto" w:fill="EDF2F7"/>
            <w:tcMar>
              <w:top w:w="80" w:type="dxa"/>
              <w:left w:w="130" w:type="dxa"/>
              <w:bottom w:w="80" w:type="dxa"/>
              <w:right w:w="130" w:type="dxa"/>
            </w:tcMar>
          </w:tcPr>
          <w:p w14:paraId="40840129"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N = 31,931 patients with T2DM; East London Primary Care Database</w:t>
            </w:r>
          </w:p>
        </w:tc>
        <w:tc>
          <w:tcPr>
            <w:tcW w:w="1985" w:type="dxa"/>
            <w:shd w:val="clear" w:color="auto" w:fill="EDF2F7"/>
            <w:tcMar>
              <w:top w:w="80" w:type="dxa"/>
              <w:left w:w="130" w:type="dxa"/>
              <w:bottom w:w="80" w:type="dxa"/>
              <w:right w:w="130" w:type="dxa"/>
            </w:tcMar>
          </w:tcPr>
          <w:p w14:paraId="232D5990"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South Asian; Black African/Caribbean</w:t>
            </w:r>
          </w:p>
        </w:tc>
      </w:tr>
      <w:tr w:rsidR="00144F46" w:rsidRPr="005978B5" w14:paraId="1B06058C" w14:textId="77777777" w:rsidTr="003C477A">
        <w:tc>
          <w:tcPr>
            <w:tcW w:w="461" w:type="dxa"/>
            <w:shd w:val="clear" w:color="auto" w:fill="FFFFFF"/>
            <w:tcMar>
              <w:top w:w="80" w:type="dxa"/>
              <w:left w:w="130" w:type="dxa"/>
              <w:bottom w:w="80" w:type="dxa"/>
              <w:right w:w="130" w:type="dxa"/>
            </w:tcMar>
            <w:vAlign w:val="center"/>
          </w:tcPr>
          <w:p w14:paraId="107560A8"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5</w:t>
            </w:r>
          </w:p>
        </w:tc>
        <w:tc>
          <w:tcPr>
            <w:tcW w:w="1138" w:type="dxa"/>
            <w:shd w:val="clear" w:color="auto" w:fill="FFFFFF"/>
            <w:tcMar>
              <w:top w:w="80" w:type="dxa"/>
              <w:left w:w="130" w:type="dxa"/>
              <w:bottom w:w="80" w:type="dxa"/>
              <w:right w:w="130" w:type="dxa"/>
            </w:tcMar>
          </w:tcPr>
          <w:p w14:paraId="0209D065"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Howarth et al. (2020)</w:t>
            </w:r>
          </w:p>
        </w:tc>
        <w:tc>
          <w:tcPr>
            <w:tcW w:w="1336" w:type="dxa"/>
            <w:shd w:val="clear" w:color="auto" w:fill="FFFFFF"/>
            <w:tcMar>
              <w:top w:w="80" w:type="dxa"/>
              <w:left w:w="130" w:type="dxa"/>
              <w:bottom w:w="80" w:type="dxa"/>
              <w:right w:w="130" w:type="dxa"/>
            </w:tcMar>
          </w:tcPr>
          <w:p w14:paraId="4D8C717B"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Cohort</w:t>
            </w:r>
          </w:p>
        </w:tc>
        <w:tc>
          <w:tcPr>
            <w:tcW w:w="1572" w:type="dxa"/>
            <w:shd w:val="clear" w:color="auto" w:fill="FFFFFF"/>
            <w:tcMar>
              <w:top w:w="80" w:type="dxa"/>
              <w:left w:w="130" w:type="dxa"/>
              <w:bottom w:w="80" w:type="dxa"/>
              <w:right w:w="130" w:type="dxa"/>
            </w:tcMar>
          </w:tcPr>
          <w:p w14:paraId="1FEA5DC5"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National NHS DPP</w:t>
            </w:r>
          </w:p>
        </w:tc>
        <w:tc>
          <w:tcPr>
            <w:tcW w:w="2296" w:type="dxa"/>
            <w:shd w:val="clear" w:color="auto" w:fill="FFFFFF"/>
            <w:tcMar>
              <w:top w:w="80" w:type="dxa"/>
              <w:left w:w="130" w:type="dxa"/>
              <w:bottom w:w="80" w:type="dxa"/>
              <w:right w:w="130" w:type="dxa"/>
            </w:tcMar>
          </w:tcPr>
          <w:p w14:paraId="7D1C1020"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N = 99,473 NHS DPP referrals (national programme data)</w:t>
            </w:r>
          </w:p>
        </w:tc>
        <w:tc>
          <w:tcPr>
            <w:tcW w:w="1985" w:type="dxa"/>
            <w:shd w:val="clear" w:color="auto" w:fill="FFFFFF"/>
            <w:tcMar>
              <w:top w:w="80" w:type="dxa"/>
              <w:left w:w="130" w:type="dxa"/>
              <w:bottom w:w="80" w:type="dxa"/>
              <w:right w:w="130" w:type="dxa"/>
            </w:tcMar>
          </w:tcPr>
          <w:p w14:paraId="38A3995B"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Multiple ethnicities (ethnicity analysed as covariate)</w:t>
            </w:r>
          </w:p>
        </w:tc>
      </w:tr>
      <w:tr w:rsidR="00144F46" w:rsidRPr="005978B5" w14:paraId="5CF91C5E" w14:textId="77777777" w:rsidTr="003C477A">
        <w:tc>
          <w:tcPr>
            <w:tcW w:w="461" w:type="dxa"/>
            <w:shd w:val="clear" w:color="auto" w:fill="EDF2F7"/>
            <w:tcMar>
              <w:top w:w="80" w:type="dxa"/>
              <w:left w:w="130" w:type="dxa"/>
              <w:bottom w:w="80" w:type="dxa"/>
              <w:right w:w="130" w:type="dxa"/>
            </w:tcMar>
            <w:vAlign w:val="center"/>
          </w:tcPr>
          <w:p w14:paraId="487383AD"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6</w:t>
            </w:r>
          </w:p>
        </w:tc>
        <w:tc>
          <w:tcPr>
            <w:tcW w:w="1138" w:type="dxa"/>
            <w:shd w:val="clear" w:color="auto" w:fill="EDF2F7"/>
            <w:tcMar>
              <w:top w:w="80" w:type="dxa"/>
              <w:left w:w="130" w:type="dxa"/>
              <w:bottom w:w="80" w:type="dxa"/>
              <w:right w:w="130" w:type="dxa"/>
            </w:tcMar>
          </w:tcPr>
          <w:p w14:paraId="128F63FC"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Zeh et al. (2016)</w:t>
            </w:r>
          </w:p>
        </w:tc>
        <w:tc>
          <w:tcPr>
            <w:tcW w:w="1336" w:type="dxa"/>
            <w:shd w:val="clear" w:color="auto" w:fill="EDF2F7"/>
            <w:tcMar>
              <w:top w:w="80" w:type="dxa"/>
              <w:left w:w="130" w:type="dxa"/>
              <w:bottom w:w="80" w:type="dxa"/>
              <w:right w:w="130" w:type="dxa"/>
            </w:tcMar>
          </w:tcPr>
          <w:p w14:paraId="21FB6FC0"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Cross-sectional Survey</w:t>
            </w:r>
          </w:p>
        </w:tc>
        <w:tc>
          <w:tcPr>
            <w:tcW w:w="1572" w:type="dxa"/>
            <w:shd w:val="clear" w:color="auto" w:fill="EDF2F7"/>
            <w:tcMar>
              <w:top w:w="80" w:type="dxa"/>
              <w:left w:w="130" w:type="dxa"/>
              <w:bottom w:w="80" w:type="dxa"/>
              <w:right w:w="130" w:type="dxa"/>
            </w:tcMar>
          </w:tcPr>
          <w:p w14:paraId="45FACAE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Single city, primary care</w:t>
            </w:r>
          </w:p>
        </w:tc>
        <w:tc>
          <w:tcPr>
            <w:tcW w:w="2296" w:type="dxa"/>
            <w:shd w:val="clear" w:color="auto" w:fill="EDF2F7"/>
            <w:tcMar>
              <w:top w:w="80" w:type="dxa"/>
              <w:left w:w="130" w:type="dxa"/>
              <w:bottom w:w="80" w:type="dxa"/>
              <w:right w:w="130" w:type="dxa"/>
            </w:tcMar>
          </w:tcPr>
          <w:p w14:paraId="4145E112"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Multi-site primary care; South Asian patients and primary care clinicians</w:t>
            </w:r>
          </w:p>
        </w:tc>
        <w:tc>
          <w:tcPr>
            <w:tcW w:w="1985" w:type="dxa"/>
            <w:shd w:val="clear" w:color="auto" w:fill="EDF2F7"/>
            <w:tcMar>
              <w:top w:w="80" w:type="dxa"/>
              <w:left w:w="130" w:type="dxa"/>
              <w:bottom w:w="80" w:type="dxa"/>
              <w:right w:w="130" w:type="dxa"/>
            </w:tcMar>
          </w:tcPr>
          <w:p w14:paraId="30D84662"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South Asian (patients); Mixed ethnicity (clinicians)</w:t>
            </w:r>
          </w:p>
        </w:tc>
      </w:tr>
      <w:tr w:rsidR="00144F46" w:rsidRPr="005978B5" w14:paraId="4156A378" w14:textId="77777777" w:rsidTr="003C477A">
        <w:tc>
          <w:tcPr>
            <w:tcW w:w="461" w:type="dxa"/>
            <w:shd w:val="clear" w:color="auto" w:fill="FFFFFF"/>
            <w:tcMar>
              <w:top w:w="80" w:type="dxa"/>
              <w:left w:w="130" w:type="dxa"/>
              <w:bottom w:w="80" w:type="dxa"/>
              <w:right w:w="130" w:type="dxa"/>
            </w:tcMar>
            <w:vAlign w:val="center"/>
          </w:tcPr>
          <w:p w14:paraId="47313B68"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7</w:t>
            </w:r>
          </w:p>
        </w:tc>
        <w:tc>
          <w:tcPr>
            <w:tcW w:w="1138" w:type="dxa"/>
            <w:shd w:val="clear" w:color="auto" w:fill="FFFFFF"/>
            <w:tcMar>
              <w:top w:w="80" w:type="dxa"/>
              <w:left w:w="130" w:type="dxa"/>
              <w:bottom w:w="80" w:type="dxa"/>
              <w:right w:w="130" w:type="dxa"/>
            </w:tcMar>
          </w:tcPr>
          <w:p w14:paraId="46C0EA75" w14:textId="77777777" w:rsidR="00967BED" w:rsidRPr="005978B5" w:rsidRDefault="00967BED" w:rsidP="005978B5">
            <w:pPr>
              <w:spacing w:line="240" w:lineRule="auto"/>
              <w:rPr>
                <w:rFonts w:ascii="Arial" w:hAnsi="Arial" w:cs="Arial"/>
                <w:sz w:val="18"/>
                <w:szCs w:val="18"/>
              </w:rPr>
            </w:pPr>
            <w:proofErr w:type="spellStart"/>
            <w:r w:rsidRPr="005978B5">
              <w:rPr>
                <w:rFonts w:ascii="Arial" w:eastAsia="Arial" w:hAnsi="Arial" w:cs="Arial"/>
                <w:b/>
                <w:bCs/>
                <w:color w:val="0D2B4E"/>
                <w:sz w:val="18"/>
                <w:szCs w:val="18"/>
              </w:rPr>
              <w:t>Pardhan</w:t>
            </w:r>
            <w:proofErr w:type="spellEnd"/>
            <w:r w:rsidRPr="005978B5">
              <w:rPr>
                <w:rFonts w:ascii="Arial" w:eastAsia="Arial" w:hAnsi="Arial" w:cs="Arial"/>
                <w:b/>
                <w:bCs/>
                <w:color w:val="0D2B4E"/>
                <w:sz w:val="18"/>
                <w:szCs w:val="18"/>
              </w:rPr>
              <w:t xml:space="preserve"> et al. (2020)</w:t>
            </w:r>
          </w:p>
        </w:tc>
        <w:tc>
          <w:tcPr>
            <w:tcW w:w="1336" w:type="dxa"/>
            <w:shd w:val="clear" w:color="auto" w:fill="FFFFFF"/>
            <w:tcMar>
              <w:top w:w="80" w:type="dxa"/>
              <w:left w:w="130" w:type="dxa"/>
              <w:bottom w:w="80" w:type="dxa"/>
              <w:right w:w="130" w:type="dxa"/>
            </w:tcMar>
          </w:tcPr>
          <w:p w14:paraId="71EF76FF"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Qualitative</w:t>
            </w:r>
          </w:p>
        </w:tc>
        <w:tc>
          <w:tcPr>
            <w:tcW w:w="1572" w:type="dxa"/>
            <w:shd w:val="clear" w:color="auto" w:fill="FFFFFF"/>
            <w:tcMar>
              <w:top w:w="80" w:type="dxa"/>
              <w:left w:w="130" w:type="dxa"/>
              <w:bottom w:w="80" w:type="dxa"/>
              <w:right w:w="130" w:type="dxa"/>
            </w:tcMar>
          </w:tcPr>
          <w:p w14:paraId="0AB5157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(region unspecified)</w:t>
            </w:r>
          </w:p>
        </w:tc>
        <w:tc>
          <w:tcPr>
            <w:tcW w:w="2296" w:type="dxa"/>
            <w:shd w:val="clear" w:color="auto" w:fill="FFFFFF"/>
            <w:tcMar>
              <w:top w:w="80" w:type="dxa"/>
              <w:left w:w="130" w:type="dxa"/>
              <w:bottom w:w="80" w:type="dxa"/>
              <w:right w:w="130" w:type="dxa"/>
            </w:tcMar>
          </w:tcPr>
          <w:p w14:paraId="60044CD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South Asian adults with T2DM; purposive community and primary care sample</w:t>
            </w:r>
          </w:p>
        </w:tc>
        <w:tc>
          <w:tcPr>
            <w:tcW w:w="1985" w:type="dxa"/>
            <w:shd w:val="clear" w:color="auto" w:fill="FFFFFF"/>
            <w:tcMar>
              <w:top w:w="80" w:type="dxa"/>
              <w:left w:w="130" w:type="dxa"/>
              <w:bottom w:w="80" w:type="dxa"/>
              <w:right w:w="130" w:type="dxa"/>
            </w:tcMar>
          </w:tcPr>
          <w:p w14:paraId="2003D3AE"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South Asian (British Indian, Pakistani, Bangladeshi)</w:t>
            </w:r>
          </w:p>
        </w:tc>
      </w:tr>
      <w:tr w:rsidR="00144F46" w:rsidRPr="005978B5" w14:paraId="69C1AAB1" w14:textId="77777777" w:rsidTr="003C477A">
        <w:tc>
          <w:tcPr>
            <w:tcW w:w="461" w:type="dxa"/>
            <w:shd w:val="clear" w:color="auto" w:fill="EDF2F7"/>
            <w:tcMar>
              <w:top w:w="80" w:type="dxa"/>
              <w:left w:w="130" w:type="dxa"/>
              <w:bottom w:w="80" w:type="dxa"/>
              <w:right w:w="130" w:type="dxa"/>
            </w:tcMar>
            <w:vAlign w:val="center"/>
          </w:tcPr>
          <w:p w14:paraId="203FDE62"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8</w:t>
            </w:r>
          </w:p>
        </w:tc>
        <w:tc>
          <w:tcPr>
            <w:tcW w:w="1138" w:type="dxa"/>
            <w:shd w:val="clear" w:color="auto" w:fill="EDF2F7"/>
            <w:tcMar>
              <w:top w:w="80" w:type="dxa"/>
              <w:left w:w="130" w:type="dxa"/>
              <w:bottom w:w="80" w:type="dxa"/>
              <w:right w:w="130" w:type="dxa"/>
            </w:tcMar>
          </w:tcPr>
          <w:p w14:paraId="4D4312AB"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Patel et al. (2015a)</w:t>
            </w:r>
          </w:p>
        </w:tc>
        <w:tc>
          <w:tcPr>
            <w:tcW w:w="1336" w:type="dxa"/>
            <w:shd w:val="clear" w:color="auto" w:fill="EDF2F7"/>
            <w:tcMar>
              <w:top w:w="80" w:type="dxa"/>
              <w:left w:w="130" w:type="dxa"/>
              <w:bottom w:w="80" w:type="dxa"/>
              <w:right w:w="130" w:type="dxa"/>
            </w:tcMar>
          </w:tcPr>
          <w:p w14:paraId="21300563"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Qualitative</w:t>
            </w:r>
          </w:p>
        </w:tc>
        <w:tc>
          <w:tcPr>
            <w:tcW w:w="1572" w:type="dxa"/>
            <w:shd w:val="clear" w:color="auto" w:fill="EDF2F7"/>
            <w:tcMar>
              <w:top w:w="80" w:type="dxa"/>
              <w:left w:w="130" w:type="dxa"/>
              <w:bottom w:w="80" w:type="dxa"/>
              <w:right w:w="130" w:type="dxa"/>
            </w:tcMar>
          </w:tcPr>
          <w:p w14:paraId="4A4B6395"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primary care</w:t>
            </w:r>
          </w:p>
        </w:tc>
        <w:tc>
          <w:tcPr>
            <w:tcW w:w="2296" w:type="dxa"/>
            <w:shd w:val="clear" w:color="auto" w:fill="EDF2F7"/>
            <w:tcMar>
              <w:top w:w="80" w:type="dxa"/>
              <w:left w:w="130" w:type="dxa"/>
              <w:bottom w:w="80" w:type="dxa"/>
              <w:right w:w="130" w:type="dxa"/>
            </w:tcMar>
          </w:tcPr>
          <w:p w14:paraId="493822F2"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British Muslim adults with T2DM; purposive sample; UK primary care</w:t>
            </w:r>
          </w:p>
        </w:tc>
        <w:tc>
          <w:tcPr>
            <w:tcW w:w="1985" w:type="dxa"/>
            <w:shd w:val="clear" w:color="auto" w:fill="EDF2F7"/>
            <w:tcMar>
              <w:top w:w="80" w:type="dxa"/>
              <w:left w:w="130" w:type="dxa"/>
              <w:bottom w:w="80" w:type="dxa"/>
              <w:right w:w="130" w:type="dxa"/>
            </w:tcMar>
          </w:tcPr>
          <w:p w14:paraId="09A17343"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British Muslims (South Asian, Arab)</w:t>
            </w:r>
          </w:p>
        </w:tc>
      </w:tr>
      <w:tr w:rsidR="00144F46" w:rsidRPr="005978B5" w14:paraId="2D8C0A15" w14:textId="77777777" w:rsidTr="003C477A">
        <w:tc>
          <w:tcPr>
            <w:tcW w:w="461" w:type="dxa"/>
            <w:shd w:val="clear" w:color="auto" w:fill="FFFFFF"/>
            <w:tcMar>
              <w:top w:w="80" w:type="dxa"/>
              <w:left w:w="130" w:type="dxa"/>
              <w:bottom w:w="80" w:type="dxa"/>
              <w:right w:w="130" w:type="dxa"/>
            </w:tcMar>
            <w:vAlign w:val="center"/>
          </w:tcPr>
          <w:p w14:paraId="60833EF8"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9</w:t>
            </w:r>
          </w:p>
        </w:tc>
        <w:tc>
          <w:tcPr>
            <w:tcW w:w="1138" w:type="dxa"/>
            <w:shd w:val="clear" w:color="auto" w:fill="FFFFFF"/>
            <w:tcMar>
              <w:top w:w="80" w:type="dxa"/>
              <w:left w:w="130" w:type="dxa"/>
              <w:bottom w:w="80" w:type="dxa"/>
              <w:right w:w="130" w:type="dxa"/>
            </w:tcMar>
          </w:tcPr>
          <w:p w14:paraId="26138E35"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Patel et al. (2015b)</w:t>
            </w:r>
          </w:p>
        </w:tc>
        <w:tc>
          <w:tcPr>
            <w:tcW w:w="1336" w:type="dxa"/>
            <w:shd w:val="clear" w:color="auto" w:fill="FFFFFF"/>
            <w:tcMar>
              <w:top w:w="80" w:type="dxa"/>
              <w:left w:w="130" w:type="dxa"/>
              <w:bottom w:w="80" w:type="dxa"/>
              <w:right w:w="130" w:type="dxa"/>
            </w:tcMar>
          </w:tcPr>
          <w:p w14:paraId="57434020"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Mixed-methods</w:t>
            </w:r>
          </w:p>
        </w:tc>
        <w:tc>
          <w:tcPr>
            <w:tcW w:w="1572" w:type="dxa"/>
            <w:shd w:val="clear" w:color="auto" w:fill="FFFFFF"/>
            <w:tcMar>
              <w:top w:w="80" w:type="dxa"/>
              <w:left w:w="130" w:type="dxa"/>
              <w:bottom w:w="80" w:type="dxa"/>
              <w:right w:w="130" w:type="dxa"/>
            </w:tcMar>
          </w:tcPr>
          <w:p w14:paraId="49FFE04B"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primary care</w:t>
            </w:r>
          </w:p>
        </w:tc>
        <w:tc>
          <w:tcPr>
            <w:tcW w:w="2296" w:type="dxa"/>
            <w:shd w:val="clear" w:color="auto" w:fill="FFFFFF"/>
            <w:tcMar>
              <w:top w:w="80" w:type="dxa"/>
              <w:left w:w="130" w:type="dxa"/>
              <w:bottom w:w="80" w:type="dxa"/>
              <w:right w:w="130" w:type="dxa"/>
            </w:tcMar>
          </w:tcPr>
          <w:p w14:paraId="784C80D3"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British South Asian adults with T2DM; purposive community and primary care sample</w:t>
            </w:r>
          </w:p>
        </w:tc>
        <w:tc>
          <w:tcPr>
            <w:tcW w:w="1985" w:type="dxa"/>
            <w:shd w:val="clear" w:color="auto" w:fill="FFFFFF"/>
            <w:tcMar>
              <w:top w:w="80" w:type="dxa"/>
              <w:left w:w="130" w:type="dxa"/>
              <w:bottom w:w="80" w:type="dxa"/>
              <w:right w:w="130" w:type="dxa"/>
            </w:tcMar>
          </w:tcPr>
          <w:p w14:paraId="29F707DA"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British South Asian (Indian, Pakistani, Bangladeshi)</w:t>
            </w:r>
          </w:p>
        </w:tc>
      </w:tr>
      <w:tr w:rsidR="00144F46" w:rsidRPr="005978B5" w14:paraId="6B5DB2EE" w14:textId="77777777" w:rsidTr="003C477A">
        <w:tc>
          <w:tcPr>
            <w:tcW w:w="461" w:type="dxa"/>
            <w:shd w:val="clear" w:color="auto" w:fill="EDF2F7"/>
            <w:tcMar>
              <w:top w:w="80" w:type="dxa"/>
              <w:left w:w="130" w:type="dxa"/>
              <w:bottom w:w="80" w:type="dxa"/>
              <w:right w:w="130" w:type="dxa"/>
            </w:tcMar>
            <w:vAlign w:val="center"/>
          </w:tcPr>
          <w:p w14:paraId="48977964"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lastRenderedPageBreak/>
              <w:t>10</w:t>
            </w:r>
          </w:p>
        </w:tc>
        <w:tc>
          <w:tcPr>
            <w:tcW w:w="1138" w:type="dxa"/>
            <w:shd w:val="clear" w:color="auto" w:fill="EDF2F7"/>
            <w:tcMar>
              <w:top w:w="80" w:type="dxa"/>
              <w:left w:w="130" w:type="dxa"/>
              <w:bottom w:w="80" w:type="dxa"/>
              <w:right w:w="130" w:type="dxa"/>
            </w:tcMar>
          </w:tcPr>
          <w:p w14:paraId="7618BFA0" w14:textId="77777777" w:rsidR="00967BED" w:rsidRPr="005978B5" w:rsidRDefault="00967BED" w:rsidP="005978B5">
            <w:pPr>
              <w:spacing w:line="240" w:lineRule="auto"/>
              <w:rPr>
                <w:rFonts w:ascii="Arial" w:hAnsi="Arial" w:cs="Arial"/>
                <w:sz w:val="18"/>
                <w:szCs w:val="18"/>
              </w:rPr>
            </w:pPr>
            <w:proofErr w:type="spellStart"/>
            <w:r w:rsidRPr="005978B5">
              <w:rPr>
                <w:rFonts w:ascii="Arial" w:eastAsia="Arial" w:hAnsi="Arial" w:cs="Arial"/>
                <w:b/>
                <w:bCs/>
                <w:color w:val="0D2B4E"/>
                <w:sz w:val="18"/>
                <w:szCs w:val="18"/>
              </w:rPr>
              <w:t>Omodara</w:t>
            </w:r>
            <w:proofErr w:type="spellEnd"/>
            <w:r w:rsidRPr="005978B5">
              <w:rPr>
                <w:rFonts w:ascii="Arial" w:eastAsia="Arial" w:hAnsi="Arial" w:cs="Arial"/>
                <w:b/>
                <w:bCs/>
                <w:color w:val="0D2B4E"/>
                <w:sz w:val="18"/>
                <w:szCs w:val="18"/>
              </w:rPr>
              <w:t xml:space="preserve"> et al. (2022)</w:t>
            </w:r>
          </w:p>
        </w:tc>
        <w:tc>
          <w:tcPr>
            <w:tcW w:w="1336" w:type="dxa"/>
            <w:shd w:val="clear" w:color="auto" w:fill="EDF2F7"/>
            <w:tcMar>
              <w:top w:w="80" w:type="dxa"/>
              <w:left w:w="130" w:type="dxa"/>
              <w:bottom w:w="80" w:type="dxa"/>
              <w:right w:w="130" w:type="dxa"/>
            </w:tcMar>
          </w:tcPr>
          <w:p w14:paraId="2E7C5636"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Qualitative</w:t>
            </w:r>
          </w:p>
        </w:tc>
        <w:tc>
          <w:tcPr>
            <w:tcW w:w="1572" w:type="dxa"/>
            <w:shd w:val="clear" w:color="auto" w:fill="EDF2F7"/>
            <w:tcMar>
              <w:top w:w="80" w:type="dxa"/>
              <w:left w:w="130" w:type="dxa"/>
              <w:bottom w:w="80" w:type="dxa"/>
              <w:right w:w="130" w:type="dxa"/>
            </w:tcMar>
          </w:tcPr>
          <w:p w14:paraId="73041D78"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(multiple community settings)</w:t>
            </w:r>
          </w:p>
        </w:tc>
        <w:tc>
          <w:tcPr>
            <w:tcW w:w="2296" w:type="dxa"/>
            <w:shd w:val="clear" w:color="auto" w:fill="EDF2F7"/>
            <w:tcMar>
              <w:top w:w="80" w:type="dxa"/>
              <w:left w:w="130" w:type="dxa"/>
              <w:bottom w:w="80" w:type="dxa"/>
              <w:right w:w="130" w:type="dxa"/>
            </w:tcMar>
          </w:tcPr>
          <w:p w14:paraId="7FEB8C36"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Black sub-Saharan African adults with T2DM; purposive community sample</w:t>
            </w:r>
          </w:p>
        </w:tc>
        <w:tc>
          <w:tcPr>
            <w:tcW w:w="1985" w:type="dxa"/>
            <w:shd w:val="clear" w:color="auto" w:fill="EDF2F7"/>
            <w:tcMar>
              <w:top w:w="80" w:type="dxa"/>
              <w:left w:w="130" w:type="dxa"/>
              <w:bottom w:w="80" w:type="dxa"/>
              <w:right w:w="130" w:type="dxa"/>
            </w:tcMar>
          </w:tcPr>
          <w:p w14:paraId="0A6EEB22"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Black sub-Saharan African (Nigerian, Ghanaian, other)</w:t>
            </w:r>
          </w:p>
        </w:tc>
      </w:tr>
      <w:tr w:rsidR="00144F46" w:rsidRPr="005978B5" w14:paraId="775F054D" w14:textId="77777777" w:rsidTr="003C477A">
        <w:tc>
          <w:tcPr>
            <w:tcW w:w="461" w:type="dxa"/>
            <w:shd w:val="clear" w:color="auto" w:fill="FFFFFF"/>
            <w:tcMar>
              <w:top w:w="80" w:type="dxa"/>
              <w:left w:w="130" w:type="dxa"/>
              <w:bottom w:w="80" w:type="dxa"/>
              <w:right w:w="130" w:type="dxa"/>
            </w:tcMar>
            <w:vAlign w:val="center"/>
          </w:tcPr>
          <w:p w14:paraId="7CBCEB4F"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11</w:t>
            </w:r>
          </w:p>
        </w:tc>
        <w:tc>
          <w:tcPr>
            <w:tcW w:w="1138" w:type="dxa"/>
            <w:shd w:val="clear" w:color="auto" w:fill="FFFFFF"/>
            <w:tcMar>
              <w:top w:w="80" w:type="dxa"/>
              <w:left w:w="130" w:type="dxa"/>
              <w:bottom w:w="80" w:type="dxa"/>
              <w:right w:w="130" w:type="dxa"/>
            </w:tcMar>
          </w:tcPr>
          <w:p w14:paraId="769C2112"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Goff et al. (2020b)</w:t>
            </w:r>
          </w:p>
        </w:tc>
        <w:tc>
          <w:tcPr>
            <w:tcW w:w="1336" w:type="dxa"/>
            <w:shd w:val="clear" w:color="auto" w:fill="FFFFFF"/>
            <w:tcMar>
              <w:top w:w="80" w:type="dxa"/>
              <w:left w:w="130" w:type="dxa"/>
              <w:bottom w:w="80" w:type="dxa"/>
              <w:right w:w="130" w:type="dxa"/>
            </w:tcMar>
          </w:tcPr>
          <w:p w14:paraId="5EAD949E"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Qualitative</w:t>
            </w:r>
          </w:p>
        </w:tc>
        <w:tc>
          <w:tcPr>
            <w:tcW w:w="1572" w:type="dxa"/>
            <w:shd w:val="clear" w:color="auto" w:fill="FFFFFF"/>
            <w:tcMar>
              <w:top w:w="80" w:type="dxa"/>
              <w:left w:w="130" w:type="dxa"/>
              <w:bottom w:w="80" w:type="dxa"/>
              <w:right w:w="130" w:type="dxa"/>
            </w:tcMar>
          </w:tcPr>
          <w:p w14:paraId="442B4C96"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Inner London</w:t>
            </w:r>
          </w:p>
        </w:tc>
        <w:tc>
          <w:tcPr>
            <w:tcW w:w="2296" w:type="dxa"/>
            <w:shd w:val="clear" w:color="auto" w:fill="FFFFFF"/>
            <w:tcMar>
              <w:top w:w="80" w:type="dxa"/>
              <w:left w:w="130" w:type="dxa"/>
              <w:bottom w:w="80" w:type="dxa"/>
              <w:right w:w="130" w:type="dxa"/>
            </w:tcMar>
          </w:tcPr>
          <w:p w14:paraId="4C25F28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Black African/Caribbean adults with T2DM and diabetes practitioners; inner London purposive sample</w:t>
            </w:r>
          </w:p>
        </w:tc>
        <w:tc>
          <w:tcPr>
            <w:tcW w:w="1985" w:type="dxa"/>
            <w:shd w:val="clear" w:color="auto" w:fill="FFFFFF"/>
            <w:tcMar>
              <w:top w:w="80" w:type="dxa"/>
              <w:left w:w="130" w:type="dxa"/>
              <w:bottom w:w="80" w:type="dxa"/>
              <w:right w:w="130" w:type="dxa"/>
            </w:tcMar>
          </w:tcPr>
          <w:p w14:paraId="66D51ACC"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Black African; Black Caribbean</w:t>
            </w:r>
          </w:p>
        </w:tc>
      </w:tr>
      <w:tr w:rsidR="00144F46" w:rsidRPr="005978B5" w14:paraId="31F3C89C" w14:textId="77777777" w:rsidTr="003C477A">
        <w:tc>
          <w:tcPr>
            <w:tcW w:w="461" w:type="dxa"/>
            <w:shd w:val="clear" w:color="auto" w:fill="EDF2F7"/>
            <w:tcMar>
              <w:top w:w="80" w:type="dxa"/>
              <w:left w:w="130" w:type="dxa"/>
              <w:bottom w:w="80" w:type="dxa"/>
              <w:right w:w="130" w:type="dxa"/>
            </w:tcMar>
            <w:vAlign w:val="center"/>
          </w:tcPr>
          <w:p w14:paraId="68616B23"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12</w:t>
            </w:r>
          </w:p>
        </w:tc>
        <w:tc>
          <w:tcPr>
            <w:tcW w:w="1138" w:type="dxa"/>
            <w:shd w:val="clear" w:color="auto" w:fill="EDF2F7"/>
            <w:tcMar>
              <w:top w:w="80" w:type="dxa"/>
              <w:left w:w="130" w:type="dxa"/>
              <w:bottom w:w="80" w:type="dxa"/>
              <w:right w:w="130" w:type="dxa"/>
            </w:tcMar>
          </w:tcPr>
          <w:p w14:paraId="7C581CCA" w14:textId="77777777" w:rsidR="00967BED" w:rsidRPr="005978B5" w:rsidRDefault="00967BED" w:rsidP="005978B5">
            <w:pPr>
              <w:spacing w:line="240" w:lineRule="auto"/>
              <w:rPr>
                <w:rFonts w:ascii="Arial" w:hAnsi="Arial" w:cs="Arial"/>
                <w:sz w:val="18"/>
                <w:szCs w:val="18"/>
              </w:rPr>
            </w:pPr>
            <w:proofErr w:type="spellStart"/>
            <w:r w:rsidRPr="005978B5">
              <w:rPr>
                <w:rFonts w:ascii="Arial" w:eastAsia="Arial" w:hAnsi="Arial" w:cs="Arial"/>
                <w:b/>
                <w:bCs/>
                <w:color w:val="0D2B4E"/>
                <w:sz w:val="18"/>
                <w:szCs w:val="18"/>
              </w:rPr>
              <w:t>Alloh</w:t>
            </w:r>
            <w:proofErr w:type="spellEnd"/>
            <w:r w:rsidRPr="005978B5">
              <w:rPr>
                <w:rFonts w:ascii="Arial" w:eastAsia="Arial" w:hAnsi="Arial" w:cs="Arial"/>
                <w:b/>
                <w:bCs/>
                <w:color w:val="0D2B4E"/>
                <w:sz w:val="18"/>
                <w:szCs w:val="18"/>
              </w:rPr>
              <w:t xml:space="preserve"> et al. (2019)</w:t>
            </w:r>
          </w:p>
        </w:tc>
        <w:tc>
          <w:tcPr>
            <w:tcW w:w="1336" w:type="dxa"/>
            <w:shd w:val="clear" w:color="auto" w:fill="EDF2F7"/>
            <w:tcMar>
              <w:top w:w="80" w:type="dxa"/>
              <w:left w:w="130" w:type="dxa"/>
              <w:bottom w:w="80" w:type="dxa"/>
              <w:right w:w="130" w:type="dxa"/>
            </w:tcMar>
          </w:tcPr>
          <w:p w14:paraId="5B5573FB"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Qualitative</w:t>
            </w:r>
          </w:p>
        </w:tc>
        <w:tc>
          <w:tcPr>
            <w:tcW w:w="1572" w:type="dxa"/>
            <w:shd w:val="clear" w:color="auto" w:fill="EDF2F7"/>
            <w:tcMar>
              <w:top w:w="80" w:type="dxa"/>
              <w:left w:w="130" w:type="dxa"/>
              <w:bottom w:w="80" w:type="dxa"/>
              <w:right w:w="130" w:type="dxa"/>
            </w:tcMar>
          </w:tcPr>
          <w:p w14:paraId="784F5519"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London (community)</w:t>
            </w:r>
          </w:p>
        </w:tc>
        <w:tc>
          <w:tcPr>
            <w:tcW w:w="2296" w:type="dxa"/>
            <w:shd w:val="clear" w:color="auto" w:fill="EDF2F7"/>
            <w:tcMar>
              <w:top w:w="80" w:type="dxa"/>
              <w:left w:w="130" w:type="dxa"/>
              <w:bottom w:w="80" w:type="dxa"/>
              <w:right w:w="130" w:type="dxa"/>
            </w:tcMar>
          </w:tcPr>
          <w:p w14:paraId="16809606"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N = 34 in-depth interviews; West African immigrants with T2DM; London community</w:t>
            </w:r>
          </w:p>
        </w:tc>
        <w:tc>
          <w:tcPr>
            <w:tcW w:w="1985" w:type="dxa"/>
            <w:shd w:val="clear" w:color="auto" w:fill="EDF2F7"/>
            <w:tcMar>
              <w:top w:w="80" w:type="dxa"/>
              <w:left w:w="130" w:type="dxa"/>
              <w:bottom w:w="80" w:type="dxa"/>
              <w:right w:w="130" w:type="dxa"/>
            </w:tcMar>
          </w:tcPr>
          <w:p w14:paraId="5E08140F"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West African immigrants (Nigerian, Ghanaian, other)</w:t>
            </w:r>
          </w:p>
        </w:tc>
      </w:tr>
      <w:tr w:rsidR="00144F46" w:rsidRPr="005978B5" w14:paraId="44122075" w14:textId="77777777" w:rsidTr="003C477A">
        <w:tc>
          <w:tcPr>
            <w:tcW w:w="461" w:type="dxa"/>
            <w:shd w:val="clear" w:color="auto" w:fill="FFFFFF"/>
            <w:tcMar>
              <w:top w:w="80" w:type="dxa"/>
              <w:left w:w="130" w:type="dxa"/>
              <w:bottom w:w="80" w:type="dxa"/>
              <w:right w:w="130" w:type="dxa"/>
            </w:tcMar>
            <w:vAlign w:val="center"/>
          </w:tcPr>
          <w:p w14:paraId="64CA4D07"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13</w:t>
            </w:r>
          </w:p>
        </w:tc>
        <w:tc>
          <w:tcPr>
            <w:tcW w:w="1138" w:type="dxa"/>
            <w:shd w:val="clear" w:color="auto" w:fill="FFFFFF"/>
            <w:tcMar>
              <w:top w:w="80" w:type="dxa"/>
              <w:left w:w="130" w:type="dxa"/>
              <w:bottom w:w="80" w:type="dxa"/>
              <w:right w:w="130" w:type="dxa"/>
            </w:tcMar>
          </w:tcPr>
          <w:p w14:paraId="3FF9E839"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Sidhu et al. (2022)</w:t>
            </w:r>
          </w:p>
        </w:tc>
        <w:tc>
          <w:tcPr>
            <w:tcW w:w="1336" w:type="dxa"/>
            <w:shd w:val="clear" w:color="auto" w:fill="FFFFFF"/>
            <w:tcMar>
              <w:top w:w="80" w:type="dxa"/>
              <w:left w:w="130" w:type="dxa"/>
              <w:bottom w:w="80" w:type="dxa"/>
              <w:right w:w="130" w:type="dxa"/>
            </w:tcMar>
          </w:tcPr>
          <w:p w14:paraId="714EB503"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Qualitative</w:t>
            </w:r>
          </w:p>
        </w:tc>
        <w:tc>
          <w:tcPr>
            <w:tcW w:w="1572" w:type="dxa"/>
            <w:shd w:val="clear" w:color="auto" w:fill="FFFFFF"/>
            <w:tcMar>
              <w:top w:w="80" w:type="dxa"/>
              <w:left w:w="130" w:type="dxa"/>
              <w:bottom w:w="80" w:type="dxa"/>
              <w:right w:w="130" w:type="dxa"/>
            </w:tcMar>
          </w:tcPr>
          <w:p w14:paraId="738319EA"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(region unspecified)</w:t>
            </w:r>
          </w:p>
        </w:tc>
        <w:tc>
          <w:tcPr>
            <w:tcW w:w="2296" w:type="dxa"/>
            <w:shd w:val="clear" w:color="auto" w:fill="FFFFFF"/>
            <w:tcMar>
              <w:top w:w="80" w:type="dxa"/>
              <w:left w:w="130" w:type="dxa"/>
              <w:bottom w:w="80" w:type="dxa"/>
              <w:right w:w="130" w:type="dxa"/>
            </w:tcMar>
          </w:tcPr>
          <w:p w14:paraId="07862085"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Young Punjabi Sikh adults; purposive community sample</w:t>
            </w:r>
          </w:p>
        </w:tc>
        <w:tc>
          <w:tcPr>
            <w:tcW w:w="1985" w:type="dxa"/>
            <w:shd w:val="clear" w:color="auto" w:fill="FFFFFF"/>
            <w:tcMar>
              <w:top w:w="80" w:type="dxa"/>
              <w:left w:w="130" w:type="dxa"/>
              <w:bottom w:w="80" w:type="dxa"/>
              <w:right w:w="130" w:type="dxa"/>
            </w:tcMar>
          </w:tcPr>
          <w:p w14:paraId="3F9A413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Young Punjabi Sikh (British Indian)</w:t>
            </w:r>
          </w:p>
        </w:tc>
      </w:tr>
      <w:tr w:rsidR="00144F46" w:rsidRPr="005978B5" w14:paraId="2D95E41B" w14:textId="77777777" w:rsidTr="003C477A">
        <w:tc>
          <w:tcPr>
            <w:tcW w:w="461" w:type="dxa"/>
            <w:shd w:val="clear" w:color="auto" w:fill="EDF2F7"/>
            <w:tcMar>
              <w:top w:w="80" w:type="dxa"/>
              <w:left w:w="130" w:type="dxa"/>
              <w:bottom w:w="80" w:type="dxa"/>
              <w:right w:w="130" w:type="dxa"/>
            </w:tcMar>
            <w:vAlign w:val="center"/>
          </w:tcPr>
          <w:p w14:paraId="43C6C523"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14</w:t>
            </w:r>
          </w:p>
        </w:tc>
        <w:tc>
          <w:tcPr>
            <w:tcW w:w="1138" w:type="dxa"/>
            <w:shd w:val="clear" w:color="auto" w:fill="EDF2F7"/>
            <w:tcMar>
              <w:top w:w="80" w:type="dxa"/>
              <w:left w:w="130" w:type="dxa"/>
              <w:bottom w:w="80" w:type="dxa"/>
              <w:right w:w="130" w:type="dxa"/>
            </w:tcMar>
          </w:tcPr>
          <w:p w14:paraId="3B859AF2"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Goff et al. (2021)</w:t>
            </w:r>
          </w:p>
        </w:tc>
        <w:tc>
          <w:tcPr>
            <w:tcW w:w="1336" w:type="dxa"/>
            <w:shd w:val="clear" w:color="auto" w:fill="EDF2F7"/>
            <w:tcMar>
              <w:top w:w="80" w:type="dxa"/>
              <w:left w:w="130" w:type="dxa"/>
              <w:bottom w:w="80" w:type="dxa"/>
              <w:right w:w="130" w:type="dxa"/>
            </w:tcMar>
          </w:tcPr>
          <w:p w14:paraId="0F95F77B"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Feasibility RCT</w:t>
            </w:r>
          </w:p>
        </w:tc>
        <w:tc>
          <w:tcPr>
            <w:tcW w:w="1572" w:type="dxa"/>
            <w:shd w:val="clear" w:color="auto" w:fill="EDF2F7"/>
            <w:tcMar>
              <w:top w:w="80" w:type="dxa"/>
              <w:left w:w="130" w:type="dxa"/>
              <w:bottom w:w="80" w:type="dxa"/>
              <w:right w:w="130" w:type="dxa"/>
            </w:tcMar>
          </w:tcPr>
          <w:p w14:paraId="0743DAB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(national; community + primary care)</w:t>
            </w:r>
          </w:p>
        </w:tc>
        <w:tc>
          <w:tcPr>
            <w:tcW w:w="2296" w:type="dxa"/>
            <w:shd w:val="clear" w:color="auto" w:fill="EDF2F7"/>
            <w:tcMar>
              <w:top w:w="80" w:type="dxa"/>
              <w:left w:w="130" w:type="dxa"/>
              <w:bottom w:w="80" w:type="dxa"/>
              <w:right w:w="130" w:type="dxa"/>
            </w:tcMar>
          </w:tcPr>
          <w:p w14:paraId="512963D5"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N = 55 Black African/Caribbean adults with T2DM; feasibility RCT design</w:t>
            </w:r>
          </w:p>
        </w:tc>
        <w:tc>
          <w:tcPr>
            <w:tcW w:w="1985" w:type="dxa"/>
            <w:shd w:val="clear" w:color="auto" w:fill="EDF2F7"/>
            <w:tcMar>
              <w:top w:w="80" w:type="dxa"/>
              <w:left w:w="130" w:type="dxa"/>
              <w:bottom w:w="80" w:type="dxa"/>
              <w:right w:w="130" w:type="dxa"/>
            </w:tcMar>
          </w:tcPr>
          <w:p w14:paraId="3BE7D0AD"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Black African; Black Caribbean</w:t>
            </w:r>
          </w:p>
        </w:tc>
      </w:tr>
      <w:tr w:rsidR="00144F46" w:rsidRPr="005978B5" w14:paraId="7F0F0C38" w14:textId="77777777" w:rsidTr="003C477A">
        <w:tc>
          <w:tcPr>
            <w:tcW w:w="461" w:type="dxa"/>
            <w:shd w:val="clear" w:color="auto" w:fill="FFFFFF"/>
            <w:tcMar>
              <w:top w:w="80" w:type="dxa"/>
              <w:left w:w="130" w:type="dxa"/>
              <w:bottom w:w="80" w:type="dxa"/>
              <w:right w:w="130" w:type="dxa"/>
            </w:tcMar>
            <w:vAlign w:val="center"/>
          </w:tcPr>
          <w:p w14:paraId="139B98FF"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15</w:t>
            </w:r>
          </w:p>
        </w:tc>
        <w:tc>
          <w:tcPr>
            <w:tcW w:w="1138" w:type="dxa"/>
            <w:shd w:val="clear" w:color="auto" w:fill="FFFFFF"/>
            <w:tcMar>
              <w:top w:w="80" w:type="dxa"/>
              <w:left w:w="130" w:type="dxa"/>
              <w:bottom w:w="80" w:type="dxa"/>
              <w:right w:w="130" w:type="dxa"/>
            </w:tcMar>
          </w:tcPr>
          <w:p w14:paraId="5349300C"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Low et al. (2024)</w:t>
            </w:r>
          </w:p>
        </w:tc>
        <w:tc>
          <w:tcPr>
            <w:tcW w:w="1336" w:type="dxa"/>
            <w:shd w:val="clear" w:color="auto" w:fill="FFFFFF"/>
            <w:tcMar>
              <w:top w:w="80" w:type="dxa"/>
              <w:left w:w="130" w:type="dxa"/>
              <w:bottom w:w="80" w:type="dxa"/>
              <w:right w:w="130" w:type="dxa"/>
            </w:tcMar>
          </w:tcPr>
          <w:p w14:paraId="39C52C27"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Mixed-methods</w:t>
            </w:r>
          </w:p>
        </w:tc>
        <w:tc>
          <w:tcPr>
            <w:tcW w:w="1572" w:type="dxa"/>
            <w:shd w:val="clear" w:color="auto" w:fill="FFFFFF"/>
            <w:tcMar>
              <w:top w:w="80" w:type="dxa"/>
              <w:left w:w="130" w:type="dxa"/>
              <w:bottom w:w="80" w:type="dxa"/>
              <w:right w:w="130" w:type="dxa"/>
            </w:tcMar>
          </w:tcPr>
          <w:p w14:paraId="5C3BAE4E"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Digital / online (national)</w:t>
            </w:r>
          </w:p>
        </w:tc>
        <w:tc>
          <w:tcPr>
            <w:tcW w:w="2296" w:type="dxa"/>
            <w:shd w:val="clear" w:color="auto" w:fill="FFFFFF"/>
            <w:tcMar>
              <w:top w:w="80" w:type="dxa"/>
              <w:left w:w="130" w:type="dxa"/>
              <w:bottom w:w="80" w:type="dxa"/>
              <w:right w:w="130" w:type="dxa"/>
            </w:tcMar>
          </w:tcPr>
          <w:p w14:paraId="789AD3E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African/Caribbean adults with T2DM; online feasibility study</w:t>
            </w:r>
          </w:p>
        </w:tc>
        <w:tc>
          <w:tcPr>
            <w:tcW w:w="1985" w:type="dxa"/>
            <w:shd w:val="clear" w:color="auto" w:fill="FFFFFF"/>
            <w:tcMar>
              <w:top w:w="80" w:type="dxa"/>
              <w:left w:w="130" w:type="dxa"/>
              <w:bottom w:w="80" w:type="dxa"/>
              <w:right w:w="130" w:type="dxa"/>
            </w:tcMar>
          </w:tcPr>
          <w:p w14:paraId="66BF4E0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Black African; Black Caribbean (African/Caribbean)</w:t>
            </w:r>
          </w:p>
        </w:tc>
      </w:tr>
      <w:tr w:rsidR="00144F46" w:rsidRPr="005978B5" w14:paraId="70FE5185" w14:textId="77777777" w:rsidTr="003C477A">
        <w:tc>
          <w:tcPr>
            <w:tcW w:w="8788" w:type="dxa"/>
            <w:gridSpan w:val="6"/>
            <w:shd w:val="clear" w:color="auto" w:fill="E2EAF3"/>
            <w:tcMar>
              <w:top w:w="80" w:type="dxa"/>
              <w:left w:w="130" w:type="dxa"/>
              <w:bottom w:w="80" w:type="dxa"/>
              <w:right w:w="130" w:type="dxa"/>
            </w:tcMar>
          </w:tcPr>
          <w:p w14:paraId="7BD669AD" w14:textId="23192CEF"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111827"/>
                <w:sz w:val="18"/>
                <w:szCs w:val="18"/>
              </w:rPr>
              <w:t xml:space="preserve">Table C1 of 2. </w:t>
            </w:r>
            <w:r w:rsidRPr="005978B5">
              <w:rPr>
                <w:rFonts w:ascii="Arial" w:eastAsia="Arial" w:hAnsi="Arial" w:cs="Arial"/>
                <w:color w:val="374151"/>
                <w:sz w:val="18"/>
                <w:szCs w:val="18"/>
              </w:rPr>
              <w:t>Presents study identification data for all 15 included studies. Cross-reference with Table C2 using the study number (#). All studies UK-based</w:t>
            </w:r>
            <w:r w:rsidR="00B26ED9">
              <w:rPr>
                <w:rFonts w:ascii="Arial" w:eastAsia="Arial" w:hAnsi="Arial" w:cs="Arial"/>
                <w:color w:val="374151"/>
                <w:sz w:val="18"/>
                <w:szCs w:val="18"/>
              </w:rPr>
              <w:t xml:space="preserve"> and</w:t>
            </w:r>
            <w:r w:rsidRPr="005978B5">
              <w:rPr>
                <w:rFonts w:ascii="Arial" w:eastAsia="Arial" w:hAnsi="Arial" w:cs="Arial"/>
                <w:color w:val="374151"/>
                <w:sz w:val="18"/>
                <w:szCs w:val="18"/>
              </w:rPr>
              <w:t xml:space="preserve"> published </w:t>
            </w:r>
            <w:r w:rsidR="001652BE" w:rsidRPr="001652BE">
              <w:rPr>
                <w:rFonts w:ascii="Arial" w:eastAsia="Arial" w:hAnsi="Arial" w:cs="Arial"/>
                <w:color w:val="374151"/>
                <w:sz w:val="18"/>
                <w:szCs w:val="18"/>
              </w:rPr>
              <w:t>2015–2026</w:t>
            </w:r>
            <w:r w:rsidRPr="005978B5">
              <w:rPr>
                <w:rFonts w:ascii="Arial" w:eastAsia="Arial" w:hAnsi="Arial" w:cs="Arial"/>
                <w:color w:val="374151"/>
                <w:sz w:val="18"/>
                <w:szCs w:val="18"/>
              </w:rPr>
              <w:t xml:space="preserve">. </w:t>
            </w:r>
            <w:r w:rsidRPr="005978B5">
              <w:rPr>
                <w:rFonts w:ascii="Arial" w:eastAsia="Arial" w:hAnsi="Arial" w:cs="Arial"/>
                <w:color w:val="6B7280"/>
                <w:sz w:val="18"/>
                <w:szCs w:val="18"/>
              </w:rPr>
              <w:t>CPRD = Clinical Practice Research Datalink; DPP = Diabetes Prevention Programme; RCT = Randomised Controlled Trial.</w:t>
            </w:r>
          </w:p>
        </w:tc>
      </w:tr>
    </w:tbl>
    <w:p w14:paraId="6EC5107E"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6F84985A" w14:textId="77777777" w:rsidR="006B1B51" w:rsidRPr="005978B5" w:rsidRDefault="006B1B51" w:rsidP="00354518">
      <w:pPr>
        <w:spacing w:line="360" w:lineRule="auto"/>
        <w:jc w:val="both"/>
        <w:rPr>
          <w:rFonts w:ascii="Arial" w:hAnsi="Arial" w:cs="Arial"/>
          <w:b/>
        </w:rPr>
      </w:pPr>
      <w:r w:rsidRPr="005978B5">
        <w:rPr>
          <w:rFonts w:ascii="Arial" w:hAnsi="Arial" w:cs="Arial"/>
          <w:b/>
        </w:rPr>
        <w:t>Table C2 — Study Content (Aim, Methods, Key Findings, Quality)</w:t>
      </w:r>
    </w:p>
    <w:tbl>
      <w:tblPr>
        <w:tblW w:w="8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1070"/>
        <w:gridCol w:w="1944"/>
        <w:gridCol w:w="1890"/>
        <w:gridCol w:w="1940"/>
        <w:gridCol w:w="1483"/>
      </w:tblGrid>
      <w:tr w:rsidR="00144F46" w:rsidRPr="005978B5" w14:paraId="3D9BC077" w14:textId="77777777" w:rsidTr="003C477A">
        <w:trPr>
          <w:tblHeader/>
        </w:trPr>
        <w:tc>
          <w:tcPr>
            <w:tcW w:w="459" w:type="dxa"/>
            <w:shd w:val="clear" w:color="auto" w:fill="0D2B4E"/>
            <w:tcMar>
              <w:top w:w="80" w:type="dxa"/>
              <w:left w:w="130" w:type="dxa"/>
              <w:bottom w:w="80" w:type="dxa"/>
              <w:right w:w="130" w:type="dxa"/>
            </w:tcMar>
            <w:vAlign w:val="center"/>
          </w:tcPr>
          <w:p w14:paraId="45DA12DB"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w:t>
            </w:r>
          </w:p>
        </w:tc>
        <w:tc>
          <w:tcPr>
            <w:tcW w:w="813" w:type="dxa"/>
            <w:shd w:val="clear" w:color="auto" w:fill="0D2B4E"/>
            <w:tcMar>
              <w:top w:w="80" w:type="dxa"/>
              <w:left w:w="130" w:type="dxa"/>
              <w:bottom w:w="80" w:type="dxa"/>
              <w:right w:w="130" w:type="dxa"/>
            </w:tcMar>
            <w:vAlign w:val="center"/>
          </w:tcPr>
          <w:p w14:paraId="5A1246B4"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Author(s) &amp; Year</w:t>
            </w:r>
          </w:p>
        </w:tc>
        <w:tc>
          <w:tcPr>
            <w:tcW w:w="1988" w:type="dxa"/>
            <w:shd w:val="clear" w:color="auto" w:fill="0D2B4E"/>
            <w:tcMar>
              <w:top w:w="80" w:type="dxa"/>
              <w:left w:w="130" w:type="dxa"/>
              <w:bottom w:w="80" w:type="dxa"/>
              <w:right w:w="130" w:type="dxa"/>
            </w:tcMar>
            <w:vAlign w:val="center"/>
          </w:tcPr>
          <w:p w14:paraId="0A2F5DDB"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Study Aim / Research Question</w:t>
            </w:r>
          </w:p>
        </w:tc>
        <w:tc>
          <w:tcPr>
            <w:tcW w:w="1984" w:type="dxa"/>
            <w:shd w:val="clear" w:color="auto" w:fill="0D2B4E"/>
            <w:tcMar>
              <w:top w:w="80" w:type="dxa"/>
              <w:left w:w="130" w:type="dxa"/>
              <w:bottom w:w="80" w:type="dxa"/>
              <w:right w:w="130" w:type="dxa"/>
            </w:tcMar>
            <w:vAlign w:val="center"/>
          </w:tcPr>
          <w:p w14:paraId="563054B4"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Data Collection &amp; Analysis Method</w:t>
            </w:r>
          </w:p>
        </w:tc>
        <w:tc>
          <w:tcPr>
            <w:tcW w:w="1985" w:type="dxa"/>
            <w:shd w:val="clear" w:color="auto" w:fill="0D2B4E"/>
            <w:tcMar>
              <w:top w:w="80" w:type="dxa"/>
              <w:left w:w="130" w:type="dxa"/>
              <w:bottom w:w="80" w:type="dxa"/>
              <w:right w:w="130" w:type="dxa"/>
            </w:tcMar>
            <w:vAlign w:val="center"/>
          </w:tcPr>
          <w:p w14:paraId="172E556F"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Key Findings Relevant to Review Question</w:t>
            </w:r>
          </w:p>
        </w:tc>
        <w:tc>
          <w:tcPr>
            <w:tcW w:w="1559" w:type="dxa"/>
            <w:shd w:val="clear" w:color="auto" w:fill="0D2B4E"/>
            <w:tcMar>
              <w:top w:w="80" w:type="dxa"/>
              <w:left w:w="130" w:type="dxa"/>
              <w:bottom w:w="80" w:type="dxa"/>
              <w:right w:w="130" w:type="dxa"/>
            </w:tcMar>
            <w:vAlign w:val="center"/>
          </w:tcPr>
          <w:p w14:paraId="67904735"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CASP Quality</w:t>
            </w:r>
          </w:p>
        </w:tc>
      </w:tr>
      <w:tr w:rsidR="00144F46" w:rsidRPr="005978B5" w14:paraId="2066A9A2" w14:textId="77777777" w:rsidTr="003C477A">
        <w:tc>
          <w:tcPr>
            <w:tcW w:w="459" w:type="dxa"/>
            <w:shd w:val="clear" w:color="auto" w:fill="FFFFFF"/>
            <w:tcMar>
              <w:top w:w="80" w:type="dxa"/>
              <w:left w:w="130" w:type="dxa"/>
              <w:bottom w:w="80" w:type="dxa"/>
              <w:right w:w="130" w:type="dxa"/>
            </w:tcMar>
            <w:vAlign w:val="center"/>
          </w:tcPr>
          <w:p w14:paraId="58B482E3"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1</w:t>
            </w:r>
          </w:p>
        </w:tc>
        <w:tc>
          <w:tcPr>
            <w:tcW w:w="813" w:type="dxa"/>
            <w:shd w:val="clear" w:color="auto" w:fill="FFFFFF"/>
            <w:tcMar>
              <w:top w:w="80" w:type="dxa"/>
              <w:left w:w="130" w:type="dxa"/>
              <w:bottom w:w="80" w:type="dxa"/>
              <w:right w:w="130" w:type="dxa"/>
            </w:tcMar>
          </w:tcPr>
          <w:p w14:paraId="200E1203"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Au-Yeung et al. (2024)</w:t>
            </w:r>
          </w:p>
        </w:tc>
        <w:tc>
          <w:tcPr>
            <w:tcW w:w="1988" w:type="dxa"/>
            <w:shd w:val="clear" w:color="auto" w:fill="FFFFFF"/>
            <w:tcMar>
              <w:top w:w="80" w:type="dxa"/>
              <w:left w:w="130" w:type="dxa"/>
              <w:bottom w:w="80" w:type="dxa"/>
              <w:right w:w="130" w:type="dxa"/>
            </w:tcMar>
          </w:tcPr>
          <w:p w14:paraId="56D5C4DF"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examine the independent and additive effects of ethnicity and socioeconomic deprivation on T2DM prevalence in a large UK NHS cohort</w:t>
            </w:r>
          </w:p>
        </w:tc>
        <w:tc>
          <w:tcPr>
            <w:tcW w:w="1984" w:type="dxa"/>
            <w:shd w:val="clear" w:color="auto" w:fill="FFFFFF"/>
            <w:tcMar>
              <w:top w:w="80" w:type="dxa"/>
              <w:left w:w="130" w:type="dxa"/>
              <w:bottom w:w="80" w:type="dxa"/>
              <w:right w:w="130" w:type="dxa"/>
            </w:tcMar>
          </w:tcPr>
          <w:p w14:paraId="61EE794C"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NHS Health Check administrative data</w:t>
            </w:r>
          </w:p>
          <w:p w14:paraId="14B05418"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Multivariable logistic regression; IMD-adjusted models</w:t>
            </w:r>
          </w:p>
        </w:tc>
        <w:tc>
          <w:tcPr>
            <w:tcW w:w="1985" w:type="dxa"/>
            <w:shd w:val="clear" w:color="auto" w:fill="FFFFFF"/>
            <w:tcMar>
              <w:top w:w="80" w:type="dxa"/>
              <w:left w:w="130" w:type="dxa"/>
              <w:bottom w:w="80" w:type="dxa"/>
              <w:right w:w="130" w:type="dxa"/>
            </w:tcMar>
          </w:tcPr>
          <w:p w14:paraId="4B96DD62"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SA odds ratio = 5.43; Black OR = 3.15 vs White British (adjusted). Deprivation and ethnicity act additively and independently. ~64% of diabetes risk attributable to deprivation. Ethnic minority risk remains after socioeconomic adjustment.</w:t>
            </w:r>
          </w:p>
        </w:tc>
        <w:tc>
          <w:tcPr>
            <w:tcW w:w="1559" w:type="dxa"/>
            <w:shd w:val="clear" w:color="auto" w:fill="2E7D32"/>
            <w:tcMar>
              <w:top w:w="80" w:type="dxa"/>
              <w:left w:w="130" w:type="dxa"/>
              <w:bottom w:w="80" w:type="dxa"/>
              <w:right w:w="130" w:type="dxa"/>
            </w:tcMar>
            <w:vAlign w:val="center"/>
          </w:tcPr>
          <w:p w14:paraId="75B7C912"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4B175C3E" w14:textId="77777777" w:rsidTr="003C477A">
        <w:tc>
          <w:tcPr>
            <w:tcW w:w="459" w:type="dxa"/>
            <w:shd w:val="clear" w:color="auto" w:fill="EDF2F7"/>
            <w:tcMar>
              <w:top w:w="80" w:type="dxa"/>
              <w:left w:w="130" w:type="dxa"/>
              <w:bottom w:w="80" w:type="dxa"/>
              <w:right w:w="130" w:type="dxa"/>
            </w:tcMar>
            <w:vAlign w:val="center"/>
          </w:tcPr>
          <w:p w14:paraId="5873805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lastRenderedPageBreak/>
              <w:t>2</w:t>
            </w:r>
          </w:p>
        </w:tc>
        <w:tc>
          <w:tcPr>
            <w:tcW w:w="813" w:type="dxa"/>
            <w:shd w:val="clear" w:color="auto" w:fill="EDF2F7"/>
            <w:tcMar>
              <w:top w:w="80" w:type="dxa"/>
              <w:left w:w="130" w:type="dxa"/>
              <w:bottom w:w="80" w:type="dxa"/>
              <w:right w:w="130" w:type="dxa"/>
            </w:tcMar>
          </w:tcPr>
          <w:p w14:paraId="620F5655"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Barron et al. (2018)</w:t>
            </w:r>
          </w:p>
        </w:tc>
        <w:tc>
          <w:tcPr>
            <w:tcW w:w="1988" w:type="dxa"/>
            <w:shd w:val="clear" w:color="auto" w:fill="EDF2F7"/>
            <w:tcMar>
              <w:top w:w="80" w:type="dxa"/>
              <w:left w:w="130" w:type="dxa"/>
              <w:bottom w:w="80" w:type="dxa"/>
              <w:right w:w="130" w:type="dxa"/>
            </w:tcMar>
          </w:tcPr>
          <w:p w14:paraId="016FD4B9"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examine ethnic differences in NHS Diabetes Prevention Programme (DPP) referral rates and programme completion rates</w:t>
            </w:r>
          </w:p>
        </w:tc>
        <w:tc>
          <w:tcPr>
            <w:tcW w:w="1984" w:type="dxa"/>
            <w:shd w:val="clear" w:color="auto" w:fill="EDF2F7"/>
            <w:tcMar>
              <w:top w:w="80" w:type="dxa"/>
              <w:left w:w="130" w:type="dxa"/>
              <w:bottom w:w="80" w:type="dxa"/>
              <w:right w:w="130" w:type="dxa"/>
            </w:tcMar>
          </w:tcPr>
          <w:p w14:paraId="3A406884"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NHS DPP national administrative data</w:t>
            </w:r>
          </w:p>
          <w:p w14:paraId="53F66958"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Descriptive statistics; logistic regression</w:t>
            </w:r>
          </w:p>
        </w:tc>
        <w:tc>
          <w:tcPr>
            <w:tcW w:w="1985" w:type="dxa"/>
            <w:shd w:val="clear" w:color="auto" w:fill="EDF2F7"/>
            <w:tcMar>
              <w:top w:w="80" w:type="dxa"/>
              <w:left w:w="130" w:type="dxa"/>
              <w:bottom w:w="80" w:type="dxa"/>
              <w:right w:w="130" w:type="dxa"/>
            </w:tcMar>
          </w:tcPr>
          <w:p w14:paraId="2F342EA9" w14:textId="17DD889F"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Black and Asian participants referred at higher rates but completed the programme at significantly lower rates than White British. Structural programme design </w:t>
            </w:r>
            <w:r w:rsidR="00B26ED9">
              <w:rPr>
                <w:rFonts w:ascii="Arial" w:eastAsia="Arial" w:hAnsi="Arial" w:cs="Arial"/>
                <w:color w:val="111827"/>
                <w:sz w:val="18"/>
                <w:szCs w:val="18"/>
              </w:rPr>
              <w:t xml:space="preserve">is </w:t>
            </w:r>
            <w:r w:rsidRPr="005978B5">
              <w:rPr>
                <w:rFonts w:ascii="Arial" w:eastAsia="Arial" w:hAnsi="Arial" w:cs="Arial"/>
                <w:color w:val="111827"/>
                <w:sz w:val="18"/>
                <w:szCs w:val="18"/>
              </w:rPr>
              <w:t>identified as a systemic barrier to equitable T2DM prevention access.</w:t>
            </w:r>
          </w:p>
        </w:tc>
        <w:tc>
          <w:tcPr>
            <w:tcW w:w="1559" w:type="dxa"/>
            <w:shd w:val="clear" w:color="auto" w:fill="2E7D32"/>
            <w:tcMar>
              <w:top w:w="80" w:type="dxa"/>
              <w:left w:w="130" w:type="dxa"/>
              <w:bottom w:w="80" w:type="dxa"/>
              <w:right w:w="130" w:type="dxa"/>
            </w:tcMar>
            <w:vAlign w:val="center"/>
          </w:tcPr>
          <w:p w14:paraId="7FEECD20"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13B871D9" w14:textId="77777777" w:rsidTr="003C477A">
        <w:tc>
          <w:tcPr>
            <w:tcW w:w="459" w:type="dxa"/>
            <w:shd w:val="clear" w:color="auto" w:fill="FFFFFF"/>
            <w:tcMar>
              <w:top w:w="80" w:type="dxa"/>
              <w:left w:w="130" w:type="dxa"/>
              <w:bottom w:w="80" w:type="dxa"/>
              <w:right w:w="130" w:type="dxa"/>
            </w:tcMar>
            <w:vAlign w:val="center"/>
          </w:tcPr>
          <w:p w14:paraId="48C83D50"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3</w:t>
            </w:r>
          </w:p>
        </w:tc>
        <w:tc>
          <w:tcPr>
            <w:tcW w:w="813" w:type="dxa"/>
            <w:shd w:val="clear" w:color="auto" w:fill="FFFFFF"/>
            <w:tcMar>
              <w:top w:w="80" w:type="dxa"/>
              <w:left w:w="130" w:type="dxa"/>
              <w:bottom w:w="80" w:type="dxa"/>
              <w:right w:w="130" w:type="dxa"/>
            </w:tcMar>
          </w:tcPr>
          <w:p w14:paraId="44E4FFD4"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Mathur et al. (2020)</w:t>
            </w:r>
          </w:p>
        </w:tc>
        <w:tc>
          <w:tcPr>
            <w:tcW w:w="1988" w:type="dxa"/>
            <w:shd w:val="clear" w:color="auto" w:fill="FFFFFF"/>
            <w:tcMar>
              <w:top w:w="80" w:type="dxa"/>
              <w:left w:w="130" w:type="dxa"/>
              <w:bottom w:w="80" w:type="dxa"/>
              <w:right w:w="130" w:type="dxa"/>
            </w:tcMar>
          </w:tcPr>
          <w:p w14:paraId="203732B9"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investigate ethnic disparities in T2DM treatment initiation and intensification over 27 years in UK primary care</w:t>
            </w:r>
          </w:p>
        </w:tc>
        <w:tc>
          <w:tcPr>
            <w:tcW w:w="1984" w:type="dxa"/>
            <w:shd w:val="clear" w:color="auto" w:fill="FFFFFF"/>
            <w:tcMar>
              <w:top w:w="80" w:type="dxa"/>
              <w:left w:w="130" w:type="dxa"/>
              <w:bottom w:w="80" w:type="dxa"/>
              <w:right w:w="130" w:type="dxa"/>
            </w:tcMar>
          </w:tcPr>
          <w:p w14:paraId="00A19A5C"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CPRD (Clinical Practice Research Datalink)</w:t>
            </w:r>
          </w:p>
          <w:p w14:paraId="52AB62E9"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Cox regression; time-to-event analysis; clinical confounding adjustment</w:t>
            </w:r>
          </w:p>
        </w:tc>
        <w:tc>
          <w:tcPr>
            <w:tcW w:w="1985" w:type="dxa"/>
            <w:shd w:val="clear" w:color="auto" w:fill="FFFFFF"/>
            <w:tcMar>
              <w:top w:w="80" w:type="dxa"/>
              <w:left w:w="130" w:type="dxa"/>
              <w:bottom w:w="80" w:type="dxa"/>
              <w:right w:w="130" w:type="dxa"/>
            </w:tcMar>
          </w:tcPr>
          <w:p w14:paraId="13FE53EC"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Persistent ethnic disparities in treatment initiation and intensification across 27 years after full clinical adjustment. South Asian and Black patients consistently waited longer for treatment intensification — systemic healthcare inequality.</w:t>
            </w:r>
          </w:p>
        </w:tc>
        <w:tc>
          <w:tcPr>
            <w:tcW w:w="1559" w:type="dxa"/>
            <w:shd w:val="clear" w:color="auto" w:fill="2E7D32"/>
            <w:tcMar>
              <w:top w:w="80" w:type="dxa"/>
              <w:left w:w="130" w:type="dxa"/>
              <w:bottom w:w="80" w:type="dxa"/>
              <w:right w:w="130" w:type="dxa"/>
            </w:tcMar>
            <w:vAlign w:val="center"/>
          </w:tcPr>
          <w:p w14:paraId="1EE64A6C"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28DCC4CF" w14:textId="77777777" w:rsidTr="003C477A">
        <w:tc>
          <w:tcPr>
            <w:tcW w:w="459" w:type="dxa"/>
            <w:shd w:val="clear" w:color="auto" w:fill="EDF2F7"/>
            <w:tcMar>
              <w:top w:w="80" w:type="dxa"/>
              <w:left w:w="130" w:type="dxa"/>
              <w:bottom w:w="80" w:type="dxa"/>
              <w:right w:w="130" w:type="dxa"/>
            </w:tcMar>
            <w:vAlign w:val="center"/>
          </w:tcPr>
          <w:p w14:paraId="3B3710B4"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4</w:t>
            </w:r>
          </w:p>
        </w:tc>
        <w:tc>
          <w:tcPr>
            <w:tcW w:w="813" w:type="dxa"/>
            <w:shd w:val="clear" w:color="auto" w:fill="EDF2F7"/>
            <w:tcMar>
              <w:top w:w="80" w:type="dxa"/>
              <w:left w:w="130" w:type="dxa"/>
              <w:bottom w:w="80" w:type="dxa"/>
              <w:right w:w="130" w:type="dxa"/>
            </w:tcMar>
          </w:tcPr>
          <w:p w14:paraId="4A88A5ED"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Mathur et al. (2022)</w:t>
            </w:r>
          </w:p>
        </w:tc>
        <w:tc>
          <w:tcPr>
            <w:tcW w:w="1988" w:type="dxa"/>
            <w:shd w:val="clear" w:color="auto" w:fill="EDF2F7"/>
            <w:tcMar>
              <w:top w:w="80" w:type="dxa"/>
              <w:left w:w="130" w:type="dxa"/>
              <w:bottom w:w="80" w:type="dxa"/>
              <w:right w:w="130" w:type="dxa"/>
            </w:tcMar>
          </w:tcPr>
          <w:p w14:paraId="77525B72"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identify T2DM clinical subgroups and examine whether ethnic treatment disparities persist within subgroups</w:t>
            </w:r>
          </w:p>
        </w:tc>
        <w:tc>
          <w:tcPr>
            <w:tcW w:w="1984" w:type="dxa"/>
            <w:shd w:val="clear" w:color="auto" w:fill="EDF2F7"/>
            <w:tcMar>
              <w:top w:w="80" w:type="dxa"/>
              <w:left w:w="130" w:type="dxa"/>
              <w:bottom w:w="80" w:type="dxa"/>
              <w:right w:w="130" w:type="dxa"/>
            </w:tcMar>
          </w:tcPr>
          <w:p w14:paraId="2D8B2943"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East London Primary Care Database (electronic health records)</w:t>
            </w:r>
          </w:p>
          <w:p w14:paraId="4EBACB20"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Latent class analysis; multivariable regression</w:t>
            </w:r>
          </w:p>
        </w:tc>
        <w:tc>
          <w:tcPr>
            <w:tcW w:w="1985" w:type="dxa"/>
            <w:shd w:val="clear" w:color="auto" w:fill="EDF2F7"/>
            <w:tcMar>
              <w:top w:w="80" w:type="dxa"/>
              <w:left w:w="130" w:type="dxa"/>
              <w:bottom w:w="80" w:type="dxa"/>
              <w:right w:w="130" w:type="dxa"/>
            </w:tcMar>
          </w:tcPr>
          <w:p w14:paraId="6F0F7805" w14:textId="28CEED4B"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Higher-risk T2DM subgroups (early-onset, high-HbA1c) overrepresented in South Asian and Black patients. Treatment delays </w:t>
            </w:r>
            <w:r w:rsidR="00B26ED9">
              <w:rPr>
                <w:rFonts w:ascii="Arial" w:eastAsia="Arial" w:hAnsi="Arial" w:cs="Arial"/>
                <w:color w:val="111827"/>
                <w:sz w:val="18"/>
                <w:szCs w:val="18"/>
              </w:rPr>
              <w:t xml:space="preserve">are </w:t>
            </w:r>
            <w:r w:rsidRPr="005978B5">
              <w:rPr>
                <w:rFonts w:ascii="Arial" w:eastAsia="Arial" w:hAnsi="Arial" w:cs="Arial"/>
                <w:color w:val="111827"/>
                <w:sz w:val="18"/>
                <w:szCs w:val="18"/>
              </w:rPr>
              <w:t>independent of clinical subtype — ethnic-specific barriers beyond clinical need.</w:t>
            </w:r>
          </w:p>
        </w:tc>
        <w:tc>
          <w:tcPr>
            <w:tcW w:w="1559" w:type="dxa"/>
            <w:shd w:val="clear" w:color="auto" w:fill="2E7D32"/>
            <w:tcMar>
              <w:top w:w="80" w:type="dxa"/>
              <w:left w:w="130" w:type="dxa"/>
              <w:bottom w:w="80" w:type="dxa"/>
              <w:right w:w="130" w:type="dxa"/>
            </w:tcMar>
            <w:vAlign w:val="center"/>
          </w:tcPr>
          <w:p w14:paraId="3F7C392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4A9B1E62" w14:textId="77777777" w:rsidTr="003C477A">
        <w:tc>
          <w:tcPr>
            <w:tcW w:w="459" w:type="dxa"/>
            <w:shd w:val="clear" w:color="auto" w:fill="FFFFFF"/>
            <w:tcMar>
              <w:top w:w="80" w:type="dxa"/>
              <w:left w:w="130" w:type="dxa"/>
              <w:bottom w:w="80" w:type="dxa"/>
              <w:right w:w="130" w:type="dxa"/>
            </w:tcMar>
            <w:vAlign w:val="center"/>
          </w:tcPr>
          <w:p w14:paraId="46DCCEB8"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5</w:t>
            </w:r>
          </w:p>
        </w:tc>
        <w:tc>
          <w:tcPr>
            <w:tcW w:w="813" w:type="dxa"/>
            <w:shd w:val="clear" w:color="auto" w:fill="FFFFFF"/>
            <w:tcMar>
              <w:top w:w="80" w:type="dxa"/>
              <w:left w:w="130" w:type="dxa"/>
              <w:bottom w:w="80" w:type="dxa"/>
              <w:right w:w="130" w:type="dxa"/>
            </w:tcMar>
          </w:tcPr>
          <w:p w14:paraId="1FF3320D"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Howarth et al. (2020)</w:t>
            </w:r>
          </w:p>
        </w:tc>
        <w:tc>
          <w:tcPr>
            <w:tcW w:w="1988" w:type="dxa"/>
            <w:shd w:val="clear" w:color="auto" w:fill="FFFFFF"/>
            <w:tcMar>
              <w:top w:w="80" w:type="dxa"/>
              <w:left w:w="130" w:type="dxa"/>
              <w:bottom w:w="80" w:type="dxa"/>
              <w:right w:w="130" w:type="dxa"/>
            </w:tcMar>
          </w:tcPr>
          <w:p w14:paraId="4FD3E1F5"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examine whether geographic distance to NHS DPP delivery sites predicts programme non-completion</w:t>
            </w:r>
          </w:p>
        </w:tc>
        <w:tc>
          <w:tcPr>
            <w:tcW w:w="1984" w:type="dxa"/>
            <w:shd w:val="clear" w:color="auto" w:fill="FFFFFF"/>
            <w:tcMar>
              <w:top w:w="80" w:type="dxa"/>
              <w:left w:w="130" w:type="dxa"/>
              <w:bottom w:w="80" w:type="dxa"/>
              <w:right w:w="130" w:type="dxa"/>
            </w:tcMar>
          </w:tcPr>
          <w:p w14:paraId="0E90478D"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NHS DPP programme data; GIS spatial mapping</w:t>
            </w:r>
          </w:p>
          <w:p w14:paraId="5015B401"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Spatial regression; IMD-adjusted models</w:t>
            </w:r>
          </w:p>
        </w:tc>
        <w:tc>
          <w:tcPr>
            <w:tcW w:w="1985" w:type="dxa"/>
            <w:shd w:val="clear" w:color="auto" w:fill="FFFFFF"/>
            <w:tcMar>
              <w:top w:w="80" w:type="dxa"/>
              <w:left w:w="130" w:type="dxa"/>
              <w:bottom w:w="80" w:type="dxa"/>
              <w:right w:w="130" w:type="dxa"/>
            </w:tcMar>
          </w:tcPr>
          <w:p w14:paraId="6BA764A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Geographic distance to delivery sites is a strong independent predictor of non-completion, particularly in deprived urban areas with high ethnic minority populations. Structural barrier to prevention access.</w:t>
            </w:r>
          </w:p>
        </w:tc>
        <w:tc>
          <w:tcPr>
            <w:tcW w:w="1559" w:type="dxa"/>
            <w:shd w:val="clear" w:color="auto" w:fill="2E7D32"/>
            <w:tcMar>
              <w:top w:w="80" w:type="dxa"/>
              <w:left w:w="130" w:type="dxa"/>
              <w:bottom w:w="80" w:type="dxa"/>
              <w:right w:w="130" w:type="dxa"/>
            </w:tcMar>
            <w:vAlign w:val="center"/>
          </w:tcPr>
          <w:p w14:paraId="0FCD2FCA"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059BB145" w14:textId="77777777" w:rsidTr="003C477A">
        <w:tc>
          <w:tcPr>
            <w:tcW w:w="459" w:type="dxa"/>
            <w:shd w:val="clear" w:color="auto" w:fill="EDF2F7"/>
            <w:tcMar>
              <w:top w:w="80" w:type="dxa"/>
              <w:left w:w="130" w:type="dxa"/>
              <w:bottom w:w="80" w:type="dxa"/>
              <w:right w:w="130" w:type="dxa"/>
            </w:tcMar>
            <w:vAlign w:val="center"/>
          </w:tcPr>
          <w:p w14:paraId="5160B1D5"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6</w:t>
            </w:r>
          </w:p>
        </w:tc>
        <w:tc>
          <w:tcPr>
            <w:tcW w:w="813" w:type="dxa"/>
            <w:shd w:val="clear" w:color="auto" w:fill="EDF2F7"/>
            <w:tcMar>
              <w:top w:w="80" w:type="dxa"/>
              <w:left w:w="130" w:type="dxa"/>
              <w:bottom w:w="80" w:type="dxa"/>
              <w:right w:w="130" w:type="dxa"/>
            </w:tcMar>
          </w:tcPr>
          <w:p w14:paraId="0593155E"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Zeh et al. (2016)</w:t>
            </w:r>
          </w:p>
        </w:tc>
        <w:tc>
          <w:tcPr>
            <w:tcW w:w="1988" w:type="dxa"/>
            <w:shd w:val="clear" w:color="auto" w:fill="EDF2F7"/>
            <w:tcMar>
              <w:top w:w="80" w:type="dxa"/>
              <w:left w:w="130" w:type="dxa"/>
              <w:bottom w:w="80" w:type="dxa"/>
              <w:right w:w="130" w:type="dxa"/>
            </w:tcMar>
          </w:tcPr>
          <w:p w14:paraId="76A77A95" w14:textId="25720C32"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To assess </w:t>
            </w:r>
            <w:r w:rsidR="00B26ED9">
              <w:rPr>
                <w:rFonts w:ascii="Arial" w:eastAsia="Arial" w:hAnsi="Arial" w:cs="Arial"/>
                <w:color w:val="111827"/>
                <w:sz w:val="18"/>
                <w:szCs w:val="18"/>
              </w:rPr>
              <w:t xml:space="preserve">the </w:t>
            </w:r>
            <w:r w:rsidRPr="005978B5">
              <w:rPr>
                <w:rFonts w:ascii="Arial" w:eastAsia="Arial" w:hAnsi="Arial" w:cs="Arial"/>
                <w:color w:val="111827"/>
                <w:sz w:val="18"/>
                <w:szCs w:val="18"/>
              </w:rPr>
              <w:t xml:space="preserve">cultural competence of UK primary care diabetes services for </w:t>
            </w:r>
            <w:r w:rsidRPr="005978B5">
              <w:rPr>
                <w:rFonts w:ascii="Arial" w:eastAsia="Arial" w:hAnsi="Arial" w:cs="Arial"/>
                <w:color w:val="111827"/>
                <w:sz w:val="18"/>
                <w:szCs w:val="18"/>
              </w:rPr>
              <w:lastRenderedPageBreak/>
              <w:t>South Asian patients and identify clinician training gaps</w:t>
            </w:r>
          </w:p>
        </w:tc>
        <w:tc>
          <w:tcPr>
            <w:tcW w:w="1984" w:type="dxa"/>
            <w:shd w:val="clear" w:color="auto" w:fill="EDF2F7"/>
            <w:tcMar>
              <w:top w:w="80" w:type="dxa"/>
              <w:left w:w="130" w:type="dxa"/>
              <w:bottom w:w="80" w:type="dxa"/>
              <w:right w:w="130" w:type="dxa"/>
            </w:tcMar>
          </w:tcPr>
          <w:p w14:paraId="12169241"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lastRenderedPageBreak/>
              <w:t>Collection:</w:t>
            </w:r>
            <w:r w:rsidRPr="005978B5">
              <w:rPr>
                <w:rFonts w:ascii="Arial" w:eastAsia="Arial" w:hAnsi="Arial" w:cs="Arial"/>
                <w:color w:val="374151"/>
                <w:sz w:val="18"/>
                <w:szCs w:val="18"/>
              </w:rPr>
              <w:t xml:space="preserve"> Structured survey (patients and clinicians)</w:t>
            </w:r>
          </w:p>
          <w:p w14:paraId="06F57F4A"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lastRenderedPageBreak/>
              <w:t>Analysis:</w:t>
            </w:r>
            <w:r w:rsidRPr="005978B5">
              <w:rPr>
                <w:rFonts w:ascii="Arial" w:eastAsia="Arial" w:hAnsi="Arial" w:cs="Arial"/>
                <w:color w:val="374151"/>
                <w:sz w:val="18"/>
                <w:szCs w:val="18"/>
              </w:rPr>
              <w:t xml:space="preserve"> Descriptive statistics; thematic analysis of open responses</w:t>
            </w:r>
          </w:p>
        </w:tc>
        <w:tc>
          <w:tcPr>
            <w:tcW w:w="1985" w:type="dxa"/>
            <w:shd w:val="clear" w:color="auto" w:fill="EDF2F7"/>
            <w:tcMar>
              <w:top w:w="80" w:type="dxa"/>
              <w:left w:w="130" w:type="dxa"/>
              <w:bottom w:w="80" w:type="dxa"/>
              <w:right w:w="130" w:type="dxa"/>
            </w:tcMar>
          </w:tcPr>
          <w:p w14:paraId="1320EBCA"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lastRenderedPageBreak/>
              <w:t xml:space="preserve">Clinicians reported insufficient training in culturally adapted diabetes education </w:t>
            </w:r>
            <w:r w:rsidRPr="005978B5">
              <w:rPr>
                <w:rFonts w:ascii="Arial" w:eastAsia="Arial" w:hAnsi="Arial" w:cs="Arial"/>
                <w:color w:val="111827"/>
                <w:sz w:val="18"/>
                <w:szCs w:val="18"/>
              </w:rPr>
              <w:lastRenderedPageBreak/>
              <w:t>and confidence gaps with South Asian dietary norms. Absence of cultural competence training is a systemic healthcare barrier.</w:t>
            </w:r>
          </w:p>
        </w:tc>
        <w:tc>
          <w:tcPr>
            <w:tcW w:w="1559" w:type="dxa"/>
            <w:shd w:val="clear" w:color="auto" w:fill="C17D00"/>
            <w:tcMar>
              <w:top w:w="80" w:type="dxa"/>
              <w:left w:w="130" w:type="dxa"/>
              <w:bottom w:w="80" w:type="dxa"/>
              <w:right w:w="130" w:type="dxa"/>
            </w:tcMar>
            <w:vAlign w:val="center"/>
          </w:tcPr>
          <w:p w14:paraId="710256CF"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lastRenderedPageBreak/>
              <w:t>Moderate</w:t>
            </w:r>
          </w:p>
        </w:tc>
      </w:tr>
      <w:tr w:rsidR="00144F46" w:rsidRPr="005978B5" w14:paraId="4599A4A9" w14:textId="77777777" w:rsidTr="003C477A">
        <w:tc>
          <w:tcPr>
            <w:tcW w:w="459" w:type="dxa"/>
            <w:shd w:val="clear" w:color="auto" w:fill="FFFFFF"/>
            <w:tcMar>
              <w:top w:w="80" w:type="dxa"/>
              <w:left w:w="130" w:type="dxa"/>
              <w:bottom w:w="80" w:type="dxa"/>
              <w:right w:w="130" w:type="dxa"/>
            </w:tcMar>
            <w:vAlign w:val="center"/>
          </w:tcPr>
          <w:p w14:paraId="1CD32A24"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7</w:t>
            </w:r>
          </w:p>
        </w:tc>
        <w:tc>
          <w:tcPr>
            <w:tcW w:w="813" w:type="dxa"/>
            <w:shd w:val="clear" w:color="auto" w:fill="FFFFFF"/>
            <w:tcMar>
              <w:top w:w="80" w:type="dxa"/>
              <w:left w:w="130" w:type="dxa"/>
              <w:bottom w:w="80" w:type="dxa"/>
              <w:right w:w="130" w:type="dxa"/>
            </w:tcMar>
          </w:tcPr>
          <w:p w14:paraId="6C04700F" w14:textId="77777777" w:rsidR="00CB6E3F" w:rsidRPr="005978B5" w:rsidRDefault="00CB6E3F" w:rsidP="005978B5">
            <w:pPr>
              <w:spacing w:line="240" w:lineRule="auto"/>
              <w:rPr>
                <w:rFonts w:ascii="Arial" w:hAnsi="Arial" w:cs="Arial"/>
                <w:sz w:val="18"/>
                <w:szCs w:val="18"/>
              </w:rPr>
            </w:pPr>
            <w:proofErr w:type="spellStart"/>
            <w:r w:rsidRPr="005978B5">
              <w:rPr>
                <w:rFonts w:ascii="Arial" w:eastAsia="Arial" w:hAnsi="Arial" w:cs="Arial"/>
                <w:b/>
                <w:bCs/>
                <w:color w:val="0D2B4E"/>
                <w:sz w:val="18"/>
                <w:szCs w:val="18"/>
              </w:rPr>
              <w:t>Pardhan</w:t>
            </w:r>
            <w:proofErr w:type="spellEnd"/>
            <w:r w:rsidRPr="005978B5">
              <w:rPr>
                <w:rFonts w:ascii="Arial" w:eastAsia="Arial" w:hAnsi="Arial" w:cs="Arial"/>
                <w:b/>
                <w:bCs/>
                <w:color w:val="0D2B4E"/>
                <w:sz w:val="18"/>
                <w:szCs w:val="18"/>
              </w:rPr>
              <w:t xml:space="preserve"> et al. (2020)</w:t>
            </w:r>
          </w:p>
        </w:tc>
        <w:tc>
          <w:tcPr>
            <w:tcW w:w="1988" w:type="dxa"/>
            <w:shd w:val="clear" w:color="auto" w:fill="FFFFFF"/>
            <w:tcMar>
              <w:top w:w="80" w:type="dxa"/>
              <w:left w:w="130" w:type="dxa"/>
              <w:bottom w:w="80" w:type="dxa"/>
              <w:right w:w="130" w:type="dxa"/>
            </w:tcMar>
          </w:tcPr>
          <w:p w14:paraId="014BDD2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explore barriers to diabetes awareness and healthcare service access experienced by South Asian adults in the UK</w:t>
            </w:r>
          </w:p>
        </w:tc>
        <w:tc>
          <w:tcPr>
            <w:tcW w:w="1984" w:type="dxa"/>
            <w:shd w:val="clear" w:color="auto" w:fill="FFFFFF"/>
            <w:tcMar>
              <w:top w:w="80" w:type="dxa"/>
              <w:left w:w="130" w:type="dxa"/>
              <w:bottom w:w="80" w:type="dxa"/>
              <w:right w:w="130" w:type="dxa"/>
            </w:tcMar>
          </w:tcPr>
          <w:p w14:paraId="566FAB48"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Semi-structured in-depth interviews</w:t>
            </w:r>
          </w:p>
          <w:p w14:paraId="150AD701"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Thematic analysis (Braun and Clarke, 2006)</w:t>
            </w:r>
          </w:p>
        </w:tc>
        <w:tc>
          <w:tcPr>
            <w:tcW w:w="1985" w:type="dxa"/>
            <w:shd w:val="clear" w:color="auto" w:fill="FFFFFF"/>
            <w:tcMar>
              <w:top w:w="80" w:type="dxa"/>
              <w:left w:w="130" w:type="dxa"/>
              <w:bottom w:w="80" w:type="dxa"/>
              <w:right w:w="130" w:type="dxa"/>
            </w:tcMar>
          </w:tcPr>
          <w:p w14:paraId="5BE70B3E"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Low health literacy; difficulty navigating NHS systems; language barriers; attribution of service gaps to systemic failures rather than personal failure. Socioeconomic deprivation compounds access barriers.</w:t>
            </w:r>
          </w:p>
        </w:tc>
        <w:tc>
          <w:tcPr>
            <w:tcW w:w="1559" w:type="dxa"/>
            <w:shd w:val="clear" w:color="auto" w:fill="2E7D32"/>
            <w:tcMar>
              <w:top w:w="80" w:type="dxa"/>
              <w:left w:w="130" w:type="dxa"/>
              <w:bottom w:w="80" w:type="dxa"/>
              <w:right w:w="130" w:type="dxa"/>
            </w:tcMar>
            <w:vAlign w:val="center"/>
          </w:tcPr>
          <w:p w14:paraId="49A7271C"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11B413D8" w14:textId="77777777" w:rsidTr="003C477A">
        <w:tc>
          <w:tcPr>
            <w:tcW w:w="459" w:type="dxa"/>
            <w:shd w:val="clear" w:color="auto" w:fill="EDF2F7"/>
            <w:tcMar>
              <w:top w:w="80" w:type="dxa"/>
              <w:left w:w="130" w:type="dxa"/>
              <w:bottom w:w="80" w:type="dxa"/>
              <w:right w:w="130" w:type="dxa"/>
            </w:tcMar>
            <w:vAlign w:val="center"/>
          </w:tcPr>
          <w:p w14:paraId="4C4EA86D"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8</w:t>
            </w:r>
          </w:p>
        </w:tc>
        <w:tc>
          <w:tcPr>
            <w:tcW w:w="813" w:type="dxa"/>
            <w:shd w:val="clear" w:color="auto" w:fill="EDF2F7"/>
            <w:tcMar>
              <w:top w:w="80" w:type="dxa"/>
              <w:left w:w="130" w:type="dxa"/>
              <w:bottom w:w="80" w:type="dxa"/>
              <w:right w:w="130" w:type="dxa"/>
            </w:tcMar>
          </w:tcPr>
          <w:p w14:paraId="00A03E8F"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Patel et al. (2015a)</w:t>
            </w:r>
          </w:p>
        </w:tc>
        <w:tc>
          <w:tcPr>
            <w:tcW w:w="1988" w:type="dxa"/>
            <w:shd w:val="clear" w:color="auto" w:fill="EDF2F7"/>
            <w:tcMar>
              <w:top w:w="80" w:type="dxa"/>
              <w:left w:w="130" w:type="dxa"/>
              <w:bottom w:w="80" w:type="dxa"/>
              <w:right w:w="130" w:type="dxa"/>
            </w:tcMar>
          </w:tcPr>
          <w:p w14:paraId="1E8CA913"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explore experiences of Ramadan fasting and T2DM management among British Muslims</w:t>
            </w:r>
          </w:p>
        </w:tc>
        <w:tc>
          <w:tcPr>
            <w:tcW w:w="1984" w:type="dxa"/>
            <w:shd w:val="clear" w:color="auto" w:fill="EDF2F7"/>
            <w:tcMar>
              <w:top w:w="80" w:type="dxa"/>
              <w:left w:w="130" w:type="dxa"/>
              <w:bottom w:w="80" w:type="dxa"/>
              <w:right w:w="130" w:type="dxa"/>
            </w:tcMar>
          </w:tcPr>
          <w:p w14:paraId="153F0F6E"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Semi-structured in-depth interviews</w:t>
            </w:r>
          </w:p>
          <w:p w14:paraId="2F3F9F8E"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Framework analysis</w:t>
            </w:r>
          </w:p>
        </w:tc>
        <w:tc>
          <w:tcPr>
            <w:tcW w:w="1985" w:type="dxa"/>
            <w:shd w:val="clear" w:color="auto" w:fill="EDF2F7"/>
            <w:tcMar>
              <w:top w:w="80" w:type="dxa"/>
              <w:left w:w="130" w:type="dxa"/>
              <w:bottom w:w="80" w:type="dxa"/>
              <w:right w:w="130" w:type="dxa"/>
            </w:tcMar>
          </w:tcPr>
          <w:p w14:paraId="36D8C957" w14:textId="02A66A86"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Ramadan fasting consistently prioritised over clinical advice. Inadequate pre-fasting clinical guidance </w:t>
            </w:r>
            <w:r w:rsidR="00B26ED9">
              <w:rPr>
                <w:rFonts w:ascii="Arial" w:eastAsia="Arial" w:hAnsi="Arial" w:cs="Arial"/>
                <w:color w:val="111827"/>
                <w:sz w:val="18"/>
                <w:szCs w:val="18"/>
              </w:rPr>
              <w:t xml:space="preserve">was </w:t>
            </w:r>
            <w:r w:rsidRPr="005978B5">
              <w:rPr>
                <w:rFonts w:ascii="Arial" w:eastAsia="Arial" w:hAnsi="Arial" w:cs="Arial"/>
                <w:color w:val="111827"/>
                <w:sz w:val="18"/>
                <w:szCs w:val="18"/>
              </w:rPr>
              <w:t xml:space="preserve">received. Patient safety risk (hypoglycaemia, medication non-adherence). Culturally adapted fasting protocols </w:t>
            </w:r>
            <w:r w:rsidR="00B26ED9">
              <w:rPr>
                <w:rFonts w:ascii="Arial" w:eastAsia="Arial" w:hAnsi="Arial" w:cs="Arial"/>
                <w:color w:val="111827"/>
                <w:sz w:val="18"/>
                <w:szCs w:val="18"/>
              </w:rPr>
              <w:t xml:space="preserve">are </w:t>
            </w:r>
            <w:r w:rsidRPr="005978B5">
              <w:rPr>
                <w:rFonts w:ascii="Arial" w:eastAsia="Arial" w:hAnsi="Arial" w:cs="Arial"/>
                <w:color w:val="111827"/>
                <w:sz w:val="18"/>
                <w:szCs w:val="18"/>
              </w:rPr>
              <w:t>absent from routine NHS care.</w:t>
            </w:r>
          </w:p>
        </w:tc>
        <w:tc>
          <w:tcPr>
            <w:tcW w:w="1559" w:type="dxa"/>
            <w:shd w:val="clear" w:color="auto" w:fill="C17D00"/>
            <w:tcMar>
              <w:top w:w="80" w:type="dxa"/>
              <w:left w:w="130" w:type="dxa"/>
              <w:bottom w:w="80" w:type="dxa"/>
              <w:right w:w="130" w:type="dxa"/>
            </w:tcMar>
            <w:vAlign w:val="center"/>
          </w:tcPr>
          <w:p w14:paraId="35B0DA0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Mod–High</w:t>
            </w:r>
          </w:p>
        </w:tc>
      </w:tr>
      <w:tr w:rsidR="00144F46" w:rsidRPr="005978B5" w14:paraId="31240637" w14:textId="77777777" w:rsidTr="003C477A">
        <w:tc>
          <w:tcPr>
            <w:tcW w:w="459" w:type="dxa"/>
            <w:shd w:val="clear" w:color="auto" w:fill="FFFFFF"/>
            <w:tcMar>
              <w:top w:w="80" w:type="dxa"/>
              <w:left w:w="130" w:type="dxa"/>
              <w:bottom w:w="80" w:type="dxa"/>
              <w:right w:w="130" w:type="dxa"/>
            </w:tcMar>
            <w:vAlign w:val="center"/>
          </w:tcPr>
          <w:p w14:paraId="5474085D"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9</w:t>
            </w:r>
          </w:p>
        </w:tc>
        <w:tc>
          <w:tcPr>
            <w:tcW w:w="813" w:type="dxa"/>
            <w:shd w:val="clear" w:color="auto" w:fill="FFFFFF"/>
            <w:tcMar>
              <w:top w:w="80" w:type="dxa"/>
              <w:left w:w="130" w:type="dxa"/>
              <w:bottom w:w="80" w:type="dxa"/>
              <w:right w:w="130" w:type="dxa"/>
            </w:tcMar>
          </w:tcPr>
          <w:p w14:paraId="0271BBBE"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Patel et al. (2015b)</w:t>
            </w:r>
          </w:p>
        </w:tc>
        <w:tc>
          <w:tcPr>
            <w:tcW w:w="1988" w:type="dxa"/>
            <w:shd w:val="clear" w:color="auto" w:fill="FFFFFF"/>
            <w:tcMar>
              <w:top w:w="80" w:type="dxa"/>
              <w:left w:w="130" w:type="dxa"/>
              <w:bottom w:w="80" w:type="dxa"/>
              <w:right w:w="130" w:type="dxa"/>
            </w:tcMar>
          </w:tcPr>
          <w:p w14:paraId="603C275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explore illness beliefs and self-management practices among British South Asian adults with T2DM</w:t>
            </w:r>
          </w:p>
        </w:tc>
        <w:tc>
          <w:tcPr>
            <w:tcW w:w="1984" w:type="dxa"/>
            <w:shd w:val="clear" w:color="auto" w:fill="FFFFFF"/>
            <w:tcMar>
              <w:top w:w="80" w:type="dxa"/>
              <w:left w:w="130" w:type="dxa"/>
              <w:bottom w:w="80" w:type="dxa"/>
              <w:right w:w="130" w:type="dxa"/>
            </w:tcMar>
          </w:tcPr>
          <w:p w14:paraId="7EBDFABD"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Survey questionnaire + in-depth qualitative interviews</w:t>
            </w:r>
          </w:p>
          <w:p w14:paraId="5949161A"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Mixed-methods integration; statistical + thematic analysis</w:t>
            </w:r>
          </w:p>
        </w:tc>
        <w:tc>
          <w:tcPr>
            <w:tcW w:w="1985" w:type="dxa"/>
            <w:shd w:val="clear" w:color="auto" w:fill="FFFFFF"/>
            <w:tcMar>
              <w:top w:w="80" w:type="dxa"/>
              <w:left w:w="130" w:type="dxa"/>
              <w:bottom w:w="80" w:type="dxa"/>
              <w:right w:w="130" w:type="dxa"/>
            </w:tcMar>
          </w:tcPr>
          <w:p w14:paraId="63E1BD95"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Fatalistic illness beliefs (karma, divine will) reduce biomedical engagement. Employment precarity, long working hours, and dietary-cultural conflict act as simultaneous structural and cultural barriers. Limited self-efficacy.</w:t>
            </w:r>
          </w:p>
        </w:tc>
        <w:tc>
          <w:tcPr>
            <w:tcW w:w="1559" w:type="dxa"/>
            <w:shd w:val="clear" w:color="auto" w:fill="2E7D32"/>
            <w:tcMar>
              <w:top w:w="80" w:type="dxa"/>
              <w:left w:w="130" w:type="dxa"/>
              <w:bottom w:w="80" w:type="dxa"/>
              <w:right w:w="130" w:type="dxa"/>
            </w:tcMar>
            <w:vAlign w:val="center"/>
          </w:tcPr>
          <w:p w14:paraId="6632EAAC"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3A3003E3" w14:textId="77777777" w:rsidTr="003C477A">
        <w:tc>
          <w:tcPr>
            <w:tcW w:w="459" w:type="dxa"/>
            <w:shd w:val="clear" w:color="auto" w:fill="EDF2F7"/>
            <w:tcMar>
              <w:top w:w="80" w:type="dxa"/>
              <w:left w:w="130" w:type="dxa"/>
              <w:bottom w:w="80" w:type="dxa"/>
              <w:right w:w="130" w:type="dxa"/>
            </w:tcMar>
            <w:vAlign w:val="center"/>
          </w:tcPr>
          <w:p w14:paraId="21D336D7"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10</w:t>
            </w:r>
          </w:p>
        </w:tc>
        <w:tc>
          <w:tcPr>
            <w:tcW w:w="813" w:type="dxa"/>
            <w:shd w:val="clear" w:color="auto" w:fill="EDF2F7"/>
            <w:tcMar>
              <w:top w:w="80" w:type="dxa"/>
              <w:left w:w="130" w:type="dxa"/>
              <w:bottom w:w="80" w:type="dxa"/>
              <w:right w:w="130" w:type="dxa"/>
            </w:tcMar>
          </w:tcPr>
          <w:p w14:paraId="3EEB93C6" w14:textId="77777777" w:rsidR="00CB6E3F" w:rsidRPr="005978B5" w:rsidRDefault="00CB6E3F" w:rsidP="005978B5">
            <w:pPr>
              <w:spacing w:line="240" w:lineRule="auto"/>
              <w:rPr>
                <w:rFonts w:ascii="Arial" w:hAnsi="Arial" w:cs="Arial"/>
                <w:sz w:val="18"/>
                <w:szCs w:val="18"/>
              </w:rPr>
            </w:pPr>
            <w:proofErr w:type="spellStart"/>
            <w:r w:rsidRPr="005978B5">
              <w:rPr>
                <w:rFonts w:ascii="Arial" w:eastAsia="Arial" w:hAnsi="Arial" w:cs="Arial"/>
                <w:b/>
                <w:bCs/>
                <w:color w:val="0D2B4E"/>
                <w:sz w:val="18"/>
                <w:szCs w:val="18"/>
              </w:rPr>
              <w:t>Omodara</w:t>
            </w:r>
            <w:proofErr w:type="spellEnd"/>
            <w:r w:rsidRPr="005978B5">
              <w:rPr>
                <w:rFonts w:ascii="Arial" w:eastAsia="Arial" w:hAnsi="Arial" w:cs="Arial"/>
                <w:b/>
                <w:bCs/>
                <w:color w:val="0D2B4E"/>
                <w:sz w:val="18"/>
                <w:szCs w:val="18"/>
              </w:rPr>
              <w:t xml:space="preserve"> et al. (2022)</w:t>
            </w:r>
          </w:p>
        </w:tc>
        <w:tc>
          <w:tcPr>
            <w:tcW w:w="1988" w:type="dxa"/>
            <w:shd w:val="clear" w:color="auto" w:fill="EDF2F7"/>
            <w:tcMar>
              <w:top w:w="80" w:type="dxa"/>
              <w:left w:w="130" w:type="dxa"/>
              <w:bottom w:w="80" w:type="dxa"/>
              <w:right w:w="130" w:type="dxa"/>
            </w:tcMar>
          </w:tcPr>
          <w:p w14:paraId="6E90D93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To examine cultural beliefs and healthcare practices shaping T2DM self-management in Black sub-Saharan </w:t>
            </w:r>
            <w:r w:rsidRPr="005978B5">
              <w:rPr>
                <w:rFonts w:ascii="Arial" w:eastAsia="Arial" w:hAnsi="Arial" w:cs="Arial"/>
                <w:color w:val="111827"/>
                <w:sz w:val="18"/>
                <w:szCs w:val="18"/>
              </w:rPr>
              <w:lastRenderedPageBreak/>
              <w:t>African adults in the UK</w:t>
            </w:r>
          </w:p>
        </w:tc>
        <w:tc>
          <w:tcPr>
            <w:tcW w:w="1984" w:type="dxa"/>
            <w:shd w:val="clear" w:color="auto" w:fill="EDF2F7"/>
            <w:tcMar>
              <w:top w:w="80" w:type="dxa"/>
              <w:left w:w="130" w:type="dxa"/>
              <w:bottom w:w="80" w:type="dxa"/>
              <w:right w:w="130" w:type="dxa"/>
            </w:tcMar>
          </w:tcPr>
          <w:p w14:paraId="45E9D4FE" w14:textId="45514AE8"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lastRenderedPageBreak/>
              <w:t>Collection:</w:t>
            </w:r>
            <w:r w:rsidRPr="005978B5">
              <w:rPr>
                <w:rFonts w:ascii="Arial" w:eastAsia="Arial" w:hAnsi="Arial" w:cs="Arial"/>
                <w:color w:val="374151"/>
                <w:sz w:val="18"/>
                <w:szCs w:val="18"/>
              </w:rPr>
              <w:t xml:space="preserve"> In-depth interviews using </w:t>
            </w:r>
            <w:r w:rsidR="00B26ED9">
              <w:rPr>
                <w:rFonts w:ascii="Arial" w:eastAsia="Arial" w:hAnsi="Arial" w:cs="Arial"/>
                <w:color w:val="374151"/>
                <w:sz w:val="18"/>
                <w:szCs w:val="18"/>
              </w:rPr>
              <w:t xml:space="preserve">the </w:t>
            </w:r>
            <w:r w:rsidRPr="005978B5">
              <w:rPr>
                <w:rFonts w:ascii="Arial" w:eastAsia="Arial" w:hAnsi="Arial" w:cs="Arial"/>
                <w:color w:val="374151"/>
                <w:sz w:val="18"/>
                <w:szCs w:val="18"/>
              </w:rPr>
              <w:t>PEN-3 cultural model</w:t>
            </w:r>
          </w:p>
          <w:p w14:paraId="369CEF2A"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lastRenderedPageBreak/>
              <w:t>Analysis:</w:t>
            </w:r>
            <w:r w:rsidRPr="005978B5">
              <w:rPr>
                <w:rFonts w:ascii="Arial" w:eastAsia="Arial" w:hAnsi="Arial" w:cs="Arial"/>
                <w:color w:val="374151"/>
                <w:sz w:val="18"/>
                <w:szCs w:val="18"/>
              </w:rPr>
              <w:t xml:space="preserve"> Framework analysis (PEN-3 model)</w:t>
            </w:r>
          </w:p>
        </w:tc>
        <w:tc>
          <w:tcPr>
            <w:tcW w:w="1985" w:type="dxa"/>
            <w:shd w:val="clear" w:color="auto" w:fill="EDF2F7"/>
            <w:tcMar>
              <w:top w:w="80" w:type="dxa"/>
              <w:left w:w="130" w:type="dxa"/>
              <w:bottom w:w="80" w:type="dxa"/>
              <w:right w:w="130" w:type="dxa"/>
            </w:tcMar>
          </w:tcPr>
          <w:p w14:paraId="3D8FDE6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lastRenderedPageBreak/>
              <w:t xml:space="preserve">Spiritual/ancestral illness models; traditional remedy use alongside prescribed medication; </w:t>
            </w:r>
            <w:r w:rsidRPr="005978B5">
              <w:rPr>
                <w:rFonts w:ascii="Arial" w:eastAsia="Arial" w:hAnsi="Arial" w:cs="Arial"/>
                <w:color w:val="111827"/>
                <w:sz w:val="18"/>
                <w:szCs w:val="18"/>
              </w:rPr>
              <w:lastRenderedPageBreak/>
              <w:t>institutional distrust; delayed help-seeking. Cultural identity central to self-management. Distrust constitutes a structural-cultural barrier.</w:t>
            </w:r>
          </w:p>
        </w:tc>
        <w:tc>
          <w:tcPr>
            <w:tcW w:w="1559" w:type="dxa"/>
            <w:shd w:val="clear" w:color="auto" w:fill="C17D00"/>
            <w:tcMar>
              <w:top w:w="80" w:type="dxa"/>
              <w:left w:w="130" w:type="dxa"/>
              <w:bottom w:w="80" w:type="dxa"/>
              <w:right w:w="130" w:type="dxa"/>
            </w:tcMar>
            <w:vAlign w:val="center"/>
          </w:tcPr>
          <w:p w14:paraId="5353B51D"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lastRenderedPageBreak/>
              <w:t>Mod–High</w:t>
            </w:r>
          </w:p>
        </w:tc>
      </w:tr>
      <w:tr w:rsidR="00144F46" w:rsidRPr="005978B5" w14:paraId="4B8A0AB6" w14:textId="77777777" w:rsidTr="003C477A">
        <w:tc>
          <w:tcPr>
            <w:tcW w:w="459" w:type="dxa"/>
            <w:shd w:val="clear" w:color="auto" w:fill="FFFFFF"/>
            <w:tcMar>
              <w:top w:w="80" w:type="dxa"/>
              <w:left w:w="130" w:type="dxa"/>
              <w:bottom w:w="80" w:type="dxa"/>
              <w:right w:w="130" w:type="dxa"/>
            </w:tcMar>
            <w:vAlign w:val="center"/>
          </w:tcPr>
          <w:p w14:paraId="412C268A"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11</w:t>
            </w:r>
          </w:p>
        </w:tc>
        <w:tc>
          <w:tcPr>
            <w:tcW w:w="813" w:type="dxa"/>
            <w:shd w:val="clear" w:color="auto" w:fill="FFFFFF"/>
            <w:tcMar>
              <w:top w:w="80" w:type="dxa"/>
              <w:left w:w="130" w:type="dxa"/>
              <w:bottom w:w="80" w:type="dxa"/>
              <w:right w:w="130" w:type="dxa"/>
            </w:tcMar>
          </w:tcPr>
          <w:p w14:paraId="55CF5A8B"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Goff et al. (2020b)</w:t>
            </w:r>
          </w:p>
        </w:tc>
        <w:tc>
          <w:tcPr>
            <w:tcW w:w="1988" w:type="dxa"/>
            <w:shd w:val="clear" w:color="auto" w:fill="FFFFFF"/>
            <w:tcMar>
              <w:top w:w="80" w:type="dxa"/>
              <w:left w:w="130" w:type="dxa"/>
              <w:bottom w:w="80" w:type="dxa"/>
              <w:right w:w="130" w:type="dxa"/>
            </w:tcMar>
          </w:tcPr>
          <w:p w14:paraId="0ED15B3E"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explore barriers to DSMES for Black African/Caribbean people from both practitioner and patient perspectives</w:t>
            </w:r>
          </w:p>
        </w:tc>
        <w:tc>
          <w:tcPr>
            <w:tcW w:w="1984" w:type="dxa"/>
            <w:shd w:val="clear" w:color="auto" w:fill="FFFFFF"/>
            <w:tcMar>
              <w:top w:w="80" w:type="dxa"/>
              <w:left w:w="130" w:type="dxa"/>
              <w:bottom w:w="80" w:type="dxa"/>
              <w:right w:w="130" w:type="dxa"/>
            </w:tcMar>
          </w:tcPr>
          <w:p w14:paraId="10A61DB6"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Semi-structured interviews (patients and practitioners)</w:t>
            </w:r>
          </w:p>
          <w:p w14:paraId="4FCE8DD5"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Thematic analysis; dual-perspective triangulation</w:t>
            </w:r>
          </w:p>
        </w:tc>
        <w:tc>
          <w:tcPr>
            <w:tcW w:w="1985" w:type="dxa"/>
            <w:shd w:val="clear" w:color="auto" w:fill="FFFFFF"/>
            <w:tcMar>
              <w:top w:w="80" w:type="dxa"/>
              <w:left w:w="130" w:type="dxa"/>
              <w:bottom w:w="80" w:type="dxa"/>
              <w:right w:w="130" w:type="dxa"/>
            </w:tcMar>
          </w:tcPr>
          <w:p w14:paraId="4223FF7E"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Absence of culturally tailored DSMES resources; practitioner cultural competence gap; patient disengagement after initial session. Dual perspectives reveal systemic failure, not individual unwillingness.</w:t>
            </w:r>
          </w:p>
        </w:tc>
        <w:tc>
          <w:tcPr>
            <w:tcW w:w="1559" w:type="dxa"/>
            <w:shd w:val="clear" w:color="auto" w:fill="2E7D32"/>
            <w:tcMar>
              <w:top w:w="80" w:type="dxa"/>
              <w:left w:w="130" w:type="dxa"/>
              <w:bottom w:w="80" w:type="dxa"/>
              <w:right w:w="130" w:type="dxa"/>
            </w:tcMar>
            <w:vAlign w:val="center"/>
          </w:tcPr>
          <w:p w14:paraId="7A0D59D0"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1BF1C7E0" w14:textId="77777777" w:rsidTr="003C477A">
        <w:tc>
          <w:tcPr>
            <w:tcW w:w="459" w:type="dxa"/>
            <w:shd w:val="clear" w:color="auto" w:fill="EDF2F7"/>
            <w:tcMar>
              <w:top w:w="80" w:type="dxa"/>
              <w:left w:w="130" w:type="dxa"/>
              <w:bottom w:w="80" w:type="dxa"/>
              <w:right w:w="130" w:type="dxa"/>
            </w:tcMar>
            <w:vAlign w:val="center"/>
          </w:tcPr>
          <w:p w14:paraId="1FB6464B"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12</w:t>
            </w:r>
          </w:p>
        </w:tc>
        <w:tc>
          <w:tcPr>
            <w:tcW w:w="813" w:type="dxa"/>
            <w:shd w:val="clear" w:color="auto" w:fill="EDF2F7"/>
            <w:tcMar>
              <w:top w:w="80" w:type="dxa"/>
              <w:left w:w="130" w:type="dxa"/>
              <w:bottom w:w="80" w:type="dxa"/>
              <w:right w:w="130" w:type="dxa"/>
            </w:tcMar>
          </w:tcPr>
          <w:p w14:paraId="2EB36F82" w14:textId="77777777" w:rsidR="00CB6E3F" w:rsidRPr="005978B5" w:rsidRDefault="00CB6E3F" w:rsidP="005978B5">
            <w:pPr>
              <w:spacing w:line="240" w:lineRule="auto"/>
              <w:rPr>
                <w:rFonts w:ascii="Arial" w:hAnsi="Arial" w:cs="Arial"/>
                <w:sz w:val="18"/>
                <w:szCs w:val="18"/>
              </w:rPr>
            </w:pPr>
            <w:proofErr w:type="spellStart"/>
            <w:r w:rsidRPr="005978B5">
              <w:rPr>
                <w:rFonts w:ascii="Arial" w:eastAsia="Arial" w:hAnsi="Arial" w:cs="Arial"/>
                <w:b/>
                <w:bCs/>
                <w:color w:val="0D2B4E"/>
                <w:sz w:val="18"/>
                <w:szCs w:val="18"/>
              </w:rPr>
              <w:t>Alloh</w:t>
            </w:r>
            <w:proofErr w:type="spellEnd"/>
            <w:r w:rsidRPr="005978B5">
              <w:rPr>
                <w:rFonts w:ascii="Arial" w:eastAsia="Arial" w:hAnsi="Arial" w:cs="Arial"/>
                <w:b/>
                <w:bCs/>
                <w:color w:val="0D2B4E"/>
                <w:sz w:val="18"/>
                <w:szCs w:val="18"/>
              </w:rPr>
              <w:t xml:space="preserve"> et al. (2019)</w:t>
            </w:r>
          </w:p>
        </w:tc>
        <w:tc>
          <w:tcPr>
            <w:tcW w:w="1988" w:type="dxa"/>
            <w:shd w:val="clear" w:color="auto" w:fill="EDF2F7"/>
            <w:tcMar>
              <w:top w:w="80" w:type="dxa"/>
              <w:left w:w="130" w:type="dxa"/>
              <w:bottom w:w="80" w:type="dxa"/>
              <w:right w:w="130" w:type="dxa"/>
            </w:tcMar>
          </w:tcPr>
          <w:p w14:paraId="34C993E9" w14:textId="1310FF8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To explore </w:t>
            </w:r>
            <w:r w:rsidR="00B26ED9">
              <w:rPr>
                <w:rFonts w:ascii="Arial" w:eastAsia="Arial" w:hAnsi="Arial" w:cs="Arial"/>
                <w:color w:val="111827"/>
                <w:sz w:val="18"/>
                <w:szCs w:val="18"/>
              </w:rPr>
              <w:t xml:space="preserve">the </w:t>
            </w:r>
            <w:r w:rsidRPr="005978B5">
              <w:rPr>
                <w:rFonts w:ascii="Arial" w:eastAsia="Arial" w:hAnsi="Arial" w:cs="Arial"/>
                <w:color w:val="111827"/>
                <w:sz w:val="18"/>
                <w:szCs w:val="18"/>
              </w:rPr>
              <w:t>lived experiences of T2DM among West African immigrants in London</w:t>
            </w:r>
            <w:r w:rsidR="00B26ED9">
              <w:rPr>
                <w:rFonts w:ascii="Arial" w:eastAsia="Arial" w:hAnsi="Arial" w:cs="Arial"/>
                <w:color w:val="111827"/>
                <w:sz w:val="18"/>
                <w:szCs w:val="18"/>
              </w:rPr>
              <w:t>,</w:t>
            </w:r>
            <w:r w:rsidRPr="005978B5">
              <w:rPr>
                <w:rFonts w:ascii="Arial" w:eastAsia="Arial" w:hAnsi="Arial" w:cs="Arial"/>
                <w:color w:val="111827"/>
                <w:sz w:val="18"/>
                <w:szCs w:val="18"/>
              </w:rPr>
              <w:t xml:space="preserve"> and how migration shapes health behaviour</w:t>
            </w:r>
            <w:r w:rsidR="00B26ED9">
              <w:rPr>
                <w:rFonts w:ascii="Arial" w:eastAsia="Arial" w:hAnsi="Arial" w:cs="Arial"/>
                <w:color w:val="111827"/>
                <w:sz w:val="18"/>
                <w:szCs w:val="18"/>
              </w:rPr>
              <w:t>.</w:t>
            </w:r>
          </w:p>
        </w:tc>
        <w:tc>
          <w:tcPr>
            <w:tcW w:w="1984" w:type="dxa"/>
            <w:shd w:val="clear" w:color="auto" w:fill="EDF2F7"/>
            <w:tcMar>
              <w:top w:w="80" w:type="dxa"/>
              <w:left w:w="130" w:type="dxa"/>
              <w:bottom w:w="80" w:type="dxa"/>
              <w:right w:w="130" w:type="dxa"/>
            </w:tcMar>
          </w:tcPr>
          <w:p w14:paraId="343C28A3"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34 in-depth interviews</w:t>
            </w:r>
          </w:p>
          <w:p w14:paraId="02EFCAA3"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Framework analysis</w:t>
            </w:r>
          </w:p>
        </w:tc>
        <w:tc>
          <w:tcPr>
            <w:tcW w:w="1985" w:type="dxa"/>
            <w:shd w:val="clear" w:color="auto" w:fill="EDF2F7"/>
            <w:tcMar>
              <w:top w:w="80" w:type="dxa"/>
              <w:left w:w="130" w:type="dxa"/>
              <w:bottom w:w="80" w:type="dxa"/>
              <w:right w:w="130" w:type="dxa"/>
            </w:tcMar>
          </w:tcPr>
          <w:p w14:paraId="443D8563"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Symptom normalisation pre-diagnosis; migration-shaped health norms (active rural lifestyle replaced by sedentary urban work); dietary acculturation. Migration amplifies T2DM risk through structural socioeconomic change.</w:t>
            </w:r>
          </w:p>
        </w:tc>
        <w:tc>
          <w:tcPr>
            <w:tcW w:w="1559" w:type="dxa"/>
            <w:shd w:val="clear" w:color="auto" w:fill="C17D00"/>
            <w:tcMar>
              <w:top w:w="80" w:type="dxa"/>
              <w:left w:w="130" w:type="dxa"/>
              <w:bottom w:w="80" w:type="dxa"/>
              <w:right w:w="130" w:type="dxa"/>
            </w:tcMar>
            <w:vAlign w:val="center"/>
          </w:tcPr>
          <w:p w14:paraId="07330D53"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Moderate</w:t>
            </w:r>
          </w:p>
        </w:tc>
      </w:tr>
      <w:tr w:rsidR="00144F46" w:rsidRPr="005978B5" w14:paraId="478319F0" w14:textId="77777777" w:rsidTr="003C477A">
        <w:tc>
          <w:tcPr>
            <w:tcW w:w="459" w:type="dxa"/>
            <w:shd w:val="clear" w:color="auto" w:fill="FFFFFF"/>
            <w:tcMar>
              <w:top w:w="80" w:type="dxa"/>
              <w:left w:w="130" w:type="dxa"/>
              <w:bottom w:w="80" w:type="dxa"/>
              <w:right w:w="130" w:type="dxa"/>
            </w:tcMar>
            <w:vAlign w:val="center"/>
          </w:tcPr>
          <w:p w14:paraId="378BD0A8"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13</w:t>
            </w:r>
          </w:p>
        </w:tc>
        <w:tc>
          <w:tcPr>
            <w:tcW w:w="813" w:type="dxa"/>
            <w:shd w:val="clear" w:color="auto" w:fill="FFFFFF"/>
            <w:tcMar>
              <w:top w:w="80" w:type="dxa"/>
              <w:left w:w="130" w:type="dxa"/>
              <w:bottom w:w="80" w:type="dxa"/>
              <w:right w:w="130" w:type="dxa"/>
            </w:tcMar>
          </w:tcPr>
          <w:p w14:paraId="09D07DEC"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Sidhu et al. (2022)</w:t>
            </w:r>
          </w:p>
        </w:tc>
        <w:tc>
          <w:tcPr>
            <w:tcW w:w="1988" w:type="dxa"/>
            <w:shd w:val="clear" w:color="auto" w:fill="FFFFFF"/>
            <w:tcMar>
              <w:top w:w="80" w:type="dxa"/>
              <w:left w:w="130" w:type="dxa"/>
              <w:bottom w:w="80" w:type="dxa"/>
              <w:right w:w="130" w:type="dxa"/>
            </w:tcMar>
          </w:tcPr>
          <w:p w14:paraId="1E7B85C0"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explore T2DM knowledge, risk perceptions and dietary attitudes among young Punjabi Sikh adults in the UK</w:t>
            </w:r>
          </w:p>
        </w:tc>
        <w:tc>
          <w:tcPr>
            <w:tcW w:w="1984" w:type="dxa"/>
            <w:shd w:val="clear" w:color="auto" w:fill="FFFFFF"/>
            <w:tcMar>
              <w:top w:w="80" w:type="dxa"/>
              <w:left w:w="130" w:type="dxa"/>
              <w:bottom w:w="80" w:type="dxa"/>
              <w:right w:w="130" w:type="dxa"/>
            </w:tcMar>
          </w:tcPr>
          <w:p w14:paraId="03C6E760"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Focus groups (community settings)</w:t>
            </w:r>
          </w:p>
          <w:p w14:paraId="00A71270"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Thematic analysis</w:t>
            </w:r>
          </w:p>
        </w:tc>
        <w:tc>
          <w:tcPr>
            <w:tcW w:w="1985" w:type="dxa"/>
            <w:shd w:val="clear" w:color="auto" w:fill="FFFFFF"/>
            <w:tcMar>
              <w:top w:w="80" w:type="dxa"/>
              <w:left w:w="130" w:type="dxa"/>
              <w:bottom w:w="80" w:type="dxa"/>
              <w:right w:w="130" w:type="dxa"/>
            </w:tcMar>
          </w:tcPr>
          <w:p w14:paraId="247B0DE2" w14:textId="13C5C75A"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Cultural food identity (communal Punjabi diet) prioritised over health advice. </w:t>
            </w:r>
            <w:r w:rsidR="00B26ED9">
              <w:rPr>
                <w:rFonts w:ascii="Arial" w:eastAsia="Arial" w:hAnsi="Arial" w:cs="Arial"/>
                <w:color w:val="111827"/>
                <w:sz w:val="18"/>
                <w:szCs w:val="18"/>
              </w:rPr>
              <w:t>The affordability</w:t>
            </w:r>
            <w:r w:rsidRPr="005978B5">
              <w:rPr>
                <w:rFonts w:ascii="Arial" w:eastAsia="Arial" w:hAnsi="Arial" w:cs="Arial"/>
                <w:color w:val="111827"/>
                <w:sz w:val="18"/>
                <w:szCs w:val="18"/>
              </w:rPr>
              <w:t xml:space="preserve"> of </w:t>
            </w:r>
            <w:r w:rsidR="00B26ED9">
              <w:rPr>
                <w:rFonts w:ascii="Arial" w:eastAsia="Arial" w:hAnsi="Arial" w:cs="Arial"/>
                <w:color w:val="111827"/>
                <w:sz w:val="18"/>
                <w:szCs w:val="18"/>
              </w:rPr>
              <w:t xml:space="preserve">the </w:t>
            </w:r>
            <w:r w:rsidRPr="005978B5">
              <w:rPr>
                <w:rFonts w:ascii="Arial" w:eastAsia="Arial" w:hAnsi="Arial" w:cs="Arial"/>
                <w:color w:val="111827"/>
                <w:sz w:val="18"/>
                <w:szCs w:val="18"/>
              </w:rPr>
              <w:t>recommended diet is a real constraint. Tradition-health tension creates internal conflict between cultural belonging and clinical guidance.</w:t>
            </w:r>
          </w:p>
        </w:tc>
        <w:tc>
          <w:tcPr>
            <w:tcW w:w="1559" w:type="dxa"/>
            <w:shd w:val="clear" w:color="auto" w:fill="C17D00"/>
            <w:tcMar>
              <w:top w:w="80" w:type="dxa"/>
              <w:left w:w="130" w:type="dxa"/>
              <w:bottom w:w="80" w:type="dxa"/>
              <w:right w:w="130" w:type="dxa"/>
            </w:tcMar>
            <w:vAlign w:val="center"/>
          </w:tcPr>
          <w:p w14:paraId="1FD05D9D"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Moderate</w:t>
            </w:r>
          </w:p>
        </w:tc>
      </w:tr>
      <w:tr w:rsidR="00144F46" w:rsidRPr="005978B5" w14:paraId="524FFF69" w14:textId="77777777" w:rsidTr="003C477A">
        <w:tc>
          <w:tcPr>
            <w:tcW w:w="459" w:type="dxa"/>
            <w:shd w:val="clear" w:color="auto" w:fill="EDF2F7"/>
            <w:tcMar>
              <w:top w:w="80" w:type="dxa"/>
              <w:left w:w="130" w:type="dxa"/>
              <w:bottom w:w="80" w:type="dxa"/>
              <w:right w:w="130" w:type="dxa"/>
            </w:tcMar>
            <w:vAlign w:val="center"/>
          </w:tcPr>
          <w:p w14:paraId="0B70AB75"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14</w:t>
            </w:r>
          </w:p>
        </w:tc>
        <w:tc>
          <w:tcPr>
            <w:tcW w:w="813" w:type="dxa"/>
            <w:shd w:val="clear" w:color="auto" w:fill="EDF2F7"/>
            <w:tcMar>
              <w:top w:w="80" w:type="dxa"/>
              <w:left w:w="130" w:type="dxa"/>
              <w:bottom w:w="80" w:type="dxa"/>
              <w:right w:w="130" w:type="dxa"/>
            </w:tcMar>
          </w:tcPr>
          <w:p w14:paraId="7C6E6235"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Goff et al. (2021)</w:t>
            </w:r>
          </w:p>
        </w:tc>
        <w:tc>
          <w:tcPr>
            <w:tcW w:w="1988" w:type="dxa"/>
            <w:shd w:val="clear" w:color="auto" w:fill="EDF2F7"/>
            <w:tcMar>
              <w:top w:w="80" w:type="dxa"/>
              <w:left w:w="130" w:type="dxa"/>
              <w:bottom w:w="80" w:type="dxa"/>
              <w:right w:w="130" w:type="dxa"/>
            </w:tcMar>
          </w:tcPr>
          <w:p w14:paraId="31BA8460"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test the feasibility and acceptability of HEAL-D, a culturally adapted DSMES programme for Black African/Caribbean adults</w:t>
            </w:r>
          </w:p>
        </w:tc>
        <w:tc>
          <w:tcPr>
            <w:tcW w:w="1984" w:type="dxa"/>
            <w:shd w:val="clear" w:color="auto" w:fill="EDF2F7"/>
            <w:tcMar>
              <w:top w:w="80" w:type="dxa"/>
              <w:left w:w="130" w:type="dxa"/>
              <w:bottom w:w="80" w:type="dxa"/>
              <w:right w:w="130" w:type="dxa"/>
            </w:tcMar>
          </w:tcPr>
          <w:p w14:paraId="5B753582"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Feasibility RCT + process evaluation (interviews, observations)</w:t>
            </w:r>
          </w:p>
          <w:p w14:paraId="3A92A5E0"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Intention-to-treat; mixed-methods integration</w:t>
            </w:r>
          </w:p>
        </w:tc>
        <w:tc>
          <w:tcPr>
            <w:tcW w:w="1985" w:type="dxa"/>
            <w:shd w:val="clear" w:color="auto" w:fill="EDF2F7"/>
            <w:tcMar>
              <w:top w:w="80" w:type="dxa"/>
              <w:left w:w="130" w:type="dxa"/>
              <w:bottom w:w="80" w:type="dxa"/>
              <w:right w:w="130" w:type="dxa"/>
            </w:tcMar>
          </w:tcPr>
          <w:p w14:paraId="26F26090" w14:textId="5CBC9832"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HEAL-D culturally adapted DSMES is feasible and acceptable. Improved diabetes knowledge, dietary behaviour, and self-management </w:t>
            </w:r>
            <w:r w:rsidRPr="005978B5">
              <w:rPr>
                <w:rFonts w:ascii="Arial" w:eastAsia="Arial" w:hAnsi="Arial" w:cs="Arial"/>
                <w:color w:val="111827"/>
                <w:sz w:val="18"/>
                <w:szCs w:val="18"/>
              </w:rPr>
              <w:lastRenderedPageBreak/>
              <w:t xml:space="preserve">confidence vs standard care. Addresses healthcare system </w:t>
            </w:r>
            <w:r w:rsidR="00B26ED9">
              <w:rPr>
                <w:rFonts w:ascii="Arial" w:eastAsia="Arial" w:hAnsi="Arial" w:cs="Arial"/>
                <w:color w:val="111827"/>
                <w:sz w:val="18"/>
                <w:szCs w:val="18"/>
              </w:rPr>
              <w:t>barriers</w:t>
            </w:r>
            <w:r w:rsidRPr="005978B5">
              <w:rPr>
                <w:rFonts w:ascii="Arial" w:eastAsia="Arial" w:hAnsi="Arial" w:cs="Arial"/>
                <w:color w:val="111827"/>
                <w:sz w:val="18"/>
                <w:szCs w:val="18"/>
              </w:rPr>
              <w:t xml:space="preserve"> through culturally tailored design.</w:t>
            </w:r>
          </w:p>
        </w:tc>
        <w:tc>
          <w:tcPr>
            <w:tcW w:w="1559" w:type="dxa"/>
            <w:shd w:val="clear" w:color="auto" w:fill="C17D00"/>
            <w:tcMar>
              <w:top w:w="80" w:type="dxa"/>
              <w:left w:w="130" w:type="dxa"/>
              <w:bottom w:w="80" w:type="dxa"/>
              <w:right w:w="130" w:type="dxa"/>
            </w:tcMar>
            <w:vAlign w:val="center"/>
          </w:tcPr>
          <w:p w14:paraId="3B6F3427"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lastRenderedPageBreak/>
              <w:t>Moderate</w:t>
            </w:r>
          </w:p>
        </w:tc>
      </w:tr>
      <w:tr w:rsidR="00144F46" w:rsidRPr="005978B5" w14:paraId="25CD35D0" w14:textId="77777777" w:rsidTr="003C477A">
        <w:tc>
          <w:tcPr>
            <w:tcW w:w="459" w:type="dxa"/>
            <w:shd w:val="clear" w:color="auto" w:fill="FFFFFF"/>
            <w:tcMar>
              <w:top w:w="80" w:type="dxa"/>
              <w:left w:w="130" w:type="dxa"/>
              <w:bottom w:w="80" w:type="dxa"/>
              <w:right w:w="130" w:type="dxa"/>
            </w:tcMar>
            <w:vAlign w:val="center"/>
          </w:tcPr>
          <w:p w14:paraId="45932C6F"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15</w:t>
            </w:r>
          </w:p>
        </w:tc>
        <w:tc>
          <w:tcPr>
            <w:tcW w:w="813" w:type="dxa"/>
            <w:shd w:val="clear" w:color="auto" w:fill="FFFFFF"/>
            <w:tcMar>
              <w:top w:w="80" w:type="dxa"/>
              <w:left w:w="130" w:type="dxa"/>
              <w:bottom w:w="80" w:type="dxa"/>
              <w:right w:w="130" w:type="dxa"/>
            </w:tcMar>
          </w:tcPr>
          <w:p w14:paraId="3A1C8401"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Low et al. (2024)</w:t>
            </w:r>
          </w:p>
        </w:tc>
        <w:tc>
          <w:tcPr>
            <w:tcW w:w="1988" w:type="dxa"/>
            <w:shd w:val="clear" w:color="auto" w:fill="FFFFFF"/>
            <w:tcMar>
              <w:top w:w="80" w:type="dxa"/>
              <w:left w:w="130" w:type="dxa"/>
              <w:bottom w:w="80" w:type="dxa"/>
              <w:right w:w="130" w:type="dxa"/>
            </w:tcMar>
          </w:tcPr>
          <w:p w14:paraId="7300E07E"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evaluate the feasibility and acceptability of HEAL-D Online, a digitally delivered culturally adapted DSMES programme</w:t>
            </w:r>
          </w:p>
        </w:tc>
        <w:tc>
          <w:tcPr>
            <w:tcW w:w="1984" w:type="dxa"/>
            <w:shd w:val="clear" w:color="auto" w:fill="FFFFFF"/>
            <w:tcMar>
              <w:top w:w="80" w:type="dxa"/>
              <w:left w:w="130" w:type="dxa"/>
              <w:bottom w:w="80" w:type="dxa"/>
              <w:right w:w="130" w:type="dxa"/>
            </w:tcMar>
          </w:tcPr>
          <w:p w14:paraId="03B14294"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Online surveys + qualitative interviews</w:t>
            </w:r>
          </w:p>
          <w:p w14:paraId="4253E488"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Mixed-methods integration; descriptive + thematic analysis</w:t>
            </w:r>
          </w:p>
        </w:tc>
        <w:tc>
          <w:tcPr>
            <w:tcW w:w="1985" w:type="dxa"/>
            <w:shd w:val="clear" w:color="auto" w:fill="FFFFFF"/>
            <w:tcMar>
              <w:top w:w="80" w:type="dxa"/>
              <w:left w:w="130" w:type="dxa"/>
              <w:bottom w:w="80" w:type="dxa"/>
              <w:right w:w="130" w:type="dxa"/>
            </w:tcMar>
          </w:tcPr>
          <w:p w14:paraId="27731B29" w14:textId="1926E668"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High engagement and acceptability. Digitally delivered</w:t>
            </w:r>
            <w:r w:rsidR="00B26ED9">
              <w:rPr>
                <w:rFonts w:ascii="Arial" w:eastAsia="Arial" w:hAnsi="Arial" w:cs="Arial"/>
                <w:color w:val="111827"/>
                <w:sz w:val="18"/>
                <w:szCs w:val="18"/>
              </w:rPr>
              <w:t>,</w:t>
            </w:r>
            <w:r w:rsidRPr="005978B5">
              <w:rPr>
                <w:rFonts w:ascii="Arial" w:eastAsia="Arial" w:hAnsi="Arial" w:cs="Arial"/>
                <w:color w:val="111827"/>
                <w:sz w:val="18"/>
                <w:szCs w:val="18"/>
              </w:rPr>
              <w:t xml:space="preserve"> culturally tailored DSMES is feasible. Online delivery removes geographic access </w:t>
            </w:r>
            <w:r w:rsidR="00B26ED9">
              <w:rPr>
                <w:rFonts w:ascii="Arial" w:eastAsia="Arial" w:hAnsi="Arial" w:cs="Arial"/>
                <w:color w:val="111827"/>
                <w:sz w:val="18"/>
                <w:szCs w:val="18"/>
              </w:rPr>
              <w:t>barriers</w:t>
            </w:r>
            <w:r w:rsidRPr="005978B5">
              <w:rPr>
                <w:rFonts w:ascii="Arial" w:eastAsia="Arial" w:hAnsi="Arial" w:cs="Arial"/>
                <w:color w:val="111827"/>
                <w:sz w:val="18"/>
                <w:szCs w:val="18"/>
              </w:rPr>
              <w:t xml:space="preserve">. Significant for </w:t>
            </w:r>
            <w:r w:rsidR="00B26ED9">
              <w:rPr>
                <w:rFonts w:ascii="Arial" w:eastAsia="Arial" w:hAnsi="Arial" w:cs="Arial"/>
                <w:color w:val="111827"/>
                <w:sz w:val="18"/>
                <w:szCs w:val="18"/>
              </w:rPr>
              <w:t xml:space="preserve">the </w:t>
            </w:r>
            <w:r w:rsidRPr="005978B5">
              <w:rPr>
                <w:rFonts w:ascii="Arial" w:eastAsia="Arial" w:hAnsi="Arial" w:cs="Arial"/>
                <w:color w:val="111827"/>
                <w:sz w:val="18"/>
                <w:szCs w:val="18"/>
              </w:rPr>
              <w:t>NHS digital transformation of diabetes prevention services.</w:t>
            </w:r>
          </w:p>
        </w:tc>
        <w:tc>
          <w:tcPr>
            <w:tcW w:w="1559" w:type="dxa"/>
            <w:shd w:val="clear" w:color="auto" w:fill="C17D00"/>
            <w:tcMar>
              <w:top w:w="80" w:type="dxa"/>
              <w:left w:w="130" w:type="dxa"/>
              <w:bottom w:w="80" w:type="dxa"/>
              <w:right w:w="130" w:type="dxa"/>
            </w:tcMar>
            <w:vAlign w:val="center"/>
          </w:tcPr>
          <w:p w14:paraId="05E5C100"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Mod–High</w:t>
            </w:r>
          </w:p>
        </w:tc>
      </w:tr>
      <w:tr w:rsidR="00144F46" w:rsidRPr="005978B5" w14:paraId="3979ED39" w14:textId="77777777" w:rsidTr="003C477A">
        <w:tc>
          <w:tcPr>
            <w:tcW w:w="8788" w:type="dxa"/>
            <w:gridSpan w:val="6"/>
            <w:shd w:val="clear" w:color="auto" w:fill="E2EAF3"/>
            <w:tcMar>
              <w:top w:w="80" w:type="dxa"/>
              <w:left w:w="130" w:type="dxa"/>
              <w:bottom w:w="80" w:type="dxa"/>
              <w:right w:w="130" w:type="dxa"/>
            </w:tcMar>
          </w:tcPr>
          <w:p w14:paraId="10A89013"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111827"/>
                <w:sz w:val="18"/>
                <w:szCs w:val="18"/>
              </w:rPr>
              <w:t xml:space="preserve">Table C2 of 2. </w:t>
            </w:r>
            <w:r w:rsidRPr="005978B5">
              <w:rPr>
                <w:rFonts w:ascii="Arial" w:eastAsia="Arial" w:hAnsi="Arial" w:cs="Arial"/>
                <w:color w:val="374151"/>
                <w:sz w:val="18"/>
                <w:szCs w:val="18"/>
              </w:rPr>
              <w:t xml:space="preserve">Presents study content data for all 15 included studies. Cross-reference with Table C1 using the study number (#). </w:t>
            </w:r>
            <w:r w:rsidRPr="005978B5">
              <w:rPr>
                <w:rFonts w:ascii="Arial" w:eastAsia="Arial" w:hAnsi="Arial" w:cs="Arial"/>
                <w:color w:val="6B7280"/>
                <w:sz w:val="18"/>
                <w:szCs w:val="18"/>
              </w:rPr>
              <w:t>DSMES = Diabetes Self-Management Education and Support; HEAL-D = Healthier Eating and Active Lifestyles for Diabetes; OR = odds ratio; IMD = Index of Multiple Deprivation; HbA1c = Glycated haemoglobin; CPRD = Clinical Practice Research Datalink; CASP = Critical Appraisal Skills Programme. Quality: Green = High; Amber = Moderate–High or Moderate.</w:t>
            </w:r>
          </w:p>
        </w:tc>
      </w:tr>
    </w:tbl>
    <w:p w14:paraId="1916A577" w14:textId="3C39B8BB" w:rsidR="009F64C5" w:rsidRPr="005978B5" w:rsidRDefault="002C71D5" w:rsidP="00354518">
      <w:pPr>
        <w:spacing w:line="360" w:lineRule="auto"/>
        <w:jc w:val="both"/>
        <w:rPr>
          <w:rFonts w:ascii="Arial" w:hAnsi="Arial" w:cs="Arial"/>
        </w:rPr>
      </w:pPr>
      <w:r w:rsidRPr="005978B5">
        <w:rPr>
          <w:rFonts w:ascii="Arial" w:hAnsi="Arial" w:cs="Arial"/>
          <w:i/>
        </w:rPr>
        <w:t xml:space="preserve">DSMES = Diabetes Self-Management Education and Support; HEAL-D = Healthier Eating and Active Lifestyles for Diabetes; OR = odds ratio; CPRD = Clinical Practice Research Datalink. Data extraction conducted by Mohammedashraf </w:t>
      </w:r>
      <w:proofErr w:type="spellStart"/>
      <w:r w:rsidR="00035495" w:rsidRPr="005978B5">
        <w:rPr>
          <w:rFonts w:ascii="Arial" w:hAnsi="Arial" w:cs="Arial"/>
          <w:i/>
          <w:iCs/>
        </w:rPr>
        <w:t>Firozbhai</w:t>
      </w:r>
      <w:proofErr w:type="spellEnd"/>
      <w:r w:rsidRPr="005978B5">
        <w:rPr>
          <w:rFonts w:ascii="Arial" w:hAnsi="Arial" w:cs="Arial"/>
          <w:i/>
        </w:rPr>
        <w:t xml:space="preserve"> Patel (2432246), UWTSD London, June 2026.</w:t>
      </w:r>
      <w:r w:rsidR="009F64C5" w:rsidRPr="005978B5">
        <w:rPr>
          <w:rFonts w:ascii="Arial" w:eastAsia="Calibri" w:hAnsi="Arial" w:cs="Arial"/>
        </w:rPr>
        <w:t xml:space="preserve"> </w:t>
      </w:r>
    </w:p>
    <w:p w14:paraId="14D68B18"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05A2C86D"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50EFB39F"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16CAB32E"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7948AC12"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73FE2FDD"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797F1EE7"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1CD17A3B"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2B4AFC15"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0EF5AC8F" w14:textId="20B6C010"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sectPr w:rsidR="009F64C5" w:rsidRPr="005978B5" w:rsidSect="0089662A">
      <w:footerReference w:type="even" r:id="rId41"/>
      <w:footerReference w:type="default" r:id="rId42"/>
      <w:footerReference w:type="first" r:id="rId4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E5CE4" w14:textId="77777777" w:rsidR="003C6F27" w:rsidRDefault="003C6F27">
      <w:pPr>
        <w:spacing w:after="0" w:line="240" w:lineRule="auto"/>
      </w:pPr>
      <w:r>
        <w:separator/>
      </w:r>
    </w:p>
  </w:endnote>
  <w:endnote w:type="continuationSeparator" w:id="0">
    <w:p w14:paraId="1BCC7C08" w14:textId="77777777" w:rsidR="003C6F27" w:rsidRDefault="003C6F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B69E3F4" w14:textId="62FEFE6F" w:rsidR="009A1B64" w:rsidRDefault="0089662A">
    <w:pPr>
      <w:tabs>
        <w:tab w:val="center" w:pos="4405"/>
      </w:tabs>
      <w:spacing w:after="0"/>
    </w:pPr>
    <w:r w:rsidRPr="0089662A">
      <w:rPr>
        <w:rFonts w:ascii="Arial" w:hAnsi="Arial" w:cs="Arial"/>
      </w:rPr>
      <w:t>Mohammedashraf</w:t>
    </w:r>
    <w:r w:rsidR="007446D0">
      <w:rPr>
        <w:rFonts w:ascii="Calibri" w:eastAsia="Calibri" w:hAnsi="Calibri" w:cs="Calibri"/>
      </w:rPr>
      <w:t xml:space="preserve"> </w:t>
    </w:r>
    <w:r w:rsidR="007446D0">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9ECF86" w14:textId="77777777" w:rsidR="003C6F27" w:rsidRDefault="003C6F27">
      <w:pPr>
        <w:spacing w:after="0" w:line="240" w:lineRule="auto"/>
      </w:pPr>
      <w:r>
        <w:separator/>
      </w:r>
    </w:p>
  </w:footnote>
  <w:footnote w:type="continuationSeparator" w:id="0">
    <w:p w14:paraId="34D30358" w14:textId="77777777" w:rsidR="003C6F27" w:rsidRDefault="003C6F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89A1E05"/>
    <w:multiLevelType w:val="multilevel"/>
    <w:tmpl w:val="BFA4A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5902F71"/>
    <w:multiLevelType w:val="hybridMultilevel"/>
    <w:tmpl w:val="6DACF0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633A6473"/>
    <w:multiLevelType w:val="multilevel"/>
    <w:tmpl w:val="97982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6BD1BE0"/>
    <w:multiLevelType w:val="hybridMultilevel"/>
    <w:tmpl w:val="525E4C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52774614">
    <w:abstractNumId w:val="11"/>
  </w:num>
  <w:num w:numId="2" w16cid:durableId="941229834">
    <w:abstractNumId w:val="0"/>
  </w:num>
  <w:num w:numId="3" w16cid:durableId="1012418139">
    <w:abstractNumId w:val="6"/>
  </w:num>
  <w:num w:numId="4" w16cid:durableId="1373456878">
    <w:abstractNumId w:val="2"/>
  </w:num>
  <w:num w:numId="5" w16cid:durableId="1904363585">
    <w:abstractNumId w:val="3"/>
  </w:num>
  <w:num w:numId="6" w16cid:durableId="550387977">
    <w:abstractNumId w:val="7"/>
  </w:num>
  <w:num w:numId="7" w16cid:durableId="1167091014">
    <w:abstractNumId w:val="10"/>
  </w:num>
  <w:num w:numId="8" w16cid:durableId="2031225886">
    <w:abstractNumId w:val="4"/>
  </w:num>
  <w:num w:numId="9" w16cid:durableId="844826396">
    <w:abstractNumId w:val="1"/>
  </w:num>
  <w:num w:numId="10" w16cid:durableId="414935822">
    <w:abstractNumId w:val="8"/>
  </w:num>
  <w:num w:numId="11" w16cid:durableId="3022364">
    <w:abstractNumId w:val="5"/>
  </w:num>
  <w:num w:numId="12" w16cid:durableId="10059815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1637C"/>
    <w:rsid w:val="000233B7"/>
    <w:rsid w:val="00035495"/>
    <w:rsid w:val="00042B90"/>
    <w:rsid w:val="000555DE"/>
    <w:rsid w:val="000660F5"/>
    <w:rsid w:val="00076E23"/>
    <w:rsid w:val="00084A43"/>
    <w:rsid w:val="000927CD"/>
    <w:rsid w:val="000C39D5"/>
    <w:rsid w:val="000D12EB"/>
    <w:rsid w:val="000D5E76"/>
    <w:rsid w:val="000D7F07"/>
    <w:rsid w:val="000E4982"/>
    <w:rsid w:val="000F625C"/>
    <w:rsid w:val="00100C1C"/>
    <w:rsid w:val="001061DA"/>
    <w:rsid w:val="00113366"/>
    <w:rsid w:val="00125FC6"/>
    <w:rsid w:val="0012792F"/>
    <w:rsid w:val="00132620"/>
    <w:rsid w:val="00132C5E"/>
    <w:rsid w:val="0014477F"/>
    <w:rsid w:val="00144F46"/>
    <w:rsid w:val="00147A5C"/>
    <w:rsid w:val="001652BE"/>
    <w:rsid w:val="00175BB5"/>
    <w:rsid w:val="0018147A"/>
    <w:rsid w:val="001A0839"/>
    <w:rsid w:val="001B6AAC"/>
    <w:rsid w:val="001C5965"/>
    <w:rsid w:val="001D00C3"/>
    <w:rsid w:val="001E0475"/>
    <w:rsid w:val="002037E4"/>
    <w:rsid w:val="00211962"/>
    <w:rsid w:val="00212C29"/>
    <w:rsid w:val="002138E5"/>
    <w:rsid w:val="0025209B"/>
    <w:rsid w:val="0027230E"/>
    <w:rsid w:val="0027349F"/>
    <w:rsid w:val="00284F68"/>
    <w:rsid w:val="00292470"/>
    <w:rsid w:val="002A31D9"/>
    <w:rsid w:val="002B04A6"/>
    <w:rsid w:val="002B1AAA"/>
    <w:rsid w:val="002B523E"/>
    <w:rsid w:val="002C71D5"/>
    <w:rsid w:val="002D3B0B"/>
    <w:rsid w:val="002D3BF4"/>
    <w:rsid w:val="002D7394"/>
    <w:rsid w:val="002E08BF"/>
    <w:rsid w:val="002E47CA"/>
    <w:rsid w:val="00301CCF"/>
    <w:rsid w:val="00317BAE"/>
    <w:rsid w:val="00321E46"/>
    <w:rsid w:val="00340A45"/>
    <w:rsid w:val="00345757"/>
    <w:rsid w:val="00354518"/>
    <w:rsid w:val="00355C7B"/>
    <w:rsid w:val="00357407"/>
    <w:rsid w:val="003612AC"/>
    <w:rsid w:val="00363C9B"/>
    <w:rsid w:val="00383CAA"/>
    <w:rsid w:val="00384B79"/>
    <w:rsid w:val="003A1228"/>
    <w:rsid w:val="003A51A7"/>
    <w:rsid w:val="003B2030"/>
    <w:rsid w:val="003C35D2"/>
    <w:rsid w:val="003C477A"/>
    <w:rsid w:val="003C6F27"/>
    <w:rsid w:val="003C7132"/>
    <w:rsid w:val="0040481A"/>
    <w:rsid w:val="00407DAC"/>
    <w:rsid w:val="00413274"/>
    <w:rsid w:val="004210CC"/>
    <w:rsid w:val="004360EE"/>
    <w:rsid w:val="004422DC"/>
    <w:rsid w:val="00443438"/>
    <w:rsid w:val="004528E6"/>
    <w:rsid w:val="00466477"/>
    <w:rsid w:val="004847EB"/>
    <w:rsid w:val="00494A52"/>
    <w:rsid w:val="004B07B9"/>
    <w:rsid w:val="004D17BA"/>
    <w:rsid w:val="004E542F"/>
    <w:rsid w:val="00503EFD"/>
    <w:rsid w:val="00525BD5"/>
    <w:rsid w:val="0055086D"/>
    <w:rsid w:val="005563F8"/>
    <w:rsid w:val="0059578E"/>
    <w:rsid w:val="005978B5"/>
    <w:rsid w:val="005A74CA"/>
    <w:rsid w:val="005B217B"/>
    <w:rsid w:val="005B3C94"/>
    <w:rsid w:val="005B62F4"/>
    <w:rsid w:val="005C4AF3"/>
    <w:rsid w:val="005C7F3E"/>
    <w:rsid w:val="005D2FBF"/>
    <w:rsid w:val="005E259C"/>
    <w:rsid w:val="006119F8"/>
    <w:rsid w:val="0061630C"/>
    <w:rsid w:val="00616498"/>
    <w:rsid w:val="00623C0E"/>
    <w:rsid w:val="006343D6"/>
    <w:rsid w:val="006506A7"/>
    <w:rsid w:val="00674B58"/>
    <w:rsid w:val="006761EE"/>
    <w:rsid w:val="00692D0D"/>
    <w:rsid w:val="00697473"/>
    <w:rsid w:val="006A233B"/>
    <w:rsid w:val="006A5A6E"/>
    <w:rsid w:val="006A67DC"/>
    <w:rsid w:val="006B09A2"/>
    <w:rsid w:val="006B1B51"/>
    <w:rsid w:val="006B583A"/>
    <w:rsid w:val="006D51C9"/>
    <w:rsid w:val="006E146D"/>
    <w:rsid w:val="006E74A0"/>
    <w:rsid w:val="006F0100"/>
    <w:rsid w:val="006F491D"/>
    <w:rsid w:val="006F7A9A"/>
    <w:rsid w:val="0070279F"/>
    <w:rsid w:val="00705F84"/>
    <w:rsid w:val="00712075"/>
    <w:rsid w:val="00712A9C"/>
    <w:rsid w:val="007155A4"/>
    <w:rsid w:val="007345B0"/>
    <w:rsid w:val="00740C50"/>
    <w:rsid w:val="007446D0"/>
    <w:rsid w:val="007771E4"/>
    <w:rsid w:val="007843AD"/>
    <w:rsid w:val="007A05B6"/>
    <w:rsid w:val="007A4674"/>
    <w:rsid w:val="007B74AE"/>
    <w:rsid w:val="007C1006"/>
    <w:rsid w:val="007C2F5E"/>
    <w:rsid w:val="007D286C"/>
    <w:rsid w:val="007D4267"/>
    <w:rsid w:val="007D5D49"/>
    <w:rsid w:val="007F1C8A"/>
    <w:rsid w:val="007F3292"/>
    <w:rsid w:val="007F75EC"/>
    <w:rsid w:val="007F7645"/>
    <w:rsid w:val="008073BE"/>
    <w:rsid w:val="00822E5B"/>
    <w:rsid w:val="00824750"/>
    <w:rsid w:val="00825F1F"/>
    <w:rsid w:val="00826E04"/>
    <w:rsid w:val="00851D37"/>
    <w:rsid w:val="00862B9C"/>
    <w:rsid w:val="00863082"/>
    <w:rsid w:val="00863A8C"/>
    <w:rsid w:val="00866A3E"/>
    <w:rsid w:val="00873A1F"/>
    <w:rsid w:val="00893051"/>
    <w:rsid w:val="0089662A"/>
    <w:rsid w:val="0089793A"/>
    <w:rsid w:val="008A5522"/>
    <w:rsid w:val="008A73BC"/>
    <w:rsid w:val="008B1A10"/>
    <w:rsid w:val="008B414C"/>
    <w:rsid w:val="008D1581"/>
    <w:rsid w:val="008D4561"/>
    <w:rsid w:val="008D4F6C"/>
    <w:rsid w:val="008D6BF7"/>
    <w:rsid w:val="008E43D7"/>
    <w:rsid w:val="008E5C55"/>
    <w:rsid w:val="008F7732"/>
    <w:rsid w:val="008F78F6"/>
    <w:rsid w:val="00954E4C"/>
    <w:rsid w:val="00961E26"/>
    <w:rsid w:val="00967BED"/>
    <w:rsid w:val="009706D0"/>
    <w:rsid w:val="00986A40"/>
    <w:rsid w:val="00997F82"/>
    <w:rsid w:val="009A1B64"/>
    <w:rsid w:val="009B385E"/>
    <w:rsid w:val="009B4DE7"/>
    <w:rsid w:val="009C2872"/>
    <w:rsid w:val="009D10E9"/>
    <w:rsid w:val="009D7AE8"/>
    <w:rsid w:val="009E3E7B"/>
    <w:rsid w:val="009F64C5"/>
    <w:rsid w:val="00A12D64"/>
    <w:rsid w:val="00A26384"/>
    <w:rsid w:val="00A32A11"/>
    <w:rsid w:val="00A55B4B"/>
    <w:rsid w:val="00A6515C"/>
    <w:rsid w:val="00A67238"/>
    <w:rsid w:val="00A7339D"/>
    <w:rsid w:val="00A8682A"/>
    <w:rsid w:val="00A9635A"/>
    <w:rsid w:val="00AA04B8"/>
    <w:rsid w:val="00AA0875"/>
    <w:rsid w:val="00AC294F"/>
    <w:rsid w:val="00AC7D63"/>
    <w:rsid w:val="00AD6938"/>
    <w:rsid w:val="00AE72E4"/>
    <w:rsid w:val="00AF7587"/>
    <w:rsid w:val="00AF7790"/>
    <w:rsid w:val="00B0204E"/>
    <w:rsid w:val="00B0587B"/>
    <w:rsid w:val="00B111E0"/>
    <w:rsid w:val="00B16A97"/>
    <w:rsid w:val="00B26ED9"/>
    <w:rsid w:val="00B324F9"/>
    <w:rsid w:val="00B42E3E"/>
    <w:rsid w:val="00B611AB"/>
    <w:rsid w:val="00B73C25"/>
    <w:rsid w:val="00B82E07"/>
    <w:rsid w:val="00B85535"/>
    <w:rsid w:val="00B91790"/>
    <w:rsid w:val="00BA7A1A"/>
    <w:rsid w:val="00BB31B7"/>
    <w:rsid w:val="00BB5F98"/>
    <w:rsid w:val="00BC4247"/>
    <w:rsid w:val="00BC67C0"/>
    <w:rsid w:val="00BC772D"/>
    <w:rsid w:val="00BD1B85"/>
    <w:rsid w:val="00C149A7"/>
    <w:rsid w:val="00C14D51"/>
    <w:rsid w:val="00C150E6"/>
    <w:rsid w:val="00C422AE"/>
    <w:rsid w:val="00C455FF"/>
    <w:rsid w:val="00C63566"/>
    <w:rsid w:val="00C66191"/>
    <w:rsid w:val="00C70C03"/>
    <w:rsid w:val="00C86227"/>
    <w:rsid w:val="00C865A0"/>
    <w:rsid w:val="00C93B06"/>
    <w:rsid w:val="00C954AE"/>
    <w:rsid w:val="00CA5963"/>
    <w:rsid w:val="00CB2E8D"/>
    <w:rsid w:val="00CB6E3F"/>
    <w:rsid w:val="00CE062B"/>
    <w:rsid w:val="00CF3799"/>
    <w:rsid w:val="00D044AE"/>
    <w:rsid w:val="00D12BDF"/>
    <w:rsid w:val="00D15E9E"/>
    <w:rsid w:val="00D249F1"/>
    <w:rsid w:val="00D26947"/>
    <w:rsid w:val="00D2773E"/>
    <w:rsid w:val="00D311B7"/>
    <w:rsid w:val="00D35F1E"/>
    <w:rsid w:val="00D42485"/>
    <w:rsid w:val="00D45996"/>
    <w:rsid w:val="00D47819"/>
    <w:rsid w:val="00D757D7"/>
    <w:rsid w:val="00D803BA"/>
    <w:rsid w:val="00D80F08"/>
    <w:rsid w:val="00D9716E"/>
    <w:rsid w:val="00DA0767"/>
    <w:rsid w:val="00DA5D5C"/>
    <w:rsid w:val="00DB1EB5"/>
    <w:rsid w:val="00DC1572"/>
    <w:rsid w:val="00DC7436"/>
    <w:rsid w:val="00DD1A4F"/>
    <w:rsid w:val="00DD7AA5"/>
    <w:rsid w:val="00E05054"/>
    <w:rsid w:val="00E167B8"/>
    <w:rsid w:val="00E16F95"/>
    <w:rsid w:val="00E26643"/>
    <w:rsid w:val="00E67E6C"/>
    <w:rsid w:val="00E77072"/>
    <w:rsid w:val="00E822A5"/>
    <w:rsid w:val="00E862C3"/>
    <w:rsid w:val="00E8681A"/>
    <w:rsid w:val="00E96E65"/>
    <w:rsid w:val="00EA2F69"/>
    <w:rsid w:val="00EA662D"/>
    <w:rsid w:val="00EA7BC6"/>
    <w:rsid w:val="00EB0E01"/>
    <w:rsid w:val="00ED4174"/>
    <w:rsid w:val="00EF0D46"/>
    <w:rsid w:val="00EF2ABA"/>
    <w:rsid w:val="00F030AA"/>
    <w:rsid w:val="00F07758"/>
    <w:rsid w:val="00F12FF3"/>
    <w:rsid w:val="00F159EE"/>
    <w:rsid w:val="00F24400"/>
    <w:rsid w:val="00F342ED"/>
    <w:rsid w:val="00F35B71"/>
    <w:rsid w:val="00F528DF"/>
    <w:rsid w:val="00F53653"/>
    <w:rsid w:val="00F56568"/>
    <w:rsid w:val="00F63CC5"/>
    <w:rsid w:val="00F64C9C"/>
    <w:rsid w:val="00F90482"/>
    <w:rsid w:val="00F9639A"/>
    <w:rsid w:val="00FA17BE"/>
    <w:rsid w:val="00FA2C14"/>
    <w:rsid w:val="00FB3A12"/>
    <w:rsid w:val="00FC1B52"/>
    <w:rsid w:val="00FD0BDD"/>
    <w:rsid w:val="00FD1260"/>
    <w:rsid w:val="00FE47D9"/>
    <w:rsid w:val="00FF1D9A"/>
    <w:rsid w:val="00FF54D7"/>
    <w:rsid w:val="00FF6887"/>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486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rsid w:val="00EA2F69"/>
    <w:pPr>
      <w:keepNext/>
      <w:keepLines/>
      <w:spacing w:after="152" w:line="265" w:lineRule="auto"/>
      <w:ind w:left="10" w:right="2" w:hanging="10"/>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0D5E76"/>
    <w:pPr>
      <w:keepNext/>
      <w:keepLines/>
      <w:spacing w:after="181" w:line="360" w:lineRule="auto"/>
      <w:jc w:val="both"/>
      <w:outlineLvl w:val="2"/>
    </w:pPr>
    <w:rPr>
      <w:rFonts w:ascii="Arial" w:eastAsia="Times New Roman" w:hAnsi="Arial" w:cs="Arial"/>
      <w:b/>
      <w:bCs/>
      <w:color w:val="000000"/>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EA2F69"/>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0D5E76"/>
    <w:rPr>
      <w:rFonts w:ascii="Arial" w:eastAsia="Times New Roman" w:hAnsi="Arial" w:cs="Arial"/>
      <w:b/>
      <w:bCs/>
      <w:color w:val="000000"/>
      <w:u w:color="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paragraph" w:styleId="Title">
    <w:name w:val="Title"/>
    <w:basedOn w:val="Normal"/>
    <w:next w:val="Normal"/>
    <w:link w:val="TitleChar"/>
    <w:uiPriority w:val="10"/>
    <w:qFormat/>
    <w:rsid w:val="00466477"/>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466477"/>
    <w:rPr>
      <w:rFonts w:asciiTheme="majorHAnsi" w:eastAsiaTheme="majorEastAsia" w:hAnsiTheme="majorHAnsi" w:cstheme="majorBidi"/>
      <w:spacing w:val="-10"/>
      <w:kern w:val="28"/>
      <w:sz w:val="56"/>
      <w:szCs w:val="56"/>
      <w:lang w:eastAsia="en-US"/>
    </w:rPr>
  </w:style>
  <w:style w:type="paragraph" w:customStyle="1" w:styleId="p1">
    <w:name w:val="p1"/>
    <w:basedOn w:val="Normal"/>
    <w:rsid w:val="00466477"/>
    <w:pPr>
      <w:spacing w:after="0" w:line="240" w:lineRule="auto"/>
    </w:pPr>
    <w:rPr>
      <w:rFonts w:ascii="Helvetica" w:eastAsia="Times New Roman" w:hAnsi="Helvetica" w:cs="Times New Roman"/>
      <w:color w:val="000000"/>
      <w:kern w:val="0"/>
      <w:sz w:val="60"/>
      <w:szCs w:val="60"/>
      <w:lang w:eastAsia="en-GB"/>
    </w:rPr>
  </w:style>
  <w:style w:type="paragraph" w:styleId="NormalWeb">
    <w:name w:val="Normal (Web)"/>
    <w:basedOn w:val="Normal"/>
    <w:uiPriority w:val="99"/>
    <w:unhideWhenUsed/>
    <w:rsid w:val="007D286C"/>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font-claude-response-body">
    <w:name w:val="font-claude-response-body"/>
    <w:basedOn w:val="Normal"/>
    <w:rsid w:val="007D286C"/>
    <w:pPr>
      <w:spacing w:before="100" w:beforeAutospacing="1" w:after="100" w:afterAutospacing="1" w:line="240" w:lineRule="auto"/>
    </w:pPr>
    <w:rPr>
      <w:rFonts w:ascii="Times New Roman" w:eastAsia="Times New Roman" w:hAnsi="Times New Roman" w:cs="Times New Roman"/>
      <w:kern w:val="0"/>
      <w:sz w:val="24"/>
      <w:szCs w:val="24"/>
      <w:lang w:val="en-IN" w:eastAsia="en-IN"/>
    </w:rPr>
  </w:style>
  <w:style w:type="character" w:styleId="Strong">
    <w:name w:val="Strong"/>
    <w:basedOn w:val="DefaultParagraphFont"/>
    <w:uiPriority w:val="22"/>
    <w:qFormat/>
    <w:rsid w:val="007D286C"/>
    <w:rPr>
      <w:b/>
      <w:bCs/>
    </w:rPr>
  </w:style>
  <w:style w:type="character" w:customStyle="1" w:styleId="cursor-pointer">
    <w:name w:val="cursor-pointer"/>
    <w:basedOn w:val="DefaultParagraphFont"/>
    <w:rsid w:val="007D286C"/>
  </w:style>
  <w:style w:type="character" w:styleId="CommentReference">
    <w:name w:val="annotation reference"/>
    <w:basedOn w:val="DefaultParagraphFont"/>
    <w:uiPriority w:val="99"/>
    <w:semiHidden/>
    <w:unhideWhenUsed/>
    <w:rsid w:val="007D286C"/>
    <w:rPr>
      <w:sz w:val="16"/>
      <w:szCs w:val="16"/>
    </w:rPr>
  </w:style>
  <w:style w:type="paragraph" w:styleId="CommentText">
    <w:name w:val="annotation text"/>
    <w:basedOn w:val="Normal"/>
    <w:link w:val="CommentTextChar"/>
    <w:uiPriority w:val="99"/>
    <w:unhideWhenUsed/>
    <w:rsid w:val="007D286C"/>
    <w:pPr>
      <w:spacing w:line="240" w:lineRule="auto"/>
    </w:pPr>
    <w:rPr>
      <w:rFonts w:eastAsiaTheme="minorHAnsi"/>
      <w:sz w:val="20"/>
      <w:szCs w:val="25"/>
      <w:lang w:eastAsia="en-US" w:bidi="th-TH"/>
    </w:rPr>
  </w:style>
  <w:style w:type="character" w:customStyle="1" w:styleId="CommentTextChar">
    <w:name w:val="Comment Text Char"/>
    <w:basedOn w:val="DefaultParagraphFont"/>
    <w:link w:val="CommentText"/>
    <w:uiPriority w:val="99"/>
    <w:rsid w:val="007D286C"/>
    <w:rPr>
      <w:rFonts w:eastAsiaTheme="minorHAnsi"/>
      <w:sz w:val="20"/>
      <w:szCs w:val="25"/>
      <w:lang w:eastAsia="en-US" w:bidi="th-TH"/>
    </w:rPr>
  </w:style>
  <w:style w:type="character" w:styleId="Hyperlink">
    <w:name w:val="Hyperlink"/>
    <w:basedOn w:val="DefaultParagraphFont"/>
    <w:uiPriority w:val="99"/>
    <w:unhideWhenUsed/>
    <w:rsid w:val="00E862C3"/>
    <w:rPr>
      <w:color w:val="0563C1" w:themeColor="hyperlink"/>
      <w:u w:val="single"/>
    </w:rPr>
  </w:style>
  <w:style w:type="paragraph" w:styleId="TOCHeading">
    <w:name w:val="TOC Heading"/>
    <w:basedOn w:val="Heading1"/>
    <w:next w:val="Normal"/>
    <w:uiPriority w:val="39"/>
    <w:unhideWhenUsed/>
    <w:qFormat/>
    <w:rsid w:val="00EA2F69"/>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EA2F69"/>
    <w:pPr>
      <w:spacing w:after="100"/>
      <w:ind w:left="220"/>
    </w:pPr>
  </w:style>
  <w:style w:type="paragraph" w:styleId="TOC3">
    <w:name w:val="toc 3"/>
    <w:basedOn w:val="Normal"/>
    <w:next w:val="Normal"/>
    <w:autoRedefine/>
    <w:uiPriority w:val="39"/>
    <w:unhideWhenUsed/>
    <w:rsid w:val="00EA2F69"/>
    <w:pPr>
      <w:spacing w:after="100"/>
      <w:ind w:left="440"/>
    </w:pPr>
  </w:style>
  <w:style w:type="character" w:styleId="FollowedHyperlink">
    <w:name w:val="FollowedHyperlink"/>
    <w:basedOn w:val="DefaultParagraphFont"/>
    <w:uiPriority w:val="99"/>
    <w:semiHidden/>
    <w:unhideWhenUsed/>
    <w:rsid w:val="00BA7A1A"/>
    <w:rPr>
      <w:color w:val="954F72" w:themeColor="followedHyperlink"/>
      <w:u w:val="single"/>
    </w:rPr>
  </w:style>
  <w:style w:type="character" w:styleId="UnresolvedMention">
    <w:name w:val="Unresolved Mention"/>
    <w:basedOn w:val="DefaultParagraphFont"/>
    <w:uiPriority w:val="99"/>
    <w:semiHidden/>
    <w:unhideWhenUsed/>
    <w:rsid w:val="00BA7A1A"/>
    <w:rPr>
      <w:color w:val="605E5C"/>
      <w:shd w:val="clear" w:color="auto" w:fill="E1DFDD"/>
    </w:rPr>
  </w:style>
  <w:style w:type="paragraph" w:styleId="Header">
    <w:name w:val="header"/>
    <w:basedOn w:val="Normal"/>
    <w:link w:val="HeaderChar"/>
    <w:uiPriority w:val="99"/>
    <w:unhideWhenUsed/>
    <w:rsid w:val="008966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62A"/>
  </w:style>
  <w:style w:type="paragraph" w:styleId="ListParagraph">
    <w:name w:val="List Paragraph"/>
    <w:basedOn w:val="Normal"/>
    <w:uiPriority w:val="34"/>
    <w:qFormat/>
    <w:rsid w:val="00AC294F"/>
    <w:pPr>
      <w:ind w:left="720"/>
      <w:contextualSpacing/>
    </w:pPr>
  </w:style>
  <w:style w:type="paragraph" w:styleId="Caption">
    <w:name w:val="caption"/>
    <w:basedOn w:val="Normal"/>
    <w:next w:val="Normal"/>
    <w:uiPriority w:val="35"/>
    <w:unhideWhenUsed/>
    <w:qFormat/>
    <w:rsid w:val="006343D6"/>
    <w:pPr>
      <w:spacing w:after="200" w:line="240" w:lineRule="auto"/>
    </w:pPr>
    <w:rPr>
      <w:i/>
      <w:iCs/>
      <w:color w:val="44546A" w:themeColor="text2"/>
      <w:sz w:val="18"/>
      <w:szCs w:val="18"/>
    </w:rPr>
  </w:style>
  <w:style w:type="table" w:styleId="GridTable5Dark-Accent1">
    <w:name w:val="Grid Table 5 Dark Accent 1"/>
    <w:basedOn w:val="TableNormal"/>
    <w:uiPriority w:val="50"/>
    <w:rsid w:val="006B09A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1">
    <w:name w:val="Grid Table 4 Accent 1"/>
    <w:basedOn w:val="TableNormal"/>
    <w:uiPriority w:val="49"/>
    <w:rsid w:val="006B09A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ableofFigures">
    <w:name w:val="table of figures"/>
    <w:basedOn w:val="Normal"/>
    <w:next w:val="Normal"/>
    <w:uiPriority w:val="99"/>
    <w:unhideWhenUsed/>
    <w:rsid w:val="002C71D5"/>
    <w:pPr>
      <w:spacing w:after="0"/>
    </w:pPr>
  </w:style>
  <w:style w:type="character" w:styleId="Emphasis">
    <w:name w:val="Emphasis"/>
    <w:basedOn w:val="DefaultParagraphFont"/>
    <w:uiPriority w:val="20"/>
    <w:qFormat/>
    <w:rsid w:val="000354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046087">
      <w:bodyDiv w:val="1"/>
      <w:marLeft w:val="0"/>
      <w:marRight w:val="0"/>
      <w:marTop w:val="0"/>
      <w:marBottom w:val="0"/>
      <w:divBdr>
        <w:top w:val="none" w:sz="0" w:space="0" w:color="auto"/>
        <w:left w:val="none" w:sz="0" w:space="0" w:color="auto"/>
        <w:bottom w:val="none" w:sz="0" w:space="0" w:color="auto"/>
        <w:right w:val="none" w:sz="0" w:space="0" w:color="auto"/>
      </w:divBdr>
    </w:div>
    <w:div w:id="90665034">
      <w:bodyDiv w:val="1"/>
      <w:marLeft w:val="0"/>
      <w:marRight w:val="0"/>
      <w:marTop w:val="0"/>
      <w:marBottom w:val="0"/>
      <w:divBdr>
        <w:top w:val="none" w:sz="0" w:space="0" w:color="auto"/>
        <w:left w:val="none" w:sz="0" w:space="0" w:color="auto"/>
        <w:bottom w:val="none" w:sz="0" w:space="0" w:color="auto"/>
        <w:right w:val="none" w:sz="0" w:space="0" w:color="auto"/>
      </w:divBdr>
    </w:div>
    <w:div w:id="9479341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hyperlink" Target="https://www.gov.uk/government/publications/major-conditions-strategy-case-for-change-and-our-strategic-framework" TargetMode="External"/><Relationship Id="rId26" Type="http://schemas.openxmlformats.org/officeDocument/2006/relationships/hyperlink" Target="https://www.instituteofhealthequity.org/resources-reports/fair-society-healthy-lives-the-marmot-review" TargetMode="External"/><Relationship Id="rId39" Type="http://schemas.openxmlformats.org/officeDocument/2006/relationships/hyperlink" Target="https://www.who.int/publications/i/item/WHO-IER-CSDH-08.1" TargetMode="External"/><Relationship Id="rId21" Type="http://schemas.openxmlformats.org/officeDocument/2006/relationships/hyperlink" Target="https://www.legislation.gov.uk/ukpga/2010/15/contents" TargetMode="External"/><Relationship Id="rId34" Type="http://schemas.openxmlformats.org/officeDocument/2006/relationships/hyperlink" Target="https://www.ons.gov.uk/peoplepopulationandcommunity/culturalidentity/ethnicity/bulletins/ethnicgroupenglandandwales/census2021"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www.nice.org.uk/guidance/ng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hyperlink" Target="https://www.nhsrho.org/wp-content/uploads/2023/05/RHO-Rapid-Review-Final-Report_.pdf" TargetMode="External"/><Relationship Id="rId32" Type="http://schemas.openxmlformats.org/officeDocument/2006/relationships/hyperlink" Target="https://digital.nhs.uk/data-and-information/publications/statistical/national-diabetes-audit/report-1-cp-and-tt-data-release-2022-23" TargetMode="External"/><Relationship Id="rId37" Type="http://schemas.openxmlformats.org/officeDocument/2006/relationships/hyperlink" Target="https://www.gov.uk/government/publications/health-matters-preventing-type-2-diabetes/health-matters-preventing-type-2-diabetes" TargetMode="External"/><Relationship Id="rId40" Type="http://schemas.openxmlformats.org/officeDocument/2006/relationships/image" Target="media/image7.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idf.org/news-and-resources/resources/idf-diabetes-atlas-2021/" TargetMode="External"/><Relationship Id="rId28" Type="http://schemas.openxmlformats.org/officeDocument/2006/relationships/hyperlink" Target="https://www.nice.org.uk/guidance/ph38" TargetMode="External"/><Relationship Id="rId36" Type="http://schemas.openxmlformats.org/officeDocument/2006/relationships/hyperlink" Target="https://eppi.ioe.ac.uk/cms/Default.aspx?tabid=2914" TargetMode="External"/><Relationship Id="rId10" Type="http://schemas.openxmlformats.org/officeDocument/2006/relationships/image" Target="media/image2.png"/><Relationship Id="rId19" Type="http://schemas.openxmlformats.org/officeDocument/2006/relationships/hyperlink" Target="https://www.diabetes.org.uk/for-professionals/improving-care/tackling-inequality-commission" TargetMode="External"/><Relationship Id="rId31" Type="http://schemas.openxmlformats.org/officeDocument/2006/relationships/hyperlink" Target="https://www.england.nhs.uk/about/equality/equality-hub/national-healthcare-inequalities-improvement-programme/core20plus5/"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customXml" Target="ink/ink4.xml"/><Relationship Id="rId22" Type="http://schemas.openxmlformats.org/officeDocument/2006/relationships/hyperlink" Target="https://docs.edtechhub.org/lib/2F9DRA2K" TargetMode="External"/><Relationship Id="rId27" Type="http://schemas.openxmlformats.org/officeDocument/2006/relationships/hyperlink" Target="https://www.instituteofhealthequity.org/resources-reports/marmot-review-10-years-on" TargetMode="External"/><Relationship Id="rId30" Type="http://schemas.openxmlformats.org/officeDocument/2006/relationships/hyperlink" Target="https://www.longtermplan.nhs.uk" TargetMode="External"/><Relationship Id="rId35" Type="http://schemas.openxmlformats.org/officeDocument/2006/relationships/hyperlink" Target="https://www.ons.gov.uk/peoplepopulationandcommunity/healthandsocialcare/healthinequalities/bulletins/riskfactorsforprediabetesandundiagnosedtype2diabetesinengland/2013to2019" TargetMode="External"/><Relationship Id="rId43"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hyperlink" Target="https://www.ncbi.nlm.nih.gov/books/NBK569590/" TargetMode="External"/><Relationship Id="rId33" Type="http://schemas.openxmlformats.org/officeDocument/2006/relationships/hyperlink" Target="https://nhsrho.org/research/the-power-of-language-a-consultation-report-on-the-use-of-collective-terminology-at-the-nhs-race-health-observatory/" TargetMode="External"/><Relationship Id="rId38" Type="http://schemas.openxmlformats.org/officeDocument/2006/relationships/hyperlink" Target="https://www.gov.uk/government/publications/covid-19-review-of-disparities-in-risks-and-outcomes" TargetMode="External"/><Relationship Id="rId20" Type="http://schemas.openxmlformats.org/officeDocument/2006/relationships/hyperlink" Target="https://www.diabetes.org.uk/about-us/about-the-charity/our-strategy/statistics" TargetMode="External"/><Relationship Id="rId41"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0 112 24575,'0'-112'0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47C19-2763-4CFF-9964-475942F69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78</Pages>
  <Words>25320</Words>
  <Characters>144330</Characters>
  <Application>Microsoft Office Word</Application>
  <DocSecurity>0</DocSecurity>
  <Lines>1202</Lines>
  <Paragraphs>338</Paragraphs>
  <ScaleCrop>false</ScaleCrop>
  <Company/>
  <LinksUpToDate>false</LinksUpToDate>
  <CharactersWithSpaces>169312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2026-06-12T15:05:00Z</dcterms:created>
  <dcterms:modified xsi:type="dcterms:W3CDTF">2026-06-12T15:45:00Z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b14678dd-7d80-4633-a45c-17aca219ec96</vt:lpwstr>
  </property>
</Properties>
</file>