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BA1140" w14:textId="3DA0D17C" w:rsidR="00DA3E47" w:rsidRPr="00806B3B" w:rsidRDefault="00977D8A" w:rsidP="00977D8A">
      <w:pPr>
        <w:jc w:val="center"/>
        <w:rPr>
          <w:rFonts w:ascii="Times New Roman" w:hAnsi="Times New Roman" w:cs="Times New Roman"/>
          <w:sz w:val="24"/>
          <w:szCs w:val="24"/>
        </w:rPr>
      </w:pPr>
      <w:r w:rsidRPr="00806B3B">
        <w:rPr>
          <w:rFonts w:ascii="Times New Roman" w:hAnsi="Times New Roman" w:cs="Times New Roman"/>
          <w:sz w:val="24"/>
          <w:szCs w:val="24"/>
        </w:rPr>
        <w:t>LCBB4002 Business Management</w:t>
      </w:r>
    </w:p>
    <w:p w14:paraId="5D9163AD" w14:textId="6F5A53CF" w:rsidR="00977D8A" w:rsidRPr="00806B3B" w:rsidRDefault="00977D8A" w:rsidP="00977D8A">
      <w:pPr>
        <w:jc w:val="center"/>
        <w:rPr>
          <w:rFonts w:ascii="Times New Roman" w:hAnsi="Times New Roman" w:cs="Times New Roman"/>
          <w:sz w:val="24"/>
          <w:szCs w:val="24"/>
        </w:rPr>
      </w:pPr>
    </w:p>
    <w:p w14:paraId="774E14B9" w14:textId="097DE609" w:rsidR="00977D8A" w:rsidRPr="00806B3B" w:rsidRDefault="00977D8A" w:rsidP="00977D8A">
      <w:pPr>
        <w:jc w:val="center"/>
        <w:rPr>
          <w:rFonts w:ascii="Times New Roman" w:hAnsi="Times New Roman" w:cs="Times New Roman"/>
          <w:sz w:val="24"/>
          <w:szCs w:val="24"/>
        </w:rPr>
      </w:pPr>
    </w:p>
    <w:p w14:paraId="3DEE9F3E" w14:textId="065FDB4E" w:rsidR="00977D8A" w:rsidRPr="00806B3B" w:rsidRDefault="00977D8A" w:rsidP="00977D8A">
      <w:pPr>
        <w:jc w:val="center"/>
        <w:rPr>
          <w:rFonts w:ascii="Times New Roman" w:hAnsi="Times New Roman" w:cs="Times New Roman"/>
          <w:sz w:val="24"/>
          <w:szCs w:val="24"/>
        </w:rPr>
      </w:pPr>
    </w:p>
    <w:p w14:paraId="266CE148" w14:textId="77777777" w:rsidR="00977D8A" w:rsidRPr="00806B3B" w:rsidRDefault="00977D8A" w:rsidP="00977D8A">
      <w:pPr>
        <w:jc w:val="center"/>
        <w:rPr>
          <w:rFonts w:ascii="Times New Roman" w:hAnsi="Times New Roman" w:cs="Times New Roman"/>
          <w:sz w:val="24"/>
          <w:szCs w:val="24"/>
        </w:rPr>
      </w:pPr>
    </w:p>
    <w:p w14:paraId="67C44DBB" w14:textId="70E6F41E" w:rsidR="00977D8A" w:rsidRPr="00806B3B" w:rsidRDefault="00977D8A" w:rsidP="00977D8A">
      <w:pPr>
        <w:jc w:val="center"/>
        <w:rPr>
          <w:rFonts w:ascii="Times New Roman" w:hAnsi="Times New Roman" w:cs="Times New Roman"/>
          <w:sz w:val="24"/>
          <w:szCs w:val="24"/>
        </w:rPr>
      </w:pPr>
    </w:p>
    <w:p w14:paraId="67302665" w14:textId="3A0B457F" w:rsidR="00977D8A" w:rsidRPr="00806B3B" w:rsidRDefault="00977D8A" w:rsidP="00977D8A">
      <w:pPr>
        <w:jc w:val="center"/>
        <w:rPr>
          <w:rFonts w:ascii="Times New Roman" w:hAnsi="Times New Roman" w:cs="Times New Roman"/>
          <w:i/>
          <w:iCs/>
          <w:sz w:val="28"/>
          <w:szCs w:val="28"/>
        </w:rPr>
      </w:pPr>
      <w:r w:rsidRPr="00806B3B">
        <w:rPr>
          <w:rFonts w:ascii="Times New Roman" w:hAnsi="Times New Roman" w:cs="Times New Roman"/>
          <w:i/>
          <w:iCs/>
          <w:sz w:val="28"/>
          <w:szCs w:val="28"/>
        </w:rPr>
        <w:t>Community engagement in prevention of COVID 19 and pandemic</w:t>
      </w:r>
    </w:p>
    <w:p w14:paraId="5D75F7C5" w14:textId="11AF2A38" w:rsidR="00977D8A" w:rsidRPr="00806B3B" w:rsidRDefault="00977D8A" w:rsidP="00977D8A">
      <w:pPr>
        <w:jc w:val="center"/>
        <w:rPr>
          <w:rFonts w:ascii="Times New Roman" w:hAnsi="Times New Roman" w:cs="Times New Roman"/>
          <w:sz w:val="24"/>
          <w:szCs w:val="24"/>
        </w:rPr>
      </w:pPr>
    </w:p>
    <w:p w14:paraId="07F35E2B" w14:textId="1E705776" w:rsidR="00977D8A" w:rsidRPr="00806B3B" w:rsidRDefault="00977D8A" w:rsidP="00977D8A">
      <w:pPr>
        <w:jc w:val="center"/>
        <w:rPr>
          <w:rFonts w:ascii="Times New Roman" w:hAnsi="Times New Roman" w:cs="Times New Roman"/>
          <w:sz w:val="24"/>
          <w:szCs w:val="24"/>
        </w:rPr>
      </w:pPr>
    </w:p>
    <w:p w14:paraId="56D81A6A" w14:textId="2CB157AE" w:rsidR="00977D8A" w:rsidRPr="00806B3B" w:rsidRDefault="00977D8A" w:rsidP="00977D8A">
      <w:pPr>
        <w:jc w:val="center"/>
        <w:rPr>
          <w:rFonts w:ascii="Times New Roman" w:hAnsi="Times New Roman" w:cs="Times New Roman"/>
          <w:sz w:val="24"/>
          <w:szCs w:val="24"/>
        </w:rPr>
      </w:pPr>
    </w:p>
    <w:p w14:paraId="2A7D7745" w14:textId="166D695D" w:rsidR="00977D8A" w:rsidRPr="00806B3B" w:rsidRDefault="00977D8A" w:rsidP="00977D8A">
      <w:pPr>
        <w:jc w:val="center"/>
        <w:rPr>
          <w:rFonts w:ascii="Times New Roman" w:hAnsi="Times New Roman" w:cs="Times New Roman"/>
          <w:sz w:val="24"/>
          <w:szCs w:val="24"/>
        </w:rPr>
      </w:pPr>
    </w:p>
    <w:p w14:paraId="705C837B" w14:textId="358FAB8A" w:rsidR="00977D8A" w:rsidRDefault="00977D8A" w:rsidP="00806B3B">
      <w:pPr>
        <w:rPr>
          <w:rFonts w:ascii="Times New Roman" w:hAnsi="Times New Roman" w:cs="Times New Roman"/>
          <w:sz w:val="24"/>
          <w:szCs w:val="24"/>
        </w:rPr>
      </w:pPr>
    </w:p>
    <w:p w14:paraId="63B48DDE" w14:textId="20B37B75" w:rsidR="00806B3B" w:rsidRDefault="00806B3B" w:rsidP="00806B3B">
      <w:pPr>
        <w:rPr>
          <w:rFonts w:ascii="Times New Roman" w:hAnsi="Times New Roman" w:cs="Times New Roman"/>
          <w:sz w:val="24"/>
          <w:szCs w:val="24"/>
        </w:rPr>
      </w:pPr>
    </w:p>
    <w:p w14:paraId="2093EA02" w14:textId="77777777" w:rsidR="00806B3B" w:rsidRPr="00806B3B" w:rsidRDefault="00806B3B" w:rsidP="00806B3B">
      <w:pPr>
        <w:rPr>
          <w:rFonts w:ascii="Times New Roman" w:hAnsi="Times New Roman" w:cs="Times New Roman"/>
          <w:sz w:val="24"/>
          <w:szCs w:val="24"/>
        </w:rPr>
      </w:pPr>
    </w:p>
    <w:p w14:paraId="61B7EDAD" w14:textId="77777777" w:rsidR="00977D8A" w:rsidRPr="00806B3B" w:rsidRDefault="00977D8A" w:rsidP="00977D8A">
      <w:pPr>
        <w:jc w:val="center"/>
        <w:rPr>
          <w:rFonts w:ascii="Times New Roman" w:hAnsi="Times New Roman" w:cs="Times New Roman"/>
          <w:sz w:val="24"/>
          <w:szCs w:val="24"/>
        </w:rPr>
      </w:pPr>
    </w:p>
    <w:p w14:paraId="5AD4EC8B" w14:textId="05A55206" w:rsidR="00977D8A" w:rsidRPr="00806B3B" w:rsidRDefault="00977D8A" w:rsidP="00977D8A">
      <w:pPr>
        <w:spacing w:line="360" w:lineRule="auto"/>
        <w:rPr>
          <w:rFonts w:ascii="Times New Roman" w:hAnsi="Times New Roman" w:cs="Times New Roman"/>
          <w:sz w:val="24"/>
          <w:szCs w:val="24"/>
        </w:rPr>
      </w:pPr>
      <w:r w:rsidRPr="00806B3B">
        <w:rPr>
          <w:rFonts w:ascii="Times New Roman" w:hAnsi="Times New Roman" w:cs="Times New Roman"/>
          <w:sz w:val="24"/>
          <w:szCs w:val="24"/>
        </w:rPr>
        <w:t>Date: September, 2021</w:t>
      </w:r>
    </w:p>
    <w:p w14:paraId="0205FDB6" w14:textId="77777777" w:rsidR="00977D8A" w:rsidRPr="00806B3B" w:rsidRDefault="00977D8A" w:rsidP="00977D8A">
      <w:pPr>
        <w:spacing w:line="360" w:lineRule="auto"/>
        <w:jc w:val="both"/>
        <w:rPr>
          <w:rFonts w:ascii="Times New Roman" w:hAnsi="Times New Roman" w:cs="Times New Roman"/>
          <w:sz w:val="24"/>
          <w:szCs w:val="24"/>
        </w:rPr>
      </w:pPr>
      <w:r w:rsidRPr="00806B3B">
        <w:rPr>
          <w:rFonts w:ascii="Times New Roman" w:hAnsi="Times New Roman" w:cs="Times New Roman"/>
          <w:sz w:val="24"/>
          <w:szCs w:val="24"/>
        </w:rPr>
        <w:t>Module Coordinator/ Lecturer: Dr. Molly Jack</w:t>
      </w:r>
    </w:p>
    <w:p w14:paraId="105EF6B7" w14:textId="49685356" w:rsidR="00977D8A" w:rsidRPr="00806B3B" w:rsidRDefault="00977D8A" w:rsidP="00977D8A">
      <w:pPr>
        <w:spacing w:line="360" w:lineRule="auto"/>
        <w:jc w:val="both"/>
        <w:rPr>
          <w:rFonts w:ascii="Times New Roman" w:hAnsi="Times New Roman" w:cs="Times New Roman"/>
          <w:sz w:val="24"/>
          <w:szCs w:val="24"/>
        </w:rPr>
      </w:pPr>
      <w:r w:rsidRPr="00806B3B">
        <w:rPr>
          <w:rFonts w:ascii="Times New Roman" w:hAnsi="Times New Roman" w:cs="Times New Roman"/>
          <w:sz w:val="24"/>
          <w:szCs w:val="24"/>
        </w:rPr>
        <w:t xml:space="preserve">Student: </w:t>
      </w:r>
      <w:proofErr w:type="spellStart"/>
      <w:r w:rsidRPr="00806B3B">
        <w:rPr>
          <w:rFonts w:ascii="Times New Roman" w:hAnsi="Times New Roman" w:cs="Times New Roman"/>
          <w:sz w:val="24"/>
          <w:szCs w:val="24"/>
        </w:rPr>
        <w:t>Ionut</w:t>
      </w:r>
      <w:proofErr w:type="spellEnd"/>
      <w:r w:rsidRPr="00806B3B">
        <w:rPr>
          <w:rFonts w:ascii="Times New Roman" w:hAnsi="Times New Roman" w:cs="Times New Roman"/>
          <w:sz w:val="24"/>
          <w:szCs w:val="24"/>
        </w:rPr>
        <w:t xml:space="preserve"> Constantin</w:t>
      </w:r>
    </w:p>
    <w:p w14:paraId="66D89903" w14:textId="5E48C698" w:rsidR="00977D8A" w:rsidRPr="00806B3B" w:rsidRDefault="00977D8A" w:rsidP="00977D8A">
      <w:pPr>
        <w:spacing w:line="360" w:lineRule="auto"/>
        <w:rPr>
          <w:rFonts w:ascii="Times New Roman" w:hAnsi="Times New Roman" w:cs="Times New Roman"/>
          <w:sz w:val="24"/>
          <w:szCs w:val="24"/>
        </w:rPr>
      </w:pPr>
    </w:p>
    <w:p w14:paraId="28F7B007" w14:textId="4128CB38" w:rsidR="00977D8A" w:rsidRPr="00806B3B" w:rsidRDefault="00977D8A" w:rsidP="00977D8A">
      <w:pPr>
        <w:spacing w:line="360" w:lineRule="auto"/>
        <w:rPr>
          <w:rFonts w:ascii="Times New Roman" w:hAnsi="Times New Roman" w:cs="Times New Roman"/>
          <w:sz w:val="24"/>
          <w:szCs w:val="24"/>
        </w:rPr>
      </w:pPr>
    </w:p>
    <w:p w14:paraId="5508F28B" w14:textId="534D981C" w:rsidR="00977D8A" w:rsidRPr="00806B3B" w:rsidRDefault="00977D8A" w:rsidP="00977D8A">
      <w:pPr>
        <w:spacing w:line="360" w:lineRule="auto"/>
        <w:rPr>
          <w:rFonts w:ascii="Times New Roman" w:hAnsi="Times New Roman" w:cs="Times New Roman"/>
          <w:sz w:val="24"/>
          <w:szCs w:val="24"/>
        </w:rPr>
      </w:pPr>
    </w:p>
    <w:p w14:paraId="62D14D4D" w14:textId="128F68BA" w:rsidR="00977D8A" w:rsidRPr="00806B3B" w:rsidRDefault="00977D8A" w:rsidP="00977D8A">
      <w:pPr>
        <w:spacing w:line="360" w:lineRule="auto"/>
        <w:rPr>
          <w:rFonts w:ascii="Times New Roman" w:hAnsi="Times New Roman" w:cs="Times New Roman"/>
          <w:sz w:val="24"/>
          <w:szCs w:val="24"/>
        </w:rPr>
      </w:pPr>
    </w:p>
    <w:p w14:paraId="22B174AC" w14:textId="0CD5C0CE" w:rsidR="00977D8A" w:rsidRPr="00806B3B" w:rsidRDefault="00977D8A" w:rsidP="00977D8A">
      <w:pPr>
        <w:spacing w:line="360" w:lineRule="auto"/>
        <w:rPr>
          <w:rFonts w:ascii="Times New Roman" w:hAnsi="Times New Roman" w:cs="Times New Roman"/>
          <w:sz w:val="24"/>
          <w:szCs w:val="24"/>
        </w:rPr>
      </w:pPr>
    </w:p>
    <w:p w14:paraId="7F525BE6" w14:textId="68094B0E" w:rsidR="00977D8A" w:rsidRPr="00806B3B" w:rsidRDefault="009F2D1E" w:rsidP="009F2D1E">
      <w:pPr>
        <w:spacing w:line="360" w:lineRule="auto"/>
        <w:ind w:firstLine="720"/>
        <w:jc w:val="both"/>
        <w:rPr>
          <w:rFonts w:ascii="Times New Roman" w:hAnsi="Times New Roman" w:cs="Times New Roman"/>
          <w:sz w:val="24"/>
          <w:szCs w:val="24"/>
        </w:rPr>
      </w:pPr>
      <w:r w:rsidRPr="00806B3B">
        <w:rPr>
          <w:rFonts w:ascii="Times New Roman" w:hAnsi="Times New Roman" w:cs="Times New Roman"/>
          <w:sz w:val="24"/>
          <w:szCs w:val="24"/>
        </w:rPr>
        <w:lastRenderedPageBreak/>
        <w:t xml:space="preserve">The interdisciplinary literature's uncritical approach to community makes the need for community perspectives on engagement problematic. Existing community engagement discussions minimize the complexities of community by treating it in the abstract </w:t>
      </w:r>
      <w:sdt>
        <w:sdtPr>
          <w:rPr>
            <w:rFonts w:ascii="Times New Roman" w:hAnsi="Times New Roman" w:cs="Times New Roman"/>
            <w:sz w:val="24"/>
            <w:szCs w:val="24"/>
          </w:rPr>
          <w:id w:val="-2018686969"/>
          <w:citation/>
        </w:sdtPr>
        <w:sdtEndPr/>
        <w:sdtContent>
          <w:r w:rsidRPr="00806B3B">
            <w:rPr>
              <w:rFonts w:ascii="Times New Roman" w:hAnsi="Times New Roman" w:cs="Times New Roman"/>
              <w:sz w:val="24"/>
              <w:szCs w:val="24"/>
            </w:rPr>
            <w:fldChar w:fldCharType="begin"/>
          </w:r>
          <w:r w:rsidRPr="00806B3B">
            <w:rPr>
              <w:rFonts w:ascii="Times New Roman" w:hAnsi="Times New Roman" w:cs="Times New Roman"/>
              <w:sz w:val="24"/>
              <w:szCs w:val="24"/>
            </w:rPr>
            <w:instrText xml:space="preserve"> CITATION Sar09 \l 1033 </w:instrText>
          </w:r>
          <w:r w:rsidRPr="00806B3B">
            <w:rPr>
              <w:rFonts w:ascii="Times New Roman" w:hAnsi="Times New Roman" w:cs="Times New Roman"/>
              <w:sz w:val="24"/>
              <w:szCs w:val="24"/>
            </w:rPr>
            <w:fldChar w:fldCharType="separate"/>
          </w:r>
          <w:r w:rsidRPr="00806B3B">
            <w:rPr>
              <w:rFonts w:ascii="Times New Roman" w:hAnsi="Times New Roman" w:cs="Times New Roman"/>
              <w:noProof/>
              <w:sz w:val="24"/>
              <w:szCs w:val="24"/>
            </w:rPr>
            <w:t>(Dempsey, 2009)</w:t>
          </w:r>
          <w:r w:rsidRPr="00806B3B">
            <w:rPr>
              <w:rFonts w:ascii="Times New Roman" w:hAnsi="Times New Roman" w:cs="Times New Roman"/>
              <w:sz w:val="24"/>
              <w:szCs w:val="24"/>
            </w:rPr>
            <w:fldChar w:fldCharType="end"/>
          </w:r>
        </w:sdtContent>
      </w:sdt>
      <w:r w:rsidRPr="00806B3B">
        <w:rPr>
          <w:rFonts w:ascii="Times New Roman" w:hAnsi="Times New Roman" w:cs="Times New Roman"/>
          <w:sz w:val="24"/>
          <w:szCs w:val="24"/>
        </w:rPr>
        <w:t xml:space="preserve">. Community engagement has been regarded as a critical component of previous outbreaks, such as Ebola. However, there is concern about the lack of community involvement and ‘bottom-up' approaches used in COVID-19 responses thus far. Identifying how community engagement approaches were used in previous epidemics may aid in more robust implementation of the COVID-19 response. Community engagement in health is important for achieving primary care and promoting people-centered services. It can help with sustainability of health interventions, health advocacy, improved service quality and satisfaction and contributing to the responsiveness and strengthening of health systems. Community engagement refers to the involvement and participation of individuals, groups, and structures within a community's social boundary or catchment area in decision-taking, planning, design, governance and even service delivery. It is used as a parent concept in conjunction with terms such as communication, social mobilization, participation, community action, and empowerment, with an emphasis on the agency of community members or groups, viewing them as active rather than passive participants </w:t>
      </w:r>
      <w:sdt>
        <w:sdtPr>
          <w:rPr>
            <w:rFonts w:ascii="Times New Roman" w:hAnsi="Times New Roman" w:cs="Times New Roman"/>
            <w:sz w:val="24"/>
            <w:szCs w:val="24"/>
          </w:rPr>
          <w:id w:val="-1081220178"/>
          <w:citation/>
        </w:sdtPr>
        <w:sdtEndPr/>
        <w:sdtContent>
          <w:r w:rsidRPr="00806B3B">
            <w:rPr>
              <w:rFonts w:ascii="Times New Roman" w:hAnsi="Times New Roman" w:cs="Times New Roman"/>
              <w:sz w:val="24"/>
              <w:szCs w:val="24"/>
            </w:rPr>
            <w:fldChar w:fldCharType="begin"/>
          </w:r>
          <w:r w:rsidRPr="00806B3B">
            <w:rPr>
              <w:rFonts w:ascii="Times New Roman" w:hAnsi="Times New Roman" w:cs="Times New Roman"/>
              <w:sz w:val="24"/>
              <w:szCs w:val="24"/>
            </w:rPr>
            <w:instrText xml:space="preserve"> CITATION Bry20 \l 1033 </w:instrText>
          </w:r>
          <w:r w:rsidRPr="00806B3B">
            <w:rPr>
              <w:rFonts w:ascii="Times New Roman" w:hAnsi="Times New Roman" w:cs="Times New Roman"/>
              <w:sz w:val="24"/>
              <w:szCs w:val="24"/>
            </w:rPr>
            <w:fldChar w:fldCharType="separate"/>
          </w:r>
          <w:r w:rsidRPr="00806B3B">
            <w:rPr>
              <w:rFonts w:ascii="Times New Roman" w:hAnsi="Times New Roman" w:cs="Times New Roman"/>
              <w:noProof/>
              <w:sz w:val="24"/>
              <w:szCs w:val="24"/>
            </w:rPr>
            <w:t>(Brynne Gilmore, 2020)</w:t>
          </w:r>
          <w:r w:rsidRPr="00806B3B">
            <w:rPr>
              <w:rFonts w:ascii="Times New Roman" w:hAnsi="Times New Roman" w:cs="Times New Roman"/>
              <w:sz w:val="24"/>
              <w:szCs w:val="24"/>
            </w:rPr>
            <w:fldChar w:fldCharType="end"/>
          </w:r>
        </w:sdtContent>
      </w:sdt>
      <w:r w:rsidRPr="00806B3B">
        <w:rPr>
          <w:rFonts w:ascii="Times New Roman" w:hAnsi="Times New Roman" w:cs="Times New Roman"/>
          <w:sz w:val="24"/>
          <w:szCs w:val="24"/>
        </w:rPr>
        <w:t xml:space="preserve">. </w:t>
      </w:r>
    </w:p>
    <w:p w14:paraId="47913E23" w14:textId="6C5CF946" w:rsidR="00B118E6" w:rsidRPr="00806B3B" w:rsidRDefault="00B118E6" w:rsidP="009F2D1E">
      <w:pPr>
        <w:spacing w:line="360" w:lineRule="auto"/>
        <w:ind w:firstLine="720"/>
        <w:jc w:val="both"/>
        <w:rPr>
          <w:rFonts w:ascii="Times New Roman" w:hAnsi="Times New Roman" w:cs="Times New Roman"/>
          <w:sz w:val="24"/>
          <w:szCs w:val="24"/>
        </w:rPr>
      </w:pPr>
      <w:r w:rsidRPr="00806B3B">
        <w:rPr>
          <w:rFonts w:ascii="Times New Roman" w:hAnsi="Times New Roman" w:cs="Times New Roman"/>
          <w:sz w:val="24"/>
          <w:szCs w:val="24"/>
        </w:rPr>
        <w:t xml:space="preserve">Engaging the community in preventing Covid19 should be, first of all, engaging them into educating their selves. We live in a world where we have access to so many </w:t>
      </w:r>
      <w:proofErr w:type="spellStart"/>
      <w:r w:rsidRPr="00806B3B">
        <w:rPr>
          <w:rFonts w:ascii="Times New Roman" w:hAnsi="Times New Roman" w:cs="Times New Roman"/>
          <w:sz w:val="24"/>
          <w:szCs w:val="24"/>
        </w:rPr>
        <w:t>informations</w:t>
      </w:r>
      <w:proofErr w:type="spellEnd"/>
      <w:r w:rsidRPr="00806B3B">
        <w:rPr>
          <w:rFonts w:ascii="Times New Roman" w:hAnsi="Times New Roman" w:cs="Times New Roman"/>
          <w:sz w:val="24"/>
          <w:szCs w:val="24"/>
        </w:rPr>
        <w:t xml:space="preserve">, but it is important to filter what we read or hear. Community engagement into education, can be a whole new subject, so I will focus on the pandemic part. A best practice into involving the community and making them become more responsible, would be to spread news and </w:t>
      </w:r>
      <w:proofErr w:type="spellStart"/>
      <w:r w:rsidRPr="00806B3B">
        <w:rPr>
          <w:rFonts w:ascii="Times New Roman" w:hAnsi="Times New Roman" w:cs="Times New Roman"/>
          <w:sz w:val="24"/>
          <w:szCs w:val="24"/>
        </w:rPr>
        <w:t>informations</w:t>
      </w:r>
      <w:proofErr w:type="spellEnd"/>
      <w:r w:rsidRPr="00806B3B">
        <w:rPr>
          <w:rFonts w:ascii="Times New Roman" w:hAnsi="Times New Roman" w:cs="Times New Roman"/>
          <w:sz w:val="24"/>
          <w:szCs w:val="24"/>
        </w:rPr>
        <w:t xml:space="preserve"> from reliable sources. This is why government, medical staff and science should talk about what to do and don’t in a pandemic, how to properly protect ourselves. The first problem when we talk about Covid19 and how population reacted to it is the lack of trust</w:t>
      </w:r>
      <w:r w:rsidR="000B3266" w:rsidRPr="00806B3B">
        <w:rPr>
          <w:rFonts w:ascii="Times New Roman" w:hAnsi="Times New Roman" w:cs="Times New Roman"/>
          <w:sz w:val="24"/>
          <w:szCs w:val="24"/>
        </w:rPr>
        <w:t xml:space="preserve"> and this lack of trust occurs because there are different </w:t>
      </w:r>
      <w:proofErr w:type="spellStart"/>
      <w:r w:rsidR="000B3266" w:rsidRPr="00806B3B">
        <w:rPr>
          <w:rFonts w:ascii="Times New Roman" w:hAnsi="Times New Roman" w:cs="Times New Roman"/>
          <w:sz w:val="24"/>
          <w:szCs w:val="24"/>
        </w:rPr>
        <w:t>informations</w:t>
      </w:r>
      <w:proofErr w:type="spellEnd"/>
      <w:r w:rsidR="000B3266" w:rsidRPr="00806B3B">
        <w:rPr>
          <w:rFonts w:ascii="Times New Roman" w:hAnsi="Times New Roman" w:cs="Times New Roman"/>
          <w:sz w:val="24"/>
          <w:szCs w:val="24"/>
        </w:rPr>
        <w:t xml:space="preserve">, different news and opinions and people find it difficult nowadays to distinguish the bad from the good. </w:t>
      </w:r>
    </w:p>
    <w:p w14:paraId="45D3E9A4" w14:textId="1718A83C" w:rsidR="007B6B73" w:rsidRPr="00806B3B" w:rsidRDefault="007B6B73" w:rsidP="007B6B73">
      <w:pPr>
        <w:spacing w:line="360" w:lineRule="auto"/>
        <w:ind w:firstLine="720"/>
        <w:jc w:val="both"/>
        <w:rPr>
          <w:rFonts w:ascii="Times New Roman" w:hAnsi="Times New Roman" w:cs="Times New Roman"/>
          <w:sz w:val="24"/>
          <w:szCs w:val="24"/>
        </w:rPr>
      </w:pPr>
      <w:r w:rsidRPr="00806B3B">
        <w:rPr>
          <w:rFonts w:ascii="Times New Roman" w:hAnsi="Times New Roman" w:cs="Times New Roman"/>
          <w:sz w:val="24"/>
          <w:szCs w:val="24"/>
        </w:rPr>
        <w:t>Community engagement should be a continuous, collaborative process that begins with community members who are recognized as legitimate actors with the ability to represent and influence the community. Communities should be involved in identifying issues and co-</w:t>
      </w:r>
      <w:r w:rsidRPr="00806B3B">
        <w:rPr>
          <w:rFonts w:ascii="Times New Roman" w:hAnsi="Times New Roman" w:cs="Times New Roman"/>
          <w:sz w:val="24"/>
          <w:szCs w:val="24"/>
        </w:rPr>
        <w:lastRenderedPageBreak/>
        <w:t>designing interventions and responses.</w:t>
      </w:r>
      <w:r w:rsidRPr="00806B3B">
        <w:rPr>
          <w:rFonts w:ascii="Times New Roman" w:hAnsi="Times New Roman" w:cs="Times New Roman"/>
          <w:sz w:val="24"/>
          <w:szCs w:val="24"/>
        </w:rPr>
        <w:t xml:space="preserve"> </w:t>
      </w:r>
      <w:r w:rsidRPr="00806B3B">
        <w:rPr>
          <w:rFonts w:ascii="Times New Roman" w:hAnsi="Times New Roman" w:cs="Times New Roman"/>
          <w:sz w:val="24"/>
          <w:szCs w:val="24"/>
        </w:rPr>
        <w:t xml:space="preserve">To help address </w:t>
      </w:r>
      <w:proofErr w:type="spellStart"/>
      <w:r w:rsidRPr="00806B3B">
        <w:rPr>
          <w:rFonts w:ascii="Times New Roman" w:hAnsi="Times New Roman" w:cs="Times New Roman"/>
          <w:sz w:val="24"/>
          <w:szCs w:val="24"/>
        </w:rPr>
        <w:t>rumours</w:t>
      </w:r>
      <w:proofErr w:type="spellEnd"/>
      <w:r w:rsidRPr="00806B3B">
        <w:rPr>
          <w:rFonts w:ascii="Times New Roman" w:hAnsi="Times New Roman" w:cs="Times New Roman"/>
          <w:sz w:val="24"/>
          <w:szCs w:val="24"/>
        </w:rPr>
        <w:t xml:space="preserve"> and misconceptions, a two-way dialogue with communities and other stakeholders should be established through multiple channels with transparent, accurate, and consistent information.</w:t>
      </w:r>
      <w:r w:rsidRPr="00806B3B">
        <w:rPr>
          <w:rFonts w:ascii="Times New Roman" w:hAnsi="Times New Roman" w:cs="Times New Roman"/>
          <w:sz w:val="24"/>
          <w:szCs w:val="24"/>
        </w:rPr>
        <w:t xml:space="preserve"> </w:t>
      </w:r>
      <w:r w:rsidRPr="00806B3B">
        <w:rPr>
          <w:rFonts w:ascii="Times New Roman" w:hAnsi="Times New Roman" w:cs="Times New Roman"/>
          <w:sz w:val="24"/>
          <w:szCs w:val="24"/>
        </w:rPr>
        <w:t>Messages that are focused, not fear-inducing, respectful, tailored to local contexts, and accompanied by relatable examples should be delivered</w:t>
      </w:r>
      <w:r w:rsidRPr="00806B3B">
        <w:rPr>
          <w:rFonts w:ascii="Times New Roman" w:hAnsi="Times New Roman" w:cs="Times New Roman"/>
          <w:sz w:val="24"/>
          <w:szCs w:val="24"/>
        </w:rPr>
        <w:t xml:space="preserve"> </w:t>
      </w:r>
      <w:sdt>
        <w:sdtPr>
          <w:rPr>
            <w:rFonts w:ascii="Times New Roman" w:hAnsi="Times New Roman" w:cs="Times New Roman"/>
            <w:sz w:val="24"/>
            <w:szCs w:val="24"/>
          </w:rPr>
          <w:id w:val="173622887"/>
          <w:citation/>
        </w:sdtPr>
        <w:sdtContent>
          <w:r w:rsidRPr="00806B3B">
            <w:rPr>
              <w:rFonts w:ascii="Times New Roman" w:hAnsi="Times New Roman" w:cs="Times New Roman"/>
              <w:sz w:val="24"/>
              <w:szCs w:val="24"/>
            </w:rPr>
            <w:fldChar w:fldCharType="begin"/>
          </w:r>
          <w:r w:rsidRPr="00806B3B">
            <w:rPr>
              <w:rFonts w:ascii="Times New Roman" w:hAnsi="Times New Roman" w:cs="Times New Roman"/>
              <w:sz w:val="24"/>
              <w:szCs w:val="24"/>
            </w:rPr>
            <w:instrText xml:space="preserve"> CITATION Bry20 \l 1033 </w:instrText>
          </w:r>
          <w:r w:rsidRPr="00806B3B">
            <w:rPr>
              <w:rFonts w:ascii="Times New Roman" w:hAnsi="Times New Roman" w:cs="Times New Roman"/>
              <w:sz w:val="24"/>
              <w:szCs w:val="24"/>
            </w:rPr>
            <w:fldChar w:fldCharType="separate"/>
          </w:r>
          <w:r w:rsidRPr="00806B3B">
            <w:rPr>
              <w:rFonts w:ascii="Times New Roman" w:hAnsi="Times New Roman" w:cs="Times New Roman"/>
              <w:noProof/>
              <w:sz w:val="24"/>
              <w:szCs w:val="24"/>
            </w:rPr>
            <w:t>(Brynne Gilmore, 2020)</w:t>
          </w:r>
          <w:r w:rsidRPr="00806B3B">
            <w:rPr>
              <w:rFonts w:ascii="Times New Roman" w:hAnsi="Times New Roman" w:cs="Times New Roman"/>
              <w:sz w:val="24"/>
              <w:szCs w:val="24"/>
            </w:rPr>
            <w:fldChar w:fldCharType="end"/>
          </w:r>
        </w:sdtContent>
      </w:sdt>
      <w:r w:rsidRPr="00806B3B">
        <w:rPr>
          <w:rFonts w:ascii="Times New Roman" w:hAnsi="Times New Roman" w:cs="Times New Roman"/>
          <w:sz w:val="24"/>
          <w:szCs w:val="24"/>
        </w:rPr>
        <w:t xml:space="preserve">. </w:t>
      </w:r>
    </w:p>
    <w:p w14:paraId="27FAD35A" w14:textId="104B06FA" w:rsidR="007B6B73" w:rsidRPr="00806B3B" w:rsidRDefault="007B6B73" w:rsidP="007B6B73">
      <w:pPr>
        <w:spacing w:line="360" w:lineRule="auto"/>
        <w:ind w:firstLine="720"/>
        <w:jc w:val="both"/>
        <w:rPr>
          <w:rFonts w:ascii="Times New Roman" w:hAnsi="Times New Roman" w:cs="Times New Roman"/>
          <w:sz w:val="24"/>
          <w:szCs w:val="24"/>
        </w:rPr>
      </w:pPr>
      <w:r w:rsidRPr="00806B3B">
        <w:rPr>
          <w:rFonts w:ascii="Times New Roman" w:hAnsi="Times New Roman" w:cs="Times New Roman"/>
          <w:sz w:val="24"/>
          <w:szCs w:val="24"/>
        </w:rPr>
        <w:t>One of the best practices that Covid19 preventing programs and charity organi</w:t>
      </w:r>
      <w:r w:rsidR="005D5267" w:rsidRPr="00806B3B">
        <w:rPr>
          <w:rFonts w:ascii="Times New Roman" w:hAnsi="Times New Roman" w:cs="Times New Roman"/>
          <w:sz w:val="24"/>
          <w:szCs w:val="24"/>
        </w:rPr>
        <w:t>z</w:t>
      </w:r>
      <w:r w:rsidRPr="00806B3B">
        <w:rPr>
          <w:rFonts w:ascii="Times New Roman" w:hAnsi="Times New Roman" w:cs="Times New Roman"/>
          <w:sz w:val="24"/>
          <w:szCs w:val="24"/>
        </w:rPr>
        <w:t xml:space="preserve">ations can adopt in this case are: consulting with people about how they feel, sharing information, sharing stories and experiences, tracking the problems, convincing them that the pandemic is real, health facility support. </w:t>
      </w:r>
      <w:r w:rsidR="005D5267" w:rsidRPr="00806B3B">
        <w:rPr>
          <w:rFonts w:ascii="Times New Roman" w:hAnsi="Times New Roman" w:cs="Times New Roman"/>
          <w:sz w:val="24"/>
          <w:szCs w:val="24"/>
        </w:rPr>
        <w:t xml:space="preserve"> </w:t>
      </w:r>
      <w:r w:rsidR="005D5267" w:rsidRPr="00806B3B">
        <w:rPr>
          <w:rFonts w:ascii="Times New Roman" w:hAnsi="Times New Roman" w:cs="Times New Roman"/>
          <w:sz w:val="24"/>
          <w:szCs w:val="24"/>
        </w:rPr>
        <w:t xml:space="preserve">Engagement can include providing information and consulting; being involved through regular interactions throughout the project cycle; and collaboration, which entails working in partnership with shared </w:t>
      </w:r>
      <w:proofErr w:type="spellStart"/>
      <w:r w:rsidR="005D5267" w:rsidRPr="00806B3B">
        <w:rPr>
          <w:rFonts w:ascii="Times New Roman" w:hAnsi="Times New Roman" w:cs="Times New Roman"/>
          <w:sz w:val="24"/>
          <w:szCs w:val="24"/>
        </w:rPr>
        <w:t>decisionmaking</w:t>
      </w:r>
      <w:proofErr w:type="spellEnd"/>
      <w:r w:rsidR="005D5267" w:rsidRPr="00806B3B">
        <w:rPr>
          <w:rFonts w:ascii="Times New Roman" w:hAnsi="Times New Roman" w:cs="Times New Roman"/>
          <w:sz w:val="24"/>
          <w:szCs w:val="24"/>
        </w:rPr>
        <w:t xml:space="preserve"> that involves communities carrying out critical health system functions and innovating with solutions.</w:t>
      </w:r>
    </w:p>
    <w:p w14:paraId="29576FFA" w14:textId="0A31987B" w:rsidR="005D5267" w:rsidRPr="00806B3B" w:rsidRDefault="005D5267" w:rsidP="007B6B73">
      <w:pPr>
        <w:spacing w:line="360" w:lineRule="auto"/>
        <w:ind w:firstLine="720"/>
        <w:jc w:val="both"/>
        <w:rPr>
          <w:rFonts w:ascii="Times New Roman" w:hAnsi="Times New Roman" w:cs="Times New Roman"/>
          <w:sz w:val="24"/>
          <w:szCs w:val="24"/>
        </w:rPr>
      </w:pPr>
      <w:r w:rsidRPr="00806B3B">
        <w:rPr>
          <w:rFonts w:ascii="Times New Roman" w:hAnsi="Times New Roman" w:cs="Times New Roman"/>
          <w:sz w:val="24"/>
          <w:szCs w:val="24"/>
        </w:rPr>
        <w:t>Considerations for health and safety should be identified and addressed collaboratively during the planning stages. These include the safe structuring of engagement activities, such as engagement mode of delivery; appropriate distancing measures for face-to-face interactions; community quarantine or isolation procedures; the availability of water and sanitation supplies; resource procurement for engagement actors, such as personal protective equipment; and protocols for suspected/confirmed contact with COVID-infected individuals.</w:t>
      </w:r>
    </w:p>
    <w:p w14:paraId="2BB36A58" w14:textId="5A71A4CF" w:rsidR="005D5267" w:rsidRPr="00806B3B" w:rsidRDefault="005D5267" w:rsidP="007B6B73">
      <w:pPr>
        <w:spacing w:line="360" w:lineRule="auto"/>
        <w:ind w:firstLine="720"/>
        <w:jc w:val="both"/>
        <w:rPr>
          <w:rFonts w:ascii="Times New Roman" w:hAnsi="Times New Roman" w:cs="Times New Roman"/>
          <w:sz w:val="24"/>
          <w:szCs w:val="24"/>
        </w:rPr>
      </w:pPr>
      <w:r w:rsidRPr="00806B3B">
        <w:rPr>
          <w:rFonts w:ascii="Times New Roman" w:hAnsi="Times New Roman" w:cs="Times New Roman"/>
          <w:sz w:val="24"/>
          <w:szCs w:val="24"/>
        </w:rPr>
        <w:t xml:space="preserve">The idea of engaging the community into education was mentioned in the beginning. An important topic into preventing the spread of Covid19 is the vaccine, but if we look closely, many people were not so happy about the vaccine and did not rush to take it. This happens because people are not educated enough. There were a lot of them who sustained their choice of not getting the vaccine because “medicine could not find a solution for cancer in so many years, yet they found a vaccine for Covid19 Virus in less then a year”. This was caused by the lack of education and misinformed people. It is clear that people who said those words or who believed in them, did not know the difference between cancer a virus, what a virus is and how it manifests. So maybe people should be taught about what a virus is and what does it exactly when it reaches our bodies. </w:t>
      </w:r>
    </w:p>
    <w:p w14:paraId="54CC865E" w14:textId="335F3159" w:rsidR="005D5267" w:rsidRPr="00806B3B" w:rsidRDefault="005D5267" w:rsidP="007B6B73">
      <w:pPr>
        <w:spacing w:line="360" w:lineRule="auto"/>
        <w:ind w:firstLine="720"/>
        <w:jc w:val="both"/>
        <w:rPr>
          <w:rFonts w:ascii="Times New Roman" w:hAnsi="Times New Roman" w:cs="Times New Roman"/>
          <w:sz w:val="24"/>
          <w:szCs w:val="24"/>
        </w:rPr>
      </w:pPr>
      <w:r w:rsidRPr="00806B3B">
        <w:rPr>
          <w:rFonts w:ascii="Times New Roman" w:hAnsi="Times New Roman" w:cs="Times New Roman"/>
          <w:sz w:val="24"/>
          <w:szCs w:val="24"/>
        </w:rPr>
        <w:lastRenderedPageBreak/>
        <w:t xml:space="preserve">It is alright that some people were sceptic about the vaccine and they chose not to take it because everybody is free to decide for their own, but another problem occurred when the masks were brought into discussion. There were a lot of people who did not want to wear masks. This is where another strategy can be applied. People with knowledge on this domain came to assure people that wearing a mask is not only for their safety, but also for the others. This is when emotional intelligence was </w:t>
      </w:r>
      <w:r w:rsidR="000939C0" w:rsidRPr="00806B3B">
        <w:rPr>
          <w:rFonts w:ascii="Times New Roman" w:hAnsi="Times New Roman" w:cs="Times New Roman"/>
          <w:sz w:val="24"/>
          <w:szCs w:val="24"/>
        </w:rPr>
        <w:t xml:space="preserve">called. A lot of programs, governments, organizations and so on, tried to make people understand that, if they do not care about their selves, they could wear masks for the sake of their loved one because they could get in danger too. There were a lot of campaigns which showed old people or children getting sick because their loved ones did not wear masks. This was a strategy, an attempt to force people to think about their children, parents, grandparents who may suffer because of their choices. </w:t>
      </w:r>
      <w:r w:rsidR="000939C0" w:rsidRPr="00806B3B">
        <w:rPr>
          <w:rFonts w:ascii="Times New Roman" w:hAnsi="Times New Roman" w:cs="Times New Roman"/>
          <w:sz w:val="24"/>
          <w:szCs w:val="24"/>
        </w:rPr>
        <w:t>More documentation on community engagement from more diverse geographical settings and populations is required. Implementers, policymakers, and researchers are encouraged to share lessons learned from previous engagement initiatives as well as to document ongoing engagement for COVID-19 activities.</w:t>
      </w:r>
    </w:p>
    <w:p w14:paraId="65F4E172" w14:textId="225B4B91" w:rsidR="000939C0" w:rsidRPr="00806B3B" w:rsidRDefault="000939C0" w:rsidP="000939C0">
      <w:pPr>
        <w:spacing w:line="360" w:lineRule="auto"/>
        <w:ind w:firstLine="720"/>
        <w:jc w:val="both"/>
        <w:rPr>
          <w:rFonts w:ascii="Times New Roman" w:hAnsi="Times New Roman" w:cs="Times New Roman"/>
          <w:sz w:val="24"/>
          <w:szCs w:val="24"/>
        </w:rPr>
      </w:pPr>
      <w:r w:rsidRPr="00806B3B">
        <w:rPr>
          <w:rFonts w:ascii="Times New Roman" w:hAnsi="Times New Roman" w:cs="Times New Roman"/>
          <w:sz w:val="24"/>
          <w:szCs w:val="24"/>
        </w:rPr>
        <w:t>Community engagement may be especially appropriate and necessary in complex contexts, such as those involving migrants in humanitarian settings or in urban informal settlements.</w:t>
      </w:r>
      <w:r w:rsidRPr="00806B3B">
        <w:rPr>
          <w:rFonts w:ascii="Times New Roman" w:hAnsi="Times New Roman" w:cs="Times New Roman"/>
          <w:sz w:val="24"/>
          <w:szCs w:val="24"/>
        </w:rPr>
        <w:t xml:space="preserve"> </w:t>
      </w:r>
      <w:r w:rsidRPr="00806B3B">
        <w:rPr>
          <w:rFonts w:ascii="Times New Roman" w:hAnsi="Times New Roman" w:cs="Times New Roman"/>
          <w:sz w:val="24"/>
          <w:szCs w:val="24"/>
        </w:rPr>
        <w:t>It is also required to address more complex situations, such as settings dealing with both COVID-19 and the risk of hunger, or to support overburdened health systems.</w:t>
      </w:r>
    </w:p>
    <w:p w14:paraId="2EC239F2" w14:textId="59C55C02" w:rsidR="000939C0" w:rsidRPr="00806B3B" w:rsidRDefault="000939C0" w:rsidP="007B6B73">
      <w:pPr>
        <w:spacing w:line="360" w:lineRule="auto"/>
        <w:ind w:firstLine="720"/>
        <w:jc w:val="both"/>
        <w:rPr>
          <w:rFonts w:ascii="Times New Roman" w:hAnsi="Times New Roman" w:cs="Times New Roman"/>
          <w:sz w:val="24"/>
          <w:szCs w:val="24"/>
        </w:rPr>
      </w:pPr>
      <w:r w:rsidRPr="00806B3B">
        <w:rPr>
          <w:rFonts w:ascii="Times New Roman" w:hAnsi="Times New Roman" w:cs="Times New Roman"/>
          <w:sz w:val="24"/>
          <w:szCs w:val="24"/>
        </w:rPr>
        <w:t>The limitations of community engagement within the COVID-19 context are noteworthy due to restrictions on large gatherings and traditional face-to-face approaches. Innovative approaches to adapt traditional approaches to community engagement may be required, and how governments and organizations overcome these barriers should be well documented, evaluated, and shared.</w:t>
      </w:r>
      <w:r w:rsidRPr="00806B3B">
        <w:rPr>
          <w:rFonts w:ascii="Times New Roman" w:hAnsi="Times New Roman" w:cs="Times New Roman"/>
          <w:sz w:val="24"/>
          <w:szCs w:val="24"/>
        </w:rPr>
        <w:t xml:space="preserve"> </w:t>
      </w:r>
      <w:r w:rsidRPr="00806B3B">
        <w:rPr>
          <w:rFonts w:ascii="Times New Roman" w:hAnsi="Times New Roman" w:cs="Times New Roman"/>
          <w:sz w:val="24"/>
          <w:szCs w:val="24"/>
        </w:rPr>
        <w:t>If done physically, COVID-19 prevention and control guidelines such as physical distancing, mask use, and good respiratory and hand hygiene should be followed. Alternatively, new innovations in community engagement, such as those involving technology and digital tools, may be more appropriate.</w:t>
      </w:r>
      <w:r w:rsidRPr="00806B3B">
        <w:rPr>
          <w:rFonts w:ascii="Times New Roman" w:hAnsi="Times New Roman" w:cs="Times New Roman"/>
          <w:sz w:val="24"/>
          <w:szCs w:val="24"/>
        </w:rPr>
        <w:t xml:space="preserve"> </w:t>
      </w:r>
      <w:r w:rsidRPr="00806B3B">
        <w:rPr>
          <w:rFonts w:ascii="Times New Roman" w:hAnsi="Times New Roman" w:cs="Times New Roman"/>
          <w:sz w:val="24"/>
          <w:szCs w:val="24"/>
        </w:rPr>
        <w:t xml:space="preserve">In the context of COVID-19, emerging examples of community engagement via digital methods include the involvement of community governance systems and CHWs in garnering acceptance for quarantine measures in China, mobilizing local resources and volunteers and using social media tools such as WhatsApp to collect health information and </w:t>
      </w:r>
      <w:r w:rsidRPr="00806B3B">
        <w:rPr>
          <w:rFonts w:ascii="Times New Roman" w:hAnsi="Times New Roman" w:cs="Times New Roman"/>
          <w:sz w:val="24"/>
          <w:szCs w:val="24"/>
        </w:rPr>
        <w:lastRenderedPageBreak/>
        <w:t>communicate COVID-19 messages in Syria, and collaborating with the World Health Organization</w:t>
      </w:r>
      <w:r w:rsidRPr="00806B3B">
        <w:rPr>
          <w:rFonts w:ascii="Times New Roman" w:hAnsi="Times New Roman" w:cs="Times New Roman"/>
          <w:sz w:val="24"/>
          <w:szCs w:val="24"/>
        </w:rPr>
        <w:t xml:space="preserve"> </w:t>
      </w:r>
      <w:sdt>
        <w:sdtPr>
          <w:rPr>
            <w:rFonts w:ascii="Times New Roman" w:hAnsi="Times New Roman" w:cs="Times New Roman"/>
            <w:sz w:val="24"/>
            <w:szCs w:val="24"/>
          </w:rPr>
          <w:id w:val="-1944834389"/>
          <w:citation/>
        </w:sdtPr>
        <w:sdtContent>
          <w:r w:rsidRPr="00806B3B">
            <w:rPr>
              <w:rFonts w:ascii="Times New Roman" w:hAnsi="Times New Roman" w:cs="Times New Roman"/>
              <w:sz w:val="24"/>
              <w:szCs w:val="24"/>
            </w:rPr>
            <w:fldChar w:fldCharType="begin"/>
          </w:r>
          <w:r w:rsidRPr="00806B3B">
            <w:rPr>
              <w:rFonts w:ascii="Times New Roman" w:hAnsi="Times New Roman" w:cs="Times New Roman"/>
              <w:sz w:val="24"/>
              <w:szCs w:val="24"/>
            </w:rPr>
            <w:instrText xml:space="preserve"> CITATION Bry20 \l 1033 </w:instrText>
          </w:r>
          <w:r w:rsidRPr="00806B3B">
            <w:rPr>
              <w:rFonts w:ascii="Times New Roman" w:hAnsi="Times New Roman" w:cs="Times New Roman"/>
              <w:sz w:val="24"/>
              <w:szCs w:val="24"/>
            </w:rPr>
            <w:fldChar w:fldCharType="separate"/>
          </w:r>
          <w:r w:rsidRPr="00806B3B">
            <w:rPr>
              <w:rFonts w:ascii="Times New Roman" w:hAnsi="Times New Roman" w:cs="Times New Roman"/>
              <w:noProof/>
              <w:sz w:val="24"/>
              <w:szCs w:val="24"/>
            </w:rPr>
            <w:t>(Brynne Gilmore, 2020)</w:t>
          </w:r>
          <w:r w:rsidRPr="00806B3B">
            <w:rPr>
              <w:rFonts w:ascii="Times New Roman" w:hAnsi="Times New Roman" w:cs="Times New Roman"/>
              <w:sz w:val="24"/>
              <w:szCs w:val="24"/>
            </w:rPr>
            <w:fldChar w:fldCharType="end"/>
          </w:r>
        </w:sdtContent>
      </w:sdt>
      <w:r w:rsidRPr="00806B3B">
        <w:rPr>
          <w:rFonts w:ascii="Times New Roman" w:hAnsi="Times New Roman" w:cs="Times New Roman"/>
          <w:sz w:val="24"/>
          <w:szCs w:val="24"/>
        </w:rPr>
        <w:t xml:space="preserve">. </w:t>
      </w:r>
    </w:p>
    <w:p w14:paraId="49102287" w14:textId="017A221A" w:rsidR="00390557" w:rsidRPr="00806B3B" w:rsidRDefault="000939C0" w:rsidP="00390557">
      <w:pPr>
        <w:spacing w:line="360" w:lineRule="auto"/>
        <w:ind w:firstLine="720"/>
        <w:jc w:val="both"/>
        <w:rPr>
          <w:rFonts w:ascii="Times New Roman" w:hAnsi="Times New Roman" w:cs="Times New Roman"/>
          <w:sz w:val="24"/>
          <w:szCs w:val="24"/>
        </w:rPr>
      </w:pPr>
      <w:r w:rsidRPr="00806B3B">
        <w:rPr>
          <w:rFonts w:ascii="Times New Roman" w:hAnsi="Times New Roman" w:cs="Times New Roman"/>
          <w:sz w:val="24"/>
          <w:szCs w:val="24"/>
        </w:rPr>
        <w:t xml:space="preserve">Sharing stories and </w:t>
      </w:r>
      <w:proofErr w:type="spellStart"/>
      <w:r w:rsidRPr="00806B3B">
        <w:rPr>
          <w:rFonts w:ascii="Times New Roman" w:hAnsi="Times New Roman" w:cs="Times New Roman"/>
          <w:sz w:val="24"/>
          <w:szCs w:val="24"/>
        </w:rPr>
        <w:t>informations</w:t>
      </w:r>
      <w:proofErr w:type="spellEnd"/>
      <w:r w:rsidRPr="00806B3B">
        <w:rPr>
          <w:rFonts w:ascii="Times New Roman" w:hAnsi="Times New Roman" w:cs="Times New Roman"/>
          <w:sz w:val="24"/>
          <w:szCs w:val="24"/>
        </w:rPr>
        <w:t xml:space="preserve"> is also a key into preventing the virus. </w:t>
      </w:r>
      <w:r w:rsidR="00F078EC" w:rsidRPr="00806B3B">
        <w:rPr>
          <w:rFonts w:ascii="Times New Roman" w:hAnsi="Times New Roman" w:cs="Times New Roman"/>
          <w:sz w:val="24"/>
          <w:szCs w:val="24"/>
        </w:rPr>
        <w:t xml:space="preserve">People tend to be more open minded if they see examples by others. </w:t>
      </w:r>
      <w:proofErr w:type="gramStart"/>
      <w:r w:rsidR="00F078EC" w:rsidRPr="00806B3B">
        <w:rPr>
          <w:rFonts w:ascii="Times New Roman" w:hAnsi="Times New Roman" w:cs="Times New Roman"/>
          <w:sz w:val="24"/>
          <w:szCs w:val="24"/>
        </w:rPr>
        <w:t>This sharing stories</w:t>
      </w:r>
      <w:proofErr w:type="gramEnd"/>
      <w:r w:rsidR="00F078EC" w:rsidRPr="00806B3B">
        <w:rPr>
          <w:rFonts w:ascii="Times New Roman" w:hAnsi="Times New Roman" w:cs="Times New Roman"/>
          <w:sz w:val="24"/>
          <w:szCs w:val="24"/>
        </w:rPr>
        <w:t xml:space="preserve"> strategy can be adopted in both positive and negative situations. The stories of people who were infected with the virus were used to raise awareness and to force people into seeing what can happen if we do not protect ourselves or others. On the other hand, positive experiences of the people who had the vaccine </w:t>
      </w:r>
      <w:r w:rsidR="00390557" w:rsidRPr="00806B3B">
        <w:rPr>
          <w:rFonts w:ascii="Times New Roman" w:hAnsi="Times New Roman" w:cs="Times New Roman"/>
          <w:sz w:val="24"/>
          <w:szCs w:val="24"/>
        </w:rPr>
        <w:t xml:space="preserve">and it helped them into getting a little bit of the “life before virus” back. </w:t>
      </w:r>
    </w:p>
    <w:p w14:paraId="457AE044" w14:textId="3EF9C03B" w:rsidR="00390557" w:rsidRPr="00806B3B" w:rsidRDefault="00390557" w:rsidP="00390557">
      <w:pPr>
        <w:spacing w:line="360" w:lineRule="auto"/>
        <w:ind w:firstLine="720"/>
        <w:jc w:val="both"/>
        <w:rPr>
          <w:rFonts w:ascii="Times New Roman" w:hAnsi="Times New Roman" w:cs="Times New Roman"/>
          <w:sz w:val="24"/>
          <w:szCs w:val="24"/>
        </w:rPr>
      </w:pPr>
      <w:r w:rsidRPr="00806B3B">
        <w:rPr>
          <w:rFonts w:ascii="Times New Roman" w:hAnsi="Times New Roman" w:cs="Times New Roman"/>
          <w:sz w:val="24"/>
          <w:szCs w:val="24"/>
        </w:rPr>
        <w:t xml:space="preserve">Also, government and companies tried to support people and to push them into getting the vaccine, trying to attract them with different types of “rewards”, for example, some companies offered to give their employees’ a day off from work in the day they got the vaccine. </w:t>
      </w:r>
    </w:p>
    <w:p w14:paraId="0E5071F3" w14:textId="390AD1A7" w:rsidR="00390557" w:rsidRPr="00806B3B" w:rsidRDefault="000A04CF" w:rsidP="00390557">
      <w:pPr>
        <w:spacing w:line="360" w:lineRule="auto"/>
        <w:ind w:firstLine="720"/>
        <w:jc w:val="both"/>
        <w:rPr>
          <w:rFonts w:ascii="Times New Roman" w:hAnsi="Times New Roman" w:cs="Times New Roman"/>
          <w:sz w:val="24"/>
          <w:szCs w:val="24"/>
        </w:rPr>
      </w:pPr>
      <w:r w:rsidRPr="00806B3B">
        <w:rPr>
          <w:rFonts w:ascii="Times New Roman" w:hAnsi="Times New Roman" w:cs="Times New Roman"/>
          <w:sz w:val="24"/>
          <w:szCs w:val="24"/>
        </w:rPr>
        <w:t>Obtaining appropriate health-care system support and buy-in will be critical to its success. Furthermore, contextual community and implementation factors can have a significant impact on the success of community engagement, with approaches taking into account within the larger system of implementation. Improving community capacity and supportive environments for engagement may entail strengthening linkages and supportive policy and funding environments, as well as establishing environments of respect, trust, and shared values and goals.</w:t>
      </w:r>
      <w:r w:rsidRPr="00806B3B">
        <w:rPr>
          <w:rFonts w:ascii="Times New Roman" w:hAnsi="Times New Roman" w:cs="Times New Roman"/>
          <w:sz w:val="24"/>
          <w:szCs w:val="24"/>
        </w:rPr>
        <w:t xml:space="preserve"> </w:t>
      </w:r>
      <w:r w:rsidRPr="00806B3B">
        <w:rPr>
          <w:rFonts w:ascii="Times New Roman" w:hAnsi="Times New Roman" w:cs="Times New Roman"/>
          <w:sz w:val="24"/>
          <w:szCs w:val="24"/>
        </w:rPr>
        <w:t>To support high-quality implementation, existing frameworks or standards for community engagement, such as UNICEF's 16 Minimum Standards for Community Engagement, should be used to support planning, implementation, and monitoring.</w:t>
      </w:r>
      <w:r w:rsidRPr="00806B3B">
        <w:rPr>
          <w:rFonts w:ascii="Times New Roman" w:hAnsi="Times New Roman" w:cs="Times New Roman"/>
          <w:sz w:val="24"/>
          <w:szCs w:val="24"/>
        </w:rPr>
        <w:t xml:space="preserve"> </w:t>
      </w:r>
      <w:r w:rsidRPr="00806B3B">
        <w:rPr>
          <w:rFonts w:ascii="Times New Roman" w:hAnsi="Times New Roman" w:cs="Times New Roman"/>
          <w:sz w:val="24"/>
          <w:szCs w:val="24"/>
        </w:rPr>
        <w:t>Community involvement aids in the shaping of social dynamics based on power and control, which perpetuate the marginalization of certain groups. The actors involved in mobilization and decision-making must be seen as legitimate by the rest of the community. Recognizing that power and legitimacy are contested resources that can shift during an outbreak is critical for effective community engagement</w:t>
      </w:r>
      <w:r w:rsidRPr="00806B3B">
        <w:rPr>
          <w:rFonts w:ascii="Times New Roman" w:hAnsi="Times New Roman" w:cs="Times New Roman"/>
          <w:sz w:val="24"/>
          <w:szCs w:val="24"/>
        </w:rPr>
        <w:t xml:space="preserve"> </w:t>
      </w:r>
      <w:sdt>
        <w:sdtPr>
          <w:rPr>
            <w:rFonts w:ascii="Times New Roman" w:hAnsi="Times New Roman" w:cs="Times New Roman"/>
            <w:sz w:val="24"/>
            <w:szCs w:val="24"/>
          </w:rPr>
          <w:id w:val="-1433432574"/>
          <w:citation/>
        </w:sdtPr>
        <w:sdtContent>
          <w:r w:rsidRPr="00806B3B">
            <w:rPr>
              <w:rFonts w:ascii="Times New Roman" w:hAnsi="Times New Roman" w:cs="Times New Roman"/>
              <w:sz w:val="24"/>
              <w:szCs w:val="24"/>
            </w:rPr>
            <w:fldChar w:fldCharType="begin"/>
          </w:r>
          <w:r w:rsidRPr="00806B3B">
            <w:rPr>
              <w:rFonts w:ascii="Times New Roman" w:hAnsi="Times New Roman" w:cs="Times New Roman"/>
              <w:sz w:val="24"/>
              <w:szCs w:val="24"/>
            </w:rPr>
            <w:instrText xml:space="preserve"> CITATION Bry20 \l 1033 </w:instrText>
          </w:r>
          <w:r w:rsidRPr="00806B3B">
            <w:rPr>
              <w:rFonts w:ascii="Times New Roman" w:hAnsi="Times New Roman" w:cs="Times New Roman"/>
              <w:sz w:val="24"/>
              <w:szCs w:val="24"/>
            </w:rPr>
            <w:fldChar w:fldCharType="separate"/>
          </w:r>
          <w:r w:rsidRPr="00806B3B">
            <w:rPr>
              <w:rFonts w:ascii="Times New Roman" w:hAnsi="Times New Roman" w:cs="Times New Roman"/>
              <w:noProof/>
              <w:sz w:val="24"/>
              <w:szCs w:val="24"/>
            </w:rPr>
            <w:t>(Brynne Gilmore, 2020)</w:t>
          </w:r>
          <w:r w:rsidRPr="00806B3B">
            <w:rPr>
              <w:rFonts w:ascii="Times New Roman" w:hAnsi="Times New Roman" w:cs="Times New Roman"/>
              <w:sz w:val="24"/>
              <w:szCs w:val="24"/>
            </w:rPr>
            <w:fldChar w:fldCharType="end"/>
          </w:r>
        </w:sdtContent>
      </w:sdt>
      <w:r w:rsidRPr="00806B3B">
        <w:rPr>
          <w:rFonts w:ascii="Times New Roman" w:hAnsi="Times New Roman" w:cs="Times New Roman"/>
          <w:sz w:val="24"/>
          <w:szCs w:val="24"/>
        </w:rPr>
        <w:t>.</w:t>
      </w:r>
      <w:r w:rsidRPr="00806B3B">
        <w:rPr>
          <w:rFonts w:ascii="Times New Roman" w:hAnsi="Times New Roman" w:cs="Times New Roman"/>
          <w:sz w:val="24"/>
          <w:szCs w:val="24"/>
        </w:rPr>
        <w:t xml:space="preserve"> </w:t>
      </w:r>
    </w:p>
    <w:p w14:paraId="2F343099" w14:textId="49CB9E78" w:rsidR="000A04CF" w:rsidRPr="00806B3B" w:rsidRDefault="000A04CF" w:rsidP="00390557">
      <w:pPr>
        <w:spacing w:line="360" w:lineRule="auto"/>
        <w:ind w:firstLine="720"/>
        <w:jc w:val="both"/>
        <w:rPr>
          <w:rFonts w:ascii="Times New Roman" w:hAnsi="Times New Roman" w:cs="Times New Roman"/>
          <w:sz w:val="24"/>
          <w:szCs w:val="24"/>
        </w:rPr>
      </w:pPr>
      <w:r w:rsidRPr="00806B3B">
        <w:rPr>
          <w:rFonts w:ascii="Times New Roman" w:hAnsi="Times New Roman" w:cs="Times New Roman"/>
          <w:sz w:val="24"/>
          <w:szCs w:val="24"/>
        </w:rPr>
        <w:t xml:space="preserve">COVID-19 will necessitate multi-sectoral responses as well as approaches from the biomedical and social sciences. Community involvement should be a key component of all of these responses. Community engagement can help to support successful efforts in prevention and control, vaccine testing and ethics, or resilience and recovery. It can also play critical roles in </w:t>
      </w:r>
      <w:r w:rsidRPr="00806B3B">
        <w:rPr>
          <w:rFonts w:ascii="Times New Roman" w:hAnsi="Times New Roman" w:cs="Times New Roman"/>
          <w:sz w:val="24"/>
          <w:szCs w:val="24"/>
        </w:rPr>
        <w:lastRenderedPageBreak/>
        <w:t>rebuilding a stronger health system following the more acute phase of COVID-19, as well as supporting an equity-focused public health response.</w:t>
      </w:r>
      <w:r w:rsidRPr="00806B3B">
        <w:rPr>
          <w:rFonts w:ascii="Times New Roman" w:hAnsi="Times New Roman" w:cs="Times New Roman"/>
          <w:sz w:val="24"/>
          <w:szCs w:val="24"/>
        </w:rPr>
        <w:t xml:space="preserve"> </w:t>
      </w:r>
    </w:p>
    <w:p w14:paraId="238B4AB8" w14:textId="1FE3488E" w:rsidR="000A04CF" w:rsidRPr="00806B3B" w:rsidRDefault="000A04CF" w:rsidP="00390557">
      <w:pPr>
        <w:spacing w:line="360" w:lineRule="auto"/>
        <w:ind w:firstLine="720"/>
        <w:jc w:val="both"/>
        <w:rPr>
          <w:rFonts w:ascii="Times New Roman" w:hAnsi="Times New Roman" w:cs="Times New Roman"/>
          <w:sz w:val="24"/>
          <w:szCs w:val="24"/>
        </w:rPr>
      </w:pPr>
      <w:r w:rsidRPr="00806B3B">
        <w:rPr>
          <w:rFonts w:ascii="Times New Roman" w:hAnsi="Times New Roman" w:cs="Times New Roman"/>
          <w:sz w:val="24"/>
          <w:szCs w:val="24"/>
        </w:rPr>
        <w:t>The global presence of COVID-19 and its social transmission pathways necessitate social and community responses. This may be especially important in reaching out to marginalized populations and supporting equity-informed responses. Previous outbreak experience has shown that community engagement can take many forms and include a variety of actors and approaches that support various prevention and control activities such as design and planning, community entry and trust building, social and behavior change communication, risk communication, surveillance and tracing, and logistics and administration.</w:t>
      </w:r>
      <w:r w:rsidRPr="00806B3B">
        <w:rPr>
          <w:rFonts w:ascii="Times New Roman" w:hAnsi="Times New Roman" w:cs="Times New Roman"/>
          <w:sz w:val="24"/>
          <w:szCs w:val="24"/>
        </w:rPr>
        <w:t xml:space="preserve"> </w:t>
      </w:r>
      <w:r w:rsidRPr="00806B3B">
        <w:rPr>
          <w:rFonts w:ascii="Times New Roman" w:hAnsi="Times New Roman" w:cs="Times New Roman"/>
          <w:sz w:val="24"/>
          <w:szCs w:val="24"/>
        </w:rPr>
        <w:t>Countries around the world are encouraged to assess existing community engagement structures and to use community engagement approaches to support COVID-19 prevention and control measures that are contextually specific, acceptable, and appropriate</w:t>
      </w:r>
      <w:r w:rsidRPr="00806B3B">
        <w:rPr>
          <w:rFonts w:ascii="Times New Roman" w:hAnsi="Times New Roman" w:cs="Times New Roman"/>
          <w:sz w:val="24"/>
          <w:szCs w:val="24"/>
        </w:rPr>
        <w:t xml:space="preserve"> </w:t>
      </w:r>
      <w:sdt>
        <w:sdtPr>
          <w:rPr>
            <w:rFonts w:ascii="Times New Roman" w:hAnsi="Times New Roman" w:cs="Times New Roman"/>
            <w:sz w:val="24"/>
            <w:szCs w:val="24"/>
          </w:rPr>
          <w:id w:val="-1730600434"/>
          <w:citation/>
        </w:sdtPr>
        <w:sdtContent>
          <w:r w:rsidRPr="00806B3B">
            <w:rPr>
              <w:rFonts w:ascii="Times New Roman" w:hAnsi="Times New Roman" w:cs="Times New Roman"/>
              <w:sz w:val="24"/>
              <w:szCs w:val="24"/>
            </w:rPr>
            <w:fldChar w:fldCharType="begin"/>
          </w:r>
          <w:r w:rsidRPr="00806B3B">
            <w:rPr>
              <w:rFonts w:ascii="Times New Roman" w:hAnsi="Times New Roman" w:cs="Times New Roman"/>
              <w:sz w:val="24"/>
              <w:szCs w:val="24"/>
            </w:rPr>
            <w:instrText xml:space="preserve"> CITATION Joh20 \l 1033 </w:instrText>
          </w:r>
          <w:r w:rsidRPr="00806B3B">
            <w:rPr>
              <w:rFonts w:ascii="Times New Roman" w:hAnsi="Times New Roman" w:cs="Times New Roman"/>
              <w:sz w:val="24"/>
              <w:szCs w:val="24"/>
            </w:rPr>
            <w:fldChar w:fldCharType="separate"/>
          </w:r>
          <w:r w:rsidRPr="00806B3B">
            <w:rPr>
              <w:rFonts w:ascii="Times New Roman" w:hAnsi="Times New Roman" w:cs="Times New Roman"/>
              <w:noProof/>
              <w:sz w:val="24"/>
              <w:szCs w:val="24"/>
            </w:rPr>
            <w:t>(Daniel, 2020)</w:t>
          </w:r>
          <w:r w:rsidRPr="00806B3B">
            <w:rPr>
              <w:rFonts w:ascii="Times New Roman" w:hAnsi="Times New Roman" w:cs="Times New Roman"/>
              <w:sz w:val="24"/>
              <w:szCs w:val="24"/>
            </w:rPr>
            <w:fldChar w:fldCharType="end"/>
          </w:r>
        </w:sdtContent>
      </w:sdt>
      <w:r w:rsidRPr="00806B3B">
        <w:rPr>
          <w:rFonts w:ascii="Times New Roman" w:hAnsi="Times New Roman" w:cs="Times New Roman"/>
          <w:sz w:val="24"/>
          <w:szCs w:val="24"/>
        </w:rPr>
        <w:t xml:space="preserve">. </w:t>
      </w:r>
    </w:p>
    <w:p w14:paraId="6D633C89" w14:textId="27641FFA" w:rsidR="000A04CF" w:rsidRPr="00806B3B" w:rsidRDefault="000A04CF" w:rsidP="00390557">
      <w:pPr>
        <w:spacing w:line="360" w:lineRule="auto"/>
        <w:ind w:firstLine="720"/>
        <w:jc w:val="both"/>
        <w:rPr>
          <w:rFonts w:ascii="Times New Roman" w:hAnsi="Times New Roman" w:cs="Times New Roman"/>
          <w:sz w:val="24"/>
          <w:szCs w:val="24"/>
        </w:rPr>
      </w:pPr>
      <w:r w:rsidRPr="00806B3B">
        <w:rPr>
          <w:rFonts w:ascii="Times New Roman" w:hAnsi="Times New Roman" w:cs="Times New Roman"/>
          <w:sz w:val="24"/>
          <w:szCs w:val="24"/>
        </w:rPr>
        <w:t xml:space="preserve">To sum up, engaging the community into preventing the spread of the Covid19 virus is a hard work to do, but it is, now, the most important thing to do. Everyone wants to go back to the life it was before, but in order </w:t>
      </w:r>
      <w:r w:rsidR="00806B3B" w:rsidRPr="00806B3B">
        <w:rPr>
          <w:rFonts w:ascii="Times New Roman" w:hAnsi="Times New Roman" w:cs="Times New Roman"/>
          <w:sz w:val="24"/>
          <w:szCs w:val="24"/>
        </w:rPr>
        <w:t xml:space="preserve">to be able to do this, people need to be aware of the fact that the pandemic is not over and no one knows to say when it will be. This is way the community has to be and to stay engaged in protecting their selves and others, to follow the instructions given by </w:t>
      </w:r>
      <w:proofErr w:type="spellStart"/>
      <w:r w:rsidR="00806B3B" w:rsidRPr="00806B3B">
        <w:rPr>
          <w:rFonts w:ascii="Times New Roman" w:hAnsi="Times New Roman" w:cs="Times New Roman"/>
          <w:sz w:val="24"/>
          <w:szCs w:val="24"/>
        </w:rPr>
        <w:t>autorithies</w:t>
      </w:r>
      <w:proofErr w:type="spellEnd"/>
      <w:r w:rsidR="00806B3B" w:rsidRPr="00806B3B">
        <w:rPr>
          <w:rFonts w:ascii="Times New Roman" w:hAnsi="Times New Roman" w:cs="Times New Roman"/>
          <w:sz w:val="24"/>
          <w:szCs w:val="24"/>
        </w:rPr>
        <w:t xml:space="preserve"> and to stay educated. The programs should make sure to always check with people, how they feel and what they do to prevent the </w:t>
      </w:r>
      <w:proofErr w:type="spellStart"/>
      <w:r w:rsidR="00806B3B" w:rsidRPr="00806B3B">
        <w:rPr>
          <w:rFonts w:ascii="Times New Roman" w:hAnsi="Times New Roman" w:cs="Times New Roman"/>
          <w:sz w:val="24"/>
          <w:szCs w:val="24"/>
        </w:rPr>
        <w:t>spreding</w:t>
      </w:r>
      <w:proofErr w:type="spellEnd"/>
      <w:r w:rsidR="00806B3B" w:rsidRPr="00806B3B">
        <w:rPr>
          <w:rFonts w:ascii="Times New Roman" w:hAnsi="Times New Roman" w:cs="Times New Roman"/>
          <w:sz w:val="24"/>
          <w:szCs w:val="24"/>
        </w:rPr>
        <w:t xml:space="preserve"> of Covid19.</w:t>
      </w:r>
    </w:p>
    <w:p w14:paraId="472B7982" w14:textId="69E15933" w:rsidR="00806B3B" w:rsidRPr="00806B3B" w:rsidRDefault="00806B3B" w:rsidP="00806B3B">
      <w:pPr>
        <w:spacing w:line="360" w:lineRule="auto"/>
        <w:jc w:val="both"/>
        <w:rPr>
          <w:rFonts w:ascii="Times New Roman" w:hAnsi="Times New Roman" w:cs="Times New Roman"/>
          <w:sz w:val="24"/>
          <w:szCs w:val="24"/>
        </w:rPr>
      </w:pPr>
    </w:p>
    <w:p w14:paraId="05E69F36" w14:textId="77777777" w:rsidR="00806B3B" w:rsidRPr="00806B3B" w:rsidRDefault="00806B3B" w:rsidP="00806B3B">
      <w:pPr>
        <w:pStyle w:val="Bibliografie"/>
        <w:ind w:left="720" w:hanging="720"/>
        <w:rPr>
          <w:rFonts w:ascii="Times New Roman" w:hAnsi="Times New Roman" w:cs="Times New Roman"/>
          <w:noProof/>
          <w:sz w:val="24"/>
          <w:szCs w:val="24"/>
        </w:rPr>
      </w:pPr>
      <w:r w:rsidRPr="00806B3B">
        <w:rPr>
          <w:rFonts w:ascii="Times New Roman" w:hAnsi="Times New Roman" w:cs="Times New Roman"/>
          <w:sz w:val="24"/>
          <w:szCs w:val="24"/>
        </w:rPr>
        <w:fldChar w:fldCharType="begin"/>
      </w:r>
      <w:r w:rsidRPr="00806B3B">
        <w:rPr>
          <w:rFonts w:ascii="Times New Roman" w:hAnsi="Times New Roman" w:cs="Times New Roman"/>
          <w:sz w:val="24"/>
          <w:szCs w:val="24"/>
        </w:rPr>
        <w:instrText xml:space="preserve"> BIBLIOGRAPHY  \l 1033 </w:instrText>
      </w:r>
      <w:r w:rsidRPr="00806B3B">
        <w:rPr>
          <w:rFonts w:ascii="Times New Roman" w:hAnsi="Times New Roman" w:cs="Times New Roman"/>
          <w:sz w:val="24"/>
          <w:szCs w:val="24"/>
        </w:rPr>
        <w:fldChar w:fldCharType="separate"/>
      </w:r>
      <w:r w:rsidRPr="00806B3B">
        <w:rPr>
          <w:rFonts w:ascii="Times New Roman" w:hAnsi="Times New Roman" w:cs="Times New Roman"/>
          <w:noProof/>
        </w:rPr>
        <w:t xml:space="preserve">Brynne Gilmore, R. N. (2020). Community engagement for COVID-19 prevention and control: a rapid evidence synthesis. </w:t>
      </w:r>
      <w:r w:rsidRPr="00806B3B">
        <w:rPr>
          <w:rFonts w:ascii="Times New Roman" w:hAnsi="Times New Roman" w:cs="Times New Roman"/>
          <w:i/>
          <w:iCs/>
          <w:noProof/>
        </w:rPr>
        <w:t>BMJ Global Health</w:t>
      </w:r>
      <w:r w:rsidRPr="00806B3B">
        <w:rPr>
          <w:rFonts w:ascii="Times New Roman" w:hAnsi="Times New Roman" w:cs="Times New Roman"/>
          <w:noProof/>
        </w:rPr>
        <w:t>.</w:t>
      </w:r>
    </w:p>
    <w:p w14:paraId="7B7695BB" w14:textId="77777777" w:rsidR="00806B3B" w:rsidRPr="00806B3B" w:rsidRDefault="00806B3B" w:rsidP="00806B3B">
      <w:pPr>
        <w:pStyle w:val="Bibliografie"/>
        <w:ind w:left="720" w:hanging="720"/>
        <w:rPr>
          <w:rFonts w:ascii="Times New Roman" w:hAnsi="Times New Roman" w:cs="Times New Roman"/>
          <w:noProof/>
        </w:rPr>
      </w:pPr>
      <w:r w:rsidRPr="00806B3B">
        <w:rPr>
          <w:rFonts w:ascii="Times New Roman" w:hAnsi="Times New Roman" w:cs="Times New Roman"/>
          <w:noProof/>
        </w:rPr>
        <w:t xml:space="preserve">Daniel, J. (2020). Education and the COVID-19 pandemic. </w:t>
      </w:r>
      <w:r w:rsidRPr="00806B3B">
        <w:rPr>
          <w:rFonts w:ascii="Times New Roman" w:hAnsi="Times New Roman" w:cs="Times New Roman"/>
          <w:i/>
          <w:iCs/>
          <w:noProof/>
        </w:rPr>
        <w:t>Prospects 49</w:t>
      </w:r>
      <w:r w:rsidRPr="00806B3B">
        <w:rPr>
          <w:rFonts w:ascii="Times New Roman" w:hAnsi="Times New Roman" w:cs="Times New Roman"/>
          <w:noProof/>
        </w:rPr>
        <w:t>.</w:t>
      </w:r>
    </w:p>
    <w:p w14:paraId="0F5B3334" w14:textId="77777777" w:rsidR="00806B3B" w:rsidRPr="00806B3B" w:rsidRDefault="00806B3B" w:rsidP="00806B3B">
      <w:pPr>
        <w:pStyle w:val="Bibliografie"/>
        <w:ind w:left="720" w:hanging="720"/>
        <w:rPr>
          <w:rFonts w:ascii="Times New Roman" w:hAnsi="Times New Roman" w:cs="Times New Roman"/>
          <w:noProof/>
        </w:rPr>
      </w:pPr>
      <w:r w:rsidRPr="00806B3B">
        <w:rPr>
          <w:rFonts w:ascii="Times New Roman" w:hAnsi="Times New Roman" w:cs="Times New Roman"/>
          <w:noProof/>
        </w:rPr>
        <w:t xml:space="preserve">Dempsey, S. E. (2009). Critiquing Community Engagement. </w:t>
      </w:r>
      <w:r w:rsidRPr="00806B3B">
        <w:rPr>
          <w:rFonts w:ascii="Times New Roman" w:hAnsi="Times New Roman" w:cs="Times New Roman"/>
          <w:i/>
          <w:iCs/>
          <w:noProof/>
        </w:rPr>
        <w:t>Management Communication Quarterly</w:t>
      </w:r>
      <w:r w:rsidRPr="00806B3B">
        <w:rPr>
          <w:rFonts w:ascii="Times New Roman" w:hAnsi="Times New Roman" w:cs="Times New Roman"/>
          <w:noProof/>
        </w:rPr>
        <w:t>, 7.</w:t>
      </w:r>
    </w:p>
    <w:p w14:paraId="0527E5BA" w14:textId="38C80691" w:rsidR="00806B3B" w:rsidRPr="00806B3B" w:rsidRDefault="00806B3B" w:rsidP="00806B3B">
      <w:pPr>
        <w:spacing w:line="360" w:lineRule="auto"/>
        <w:jc w:val="both"/>
        <w:rPr>
          <w:rFonts w:ascii="Times New Roman" w:hAnsi="Times New Roman" w:cs="Times New Roman"/>
          <w:sz w:val="24"/>
          <w:szCs w:val="24"/>
        </w:rPr>
      </w:pPr>
      <w:r w:rsidRPr="00806B3B">
        <w:rPr>
          <w:rFonts w:ascii="Times New Roman" w:hAnsi="Times New Roman" w:cs="Times New Roman"/>
          <w:sz w:val="24"/>
          <w:szCs w:val="24"/>
        </w:rPr>
        <w:fldChar w:fldCharType="end"/>
      </w:r>
    </w:p>
    <w:p w14:paraId="5A8803BA" w14:textId="77777777" w:rsidR="005D5267" w:rsidRPr="00806B3B" w:rsidRDefault="005D5267" w:rsidP="007B6B73">
      <w:pPr>
        <w:spacing w:line="360" w:lineRule="auto"/>
        <w:ind w:firstLine="720"/>
        <w:jc w:val="both"/>
        <w:rPr>
          <w:rFonts w:ascii="Times New Roman" w:hAnsi="Times New Roman" w:cs="Times New Roman"/>
          <w:sz w:val="24"/>
          <w:szCs w:val="24"/>
        </w:rPr>
      </w:pPr>
    </w:p>
    <w:p w14:paraId="60182E60" w14:textId="77777777" w:rsidR="007B6B73" w:rsidRPr="00806B3B" w:rsidRDefault="007B6B73" w:rsidP="007B6B73">
      <w:pPr>
        <w:spacing w:line="360" w:lineRule="auto"/>
        <w:ind w:firstLine="720"/>
        <w:jc w:val="both"/>
        <w:rPr>
          <w:rFonts w:ascii="Times New Roman" w:hAnsi="Times New Roman" w:cs="Times New Roman"/>
          <w:sz w:val="24"/>
          <w:szCs w:val="24"/>
        </w:rPr>
      </w:pPr>
    </w:p>
    <w:sectPr w:rsidR="007B6B73" w:rsidRPr="00806B3B">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hyphenationZone w:val="425"/>
  <w:characterSpacingControl w:val="doNotCompress"/>
  <w:compat>
    <w:compatSetting w:name="compatibilityMode" w:uri="http://schemas.microsoft.com/office/word" w:val="12"/>
    <w:compatSetting w:name="useWord2013TrackBottomHyphenation" w:uri="http://schemas.microsoft.com/office/word" w:val="0"/>
  </w:compat>
  <w:rsids>
    <w:rsidRoot w:val="003404C6"/>
    <w:rsid w:val="000939C0"/>
    <w:rsid w:val="000A04CF"/>
    <w:rsid w:val="000B3266"/>
    <w:rsid w:val="003404C6"/>
    <w:rsid w:val="00390557"/>
    <w:rsid w:val="00394F4D"/>
    <w:rsid w:val="005D5267"/>
    <w:rsid w:val="007B6B73"/>
    <w:rsid w:val="00806B3B"/>
    <w:rsid w:val="00977D8A"/>
    <w:rsid w:val="009F2D1E"/>
    <w:rsid w:val="00B118E6"/>
    <w:rsid w:val="00DA3E47"/>
    <w:rsid w:val="00F078E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FC06E1"/>
  <w15:chartTrackingRefBased/>
  <w15:docId w15:val="{FB6802D1-5FBD-40E7-9F46-47F13F8A0B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Bibliografie">
    <w:name w:val="Bibliography"/>
    <w:basedOn w:val="Normal"/>
    <w:next w:val="Normal"/>
    <w:uiPriority w:val="37"/>
    <w:unhideWhenUsed/>
    <w:rsid w:val="00806B3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3376783">
      <w:bodyDiv w:val="1"/>
      <w:marLeft w:val="0"/>
      <w:marRight w:val="0"/>
      <w:marTop w:val="0"/>
      <w:marBottom w:val="0"/>
      <w:divBdr>
        <w:top w:val="none" w:sz="0" w:space="0" w:color="auto"/>
        <w:left w:val="none" w:sz="0" w:space="0" w:color="auto"/>
        <w:bottom w:val="none" w:sz="0" w:space="0" w:color="auto"/>
        <w:right w:val="none" w:sz="0" w:space="0" w:color="auto"/>
      </w:divBdr>
    </w:div>
    <w:div w:id="711614051">
      <w:bodyDiv w:val="1"/>
      <w:marLeft w:val="0"/>
      <w:marRight w:val="0"/>
      <w:marTop w:val="0"/>
      <w:marBottom w:val="0"/>
      <w:divBdr>
        <w:top w:val="none" w:sz="0" w:space="0" w:color="auto"/>
        <w:left w:val="none" w:sz="0" w:space="0" w:color="auto"/>
        <w:bottom w:val="none" w:sz="0" w:space="0" w:color="auto"/>
        <w:right w:val="none" w:sz="0" w:space="0" w:color="auto"/>
      </w:divBdr>
    </w:div>
    <w:div w:id="875970175">
      <w:bodyDiv w:val="1"/>
      <w:marLeft w:val="0"/>
      <w:marRight w:val="0"/>
      <w:marTop w:val="0"/>
      <w:marBottom w:val="0"/>
      <w:divBdr>
        <w:top w:val="none" w:sz="0" w:space="0" w:color="auto"/>
        <w:left w:val="none" w:sz="0" w:space="0" w:color="auto"/>
        <w:bottom w:val="none" w:sz="0" w:space="0" w:color="auto"/>
        <w:right w:val="none" w:sz="0" w:space="0" w:color="auto"/>
      </w:divBdr>
    </w:div>
    <w:div w:id="1135022216">
      <w:bodyDiv w:val="1"/>
      <w:marLeft w:val="0"/>
      <w:marRight w:val="0"/>
      <w:marTop w:val="0"/>
      <w:marBottom w:val="0"/>
      <w:divBdr>
        <w:top w:val="none" w:sz="0" w:space="0" w:color="auto"/>
        <w:left w:val="none" w:sz="0" w:space="0" w:color="auto"/>
        <w:bottom w:val="none" w:sz="0" w:space="0" w:color="auto"/>
        <w:right w:val="none" w:sz="0" w:space="0" w:color="auto"/>
      </w:divBdr>
    </w:div>
    <w:div w:id="1292054268">
      <w:bodyDiv w:val="1"/>
      <w:marLeft w:val="0"/>
      <w:marRight w:val="0"/>
      <w:marTop w:val="0"/>
      <w:marBottom w:val="0"/>
      <w:divBdr>
        <w:top w:val="none" w:sz="0" w:space="0" w:color="auto"/>
        <w:left w:val="none" w:sz="0" w:space="0" w:color="auto"/>
        <w:bottom w:val="none" w:sz="0" w:space="0" w:color="auto"/>
        <w:right w:val="none" w:sz="0" w:space="0" w:color="auto"/>
      </w:divBdr>
    </w:div>
    <w:div w:id="1704020833">
      <w:bodyDiv w:val="1"/>
      <w:marLeft w:val="0"/>
      <w:marRight w:val="0"/>
      <w:marTop w:val="0"/>
      <w:marBottom w:val="0"/>
      <w:divBdr>
        <w:top w:val="none" w:sz="0" w:space="0" w:color="auto"/>
        <w:left w:val="none" w:sz="0" w:space="0" w:color="auto"/>
        <w:bottom w:val="none" w:sz="0" w:space="0" w:color="auto"/>
        <w:right w:val="none" w:sz="0" w:space="0" w:color="auto"/>
      </w:divBdr>
    </w:div>
    <w:div w:id="19663034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Sar09</b:Tag>
    <b:SourceType>JournalArticle</b:SourceType>
    <b:Guid>{C5896C00-E730-41D6-8B3A-F4EE160C2BA7}</b:Guid>
    <b:Author>
      <b:Author>
        <b:NameList>
          <b:Person>
            <b:Last>Dempsey</b:Last>
            <b:First>Sarah</b:First>
            <b:Middle>E.</b:Middle>
          </b:Person>
        </b:NameList>
      </b:Author>
    </b:Author>
    <b:Title>Critiquing Community Engagement</b:Title>
    <b:JournalName>Management Communication Quarterly</b:JournalName>
    <b:Year>2009</b:Year>
    <b:Pages>7</b:Pages>
    <b:RefOrder>1</b:RefOrder>
  </b:Source>
  <b:Source>
    <b:Tag>Bry20</b:Tag>
    <b:SourceType>JournalArticle</b:SourceType>
    <b:Guid>{9F3E2036-E1BE-413C-903F-CA59E67D119C}</b:Guid>
    <b:Author>
      <b:Author>
        <b:NameList>
          <b:Person>
            <b:Last>Brynne Gilmore</b:Last>
            <b:First>Rawlance</b:First>
            <b:Middle>Ndejjo, Adalbert Tchetchia</b:Middle>
          </b:Person>
        </b:NameList>
      </b:Author>
    </b:Author>
    <b:Title>Community engagement for COVID-19 prevention and control: a rapid evidence synthesis</b:Title>
    <b:JournalName>BMJ Global Health</b:JournalName>
    <b:Year>2020</b:Year>
    <b:RefOrder>2</b:RefOrder>
  </b:Source>
  <b:Source>
    <b:Tag>Joh20</b:Tag>
    <b:SourceType>JournalArticle</b:SourceType>
    <b:Guid>{F3154441-5208-4621-90E7-81385EF4E7B8}</b:Guid>
    <b:Author>
      <b:Author>
        <b:NameList>
          <b:Person>
            <b:Last>Daniel</b:Last>
            <b:First>John</b:First>
          </b:Person>
        </b:NameList>
      </b:Author>
    </b:Author>
    <b:Title>Education and the COVID-19 pandemic</b:Title>
    <b:JournalName>Prospects 49</b:JournalName>
    <b:Year>2020</b:Year>
    <b:RefOrder>3</b:RefOrder>
  </b:Source>
</b:Sources>
</file>

<file path=customXml/itemProps1.xml><?xml version="1.0" encoding="utf-8"?>
<ds:datastoreItem xmlns:ds="http://schemas.openxmlformats.org/officeDocument/2006/customXml" ds:itemID="{41D4CD1F-6A99-490B-BA83-84FBD2AF71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115</TotalTime>
  <Pages>1</Pages>
  <Words>1850</Words>
  <Characters>10732</Characters>
  <Application>Microsoft Office Word</Application>
  <DocSecurity>0</DocSecurity>
  <Lines>89</Lines>
  <Paragraphs>25</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12557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Cosmin Bădulescu</dc:creator>
  <cp:keywords/>
  <dc:description/>
  <cp:lastModifiedBy>Cosmin Bădulescu</cp:lastModifiedBy>
  <cp:revision>9</cp:revision>
  <dcterms:created xsi:type="dcterms:W3CDTF">2021-09-03T05:24:00Z</dcterms:created>
  <dcterms:modified xsi:type="dcterms:W3CDTF">2021-09-03T14:23:00Z</dcterms:modified>
</cp:coreProperties>
</file>