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59199329"/>
        <w:docPartObj>
          <w:docPartGallery w:val="Cover Pages"/>
          <w:docPartUnique/>
        </w:docPartObj>
      </w:sdtPr>
      <w:sdtEndPr>
        <w:rPr>
          <w:rFonts w:ascii="Arial" w:hAnsi="Arial" w:cs="Arial"/>
        </w:rPr>
      </w:sdtEndPr>
      <w:sdtContent>
        <w:p w14:paraId="693C3411" w14:textId="22F9DB77" w:rsidR="00197001" w:rsidRDefault="00197001"/>
        <w:p w14:paraId="6EBEEAE1" w14:textId="1A0FE9EA" w:rsidR="00197001" w:rsidRDefault="00197001">
          <w:pPr>
            <w:rPr>
              <w:rFonts w:ascii="Arial" w:hAnsi="Arial" w:cs="Arial"/>
            </w:rPr>
          </w:pPr>
          <w:r>
            <w:rPr>
              <w:noProof/>
            </w:rPr>
            <mc:AlternateContent>
              <mc:Choice Requires="wps">
                <w:drawing>
                  <wp:anchor distT="0" distB="0" distL="182880" distR="182880" simplePos="0" relativeHeight="251660288" behindDoc="0" locked="0" layoutInCell="1" allowOverlap="1" wp14:anchorId="19F0706B" wp14:editId="49513A86">
                    <wp:simplePos x="0" y="0"/>
                    <wp:positionH relativeFrom="margin">
                      <wp:posOffset>279400</wp:posOffset>
                    </wp:positionH>
                    <wp:positionV relativeFrom="page">
                      <wp:posOffset>2584450</wp:posOffset>
                    </wp:positionV>
                    <wp:extent cx="5448300" cy="3911600"/>
                    <wp:effectExtent l="0" t="0" r="0" b="12700"/>
                    <wp:wrapSquare wrapText="bothSides"/>
                    <wp:docPr id="131" name="Text Box 131"/>
                    <wp:cNvGraphicFramePr/>
                    <a:graphic xmlns:a="http://schemas.openxmlformats.org/drawingml/2006/main">
                      <a:graphicData uri="http://schemas.microsoft.com/office/word/2010/wordprocessingShape">
                        <wps:wsp>
                          <wps:cNvSpPr txBox="1"/>
                          <wps:spPr>
                            <a:xfrm>
                              <a:off x="0" y="0"/>
                              <a:ext cx="5448300" cy="3911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A5961" w14:textId="12F90175" w:rsidR="00197001"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1C3814">
                                      <w:rPr>
                                        <w:color w:val="156082" w:themeColor="accent1"/>
                                        <w:sz w:val="72"/>
                                        <w:szCs w:val="72"/>
                                      </w:rPr>
                                      <w:t xml:space="preserve">Module Name: Introduction to Health and Social Care                      </w:t>
                                    </w:r>
                                    <w:r w:rsidR="00417C41">
                                      <w:rPr>
                                        <w:color w:val="156082" w:themeColor="accent1"/>
                                        <w:sz w:val="72"/>
                                        <w:szCs w:val="72"/>
                                      </w:rPr>
                                      <w:t xml:space="preserve">Module Title: LCHS4004    </w:t>
                                    </w:r>
                                    <w:r w:rsidR="00757624">
                                      <w:rPr>
                                        <w:color w:val="156082" w:themeColor="accent1"/>
                                        <w:sz w:val="72"/>
                                        <w:szCs w:val="72"/>
                                      </w:rPr>
                                      <w:t>Assignment Title</w:t>
                                    </w:r>
                                    <w:r w:rsidR="00EE7531">
                                      <w:rPr>
                                        <w:color w:val="156082" w:themeColor="accent1"/>
                                        <w:sz w:val="72"/>
                                        <w:szCs w:val="72"/>
                                      </w:rPr>
                                      <w:t>: Case Study of Mrs Thompson</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1D3B899" w14:textId="2489492B" w:rsidR="00197001" w:rsidRDefault="006C7CF9">
                                    <w:pPr>
                                      <w:pStyle w:val="NoSpacing"/>
                                      <w:spacing w:before="40" w:after="40"/>
                                      <w:rPr>
                                        <w:caps/>
                                        <w:color w:val="501549" w:themeColor="accent5" w:themeShade="80"/>
                                        <w:sz w:val="28"/>
                                        <w:szCs w:val="28"/>
                                      </w:rPr>
                                    </w:pPr>
                                    <w:r>
                                      <w:rPr>
                                        <w:caps/>
                                        <w:color w:val="501549" w:themeColor="accent5" w:themeShade="80"/>
                                        <w:sz w:val="28"/>
                                        <w:szCs w:val="28"/>
                                      </w:rPr>
                                      <w:t xml:space="preserve">Nevaeh Salmon </w:t>
                                    </w:r>
                                    <w:r w:rsidR="00EB0012">
                                      <w:rPr>
                                        <w:caps/>
                                        <w:color w:val="501549" w:themeColor="accent5" w:themeShade="80"/>
                                        <w:sz w:val="28"/>
                                        <w:szCs w:val="28"/>
                                      </w:rPr>
                                      <w:t>[</w:t>
                                    </w:r>
                                    <w:r>
                                      <w:rPr>
                                        <w:caps/>
                                        <w:color w:val="501549" w:themeColor="accent5" w:themeShade="80"/>
                                        <w:sz w:val="28"/>
                                        <w:szCs w:val="28"/>
                                      </w:rPr>
                                      <w:t>2521130</w:t>
                                    </w:r>
                                    <w:r w:rsidR="00EB0012">
                                      <w:rPr>
                                        <w:caps/>
                                        <w:color w:val="501549" w:themeColor="accent5" w:themeShade="80"/>
                                        <w:sz w:val="28"/>
                                        <w:szCs w:val="28"/>
                                      </w:rPr>
                                      <w:t>]</w:t>
                                    </w:r>
                                  </w:p>
                                </w:sdtContent>
                              </w:sdt>
                              <w:p w14:paraId="625DC808" w14:textId="4351BB14" w:rsidR="00197001" w:rsidRDefault="00000000">
                                <w:pPr>
                                  <w:pStyle w:val="NoSpacing"/>
                                  <w:spacing w:before="80" w:after="40"/>
                                  <w:rPr>
                                    <w:caps/>
                                    <w:color w:val="A02B93" w:themeColor="accent5"/>
                                    <w:sz w:val="24"/>
                                    <w:szCs w:val="24"/>
                                  </w:rPr>
                                </w:pPr>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sidR="00F14223">
                                      <w:rPr>
                                        <w:caps/>
                                        <w:color w:val="A02B93" w:themeColor="accent5"/>
                                        <w:sz w:val="24"/>
                                        <w:szCs w:val="24"/>
                                      </w:rPr>
                                      <w:t>lecture name: Daniel Haruna</w:t>
                                    </w:r>
                                  </w:sdtContent>
                                </w:sdt>
                              </w:p>
                              <w:p w14:paraId="5BF9D39B" w14:textId="77777777" w:rsidR="00F232F4" w:rsidRDefault="00F232F4">
                                <w:pPr>
                                  <w:pStyle w:val="NoSpacing"/>
                                  <w:spacing w:before="80" w:after="40"/>
                                  <w:rPr>
                                    <w:caps/>
                                    <w:color w:val="A02B93" w:themeColor="accent5"/>
                                    <w:sz w:val="24"/>
                                    <w:szCs w:val="24"/>
                                  </w:rPr>
                                </w:pPr>
                              </w:p>
                              <w:p w14:paraId="670AD2DD" w14:textId="23E0F22F" w:rsidR="00F232F4" w:rsidRDefault="000E1A1E">
                                <w:pPr>
                                  <w:pStyle w:val="NoSpacing"/>
                                  <w:spacing w:before="80" w:after="40"/>
                                  <w:rPr>
                                    <w:caps/>
                                    <w:color w:val="A02B93" w:themeColor="accent5"/>
                                    <w:sz w:val="24"/>
                                    <w:szCs w:val="24"/>
                                  </w:rPr>
                                </w:pPr>
                                <w:r>
                                  <w:rPr>
                                    <w:caps/>
                                    <w:color w:val="A02B93" w:themeColor="accent5"/>
                                    <w:sz w:val="24"/>
                                    <w:szCs w:val="24"/>
                                  </w:rPr>
                                  <w:t>date of submission:</w:t>
                                </w:r>
                                <w:r w:rsidR="000256B9">
                                  <w:rPr>
                                    <w:caps/>
                                    <w:color w:val="A02B93" w:themeColor="accent5"/>
                                    <w:sz w:val="24"/>
                                    <w:szCs w:val="24"/>
                                  </w:rPr>
                                  <w:t>17</w:t>
                                </w:r>
                                <w:r w:rsidR="001E6D62">
                                  <w:rPr>
                                    <w:caps/>
                                    <w:color w:val="A02B93" w:themeColor="accent5"/>
                                    <w:sz w:val="24"/>
                                    <w:szCs w:val="24"/>
                                  </w:rPr>
                                  <w:t>/07/2026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9F0706B" id="_x0000_t202" coordsize="21600,21600" o:spt="202" path="m,l,21600r21600,l21600,xe">
                    <v:stroke joinstyle="miter"/>
                    <v:path gradientshapeok="t" o:connecttype="rect"/>
                  </v:shapetype>
                  <v:shape id="Text Box 131" o:spid="_x0000_s1026" type="#_x0000_t202" style="position:absolute;margin-left:22pt;margin-top:203.5pt;width:429pt;height:308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" filled="f" stroked="f" strokeweight=".5pt">
                    <v:textbox inset="0,0,0,0">
                      <w:txbxContent>
                        <w:p w14:paraId="54CA5961" w14:textId="12F90175" w:rsidR="00197001"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1C3814">
                                <w:rPr>
                                  <w:color w:val="156082" w:themeColor="accent1"/>
                                  <w:sz w:val="72"/>
                                  <w:szCs w:val="72"/>
                                </w:rPr>
                                <w:t xml:space="preserve">Module Name: Introduction to Health and Social Care                      </w:t>
                              </w:r>
                              <w:r w:rsidR="00417C41">
                                <w:rPr>
                                  <w:color w:val="156082" w:themeColor="accent1"/>
                                  <w:sz w:val="72"/>
                                  <w:szCs w:val="72"/>
                                </w:rPr>
                                <w:t xml:space="preserve">Module Title: LCHS4004    </w:t>
                              </w:r>
                              <w:r w:rsidR="00757624">
                                <w:rPr>
                                  <w:color w:val="156082" w:themeColor="accent1"/>
                                  <w:sz w:val="72"/>
                                  <w:szCs w:val="72"/>
                                </w:rPr>
                                <w:t>Assignment Title</w:t>
                              </w:r>
                              <w:r w:rsidR="00EE7531">
                                <w:rPr>
                                  <w:color w:val="156082" w:themeColor="accent1"/>
                                  <w:sz w:val="72"/>
                                  <w:szCs w:val="72"/>
                                </w:rPr>
                                <w:t>: Case Study of Mrs Thompson</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1D3B899" w14:textId="2489492B" w:rsidR="00197001" w:rsidRDefault="006C7CF9">
                              <w:pPr>
                                <w:pStyle w:val="NoSpacing"/>
                                <w:spacing w:before="40" w:after="40"/>
                                <w:rPr>
                                  <w:caps/>
                                  <w:color w:val="501549" w:themeColor="accent5" w:themeShade="80"/>
                                  <w:sz w:val="28"/>
                                  <w:szCs w:val="28"/>
                                </w:rPr>
                              </w:pPr>
                              <w:r>
                                <w:rPr>
                                  <w:caps/>
                                  <w:color w:val="501549" w:themeColor="accent5" w:themeShade="80"/>
                                  <w:sz w:val="28"/>
                                  <w:szCs w:val="28"/>
                                </w:rPr>
                                <w:t xml:space="preserve">Nevaeh Salmon </w:t>
                              </w:r>
                              <w:r w:rsidR="00EB0012">
                                <w:rPr>
                                  <w:caps/>
                                  <w:color w:val="501549" w:themeColor="accent5" w:themeShade="80"/>
                                  <w:sz w:val="28"/>
                                  <w:szCs w:val="28"/>
                                </w:rPr>
                                <w:t>[</w:t>
                              </w:r>
                              <w:r>
                                <w:rPr>
                                  <w:caps/>
                                  <w:color w:val="501549" w:themeColor="accent5" w:themeShade="80"/>
                                  <w:sz w:val="28"/>
                                  <w:szCs w:val="28"/>
                                </w:rPr>
                                <w:t>2521130</w:t>
                              </w:r>
                              <w:r w:rsidR="00EB0012">
                                <w:rPr>
                                  <w:caps/>
                                  <w:color w:val="501549" w:themeColor="accent5" w:themeShade="80"/>
                                  <w:sz w:val="28"/>
                                  <w:szCs w:val="28"/>
                                </w:rPr>
                                <w:t>]</w:t>
                              </w:r>
                            </w:p>
                          </w:sdtContent>
                        </w:sdt>
                        <w:p w14:paraId="625DC808" w14:textId="4351BB14" w:rsidR="00197001" w:rsidRDefault="00000000">
                          <w:pPr>
                            <w:pStyle w:val="NoSpacing"/>
                            <w:spacing w:before="80" w:after="40"/>
                            <w:rPr>
                              <w:caps/>
                              <w:color w:val="A02B93" w:themeColor="accent5"/>
                              <w:sz w:val="24"/>
                              <w:szCs w:val="24"/>
                            </w:rPr>
                          </w:pPr>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sidR="00F14223">
                                <w:rPr>
                                  <w:caps/>
                                  <w:color w:val="A02B93" w:themeColor="accent5"/>
                                  <w:sz w:val="24"/>
                                  <w:szCs w:val="24"/>
                                </w:rPr>
                                <w:t>lecture name: Daniel Haruna</w:t>
                              </w:r>
                            </w:sdtContent>
                          </w:sdt>
                        </w:p>
                        <w:p w14:paraId="5BF9D39B" w14:textId="77777777" w:rsidR="00F232F4" w:rsidRDefault="00F232F4">
                          <w:pPr>
                            <w:pStyle w:val="NoSpacing"/>
                            <w:spacing w:before="80" w:after="40"/>
                            <w:rPr>
                              <w:caps/>
                              <w:color w:val="A02B93" w:themeColor="accent5"/>
                              <w:sz w:val="24"/>
                              <w:szCs w:val="24"/>
                            </w:rPr>
                          </w:pPr>
                        </w:p>
                        <w:p w14:paraId="670AD2DD" w14:textId="23E0F22F" w:rsidR="00F232F4" w:rsidRDefault="000E1A1E">
                          <w:pPr>
                            <w:pStyle w:val="NoSpacing"/>
                            <w:spacing w:before="80" w:after="40"/>
                            <w:rPr>
                              <w:caps/>
                              <w:color w:val="A02B93" w:themeColor="accent5"/>
                              <w:sz w:val="24"/>
                              <w:szCs w:val="24"/>
                            </w:rPr>
                          </w:pPr>
                          <w:r>
                            <w:rPr>
                              <w:caps/>
                              <w:color w:val="A02B93" w:themeColor="accent5"/>
                              <w:sz w:val="24"/>
                              <w:szCs w:val="24"/>
                            </w:rPr>
                            <w:t>date of submission:</w:t>
                          </w:r>
                          <w:r w:rsidR="000256B9">
                            <w:rPr>
                              <w:caps/>
                              <w:color w:val="A02B93" w:themeColor="accent5"/>
                              <w:sz w:val="24"/>
                              <w:szCs w:val="24"/>
                            </w:rPr>
                            <w:t>17</w:t>
                          </w:r>
                          <w:r w:rsidR="001E6D62">
                            <w:rPr>
                              <w:caps/>
                              <w:color w:val="A02B93" w:themeColor="accent5"/>
                              <w:sz w:val="24"/>
                              <w:szCs w:val="24"/>
                            </w:rPr>
                            <w:t>/07/2026</w:t>
                          </w: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9B95AB2" wp14:editId="46D91BE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1T00:00:00Z">
                                    <w:dateFormat w:val="yyyy"/>
                                    <w:lid w:val="en-GB"/>
                                    <w:storeMappedDataAs w:val="dateTime"/>
                                    <w:calendar w:val="gregorian"/>
                                  </w:date>
                                </w:sdtPr>
                                <w:sdtContent>
                                  <w:p w14:paraId="36B48548" w14:textId="401AD2E9" w:rsidR="00197001" w:rsidRDefault="00F00A25">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9B95AB2"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1T00:00:00Z">
                              <w:dateFormat w:val="yyyy"/>
                              <w:lid w:val="en-GB"/>
                              <w:storeMappedDataAs w:val="dateTime"/>
                              <w:calendar w:val="gregorian"/>
                            </w:date>
                          </w:sdtPr>
                          <w:sdtContent>
                            <w:p w14:paraId="36B48548" w14:textId="401AD2E9" w:rsidR="00197001" w:rsidRDefault="00F00A25">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rPr>
              <w:rFonts w:ascii="Arial" w:hAnsi="Arial" w:cs="Arial"/>
            </w:rPr>
            <w:br w:type="page"/>
          </w:r>
        </w:p>
      </w:sdtContent>
    </w:sdt>
    <w:p w14:paraId="72A428DB" w14:textId="77777777" w:rsidR="00BC6203" w:rsidRDefault="00BC6203">
      <w:pPr>
        <w:rPr>
          <w:rFonts w:ascii="Arial" w:hAnsi="Arial" w:cs="Arial"/>
        </w:rPr>
      </w:pPr>
    </w:p>
    <w:sdt>
      <w:sdtPr>
        <w:rPr>
          <w:rFonts w:asciiTheme="minorHAnsi" w:eastAsiaTheme="minorHAnsi" w:hAnsiTheme="minorHAnsi" w:cstheme="minorBidi"/>
          <w:color w:val="auto"/>
          <w:kern w:val="2"/>
          <w:sz w:val="24"/>
          <w:szCs w:val="24"/>
          <w:lang w:eastAsia="en-US"/>
          <w14:ligatures w14:val="standardContextual"/>
        </w:rPr>
        <w:id w:val="-1248720976"/>
        <w:docPartObj>
          <w:docPartGallery w:val="Table of Contents"/>
          <w:docPartUnique/>
        </w:docPartObj>
      </w:sdtPr>
      <w:sdtEndPr>
        <w:rPr>
          <w:b/>
          <w:bCs/>
        </w:rPr>
      </w:sdtEndPr>
      <w:sdtContent>
        <w:p w14:paraId="0B521D02" w14:textId="6C1E204A" w:rsidR="00820C1F" w:rsidRDefault="00820C1F">
          <w:pPr>
            <w:pStyle w:val="TOCHeading"/>
          </w:pPr>
          <w:r>
            <w:t>Contents</w:t>
          </w:r>
        </w:p>
        <w:p w14:paraId="1ADAED88" w14:textId="09DA55BA" w:rsidR="0011563D" w:rsidRDefault="00820C1F">
          <w:pPr>
            <w:pStyle w:val="TOC1"/>
            <w:rPr>
              <w:rFonts w:asciiTheme="minorHAnsi" w:eastAsiaTheme="minorEastAsia" w:hAnsiTheme="minorHAnsi" w:cstheme="minorBidi"/>
              <w:lang w:eastAsia="en-GB"/>
            </w:rPr>
          </w:pPr>
          <w:r>
            <w:fldChar w:fldCharType="begin"/>
          </w:r>
          <w:r>
            <w:instrText xml:space="preserve"> TOC \o "1-3" \h \z \u </w:instrText>
          </w:r>
          <w:r>
            <w:fldChar w:fldCharType="separate"/>
          </w:r>
          <w:hyperlink w:anchor="_Toc235201299" w:history="1">
            <w:r w:rsidR="0011563D" w:rsidRPr="00BD6378">
              <w:rPr>
                <w:rStyle w:val="Hyperlink"/>
              </w:rPr>
              <w:t>Introduction</w:t>
            </w:r>
            <w:r w:rsidR="0011563D">
              <w:rPr>
                <w:webHidden/>
              </w:rPr>
              <w:tab/>
            </w:r>
            <w:r w:rsidR="0011563D">
              <w:rPr>
                <w:webHidden/>
              </w:rPr>
              <w:fldChar w:fldCharType="begin"/>
            </w:r>
            <w:r w:rsidR="0011563D">
              <w:rPr>
                <w:webHidden/>
              </w:rPr>
              <w:instrText xml:space="preserve"> PAGEREF _Toc235201299 \h </w:instrText>
            </w:r>
            <w:r w:rsidR="0011563D">
              <w:rPr>
                <w:webHidden/>
              </w:rPr>
            </w:r>
            <w:r w:rsidR="0011563D">
              <w:rPr>
                <w:webHidden/>
              </w:rPr>
              <w:fldChar w:fldCharType="separate"/>
            </w:r>
            <w:r w:rsidR="0011563D">
              <w:rPr>
                <w:webHidden/>
              </w:rPr>
              <w:t>2</w:t>
            </w:r>
            <w:r w:rsidR="0011563D">
              <w:rPr>
                <w:webHidden/>
              </w:rPr>
              <w:fldChar w:fldCharType="end"/>
            </w:r>
          </w:hyperlink>
        </w:p>
        <w:p w14:paraId="5BD74196" w14:textId="5472FD0F" w:rsidR="0011563D" w:rsidRDefault="0011563D">
          <w:pPr>
            <w:pStyle w:val="TOC1"/>
            <w:rPr>
              <w:rFonts w:asciiTheme="minorHAnsi" w:eastAsiaTheme="minorEastAsia" w:hAnsiTheme="minorHAnsi" w:cstheme="minorBidi"/>
              <w:lang w:eastAsia="en-GB"/>
            </w:rPr>
          </w:pPr>
          <w:hyperlink w:anchor="_Toc235201300" w:history="1">
            <w:r w:rsidRPr="00BD6378">
              <w:rPr>
                <w:rStyle w:val="Hyperlink"/>
              </w:rPr>
              <w:t>The importance of the Effective Communication in Mrs Thompon’s Care</w:t>
            </w:r>
            <w:r>
              <w:rPr>
                <w:webHidden/>
              </w:rPr>
              <w:tab/>
            </w:r>
            <w:r>
              <w:rPr>
                <w:webHidden/>
              </w:rPr>
              <w:fldChar w:fldCharType="begin"/>
            </w:r>
            <w:r>
              <w:rPr>
                <w:webHidden/>
              </w:rPr>
              <w:instrText xml:space="preserve"> PAGEREF _Toc235201300 \h </w:instrText>
            </w:r>
            <w:r>
              <w:rPr>
                <w:webHidden/>
              </w:rPr>
            </w:r>
            <w:r>
              <w:rPr>
                <w:webHidden/>
              </w:rPr>
              <w:fldChar w:fldCharType="separate"/>
            </w:r>
            <w:r>
              <w:rPr>
                <w:webHidden/>
              </w:rPr>
              <w:t>3</w:t>
            </w:r>
            <w:r>
              <w:rPr>
                <w:webHidden/>
              </w:rPr>
              <w:fldChar w:fldCharType="end"/>
            </w:r>
          </w:hyperlink>
        </w:p>
        <w:p w14:paraId="6BFC06C2" w14:textId="25E26575" w:rsidR="0011563D" w:rsidRDefault="0011563D">
          <w:pPr>
            <w:pStyle w:val="TOC1"/>
            <w:rPr>
              <w:rFonts w:asciiTheme="minorHAnsi" w:eastAsiaTheme="minorEastAsia" w:hAnsiTheme="minorHAnsi" w:cstheme="minorBidi"/>
              <w:lang w:eastAsia="en-GB"/>
            </w:rPr>
          </w:pPr>
          <w:hyperlink w:anchor="_Toc235201301" w:history="1">
            <w:r w:rsidRPr="00BD6378">
              <w:rPr>
                <w:rStyle w:val="Hyperlink"/>
              </w:rPr>
              <w:t>The importance of Good Administrative Skills Within Professional Practice in the Context of Mrs Thompson’s Care</w:t>
            </w:r>
            <w:r>
              <w:rPr>
                <w:webHidden/>
              </w:rPr>
              <w:tab/>
            </w:r>
            <w:r>
              <w:rPr>
                <w:webHidden/>
              </w:rPr>
              <w:fldChar w:fldCharType="begin"/>
            </w:r>
            <w:r>
              <w:rPr>
                <w:webHidden/>
              </w:rPr>
              <w:instrText xml:space="preserve"> PAGEREF _Toc235201301 \h </w:instrText>
            </w:r>
            <w:r>
              <w:rPr>
                <w:webHidden/>
              </w:rPr>
            </w:r>
            <w:r>
              <w:rPr>
                <w:webHidden/>
              </w:rPr>
              <w:fldChar w:fldCharType="separate"/>
            </w:r>
            <w:r>
              <w:rPr>
                <w:webHidden/>
              </w:rPr>
              <w:t>5</w:t>
            </w:r>
            <w:r>
              <w:rPr>
                <w:webHidden/>
              </w:rPr>
              <w:fldChar w:fldCharType="end"/>
            </w:r>
          </w:hyperlink>
        </w:p>
        <w:p w14:paraId="3E9C3690" w14:textId="34F694AB" w:rsidR="0011563D" w:rsidRDefault="0011563D">
          <w:pPr>
            <w:pStyle w:val="TOC1"/>
            <w:rPr>
              <w:rFonts w:asciiTheme="minorHAnsi" w:eastAsiaTheme="minorEastAsia" w:hAnsiTheme="minorHAnsi" w:cstheme="minorBidi"/>
              <w:lang w:eastAsia="en-GB"/>
            </w:rPr>
          </w:pPr>
          <w:hyperlink w:anchor="_Toc235201302" w:history="1">
            <w:r w:rsidRPr="00BD6378">
              <w:rPr>
                <w:rStyle w:val="Hyperlink"/>
              </w:rPr>
              <w:t>The importance of collaborative working in Mrs Thompson’s Care</w:t>
            </w:r>
            <w:r>
              <w:rPr>
                <w:webHidden/>
              </w:rPr>
              <w:tab/>
            </w:r>
            <w:r>
              <w:rPr>
                <w:webHidden/>
              </w:rPr>
              <w:fldChar w:fldCharType="begin"/>
            </w:r>
            <w:r>
              <w:rPr>
                <w:webHidden/>
              </w:rPr>
              <w:instrText xml:space="preserve"> PAGEREF _Toc235201302 \h </w:instrText>
            </w:r>
            <w:r>
              <w:rPr>
                <w:webHidden/>
              </w:rPr>
            </w:r>
            <w:r>
              <w:rPr>
                <w:webHidden/>
              </w:rPr>
              <w:fldChar w:fldCharType="separate"/>
            </w:r>
            <w:r>
              <w:rPr>
                <w:webHidden/>
              </w:rPr>
              <w:t>7</w:t>
            </w:r>
            <w:r>
              <w:rPr>
                <w:webHidden/>
              </w:rPr>
              <w:fldChar w:fldCharType="end"/>
            </w:r>
          </w:hyperlink>
        </w:p>
        <w:p w14:paraId="09E61658" w14:textId="3AE31955" w:rsidR="0011563D" w:rsidRDefault="0011563D">
          <w:pPr>
            <w:pStyle w:val="TOC1"/>
            <w:rPr>
              <w:rFonts w:asciiTheme="minorHAnsi" w:eastAsiaTheme="minorEastAsia" w:hAnsiTheme="minorHAnsi" w:cstheme="minorBidi"/>
              <w:lang w:eastAsia="en-GB"/>
            </w:rPr>
          </w:pPr>
          <w:hyperlink w:anchor="_Toc235201303" w:history="1">
            <w:r w:rsidRPr="00BD6378">
              <w:rPr>
                <w:rStyle w:val="Hyperlink"/>
              </w:rPr>
              <w:t>Conclusion</w:t>
            </w:r>
            <w:r>
              <w:rPr>
                <w:webHidden/>
              </w:rPr>
              <w:tab/>
            </w:r>
            <w:r>
              <w:rPr>
                <w:webHidden/>
              </w:rPr>
              <w:fldChar w:fldCharType="begin"/>
            </w:r>
            <w:r>
              <w:rPr>
                <w:webHidden/>
              </w:rPr>
              <w:instrText xml:space="preserve"> PAGEREF _Toc235201303 \h </w:instrText>
            </w:r>
            <w:r>
              <w:rPr>
                <w:webHidden/>
              </w:rPr>
            </w:r>
            <w:r>
              <w:rPr>
                <w:webHidden/>
              </w:rPr>
              <w:fldChar w:fldCharType="separate"/>
            </w:r>
            <w:r>
              <w:rPr>
                <w:webHidden/>
              </w:rPr>
              <w:t>9</w:t>
            </w:r>
            <w:r>
              <w:rPr>
                <w:webHidden/>
              </w:rPr>
              <w:fldChar w:fldCharType="end"/>
            </w:r>
          </w:hyperlink>
        </w:p>
        <w:p w14:paraId="5AF3F440" w14:textId="4CD77F60" w:rsidR="0011563D" w:rsidRDefault="0011563D">
          <w:pPr>
            <w:pStyle w:val="TOC1"/>
            <w:rPr>
              <w:rFonts w:asciiTheme="minorHAnsi" w:eastAsiaTheme="minorEastAsia" w:hAnsiTheme="minorHAnsi" w:cstheme="minorBidi"/>
              <w:lang w:eastAsia="en-GB"/>
            </w:rPr>
          </w:pPr>
          <w:hyperlink w:anchor="_Toc235201304" w:history="1">
            <w:r w:rsidRPr="00BD6378">
              <w:rPr>
                <w:rStyle w:val="Hyperlink"/>
              </w:rPr>
              <w:t>References</w:t>
            </w:r>
            <w:r>
              <w:rPr>
                <w:webHidden/>
              </w:rPr>
              <w:tab/>
            </w:r>
            <w:r>
              <w:rPr>
                <w:webHidden/>
              </w:rPr>
              <w:fldChar w:fldCharType="begin"/>
            </w:r>
            <w:r>
              <w:rPr>
                <w:webHidden/>
              </w:rPr>
              <w:instrText xml:space="preserve"> PAGEREF _Toc235201304 \h </w:instrText>
            </w:r>
            <w:r>
              <w:rPr>
                <w:webHidden/>
              </w:rPr>
            </w:r>
            <w:r>
              <w:rPr>
                <w:webHidden/>
              </w:rPr>
              <w:fldChar w:fldCharType="separate"/>
            </w:r>
            <w:r>
              <w:rPr>
                <w:webHidden/>
              </w:rPr>
              <w:t>10</w:t>
            </w:r>
            <w:r>
              <w:rPr>
                <w:webHidden/>
              </w:rPr>
              <w:fldChar w:fldCharType="end"/>
            </w:r>
          </w:hyperlink>
        </w:p>
        <w:p w14:paraId="682F8049" w14:textId="5BEE23A0" w:rsidR="00820C1F" w:rsidRDefault="00820C1F">
          <w:r>
            <w:rPr>
              <w:b/>
              <w:bCs/>
            </w:rPr>
            <w:fldChar w:fldCharType="end"/>
          </w:r>
        </w:p>
      </w:sdtContent>
    </w:sdt>
    <w:p w14:paraId="3D895289" w14:textId="77777777" w:rsidR="003F66A5" w:rsidRDefault="003F66A5">
      <w:pPr>
        <w:rPr>
          <w:rFonts w:ascii="Arial" w:hAnsi="Arial" w:cs="Arial"/>
        </w:rPr>
      </w:pPr>
    </w:p>
    <w:p w14:paraId="47B2F7A0" w14:textId="77777777" w:rsidR="003F66A5" w:rsidRDefault="003F66A5">
      <w:pPr>
        <w:rPr>
          <w:rFonts w:ascii="Arial" w:hAnsi="Arial" w:cs="Arial"/>
        </w:rPr>
      </w:pPr>
    </w:p>
    <w:p w14:paraId="228739A1" w14:textId="77777777" w:rsidR="003F66A5" w:rsidRDefault="003F66A5">
      <w:pPr>
        <w:rPr>
          <w:rFonts w:ascii="Arial" w:hAnsi="Arial" w:cs="Arial"/>
        </w:rPr>
      </w:pPr>
    </w:p>
    <w:p w14:paraId="6BC5881E" w14:textId="77777777" w:rsidR="003F66A5" w:rsidRDefault="003F66A5">
      <w:pPr>
        <w:rPr>
          <w:rFonts w:ascii="Arial" w:hAnsi="Arial" w:cs="Arial"/>
        </w:rPr>
      </w:pPr>
    </w:p>
    <w:p w14:paraId="7338F409" w14:textId="77777777" w:rsidR="003F66A5" w:rsidRDefault="003F66A5">
      <w:pPr>
        <w:rPr>
          <w:rFonts w:ascii="Arial" w:hAnsi="Arial" w:cs="Arial"/>
        </w:rPr>
      </w:pPr>
    </w:p>
    <w:p w14:paraId="205E3D05" w14:textId="77777777" w:rsidR="003F66A5" w:rsidRDefault="003F66A5">
      <w:pPr>
        <w:rPr>
          <w:rFonts w:ascii="Arial" w:hAnsi="Arial" w:cs="Arial"/>
        </w:rPr>
      </w:pPr>
    </w:p>
    <w:p w14:paraId="6FDFA639" w14:textId="77777777" w:rsidR="003F66A5" w:rsidRDefault="003F66A5">
      <w:pPr>
        <w:rPr>
          <w:rFonts w:ascii="Arial" w:hAnsi="Arial" w:cs="Arial"/>
        </w:rPr>
      </w:pPr>
    </w:p>
    <w:p w14:paraId="71810194" w14:textId="77777777" w:rsidR="003F66A5" w:rsidRDefault="003F66A5">
      <w:pPr>
        <w:rPr>
          <w:rFonts w:ascii="Arial" w:hAnsi="Arial" w:cs="Arial"/>
        </w:rPr>
      </w:pPr>
    </w:p>
    <w:p w14:paraId="4B6BD54E" w14:textId="77777777" w:rsidR="003F66A5" w:rsidRDefault="003F66A5">
      <w:pPr>
        <w:rPr>
          <w:rFonts w:ascii="Arial" w:hAnsi="Arial" w:cs="Arial"/>
        </w:rPr>
      </w:pPr>
    </w:p>
    <w:p w14:paraId="56DDA996" w14:textId="77777777" w:rsidR="003F66A5" w:rsidRDefault="003F66A5">
      <w:pPr>
        <w:rPr>
          <w:rFonts w:ascii="Arial" w:hAnsi="Arial" w:cs="Arial"/>
        </w:rPr>
      </w:pPr>
    </w:p>
    <w:p w14:paraId="28F33B00" w14:textId="77777777" w:rsidR="003F66A5" w:rsidRDefault="003F66A5">
      <w:pPr>
        <w:rPr>
          <w:rFonts w:ascii="Arial" w:hAnsi="Arial" w:cs="Arial"/>
        </w:rPr>
      </w:pPr>
    </w:p>
    <w:p w14:paraId="12F2B02C" w14:textId="77777777" w:rsidR="003F66A5" w:rsidRDefault="003F66A5">
      <w:pPr>
        <w:rPr>
          <w:rFonts w:ascii="Arial" w:hAnsi="Arial" w:cs="Arial"/>
        </w:rPr>
      </w:pPr>
    </w:p>
    <w:p w14:paraId="2C150027" w14:textId="77777777" w:rsidR="003F66A5" w:rsidRDefault="003F66A5">
      <w:pPr>
        <w:rPr>
          <w:rFonts w:ascii="Arial" w:hAnsi="Arial" w:cs="Arial"/>
        </w:rPr>
      </w:pPr>
    </w:p>
    <w:p w14:paraId="502EDD09" w14:textId="77777777" w:rsidR="003F66A5" w:rsidRDefault="003F66A5">
      <w:pPr>
        <w:rPr>
          <w:rFonts w:ascii="Arial" w:hAnsi="Arial" w:cs="Arial"/>
        </w:rPr>
      </w:pPr>
    </w:p>
    <w:p w14:paraId="7A13C31C" w14:textId="77777777" w:rsidR="003F66A5" w:rsidRDefault="003F66A5">
      <w:pPr>
        <w:rPr>
          <w:rFonts w:ascii="Arial" w:hAnsi="Arial" w:cs="Arial"/>
        </w:rPr>
      </w:pPr>
    </w:p>
    <w:p w14:paraId="6B38D9EF" w14:textId="77777777" w:rsidR="003F66A5" w:rsidRDefault="003F66A5">
      <w:pPr>
        <w:rPr>
          <w:rFonts w:ascii="Arial" w:hAnsi="Arial" w:cs="Arial"/>
        </w:rPr>
      </w:pPr>
    </w:p>
    <w:p w14:paraId="45B07A04" w14:textId="77777777" w:rsidR="003F66A5" w:rsidRDefault="003F66A5">
      <w:pPr>
        <w:rPr>
          <w:rFonts w:ascii="Arial" w:hAnsi="Arial" w:cs="Arial"/>
        </w:rPr>
      </w:pPr>
    </w:p>
    <w:p w14:paraId="77410DCF" w14:textId="77777777" w:rsidR="003F66A5" w:rsidRDefault="003F66A5">
      <w:pPr>
        <w:rPr>
          <w:rFonts w:ascii="Arial" w:hAnsi="Arial" w:cs="Arial"/>
        </w:rPr>
      </w:pPr>
    </w:p>
    <w:p w14:paraId="5E398A87" w14:textId="77777777" w:rsidR="003F66A5" w:rsidRDefault="003F66A5">
      <w:pPr>
        <w:rPr>
          <w:rFonts w:ascii="Arial" w:hAnsi="Arial" w:cs="Arial"/>
        </w:rPr>
      </w:pPr>
    </w:p>
    <w:p w14:paraId="4B03B03B" w14:textId="77777777" w:rsidR="003F66A5" w:rsidRDefault="003F66A5">
      <w:pPr>
        <w:rPr>
          <w:rFonts w:ascii="Arial" w:hAnsi="Arial" w:cs="Arial"/>
        </w:rPr>
      </w:pPr>
    </w:p>
    <w:p w14:paraId="6B6797BF" w14:textId="73D5C271" w:rsidR="00A96CC8" w:rsidRDefault="00820C1F" w:rsidP="00324A6B">
      <w:pPr>
        <w:pStyle w:val="Heading1"/>
        <w:rPr>
          <w:rFonts w:ascii="Arial" w:hAnsi="Arial" w:cs="Arial"/>
        </w:rPr>
      </w:pPr>
      <w:bookmarkStart w:id="0" w:name="_Toc235201299"/>
      <w:r w:rsidRPr="00820C1F">
        <w:rPr>
          <w:rFonts w:ascii="Arial" w:hAnsi="Arial" w:cs="Arial"/>
        </w:rPr>
        <w:lastRenderedPageBreak/>
        <w:t>Introduction</w:t>
      </w:r>
      <w:bookmarkEnd w:id="0"/>
    </w:p>
    <w:p w14:paraId="3E14EB4F" w14:textId="77777777" w:rsidR="00725128" w:rsidRPr="00725128" w:rsidRDefault="00725128" w:rsidP="00725128">
      <w:pPr>
        <w:spacing w:line="360" w:lineRule="auto"/>
        <w:rPr>
          <w:rFonts w:ascii="Arial" w:hAnsi="Arial" w:cs="Arial"/>
          <w:sz w:val="22"/>
          <w:szCs w:val="22"/>
        </w:rPr>
      </w:pPr>
      <w:r w:rsidRPr="00725128">
        <w:rPr>
          <w:rFonts w:ascii="Arial" w:hAnsi="Arial" w:cs="Arial"/>
          <w:sz w:val="22"/>
          <w:szCs w:val="22"/>
        </w:rPr>
        <w:t>Providing safe, effective and person-centred care relies on professionals communicating effectively, maintaining accurate records and working collaboratively across health and social care services. These elements are particularly important when caring for older adults living with dementia, as cognitive impairment can increase the risk of medication errors, safeguarding concerns and poor health outcomes. This report examines the case of Mrs Thompson, an 84-year-old woman recently discharged from hospital following pneumonia who lives alone, receives domiciliary care and has mild dementia. The report first explores the importance of effective communication with Mrs Thompson and her family, applying the Equality Act 2010 and the Transactional Model of Communication. It then discusses the importance of professional administrative skills, including accurate record keeping and compliance with the Data Protection Act 2018. Finally, the report evaluates collaborative working between healthcare professionals involved in Mrs Thompson’s care and considers strategies that promote coordinated, person-centred care while reducing risks to her health, safety and wellbeing.</w:t>
      </w:r>
    </w:p>
    <w:p w14:paraId="36FA6C97" w14:textId="6962BE7F" w:rsidR="00DD44DE" w:rsidRPr="00725128" w:rsidRDefault="00DD44DE" w:rsidP="00725128">
      <w:pPr>
        <w:spacing w:line="360" w:lineRule="auto"/>
        <w:rPr>
          <w:rFonts w:ascii="Arial" w:hAnsi="Arial" w:cs="Arial"/>
          <w:sz w:val="22"/>
          <w:szCs w:val="22"/>
        </w:rPr>
      </w:pPr>
      <w:r w:rsidRPr="00725128">
        <w:rPr>
          <w:rFonts w:ascii="Arial" w:hAnsi="Arial" w:cs="Arial"/>
          <w:sz w:val="22"/>
          <w:szCs w:val="22"/>
        </w:rPr>
        <w:br w:type="page"/>
      </w:r>
    </w:p>
    <w:p w14:paraId="482B64B5" w14:textId="083BE3B9" w:rsidR="00324A6B" w:rsidRDefault="00FA7F56" w:rsidP="0017194A">
      <w:pPr>
        <w:pStyle w:val="Heading1"/>
        <w:rPr>
          <w:rFonts w:ascii="Arial" w:hAnsi="Arial" w:cs="Arial"/>
        </w:rPr>
      </w:pPr>
      <w:bookmarkStart w:id="1" w:name="_Toc235201300"/>
      <w:r w:rsidRPr="0017194A">
        <w:rPr>
          <w:rFonts w:ascii="Arial" w:hAnsi="Arial" w:cs="Arial"/>
        </w:rPr>
        <w:lastRenderedPageBreak/>
        <w:t xml:space="preserve">The importance of the Effective Communication in Mrs Thompon’s </w:t>
      </w:r>
      <w:r w:rsidR="0017194A" w:rsidRPr="0017194A">
        <w:rPr>
          <w:rFonts w:ascii="Arial" w:hAnsi="Arial" w:cs="Arial"/>
        </w:rPr>
        <w:t>Care</w:t>
      </w:r>
      <w:bookmarkEnd w:id="1"/>
      <w:r w:rsidR="0017194A" w:rsidRPr="0017194A">
        <w:rPr>
          <w:rFonts w:ascii="Arial" w:hAnsi="Arial" w:cs="Arial"/>
        </w:rPr>
        <w:t xml:space="preserve"> </w:t>
      </w:r>
    </w:p>
    <w:p w14:paraId="3A6E1CAB" w14:textId="77777777" w:rsidR="002724A3" w:rsidRPr="002724A3" w:rsidRDefault="002724A3" w:rsidP="002724A3">
      <w:pPr>
        <w:spacing w:line="360" w:lineRule="auto"/>
        <w:rPr>
          <w:rFonts w:ascii="Arial" w:hAnsi="Arial" w:cs="Arial"/>
          <w:sz w:val="22"/>
          <w:szCs w:val="22"/>
        </w:rPr>
      </w:pPr>
      <w:r w:rsidRPr="002724A3">
        <w:rPr>
          <w:rFonts w:ascii="Arial" w:hAnsi="Arial" w:cs="Arial"/>
          <w:sz w:val="22"/>
          <w:szCs w:val="22"/>
        </w:rPr>
        <w:t>Effective communication is one of the foundations of high-quality health and social care because it enables professionals to build trusting relationships, share information accurately and involve service users in decisions about their own care. According to the Nursing and Midwifery Council (NMC, 2018), registered professionals have a duty to communicate clearly, respectfully and compassionately while ensuring that individuals understand the information they are given. In Mrs Thompson’s case, this is particularly important because she has mild dementia and recently experienced increased confusion after missing two days of prescribed medication. Her cognitive impairment means that communication must be adapted to support understanding, reduce anxiety and minimise the risk of further medication errors.</w:t>
      </w:r>
    </w:p>
    <w:p w14:paraId="2D4EB0D4" w14:textId="77777777" w:rsidR="002724A3" w:rsidRPr="002724A3" w:rsidRDefault="002724A3" w:rsidP="002724A3">
      <w:pPr>
        <w:spacing w:line="360" w:lineRule="auto"/>
        <w:rPr>
          <w:rFonts w:ascii="Arial" w:hAnsi="Arial" w:cs="Arial"/>
          <w:sz w:val="22"/>
          <w:szCs w:val="22"/>
        </w:rPr>
      </w:pPr>
      <w:r w:rsidRPr="002724A3">
        <w:rPr>
          <w:rFonts w:ascii="Arial" w:hAnsi="Arial" w:cs="Arial"/>
          <w:sz w:val="22"/>
          <w:szCs w:val="22"/>
        </w:rPr>
        <w:t xml:space="preserve">Dementia affects memory, language processing and concentration, meaning individuals may struggle to understand complex explanations or remember important health information (NICE, 2018). Healthcare professionals should therefore communicate using short sentences, simple vocabulary and a calm tone of voice while allowing Mrs Thompson additional time to process information before responding. Active listening, eye contact and non-verbal communication, including facial expressions and reassuring gestures, are equally important because they help maintain trust and reduce feelings of confusion. </w:t>
      </w:r>
      <w:proofErr w:type="spellStart"/>
      <w:r w:rsidRPr="002724A3">
        <w:rPr>
          <w:rFonts w:ascii="Arial" w:hAnsi="Arial" w:cs="Arial"/>
          <w:sz w:val="22"/>
          <w:szCs w:val="22"/>
        </w:rPr>
        <w:t>Alsawy</w:t>
      </w:r>
      <w:proofErr w:type="spellEnd"/>
      <w:r w:rsidRPr="002724A3">
        <w:rPr>
          <w:rFonts w:ascii="Arial" w:hAnsi="Arial" w:cs="Arial"/>
          <w:sz w:val="22"/>
          <w:szCs w:val="22"/>
        </w:rPr>
        <w:t xml:space="preserve"> et al. (2017) found that people living with dementia consistently reported feeling more respected, valued and involved in their care when professionals communicated patiently and adapted their approach to individual needs. These findings demonstrate that communication influences not only understanding but also emotional wellbeing and quality of care.</w:t>
      </w:r>
    </w:p>
    <w:p w14:paraId="3EE26D4A" w14:textId="77777777" w:rsidR="002724A3" w:rsidRPr="002724A3" w:rsidRDefault="002724A3" w:rsidP="002724A3">
      <w:pPr>
        <w:spacing w:line="360" w:lineRule="auto"/>
        <w:rPr>
          <w:rFonts w:ascii="Arial" w:hAnsi="Arial" w:cs="Arial"/>
          <w:sz w:val="22"/>
          <w:szCs w:val="22"/>
        </w:rPr>
      </w:pPr>
      <w:r w:rsidRPr="002724A3">
        <w:rPr>
          <w:rFonts w:ascii="Arial" w:hAnsi="Arial" w:cs="Arial"/>
          <w:sz w:val="22"/>
          <w:szCs w:val="22"/>
        </w:rPr>
        <w:t>Communication should also extend beyond Mrs Thompson to include her family or informal carers, provided she gives consent or decisions are made in accordance with the Mental Capacity Act 2005 where appropriate. Family members often possess valuable knowledge about an individual’s routines, communication preferences and behaviour, allowing professionals to develop care plans that better reflect personal needs. In Mrs Thompson’s situation, involving family members during discussions about medication management may help prevent future missed doses by identifying practical strategies such as monitored dosage systems, medication reminders or increased support from domiciliary carers. NICE (2018) recommends that families should be involved in care planning wherever possible because collaborative communication improves continuity of care and supports shared decision-making.</w:t>
      </w:r>
    </w:p>
    <w:p w14:paraId="0F87732C" w14:textId="77777777" w:rsidR="002724A3" w:rsidRPr="002724A3" w:rsidRDefault="002724A3" w:rsidP="002724A3">
      <w:pPr>
        <w:spacing w:line="360" w:lineRule="auto"/>
        <w:rPr>
          <w:rFonts w:ascii="Arial" w:hAnsi="Arial" w:cs="Arial"/>
          <w:sz w:val="22"/>
          <w:szCs w:val="22"/>
        </w:rPr>
      </w:pPr>
      <w:r w:rsidRPr="002724A3">
        <w:rPr>
          <w:rFonts w:ascii="Arial" w:hAnsi="Arial" w:cs="Arial"/>
          <w:sz w:val="22"/>
          <w:szCs w:val="22"/>
        </w:rPr>
        <w:lastRenderedPageBreak/>
        <w:t>The Equality Act 2010 is highly relevant to Mrs Thompson’s care because dementia may be regarded as a disability when it has a substantial and long-term effect on day-to-day activities. Under the Act, healthcare providers have a legal duty to make reasonable adjustments to ensure individuals are not disadvantaged when accessing services. For Mrs Thompson, reasonable adjustments include speaking slowly, providing written information in clear, accessible language, reducing environmental distractions and allowing additional consultation time. These adjustments promote equality by ensuring she can participate in decisions despite her cognitive impairment rather than being excluded because of communication difficulties.</w:t>
      </w:r>
    </w:p>
    <w:p w14:paraId="5A5A16CE" w14:textId="77777777" w:rsidR="002724A3" w:rsidRPr="002724A3" w:rsidRDefault="002724A3" w:rsidP="002724A3">
      <w:pPr>
        <w:spacing w:line="360" w:lineRule="auto"/>
        <w:rPr>
          <w:rFonts w:ascii="Arial" w:hAnsi="Arial" w:cs="Arial"/>
          <w:sz w:val="22"/>
          <w:szCs w:val="22"/>
        </w:rPr>
      </w:pPr>
      <w:r w:rsidRPr="002724A3">
        <w:rPr>
          <w:rFonts w:ascii="Arial" w:hAnsi="Arial" w:cs="Arial"/>
          <w:sz w:val="22"/>
          <w:szCs w:val="22"/>
        </w:rPr>
        <w:t xml:space="preserve">A useful framework for understanding communication within Mrs Thompson’s care is the Transactional Model of Communication developed by </w:t>
      </w:r>
      <w:proofErr w:type="spellStart"/>
      <w:r w:rsidRPr="002724A3">
        <w:rPr>
          <w:rFonts w:ascii="Arial" w:hAnsi="Arial" w:cs="Arial"/>
          <w:sz w:val="22"/>
          <w:szCs w:val="22"/>
        </w:rPr>
        <w:t>Barnlund</w:t>
      </w:r>
      <w:proofErr w:type="spellEnd"/>
      <w:r w:rsidRPr="002724A3">
        <w:rPr>
          <w:rFonts w:ascii="Arial" w:hAnsi="Arial" w:cs="Arial"/>
          <w:sz w:val="22"/>
          <w:szCs w:val="22"/>
        </w:rPr>
        <w:t xml:space="preserve"> (2008). Unlike linear models, the transactional model views communication as a continuous two-way process in which both participants simultaneously send, receive and interpret messages while being influenced by personal experiences, emotions and environmental factors. In Mrs Thompson’s case, her dementia, recent illness and anxiety following hospital discharge may influence how she interprets information, while busy clinical environments or background noise may further reduce understanding. Healthcare professionals must therefore continually assess verbal and non-verbal feedback, clarify misunderstandings and adapt their communication accordingly. Applying this model ensures communication remains person-centred, responsive and collaborative rather than simply delivering information.</w:t>
      </w:r>
    </w:p>
    <w:p w14:paraId="4D29C30A" w14:textId="77777777" w:rsidR="002724A3" w:rsidRPr="002724A3" w:rsidRDefault="002724A3" w:rsidP="002724A3">
      <w:pPr>
        <w:spacing w:line="360" w:lineRule="auto"/>
        <w:rPr>
          <w:rFonts w:ascii="Arial" w:hAnsi="Arial" w:cs="Arial"/>
          <w:sz w:val="22"/>
          <w:szCs w:val="22"/>
        </w:rPr>
      </w:pPr>
      <w:r w:rsidRPr="002724A3">
        <w:rPr>
          <w:rFonts w:ascii="Arial" w:hAnsi="Arial" w:cs="Arial"/>
          <w:sz w:val="22"/>
          <w:szCs w:val="22"/>
        </w:rPr>
        <w:t>Overall, effective communication enables Mrs Thompson to remain actively involved in her care, improves medication adherence, reduces safeguarding risks and promotes dignity and independence. By combining person-centred communication, legal responsibilities under the Equality Act 2010 and the Transactional Model of Communication, professionals can deliver care that is both safe and responsive to Mrs Thompson’s individual circumstances.</w:t>
      </w:r>
    </w:p>
    <w:p w14:paraId="1BE6EE8A" w14:textId="22A530A4" w:rsidR="00834F6F" w:rsidRDefault="009A47C9" w:rsidP="002724A3">
      <w:pPr>
        <w:spacing w:line="360" w:lineRule="auto"/>
        <w:rPr>
          <w:rFonts w:ascii="Arial" w:hAnsi="Arial" w:cs="Arial"/>
          <w:sz w:val="22"/>
          <w:szCs w:val="22"/>
        </w:rPr>
      </w:pPr>
      <w:r>
        <w:rPr>
          <w:rFonts w:ascii="Arial" w:hAnsi="Arial" w:cs="Arial"/>
          <w:sz w:val="22"/>
          <w:szCs w:val="22"/>
        </w:rPr>
        <w:br w:type="page"/>
      </w:r>
    </w:p>
    <w:p w14:paraId="7B6E216A" w14:textId="4D2BB9D3" w:rsidR="00BD6075" w:rsidRPr="00BD6075" w:rsidRDefault="00BD6075" w:rsidP="00BD6075">
      <w:pPr>
        <w:pStyle w:val="Heading1"/>
        <w:rPr>
          <w:rFonts w:ascii="Arial" w:hAnsi="Arial" w:cs="Arial"/>
        </w:rPr>
      </w:pPr>
      <w:bookmarkStart w:id="2" w:name="_Toc235177238"/>
      <w:bookmarkStart w:id="3" w:name="_Toc235201301"/>
      <w:r>
        <w:rPr>
          <w:rFonts w:ascii="Arial" w:hAnsi="Arial" w:cs="Arial"/>
        </w:rPr>
        <w:lastRenderedPageBreak/>
        <w:t>The importance of Good Adminis</w:t>
      </w:r>
      <w:r w:rsidR="006228C7">
        <w:rPr>
          <w:rFonts w:ascii="Arial" w:hAnsi="Arial" w:cs="Arial"/>
        </w:rPr>
        <w:t>tra</w:t>
      </w:r>
      <w:r w:rsidR="00930111">
        <w:rPr>
          <w:rFonts w:ascii="Arial" w:hAnsi="Arial" w:cs="Arial"/>
        </w:rPr>
        <w:t>tive Skills Within Professional Practice in the Context of Mr</w:t>
      </w:r>
      <w:r w:rsidR="006F0D95">
        <w:rPr>
          <w:rFonts w:ascii="Arial" w:hAnsi="Arial" w:cs="Arial"/>
        </w:rPr>
        <w:t>s Thompson’s Care</w:t>
      </w:r>
      <w:bookmarkEnd w:id="2"/>
      <w:bookmarkEnd w:id="3"/>
    </w:p>
    <w:p w14:paraId="199FC6C0" w14:textId="77777777" w:rsidR="00C249A7" w:rsidRPr="00C249A7" w:rsidRDefault="00C249A7" w:rsidP="00C249A7">
      <w:pPr>
        <w:spacing w:line="360" w:lineRule="auto"/>
        <w:rPr>
          <w:rFonts w:ascii="Arial" w:hAnsi="Arial" w:cs="Arial"/>
          <w:sz w:val="22"/>
          <w:szCs w:val="22"/>
        </w:rPr>
      </w:pPr>
      <w:r w:rsidRPr="00C249A7">
        <w:rPr>
          <w:rFonts w:ascii="Arial" w:hAnsi="Arial" w:cs="Arial"/>
          <w:sz w:val="22"/>
          <w:szCs w:val="22"/>
        </w:rPr>
        <w:t>Good administrative skills are fundamental to safe, effective and person-centred healthcare because they ensure that information is accurately recorded, securely managed and shared appropriately between professionals. Administrative responsibilities such as record keeping, medication documentation, incident reporting and information sharing support continuity of care while reducing the risk of errors that may compromise patient safety (Nursing and Midwifery Council (NMC), 2018). In Mrs Thompson’s case, these responsibilities are particularly important because she has recently been discharged from hospital following pneumonia, lives alone with mild dementia and experienced increased confusion after missing two days of medication. The concerns surrounding her medication adherence and the safeguarding incident in which she was found outside without appropriate clothing demonstrate why accurate administration is essential for ensuring coordinated care and protecting vulnerable adults.</w:t>
      </w:r>
    </w:p>
    <w:p w14:paraId="219860C9" w14:textId="77777777" w:rsidR="00C249A7" w:rsidRPr="00C249A7" w:rsidRDefault="00C249A7" w:rsidP="00C249A7">
      <w:pPr>
        <w:spacing w:line="360" w:lineRule="auto"/>
        <w:rPr>
          <w:rFonts w:ascii="Arial" w:hAnsi="Arial" w:cs="Arial"/>
          <w:sz w:val="22"/>
          <w:szCs w:val="22"/>
        </w:rPr>
      </w:pPr>
      <w:r w:rsidRPr="00C249A7">
        <w:rPr>
          <w:rFonts w:ascii="Arial" w:hAnsi="Arial" w:cs="Arial"/>
          <w:sz w:val="22"/>
          <w:szCs w:val="22"/>
        </w:rPr>
        <w:t>Accurate record keeping forms the basis of professional accountability within health and social care. The NMC Code (2018) states that records must be clear, factual, timely and completed immediately after care has been delivered to ensure that other professionals have access to reliable information. In Mrs Thompson’s case, the domiciliary care worker who identified the missed medication appropriately recorded the incident through the organisation’s reporting system, enabling a medication review to be requested. Accurate documentation allows healthcare professionals, including the GP, pharmacist and community nursing team, to understand the sequence of events, assess Mrs Thompson’s changing needs and implement interventions that reduce the likelihood of further medication errors. Without comprehensive records, important information could be overlooked, increasing the risk of avoidable harm.</w:t>
      </w:r>
    </w:p>
    <w:p w14:paraId="6DC5B8DD" w14:textId="77777777" w:rsidR="00C249A7" w:rsidRPr="00C249A7" w:rsidRDefault="00C249A7" w:rsidP="00C249A7">
      <w:pPr>
        <w:spacing w:line="360" w:lineRule="auto"/>
        <w:rPr>
          <w:rFonts w:ascii="Arial" w:hAnsi="Arial" w:cs="Arial"/>
          <w:sz w:val="22"/>
          <w:szCs w:val="22"/>
        </w:rPr>
      </w:pPr>
      <w:r w:rsidRPr="00C249A7">
        <w:rPr>
          <w:rFonts w:ascii="Arial" w:hAnsi="Arial" w:cs="Arial"/>
          <w:sz w:val="22"/>
          <w:szCs w:val="22"/>
        </w:rPr>
        <w:t xml:space="preserve">The safeguarding concern involving Mrs Thompson being found outdoors in cold weather without suitable clothing further highlights the importance of accurate documentation. Older adults living with dementia are at greater risk of self-neglect, wandering and accidental harm because cognitive impairment affects judgement and decision-making (NICE, 2018). Recording the circumstances surrounding this incident ensures that professionals can identify patterns of risk, undertake appropriate safeguarding assessments and review whether Mrs Thompson requires additional support to remain safe within the community. </w:t>
      </w:r>
      <w:r w:rsidRPr="00C249A7">
        <w:rPr>
          <w:rFonts w:ascii="Arial" w:hAnsi="Arial" w:cs="Arial"/>
          <w:sz w:val="22"/>
          <w:szCs w:val="22"/>
        </w:rPr>
        <w:lastRenderedPageBreak/>
        <w:t>Comprehensive records also provide legal evidence that professionals have fulfilled their duty of care while demonstrating accountability and transparency in decision-making.</w:t>
      </w:r>
    </w:p>
    <w:p w14:paraId="5551D8D1" w14:textId="77777777" w:rsidR="00C249A7" w:rsidRPr="00C249A7" w:rsidRDefault="00C249A7" w:rsidP="00C249A7">
      <w:pPr>
        <w:spacing w:line="360" w:lineRule="auto"/>
        <w:rPr>
          <w:rFonts w:ascii="Arial" w:hAnsi="Arial" w:cs="Arial"/>
          <w:sz w:val="22"/>
          <w:szCs w:val="22"/>
        </w:rPr>
      </w:pPr>
      <w:r w:rsidRPr="00C249A7">
        <w:rPr>
          <w:rFonts w:ascii="Arial" w:hAnsi="Arial" w:cs="Arial"/>
          <w:sz w:val="22"/>
          <w:szCs w:val="22"/>
        </w:rPr>
        <w:t>The </w:t>
      </w:r>
      <w:r w:rsidRPr="00467433">
        <w:rPr>
          <w:rFonts w:ascii="Arial" w:hAnsi="Arial" w:cs="Arial"/>
          <w:sz w:val="22"/>
          <w:szCs w:val="22"/>
        </w:rPr>
        <w:t>Data Protection Act 2018</w:t>
      </w:r>
      <w:r w:rsidRPr="00C249A7">
        <w:rPr>
          <w:rFonts w:ascii="Arial" w:hAnsi="Arial" w:cs="Arial"/>
          <w:sz w:val="22"/>
          <w:szCs w:val="22"/>
        </w:rPr>
        <w:t> and the </w:t>
      </w:r>
      <w:r w:rsidRPr="00467433">
        <w:rPr>
          <w:rFonts w:ascii="Arial" w:hAnsi="Arial" w:cs="Arial"/>
          <w:sz w:val="22"/>
          <w:szCs w:val="22"/>
        </w:rPr>
        <w:t>UK General Data Protection Regulation (UK</w:t>
      </w:r>
      <w:r w:rsidRPr="00C249A7">
        <w:rPr>
          <w:rFonts w:ascii="Arial" w:hAnsi="Arial" w:cs="Arial"/>
          <w:b/>
          <w:bCs/>
          <w:sz w:val="22"/>
          <w:szCs w:val="22"/>
        </w:rPr>
        <w:t xml:space="preserve"> </w:t>
      </w:r>
      <w:r w:rsidRPr="00467433">
        <w:rPr>
          <w:rFonts w:ascii="Arial" w:hAnsi="Arial" w:cs="Arial"/>
          <w:sz w:val="22"/>
          <w:szCs w:val="22"/>
        </w:rPr>
        <w:t>GDPR)</w:t>
      </w:r>
      <w:r w:rsidRPr="00C249A7">
        <w:rPr>
          <w:rFonts w:ascii="Arial" w:hAnsi="Arial" w:cs="Arial"/>
          <w:sz w:val="22"/>
          <w:szCs w:val="22"/>
        </w:rPr>
        <w:t> establish the legal framework governing how personal information should be collected, stored, processed and shared within health and social care. Mrs Thompson’s medical history, dementia diagnosis, medication records and safeguarding information are all classified as sensitive personal data and must be managed confidentially. Healthcare professionals should only access information required to perform their professional duties and should only share information with other professionals when there is a lawful basis to do so, such as providing safe and effective care or safeguarding a vulnerable adult (Information Commissioner’s Office, 2024). Secure electronic patient records, password-protected systems and confidential discussions are practical measures that help maintain confidentiality while ensuring information remains accessible to authorised professionals involved in Mrs Thompson’s care.</w:t>
      </w:r>
    </w:p>
    <w:p w14:paraId="3FF79E5F" w14:textId="77777777" w:rsidR="00C249A7" w:rsidRPr="00C249A7" w:rsidRDefault="00C249A7" w:rsidP="00C249A7">
      <w:pPr>
        <w:spacing w:line="360" w:lineRule="auto"/>
        <w:rPr>
          <w:rFonts w:ascii="Arial" w:hAnsi="Arial" w:cs="Arial"/>
          <w:sz w:val="22"/>
          <w:szCs w:val="22"/>
        </w:rPr>
      </w:pPr>
      <w:r w:rsidRPr="00C249A7">
        <w:rPr>
          <w:rFonts w:ascii="Arial" w:hAnsi="Arial" w:cs="Arial"/>
          <w:sz w:val="22"/>
          <w:szCs w:val="22"/>
        </w:rPr>
        <w:t>Although confidentiality is a fundamental professional responsibility, it is not absolute. Where there are concerns that an individual is at significant risk of harm, professionals may be required to share relevant information without consent if doing so is necessary to protect the individual or others (Department of Health and Social Care, 2022). In Mrs Thompson’s case, the safeguarding concern regarding her wandering outside inadequately dressed may justify appropriate information sharing between social services, healthcare professionals and the local authority to coordinate interventions that reduce future risks. This demonstrates the importance of balancing confidentiality with the professional duty to protect vulnerable adults.</w:t>
      </w:r>
    </w:p>
    <w:p w14:paraId="19837130" w14:textId="77777777" w:rsidR="00C249A7" w:rsidRPr="00C249A7" w:rsidRDefault="00C249A7" w:rsidP="00C249A7">
      <w:pPr>
        <w:spacing w:line="360" w:lineRule="auto"/>
        <w:rPr>
          <w:rFonts w:ascii="Arial" w:hAnsi="Arial" w:cs="Arial"/>
          <w:sz w:val="22"/>
          <w:szCs w:val="22"/>
        </w:rPr>
      </w:pPr>
      <w:r w:rsidRPr="00C249A7">
        <w:rPr>
          <w:rFonts w:ascii="Arial" w:hAnsi="Arial" w:cs="Arial"/>
          <w:sz w:val="22"/>
          <w:szCs w:val="22"/>
        </w:rPr>
        <w:t>Professional administrative practice also supports effective medication management. Following Mrs Thompson’s missed medication, professionals should update her care plan, document the medication review outcomes and record any changes to her support needs. Care plans should remain accurate, person-centred and regularly reviewed to reflect Mrs Thompson’s changing health status following hospital discharge. Clear documentation enables every member of the multidisciplinary team to work from the same information, reducing communication errors and ensuring consistent care delivery.</w:t>
      </w:r>
    </w:p>
    <w:p w14:paraId="629A0DA3" w14:textId="18F8FD21" w:rsidR="00C249A7" w:rsidRPr="00C249A7" w:rsidRDefault="00C249A7" w:rsidP="00C249A7">
      <w:pPr>
        <w:spacing w:line="360" w:lineRule="auto"/>
        <w:rPr>
          <w:rFonts w:ascii="Arial" w:hAnsi="Arial" w:cs="Arial"/>
          <w:sz w:val="22"/>
          <w:szCs w:val="22"/>
        </w:rPr>
      </w:pPr>
      <w:r w:rsidRPr="00C249A7">
        <w:rPr>
          <w:rFonts w:ascii="Arial" w:hAnsi="Arial" w:cs="Arial"/>
          <w:sz w:val="22"/>
          <w:szCs w:val="22"/>
        </w:rPr>
        <w:t xml:space="preserve">Overall, effective administrative skills underpin every aspect of Mrs Thompson’s care. Accurate record keeping, lawful information management and timely documentation promote continuity of care, strengthen safeguarding practice and enable professionals to make informed clinical decisions. By following the NMC Code (2018), the Data Protection Act 2018 and national safeguarding guidance, healthcare professionals can provide coordinated, </w:t>
      </w:r>
      <w:r w:rsidRPr="00C249A7">
        <w:rPr>
          <w:rFonts w:ascii="Arial" w:hAnsi="Arial" w:cs="Arial"/>
          <w:sz w:val="22"/>
          <w:szCs w:val="22"/>
        </w:rPr>
        <w:lastRenderedPageBreak/>
        <w:t>accountable and person-centred care that supports Mrs Thompson’s safety, dignity and independence.</w:t>
      </w:r>
    </w:p>
    <w:p w14:paraId="57485843" w14:textId="18F8FD21" w:rsidR="00483CCA" w:rsidRDefault="00FC21C6" w:rsidP="00BE6CE9">
      <w:pPr>
        <w:pStyle w:val="Heading1"/>
        <w:rPr>
          <w:rFonts w:ascii="Arial" w:hAnsi="Arial" w:cs="Arial"/>
        </w:rPr>
      </w:pPr>
      <w:bookmarkStart w:id="4" w:name="_Toc235201302"/>
      <w:r w:rsidRPr="00BE6CE9">
        <w:rPr>
          <w:rFonts w:ascii="Arial" w:hAnsi="Arial" w:cs="Arial"/>
        </w:rPr>
        <w:t>The importance of collaborative working in Mrs Thomp</w:t>
      </w:r>
      <w:r w:rsidR="00BE6CE9" w:rsidRPr="00BE6CE9">
        <w:rPr>
          <w:rFonts w:ascii="Arial" w:hAnsi="Arial" w:cs="Arial"/>
        </w:rPr>
        <w:t>son’s Care</w:t>
      </w:r>
      <w:bookmarkEnd w:id="4"/>
    </w:p>
    <w:p w14:paraId="19858EE3" w14:textId="77777777" w:rsidR="004C095C" w:rsidRPr="004C095C" w:rsidRDefault="004C095C" w:rsidP="004C095C">
      <w:pPr>
        <w:spacing w:line="360" w:lineRule="auto"/>
        <w:rPr>
          <w:rFonts w:ascii="Arial" w:hAnsi="Arial" w:cs="Arial"/>
          <w:sz w:val="22"/>
          <w:szCs w:val="22"/>
        </w:rPr>
      </w:pPr>
      <w:r w:rsidRPr="004C095C">
        <w:rPr>
          <w:rFonts w:ascii="Arial" w:hAnsi="Arial" w:cs="Arial"/>
          <w:sz w:val="22"/>
          <w:szCs w:val="22"/>
        </w:rPr>
        <w:t>Collaborative working is essential within health and social care because it enables professionals from different disciplines to share expertise, coordinate interventions and provide person-centred care. Older adults living with dementia often have complex physical, psychological and social needs that cannot be addressed by one professional alone (NICE, 2018). In Mrs Thompson’s case, her recent hospital discharge following pneumonia, missed medication, increased confusion and safeguarding concerns require coordinated input from the GP, community nurse, domiciliary care workers, pharmacist and local authority safeguarding team.</w:t>
      </w:r>
    </w:p>
    <w:p w14:paraId="33C76013" w14:textId="77777777" w:rsidR="004C095C" w:rsidRPr="004C095C" w:rsidRDefault="004C095C" w:rsidP="004C095C">
      <w:pPr>
        <w:spacing w:line="360" w:lineRule="auto"/>
        <w:rPr>
          <w:rFonts w:ascii="Arial" w:hAnsi="Arial" w:cs="Arial"/>
          <w:sz w:val="22"/>
          <w:szCs w:val="22"/>
        </w:rPr>
      </w:pPr>
      <w:r w:rsidRPr="004C095C">
        <w:rPr>
          <w:rFonts w:ascii="Arial" w:hAnsi="Arial" w:cs="Arial"/>
          <w:sz w:val="22"/>
          <w:szCs w:val="22"/>
        </w:rPr>
        <w:t>The GP has an important role in reviewing Mrs Thompson’s overall health, assessing the impact of the missed medication and referring her to specialist services if her dementia symptoms worsen. The community nurse can monitor her recovery following pneumonia, assess her physical and cognitive wellbeing and provide education to support medication adherence. Domiciliary care workers are responsible for delivering day-to-day care, assisting with medication, observing changes in Mrs Thompson’s condition and reporting concerns promptly. Following the medication incident, a pharmacist should undertake the requested medication review to determine whether changes to her prescription or the introduction of a monitored dosage system would reduce the likelihood of future medication errors. Working together enables professionals to develop a coordinated care plan that reflects Mrs Thompson’s individual needs rather than focusing on isolated aspects of her health.</w:t>
      </w:r>
    </w:p>
    <w:p w14:paraId="02BD88EE" w14:textId="77777777" w:rsidR="004C095C" w:rsidRPr="004C095C" w:rsidRDefault="004C095C" w:rsidP="004C095C">
      <w:pPr>
        <w:spacing w:line="360" w:lineRule="auto"/>
        <w:rPr>
          <w:rFonts w:ascii="Arial" w:hAnsi="Arial" w:cs="Arial"/>
          <w:sz w:val="22"/>
          <w:szCs w:val="22"/>
        </w:rPr>
      </w:pPr>
      <w:r w:rsidRPr="004C095C">
        <w:rPr>
          <w:rFonts w:ascii="Arial" w:hAnsi="Arial" w:cs="Arial"/>
          <w:sz w:val="22"/>
          <w:szCs w:val="22"/>
        </w:rPr>
        <w:t>One of the greatest challenges in multidisciplinary working is ineffective communication between professionals. Poor information sharing may result in duplicated assessments, delayed interventions or important changes in Mrs Thompson’s condition not being communicated to the wider team. Another challenge is uncertainty regarding professional roles and responsibilities, which can reduce accountability and delay decision-making (Reeves et al., 2017). These challenges can be addressed through regular multidisciplinary team (MDT) meetings, shared electronic patient records, clear documentation and agreed care plans that ensure every professional has access to consistent and up-to-date information.</w:t>
      </w:r>
    </w:p>
    <w:p w14:paraId="3C3AC5A3" w14:textId="77777777" w:rsidR="004C095C" w:rsidRPr="004C095C" w:rsidRDefault="004C095C" w:rsidP="004C095C">
      <w:pPr>
        <w:spacing w:line="360" w:lineRule="auto"/>
        <w:rPr>
          <w:rFonts w:ascii="Arial" w:hAnsi="Arial" w:cs="Arial"/>
          <w:sz w:val="22"/>
          <w:szCs w:val="22"/>
        </w:rPr>
      </w:pPr>
      <w:r w:rsidRPr="004C095C">
        <w:rPr>
          <w:rFonts w:ascii="Arial" w:hAnsi="Arial" w:cs="Arial"/>
          <w:sz w:val="22"/>
          <w:szCs w:val="22"/>
        </w:rPr>
        <w:lastRenderedPageBreak/>
        <w:t>Collaborative working is also essential in responding to safeguarding concerns. Mrs Thompson being found outside without suitable clothing suggests that her dementia may be affecting her ability to keep herself safe. Under the Care Act 2014, professionals have a duty to work together to protect adults at risk of abuse or neglect. By sharing information appropriately, reviewing risks collectively and involving Mrs Thompson in decisions wherever possible, the multidisciplinary team can promote her safety while maintaining her dignity, independence and person-centred care.</w:t>
      </w:r>
    </w:p>
    <w:p w14:paraId="68C86914" w14:textId="77777777" w:rsidR="00BE6CE9" w:rsidRDefault="00BE6CE9" w:rsidP="00BE6CE9">
      <w:pPr>
        <w:rPr>
          <w:rFonts w:ascii="Arial" w:hAnsi="Arial" w:cs="Arial"/>
        </w:rPr>
      </w:pPr>
    </w:p>
    <w:p w14:paraId="2EAEBDC1" w14:textId="77777777" w:rsidR="00B32051" w:rsidRDefault="00B32051" w:rsidP="00BE6CE9">
      <w:pPr>
        <w:rPr>
          <w:rFonts w:ascii="Arial" w:hAnsi="Arial" w:cs="Arial"/>
        </w:rPr>
      </w:pPr>
    </w:p>
    <w:p w14:paraId="1F7673E0" w14:textId="77777777" w:rsidR="00B32051" w:rsidRDefault="00B32051" w:rsidP="00BE6CE9">
      <w:pPr>
        <w:rPr>
          <w:rFonts w:ascii="Arial" w:hAnsi="Arial" w:cs="Arial"/>
        </w:rPr>
      </w:pPr>
    </w:p>
    <w:p w14:paraId="51F4E293" w14:textId="77777777" w:rsidR="00B32051" w:rsidRDefault="00B32051" w:rsidP="00BE6CE9">
      <w:pPr>
        <w:rPr>
          <w:rFonts w:ascii="Arial" w:hAnsi="Arial" w:cs="Arial"/>
        </w:rPr>
      </w:pPr>
    </w:p>
    <w:p w14:paraId="689490AE" w14:textId="77777777" w:rsidR="00B32051" w:rsidRDefault="00B32051" w:rsidP="00BE6CE9">
      <w:pPr>
        <w:rPr>
          <w:rFonts w:ascii="Arial" w:hAnsi="Arial" w:cs="Arial"/>
        </w:rPr>
      </w:pPr>
    </w:p>
    <w:p w14:paraId="7FE4CD60" w14:textId="77777777" w:rsidR="00B32051" w:rsidRDefault="00B32051" w:rsidP="00BE6CE9">
      <w:pPr>
        <w:rPr>
          <w:rFonts w:ascii="Arial" w:hAnsi="Arial" w:cs="Arial"/>
        </w:rPr>
      </w:pPr>
    </w:p>
    <w:p w14:paraId="4CA1A939" w14:textId="77777777" w:rsidR="00B32051" w:rsidRDefault="00B32051" w:rsidP="00BE6CE9">
      <w:pPr>
        <w:rPr>
          <w:rFonts w:ascii="Arial" w:hAnsi="Arial" w:cs="Arial"/>
        </w:rPr>
      </w:pPr>
    </w:p>
    <w:p w14:paraId="3B8E64BB" w14:textId="77777777" w:rsidR="00B32051" w:rsidRDefault="00B32051" w:rsidP="00BE6CE9">
      <w:pPr>
        <w:rPr>
          <w:rFonts w:ascii="Arial" w:hAnsi="Arial" w:cs="Arial"/>
        </w:rPr>
      </w:pPr>
    </w:p>
    <w:p w14:paraId="05096F48" w14:textId="77777777" w:rsidR="00B32051" w:rsidRDefault="00B32051" w:rsidP="00BE6CE9">
      <w:pPr>
        <w:rPr>
          <w:rFonts w:ascii="Arial" w:hAnsi="Arial" w:cs="Arial"/>
        </w:rPr>
      </w:pPr>
    </w:p>
    <w:p w14:paraId="2E1A8B8E" w14:textId="77777777" w:rsidR="00B32051" w:rsidRDefault="00B32051" w:rsidP="00BE6CE9">
      <w:pPr>
        <w:rPr>
          <w:rFonts w:ascii="Arial" w:hAnsi="Arial" w:cs="Arial"/>
        </w:rPr>
      </w:pPr>
    </w:p>
    <w:p w14:paraId="07720C30" w14:textId="77777777" w:rsidR="00B32051" w:rsidRDefault="00B32051" w:rsidP="00BE6CE9">
      <w:pPr>
        <w:rPr>
          <w:rFonts w:ascii="Arial" w:hAnsi="Arial" w:cs="Arial"/>
        </w:rPr>
      </w:pPr>
    </w:p>
    <w:p w14:paraId="65109E06" w14:textId="77777777" w:rsidR="00B32051" w:rsidRDefault="00B32051" w:rsidP="00BE6CE9">
      <w:pPr>
        <w:rPr>
          <w:rFonts w:ascii="Arial" w:hAnsi="Arial" w:cs="Arial"/>
        </w:rPr>
      </w:pPr>
    </w:p>
    <w:p w14:paraId="7AF09777" w14:textId="77777777" w:rsidR="00B32051" w:rsidRDefault="00B32051" w:rsidP="00BE6CE9">
      <w:pPr>
        <w:rPr>
          <w:rFonts w:ascii="Arial" w:hAnsi="Arial" w:cs="Arial"/>
        </w:rPr>
      </w:pPr>
    </w:p>
    <w:p w14:paraId="5A334E58" w14:textId="77777777" w:rsidR="00B32051" w:rsidRDefault="00B32051" w:rsidP="00BE6CE9">
      <w:pPr>
        <w:rPr>
          <w:rFonts w:ascii="Arial" w:hAnsi="Arial" w:cs="Arial"/>
        </w:rPr>
      </w:pPr>
    </w:p>
    <w:p w14:paraId="368D5198" w14:textId="77777777" w:rsidR="00B32051" w:rsidRDefault="00B32051" w:rsidP="00BE6CE9">
      <w:pPr>
        <w:rPr>
          <w:rFonts w:ascii="Arial" w:hAnsi="Arial" w:cs="Arial"/>
        </w:rPr>
      </w:pPr>
    </w:p>
    <w:p w14:paraId="5A549F5C" w14:textId="77777777" w:rsidR="00B32051" w:rsidRDefault="00B32051" w:rsidP="00BE6CE9">
      <w:pPr>
        <w:rPr>
          <w:rFonts w:ascii="Arial" w:hAnsi="Arial" w:cs="Arial"/>
        </w:rPr>
      </w:pPr>
    </w:p>
    <w:p w14:paraId="71E9060E" w14:textId="77777777" w:rsidR="00B32051" w:rsidRDefault="00B32051" w:rsidP="00BE6CE9">
      <w:pPr>
        <w:rPr>
          <w:rFonts w:ascii="Arial" w:hAnsi="Arial" w:cs="Arial"/>
        </w:rPr>
      </w:pPr>
    </w:p>
    <w:p w14:paraId="2165AB5B" w14:textId="77777777" w:rsidR="00B32051" w:rsidRDefault="00B32051" w:rsidP="00BE6CE9">
      <w:pPr>
        <w:rPr>
          <w:rFonts w:ascii="Arial" w:hAnsi="Arial" w:cs="Arial"/>
        </w:rPr>
      </w:pPr>
    </w:p>
    <w:p w14:paraId="3B3AE6EA" w14:textId="77777777" w:rsidR="00B32051" w:rsidRDefault="00B32051" w:rsidP="00BE6CE9">
      <w:pPr>
        <w:rPr>
          <w:rFonts w:ascii="Arial" w:hAnsi="Arial" w:cs="Arial"/>
        </w:rPr>
      </w:pPr>
    </w:p>
    <w:p w14:paraId="2E07DDE5" w14:textId="77777777" w:rsidR="00B32051" w:rsidRDefault="00B32051" w:rsidP="00BE6CE9">
      <w:pPr>
        <w:rPr>
          <w:rFonts w:ascii="Arial" w:hAnsi="Arial" w:cs="Arial"/>
        </w:rPr>
      </w:pPr>
    </w:p>
    <w:p w14:paraId="4F97D7B5" w14:textId="77777777" w:rsidR="00B32051" w:rsidRDefault="00B32051" w:rsidP="00BE6CE9">
      <w:pPr>
        <w:rPr>
          <w:rFonts w:ascii="Arial" w:hAnsi="Arial" w:cs="Arial"/>
        </w:rPr>
      </w:pPr>
    </w:p>
    <w:p w14:paraId="6BC7F7E7" w14:textId="77777777" w:rsidR="00B32051" w:rsidRDefault="00B32051" w:rsidP="00BE6CE9">
      <w:pPr>
        <w:rPr>
          <w:rFonts w:ascii="Arial" w:hAnsi="Arial" w:cs="Arial"/>
        </w:rPr>
      </w:pPr>
    </w:p>
    <w:p w14:paraId="1717E0C4" w14:textId="553E8771" w:rsidR="00B32051" w:rsidRDefault="00B32051" w:rsidP="00B32051">
      <w:pPr>
        <w:pStyle w:val="Heading1"/>
        <w:rPr>
          <w:rFonts w:ascii="Arial" w:hAnsi="Arial" w:cs="Arial"/>
        </w:rPr>
      </w:pPr>
      <w:bookmarkStart w:id="5" w:name="_Toc235201303"/>
      <w:r w:rsidRPr="00B32051">
        <w:rPr>
          <w:rFonts w:ascii="Arial" w:hAnsi="Arial" w:cs="Arial"/>
        </w:rPr>
        <w:lastRenderedPageBreak/>
        <w:t>Conclusion</w:t>
      </w:r>
      <w:bookmarkEnd w:id="5"/>
      <w:r w:rsidRPr="00B32051">
        <w:rPr>
          <w:rFonts w:ascii="Arial" w:hAnsi="Arial" w:cs="Arial"/>
        </w:rPr>
        <w:t xml:space="preserve"> </w:t>
      </w:r>
    </w:p>
    <w:p w14:paraId="134A5D2B" w14:textId="77777777" w:rsidR="00443BF6" w:rsidRPr="00443BF6" w:rsidRDefault="00443BF6" w:rsidP="00443BF6">
      <w:pPr>
        <w:spacing w:line="360" w:lineRule="auto"/>
        <w:rPr>
          <w:rFonts w:ascii="Arial" w:hAnsi="Arial" w:cs="Arial"/>
          <w:sz w:val="22"/>
          <w:szCs w:val="22"/>
        </w:rPr>
      </w:pPr>
      <w:r w:rsidRPr="00443BF6">
        <w:rPr>
          <w:rFonts w:ascii="Arial" w:hAnsi="Arial" w:cs="Arial"/>
          <w:sz w:val="22"/>
          <w:szCs w:val="22"/>
        </w:rPr>
        <w:t>Effective communication, professional administration and collaborative working are all fundamental to delivering safe, high-quality, person-centred care. Throughout Mrs Thompson’s case, communication enables professionals to understand her needs, reduce confusion associated with dementia and involve both her and her family in decisions regarding her care. Administrative skills, including accurate record keeping and lawful information management, ensure continuity of care while supporting safeguarding and professional accountability. Similarly, collaborative working allows healthcare professionals to combine their expertise to address Mrs Thompson’s physical, cognitive and social needs in a coordinated manner. Applying relevant legislation, including the Equality Act 2010, the Data Protection Act 2018, the Mental Capacity Act 2005 and the Care Act 2014, ensures that care is delivered safely, ethically and in accordance with legal requirements. Overall, adopting a person-centred approach supported by effective communication, accurate administration and multidisciplinary collaboration will improve Mrs Thompson’s health outcomes, promote her independence and reduce the risk of future medication errors and safeguarding concerns.</w:t>
      </w:r>
    </w:p>
    <w:p w14:paraId="3DFCDF82" w14:textId="77777777" w:rsidR="0011563D" w:rsidRPr="00443BF6" w:rsidRDefault="0011563D" w:rsidP="00443BF6">
      <w:pPr>
        <w:spacing w:line="360" w:lineRule="auto"/>
        <w:rPr>
          <w:rFonts w:ascii="Arial" w:hAnsi="Arial" w:cs="Arial"/>
          <w:sz w:val="22"/>
          <w:szCs w:val="22"/>
        </w:rPr>
      </w:pPr>
    </w:p>
    <w:p w14:paraId="7C41BC62" w14:textId="77777777" w:rsidR="0011563D" w:rsidRDefault="0011563D" w:rsidP="0011563D"/>
    <w:p w14:paraId="6B9CDF95" w14:textId="77777777" w:rsidR="0011563D" w:rsidRDefault="0011563D" w:rsidP="0011563D"/>
    <w:p w14:paraId="606F8C0D" w14:textId="77777777" w:rsidR="0011563D" w:rsidRDefault="0011563D" w:rsidP="0011563D"/>
    <w:p w14:paraId="2B47C51E" w14:textId="77777777" w:rsidR="0011563D" w:rsidRDefault="0011563D" w:rsidP="0011563D"/>
    <w:p w14:paraId="7690067C" w14:textId="77777777" w:rsidR="0011563D" w:rsidRDefault="0011563D" w:rsidP="0011563D"/>
    <w:p w14:paraId="090858D5" w14:textId="77777777" w:rsidR="0011563D" w:rsidRDefault="0011563D" w:rsidP="0011563D"/>
    <w:p w14:paraId="012E4ED0" w14:textId="77777777" w:rsidR="0011563D" w:rsidRDefault="0011563D" w:rsidP="0011563D"/>
    <w:p w14:paraId="4D936096" w14:textId="77777777" w:rsidR="0011563D" w:rsidRDefault="0011563D" w:rsidP="0011563D"/>
    <w:p w14:paraId="0F44CCCA" w14:textId="77777777" w:rsidR="0011563D" w:rsidRDefault="0011563D" w:rsidP="0011563D"/>
    <w:p w14:paraId="59CC2478" w14:textId="77777777" w:rsidR="0011563D" w:rsidRDefault="0011563D" w:rsidP="0011563D"/>
    <w:p w14:paraId="1BCE2461" w14:textId="77777777" w:rsidR="0011563D" w:rsidRDefault="0011563D" w:rsidP="0011563D"/>
    <w:p w14:paraId="62ECF0EC" w14:textId="77777777" w:rsidR="0011563D" w:rsidRDefault="0011563D" w:rsidP="0011563D"/>
    <w:p w14:paraId="511F9500" w14:textId="77777777" w:rsidR="0011563D" w:rsidRDefault="0011563D" w:rsidP="0011563D"/>
    <w:p w14:paraId="04342348" w14:textId="77777777" w:rsidR="0011563D" w:rsidRDefault="0011563D" w:rsidP="0011563D"/>
    <w:p w14:paraId="1657E97A" w14:textId="48F59493" w:rsidR="0011563D" w:rsidRDefault="0011563D" w:rsidP="0011563D">
      <w:pPr>
        <w:pStyle w:val="Heading1"/>
        <w:rPr>
          <w:rFonts w:ascii="Arial" w:hAnsi="Arial" w:cs="Arial"/>
        </w:rPr>
      </w:pPr>
      <w:bookmarkStart w:id="6" w:name="_Toc235201304"/>
      <w:r>
        <w:lastRenderedPageBreak/>
        <w:t>References</w:t>
      </w:r>
      <w:bookmarkEnd w:id="6"/>
      <w:r>
        <w:t xml:space="preserve"> </w:t>
      </w:r>
    </w:p>
    <w:p w14:paraId="087D233B" w14:textId="77777777" w:rsidR="00FF0F79" w:rsidRPr="00FF0F79" w:rsidRDefault="00FF0F79" w:rsidP="00FF0F79">
      <w:pPr>
        <w:spacing w:line="360" w:lineRule="auto"/>
        <w:rPr>
          <w:rFonts w:ascii="Arial" w:hAnsi="Arial" w:cs="Arial"/>
          <w:sz w:val="22"/>
          <w:szCs w:val="22"/>
        </w:rPr>
      </w:pPr>
      <w:proofErr w:type="spellStart"/>
      <w:r w:rsidRPr="00FF0F79">
        <w:rPr>
          <w:rFonts w:ascii="Arial" w:hAnsi="Arial" w:cs="Arial"/>
          <w:sz w:val="22"/>
          <w:szCs w:val="22"/>
        </w:rPr>
        <w:t>Alsawy</w:t>
      </w:r>
      <w:proofErr w:type="spellEnd"/>
      <w:r w:rsidRPr="00FF0F79">
        <w:rPr>
          <w:rFonts w:ascii="Arial" w:hAnsi="Arial" w:cs="Arial"/>
          <w:sz w:val="22"/>
          <w:szCs w:val="22"/>
        </w:rPr>
        <w:t>, S., Mansell, W., McEvoy, P. and Tai, S. (2017) ‘What is good communication for people living with dementia? A mixed-methods systematic review’, </w:t>
      </w:r>
      <w:r w:rsidRPr="00FF0F79">
        <w:rPr>
          <w:rFonts w:ascii="Arial" w:hAnsi="Arial" w:cs="Arial"/>
          <w:i/>
          <w:iCs/>
          <w:sz w:val="22"/>
          <w:szCs w:val="22"/>
        </w:rPr>
        <w:t>International Psychogeriatrics</w:t>
      </w:r>
      <w:r w:rsidRPr="00FF0F79">
        <w:rPr>
          <w:rFonts w:ascii="Arial" w:hAnsi="Arial" w:cs="Arial"/>
          <w:sz w:val="22"/>
          <w:szCs w:val="22"/>
        </w:rPr>
        <w:t>, 29(11), pp. 1785–1800.</w:t>
      </w:r>
    </w:p>
    <w:p w14:paraId="43BD51F2" w14:textId="77777777" w:rsidR="00FF0F79" w:rsidRPr="00FF0F79" w:rsidRDefault="00FF0F79" w:rsidP="00FF0F79">
      <w:pPr>
        <w:spacing w:line="360" w:lineRule="auto"/>
        <w:rPr>
          <w:rFonts w:ascii="Arial" w:hAnsi="Arial" w:cs="Arial"/>
          <w:sz w:val="22"/>
          <w:szCs w:val="22"/>
        </w:rPr>
      </w:pPr>
      <w:proofErr w:type="spellStart"/>
      <w:r w:rsidRPr="00FF0F79">
        <w:rPr>
          <w:rFonts w:ascii="Arial" w:hAnsi="Arial" w:cs="Arial"/>
          <w:sz w:val="22"/>
          <w:szCs w:val="22"/>
        </w:rPr>
        <w:t>Barnlund</w:t>
      </w:r>
      <w:proofErr w:type="spellEnd"/>
      <w:r w:rsidRPr="00FF0F79">
        <w:rPr>
          <w:rFonts w:ascii="Arial" w:hAnsi="Arial" w:cs="Arial"/>
          <w:sz w:val="22"/>
          <w:szCs w:val="22"/>
        </w:rPr>
        <w:t>, D.C. (2008) </w:t>
      </w:r>
      <w:r w:rsidRPr="00FF0F79">
        <w:rPr>
          <w:rFonts w:ascii="Arial" w:hAnsi="Arial" w:cs="Arial"/>
          <w:i/>
          <w:iCs/>
          <w:sz w:val="22"/>
          <w:szCs w:val="22"/>
        </w:rPr>
        <w:t>A Transactional Model of Communication</w:t>
      </w:r>
      <w:r w:rsidRPr="00FF0F79">
        <w:rPr>
          <w:rFonts w:ascii="Arial" w:hAnsi="Arial" w:cs="Arial"/>
          <w:sz w:val="22"/>
          <w:szCs w:val="22"/>
        </w:rPr>
        <w:t>. In: C.D. Mortensen (ed.) </w:t>
      </w:r>
      <w:r w:rsidRPr="00FF0F79">
        <w:rPr>
          <w:rFonts w:ascii="Arial" w:hAnsi="Arial" w:cs="Arial"/>
          <w:i/>
          <w:iCs/>
          <w:sz w:val="22"/>
          <w:szCs w:val="22"/>
        </w:rPr>
        <w:t>Communication Theory</w:t>
      </w:r>
      <w:r w:rsidRPr="00FF0F79">
        <w:rPr>
          <w:rFonts w:ascii="Arial" w:hAnsi="Arial" w:cs="Arial"/>
          <w:sz w:val="22"/>
          <w:szCs w:val="22"/>
        </w:rPr>
        <w:t>. 2nd ed. New Brunswick: Transaction Publishers.</w:t>
      </w:r>
    </w:p>
    <w:p w14:paraId="50FD7DA4" w14:textId="77777777" w:rsidR="00FF0F79" w:rsidRPr="00FF0F79" w:rsidRDefault="00FF0F79" w:rsidP="00FF0F79">
      <w:pPr>
        <w:spacing w:line="360" w:lineRule="auto"/>
        <w:rPr>
          <w:rFonts w:ascii="Arial" w:hAnsi="Arial" w:cs="Arial"/>
          <w:sz w:val="22"/>
          <w:szCs w:val="22"/>
        </w:rPr>
      </w:pPr>
      <w:r w:rsidRPr="00FF0F79">
        <w:rPr>
          <w:rFonts w:ascii="Arial" w:hAnsi="Arial" w:cs="Arial"/>
          <w:sz w:val="22"/>
          <w:szCs w:val="22"/>
        </w:rPr>
        <w:t>Care Act 2014. (c.23). London: The Stationery Office.</w:t>
      </w:r>
    </w:p>
    <w:p w14:paraId="27C9D66B" w14:textId="77777777" w:rsidR="00FF0F79" w:rsidRPr="00FF0F79" w:rsidRDefault="00FF0F79" w:rsidP="00FF0F79">
      <w:pPr>
        <w:spacing w:line="360" w:lineRule="auto"/>
        <w:rPr>
          <w:rFonts w:ascii="Arial" w:hAnsi="Arial" w:cs="Arial"/>
          <w:sz w:val="22"/>
          <w:szCs w:val="22"/>
        </w:rPr>
      </w:pPr>
      <w:r w:rsidRPr="00FF0F79">
        <w:rPr>
          <w:rFonts w:ascii="Arial" w:hAnsi="Arial" w:cs="Arial"/>
          <w:sz w:val="22"/>
          <w:szCs w:val="22"/>
        </w:rPr>
        <w:t>Data Protection Act 2018. (c.12). London: The Stationery Office.</w:t>
      </w:r>
    </w:p>
    <w:p w14:paraId="0533988C" w14:textId="77777777" w:rsidR="00FF0F79" w:rsidRPr="00FF0F79" w:rsidRDefault="00FF0F79" w:rsidP="00FF0F79">
      <w:pPr>
        <w:spacing w:line="360" w:lineRule="auto"/>
        <w:rPr>
          <w:rFonts w:ascii="Arial" w:hAnsi="Arial" w:cs="Arial"/>
          <w:sz w:val="22"/>
          <w:szCs w:val="22"/>
        </w:rPr>
      </w:pPr>
      <w:r w:rsidRPr="00FF0F79">
        <w:rPr>
          <w:rFonts w:ascii="Arial" w:hAnsi="Arial" w:cs="Arial"/>
          <w:sz w:val="22"/>
          <w:szCs w:val="22"/>
        </w:rPr>
        <w:t>Department of Health and Social Care (2022) </w:t>
      </w:r>
      <w:r w:rsidRPr="00FF0F79">
        <w:rPr>
          <w:rFonts w:ascii="Arial" w:hAnsi="Arial" w:cs="Arial"/>
          <w:i/>
          <w:iCs/>
          <w:sz w:val="22"/>
          <w:szCs w:val="22"/>
        </w:rPr>
        <w:t>UK GDPR guidance for health and social care organisations</w:t>
      </w:r>
      <w:r w:rsidRPr="00FF0F79">
        <w:rPr>
          <w:rFonts w:ascii="Arial" w:hAnsi="Arial" w:cs="Arial"/>
          <w:sz w:val="22"/>
          <w:szCs w:val="22"/>
        </w:rPr>
        <w:t>.</w:t>
      </w:r>
    </w:p>
    <w:p w14:paraId="276FE5E3" w14:textId="77777777" w:rsidR="00FF0F79" w:rsidRPr="00FF0F79" w:rsidRDefault="00FF0F79" w:rsidP="00FF0F79">
      <w:pPr>
        <w:spacing w:line="360" w:lineRule="auto"/>
        <w:rPr>
          <w:rFonts w:ascii="Arial" w:hAnsi="Arial" w:cs="Arial"/>
          <w:sz w:val="22"/>
          <w:szCs w:val="22"/>
        </w:rPr>
      </w:pPr>
      <w:r w:rsidRPr="00FF0F79">
        <w:rPr>
          <w:rFonts w:ascii="Arial" w:hAnsi="Arial" w:cs="Arial"/>
          <w:sz w:val="22"/>
          <w:szCs w:val="22"/>
        </w:rPr>
        <w:t>Equality Act 2010. (c.15). London: The Stationery Office.</w:t>
      </w:r>
    </w:p>
    <w:p w14:paraId="0AD303B2" w14:textId="77777777" w:rsidR="00FF0F79" w:rsidRPr="00FF0F79" w:rsidRDefault="00FF0F79" w:rsidP="00FF0F79">
      <w:pPr>
        <w:spacing w:line="360" w:lineRule="auto"/>
        <w:rPr>
          <w:rFonts w:ascii="Arial" w:hAnsi="Arial" w:cs="Arial"/>
          <w:sz w:val="22"/>
          <w:szCs w:val="22"/>
        </w:rPr>
      </w:pPr>
      <w:r w:rsidRPr="00FF0F79">
        <w:rPr>
          <w:rFonts w:ascii="Arial" w:hAnsi="Arial" w:cs="Arial"/>
          <w:sz w:val="22"/>
          <w:szCs w:val="22"/>
        </w:rPr>
        <w:t>Information Commissioner’s Office (2024) </w:t>
      </w:r>
      <w:r w:rsidRPr="00FF0F79">
        <w:rPr>
          <w:rFonts w:ascii="Arial" w:hAnsi="Arial" w:cs="Arial"/>
          <w:i/>
          <w:iCs/>
          <w:sz w:val="22"/>
          <w:szCs w:val="22"/>
        </w:rPr>
        <w:t>Guide to UK GDPR</w:t>
      </w:r>
      <w:r w:rsidRPr="00FF0F79">
        <w:rPr>
          <w:rFonts w:ascii="Arial" w:hAnsi="Arial" w:cs="Arial"/>
          <w:sz w:val="22"/>
          <w:szCs w:val="22"/>
        </w:rPr>
        <w:t>.</w:t>
      </w:r>
    </w:p>
    <w:p w14:paraId="5C41690D" w14:textId="77777777" w:rsidR="00FF0F79" w:rsidRPr="00FF0F79" w:rsidRDefault="00FF0F79" w:rsidP="00FF0F79">
      <w:pPr>
        <w:spacing w:line="360" w:lineRule="auto"/>
        <w:rPr>
          <w:rFonts w:ascii="Arial" w:hAnsi="Arial" w:cs="Arial"/>
          <w:sz w:val="22"/>
          <w:szCs w:val="22"/>
        </w:rPr>
      </w:pPr>
      <w:r w:rsidRPr="00FF0F79">
        <w:rPr>
          <w:rFonts w:ascii="Arial" w:hAnsi="Arial" w:cs="Arial"/>
          <w:sz w:val="22"/>
          <w:szCs w:val="22"/>
        </w:rPr>
        <w:t>Mental Capacity Act 2005. (c.9). London: The Stationery Office.</w:t>
      </w:r>
    </w:p>
    <w:p w14:paraId="54680A10" w14:textId="77777777" w:rsidR="00FF0F79" w:rsidRPr="00FF0F79" w:rsidRDefault="00FF0F79" w:rsidP="00FF0F79">
      <w:pPr>
        <w:spacing w:line="360" w:lineRule="auto"/>
        <w:rPr>
          <w:rFonts w:ascii="Arial" w:hAnsi="Arial" w:cs="Arial"/>
          <w:sz w:val="22"/>
          <w:szCs w:val="22"/>
        </w:rPr>
      </w:pPr>
      <w:r w:rsidRPr="00FF0F79">
        <w:rPr>
          <w:rFonts w:ascii="Arial" w:hAnsi="Arial" w:cs="Arial"/>
          <w:sz w:val="22"/>
          <w:szCs w:val="22"/>
        </w:rPr>
        <w:t>NICE (2018) </w:t>
      </w:r>
      <w:r w:rsidRPr="00FF0F79">
        <w:rPr>
          <w:rFonts w:ascii="Arial" w:hAnsi="Arial" w:cs="Arial"/>
          <w:i/>
          <w:iCs/>
          <w:sz w:val="22"/>
          <w:szCs w:val="22"/>
        </w:rPr>
        <w:t>Dementia: Assessment, management and support for people living with dementia and their carers (NG97).</w:t>
      </w:r>
      <w:r w:rsidRPr="00FF0F79">
        <w:rPr>
          <w:rFonts w:ascii="Arial" w:hAnsi="Arial" w:cs="Arial"/>
          <w:sz w:val="22"/>
          <w:szCs w:val="22"/>
        </w:rPr>
        <w:t> London: National Institute for Health and Care Excellence.</w:t>
      </w:r>
    </w:p>
    <w:p w14:paraId="3656E8B2" w14:textId="77777777" w:rsidR="00FF0F79" w:rsidRPr="00FF0F79" w:rsidRDefault="00FF0F79" w:rsidP="00FF0F79">
      <w:pPr>
        <w:spacing w:line="360" w:lineRule="auto"/>
        <w:rPr>
          <w:rFonts w:ascii="Arial" w:hAnsi="Arial" w:cs="Arial"/>
          <w:sz w:val="22"/>
          <w:szCs w:val="22"/>
        </w:rPr>
      </w:pPr>
      <w:r w:rsidRPr="00FF0F79">
        <w:rPr>
          <w:rFonts w:ascii="Arial" w:hAnsi="Arial" w:cs="Arial"/>
          <w:sz w:val="22"/>
          <w:szCs w:val="22"/>
        </w:rPr>
        <w:t>Nursing and Midwifery Council (2018) </w:t>
      </w:r>
      <w:r w:rsidRPr="00FF0F79">
        <w:rPr>
          <w:rFonts w:ascii="Arial" w:hAnsi="Arial" w:cs="Arial"/>
          <w:i/>
          <w:iCs/>
          <w:sz w:val="22"/>
          <w:szCs w:val="22"/>
        </w:rPr>
        <w:t>The Code: Professional standards of practice and behaviour for nurses, midwives and nursing associates</w:t>
      </w:r>
      <w:r w:rsidRPr="00FF0F79">
        <w:rPr>
          <w:rFonts w:ascii="Arial" w:hAnsi="Arial" w:cs="Arial"/>
          <w:sz w:val="22"/>
          <w:szCs w:val="22"/>
        </w:rPr>
        <w:t>. London: NMC.</w:t>
      </w:r>
    </w:p>
    <w:p w14:paraId="3F29C92F" w14:textId="77777777" w:rsidR="00FF0F79" w:rsidRPr="00FF0F79" w:rsidRDefault="00FF0F79" w:rsidP="00FF0F79">
      <w:pPr>
        <w:spacing w:line="360" w:lineRule="auto"/>
        <w:rPr>
          <w:rFonts w:ascii="Arial" w:hAnsi="Arial" w:cs="Arial"/>
          <w:sz w:val="22"/>
          <w:szCs w:val="22"/>
        </w:rPr>
      </w:pPr>
      <w:r w:rsidRPr="00FF0F79">
        <w:rPr>
          <w:rFonts w:ascii="Arial" w:hAnsi="Arial" w:cs="Arial"/>
          <w:sz w:val="22"/>
          <w:szCs w:val="22"/>
        </w:rPr>
        <w:t xml:space="preserve">Reeves, S., </w:t>
      </w:r>
      <w:proofErr w:type="spellStart"/>
      <w:r w:rsidRPr="00FF0F79">
        <w:rPr>
          <w:rFonts w:ascii="Arial" w:hAnsi="Arial" w:cs="Arial"/>
          <w:sz w:val="22"/>
          <w:szCs w:val="22"/>
        </w:rPr>
        <w:t>Pelone</w:t>
      </w:r>
      <w:proofErr w:type="spellEnd"/>
      <w:r w:rsidRPr="00FF0F79">
        <w:rPr>
          <w:rFonts w:ascii="Arial" w:hAnsi="Arial" w:cs="Arial"/>
          <w:sz w:val="22"/>
          <w:szCs w:val="22"/>
        </w:rPr>
        <w:t xml:space="preserve">, F., Harrison, R., Goldman, J. and </w:t>
      </w:r>
      <w:proofErr w:type="spellStart"/>
      <w:r w:rsidRPr="00FF0F79">
        <w:rPr>
          <w:rFonts w:ascii="Arial" w:hAnsi="Arial" w:cs="Arial"/>
          <w:sz w:val="22"/>
          <w:szCs w:val="22"/>
        </w:rPr>
        <w:t>Zwarenstein</w:t>
      </w:r>
      <w:proofErr w:type="spellEnd"/>
      <w:r w:rsidRPr="00FF0F79">
        <w:rPr>
          <w:rFonts w:ascii="Arial" w:hAnsi="Arial" w:cs="Arial"/>
          <w:sz w:val="22"/>
          <w:szCs w:val="22"/>
        </w:rPr>
        <w:t>, M. (2017) ‘Interprofessional collaboration to improve professional practice and healthcare outcomes’, </w:t>
      </w:r>
      <w:r w:rsidRPr="00FF0F79">
        <w:rPr>
          <w:rFonts w:ascii="Arial" w:hAnsi="Arial" w:cs="Arial"/>
          <w:i/>
          <w:iCs/>
          <w:sz w:val="22"/>
          <w:szCs w:val="22"/>
        </w:rPr>
        <w:t>Cochrane Database of Systematic Reviews</w:t>
      </w:r>
      <w:r w:rsidRPr="00FF0F79">
        <w:rPr>
          <w:rFonts w:ascii="Arial" w:hAnsi="Arial" w:cs="Arial"/>
          <w:sz w:val="22"/>
          <w:szCs w:val="22"/>
        </w:rPr>
        <w:t>, (6).</w:t>
      </w:r>
    </w:p>
    <w:p w14:paraId="4117E5B8" w14:textId="77777777" w:rsidR="00FF0F79" w:rsidRPr="00FF0F79" w:rsidRDefault="00FF0F79" w:rsidP="00FF0F79">
      <w:pPr>
        <w:spacing w:line="360" w:lineRule="auto"/>
        <w:rPr>
          <w:rFonts w:ascii="Arial" w:hAnsi="Arial" w:cs="Arial"/>
          <w:sz w:val="22"/>
          <w:szCs w:val="22"/>
        </w:rPr>
      </w:pPr>
      <w:r w:rsidRPr="00FF0F79">
        <w:rPr>
          <w:rFonts w:ascii="Arial" w:hAnsi="Arial" w:cs="Arial"/>
          <w:sz w:val="22"/>
          <w:szCs w:val="22"/>
        </w:rPr>
        <w:t>World Health Organization (2023) </w:t>
      </w:r>
      <w:r w:rsidRPr="00FF0F79">
        <w:rPr>
          <w:rFonts w:ascii="Arial" w:hAnsi="Arial" w:cs="Arial"/>
          <w:i/>
          <w:iCs/>
          <w:sz w:val="22"/>
          <w:szCs w:val="22"/>
        </w:rPr>
        <w:t>Global status report on the public health response to dementia</w:t>
      </w:r>
      <w:r w:rsidRPr="00FF0F79">
        <w:rPr>
          <w:rFonts w:ascii="Arial" w:hAnsi="Arial" w:cs="Arial"/>
          <w:sz w:val="22"/>
          <w:szCs w:val="22"/>
        </w:rPr>
        <w:t>.</w:t>
      </w:r>
    </w:p>
    <w:p w14:paraId="6248B3E7" w14:textId="77777777" w:rsidR="0011563D" w:rsidRPr="0011563D" w:rsidRDefault="0011563D" w:rsidP="0011563D"/>
    <w:sectPr w:rsidR="0011563D" w:rsidRPr="0011563D" w:rsidSect="00197001">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24FCB" w14:textId="77777777" w:rsidR="005A5DF1" w:rsidRDefault="005A5DF1" w:rsidP="002E0F9D">
      <w:pPr>
        <w:spacing w:after="0" w:line="240" w:lineRule="auto"/>
      </w:pPr>
      <w:r>
        <w:separator/>
      </w:r>
    </w:p>
  </w:endnote>
  <w:endnote w:type="continuationSeparator" w:id="0">
    <w:p w14:paraId="774BBC46" w14:textId="77777777" w:rsidR="005A5DF1" w:rsidRDefault="005A5DF1" w:rsidP="002E0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6492497"/>
      <w:docPartObj>
        <w:docPartGallery w:val="Page Numbers (Bottom of Page)"/>
        <w:docPartUnique/>
      </w:docPartObj>
    </w:sdtPr>
    <w:sdtContent>
      <w:p w14:paraId="2FF69D97" w14:textId="186098F6" w:rsidR="00807848" w:rsidRDefault="00807848">
        <w:pPr>
          <w:pStyle w:val="Footer"/>
          <w:jc w:val="center"/>
        </w:pPr>
        <w:r>
          <w:fldChar w:fldCharType="begin"/>
        </w:r>
        <w:r>
          <w:instrText>PAGE   \* MERGEFORMAT</w:instrText>
        </w:r>
        <w:r>
          <w:fldChar w:fldCharType="separate"/>
        </w:r>
        <w:r>
          <w:t>2</w:t>
        </w:r>
        <w:r>
          <w:fldChar w:fldCharType="end"/>
        </w:r>
      </w:p>
    </w:sdtContent>
  </w:sdt>
  <w:p w14:paraId="027AD009" w14:textId="77777777" w:rsidR="002E0F9D" w:rsidRDefault="002E0F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B659B" w14:textId="77777777" w:rsidR="005A5DF1" w:rsidRDefault="005A5DF1" w:rsidP="002E0F9D">
      <w:pPr>
        <w:spacing w:after="0" w:line="240" w:lineRule="auto"/>
      </w:pPr>
      <w:r>
        <w:separator/>
      </w:r>
    </w:p>
  </w:footnote>
  <w:footnote w:type="continuationSeparator" w:id="0">
    <w:p w14:paraId="378F20D6" w14:textId="77777777" w:rsidR="005A5DF1" w:rsidRDefault="005A5DF1" w:rsidP="002E0F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001"/>
    <w:rsid w:val="00014532"/>
    <w:rsid w:val="00020D58"/>
    <w:rsid w:val="000256B9"/>
    <w:rsid w:val="0002645A"/>
    <w:rsid w:val="00030EB3"/>
    <w:rsid w:val="00041BF8"/>
    <w:rsid w:val="00041C1D"/>
    <w:rsid w:val="00043992"/>
    <w:rsid w:val="00052606"/>
    <w:rsid w:val="00070BCC"/>
    <w:rsid w:val="0007275A"/>
    <w:rsid w:val="000D0224"/>
    <w:rsid w:val="000D3C32"/>
    <w:rsid w:val="000E1A1E"/>
    <w:rsid w:val="001140A4"/>
    <w:rsid w:val="0011563D"/>
    <w:rsid w:val="001478A3"/>
    <w:rsid w:val="00163BF6"/>
    <w:rsid w:val="0017194A"/>
    <w:rsid w:val="00181B47"/>
    <w:rsid w:val="0018799F"/>
    <w:rsid w:val="00193CE8"/>
    <w:rsid w:val="00196D70"/>
    <w:rsid w:val="00197001"/>
    <w:rsid w:val="001C2F01"/>
    <w:rsid w:val="001C3814"/>
    <w:rsid w:val="001E1592"/>
    <w:rsid w:val="001E26A2"/>
    <w:rsid w:val="001E3D9E"/>
    <w:rsid w:val="001E40C3"/>
    <w:rsid w:val="001E6D62"/>
    <w:rsid w:val="001F2450"/>
    <w:rsid w:val="002032D4"/>
    <w:rsid w:val="0022266D"/>
    <w:rsid w:val="002229DF"/>
    <w:rsid w:val="00224D01"/>
    <w:rsid w:val="0025349D"/>
    <w:rsid w:val="00255C5D"/>
    <w:rsid w:val="00271C47"/>
    <w:rsid w:val="002724A3"/>
    <w:rsid w:val="00287F2F"/>
    <w:rsid w:val="0029108D"/>
    <w:rsid w:val="00294484"/>
    <w:rsid w:val="002A1484"/>
    <w:rsid w:val="002A1C92"/>
    <w:rsid w:val="002A7B76"/>
    <w:rsid w:val="002D00E0"/>
    <w:rsid w:val="002E0F9D"/>
    <w:rsid w:val="00303E27"/>
    <w:rsid w:val="00324A6B"/>
    <w:rsid w:val="003C014E"/>
    <w:rsid w:val="003C2373"/>
    <w:rsid w:val="003F00CA"/>
    <w:rsid w:val="003F66A5"/>
    <w:rsid w:val="004147C0"/>
    <w:rsid w:val="00417C41"/>
    <w:rsid w:val="00433865"/>
    <w:rsid w:val="00443BF6"/>
    <w:rsid w:val="00465653"/>
    <w:rsid w:val="004658DF"/>
    <w:rsid w:val="00467433"/>
    <w:rsid w:val="00480F13"/>
    <w:rsid w:val="00483CCA"/>
    <w:rsid w:val="004B4ADE"/>
    <w:rsid w:val="004B4BF8"/>
    <w:rsid w:val="004C095C"/>
    <w:rsid w:val="004C5FE2"/>
    <w:rsid w:val="00501BB8"/>
    <w:rsid w:val="00507F1F"/>
    <w:rsid w:val="005900F4"/>
    <w:rsid w:val="005916EC"/>
    <w:rsid w:val="005A5DF1"/>
    <w:rsid w:val="005A7CE6"/>
    <w:rsid w:val="005C53B7"/>
    <w:rsid w:val="005F0076"/>
    <w:rsid w:val="00603795"/>
    <w:rsid w:val="00606C87"/>
    <w:rsid w:val="00612CD3"/>
    <w:rsid w:val="006219BE"/>
    <w:rsid w:val="006228C7"/>
    <w:rsid w:val="00630288"/>
    <w:rsid w:val="0063257A"/>
    <w:rsid w:val="00655736"/>
    <w:rsid w:val="00662FA7"/>
    <w:rsid w:val="006873F5"/>
    <w:rsid w:val="00687D92"/>
    <w:rsid w:val="00694F7B"/>
    <w:rsid w:val="006A314E"/>
    <w:rsid w:val="006A36EC"/>
    <w:rsid w:val="006C7CF9"/>
    <w:rsid w:val="006D0C9A"/>
    <w:rsid w:val="006F0D95"/>
    <w:rsid w:val="00710855"/>
    <w:rsid w:val="00725128"/>
    <w:rsid w:val="00740C6F"/>
    <w:rsid w:val="00757624"/>
    <w:rsid w:val="00775A0B"/>
    <w:rsid w:val="007E3279"/>
    <w:rsid w:val="007E6EAC"/>
    <w:rsid w:val="00807848"/>
    <w:rsid w:val="00820C1F"/>
    <w:rsid w:val="00834F69"/>
    <w:rsid w:val="00834F6F"/>
    <w:rsid w:val="00865059"/>
    <w:rsid w:val="00870D2F"/>
    <w:rsid w:val="00887036"/>
    <w:rsid w:val="008B7E46"/>
    <w:rsid w:val="008C696C"/>
    <w:rsid w:val="008E3571"/>
    <w:rsid w:val="008E42D3"/>
    <w:rsid w:val="008F25D2"/>
    <w:rsid w:val="009119D3"/>
    <w:rsid w:val="00930111"/>
    <w:rsid w:val="00936961"/>
    <w:rsid w:val="00951CAB"/>
    <w:rsid w:val="00973ED0"/>
    <w:rsid w:val="00977207"/>
    <w:rsid w:val="009816EE"/>
    <w:rsid w:val="009A47C9"/>
    <w:rsid w:val="009D0065"/>
    <w:rsid w:val="009F2052"/>
    <w:rsid w:val="00A20588"/>
    <w:rsid w:val="00A3255A"/>
    <w:rsid w:val="00A51DFA"/>
    <w:rsid w:val="00A53596"/>
    <w:rsid w:val="00A60191"/>
    <w:rsid w:val="00A62C86"/>
    <w:rsid w:val="00A65AB3"/>
    <w:rsid w:val="00A7201C"/>
    <w:rsid w:val="00A82107"/>
    <w:rsid w:val="00A95FF9"/>
    <w:rsid w:val="00A96CC8"/>
    <w:rsid w:val="00AC10CE"/>
    <w:rsid w:val="00AE0B33"/>
    <w:rsid w:val="00B00CB3"/>
    <w:rsid w:val="00B1247B"/>
    <w:rsid w:val="00B26C19"/>
    <w:rsid w:val="00B32051"/>
    <w:rsid w:val="00B77431"/>
    <w:rsid w:val="00BB694C"/>
    <w:rsid w:val="00BC6203"/>
    <w:rsid w:val="00BD6075"/>
    <w:rsid w:val="00BE6CE9"/>
    <w:rsid w:val="00BF7808"/>
    <w:rsid w:val="00C04827"/>
    <w:rsid w:val="00C156F8"/>
    <w:rsid w:val="00C249A7"/>
    <w:rsid w:val="00C314AA"/>
    <w:rsid w:val="00C4686E"/>
    <w:rsid w:val="00CD7B38"/>
    <w:rsid w:val="00CE496B"/>
    <w:rsid w:val="00CE6927"/>
    <w:rsid w:val="00CF57BE"/>
    <w:rsid w:val="00D45E47"/>
    <w:rsid w:val="00D80886"/>
    <w:rsid w:val="00DD136A"/>
    <w:rsid w:val="00DD44DE"/>
    <w:rsid w:val="00DE40F9"/>
    <w:rsid w:val="00DE4F44"/>
    <w:rsid w:val="00E00A93"/>
    <w:rsid w:val="00E40B5F"/>
    <w:rsid w:val="00E522E8"/>
    <w:rsid w:val="00E66B55"/>
    <w:rsid w:val="00E86A5E"/>
    <w:rsid w:val="00EA4256"/>
    <w:rsid w:val="00EB0012"/>
    <w:rsid w:val="00EE7531"/>
    <w:rsid w:val="00EE7E30"/>
    <w:rsid w:val="00EF4FE0"/>
    <w:rsid w:val="00EF6891"/>
    <w:rsid w:val="00F00A25"/>
    <w:rsid w:val="00F14223"/>
    <w:rsid w:val="00F20F93"/>
    <w:rsid w:val="00F232F4"/>
    <w:rsid w:val="00F31E3D"/>
    <w:rsid w:val="00F40D48"/>
    <w:rsid w:val="00F6059D"/>
    <w:rsid w:val="00F63216"/>
    <w:rsid w:val="00F84DC1"/>
    <w:rsid w:val="00F85033"/>
    <w:rsid w:val="00FA7F56"/>
    <w:rsid w:val="00FB0ED7"/>
    <w:rsid w:val="00FC21C6"/>
    <w:rsid w:val="00FD0376"/>
    <w:rsid w:val="00FE4BFB"/>
    <w:rsid w:val="00FF0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5A5ECD"/>
  <w15:chartTrackingRefBased/>
  <w15:docId w15:val="{592A7D1B-CFCC-469E-947A-EB9B8AFF2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70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70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70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70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70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70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70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70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70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70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70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70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70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70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70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70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70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7001"/>
    <w:rPr>
      <w:rFonts w:eastAsiaTheme="majorEastAsia" w:cstheme="majorBidi"/>
      <w:color w:val="272727" w:themeColor="text1" w:themeTint="D8"/>
    </w:rPr>
  </w:style>
  <w:style w:type="paragraph" w:styleId="Title">
    <w:name w:val="Title"/>
    <w:basedOn w:val="Normal"/>
    <w:next w:val="Normal"/>
    <w:link w:val="TitleChar"/>
    <w:uiPriority w:val="10"/>
    <w:qFormat/>
    <w:rsid w:val="001970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70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70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70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7001"/>
    <w:pPr>
      <w:spacing w:before="160"/>
      <w:jc w:val="center"/>
    </w:pPr>
    <w:rPr>
      <w:i/>
      <w:iCs/>
      <w:color w:val="404040" w:themeColor="text1" w:themeTint="BF"/>
    </w:rPr>
  </w:style>
  <w:style w:type="character" w:customStyle="1" w:styleId="QuoteChar">
    <w:name w:val="Quote Char"/>
    <w:basedOn w:val="DefaultParagraphFont"/>
    <w:link w:val="Quote"/>
    <w:uiPriority w:val="29"/>
    <w:rsid w:val="00197001"/>
    <w:rPr>
      <w:i/>
      <w:iCs/>
      <w:color w:val="404040" w:themeColor="text1" w:themeTint="BF"/>
    </w:rPr>
  </w:style>
  <w:style w:type="paragraph" w:styleId="ListParagraph">
    <w:name w:val="List Paragraph"/>
    <w:basedOn w:val="Normal"/>
    <w:uiPriority w:val="34"/>
    <w:qFormat/>
    <w:rsid w:val="00197001"/>
    <w:pPr>
      <w:ind w:left="720"/>
      <w:contextualSpacing/>
    </w:pPr>
  </w:style>
  <w:style w:type="character" w:styleId="IntenseEmphasis">
    <w:name w:val="Intense Emphasis"/>
    <w:basedOn w:val="DefaultParagraphFont"/>
    <w:uiPriority w:val="21"/>
    <w:qFormat/>
    <w:rsid w:val="00197001"/>
    <w:rPr>
      <w:i/>
      <w:iCs/>
      <w:color w:val="0F4761" w:themeColor="accent1" w:themeShade="BF"/>
    </w:rPr>
  </w:style>
  <w:style w:type="paragraph" w:styleId="IntenseQuote">
    <w:name w:val="Intense Quote"/>
    <w:basedOn w:val="Normal"/>
    <w:next w:val="Normal"/>
    <w:link w:val="IntenseQuoteChar"/>
    <w:uiPriority w:val="30"/>
    <w:qFormat/>
    <w:rsid w:val="001970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7001"/>
    <w:rPr>
      <w:i/>
      <w:iCs/>
      <w:color w:val="0F4761" w:themeColor="accent1" w:themeShade="BF"/>
    </w:rPr>
  </w:style>
  <w:style w:type="character" w:styleId="IntenseReference">
    <w:name w:val="Intense Reference"/>
    <w:basedOn w:val="DefaultParagraphFont"/>
    <w:uiPriority w:val="32"/>
    <w:qFormat/>
    <w:rsid w:val="00197001"/>
    <w:rPr>
      <w:b/>
      <w:bCs/>
      <w:smallCaps/>
      <w:color w:val="0F4761" w:themeColor="accent1" w:themeShade="BF"/>
      <w:spacing w:val="5"/>
    </w:rPr>
  </w:style>
  <w:style w:type="paragraph" w:styleId="NoSpacing">
    <w:name w:val="No Spacing"/>
    <w:link w:val="NoSpacingChar"/>
    <w:uiPriority w:val="1"/>
    <w:qFormat/>
    <w:rsid w:val="00197001"/>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197001"/>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820C1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E6CE9"/>
    <w:pPr>
      <w:tabs>
        <w:tab w:val="right" w:leader="dot" w:pos="9016"/>
      </w:tabs>
      <w:spacing w:after="100"/>
    </w:pPr>
    <w:rPr>
      <w:rFonts w:ascii="Arial" w:hAnsi="Arial" w:cs="Arial"/>
      <w:noProof/>
    </w:rPr>
  </w:style>
  <w:style w:type="character" w:styleId="Hyperlink">
    <w:name w:val="Hyperlink"/>
    <w:basedOn w:val="DefaultParagraphFont"/>
    <w:uiPriority w:val="99"/>
    <w:unhideWhenUsed/>
    <w:rsid w:val="00820C1F"/>
    <w:rPr>
      <w:color w:val="467886" w:themeColor="hyperlink"/>
      <w:u w:val="single"/>
    </w:rPr>
  </w:style>
  <w:style w:type="paragraph" w:styleId="Header">
    <w:name w:val="header"/>
    <w:basedOn w:val="Normal"/>
    <w:link w:val="HeaderChar"/>
    <w:uiPriority w:val="99"/>
    <w:unhideWhenUsed/>
    <w:rsid w:val="002E0F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0F9D"/>
  </w:style>
  <w:style w:type="paragraph" w:styleId="Footer">
    <w:name w:val="footer"/>
    <w:basedOn w:val="Normal"/>
    <w:link w:val="FooterChar"/>
    <w:uiPriority w:val="99"/>
    <w:unhideWhenUsed/>
    <w:rsid w:val="002E0F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F9D"/>
  </w:style>
  <w:style w:type="character" w:styleId="UnresolvedMention">
    <w:name w:val="Unresolved Mention"/>
    <w:basedOn w:val="DefaultParagraphFont"/>
    <w:uiPriority w:val="99"/>
    <w:semiHidden/>
    <w:unhideWhenUsed/>
    <w:rsid w:val="000256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94b3b87e8cab1da9962764c62c10e4bb">
  <xsd:schema xmlns:xsd="http://www.w3.org/2001/XMLSchema" xmlns:xs="http://www.w3.org/2001/XMLSchema" xmlns:p="http://schemas.microsoft.com/office/2006/metadata/properties" xmlns:ns3="901b7179-a49d-4669-ab88-101a0e80079b" targetNamespace="http://schemas.microsoft.com/office/2006/metadata/properties" ma:root="true" ma:fieldsID="735ec4ac2e6a3b10ea8a43ae5db773e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5E19C3-C7AE-4D4A-8CD5-F461248661D0}">
  <ds:schemaRefs>
    <ds:schemaRef ds:uri="http://schemas.microsoft.com/office/2006/metadata/properties"/>
    <ds:schemaRef ds:uri="http://schemas.microsoft.com/office/infopath/2007/PartnerControls"/>
    <ds:schemaRef ds:uri="901b7179-a49d-4669-ab88-101a0e80079b"/>
  </ds:schemaRefs>
</ds:datastoreItem>
</file>

<file path=customXml/itemProps3.xml><?xml version="1.0" encoding="utf-8"?>
<ds:datastoreItem xmlns:ds="http://schemas.openxmlformats.org/officeDocument/2006/customXml" ds:itemID="{0BFC4DCD-6DEA-4D7E-A876-7547EDB325E5}">
  <ds:schemaRefs>
    <ds:schemaRef ds:uri="http://schemas.openxmlformats.org/officeDocument/2006/bibliography"/>
  </ds:schemaRefs>
</ds:datastoreItem>
</file>

<file path=customXml/itemProps4.xml><?xml version="1.0" encoding="utf-8"?>
<ds:datastoreItem xmlns:ds="http://schemas.openxmlformats.org/officeDocument/2006/customXml" ds:itemID="{0F934E51-A31F-49EC-8648-22D229BFB2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EC9C1D1-D597-40D1-BC7A-015DBAF08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4340</TotalTime>
  <Pages>11</Pages>
  <Words>2693</Words>
  <Characters>15351</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Introduction To Health and Social Care Module Code: LCHS4003 (Component 2)</vt:lpstr>
    </vt:vector>
  </TitlesOfParts>
  <Company/>
  <LinksUpToDate>false</LinksUpToDate>
  <CharactersWithSpaces>18008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Name: Introduction to Health and Social Care                      Module Title: LCHS4004    Assignment Title: Case Study of Mrs Thompson</dc:title>
  <dc:subject>Nevaeh Salmon [2521130]</dc:subject>
  <dc:creator>lecture name: Daniel Haruna</dc:creator>
  <cp:keywords/>
  <dc:description/>
  <cp:lastModifiedBy>Nevaeh Salmon (2521130)</cp:lastModifiedBy>
  <cp:revision>179</cp:revision>
  <dcterms:created xsi:type="dcterms:W3CDTF">2026-07-06T11:29:00Z</dcterms:created>
  <dcterms:modified xsi:type="dcterms:W3CDTF">2026-07-23T20:14:00Z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