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5E53D" w14:textId="561A8349" w:rsidR="00040CF4" w:rsidRPr="00CE103D" w:rsidRDefault="00C15722" w:rsidP="00040CF4">
      <w:pPr>
        <w:pStyle w:val="NormalWeb"/>
        <w:spacing w:line="360" w:lineRule="auto"/>
        <w:rPr>
          <w:rFonts w:ascii="Arial" w:hAnsi="Arial" w:cs="Arial"/>
          <w:b/>
          <w:bCs/>
          <w:sz w:val="52"/>
          <w:szCs w:val="52"/>
        </w:rPr>
      </w:pPr>
      <w:r w:rsidRPr="00CE103D">
        <w:rPr>
          <w:rFonts w:ascii="Arial" w:hAnsi="Arial" w:cs="Arial"/>
          <w:b/>
          <w:bCs/>
          <w:sz w:val="52"/>
          <w:szCs w:val="52"/>
        </w:rPr>
        <w:t>Name: Charmaine Mclean</w:t>
      </w:r>
    </w:p>
    <w:p w14:paraId="694509EC" w14:textId="2106F2D3" w:rsidR="00C15722" w:rsidRPr="00CE103D" w:rsidRDefault="00C15722" w:rsidP="00040CF4">
      <w:pPr>
        <w:pStyle w:val="NormalWeb"/>
        <w:spacing w:line="360" w:lineRule="auto"/>
        <w:rPr>
          <w:rFonts w:ascii="Arial" w:hAnsi="Arial" w:cs="Arial"/>
          <w:b/>
          <w:bCs/>
          <w:sz w:val="52"/>
          <w:szCs w:val="52"/>
        </w:rPr>
      </w:pPr>
      <w:r w:rsidRPr="00CE103D">
        <w:rPr>
          <w:rFonts w:ascii="Arial" w:hAnsi="Arial" w:cs="Arial"/>
          <w:b/>
          <w:bCs/>
          <w:sz w:val="52"/>
          <w:szCs w:val="52"/>
        </w:rPr>
        <w:t>Student Number: 2429703</w:t>
      </w:r>
    </w:p>
    <w:p w14:paraId="2B86CEE3" w14:textId="2256E2BD" w:rsidR="00C15722" w:rsidRPr="00CE103D" w:rsidRDefault="00C15722" w:rsidP="00040CF4">
      <w:pPr>
        <w:pStyle w:val="NormalWeb"/>
        <w:spacing w:line="360" w:lineRule="auto"/>
        <w:rPr>
          <w:rFonts w:ascii="Arial" w:hAnsi="Arial" w:cs="Arial"/>
          <w:b/>
          <w:bCs/>
          <w:sz w:val="52"/>
          <w:szCs w:val="52"/>
        </w:rPr>
      </w:pPr>
      <w:r w:rsidRPr="00CE103D">
        <w:rPr>
          <w:rFonts w:ascii="Arial" w:hAnsi="Arial" w:cs="Arial"/>
          <w:b/>
          <w:bCs/>
          <w:sz w:val="52"/>
          <w:szCs w:val="52"/>
        </w:rPr>
        <w:t>Module Code: LCHS 4008</w:t>
      </w:r>
    </w:p>
    <w:p w14:paraId="4BB4B071" w14:textId="05BBED70" w:rsidR="00C15722" w:rsidRPr="00CE103D" w:rsidRDefault="00C15722" w:rsidP="00040CF4">
      <w:pPr>
        <w:pStyle w:val="NormalWeb"/>
        <w:spacing w:line="360" w:lineRule="auto"/>
        <w:rPr>
          <w:rFonts w:ascii="Arial" w:hAnsi="Arial" w:cs="Arial"/>
          <w:b/>
          <w:bCs/>
          <w:sz w:val="52"/>
          <w:szCs w:val="52"/>
        </w:rPr>
      </w:pPr>
      <w:r w:rsidRPr="00CE103D">
        <w:rPr>
          <w:rFonts w:ascii="Arial" w:hAnsi="Arial" w:cs="Arial"/>
          <w:b/>
          <w:bCs/>
          <w:sz w:val="52"/>
          <w:szCs w:val="52"/>
        </w:rPr>
        <w:t>Module Title: Introduction to Public Health</w:t>
      </w:r>
    </w:p>
    <w:p w14:paraId="642D9B28" w14:textId="7A040237" w:rsidR="00C15722" w:rsidRPr="00CE103D" w:rsidRDefault="00C15722" w:rsidP="00040CF4">
      <w:pPr>
        <w:pStyle w:val="NormalWeb"/>
        <w:spacing w:line="360" w:lineRule="auto"/>
        <w:rPr>
          <w:rFonts w:ascii="Arial" w:hAnsi="Arial" w:cs="Arial"/>
          <w:b/>
          <w:bCs/>
          <w:sz w:val="52"/>
          <w:szCs w:val="52"/>
        </w:rPr>
      </w:pPr>
      <w:r w:rsidRPr="00CE103D">
        <w:rPr>
          <w:rFonts w:ascii="Arial" w:hAnsi="Arial" w:cs="Arial"/>
          <w:b/>
          <w:bCs/>
          <w:sz w:val="52"/>
          <w:szCs w:val="52"/>
        </w:rPr>
        <w:t>Lecturer name: Olufemi Oluranti</w:t>
      </w:r>
    </w:p>
    <w:p w14:paraId="56A5372B" w14:textId="0C2AF188" w:rsidR="00C15722" w:rsidRPr="00CE103D" w:rsidRDefault="00C15722" w:rsidP="00040CF4">
      <w:pPr>
        <w:pStyle w:val="NormalWeb"/>
        <w:spacing w:line="360" w:lineRule="auto"/>
        <w:rPr>
          <w:rFonts w:ascii="Arial" w:hAnsi="Arial" w:cs="Arial"/>
          <w:b/>
          <w:bCs/>
          <w:sz w:val="52"/>
          <w:szCs w:val="52"/>
        </w:rPr>
      </w:pPr>
      <w:r w:rsidRPr="00CE103D">
        <w:rPr>
          <w:rFonts w:ascii="Arial" w:hAnsi="Arial" w:cs="Arial"/>
          <w:b/>
          <w:bCs/>
          <w:sz w:val="52"/>
          <w:szCs w:val="52"/>
        </w:rPr>
        <w:t>Assignment Title: Component 2 Report</w:t>
      </w:r>
    </w:p>
    <w:p w14:paraId="36914501" w14:textId="77777777" w:rsidR="00040CF4" w:rsidRDefault="00040CF4" w:rsidP="00040CF4">
      <w:pPr>
        <w:pStyle w:val="NormalWeb"/>
        <w:spacing w:line="360" w:lineRule="auto"/>
        <w:rPr>
          <w:rFonts w:ascii="Arial" w:hAnsi="Arial" w:cs="Arial"/>
          <w:b/>
          <w:bCs/>
          <w:sz w:val="32"/>
          <w:szCs w:val="32"/>
        </w:rPr>
      </w:pPr>
    </w:p>
    <w:p w14:paraId="6EE7D3E8" w14:textId="77777777" w:rsidR="00040CF4" w:rsidRDefault="00040CF4" w:rsidP="00040CF4">
      <w:pPr>
        <w:pStyle w:val="NormalWeb"/>
        <w:spacing w:line="360" w:lineRule="auto"/>
        <w:rPr>
          <w:rFonts w:ascii="Arial" w:hAnsi="Arial" w:cs="Arial"/>
          <w:b/>
          <w:bCs/>
          <w:sz w:val="32"/>
          <w:szCs w:val="32"/>
        </w:rPr>
      </w:pPr>
    </w:p>
    <w:p w14:paraId="37FBE136" w14:textId="77777777" w:rsidR="00040CF4" w:rsidRDefault="00040CF4" w:rsidP="00040CF4">
      <w:pPr>
        <w:pStyle w:val="NormalWeb"/>
        <w:spacing w:line="360" w:lineRule="auto"/>
        <w:rPr>
          <w:rFonts w:ascii="Arial" w:hAnsi="Arial" w:cs="Arial"/>
          <w:b/>
          <w:bCs/>
          <w:sz w:val="32"/>
          <w:szCs w:val="32"/>
        </w:rPr>
      </w:pPr>
    </w:p>
    <w:p w14:paraId="560D33ED" w14:textId="77777777" w:rsidR="00040CF4" w:rsidRDefault="00040CF4" w:rsidP="00040CF4">
      <w:pPr>
        <w:pStyle w:val="NormalWeb"/>
        <w:spacing w:line="360" w:lineRule="auto"/>
        <w:rPr>
          <w:rFonts w:ascii="Arial" w:hAnsi="Arial" w:cs="Arial"/>
          <w:b/>
          <w:bCs/>
          <w:sz w:val="32"/>
          <w:szCs w:val="32"/>
        </w:rPr>
      </w:pPr>
    </w:p>
    <w:p w14:paraId="062CF602" w14:textId="77777777" w:rsidR="00040CF4" w:rsidRDefault="00040CF4" w:rsidP="00040CF4">
      <w:pPr>
        <w:pStyle w:val="NormalWeb"/>
        <w:spacing w:line="360" w:lineRule="auto"/>
        <w:rPr>
          <w:rFonts w:ascii="Arial" w:hAnsi="Arial" w:cs="Arial"/>
          <w:b/>
          <w:bCs/>
          <w:sz w:val="32"/>
          <w:szCs w:val="32"/>
        </w:rPr>
      </w:pPr>
    </w:p>
    <w:p w14:paraId="736ACF08" w14:textId="77777777" w:rsidR="00040CF4" w:rsidRDefault="00040CF4" w:rsidP="00040CF4">
      <w:pPr>
        <w:pStyle w:val="NormalWeb"/>
        <w:spacing w:line="360" w:lineRule="auto"/>
        <w:rPr>
          <w:rFonts w:ascii="Arial" w:hAnsi="Arial" w:cs="Arial"/>
          <w:b/>
          <w:bCs/>
          <w:sz w:val="32"/>
          <w:szCs w:val="32"/>
        </w:rPr>
      </w:pPr>
    </w:p>
    <w:p w14:paraId="7425013B" w14:textId="77777777" w:rsidR="00040CF4" w:rsidRDefault="00040CF4" w:rsidP="00040CF4">
      <w:pPr>
        <w:pStyle w:val="NormalWeb"/>
        <w:spacing w:line="360" w:lineRule="auto"/>
        <w:rPr>
          <w:rFonts w:ascii="Arial" w:hAnsi="Arial" w:cs="Arial"/>
          <w:b/>
          <w:bCs/>
          <w:sz w:val="32"/>
          <w:szCs w:val="32"/>
        </w:rPr>
      </w:pPr>
    </w:p>
    <w:p w14:paraId="18B7EC79" w14:textId="77777777" w:rsidR="00CE103D" w:rsidRDefault="00CE103D" w:rsidP="00040CF4">
      <w:pPr>
        <w:pStyle w:val="NormalWeb"/>
        <w:spacing w:line="360" w:lineRule="auto"/>
        <w:rPr>
          <w:rFonts w:ascii="Arial" w:hAnsi="Arial" w:cs="Arial"/>
          <w:b/>
          <w:bCs/>
          <w:sz w:val="32"/>
          <w:szCs w:val="32"/>
        </w:rPr>
      </w:pPr>
    </w:p>
    <w:p w14:paraId="7B091409" w14:textId="62B018E5" w:rsidR="00B33FAF" w:rsidRPr="007B2FA0" w:rsidRDefault="007B2FA0" w:rsidP="00040CF4">
      <w:pPr>
        <w:pStyle w:val="NormalWeb"/>
        <w:spacing w:line="360" w:lineRule="auto"/>
        <w:rPr>
          <w:rFonts w:ascii="Arial" w:hAnsi="Arial" w:cs="Arial"/>
          <w:b/>
          <w:bCs/>
          <w:sz w:val="32"/>
          <w:szCs w:val="32"/>
        </w:rPr>
      </w:pPr>
      <w:r w:rsidRPr="007B2FA0">
        <w:rPr>
          <w:rFonts w:ascii="Arial" w:hAnsi="Arial" w:cs="Arial"/>
          <w:b/>
          <w:bCs/>
          <w:sz w:val="32"/>
          <w:szCs w:val="32"/>
        </w:rPr>
        <w:lastRenderedPageBreak/>
        <w:t>I</w:t>
      </w:r>
      <w:r w:rsidR="00B33FAF" w:rsidRPr="007B2FA0">
        <w:rPr>
          <w:rFonts w:ascii="Arial" w:hAnsi="Arial" w:cs="Arial"/>
          <w:b/>
          <w:bCs/>
          <w:sz w:val="32"/>
          <w:szCs w:val="32"/>
        </w:rPr>
        <w:t>ntroduction</w:t>
      </w:r>
    </w:p>
    <w:p w14:paraId="6E7D1FC0" w14:textId="3D390114" w:rsidR="00B33FAF" w:rsidRPr="00B33FAF" w:rsidRDefault="00B33FAF" w:rsidP="00040CF4">
      <w:pPr>
        <w:pStyle w:val="NormalWeb"/>
        <w:spacing w:line="360" w:lineRule="auto"/>
        <w:rPr>
          <w:rFonts w:ascii="Arial" w:eastAsia="Times New Roman" w:hAnsi="Arial" w:cs="Arial"/>
          <w:kern w:val="0"/>
          <w:sz w:val="22"/>
          <w:szCs w:val="22"/>
          <w:lang w:eastAsia="en-GB"/>
          <w14:ligatures w14:val="none"/>
        </w:rPr>
      </w:pPr>
      <w:r w:rsidRPr="005C7652">
        <w:rPr>
          <w:rFonts w:ascii="Arial" w:eastAsia="Times New Roman" w:hAnsi="Arial" w:cs="Arial"/>
          <w:kern w:val="0"/>
          <w:sz w:val="22"/>
          <w:szCs w:val="22"/>
          <w:lang w:eastAsia="en-GB"/>
          <w14:ligatures w14:val="none"/>
        </w:rPr>
        <w:t>Type 2 Diabetes Mellitus (T2DM) is a chronic metabolic disorder that affects millions of people worldwide. It is characterised by persistently high blood glucose levels, primarily due to the body’s reduced sensitivity to insulin</w:t>
      </w:r>
      <w:r w:rsidR="00040CF4">
        <w:rPr>
          <w:rFonts w:ascii="Arial" w:eastAsia="Times New Roman" w:hAnsi="Arial" w:cs="Arial"/>
          <w:kern w:val="0"/>
          <w:sz w:val="22"/>
          <w:szCs w:val="22"/>
          <w:lang w:eastAsia="en-GB"/>
          <w14:ligatures w14:val="none"/>
        </w:rPr>
        <w:t xml:space="preserve"> </w:t>
      </w:r>
      <w:r w:rsidRPr="005C7652">
        <w:rPr>
          <w:rFonts w:ascii="Arial" w:eastAsia="Times New Roman" w:hAnsi="Arial" w:cs="Arial"/>
          <w:kern w:val="0"/>
          <w:sz w:val="22"/>
          <w:szCs w:val="22"/>
          <w:lang w:eastAsia="en-GB"/>
          <w14:ligatures w14:val="none"/>
        </w:rPr>
        <w:t>a hormone responsible for regulating blood sugar</w:t>
      </w:r>
      <w:r w:rsidR="00040CF4">
        <w:rPr>
          <w:rFonts w:ascii="Arial" w:eastAsia="Times New Roman" w:hAnsi="Arial" w:cs="Arial"/>
          <w:kern w:val="0"/>
          <w:sz w:val="22"/>
          <w:szCs w:val="22"/>
          <w:lang w:eastAsia="en-GB"/>
          <w14:ligatures w14:val="none"/>
        </w:rPr>
        <w:t xml:space="preserve"> </w:t>
      </w:r>
      <w:r w:rsidRPr="005C7652">
        <w:rPr>
          <w:rFonts w:ascii="Arial" w:eastAsia="Times New Roman" w:hAnsi="Arial" w:cs="Arial"/>
          <w:kern w:val="0"/>
          <w:sz w:val="22"/>
          <w:szCs w:val="22"/>
          <w:lang w:eastAsia="en-GB"/>
          <w14:ligatures w14:val="none"/>
        </w:rPr>
        <w:t>and insufficient insulin production. Over time, if left unmanaged, T2DM can lead to serious complications that affect major organs, reduce quality of life, and even shorten life expectancy (Zimmet, Alberti &amp; Shaw, 2014; Smashing &amp; Vella, 2010; Gonzalez-</w:t>
      </w:r>
      <w:proofErr w:type="spellStart"/>
      <w:r w:rsidRPr="005C7652">
        <w:rPr>
          <w:rFonts w:ascii="Arial" w:eastAsia="Times New Roman" w:hAnsi="Arial" w:cs="Arial"/>
          <w:kern w:val="0"/>
          <w:sz w:val="22"/>
          <w:szCs w:val="22"/>
          <w:lang w:eastAsia="en-GB"/>
          <w14:ligatures w14:val="none"/>
        </w:rPr>
        <w:t>Franquesa</w:t>
      </w:r>
      <w:proofErr w:type="spellEnd"/>
      <w:r w:rsidRPr="005C7652">
        <w:rPr>
          <w:rFonts w:ascii="Arial" w:eastAsia="Times New Roman" w:hAnsi="Arial" w:cs="Arial"/>
          <w:kern w:val="0"/>
          <w:sz w:val="22"/>
          <w:szCs w:val="22"/>
          <w:lang w:eastAsia="en-GB"/>
          <w14:ligatures w14:val="none"/>
        </w:rPr>
        <w:t xml:space="preserve"> et al., 2016).</w:t>
      </w:r>
      <w:r w:rsidRPr="00B33FAF">
        <w:rPr>
          <w:rFonts w:ascii="Arial" w:eastAsia="Times New Roman" w:hAnsi="Arial" w:cs="Arial"/>
          <w:kern w:val="0"/>
          <w:sz w:val="22"/>
          <w:szCs w:val="22"/>
          <w:lang w:eastAsia="en-GB"/>
          <w14:ligatures w14:val="none"/>
        </w:rPr>
        <w:t>The global prevalence of diabetes has risen dramatically in recent decades. In 1980, approximately 108 million adults were living with diabetes; by 2014, this number had skyrocketed to 422 million, representing a global prevalence increase from 4.7% to 8.5% (World Health Organization, 2016). Type 2 diabetes accounts for about 90% of all cases, and its rise has been closely linked to growing rates of overweight and obesity (NHS, 2023). The condition carries a heavy toll: in 2015, diabetes was responsible for an estimated 1.6 million deaths worldwide (WHO, 2016). In England alone, roughly 22,000 people die prematurely each year due to diabetes-related causes (Public Health England, 2020).</w:t>
      </w:r>
    </w:p>
    <w:p w14:paraId="51380714"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Common symptoms of T2DM include excessive thirst, frequent urination, fatigue, unexplained weight loss, and blurred vision (NHS, 2023). However, the disease is often gradual in onset, and many individuals may live with it for years before receiving a diagnosis. This underlines the importance of awareness, early detection, and effective management. This report explores the impact of T2DM on individuals, families, communities, and the NHS, examining both the health and social consequences of the condition.</w:t>
      </w:r>
    </w:p>
    <w:p w14:paraId="6D746DB1" w14:textId="0CA240C9" w:rsidR="00B33FAF" w:rsidRPr="00B33FAF" w:rsidRDefault="00B33FAF" w:rsidP="00040CF4">
      <w:pPr>
        <w:spacing w:after="0" w:line="360" w:lineRule="auto"/>
        <w:rPr>
          <w:rFonts w:ascii="Arial" w:eastAsia="Times New Roman" w:hAnsi="Arial" w:cs="Arial"/>
          <w:kern w:val="0"/>
          <w:sz w:val="22"/>
          <w:szCs w:val="22"/>
          <w:lang w:eastAsia="en-GB"/>
          <w14:ligatures w14:val="none"/>
        </w:rPr>
      </w:pPr>
    </w:p>
    <w:p w14:paraId="1840EE6E" w14:textId="77777777" w:rsidR="00E80D88" w:rsidRDefault="00E80D88"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57EC59A4" w14:textId="77777777" w:rsidR="00E80D88" w:rsidRDefault="00E80D88"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74B9E290" w14:textId="77777777" w:rsidR="00E80D88" w:rsidRDefault="00E80D88"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18C82BE1" w14:textId="77777777" w:rsidR="00E80D88" w:rsidRDefault="00E80D88"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3001DA0F" w14:textId="77777777" w:rsidR="00E80D88" w:rsidRDefault="00E80D88"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26A120EE" w14:textId="6B801712" w:rsidR="00B33FAF" w:rsidRPr="00B33FAF" w:rsidRDefault="00B33FAF" w:rsidP="00040CF4">
      <w:pPr>
        <w:spacing w:before="100" w:beforeAutospacing="1" w:after="100" w:afterAutospacing="1" w:line="360" w:lineRule="auto"/>
        <w:rPr>
          <w:rFonts w:ascii="Arial" w:eastAsia="Times New Roman" w:hAnsi="Arial" w:cs="Arial"/>
          <w:kern w:val="0"/>
          <w:sz w:val="32"/>
          <w:szCs w:val="32"/>
          <w:lang w:eastAsia="en-GB"/>
          <w14:ligatures w14:val="none"/>
        </w:rPr>
      </w:pPr>
      <w:r w:rsidRPr="00B33FAF">
        <w:rPr>
          <w:rFonts w:ascii="Arial" w:eastAsia="Times New Roman" w:hAnsi="Arial" w:cs="Arial"/>
          <w:b/>
          <w:bCs/>
          <w:kern w:val="0"/>
          <w:sz w:val="32"/>
          <w:szCs w:val="32"/>
          <w:lang w:eastAsia="en-GB"/>
          <w14:ligatures w14:val="none"/>
        </w:rPr>
        <w:lastRenderedPageBreak/>
        <w:t>Consequences of Type 2 Diabetes on Individuals, Families, and the NHS</w:t>
      </w:r>
    </w:p>
    <w:p w14:paraId="0E79073B"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Living with T2DM significantly affects daily life. As a long-term condition, it demands constant attention, careful self-management, and lifestyle adjustments. Individuals must monitor their blood sugar levels regularly, adhere to dietary recommendations, and maintain consistent physical activity to manage their condition effectively (NHS, 2020). The emotional toll can also be substantial. Many people experience stress or anxiety related to managing their health, worrying about future complications, or feeling overwhelmed by the daily routines required to maintain stable blood glucose levels.</w:t>
      </w:r>
    </w:p>
    <w:p w14:paraId="541721D2"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Over time, poorly controlled T2DM can lead to serious complications. Damage to the eyes (retinopathy), kidneys (nephropathy), and nerves (neuropathy) can reduce independence and quality of life. In addition, delayed wound healing and increased susceptibility to infections can make even minor injuries a serious concern (Diabetes UK, 2019).</w:t>
      </w:r>
    </w:p>
    <w:p w14:paraId="167968C2" w14:textId="626E9A23"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p>
    <w:p w14:paraId="0B2F8165" w14:textId="77777777" w:rsidR="00B33FAF" w:rsidRPr="00B33FAF" w:rsidRDefault="00B33FAF" w:rsidP="00040CF4">
      <w:pPr>
        <w:spacing w:before="100" w:beforeAutospacing="1" w:after="100" w:afterAutospacing="1" w:line="360" w:lineRule="auto"/>
        <w:rPr>
          <w:rFonts w:ascii="Arial" w:eastAsia="Times New Roman" w:hAnsi="Arial" w:cs="Arial"/>
          <w:kern w:val="0"/>
          <w:sz w:val="32"/>
          <w:szCs w:val="32"/>
          <w:lang w:eastAsia="en-GB"/>
          <w14:ligatures w14:val="none"/>
        </w:rPr>
      </w:pPr>
      <w:r w:rsidRPr="00B33FAF">
        <w:rPr>
          <w:rFonts w:ascii="Arial" w:eastAsia="Times New Roman" w:hAnsi="Arial" w:cs="Arial"/>
          <w:b/>
          <w:bCs/>
          <w:kern w:val="0"/>
          <w:sz w:val="32"/>
          <w:szCs w:val="32"/>
          <w:lang w:eastAsia="en-GB"/>
          <w14:ligatures w14:val="none"/>
        </w:rPr>
        <w:t>Impact on the Community</w:t>
      </w:r>
    </w:p>
    <w:p w14:paraId="3883B497"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T2DM also has wide-reaching effects on the broader community. Areas with high prevalence may experience increased demand for local healthcare and social services. General practitioners (GPs), community nurses, and social care services often face greater pressures, as more people require ongoing monitoring, education, and management. Communities may respond by implementing prevention programmes, awareness campaigns, or screening initiatives targeted at those at risk of diabetes (Public Health England, 2020).</w:t>
      </w:r>
    </w:p>
    <w:p w14:paraId="2FB3E7D6" w14:textId="6AA485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 xml:space="preserve">Beyond healthcare services, T2DM can influence overall community wellbeing. In </w:t>
      </w:r>
      <w:r w:rsidR="007B2FA0" w:rsidRPr="00B33FAF">
        <w:rPr>
          <w:rFonts w:ascii="Arial" w:eastAsia="Times New Roman" w:hAnsi="Arial" w:cs="Arial"/>
          <w:kern w:val="0"/>
          <w:sz w:val="22"/>
          <w:szCs w:val="22"/>
          <w:lang w:eastAsia="en-GB"/>
          <w14:ligatures w14:val="none"/>
        </w:rPr>
        <w:t>neighbourhoods</w:t>
      </w:r>
      <w:r w:rsidRPr="00B33FAF">
        <w:rPr>
          <w:rFonts w:ascii="Arial" w:eastAsia="Times New Roman" w:hAnsi="Arial" w:cs="Arial"/>
          <w:kern w:val="0"/>
          <w:sz w:val="22"/>
          <w:szCs w:val="22"/>
          <w:lang w:eastAsia="en-GB"/>
          <w14:ligatures w14:val="none"/>
        </w:rPr>
        <w:t xml:space="preserve"> with high rates of diabetes, participation in social activities or physical exercise may be lower, contributing to a cycle of poor health. Deprived areas, in particular, often experience higher rates of T2DM, which can exacerbate inequalities by affecting employment opportunities, income, and access to healthy foods or safe spaces for exercise. These disparities are examples of health inequalities—unfair and avoidable differences in health outcomes across populations (Marmot, 2010).</w:t>
      </w:r>
    </w:p>
    <w:p w14:paraId="23D1D48F" w14:textId="47A6F905" w:rsidR="00B33FAF" w:rsidRPr="00B33FAF" w:rsidRDefault="00B33FAF" w:rsidP="00040CF4">
      <w:pPr>
        <w:spacing w:after="0" w:line="360" w:lineRule="auto"/>
        <w:rPr>
          <w:rFonts w:ascii="Arial" w:eastAsia="Times New Roman" w:hAnsi="Arial" w:cs="Arial"/>
          <w:kern w:val="0"/>
          <w:sz w:val="22"/>
          <w:szCs w:val="22"/>
          <w:lang w:eastAsia="en-GB"/>
          <w14:ligatures w14:val="none"/>
        </w:rPr>
      </w:pPr>
    </w:p>
    <w:p w14:paraId="43D4474B" w14:textId="77777777" w:rsidR="00B33FAF" w:rsidRPr="00B33FAF" w:rsidRDefault="00B33FAF" w:rsidP="00040CF4">
      <w:pPr>
        <w:spacing w:before="100" w:beforeAutospacing="1" w:after="100" w:afterAutospacing="1" w:line="360" w:lineRule="auto"/>
        <w:rPr>
          <w:rFonts w:ascii="Arial" w:eastAsia="Times New Roman" w:hAnsi="Arial" w:cs="Arial"/>
          <w:kern w:val="0"/>
          <w:sz w:val="32"/>
          <w:szCs w:val="32"/>
          <w:lang w:eastAsia="en-GB"/>
          <w14:ligatures w14:val="none"/>
        </w:rPr>
      </w:pPr>
      <w:r w:rsidRPr="00B33FAF">
        <w:rPr>
          <w:rFonts w:ascii="Arial" w:eastAsia="Times New Roman" w:hAnsi="Arial" w:cs="Arial"/>
          <w:b/>
          <w:bCs/>
          <w:kern w:val="0"/>
          <w:sz w:val="32"/>
          <w:szCs w:val="32"/>
          <w:lang w:eastAsia="en-GB"/>
          <w14:ligatures w14:val="none"/>
        </w:rPr>
        <w:lastRenderedPageBreak/>
        <w:t>Financial and Resource Burden on the NHS</w:t>
      </w:r>
    </w:p>
    <w:p w14:paraId="41BFDDD0"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The financial impact of T2DM on the NHS is considerable. The organisation provides a wide range of services, including GP appointments, medications, routine health checks, laboratory tests, and hospital care for complications. Estimates suggest that diabetes costs the NHS around £10 billion each year, with the majority of spending focused on managing complications rather than routine care (Hex et al., 2012).</w:t>
      </w:r>
    </w:p>
    <w:p w14:paraId="78AD5F08"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Increasing prevalence adds pressure to an already stretched healthcare workforce, including doctors, nurses, dietitians, and podiatrists. This higher demand can lead to longer waiting times and a growing need for specialist diabetes management services (NHS England, 2019). Preventing T2DM or delaying its onset through lifestyle interventions not only improves health outcomes but also reduces long-term strain on NHS resources.</w:t>
      </w:r>
    </w:p>
    <w:p w14:paraId="2E23BA62" w14:textId="6BABFF84" w:rsidR="00B33FAF" w:rsidRPr="00B33FAF" w:rsidRDefault="00B33FAF" w:rsidP="00040CF4">
      <w:pPr>
        <w:spacing w:after="0" w:line="360" w:lineRule="auto"/>
        <w:rPr>
          <w:rFonts w:ascii="Arial" w:eastAsia="Times New Roman" w:hAnsi="Arial" w:cs="Arial"/>
          <w:kern w:val="0"/>
          <w:sz w:val="22"/>
          <w:szCs w:val="22"/>
          <w:lang w:eastAsia="en-GB"/>
          <w14:ligatures w14:val="none"/>
        </w:rPr>
      </w:pPr>
    </w:p>
    <w:p w14:paraId="2BB1FA79" w14:textId="77777777" w:rsidR="00B33FAF" w:rsidRPr="00B33FAF" w:rsidRDefault="00B33FAF" w:rsidP="00040CF4">
      <w:pPr>
        <w:spacing w:before="100" w:beforeAutospacing="1" w:after="100" w:afterAutospacing="1" w:line="360" w:lineRule="auto"/>
        <w:rPr>
          <w:rFonts w:ascii="Arial" w:eastAsia="Times New Roman" w:hAnsi="Arial" w:cs="Arial"/>
          <w:kern w:val="0"/>
          <w:sz w:val="32"/>
          <w:szCs w:val="32"/>
          <w:lang w:eastAsia="en-GB"/>
          <w14:ligatures w14:val="none"/>
        </w:rPr>
      </w:pPr>
      <w:r w:rsidRPr="00B33FAF">
        <w:rPr>
          <w:rFonts w:ascii="Arial" w:eastAsia="Times New Roman" w:hAnsi="Arial" w:cs="Arial"/>
          <w:b/>
          <w:bCs/>
          <w:kern w:val="0"/>
          <w:sz w:val="32"/>
          <w:szCs w:val="32"/>
          <w:lang w:eastAsia="en-GB"/>
          <w14:ligatures w14:val="none"/>
        </w:rPr>
        <w:t>Hospital Admissions, Complications, and Long-Term Care</w:t>
      </w:r>
    </w:p>
    <w:p w14:paraId="65E2C8A0"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Hospital admissions are a significant consequence of T2DM. Complications such as cardiovascular disease, kidney failure, infections, and foot ulcers often require inpatient treatment (Diabetes UK, 2019). Acute emergencies, including diabetic ketoacidosis and severe hypoglycaemia, can also necessitate urgent hospital care.</w:t>
      </w:r>
    </w:p>
    <w:p w14:paraId="483785B4"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Foot problems are particularly common and costly. Nerve and blood vessel damage can lead to ulcers, infections, slow wound healing, and, in severe cases, amputation. The NHS spends over £1 billion annually on diabetes-related foot care, including treatment for ulcers and amputations (Public Health England, 2020). Additionally, advanced kidney disease may require dialysis or transplantation, creating further demands for long-term care.</w:t>
      </w:r>
    </w:p>
    <w:p w14:paraId="15113398" w14:textId="40766ED4" w:rsidR="00B33FAF" w:rsidRPr="00B33FAF" w:rsidRDefault="00B33FAF" w:rsidP="00040CF4">
      <w:pPr>
        <w:spacing w:after="0" w:line="360" w:lineRule="auto"/>
        <w:rPr>
          <w:rFonts w:ascii="Arial" w:eastAsia="Times New Roman" w:hAnsi="Arial" w:cs="Arial"/>
          <w:kern w:val="0"/>
          <w:sz w:val="22"/>
          <w:szCs w:val="22"/>
          <w:lang w:eastAsia="en-GB"/>
          <w14:ligatures w14:val="none"/>
        </w:rPr>
      </w:pPr>
    </w:p>
    <w:p w14:paraId="4FF50298" w14:textId="77777777" w:rsidR="00B33FAF" w:rsidRPr="00B33FAF" w:rsidRDefault="00B33FAF" w:rsidP="00040CF4">
      <w:pPr>
        <w:spacing w:before="100" w:beforeAutospacing="1" w:after="100" w:afterAutospacing="1" w:line="360" w:lineRule="auto"/>
        <w:rPr>
          <w:rFonts w:ascii="Arial" w:eastAsia="Times New Roman" w:hAnsi="Arial" w:cs="Arial"/>
          <w:kern w:val="0"/>
          <w:sz w:val="32"/>
          <w:szCs w:val="32"/>
          <w:lang w:eastAsia="en-GB"/>
          <w14:ligatures w14:val="none"/>
        </w:rPr>
      </w:pPr>
      <w:r w:rsidRPr="00B33FAF">
        <w:rPr>
          <w:rFonts w:ascii="Arial" w:eastAsia="Times New Roman" w:hAnsi="Arial" w:cs="Arial"/>
          <w:b/>
          <w:bCs/>
          <w:kern w:val="0"/>
          <w:sz w:val="32"/>
          <w:szCs w:val="32"/>
          <w:lang w:eastAsia="en-GB"/>
          <w14:ligatures w14:val="none"/>
        </w:rPr>
        <w:t>Factors Influencing Health and Wellbeing of People with T2DM in the UK</w:t>
      </w:r>
    </w:p>
    <w:p w14:paraId="057159CA"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 xml:space="preserve">The health and wellbeing of individuals with T2DM are shaped by a combination of social, environmental, and individual factors. Socioeconomic inequality is one of the strongest contributors to the condition’s prevalence. People living in deprived areas often face barriers </w:t>
      </w:r>
      <w:r w:rsidRPr="00B33FAF">
        <w:rPr>
          <w:rFonts w:ascii="Arial" w:eastAsia="Times New Roman" w:hAnsi="Arial" w:cs="Arial"/>
          <w:kern w:val="0"/>
          <w:sz w:val="22"/>
          <w:szCs w:val="22"/>
          <w:lang w:eastAsia="en-GB"/>
          <w14:ligatures w14:val="none"/>
        </w:rPr>
        <w:lastRenderedPageBreak/>
        <w:t>to healthy living, such as limited access to nutritious foods, fewer safe spaces for physical activity, and higher levels of stress, all of which increase diabetes risk (Marmot, 2010; Public Health England, 2020).</w:t>
      </w:r>
    </w:p>
    <w:p w14:paraId="688E4251"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Lifestyle choices and behaviours also play a crucial role. Sedentary behaviour, poor diet, and obesity are significant risk factors for T2DM. According to NHS Digital (2022), over 60% of adults in England are overweight or obese, increasing the likelihood of developing the disease. Smoking and excessive alcohol consumption further worsen insulin resistance and elevate cardiovascular risk.</w:t>
      </w:r>
    </w:p>
    <w:p w14:paraId="34931683"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Cultural and genetic factors can influence susceptibility as well. Individuals of South Asian, African Caribbean, and Black African descent are more likely to develop T2DM at younger ages and lower body mass indices compared to white European populations (NICE, 2015). This is attributed to a combination of genetic predisposition, cultural dietary practices, and barriers to accessing culturally appropriate health information (Public Health England, 2018).</w:t>
      </w:r>
    </w:p>
    <w:p w14:paraId="09D36773" w14:textId="64376791" w:rsidR="00B33FAF" w:rsidRPr="00B33FAF" w:rsidRDefault="001818C9" w:rsidP="00040CF4">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Health Education is also crucial for</w:t>
      </w:r>
      <w:r w:rsidR="00B33FAF" w:rsidRPr="00B33FAF">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p</w:t>
      </w:r>
      <w:r w:rsidR="00B33FAF" w:rsidRPr="00B33FAF">
        <w:rPr>
          <w:rFonts w:ascii="Arial" w:eastAsia="Times New Roman" w:hAnsi="Arial" w:cs="Arial"/>
          <w:kern w:val="0"/>
          <w:sz w:val="22"/>
          <w:szCs w:val="22"/>
          <w:lang w:eastAsia="en-GB"/>
          <w14:ligatures w14:val="none"/>
        </w:rPr>
        <w:t>eople with limited understanding of nutrition or diabetes</w:t>
      </w:r>
      <w:r>
        <w:rPr>
          <w:rFonts w:ascii="Arial" w:eastAsia="Times New Roman" w:hAnsi="Arial" w:cs="Arial"/>
          <w:kern w:val="0"/>
          <w:sz w:val="22"/>
          <w:szCs w:val="22"/>
          <w:lang w:eastAsia="en-GB"/>
          <w14:ligatures w14:val="none"/>
        </w:rPr>
        <w:t>,</w:t>
      </w:r>
      <w:r w:rsidR="00B33FAF" w:rsidRPr="00B33FAF">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they</w:t>
      </w:r>
      <w:r w:rsidR="00B33FAF" w:rsidRPr="00B33FAF">
        <w:rPr>
          <w:rFonts w:ascii="Arial" w:eastAsia="Times New Roman" w:hAnsi="Arial" w:cs="Arial"/>
          <w:kern w:val="0"/>
          <w:sz w:val="22"/>
          <w:szCs w:val="22"/>
          <w:lang w:eastAsia="en-GB"/>
          <w14:ligatures w14:val="none"/>
        </w:rPr>
        <w:t xml:space="preserve"> may struggle to control their blood glucose or recognise early warning signs. Delayed diagnosis can result in severe complications, including neuropathy, retinopathy, or kidney damage (NHS England, 2019). Emotional wellbeing is another factor; living with a chronic condition can lead to anxiety, depression, or feelings of isolation, which may reduce adherence to treatment and lifestyle recommendations (NHS, 2020).</w:t>
      </w:r>
    </w:p>
    <w:p w14:paraId="0E3461AD"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Environmental and community settings can either support or hinder healthy behaviours. Urban areas lacking safe walking paths, parks, or affordable sports facilities may discourage physical activity. Local authorities and the NHS work together through initiatives such as Healthy Living Pharmacies and Community Diabetes Education Programmes to promote lifestyle change and self-care. Social support from family, friends, and community organisations has been shown to improve adherence to treatment and emotional wellbeing (Diabetes UK, 2023).</w:t>
      </w:r>
    </w:p>
    <w:p w14:paraId="0A93D47C" w14:textId="1A8688DE" w:rsidR="00B33FAF" w:rsidRPr="00B33FAF" w:rsidRDefault="00B33FAF" w:rsidP="00040CF4">
      <w:pPr>
        <w:spacing w:after="0" w:line="360" w:lineRule="auto"/>
        <w:rPr>
          <w:rFonts w:ascii="Arial" w:eastAsia="Times New Roman" w:hAnsi="Arial" w:cs="Arial"/>
          <w:kern w:val="0"/>
          <w:sz w:val="22"/>
          <w:szCs w:val="22"/>
          <w:lang w:eastAsia="en-GB"/>
          <w14:ligatures w14:val="none"/>
        </w:rPr>
      </w:pPr>
    </w:p>
    <w:p w14:paraId="644B5A15" w14:textId="77777777" w:rsidR="00B33FAF" w:rsidRPr="00B33FAF" w:rsidRDefault="00B33FAF" w:rsidP="00040CF4">
      <w:pPr>
        <w:spacing w:before="100" w:beforeAutospacing="1" w:after="100" w:afterAutospacing="1" w:line="360" w:lineRule="auto"/>
        <w:rPr>
          <w:rFonts w:ascii="Arial" w:eastAsia="Times New Roman" w:hAnsi="Arial" w:cs="Arial"/>
          <w:kern w:val="0"/>
          <w:sz w:val="32"/>
          <w:szCs w:val="32"/>
          <w:lang w:eastAsia="en-GB"/>
          <w14:ligatures w14:val="none"/>
        </w:rPr>
      </w:pPr>
      <w:r w:rsidRPr="00B33FAF">
        <w:rPr>
          <w:rFonts w:ascii="Arial" w:eastAsia="Times New Roman" w:hAnsi="Arial" w:cs="Arial"/>
          <w:b/>
          <w:bCs/>
          <w:kern w:val="0"/>
          <w:sz w:val="32"/>
          <w:szCs w:val="32"/>
          <w:lang w:eastAsia="en-GB"/>
          <w14:ligatures w14:val="none"/>
        </w:rPr>
        <w:t>Control and Management of Type 2 Diabetes in the UK</w:t>
      </w:r>
    </w:p>
    <w:p w14:paraId="39CBCAF2"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 xml:space="preserve">Managing T2DM requires a multifaceted approach that combines lifestyle modification, medication, education, and regular monitoring. Prevention is central, particularly for those at high risk. The NHS Diabetes Prevention Programme (NDPP) supports weight management, </w:t>
      </w:r>
      <w:r w:rsidRPr="00B33FAF">
        <w:rPr>
          <w:rFonts w:ascii="Arial" w:eastAsia="Times New Roman" w:hAnsi="Arial" w:cs="Arial"/>
          <w:kern w:val="0"/>
          <w:sz w:val="22"/>
          <w:szCs w:val="22"/>
          <w:lang w:eastAsia="en-GB"/>
          <w14:ligatures w14:val="none"/>
        </w:rPr>
        <w:lastRenderedPageBreak/>
        <w:t>dietary change, and increased physical activity to reduce the likelihood of developing diabetes (NHS England, 2020). Structured education programmes, such as DESMOND (Diabetes Education and Self-Management for Ongoing and Newly Diagnosed), empower people to understand and manage their condition through informed decision-making and behaviour change (Public Health England, 2018).</w:t>
      </w:r>
    </w:p>
    <w:p w14:paraId="5A356E4B"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Lifestyle management remains the foundation of diabetes care. NICE (2015) recommends a balanced diet rich in whole grains, fruits, and vegetables, alongside regular physical activity. Maintaining a healthy weight improves insulin sensitivity and helps control blood glucose levels. Smoking cessation and reduced alcohol consumption are also essential components of holistic care (NHS, 2020).</w:t>
      </w:r>
    </w:p>
    <w:p w14:paraId="4ED51EEB"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When lifestyle modifications alone are insufficient, medications are introduced. Metformin is the first-line treatment, working to improve insulin sensitivity and reduce glucose production in the liver (NICE, 2015). If glucose control remains inadequate, additional medications, including sulfonylureas, SGLT2 inhibitors, or insulin, may be prescribed. Regular monitoring of blood sugar, cholesterol, and blood pressure is vital for preventing complications.</w:t>
      </w:r>
    </w:p>
    <w:p w14:paraId="610FF7E2"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Integrated care is key to successful management. The NHS provides multidisciplinary support through diabetes nurses, dietitians, podiatrists, and ophthalmologists. Annual reviews allow early detection of complications and timely interventions (NHS England, 2019).</w:t>
      </w:r>
    </w:p>
    <w:p w14:paraId="3CA58320"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Community-based interventions complement clinical care. Local health authorities collaborate with Public Health England and voluntary organisations to promote awareness and healthy behaviours. Campaigns such as One You and Change4Life encourage nutritious diets and physical activity across populations (Public Health England, 2020).</w:t>
      </w:r>
    </w:p>
    <w:p w14:paraId="1BD0117B" w14:textId="72186013"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Technology is playing an increasingly important role. Continuous glucose monitoring devices, smartphone applications, and digital health platforms enable patients to track glucose trends, receive reminders, and communicate with healthcare teams remotely (WHO, 2021). These innovations support self-management, enhance autonomy, and improve adherence to treatment.</w:t>
      </w:r>
    </w:p>
    <w:p w14:paraId="183B6E1C" w14:textId="363D7BEC" w:rsidR="00B33FAF" w:rsidRPr="00B33FAF" w:rsidRDefault="00B33FAF" w:rsidP="00040CF4">
      <w:pPr>
        <w:spacing w:after="0" w:line="360" w:lineRule="auto"/>
        <w:rPr>
          <w:rFonts w:ascii="Arial" w:eastAsia="Times New Roman" w:hAnsi="Arial" w:cs="Arial"/>
          <w:kern w:val="0"/>
          <w:sz w:val="22"/>
          <w:szCs w:val="22"/>
          <w:lang w:eastAsia="en-GB"/>
          <w14:ligatures w14:val="none"/>
        </w:rPr>
      </w:pPr>
    </w:p>
    <w:p w14:paraId="7BA78363" w14:textId="77777777" w:rsidR="00E80D88" w:rsidRDefault="00E80D88"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12C9B80C" w14:textId="77777777" w:rsidR="00E80D88" w:rsidRDefault="00E80D88"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3AFBD428" w14:textId="19927E64" w:rsidR="00B33FAF" w:rsidRPr="00B33FAF" w:rsidRDefault="00B33FAF" w:rsidP="00040CF4">
      <w:pPr>
        <w:spacing w:before="100" w:beforeAutospacing="1" w:after="100" w:afterAutospacing="1" w:line="360" w:lineRule="auto"/>
        <w:rPr>
          <w:rFonts w:ascii="Arial" w:eastAsia="Times New Roman" w:hAnsi="Arial" w:cs="Arial"/>
          <w:kern w:val="0"/>
          <w:sz w:val="32"/>
          <w:szCs w:val="32"/>
          <w:lang w:eastAsia="en-GB"/>
          <w14:ligatures w14:val="none"/>
        </w:rPr>
      </w:pPr>
      <w:r w:rsidRPr="00B33FAF">
        <w:rPr>
          <w:rFonts w:ascii="Arial" w:eastAsia="Times New Roman" w:hAnsi="Arial" w:cs="Arial"/>
          <w:b/>
          <w:bCs/>
          <w:kern w:val="0"/>
          <w:sz w:val="32"/>
          <w:szCs w:val="32"/>
          <w:lang w:eastAsia="en-GB"/>
          <w14:ligatures w14:val="none"/>
        </w:rPr>
        <w:lastRenderedPageBreak/>
        <w:t>Conclusion</w:t>
      </w:r>
    </w:p>
    <w:p w14:paraId="6A06CDE8" w14:textId="59A514B3"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Type 2 Diabetes Mellitus remains one of the most significant public health challenges in the UK, with far</w:t>
      </w:r>
      <w:r w:rsidR="004B3C50">
        <w:rPr>
          <w:rFonts w:ascii="Arial" w:eastAsia="Times New Roman" w:hAnsi="Arial" w:cs="Arial"/>
          <w:kern w:val="0"/>
          <w:sz w:val="22"/>
          <w:szCs w:val="22"/>
          <w:lang w:eastAsia="en-GB"/>
          <w14:ligatures w14:val="none"/>
        </w:rPr>
        <w:t xml:space="preserve"> </w:t>
      </w:r>
      <w:r w:rsidRPr="00B33FAF">
        <w:rPr>
          <w:rFonts w:ascii="Arial" w:eastAsia="Times New Roman" w:hAnsi="Arial" w:cs="Arial"/>
          <w:kern w:val="0"/>
          <w:sz w:val="22"/>
          <w:szCs w:val="22"/>
          <w:lang w:eastAsia="en-GB"/>
          <w14:ligatures w14:val="none"/>
        </w:rPr>
        <w:t>reaching consequences for individuals, families, communities, and the NHS. Its prevalence is closely linked to social inequalities, unhealthy lifestyles, and limited access to health education. The personal impact includes reduced quality of life, complications affecting major organs, and increased mortality, while the NHS faces a substantial financial and resource burden in managing the condition.</w:t>
      </w:r>
    </w:p>
    <w:p w14:paraId="0041DFB8" w14:textId="4D3AEC12" w:rsid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r w:rsidRPr="00B33FAF">
        <w:rPr>
          <w:rFonts w:ascii="Arial" w:eastAsia="Times New Roman" w:hAnsi="Arial" w:cs="Arial"/>
          <w:kern w:val="0"/>
          <w:sz w:val="22"/>
          <w:szCs w:val="22"/>
          <w:lang w:eastAsia="en-GB"/>
          <w14:ligatures w14:val="none"/>
        </w:rPr>
        <w:t>Effective prevention and control require early intervention, patient education, and community</w:t>
      </w:r>
      <w:r w:rsidR="004B3C50">
        <w:rPr>
          <w:rFonts w:ascii="Arial" w:eastAsia="Times New Roman" w:hAnsi="Arial" w:cs="Arial"/>
          <w:kern w:val="0"/>
          <w:sz w:val="22"/>
          <w:szCs w:val="22"/>
          <w:lang w:eastAsia="en-GB"/>
          <w14:ligatures w14:val="none"/>
        </w:rPr>
        <w:t xml:space="preserve"> </w:t>
      </w:r>
      <w:r w:rsidRPr="00B33FAF">
        <w:rPr>
          <w:rFonts w:ascii="Arial" w:eastAsia="Times New Roman" w:hAnsi="Arial" w:cs="Arial"/>
          <w:kern w:val="0"/>
          <w:sz w:val="22"/>
          <w:szCs w:val="22"/>
          <w:lang w:eastAsia="en-GB"/>
          <w14:ligatures w14:val="none"/>
        </w:rPr>
        <w:t>based support. Programmes such as the NHS Diabetes Prevention Programme, D</w:t>
      </w:r>
      <w:r w:rsidR="004B3C50">
        <w:rPr>
          <w:rFonts w:ascii="Arial" w:eastAsia="Times New Roman" w:hAnsi="Arial" w:cs="Arial"/>
          <w:kern w:val="0"/>
          <w:sz w:val="22"/>
          <w:szCs w:val="22"/>
          <w:lang w:eastAsia="en-GB"/>
          <w14:ligatures w14:val="none"/>
        </w:rPr>
        <w:t>esmond</w:t>
      </w:r>
      <w:r w:rsidRPr="00B33FAF">
        <w:rPr>
          <w:rFonts w:ascii="Arial" w:eastAsia="Times New Roman" w:hAnsi="Arial" w:cs="Arial"/>
          <w:kern w:val="0"/>
          <w:sz w:val="22"/>
          <w:szCs w:val="22"/>
          <w:lang w:eastAsia="en-GB"/>
          <w14:ligatures w14:val="none"/>
        </w:rPr>
        <w:t>, and wider public health initiatives aim to improve lifestyle behaviours and enhance self</w:t>
      </w:r>
      <w:r w:rsidR="004B3C50">
        <w:rPr>
          <w:rFonts w:ascii="Arial" w:eastAsia="Times New Roman" w:hAnsi="Arial" w:cs="Arial"/>
          <w:kern w:val="0"/>
          <w:sz w:val="22"/>
          <w:szCs w:val="22"/>
          <w:lang w:eastAsia="en-GB"/>
          <w14:ligatures w14:val="none"/>
        </w:rPr>
        <w:t xml:space="preserve"> -</w:t>
      </w:r>
      <w:r w:rsidRPr="00B33FAF">
        <w:rPr>
          <w:rFonts w:ascii="Arial" w:eastAsia="Times New Roman" w:hAnsi="Arial" w:cs="Arial"/>
          <w:kern w:val="0"/>
          <w:sz w:val="22"/>
          <w:szCs w:val="22"/>
          <w:lang w:eastAsia="en-GB"/>
          <w14:ligatures w14:val="none"/>
        </w:rPr>
        <w:t>management skills. Continued investment in awareness campaigns, digital tools, and culturally sensitive care is essential to reduce disparities and improve long-term outcomes. By empowering individuals and communities to take an active role in health management, it is possible to reduce the growing burden of T2DM, enhance population wellbeing, and ensure the sustainability of healthcare services</w:t>
      </w:r>
      <w:r w:rsidRPr="005C7652">
        <w:rPr>
          <w:rFonts w:ascii="Arial" w:eastAsia="Times New Roman" w:hAnsi="Arial" w:cs="Arial"/>
          <w:kern w:val="0"/>
          <w:sz w:val="22"/>
          <w:szCs w:val="22"/>
          <w:lang w:eastAsia="en-GB"/>
          <w14:ligatures w14:val="none"/>
        </w:rPr>
        <w:t>.</w:t>
      </w:r>
    </w:p>
    <w:p w14:paraId="428FB0E1" w14:textId="77777777" w:rsidR="00040CF4" w:rsidRDefault="00040CF4" w:rsidP="00040CF4">
      <w:pPr>
        <w:spacing w:before="100" w:beforeAutospacing="1" w:after="100" w:afterAutospacing="1" w:line="360" w:lineRule="auto"/>
        <w:rPr>
          <w:rFonts w:ascii="Arial" w:eastAsia="Times New Roman" w:hAnsi="Arial" w:cs="Arial"/>
          <w:kern w:val="0"/>
          <w:sz w:val="22"/>
          <w:szCs w:val="22"/>
          <w:lang w:eastAsia="en-GB"/>
          <w14:ligatures w14:val="none"/>
        </w:rPr>
      </w:pPr>
    </w:p>
    <w:p w14:paraId="20BD54AA" w14:textId="77777777" w:rsidR="001818C9" w:rsidRDefault="001818C9"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4BC5AB87" w14:textId="77777777" w:rsidR="001818C9" w:rsidRDefault="001818C9"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61219C55" w14:textId="77777777" w:rsidR="001818C9" w:rsidRDefault="001818C9"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3AC8362B" w14:textId="77777777" w:rsidR="001818C9" w:rsidRDefault="001818C9"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0C4B0876" w14:textId="77777777" w:rsidR="001818C9" w:rsidRDefault="001818C9"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7B756428" w14:textId="77777777" w:rsidR="001818C9" w:rsidRDefault="001818C9"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756A2E94" w14:textId="77777777" w:rsidR="001818C9" w:rsidRDefault="001818C9"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73251CC3" w14:textId="77777777" w:rsidR="00C15722" w:rsidRDefault="00C15722"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p>
    <w:p w14:paraId="0BBC834C" w14:textId="79D81EDE" w:rsidR="00040CF4" w:rsidRDefault="00040CF4" w:rsidP="00040CF4">
      <w:pPr>
        <w:spacing w:before="100" w:beforeAutospacing="1" w:after="100" w:afterAutospacing="1" w:line="360" w:lineRule="auto"/>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lastRenderedPageBreak/>
        <w:t>References</w:t>
      </w:r>
    </w:p>
    <w:p w14:paraId="457F0632" w14:textId="77777777" w:rsidR="001818C9" w:rsidRPr="001818C9" w:rsidRDefault="001818C9" w:rsidP="001818C9">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1818C9">
        <w:rPr>
          <w:rFonts w:ascii="Times New Roman" w:eastAsiaTheme="minorEastAsia" w:hAnsi="Times New Roman" w:cs="Times New Roman"/>
          <w:kern w:val="0"/>
          <w:lang w:eastAsia="en-GB"/>
          <w14:ligatures w14:val="none"/>
        </w:rPr>
        <w:t xml:space="preserve">Alberti, K.G.M.M. and Zimmet, P.Z. (2014) ‘Definition, diagnosis and classification of diabetes mellitus and its complications’, </w:t>
      </w:r>
      <w:r w:rsidRPr="001818C9">
        <w:rPr>
          <w:rFonts w:ascii="Times New Roman" w:eastAsiaTheme="minorEastAsia" w:hAnsi="Times New Roman" w:cs="Times New Roman"/>
          <w:i/>
          <w:iCs/>
          <w:kern w:val="0"/>
          <w:lang w:eastAsia="en-GB"/>
          <w14:ligatures w14:val="none"/>
        </w:rPr>
        <w:t>Diabetic Medicine</w:t>
      </w:r>
      <w:r w:rsidRPr="001818C9">
        <w:rPr>
          <w:rFonts w:ascii="Times New Roman" w:eastAsiaTheme="minorEastAsia" w:hAnsi="Times New Roman" w:cs="Times New Roman"/>
          <w:kern w:val="0"/>
          <w:lang w:eastAsia="en-GB"/>
          <w14:ligatures w14:val="none"/>
        </w:rPr>
        <w:t>, 31(5), pp. 491–514.</w:t>
      </w:r>
      <w:r w:rsidRPr="001818C9">
        <w:rPr>
          <w:rFonts w:ascii="Times New Roman" w:eastAsiaTheme="minorEastAsia" w:hAnsi="Times New Roman" w:cs="Times New Roman"/>
          <w:kern w:val="0"/>
          <w:lang w:eastAsia="en-GB"/>
          <w14:ligatures w14:val="none"/>
        </w:rPr>
        <w:br/>
        <w:t xml:space="preserve">Alzheimer’s Society (2023) </w:t>
      </w:r>
      <w:r w:rsidRPr="001818C9">
        <w:rPr>
          <w:rFonts w:ascii="Times New Roman" w:eastAsiaTheme="minorEastAsia" w:hAnsi="Times New Roman" w:cs="Times New Roman"/>
          <w:i/>
          <w:iCs/>
          <w:kern w:val="0"/>
          <w:lang w:eastAsia="en-GB"/>
          <w14:ligatures w14:val="none"/>
        </w:rPr>
        <w:t>Dementia research and care priorities</w:t>
      </w:r>
      <w:r w:rsidRPr="001818C9">
        <w:rPr>
          <w:rFonts w:ascii="Times New Roman" w:eastAsiaTheme="minorEastAsia" w:hAnsi="Times New Roman" w:cs="Times New Roman"/>
          <w:kern w:val="0"/>
          <w:lang w:eastAsia="en-GB"/>
          <w14:ligatures w14:val="none"/>
        </w:rPr>
        <w:t>. London: Alzheimer’s Society.</w:t>
      </w:r>
      <w:r w:rsidRPr="001818C9">
        <w:rPr>
          <w:rFonts w:ascii="Times New Roman" w:eastAsiaTheme="minorEastAsia" w:hAnsi="Times New Roman" w:cs="Times New Roman"/>
          <w:kern w:val="0"/>
          <w:lang w:eastAsia="en-GB"/>
          <w14:ligatures w14:val="none"/>
        </w:rPr>
        <w:br/>
        <w:t xml:space="preserve">Diabetes UK (2019) </w:t>
      </w:r>
      <w:r w:rsidRPr="001818C9">
        <w:rPr>
          <w:rFonts w:ascii="Times New Roman" w:eastAsiaTheme="minorEastAsia" w:hAnsi="Times New Roman" w:cs="Times New Roman"/>
          <w:i/>
          <w:iCs/>
          <w:kern w:val="0"/>
          <w:lang w:eastAsia="en-GB"/>
          <w14:ligatures w14:val="none"/>
        </w:rPr>
        <w:t>Complications of type 2 diabetes</w:t>
      </w:r>
      <w:r w:rsidRPr="001818C9">
        <w:rPr>
          <w:rFonts w:ascii="Times New Roman" w:eastAsiaTheme="minorEastAsia" w:hAnsi="Times New Roman" w:cs="Times New Roman"/>
          <w:kern w:val="0"/>
          <w:lang w:eastAsia="en-GB"/>
          <w14:ligatures w14:val="none"/>
        </w:rPr>
        <w:t>. London: Diabetes UK.</w:t>
      </w:r>
      <w:r w:rsidRPr="001818C9">
        <w:rPr>
          <w:rFonts w:ascii="Times New Roman" w:eastAsiaTheme="minorEastAsia" w:hAnsi="Times New Roman" w:cs="Times New Roman"/>
          <w:kern w:val="0"/>
          <w:lang w:eastAsia="en-GB"/>
          <w14:ligatures w14:val="none"/>
        </w:rPr>
        <w:br/>
        <w:t xml:space="preserve">Diabetes UK (2023) </w:t>
      </w:r>
      <w:r w:rsidRPr="001818C9">
        <w:rPr>
          <w:rFonts w:ascii="Times New Roman" w:eastAsiaTheme="minorEastAsia" w:hAnsi="Times New Roman" w:cs="Times New Roman"/>
          <w:i/>
          <w:iCs/>
          <w:kern w:val="0"/>
          <w:lang w:eastAsia="en-GB"/>
          <w14:ligatures w14:val="none"/>
        </w:rPr>
        <w:t>Facts and figures about diabetes</w:t>
      </w:r>
      <w:r w:rsidRPr="001818C9">
        <w:rPr>
          <w:rFonts w:ascii="Times New Roman" w:eastAsiaTheme="minorEastAsia" w:hAnsi="Times New Roman" w:cs="Times New Roman"/>
          <w:kern w:val="0"/>
          <w:lang w:eastAsia="en-GB"/>
          <w14:ligatures w14:val="none"/>
        </w:rPr>
        <w:t xml:space="preserve">. London: Diabetes UK. Available at: </w:t>
      </w:r>
      <w:hyperlink r:id="rId4" w:history="1">
        <w:r w:rsidRPr="001818C9">
          <w:rPr>
            <w:rFonts w:ascii="Times New Roman" w:eastAsiaTheme="minorEastAsia" w:hAnsi="Times New Roman" w:cs="Times New Roman"/>
            <w:color w:val="0000FF"/>
            <w:kern w:val="0"/>
            <w:u w:val="single"/>
            <w:lang w:eastAsia="en-GB"/>
            <w14:ligatures w14:val="none"/>
          </w:rPr>
          <w:t>https://www.diabetes.org.uk</w:t>
        </w:r>
      </w:hyperlink>
      <w:r w:rsidRPr="001818C9">
        <w:rPr>
          <w:rFonts w:ascii="Times New Roman" w:eastAsiaTheme="minorEastAsia" w:hAnsi="Times New Roman" w:cs="Times New Roman"/>
          <w:kern w:val="0"/>
          <w:lang w:eastAsia="en-GB"/>
          <w14:ligatures w14:val="none"/>
        </w:rPr>
        <w:t xml:space="preserve"> (Accessed: 12 November 2025).</w:t>
      </w:r>
      <w:r w:rsidRPr="001818C9">
        <w:rPr>
          <w:rFonts w:ascii="Times New Roman" w:eastAsiaTheme="minorEastAsia" w:hAnsi="Times New Roman" w:cs="Times New Roman"/>
          <w:kern w:val="0"/>
          <w:lang w:eastAsia="en-GB"/>
          <w14:ligatures w14:val="none"/>
        </w:rPr>
        <w:br/>
        <w:t>Gonzalez-</w:t>
      </w:r>
      <w:proofErr w:type="spellStart"/>
      <w:r w:rsidRPr="001818C9">
        <w:rPr>
          <w:rFonts w:ascii="Times New Roman" w:eastAsiaTheme="minorEastAsia" w:hAnsi="Times New Roman" w:cs="Times New Roman"/>
          <w:kern w:val="0"/>
          <w:lang w:eastAsia="en-GB"/>
          <w14:ligatures w14:val="none"/>
        </w:rPr>
        <w:t>Franquesa</w:t>
      </w:r>
      <w:proofErr w:type="spellEnd"/>
      <w:r w:rsidRPr="001818C9">
        <w:rPr>
          <w:rFonts w:ascii="Times New Roman" w:eastAsiaTheme="minorEastAsia" w:hAnsi="Times New Roman" w:cs="Times New Roman"/>
          <w:kern w:val="0"/>
          <w:lang w:eastAsia="en-GB"/>
          <w14:ligatures w14:val="none"/>
        </w:rPr>
        <w:t xml:space="preserve">, A. et al. (2016) ‘Diabetes and metabolic disorders’, </w:t>
      </w:r>
      <w:r w:rsidRPr="001818C9">
        <w:rPr>
          <w:rFonts w:ascii="Times New Roman" w:eastAsiaTheme="minorEastAsia" w:hAnsi="Times New Roman" w:cs="Times New Roman"/>
          <w:i/>
          <w:iCs/>
          <w:kern w:val="0"/>
          <w:lang w:eastAsia="en-GB"/>
          <w14:ligatures w14:val="none"/>
        </w:rPr>
        <w:t>Frontiers in Endocrinology</w:t>
      </w:r>
      <w:r w:rsidRPr="001818C9">
        <w:rPr>
          <w:rFonts w:ascii="Times New Roman" w:eastAsiaTheme="minorEastAsia" w:hAnsi="Times New Roman" w:cs="Times New Roman"/>
          <w:kern w:val="0"/>
          <w:lang w:eastAsia="en-GB"/>
          <w14:ligatures w14:val="none"/>
        </w:rPr>
        <w:t>, 7(13), pp. 1–12.</w:t>
      </w:r>
      <w:r w:rsidRPr="001818C9">
        <w:rPr>
          <w:rFonts w:ascii="Times New Roman" w:eastAsiaTheme="minorEastAsia" w:hAnsi="Times New Roman" w:cs="Times New Roman"/>
          <w:kern w:val="0"/>
          <w:lang w:eastAsia="en-GB"/>
          <w14:ligatures w14:val="none"/>
        </w:rPr>
        <w:br/>
        <w:t xml:space="preserve">Hex, N., Bartlett, C., Wright, D., Taylor, M. and Varley, D. (2012) ‘Estimating the current and future costs of Type 1 and Type 2 diabetes in the UK’, </w:t>
      </w:r>
      <w:r w:rsidRPr="001818C9">
        <w:rPr>
          <w:rFonts w:ascii="Times New Roman" w:eastAsiaTheme="minorEastAsia" w:hAnsi="Times New Roman" w:cs="Times New Roman"/>
          <w:i/>
          <w:iCs/>
          <w:kern w:val="0"/>
          <w:lang w:eastAsia="en-GB"/>
          <w14:ligatures w14:val="none"/>
        </w:rPr>
        <w:t>Diabetic Medicine</w:t>
      </w:r>
      <w:r w:rsidRPr="001818C9">
        <w:rPr>
          <w:rFonts w:ascii="Times New Roman" w:eastAsiaTheme="minorEastAsia" w:hAnsi="Times New Roman" w:cs="Times New Roman"/>
          <w:kern w:val="0"/>
          <w:lang w:eastAsia="en-GB"/>
          <w14:ligatures w14:val="none"/>
        </w:rPr>
        <w:t>, 29(7), pp. 855–862.</w:t>
      </w:r>
      <w:r w:rsidRPr="001818C9">
        <w:rPr>
          <w:rFonts w:ascii="Times New Roman" w:eastAsiaTheme="minorEastAsia" w:hAnsi="Times New Roman" w:cs="Times New Roman"/>
          <w:kern w:val="0"/>
          <w:lang w:eastAsia="en-GB"/>
          <w14:ligatures w14:val="none"/>
        </w:rPr>
        <w:br/>
        <w:t xml:space="preserve">Marmot, M. (2010) </w:t>
      </w:r>
      <w:r w:rsidRPr="001818C9">
        <w:rPr>
          <w:rFonts w:ascii="Times New Roman" w:eastAsiaTheme="minorEastAsia" w:hAnsi="Times New Roman" w:cs="Times New Roman"/>
          <w:i/>
          <w:iCs/>
          <w:kern w:val="0"/>
          <w:lang w:eastAsia="en-GB"/>
          <w14:ligatures w14:val="none"/>
        </w:rPr>
        <w:t>Fair society, healthy lives: The Marmot Review</w:t>
      </w:r>
      <w:r w:rsidRPr="001818C9">
        <w:rPr>
          <w:rFonts w:ascii="Times New Roman" w:eastAsiaTheme="minorEastAsia" w:hAnsi="Times New Roman" w:cs="Times New Roman"/>
          <w:kern w:val="0"/>
          <w:lang w:eastAsia="en-GB"/>
          <w14:ligatures w14:val="none"/>
        </w:rPr>
        <w:t>. London: Institute of Health Equity.</w:t>
      </w:r>
      <w:r w:rsidRPr="001818C9">
        <w:rPr>
          <w:rFonts w:ascii="Times New Roman" w:eastAsiaTheme="minorEastAsia" w:hAnsi="Times New Roman" w:cs="Times New Roman"/>
          <w:kern w:val="0"/>
          <w:lang w:eastAsia="en-GB"/>
          <w14:ligatures w14:val="none"/>
        </w:rPr>
        <w:br/>
        <w:t xml:space="preserve">National Institute for Health and Care Excellence (NICE) (2015) </w:t>
      </w:r>
      <w:r w:rsidRPr="001818C9">
        <w:rPr>
          <w:rFonts w:ascii="Times New Roman" w:eastAsiaTheme="minorEastAsia" w:hAnsi="Times New Roman" w:cs="Times New Roman"/>
          <w:i/>
          <w:iCs/>
          <w:kern w:val="0"/>
          <w:lang w:eastAsia="en-GB"/>
          <w14:ligatures w14:val="none"/>
        </w:rPr>
        <w:t>Type 2 diabetes in adults: management (NG28)</w:t>
      </w:r>
      <w:r w:rsidRPr="001818C9">
        <w:rPr>
          <w:rFonts w:ascii="Times New Roman" w:eastAsiaTheme="minorEastAsia" w:hAnsi="Times New Roman" w:cs="Times New Roman"/>
          <w:kern w:val="0"/>
          <w:lang w:eastAsia="en-GB"/>
          <w14:ligatures w14:val="none"/>
        </w:rPr>
        <w:t>. London: NICE.</w:t>
      </w:r>
      <w:r w:rsidRPr="001818C9">
        <w:rPr>
          <w:rFonts w:ascii="Times New Roman" w:eastAsiaTheme="minorEastAsia" w:hAnsi="Times New Roman" w:cs="Times New Roman"/>
          <w:kern w:val="0"/>
          <w:lang w:eastAsia="en-GB"/>
          <w14:ligatures w14:val="none"/>
        </w:rPr>
        <w:br/>
        <w:t xml:space="preserve">NHS (2020) </w:t>
      </w:r>
      <w:r w:rsidRPr="001818C9">
        <w:rPr>
          <w:rFonts w:ascii="Times New Roman" w:eastAsiaTheme="minorEastAsia" w:hAnsi="Times New Roman" w:cs="Times New Roman"/>
          <w:i/>
          <w:iCs/>
          <w:kern w:val="0"/>
          <w:lang w:eastAsia="en-GB"/>
          <w14:ligatures w14:val="none"/>
        </w:rPr>
        <w:t>Type 2 diabetes</w:t>
      </w:r>
      <w:r w:rsidRPr="001818C9">
        <w:rPr>
          <w:rFonts w:ascii="Times New Roman" w:eastAsiaTheme="minorEastAsia" w:hAnsi="Times New Roman" w:cs="Times New Roman"/>
          <w:kern w:val="0"/>
          <w:lang w:eastAsia="en-GB"/>
          <w14:ligatures w14:val="none"/>
        </w:rPr>
        <w:t xml:space="preserve">. Available at: </w:t>
      </w:r>
      <w:hyperlink r:id="rId5" w:history="1">
        <w:r w:rsidRPr="001818C9">
          <w:rPr>
            <w:rFonts w:ascii="Times New Roman" w:eastAsiaTheme="minorEastAsia" w:hAnsi="Times New Roman" w:cs="Times New Roman"/>
            <w:color w:val="0000FF"/>
            <w:kern w:val="0"/>
            <w:u w:val="single"/>
            <w:lang w:eastAsia="en-GB"/>
            <w14:ligatures w14:val="none"/>
          </w:rPr>
          <w:t>https://www.nhs.uk/conditions/type-2-diabetes/</w:t>
        </w:r>
      </w:hyperlink>
      <w:r w:rsidRPr="001818C9">
        <w:rPr>
          <w:rFonts w:ascii="Times New Roman" w:eastAsiaTheme="minorEastAsia" w:hAnsi="Times New Roman" w:cs="Times New Roman"/>
          <w:kern w:val="0"/>
          <w:lang w:eastAsia="en-GB"/>
          <w14:ligatures w14:val="none"/>
        </w:rPr>
        <w:t xml:space="preserve"> (Accessed: 12 November 2025).</w:t>
      </w:r>
      <w:r w:rsidRPr="001818C9">
        <w:rPr>
          <w:rFonts w:ascii="Times New Roman" w:eastAsiaTheme="minorEastAsia" w:hAnsi="Times New Roman" w:cs="Times New Roman"/>
          <w:kern w:val="0"/>
          <w:lang w:eastAsia="en-GB"/>
          <w14:ligatures w14:val="none"/>
        </w:rPr>
        <w:br/>
        <w:t xml:space="preserve">NHS Digital (2022) </w:t>
      </w:r>
      <w:r w:rsidRPr="001818C9">
        <w:rPr>
          <w:rFonts w:ascii="Times New Roman" w:eastAsiaTheme="minorEastAsia" w:hAnsi="Times New Roman" w:cs="Times New Roman"/>
          <w:i/>
          <w:iCs/>
          <w:kern w:val="0"/>
          <w:lang w:eastAsia="en-GB"/>
          <w14:ligatures w14:val="none"/>
        </w:rPr>
        <w:t>Statistics on obesity, physical activity and diet, England, 2022</w:t>
      </w:r>
      <w:r w:rsidRPr="001818C9">
        <w:rPr>
          <w:rFonts w:ascii="Times New Roman" w:eastAsiaTheme="minorEastAsia" w:hAnsi="Times New Roman" w:cs="Times New Roman"/>
          <w:kern w:val="0"/>
          <w:lang w:eastAsia="en-GB"/>
          <w14:ligatures w14:val="none"/>
        </w:rPr>
        <w:t>. London: NHS Digital.</w:t>
      </w:r>
      <w:r w:rsidRPr="001818C9">
        <w:rPr>
          <w:rFonts w:ascii="Times New Roman" w:eastAsiaTheme="minorEastAsia" w:hAnsi="Times New Roman" w:cs="Times New Roman"/>
          <w:kern w:val="0"/>
          <w:lang w:eastAsia="en-GB"/>
          <w14:ligatures w14:val="none"/>
        </w:rPr>
        <w:br/>
        <w:t xml:space="preserve">NHS England (2019) </w:t>
      </w:r>
      <w:r w:rsidRPr="001818C9">
        <w:rPr>
          <w:rFonts w:ascii="Times New Roman" w:eastAsiaTheme="minorEastAsia" w:hAnsi="Times New Roman" w:cs="Times New Roman"/>
          <w:i/>
          <w:iCs/>
          <w:kern w:val="0"/>
          <w:lang w:eastAsia="en-GB"/>
          <w14:ligatures w14:val="none"/>
        </w:rPr>
        <w:t>NHS Long Term Plan</w:t>
      </w:r>
      <w:r w:rsidRPr="001818C9">
        <w:rPr>
          <w:rFonts w:ascii="Times New Roman" w:eastAsiaTheme="minorEastAsia" w:hAnsi="Times New Roman" w:cs="Times New Roman"/>
          <w:kern w:val="0"/>
          <w:lang w:eastAsia="en-GB"/>
          <w14:ligatures w14:val="none"/>
        </w:rPr>
        <w:t>. London: NHS England.</w:t>
      </w:r>
      <w:r w:rsidRPr="001818C9">
        <w:rPr>
          <w:rFonts w:ascii="Times New Roman" w:eastAsiaTheme="minorEastAsia" w:hAnsi="Times New Roman" w:cs="Times New Roman"/>
          <w:kern w:val="0"/>
          <w:lang w:eastAsia="en-GB"/>
          <w14:ligatures w14:val="none"/>
        </w:rPr>
        <w:br/>
        <w:t xml:space="preserve">NHS England (2020) </w:t>
      </w:r>
      <w:r w:rsidRPr="001818C9">
        <w:rPr>
          <w:rFonts w:ascii="Times New Roman" w:eastAsiaTheme="minorEastAsia" w:hAnsi="Times New Roman" w:cs="Times New Roman"/>
          <w:i/>
          <w:iCs/>
          <w:kern w:val="0"/>
          <w:lang w:eastAsia="en-GB"/>
          <w14:ligatures w14:val="none"/>
        </w:rPr>
        <w:t>NHS Diabetes Prevention Programme (NDPP)</w:t>
      </w:r>
      <w:r w:rsidRPr="001818C9">
        <w:rPr>
          <w:rFonts w:ascii="Times New Roman" w:eastAsiaTheme="minorEastAsia" w:hAnsi="Times New Roman" w:cs="Times New Roman"/>
          <w:kern w:val="0"/>
          <w:lang w:eastAsia="en-GB"/>
          <w14:ligatures w14:val="none"/>
        </w:rPr>
        <w:t>. London: NHS England.</w:t>
      </w:r>
      <w:r w:rsidRPr="001818C9">
        <w:rPr>
          <w:rFonts w:ascii="Times New Roman" w:eastAsiaTheme="minorEastAsia" w:hAnsi="Times New Roman" w:cs="Times New Roman"/>
          <w:kern w:val="0"/>
          <w:lang w:eastAsia="en-GB"/>
          <w14:ligatures w14:val="none"/>
        </w:rPr>
        <w:br/>
        <w:t xml:space="preserve">Public Health England (2018) </w:t>
      </w:r>
      <w:r w:rsidRPr="001818C9">
        <w:rPr>
          <w:rFonts w:ascii="Times New Roman" w:eastAsiaTheme="minorEastAsia" w:hAnsi="Times New Roman" w:cs="Times New Roman"/>
          <w:i/>
          <w:iCs/>
          <w:kern w:val="0"/>
          <w:lang w:eastAsia="en-GB"/>
          <w14:ligatures w14:val="none"/>
        </w:rPr>
        <w:t>Health matters: preventing type 2 diabetes</w:t>
      </w:r>
      <w:r w:rsidRPr="001818C9">
        <w:rPr>
          <w:rFonts w:ascii="Times New Roman" w:eastAsiaTheme="minorEastAsia" w:hAnsi="Times New Roman" w:cs="Times New Roman"/>
          <w:kern w:val="0"/>
          <w:lang w:eastAsia="en-GB"/>
          <w14:ligatures w14:val="none"/>
        </w:rPr>
        <w:t>. London: PHE.</w:t>
      </w:r>
      <w:r w:rsidRPr="001818C9">
        <w:rPr>
          <w:rFonts w:ascii="Times New Roman" w:eastAsiaTheme="minorEastAsia" w:hAnsi="Times New Roman" w:cs="Times New Roman"/>
          <w:kern w:val="0"/>
          <w:lang w:eastAsia="en-GB"/>
          <w14:ligatures w14:val="none"/>
        </w:rPr>
        <w:br/>
        <w:t xml:space="preserve">Public Health England (2020) </w:t>
      </w:r>
      <w:r w:rsidRPr="001818C9">
        <w:rPr>
          <w:rFonts w:ascii="Times New Roman" w:eastAsiaTheme="minorEastAsia" w:hAnsi="Times New Roman" w:cs="Times New Roman"/>
          <w:i/>
          <w:iCs/>
          <w:kern w:val="0"/>
          <w:lang w:eastAsia="en-GB"/>
          <w14:ligatures w14:val="none"/>
        </w:rPr>
        <w:t>Diabetes: applying All Our Health</w:t>
      </w:r>
      <w:r w:rsidRPr="001818C9">
        <w:rPr>
          <w:rFonts w:ascii="Times New Roman" w:eastAsiaTheme="minorEastAsia" w:hAnsi="Times New Roman" w:cs="Times New Roman"/>
          <w:kern w:val="0"/>
          <w:lang w:eastAsia="en-GB"/>
          <w14:ligatures w14:val="none"/>
        </w:rPr>
        <w:t>. London: PHE.</w:t>
      </w:r>
      <w:r w:rsidRPr="001818C9">
        <w:rPr>
          <w:rFonts w:ascii="Times New Roman" w:eastAsiaTheme="minorEastAsia" w:hAnsi="Times New Roman" w:cs="Times New Roman"/>
          <w:kern w:val="0"/>
          <w:lang w:eastAsia="en-GB"/>
          <w14:ligatures w14:val="none"/>
        </w:rPr>
        <w:br/>
        <w:t xml:space="preserve">Smushkin, G. and Vella, A. (2010) ‘What is type 2 diabetes?’, </w:t>
      </w:r>
      <w:r w:rsidRPr="001818C9">
        <w:rPr>
          <w:rFonts w:ascii="Times New Roman" w:eastAsiaTheme="minorEastAsia" w:hAnsi="Times New Roman" w:cs="Times New Roman"/>
          <w:i/>
          <w:iCs/>
          <w:kern w:val="0"/>
          <w:lang w:eastAsia="en-GB"/>
          <w14:ligatures w14:val="none"/>
        </w:rPr>
        <w:t>Medicine</w:t>
      </w:r>
      <w:r w:rsidRPr="001818C9">
        <w:rPr>
          <w:rFonts w:ascii="Times New Roman" w:eastAsiaTheme="minorEastAsia" w:hAnsi="Times New Roman" w:cs="Times New Roman"/>
          <w:kern w:val="0"/>
          <w:lang w:eastAsia="en-GB"/>
          <w14:ligatures w14:val="none"/>
        </w:rPr>
        <w:t>, 38(11), pp. 597–601.</w:t>
      </w:r>
      <w:r w:rsidRPr="001818C9">
        <w:rPr>
          <w:rFonts w:ascii="Times New Roman" w:eastAsiaTheme="minorEastAsia" w:hAnsi="Times New Roman" w:cs="Times New Roman"/>
          <w:kern w:val="0"/>
          <w:lang w:eastAsia="en-GB"/>
          <w14:ligatures w14:val="none"/>
        </w:rPr>
        <w:br/>
        <w:t xml:space="preserve">World Health Organization (2021) </w:t>
      </w:r>
      <w:r w:rsidRPr="001818C9">
        <w:rPr>
          <w:rFonts w:ascii="Times New Roman" w:eastAsiaTheme="minorEastAsia" w:hAnsi="Times New Roman" w:cs="Times New Roman"/>
          <w:i/>
          <w:iCs/>
          <w:kern w:val="0"/>
          <w:lang w:eastAsia="en-GB"/>
          <w14:ligatures w14:val="none"/>
        </w:rPr>
        <w:t>Global report on diabetes</w:t>
      </w:r>
      <w:r w:rsidRPr="001818C9">
        <w:rPr>
          <w:rFonts w:ascii="Times New Roman" w:eastAsiaTheme="minorEastAsia" w:hAnsi="Times New Roman" w:cs="Times New Roman"/>
          <w:kern w:val="0"/>
          <w:lang w:eastAsia="en-GB"/>
          <w14:ligatures w14:val="none"/>
        </w:rPr>
        <w:t>. Geneva: WHO.</w:t>
      </w:r>
      <w:r w:rsidRPr="001818C9">
        <w:rPr>
          <w:rFonts w:ascii="Times New Roman" w:eastAsiaTheme="minorEastAsia" w:hAnsi="Times New Roman" w:cs="Times New Roman"/>
          <w:kern w:val="0"/>
          <w:lang w:eastAsia="en-GB"/>
          <w14:ligatures w14:val="none"/>
        </w:rPr>
        <w:br/>
        <w:t xml:space="preserve">World Health Organization (2024) </w:t>
      </w:r>
      <w:r w:rsidRPr="001818C9">
        <w:rPr>
          <w:rFonts w:ascii="Times New Roman" w:eastAsiaTheme="minorEastAsia" w:hAnsi="Times New Roman" w:cs="Times New Roman"/>
          <w:i/>
          <w:iCs/>
          <w:kern w:val="0"/>
          <w:lang w:eastAsia="en-GB"/>
          <w14:ligatures w14:val="none"/>
        </w:rPr>
        <w:t>Diabetes fact sheet</w:t>
      </w:r>
      <w:r w:rsidRPr="001818C9">
        <w:rPr>
          <w:rFonts w:ascii="Times New Roman" w:eastAsiaTheme="minorEastAsia" w:hAnsi="Times New Roman" w:cs="Times New Roman"/>
          <w:kern w:val="0"/>
          <w:lang w:eastAsia="en-GB"/>
          <w14:ligatures w14:val="none"/>
        </w:rPr>
        <w:t>. Geneva: WHO.</w:t>
      </w:r>
    </w:p>
    <w:p w14:paraId="38D69C35" w14:textId="1878D1A3" w:rsidR="00040CF4" w:rsidRPr="00040CF4" w:rsidRDefault="00040CF4" w:rsidP="00040CF4">
      <w:pPr>
        <w:spacing w:before="100" w:beforeAutospacing="1" w:after="100" w:afterAutospacing="1" w:line="360" w:lineRule="auto"/>
        <w:rPr>
          <w:rFonts w:ascii="Arial" w:eastAsia="Times New Roman" w:hAnsi="Arial" w:cs="Arial"/>
          <w:kern w:val="0"/>
          <w:sz w:val="22"/>
          <w:szCs w:val="22"/>
          <w:lang w:eastAsia="en-GB"/>
          <w14:ligatures w14:val="none"/>
        </w:rPr>
      </w:pPr>
    </w:p>
    <w:p w14:paraId="0326AAB5" w14:textId="77777777" w:rsidR="00040CF4" w:rsidRDefault="00040CF4" w:rsidP="00040CF4">
      <w:pPr>
        <w:spacing w:before="100" w:beforeAutospacing="1" w:after="100" w:afterAutospacing="1" w:line="360" w:lineRule="auto"/>
        <w:rPr>
          <w:rFonts w:ascii="Arial" w:eastAsia="Times New Roman" w:hAnsi="Arial" w:cs="Arial"/>
          <w:kern w:val="0"/>
          <w:sz w:val="22"/>
          <w:szCs w:val="22"/>
          <w:lang w:eastAsia="en-GB"/>
          <w14:ligatures w14:val="none"/>
        </w:rPr>
      </w:pPr>
    </w:p>
    <w:p w14:paraId="39DA0B58" w14:textId="77777777" w:rsidR="00040CF4" w:rsidRDefault="00040CF4" w:rsidP="00040CF4">
      <w:pPr>
        <w:spacing w:before="100" w:beforeAutospacing="1" w:after="100" w:afterAutospacing="1" w:line="360" w:lineRule="auto"/>
        <w:rPr>
          <w:rFonts w:ascii="Arial" w:eastAsia="Times New Roman" w:hAnsi="Arial" w:cs="Arial"/>
          <w:kern w:val="0"/>
          <w:sz w:val="22"/>
          <w:szCs w:val="22"/>
          <w:lang w:eastAsia="en-GB"/>
          <w14:ligatures w14:val="none"/>
        </w:rPr>
      </w:pPr>
    </w:p>
    <w:p w14:paraId="6D6831F0" w14:textId="77777777" w:rsidR="00040CF4" w:rsidRDefault="00040CF4" w:rsidP="00040CF4">
      <w:pPr>
        <w:spacing w:before="100" w:beforeAutospacing="1" w:after="100" w:afterAutospacing="1" w:line="360" w:lineRule="auto"/>
        <w:rPr>
          <w:rFonts w:ascii="Arial" w:eastAsia="Times New Roman" w:hAnsi="Arial" w:cs="Arial"/>
          <w:kern w:val="0"/>
          <w:sz w:val="22"/>
          <w:szCs w:val="22"/>
          <w:lang w:eastAsia="en-GB"/>
          <w14:ligatures w14:val="none"/>
        </w:rPr>
      </w:pPr>
    </w:p>
    <w:p w14:paraId="1E3B33BD" w14:textId="77777777" w:rsidR="00040CF4" w:rsidRDefault="00040CF4" w:rsidP="00040CF4">
      <w:pPr>
        <w:spacing w:before="100" w:beforeAutospacing="1" w:after="100" w:afterAutospacing="1" w:line="360" w:lineRule="auto"/>
        <w:rPr>
          <w:rFonts w:ascii="Arial" w:eastAsia="Times New Roman" w:hAnsi="Arial" w:cs="Arial"/>
          <w:kern w:val="0"/>
          <w:sz w:val="22"/>
          <w:szCs w:val="22"/>
          <w:lang w:eastAsia="en-GB"/>
          <w14:ligatures w14:val="none"/>
        </w:rPr>
      </w:pPr>
    </w:p>
    <w:p w14:paraId="10694D96" w14:textId="77777777" w:rsidR="00040CF4" w:rsidRPr="00B33FAF" w:rsidRDefault="00040CF4" w:rsidP="00040CF4">
      <w:pPr>
        <w:spacing w:before="100" w:beforeAutospacing="1" w:after="100" w:afterAutospacing="1" w:line="360" w:lineRule="auto"/>
        <w:rPr>
          <w:rFonts w:ascii="Arial" w:eastAsia="Times New Roman" w:hAnsi="Arial" w:cs="Arial"/>
          <w:kern w:val="0"/>
          <w:sz w:val="22"/>
          <w:szCs w:val="22"/>
          <w:lang w:eastAsia="en-GB"/>
          <w14:ligatures w14:val="none"/>
        </w:rPr>
      </w:pPr>
    </w:p>
    <w:p w14:paraId="7A303409" w14:textId="77777777" w:rsidR="00B33FAF" w:rsidRPr="00B33FAF" w:rsidRDefault="00B33FAF" w:rsidP="00040CF4">
      <w:pPr>
        <w:pBdr>
          <w:bottom w:val="single" w:sz="6" w:space="1" w:color="auto"/>
        </w:pBdr>
        <w:spacing w:after="0" w:line="360" w:lineRule="auto"/>
        <w:jc w:val="center"/>
        <w:rPr>
          <w:rFonts w:ascii="Arial" w:eastAsia="Times New Roman" w:hAnsi="Arial" w:cs="Arial"/>
          <w:vanish/>
          <w:kern w:val="0"/>
          <w:sz w:val="22"/>
          <w:szCs w:val="22"/>
          <w:lang w:eastAsia="en-GB"/>
          <w14:ligatures w14:val="none"/>
        </w:rPr>
      </w:pPr>
      <w:r w:rsidRPr="00B33FAF">
        <w:rPr>
          <w:rFonts w:ascii="Arial" w:eastAsia="Times New Roman" w:hAnsi="Arial" w:cs="Arial"/>
          <w:vanish/>
          <w:kern w:val="0"/>
          <w:sz w:val="22"/>
          <w:szCs w:val="22"/>
          <w:lang w:eastAsia="en-GB"/>
          <w14:ligatures w14:val="none"/>
        </w:rPr>
        <w:t>Top of Form</w:t>
      </w:r>
    </w:p>
    <w:p w14:paraId="26494531" w14:textId="77777777" w:rsidR="00B33FAF" w:rsidRPr="00B33FAF" w:rsidRDefault="00B33FAF" w:rsidP="00040CF4">
      <w:pPr>
        <w:spacing w:before="100" w:beforeAutospacing="1" w:after="100" w:afterAutospacing="1" w:line="360" w:lineRule="auto"/>
        <w:rPr>
          <w:rFonts w:ascii="Arial" w:eastAsia="Times New Roman" w:hAnsi="Arial" w:cs="Arial"/>
          <w:kern w:val="0"/>
          <w:sz w:val="22"/>
          <w:szCs w:val="22"/>
          <w:lang w:eastAsia="en-GB"/>
          <w14:ligatures w14:val="none"/>
        </w:rPr>
      </w:pPr>
    </w:p>
    <w:p w14:paraId="63F03DB1" w14:textId="77777777" w:rsidR="00B33FAF" w:rsidRPr="00B33FAF" w:rsidRDefault="00B33FAF" w:rsidP="00040CF4">
      <w:pPr>
        <w:pBdr>
          <w:top w:val="single" w:sz="6" w:space="1" w:color="auto"/>
        </w:pBdr>
        <w:spacing w:after="0" w:line="360" w:lineRule="auto"/>
        <w:jc w:val="center"/>
        <w:rPr>
          <w:rFonts w:ascii="Arial" w:eastAsia="Times New Roman" w:hAnsi="Arial" w:cs="Arial"/>
          <w:vanish/>
          <w:kern w:val="0"/>
          <w:sz w:val="22"/>
          <w:szCs w:val="22"/>
          <w:lang w:eastAsia="en-GB"/>
          <w14:ligatures w14:val="none"/>
        </w:rPr>
      </w:pPr>
      <w:r w:rsidRPr="00B33FAF">
        <w:rPr>
          <w:rFonts w:ascii="Arial" w:eastAsia="Times New Roman" w:hAnsi="Arial" w:cs="Arial"/>
          <w:vanish/>
          <w:kern w:val="0"/>
          <w:sz w:val="22"/>
          <w:szCs w:val="22"/>
          <w:lang w:eastAsia="en-GB"/>
          <w14:ligatures w14:val="none"/>
        </w:rPr>
        <w:t>Bottom of Form</w:t>
      </w:r>
    </w:p>
    <w:p w14:paraId="22A14526" w14:textId="127BA7CA" w:rsidR="006B3B14" w:rsidRPr="005C7652" w:rsidRDefault="006B3B14" w:rsidP="00040CF4">
      <w:pPr>
        <w:spacing w:line="360" w:lineRule="auto"/>
        <w:rPr>
          <w:rFonts w:ascii="Arial" w:hAnsi="Arial" w:cs="Arial"/>
          <w:sz w:val="22"/>
          <w:szCs w:val="22"/>
        </w:rPr>
      </w:pPr>
    </w:p>
    <w:p w14:paraId="6890AB9A" w14:textId="4A38414F" w:rsidR="006B3B14" w:rsidRPr="005C7652" w:rsidRDefault="006B3B14" w:rsidP="0018584E">
      <w:pPr>
        <w:spacing w:line="360" w:lineRule="auto"/>
        <w:rPr>
          <w:rFonts w:ascii="Arial" w:hAnsi="Arial" w:cs="Arial"/>
          <w:sz w:val="22"/>
          <w:szCs w:val="22"/>
        </w:rPr>
      </w:pPr>
    </w:p>
    <w:sectPr w:rsidR="006B3B14" w:rsidRPr="005C7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84E"/>
    <w:rsid w:val="00014A51"/>
    <w:rsid w:val="00021201"/>
    <w:rsid w:val="000217C6"/>
    <w:rsid w:val="00021C2A"/>
    <w:rsid w:val="00032160"/>
    <w:rsid w:val="000323C0"/>
    <w:rsid w:val="00040CF4"/>
    <w:rsid w:val="00045D2E"/>
    <w:rsid w:val="00045E7B"/>
    <w:rsid w:val="0005732A"/>
    <w:rsid w:val="000646BC"/>
    <w:rsid w:val="0006538A"/>
    <w:rsid w:val="0007025F"/>
    <w:rsid w:val="00072295"/>
    <w:rsid w:val="0007238F"/>
    <w:rsid w:val="000760BF"/>
    <w:rsid w:val="0008201E"/>
    <w:rsid w:val="00093CAB"/>
    <w:rsid w:val="000B22E4"/>
    <w:rsid w:val="000B255F"/>
    <w:rsid w:val="000B2D10"/>
    <w:rsid w:val="000B3A26"/>
    <w:rsid w:val="000C5E4B"/>
    <w:rsid w:val="000C7C38"/>
    <w:rsid w:val="000E2E12"/>
    <w:rsid w:val="000E517C"/>
    <w:rsid w:val="000F0987"/>
    <w:rsid w:val="000F2F7B"/>
    <w:rsid w:val="000F4B89"/>
    <w:rsid w:val="000F7FF4"/>
    <w:rsid w:val="00102256"/>
    <w:rsid w:val="00112431"/>
    <w:rsid w:val="00113F6E"/>
    <w:rsid w:val="00123D31"/>
    <w:rsid w:val="001240DA"/>
    <w:rsid w:val="00124FA4"/>
    <w:rsid w:val="00141F37"/>
    <w:rsid w:val="00146567"/>
    <w:rsid w:val="00147648"/>
    <w:rsid w:val="00152E7F"/>
    <w:rsid w:val="001640B9"/>
    <w:rsid w:val="001647A5"/>
    <w:rsid w:val="001717C3"/>
    <w:rsid w:val="001818C9"/>
    <w:rsid w:val="0018584E"/>
    <w:rsid w:val="00192CF1"/>
    <w:rsid w:val="00196509"/>
    <w:rsid w:val="001A39C2"/>
    <w:rsid w:val="001A3BA3"/>
    <w:rsid w:val="001A6F77"/>
    <w:rsid w:val="001B009F"/>
    <w:rsid w:val="001B2792"/>
    <w:rsid w:val="001B2EAD"/>
    <w:rsid w:val="001B3D85"/>
    <w:rsid w:val="001C4F1F"/>
    <w:rsid w:val="001D6FB8"/>
    <w:rsid w:val="001E3B03"/>
    <w:rsid w:val="001F5E43"/>
    <w:rsid w:val="00207BB5"/>
    <w:rsid w:val="00213122"/>
    <w:rsid w:val="00221977"/>
    <w:rsid w:val="0023378C"/>
    <w:rsid w:val="002344DF"/>
    <w:rsid w:val="00246CA3"/>
    <w:rsid w:val="00255805"/>
    <w:rsid w:val="0027028D"/>
    <w:rsid w:val="00271398"/>
    <w:rsid w:val="00273F72"/>
    <w:rsid w:val="00276806"/>
    <w:rsid w:val="00285284"/>
    <w:rsid w:val="00285372"/>
    <w:rsid w:val="002856FC"/>
    <w:rsid w:val="00290880"/>
    <w:rsid w:val="002A0126"/>
    <w:rsid w:val="002A1A9D"/>
    <w:rsid w:val="002A1EA6"/>
    <w:rsid w:val="002B69E1"/>
    <w:rsid w:val="002C4681"/>
    <w:rsid w:val="002C580B"/>
    <w:rsid w:val="002C5B90"/>
    <w:rsid w:val="002C5E23"/>
    <w:rsid w:val="002D31FF"/>
    <w:rsid w:val="002D530A"/>
    <w:rsid w:val="002D6524"/>
    <w:rsid w:val="002E1A82"/>
    <w:rsid w:val="002E5A79"/>
    <w:rsid w:val="002F1DE0"/>
    <w:rsid w:val="002F441C"/>
    <w:rsid w:val="002F6AEB"/>
    <w:rsid w:val="002F7507"/>
    <w:rsid w:val="00303836"/>
    <w:rsid w:val="003077C0"/>
    <w:rsid w:val="00312276"/>
    <w:rsid w:val="0031468B"/>
    <w:rsid w:val="00331684"/>
    <w:rsid w:val="003363BD"/>
    <w:rsid w:val="00341BE6"/>
    <w:rsid w:val="00344931"/>
    <w:rsid w:val="003467C8"/>
    <w:rsid w:val="003540D5"/>
    <w:rsid w:val="00360A59"/>
    <w:rsid w:val="00361D99"/>
    <w:rsid w:val="00363956"/>
    <w:rsid w:val="003639AC"/>
    <w:rsid w:val="00367FD1"/>
    <w:rsid w:val="003767F9"/>
    <w:rsid w:val="003907FC"/>
    <w:rsid w:val="00394365"/>
    <w:rsid w:val="003A11BC"/>
    <w:rsid w:val="003A33F5"/>
    <w:rsid w:val="003A53D3"/>
    <w:rsid w:val="003B4F19"/>
    <w:rsid w:val="003B5037"/>
    <w:rsid w:val="003B665C"/>
    <w:rsid w:val="003B6EE2"/>
    <w:rsid w:val="003C0B0B"/>
    <w:rsid w:val="003C1FE6"/>
    <w:rsid w:val="003C505D"/>
    <w:rsid w:val="003C7CF0"/>
    <w:rsid w:val="003D20E2"/>
    <w:rsid w:val="003D332D"/>
    <w:rsid w:val="003D5A01"/>
    <w:rsid w:val="003E1AB2"/>
    <w:rsid w:val="003E337B"/>
    <w:rsid w:val="003F3736"/>
    <w:rsid w:val="003F3D14"/>
    <w:rsid w:val="003F57D8"/>
    <w:rsid w:val="003F59AC"/>
    <w:rsid w:val="00412E92"/>
    <w:rsid w:val="00414EC5"/>
    <w:rsid w:val="004257C7"/>
    <w:rsid w:val="00433375"/>
    <w:rsid w:val="00437DE3"/>
    <w:rsid w:val="0044387C"/>
    <w:rsid w:val="0045461F"/>
    <w:rsid w:val="00455245"/>
    <w:rsid w:val="00462CCC"/>
    <w:rsid w:val="00462CD5"/>
    <w:rsid w:val="004732C3"/>
    <w:rsid w:val="0047363B"/>
    <w:rsid w:val="004827F8"/>
    <w:rsid w:val="004925EC"/>
    <w:rsid w:val="004951B5"/>
    <w:rsid w:val="004A08D6"/>
    <w:rsid w:val="004A1F13"/>
    <w:rsid w:val="004A512B"/>
    <w:rsid w:val="004A5A15"/>
    <w:rsid w:val="004A60B6"/>
    <w:rsid w:val="004B2D87"/>
    <w:rsid w:val="004B3C50"/>
    <w:rsid w:val="004B6263"/>
    <w:rsid w:val="004C1036"/>
    <w:rsid w:val="004C1306"/>
    <w:rsid w:val="004C3008"/>
    <w:rsid w:val="004D0944"/>
    <w:rsid w:val="004D6BE3"/>
    <w:rsid w:val="004E11CC"/>
    <w:rsid w:val="004E67E7"/>
    <w:rsid w:val="004F5A2E"/>
    <w:rsid w:val="004F72DD"/>
    <w:rsid w:val="00504D7F"/>
    <w:rsid w:val="005149D1"/>
    <w:rsid w:val="00522DB4"/>
    <w:rsid w:val="00527229"/>
    <w:rsid w:val="00537A3F"/>
    <w:rsid w:val="00540B6A"/>
    <w:rsid w:val="00540DC2"/>
    <w:rsid w:val="00545F66"/>
    <w:rsid w:val="00552E4D"/>
    <w:rsid w:val="005537AF"/>
    <w:rsid w:val="0055558E"/>
    <w:rsid w:val="00556F82"/>
    <w:rsid w:val="00573E23"/>
    <w:rsid w:val="005773A2"/>
    <w:rsid w:val="00580F7E"/>
    <w:rsid w:val="00581E50"/>
    <w:rsid w:val="005825FE"/>
    <w:rsid w:val="00583148"/>
    <w:rsid w:val="00584B79"/>
    <w:rsid w:val="005A2FB3"/>
    <w:rsid w:val="005A4D32"/>
    <w:rsid w:val="005A7E49"/>
    <w:rsid w:val="005B6F5A"/>
    <w:rsid w:val="005C085C"/>
    <w:rsid w:val="005C367F"/>
    <w:rsid w:val="005C3C72"/>
    <w:rsid w:val="005C67D3"/>
    <w:rsid w:val="005C7652"/>
    <w:rsid w:val="005C7DFE"/>
    <w:rsid w:val="005D1208"/>
    <w:rsid w:val="005D23AA"/>
    <w:rsid w:val="005D3278"/>
    <w:rsid w:val="005D3E9D"/>
    <w:rsid w:val="005E12BB"/>
    <w:rsid w:val="005E3091"/>
    <w:rsid w:val="005E320A"/>
    <w:rsid w:val="00605817"/>
    <w:rsid w:val="0060785A"/>
    <w:rsid w:val="006272EC"/>
    <w:rsid w:val="00632ECB"/>
    <w:rsid w:val="00637455"/>
    <w:rsid w:val="006379A5"/>
    <w:rsid w:val="00646A1C"/>
    <w:rsid w:val="006518F6"/>
    <w:rsid w:val="006572F8"/>
    <w:rsid w:val="0066522A"/>
    <w:rsid w:val="00665D9B"/>
    <w:rsid w:val="0066712B"/>
    <w:rsid w:val="00670E55"/>
    <w:rsid w:val="00672975"/>
    <w:rsid w:val="006739B8"/>
    <w:rsid w:val="00677D81"/>
    <w:rsid w:val="006915EB"/>
    <w:rsid w:val="00692CD4"/>
    <w:rsid w:val="00693FAC"/>
    <w:rsid w:val="0069677C"/>
    <w:rsid w:val="006A2891"/>
    <w:rsid w:val="006B3B14"/>
    <w:rsid w:val="006C0ADF"/>
    <w:rsid w:val="006D3B9B"/>
    <w:rsid w:val="006D5E1A"/>
    <w:rsid w:val="006E7291"/>
    <w:rsid w:val="007026E0"/>
    <w:rsid w:val="007306C8"/>
    <w:rsid w:val="00741F72"/>
    <w:rsid w:val="00742DEB"/>
    <w:rsid w:val="00744FC3"/>
    <w:rsid w:val="00745947"/>
    <w:rsid w:val="00746907"/>
    <w:rsid w:val="007528A8"/>
    <w:rsid w:val="007555F3"/>
    <w:rsid w:val="00767C30"/>
    <w:rsid w:val="007720A3"/>
    <w:rsid w:val="007721C9"/>
    <w:rsid w:val="007725BA"/>
    <w:rsid w:val="00775845"/>
    <w:rsid w:val="007831B2"/>
    <w:rsid w:val="00786934"/>
    <w:rsid w:val="00791958"/>
    <w:rsid w:val="00793F3C"/>
    <w:rsid w:val="00794ED5"/>
    <w:rsid w:val="007A0299"/>
    <w:rsid w:val="007B2FA0"/>
    <w:rsid w:val="007B537F"/>
    <w:rsid w:val="007C061C"/>
    <w:rsid w:val="007C0A1B"/>
    <w:rsid w:val="007C2250"/>
    <w:rsid w:val="007C2B6D"/>
    <w:rsid w:val="007C7235"/>
    <w:rsid w:val="007D2949"/>
    <w:rsid w:val="007D750A"/>
    <w:rsid w:val="007E0CA9"/>
    <w:rsid w:val="007F3D56"/>
    <w:rsid w:val="007F6ACB"/>
    <w:rsid w:val="008064EB"/>
    <w:rsid w:val="00814ABF"/>
    <w:rsid w:val="00824D2B"/>
    <w:rsid w:val="00834C56"/>
    <w:rsid w:val="00847D81"/>
    <w:rsid w:val="00855439"/>
    <w:rsid w:val="008557E8"/>
    <w:rsid w:val="00857A14"/>
    <w:rsid w:val="00857B78"/>
    <w:rsid w:val="008753C2"/>
    <w:rsid w:val="008925D0"/>
    <w:rsid w:val="00893454"/>
    <w:rsid w:val="00897801"/>
    <w:rsid w:val="008C20AD"/>
    <w:rsid w:val="008C3136"/>
    <w:rsid w:val="008C61DE"/>
    <w:rsid w:val="008D160B"/>
    <w:rsid w:val="008D3484"/>
    <w:rsid w:val="008D3F73"/>
    <w:rsid w:val="008D67D3"/>
    <w:rsid w:val="008E5CFD"/>
    <w:rsid w:val="008F1BE7"/>
    <w:rsid w:val="008F2FEB"/>
    <w:rsid w:val="008F6924"/>
    <w:rsid w:val="009122CD"/>
    <w:rsid w:val="009150DE"/>
    <w:rsid w:val="00924A13"/>
    <w:rsid w:val="0092779D"/>
    <w:rsid w:val="009317E3"/>
    <w:rsid w:val="00933A1F"/>
    <w:rsid w:val="00934BD1"/>
    <w:rsid w:val="0094563B"/>
    <w:rsid w:val="009543AF"/>
    <w:rsid w:val="0096500A"/>
    <w:rsid w:val="00965C0D"/>
    <w:rsid w:val="0096608A"/>
    <w:rsid w:val="00971442"/>
    <w:rsid w:val="00975A28"/>
    <w:rsid w:val="00983873"/>
    <w:rsid w:val="009902D8"/>
    <w:rsid w:val="00990499"/>
    <w:rsid w:val="00990D6F"/>
    <w:rsid w:val="00991885"/>
    <w:rsid w:val="00993C39"/>
    <w:rsid w:val="00994915"/>
    <w:rsid w:val="009A5D17"/>
    <w:rsid w:val="009A5F5C"/>
    <w:rsid w:val="009B1107"/>
    <w:rsid w:val="009B17D0"/>
    <w:rsid w:val="009B3C7A"/>
    <w:rsid w:val="009B5F0C"/>
    <w:rsid w:val="009B6535"/>
    <w:rsid w:val="009C0064"/>
    <w:rsid w:val="009C28B3"/>
    <w:rsid w:val="009D1686"/>
    <w:rsid w:val="009E513F"/>
    <w:rsid w:val="009E67DD"/>
    <w:rsid w:val="009F1287"/>
    <w:rsid w:val="009F5EFE"/>
    <w:rsid w:val="00A03CA0"/>
    <w:rsid w:val="00A05114"/>
    <w:rsid w:val="00A073DC"/>
    <w:rsid w:val="00A2124E"/>
    <w:rsid w:val="00A44A45"/>
    <w:rsid w:val="00A44C60"/>
    <w:rsid w:val="00A52A56"/>
    <w:rsid w:val="00A619B1"/>
    <w:rsid w:val="00A77229"/>
    <w:rsid w:val="00A77C5F"/>
    <w:rsid w:val="00A8321C"/>
    <w:rsid w:val="00A8759A"/>
    <w:rsid w:val="00AA1961"/>
    <w:rsid w:val="00AA315D"/>
    <w:rsid w:val="00AA453E"/>
    <w:rsid w:val="00AA7C45"/>
    <w:rsid w:val="00AB01F2"/>
    <w:rsid w:val="00AE3C02"/>
    <w:rsid w:val="00B077BE"/>
    <w:rsid w:val="00B1096A"/>
    <w:rsid w:val="00B1557F"/>
    <w:rsid w:val="00B23BDE"/>
    <w:rsid w:val="00B253ED"/>
    <w:rsid w:val="00B31354"/>
    <w:rsid w:val="00B33FAF"/>
    <w:rsid w:val="00B3724F"/>
    <w:rsid w:val="00B41B47"/>
    <w:rsid w:val="00B42698"/>
    <w:rsid w:val="00B46F2F"/>
    <w:rsid w:val="00B524B1"/>
    <w:rsid w:val="00B56C16"/>
    <w:rsid w:val="00B61E4C"/>
    <w:rsid w:val="00B627F0"/>
    <w:rsid w:val="00B64DD3"/>
    <w:rsid w:val="00B676A5"/>
    <w:rsid w:val="00B75994"/>
    <w:rsid w:val="00B765D7"/>
    <w:rsid w:val="00B767A5"/>
    <w:rsid w:val="00B76967"/>
    <w:rsid w:val="00B930F0"/>
    <w:rsid w:val="00B93D0D"/>
    <w:rsid w:val="00BA1C07"/>
    <w:rsid w:val="00BA4D5F"/>
    <w:rsid w:val="00BC1075"/>
    <w:rsid w:val="00BD5BC3"/>
    <w:rsid w:val="00BE6207"/>
    <w:rsid w:val="00BF106E"/>
    <w:rsid w:val="00BF24E8"/>
    <w:rsid w:val="00BF6D6D"/>
    <w:rsid w:val="00C00907"/>
    <w:rsid w:val="00C15722"/>
    <w:rsid w:val="00C2268C"/>
    <w:rsid w:val="00C23227"/>
    <w:rsid w:val="00C23DFA"/>
    <w:rsid w:val="00C2465E"/>
    <w:rsid w:val="00C276D4"/>
    <w:rsid w:val="00C3043D"/>
    <w:rsid w:val="00C32F58"/>
    <w:rsid w:val="00C34E5D"/>
    <w:rsid w:val="00C5611D"/>
    <w:rsid w:val="00C56B44"/>
    <w:rsid w:val="00C76A4D"/>
    <w:rsid w:val="00C81F3D"/>
    <w:rsid w:val="00C83505"/>
    <w:rsid w:val="00C8606B"/>
    <w:rsid w:val="00C8650E"/>
    <w:rsid w:val="00C929C4"/>
    <w:rsid w:val="00CA2964"/>
    <w:rsid w:val="00CA57AA"/>
    <w:rsid w:val="00CA688D"/>
    <w:rsid w:val="00CC004A"/>
    <w:rsid w:val="00CC1917"/>
    <w:rsid w:val="00CE103D"/>
    <w:rsid w:val="00CE25CB"/>
    <w:rsid w:val="00CF0F2D"/>
    <w:rsid w:val="00CF3C65"/>
    <w:rsid w:val="00CF6F30"/>
    <w:rsid w:val="00D0089B"/>
    <w:rsid w:val="00D1122D"/>
    <w:rsid w:val="00D2294C"/>
    <w:rsid w:val="00D3293D"/>
    <w:rsid w:val="00D33B84"/>
    <w:rsid w:val="00D36921"/>
    <w:rsid w:val="00D41679"/>
    <w:rsid w:val="00D453C8"/>
    <w:rsid w:val="00D514E6"/>
    <w:rsid w:val="00D558A8"/>
    <w:rsid w:val="00D574BB"/>
    <w:rsid w:val="00D6038E"/>
    <w:rsid w:val="00D633C4"/>
    <w:rsid w:val="00D705E4"/>
    <w:rsid w:val="00D71DDC"/>
    <w:rsid w:val="00D733D7"/>
    <w:rsid w:val="00D8276A"/>
    <w:rsid w:val="00D830B5"/>
    <w:rsid w:val="00D849D2"/>
    <w:rsid w:val="00D944CE"/>
    <w:rsid w:val="00D95F3B"/>
    <w:rsid w:val="00DA1616"/>
    <w:rsid w:val="00DA3810"/>
    <w:rsid w:val="00DB1840"/>
    <w:rsid w:val="00DC0C57"/>
    <w:rsid w:val="00DC1584"/>
    <w:rsid w:val="00DC1587"/>
    <w:rsid w:val="00DC1656"/>
    <w:rsid w:val="00DC6BD1"/>
    <w:rsid w:val="00DC7C2A"/>
    <w:rsid w:val="00DD3EED"/>
    <w:rsid w:val="00DE2861"/>
    <w:rsid w:val="00DE2A8A"/>
    <w:rsid w:val="00DF3C15"/>
    <w:rsid w:val="00DF6E49"/>
    <w:rsid w:val="00DF7C24"/>
    <w:rsid w:val="00DF7D3A"/>
    <w:rsid w:val="00E01CC6"/>
    <w:rsid w:val="00E03F43"/>
    <w:rsid w:val="00E1215D"/>
    <w:rsid w:val="00E21126"/>
    <w:rsid w:val="00E2433E"/>
    <w:rsid w:val="00E24DFB"/>
    <w:rsid w:val="00E31644"/>
    <w:rsid w:val="00E317E8"/>
    <w:rsid w:val="00E65635"/>
    <w:rsid w:val="00E67E2C"/>
    <w:rsid w:val="00E7482B"/>
    <w:rsid w:val="00E757D7"/>
    <w:rsid w:val="00E758DC"/>
    <w:rsid w:val="00E80D88"/>
    <w:rsid w:val="00E97489"/>
    <w:rsid w:val="00EA057B"/>
    <w:rsid w:val="00EA32D2"/>
    <w:rsid w:val="00EB1D15"/>
    <w:rsid w:val="00EB2FE4"/>
    <w:rsid w:val="00EB70EA"/>
    <w:rsid w:val="00EC0217"/>
    <w:rsid w:val="00EC098F"/>
    <w:rsid w:val="00EC4B94"/>
    <w:rsid w:val="00EC5077"/>
    <w:rsid w:val="00ED6B72"/>
    <w:rsid w:val="00EF00A2"/>
    <w:rsid w:val="00EF5C50"/>
    <w:rsid w:val="00EF6615"/>
    <w:rsid w:val="00EF6E1E"/>
    <w:rsid w:val="00F004E4"/>
    <w:rsid w:val="00F21F9C"/>
    <w:rsid w:val="00F26B54"/>
    <w:rsid w:val="00F275B9"/>
    <w:rsid w:val="00F279FA"/>
    <w:rsid w:val="00F343A5"/>
    <w:rsid w:val="00F35D6A"/>
    <w:rsid w:val="00F36B7B"/>
    <w:rsid w:val="00F37EA5"/>
    <w:rsid w:val="00F453B5"/>
    <w:rsid w:val="00F45431"/>
    <w:rsid w:val="00F47531"/>
    <w:rsid w:val="00F51EA5"/>
    <w:rsid w:val="00F61627"/>
    <w:rsid w:val="00F639C3"/>
    <w:rsid w:val="00F667C0"/>
    <w:rsid w:val="00F74AB8"/>
    <w:rsid w:val="00F74C3F"/>
    <w:rsid w:val="00F80C2F"/>
    <w:rsid w:val="00F8487F"/>
    <w:rsid w:val="00F87952"/>
    <w:rsid w:val="00F929CF"/>
    <w:rsid w:val="00F93213"/>
    <w:rsid w:val="00F93F1A"/>
    <w:rsid w:val="00F9656C"/>
    <w:rsid w:val="00FC1ECA"/>
    <w:rsid w:val="00FC51B2"/>
    <w:rsid w:val="00FE66BD"/>
    <w:rsid w:val="00FE6DE2"/>
    <w:rsid w:val="00FE7F2A"/>
    <w:rsid w:val="00FF3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712AE"/>
  <w15:chartTrackingRefBased/>
  <w15:docId w15:val="{A65EAC31-0413-4B8D-80D6-B87A7BE91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8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58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58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58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8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8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8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8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8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8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84E"/>
    <w:rPr>
      <w:rFonts w:eastAsiaTheme="majorEastAsia" w:cstheme="majorBidi"/>
      <w:color w:val="272727" w:themeColor="text1" w:themeTint="D8"/>
    </w:rPr>
  </w:style>
  <w:style w:type="paragraph" w:styleId="Title">
    <w:name w:val="Title"/>
    <w:basedOn w:val="Normal"/>
    <w:next w:val="Normal"/>
    <w:link w:val="TitleChar"/>
    <w:uiPriority w:val="10"/>
    <w:qFormat/>
    <w:rsid w:val="00185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84E"/>
    <w:pPr>
      <w:spacing w:before="160"/>
      <w:jc w:val="center"/>
    </w:pPr>
    <w:rPr>
      <w:i/>
      <w:iCs/>
      <w:color w:val="404040" w:themeColor="text1" w:themeTint="BF"/>
    </w:rPr>
  </w:style>
  <w:style w:type="character" w:customStyle="1" w:styleId="QuoteChar">
    <w:name w:val="Quote Char"/>
    <w:basedOn w:val="DefaultParagraphFont"/>
    <w:link w:val="Quote"/>
    <w:uiPriority w:val="29"/>
    <w:rsid w:val="0018584E"/>
    <w:rPr>
      <w:i/>
      <w:iCs/>
      <w:color w:val="404040" w:themeColor="text1" w:themeTint="BF"/>
    </w:rPr>
  </w:style>
  <w:style w:type="paragraph" w:styleId="ListParagraph">
    <w:name w:val="List Paragraph"/>
    <w:basedOn w:val="Normal"/>
    <w:uiPriority w:val="34"/>
    <w:qFormat/>
    <w:rsid w:val="0018584E"/>
    <w:pPr>
      <w:ind w:left="720"/>
      <w:contextualSpacing/>
    </w:pPr>
  </w:style>
  <w:style w:type="character" w:styleId="IntenseEmphasis">
    <w:name w:val="Intense Emphasis"/>
    <w:basedOn w:val="DefaultParagraphFont"/>
    <w:uiPriority w:val="21"/>
    <w:qFormat/>
    <w:rsid w:val="0018584E"/>
    <w:rPr>
      <w:i/>
      <w:iCs/>
      <w:color w:val="0F4761" w:themeColor="accent1" w:themeShade="BF"/>
    </w:rPr>
  </w:style>
  <w:style w:type="paragraph" w:styleId="IntenseQuote">
    <w:name w:val="Intense Quote"/>
    <w:basedOn w:val="Normal"/>
    <w:next w:val="Normal"/>
    <w:link w:val="IntenseQuoteChar"/>
    <w:uiPriority w:val="30"/>
    <w:qFormat/>
    <w:rsid w:val="001858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584E"/>
    <w:rPr>
      <w:i/>
      <w:iCs/>
      <w:color w:val="0F4761" w:themeColor="accent1" w:themeShade="BF"/>
    </w:rPr>
  </w:style>
  <w:style w:type="character" w:styleId="IntenseReference">
    <w:name w:val="Intense Reference"/>
    <w:basedOn w:val="DefaultParagraphFont"/>
    <w:uiPriority w:val="32"/>
    <w:qFormat/>
    <w:rsid w:val="0018584E"/>
    <w:rPr>
      <w:b/>
      <w:bCs/>
      <w:smallCaps/>
      <w:color w:val="0F4761" w:themeColor="accent1" w:themeShade="BF"/>
      <w:spacing w:val="5"/>
    </w:rPr>
  </w:style>
  <w:style w:type="paragraph" w:styleId="NormalWeb">
    <w:name w:val="Normal (Web)"/>
    <w:basedOn w:val="Normal"/>
    <w:uiPriority w:val="99"/>
    <w:unhideWhenUsed/>
    <w:rsid w:val="00B33FA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hs.uk/conditions/type-2-diabetes/" TargetMode="External"/><Relationship Id="rId4" Type="http://schemas.openxmlformats.org/officeDocument/2006/relationships/hyperlink" Target="https://www.diabet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2077</Words>
  <Characters>11842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McLean (2429703)</dc:creator>
  <cp:keywords/>
  <dc:description/>
  <cp:lastModifiedBy>charmaine mclean</cp:lastModifiedBy>
  <cp:revision>2</cp:revision>
  <dcterms:created xsi:type="dcterms:W3CDTF">2025-11-15T17:43:00Z</dcterms:created>
  <dcterms:modified xsi:type="dcterms:W3CDTF">2025-11-15T17:43:00Z</dcterms:modified>
</cp:coreProperties>
</file>