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A1397" w14:textId="5EE9F5DF" w:rsidR="002C6138" w:rsidRDefault="00C667FA" w:rsidP="002C6138">
      <w:pPr>
        <w:spacing w:line="360" w:lineRule="auto"/>
      </w:pPr>
      <w:r>
        <w:t xml:space="preserve">This essay will critically discuss the role of juries in the investigative and judicial processes associated with crime. </w:t>
      </w:r>
      <w:r w:rsidR="00D85D00">
        <w:t>The role of juries is a complex and w</w:t>
      </w:r>
      <w:r w:rsidR="00126CA4">
        <w:t>idely studie</w:t>
      </w:r>
      <w:r w:rsidR="00D85D00">
        <w:t>d issue in psychology</w:t>
      </w:r>
      <w:r w:rsidR="00126CA4">
        <w:t xml:space="preserve"> due to </w:t>
      </w:r>
      <w:r w:rsidR="00D85D00">
        <w:t>their</w:t>
      </w:r>
      <w:r w:rsidR="00126CA4">
        <w:t xml:space="preserve"> importance</w:t>
      </w:r>
      <w:r w:rsidR="00D85D00">
        <w:t xml:space="preserve"> in the judicial system</w:t>
      </w:r>
      <w:r w:rsidR="00904076">
        <w:t xml:space="preserve"> (Crighton &amp; Towl, 2021). Juri</w:t>
      </w:r>
      <w:r w:rsidR="000774E0">
        <w:t xml:space="preserve">es play a pivotal role in </w:t>
      </w:r>
      <w:r w:rsidR="00275172">
        <w:t>the United Kingdom, American criminal justice system and Western European countries but there are many Asian countries who have abolished juries and the way in which they</w:t>
      </w:r>
      <w:r w:rsidR="00EC4412">
        <w:t xml:space="preserve"> operate and</w:t>
      </w:r>
      <w:r w:rsidR="00275172">
        <w:t xml:space="preserve"> compare will also be explored.</w:t>
      </w:r>
      <w:r w:rsidR="002F1674">
        <w:t xml:space="preserve"> </w:t>
      </w:r>
      <w:r w:rsidR="000774E0">
        <w:t xml:space="preserve">According to </w:t>
      </w:r>
      <w:r w:rsidR="004C08DE">
        <w:t>Kapardis and Farring</w:t>
      </w:r>
      <w:r w:rsidR="00E51C94">
        <w:t>t</w:t>
      </w:r>
      <w:r w:rsidR="004C08DE">
        <w:t>on (2018)</w:t>
      </w:r>
      <w:r w:rsidR="000774E0">
        <w:t xml:space="preserve"> it is difficult to confidently answer the question ‘are juries fair?’ from a psychology point of view. </w:t>
      </w:r>
      <w:r w:rsidR="006835FC">
        <w:t>Certainly,</w:t>
      </w:r>
      <w:r w:rsidR="000774E0">
        <w:t xml:space="preserve"> the vast amount of research conducted by psychologists and psychology students by way of mock </w:t>
      </w:r>
      <w:r w:rsidR="008E63AF">
        <w:t xml:space="preserve">and shadow </w:t>
      </w:r>
      <w:r w:rsidR="000774E0">
        <w:t>juries attempt</w:t>
      </w:r>
      <w:r w:rsidR="00C7201E">
        <w:t>s</w:t>
      </w:r>
      <w:r w:rsidR="000774E0">
        <w:t xml:space="preserve"> to provide an answer</w:t>
      </w:r>
      <w:r w:rsidR="008E63AF">
        <w:t>.</w:t>
      </w:r>
      <w:r w:rsidR="00041AE9">
        <w:t xml:space="preserve"> Mock juries are the most commonly used methodology in</w:t>
      </w:r>
      <w:r w:rsidR="00D57188">
        <w:t xml:space="preserve"> jury</w:t>
      </w:r>
      <w:r w:rsidR="00041AE9">
        <w:t xml:space="preserve"> decision making research, allowing simulation and observation of the deliberation process and </w:t>
      </w:r>
      <w:r w:rsidR="00D57188">
        <w:t>increasing</w:t>
      </w:r>
      <w:r w:rsidR="00904076">
        <w:t xml:space="preserve"> ecological</w:t>
      </w:r>
      <w:r w:rsidR="00D57188">
        <w:t xml:space="preserve"> validity of work in this area (Bornstein et al., 2017). A</w:t>
      </w:r>
      <w:r w:rsidR="00041AE9">
        <w:t>s such</w:t>
      </w:r>
      <w:r w:rsidR="00D57188">
        <w:t>, the use of mock juries</w:t>
      </w:r>
      <w:r w:rsidR="00041AE9">
        <w:t xml:space="preserve"> has identified a number of </w:t>
      </w:r>
      <w:r w:rsidR="00D57188">
        <w:t xml:space="preserve">unique </w:t>
      </w:r>
      <w:r w:rsidR="00041AE9">
        <w:t>defendant and juror characteristics</w:t>
      </w:r>
      <w:r w:rsidR="00D57188">
        <w:t xml:space="preserve"> </w:t>
      </w:r>
      <w:r w:rsidR="00C7201E">
        <w:t xml:space="preserve">all of </w:t>
      </w:r>
      <w:r w:rsidR="00D57188">
        <w:t>which influence the final verdict and sentencing. However,</w:t>
      </w:r>
      <w:r w:rsidR="008E63AF">
        <w:t xml:space="preserve"> </w:t>
      </w:r>
      <w:r w:rsidR="004C08DE">
        <w:t>Kapardis and Farring</w:t>
      </w:r>
      <w:r w:rsidR="00E51C94">
        <w:t>t</w:t>
      </w:r>
      <w:r w:rsidR="004C08DE">
        <w:t>on (2018)</w:t>
      </w:r>
      <w:r w:rsidR="008E63AF">
        <w:t xml:space="preserve"> challenges their effectiveness, stating it is better to consider the functionality of the jury in the context of real-life situations</w:t>
      </w:r>
      <w:r w:rsidR="004C08DE">
        <w:t xml:space="preserve"> and also to manage expectations of what we expect the jury to achieve, which is ultimately to prove beyond reasonable doubt</w:t>
      </w:r>
      <w:r w:rsidR="003B66E6">
        <w:t xml:space="preserve"> whether the defendant is guilty or not guilty.</w:t>
      </w:r>
      <w:r w:rsidR="008E63AF">
        <w:t xml:space="preserve"> </w:t>
      </w:r>
      <w:r w:rsidR="00D57188">
        <w:t>W</w:t>
      </w:r>
      <w:r w:rsidR="00C125CB">
        <w:t>ie</w:t>
      </w:r>
      <w:r w:rsidR="00D57188">
        <w:t xml:space="preserve">ner et al. (2011) questions the </w:t>
      </w:r>
      <w:r w:rsidR="003514D4">
        <w:t>experimental</w:t>
      </w:r>
      <w:r w:rsidR="00D57188">
        <w:t xml:space="preserve"> nature of mock juries</w:t>
      </w:r>
      <w:r w:rsidR="003514D4">
        <w:t xml:space="preserve"> as it can only demonstrate how juries operate in controlled environments, not real-life situations. </w:t>
      </w:r>
      <w:r w:rsidR="008E63AF">
        <w:t>Some of the instrumental factors surrounding th</w:t>
      </w:r>
      <w:r w:rsidR="00EC4412">
        <w:t xml:space="preserve">e issue of jury effectiveness </w:t>
      </w:r>
      <w:r w:rsidR="008E63AF">
        <w:t>such as</w:t>
      </w:r>
      <w:r w:rsidR="00EC4412">
        <w:t xml:space="preserve"> </w:t>
      </w:r>
      <w:r w:rsidR="00EC4412" w:rsidRPr="0007222A">
        <w:t>jury size,</w:t>
      </w:r>
      <w:r w:rsidR="00904076">
        <w:t xml:space="preserve"> severity of the crime,</w:t>
      </w:r>
      <w:r w:rsidR="007109FE" w:rsidRPr="0007222A">
        <w:t xml:space="preserve"> psychological stress,</w:t>
      </w:r>
      <w:r w:rsidR="008E63AF" w:rsidRPr="0007222A">
        <w:t xml:space="preserve"> gender, race, ethnicity,</w:t>
      </w:r>
      <w:r w:rsidR="00904076">
        <w:t xml:space="preserve"> group pressures, interpersonal and social influences on jury decision making will also be considered.</w:t>
      </w:r>
    </w:p>
    <w:p w14:paraId="3AF1C35D" w14:textId="77777777" w:rsidR="002F1674" w:rsidRDefault="002F1674" w:rsidP="002C6138">
      <w:pPr>
        <w:spacing w:line="360" w:lineRule="auto"/>
      </w:pPr>
    </w:p>
    <w:p w14:paraId="51429A99" w14:textId="3C768FD4" w:rsidR="00FC30A0" w:rsidRDefault="00406F1F" w:rsidP="00FC30A0">
      <w:pPr>
        <w:spacing w:line="360" w:lineRule="auto"/>
      </w:pPr>
      <w:r>
        <w:t xml:space="preserve">In </w:t>
      </w:r>
      <w:r w:rsidR="00812C6C">
        <w:t>England and Wales</w:t>
      </w:r>
      <w:r>
        <w:t xml:space="preserve"> juries are comprised of </w:t>
      </w:r>
      <w:r w:rsidR="008E67E6">
        <w:t>twelve</w:t>
      </w:r>
      <w:r>
        <w:t xml:space="preserve"> individuals </w:t>
      </w:r>
      <w:r w:rsidR="00812C6C">
        <w:t xml:space="preserve">(fifteen in Scotland) </w:t>
      </w:r>
      <w:r>
        <w:t>selected at random, designed to show impartiality and a fair representation of society</w:t>
      </w:r>
      <w:r w:rsidR="00381242">
        <w:t xml:space="preserve"> (Chalmers et al., 2021)</w:t>
      </w:r>
      <w:r>
        <w:t xml:space="preserve">. </w:t>
      </w:r>
      <w:r w:rsidR="008E67E6">
        <w:t xml:space="preserve">In America a slightly larger jury of fifteen members are </w:t>
      </w:r>
      <w:r w:rsidR="00E501CF">
        <w:t>selected according to certain requirements</w:t>
      </w:r>
      <w:r w:rsidR="000A7FA8">
        <w:t>,</w:t>
      </w:r>
      <w:r w:rsidR="00DD2C0B">
        <w:t xml:space="preserve"> </w:t>
      </w:r>
      <w:r w:rsidR="00E501CF">
        <w:t>which</w:t>
      </w:r>
      <w:r w:rsidR="000A7FA8">
        <w:t xml:space="preserve"> often leads to underrepresentation of ethnic and cultural minorities in many states</w:t>
      </w:r>
      <w:r w:rsidR="00E501CF">
        <w:t xml:space="preserve"> (Diamond &amp; Rose, 2018). </w:t>
      </w:r>
      <w:r w:rsidR="00FC30A0">
        <w:t>E</w:t>
      </w:r>
      <w:r w:rsidR="006822AA">
        <w:t>mpirical e</w:t>
      </w:r>
      <w:r w:rsidR="00FC30A0">
        <w:t xml:space="preserve">vidence from </w:t>
      </w:r>
      <w:r w:rsidR="006822AA">
        <w:t>psychologists and social scientists</w:t>
      </w:r>
      <w:r w:rsidR="00FC30A0" w:rsidRPr="00104740">
        <w:rPr>
          <w:color w:val="FF0000"/>
        </w:rPr>
        <w:t xml:space="preserve"> </w:t>
      </w:r>
      <w:r w:rsidR="006822AA">
        <w:t>have found</w:t>
      </w:r>
      <w:r w:rsidR="00FC30A0">
        <w:t xml:space="preserve"> juries</w:t>
      </w:r>
      <w:r w:rsidR="006822AA">
        <w:t xml:space="preserve"> of twelve most effective</w:t>
      </w:r>
      <w:r w:rsidR="000C1D48">
        <w:t xml:space="preserve"> for </w:t>
      </w:r>
      <w:r w:rsidR="006822AA">
        <w:t xml:space="preserve">eliminating bias and ensuring reliability and consistency. </w:t>
      </w:r>
      <w:r w:rsidR="006822AA" w:rsidRPr="00BA0ABB">
        <w:t xml:space="preserve">Cummins </w:t>
      </w:r>
      <w:r w:rsidR="006822AA">
        <w:t xml:space="preserve">(2021) found smaller juries were more agreeable, </w:t>
      </w:r>
      <w:r w:rsidR="000A7FA8">
        <w:t>but</w:t>
      </w:r>
      <w:r w:rsidR="006822AA">
        <w:t xml:space="preserve"> larger juries</w:t>
      </w:r>
      <w:r w:rsidR="000A7FA8">
        <w:t xml:space="preserve"> actively</w:t>
      </w:r>
      <w:r w:rsidR="006822AA">
        <w:t xml:space="preserve"> engaged in more </w:t>
      </w:r>
      <w:r w:rsidR="000C1D48">
        <w:t xml:space="preserve">detailed </w:t>
      </w:r>
      <w:r w:rsidR="006822AA">
        <w:t xml:space="preserve">discussion and could recall and debate evidence more accurately. With regard to deliberation time, smaller juries were not found to reach a decision any quicker than larger juries and often this process took longer with a smaller jury. </w:t>
      </w:r>
      <w:r w:rsidR="009A36F3">
        <w:t>Bornstein et al. (2017)</w:t>
      </w:r>
      <w:r w:rsidR="006822AA">
        <w:t xml:space="preserve"> suggest smaller juries may be more suitable for less serious offences and larger juries </w:t>
      </w:r>
      <w:r w:rsidR="005C4BB9">
        <w:t xml:space="preserve">appropriate for deliberation on more </w:t>
      </w:r>
      <w:r w:rsidR="000943FA">
        <w:t>high-profile</w:t>
      </w:r>
      <w:r w:rsidR="005C4BB9">
        <w:t xml:space="preserve"> cases and serious offences. </w:t>
      </w:r>
      <w:r w:rsidR="000A7FA8">
        <w:t>This is common practice in</w:t>
      </w:r>
      <w:r w:rsidR="000C1D48">
        <w:t xml:space="preserve"> such Asian countries as</w:t>
      </w:r>
      <w:r w:rsidR="000A7FA8">
        <w:t xml:space="preserve"> Korea where the size of the jury is </w:t>
      </w:r>
      <w:r w:rsidR="00C7201E">
        <w:t>dependent</w:t>
      </w:r>
      <w:r w:rsidR="000A7FA8">
        <w:t xml:space="preserve"> on the severity of the case</w:t>
      </w:r>
      <w:r w:rsidR="008E4168">
        <w:t>, varying between five and nine individuals</w:t>
      </w:r>
      <w:r w:rsidR="000A7FA8">
        <w:t>.</w:t>
      </w:r>
      <w:r w:rsidR="00C7201E">
        <w:t xml:space="preserve"> </w:t>
      </w:r>
      <w:r w:rsidR="00DC62D2">
        <w:lastRenderedPageBreak/>
        <w:t>Unlike the UK, j</w:t>
      </w:r>
      <w:r w:rsidR="000A7FA8">
        <w:t>urors are permitted to take notes and ask questions</w:t>
      </w:r>
      <w:r w:rsidR="008E4168">
        <w:t xml:space="preserve"> to aid deliberation and in cases where a unanimous decision </w:t>
      </w:r>
      <w:r w:rsidR="00DC62D2">
        <w:t xml:space="preserve">cannot be </w:t>
      </w:r>
      <w:r w:rsidR="008E4168">
        <w:t xml:space="preserve">met, discussion with the judge on an advisory basis can occur </w:t>
      </w:r>
      <w:r w:rsidR="00DC62D2">
        <w:t>with</w:t>
      </w:r>
      <w:r w:rsidR="008E4168">
        <w:t xml:space="preserve"> many </w:t>
      </w:r>
      <w:r w:rsidR="00DC62D2">
        <w:t xml:space="preserve">judges </w:t>
      </w:r>
      <w:r w:rsidR="008E4168">
        <w:t>report</w:t>
      </w:r>
      <w:r w:rsidR="00DC62D2">
        <w:t>ing</w:t>
      </w:r>
      <w:r w:rsidR="008E4168">
        <w:t xml:space="preserve"> they prefer this method </w:t>
      </w:r>
      <w:r w:rsidR="00DC62D2">
        <w:t xml:space="preserve">to aid sentencing </w:t>
      </w:r>
      <w:r w:rsidR="008E4168">
        <w:t>(Jae-Hyup &amp; Jisuk, 2019).</w:t>
      </w:r>
    </w:p>
    <w:p w14:paraId="1448A3DF" w14:textId="77777777" w:rsidR="00975033" w:rsidRDefault="00975033" w:rsidP="00FC30A0">
      <w:pPr>
        <w:spacing w:line="360" w:lineRule="auto"/>
      </w:pPr>
    </w:p>
    <w:p w14:paraId="725B0E7B" w14:textId="48A63114" w:rsidR="00C75466" w:rsidRDefault="000C1D48" w:rsidP="000C1D48">
      <w:pPr>
        <w:spacing w:line="360" w:lineRule="auto"/>
      </w:pPr>
      <w:r>
        <w:t>I</w:t>
      </w:r>
      <w:r w:rsidR="00DC62D2">
        <w:t>n the UK, j</w:t>
      </w:r>
      <w:r w:rsidR="00406F1F">
        <w:t>ury members are given little or no guidance prior to commencing the case aside from a summary of the charges against the defendant</w:t>
      </w:r>
      <w:r w:rsidR="00DC62D2">
        <w:t xml:space="preserve"> and they are prohibited to take notes or ask questions</w:t>
      </w:r>
      <w:r w:rsidR="00975033">
        <w:t>. This presents a challenge as</w:t>
      </w:r>
      <w:r w:rsidR="00DC62D2">
        <w:t xml:space="preserve"> the general majority of jury members are not educated in legal etiquette, protocol and terminology</w:t>
      </w:r>
      <w:r w:rsidR="00975033">
        <w:t xml:space="preserve"> (Crighton &amp; Towl, 2021)</w:t>
      </w:r>
      <w:r w:rsidR="00DC62D2">
        <w:t>.</w:t>
      </w:r>
      <w:r w:rsidR="00104DD8">
        <w:t xml:space="preserve"> In Australia and New Zealand judges and legal policy makers now acknowledge many jury members have difficulty understanding legal instructions presented to them throughout the trial</w:t>
      </w:r>
      <w:r w:rsidR="00C56D14">
        <w:t xml:space="preserve"> </w:t>
      </w:r>
      <w:r w:rsidR="00104DD8">
        <w:t>(Clough et al., 2019</w:t>
      </w:r>
      <w:r w:rsidR="00C56D14">
        <w:t>, as cited in Croucher &amp; Hon, 2022</w:t>
      </w:r>
      <w:r w:rsidR="00104DD8">
        <w:t xml:space="preserve">). </w:t>
      </w:r>
      <w:r w:rsidR="006F139F">
        <w:t xml:space="preserve">According to </w:t>
      </w:r>
      <w:r w:rsidR="002F1674">
        <w:t>Lonergan et al</w:t>
      </w:r>
      <w:r w:rsidR="004C5083">
        <w:t>. (2016)</w:t>
      </w:r>
      <w:r w:rsidR="002F1674">
        <w:t xml:space="preserve"> </w:t>
      </w:r>
      <w:r w:rsidR="006F139F">
        <w:t>h</w:t>
      </w:r>
      <w:r w:rsidR="00406F1F">
        <w:t xml:space="preserve">erein lies the problem, </w:t>
      </w:r>
      <w:r w:rsidR="004C5083">
        <w:t xml:space="preserve">not being properly briefed beforehand, particularly </w:t>
      </w:r>
      <w:r w:rsidR="00DC62D2">
        <w:t>in cases of</w:t>
      </w:r>
      <w:r w:rsidR="004C5083">
        <w:t xml:space="preserve"> violent or serious crimes</w:t>
      </w:r>
      <w:r w:rsidR="00DC62D2">
        <w:t xml:space="preserve"> can</w:t>
      </w:r>
      <w:r w:rsidR="004C5083">
        <w:t xml:space="preserve"> leave many jurors psychologically vulnerable and negatively impacted. Lonergan et al. (2016) conducted a </w:t>
      </w:r>
      <w:r w:rsidR="002F6F01">
        <w:t>review of</w:t>
      </w:r>
      <w:r w:rsidR="004C5083">
        <w:t xml:space="preserve"> eighteen </w:t>
      </w:r>
      <w:r w:rsidR="002F6F01">
        <w:t xml:space="preserve">studies examining levels of psychological stress post jury duty and found in 50% of cases jurors where at an increased risk of and consequentially did experience </w:t>
      </w:r>
      <w:r w:rsidR="00083B61">
        <w:t>psychological distress</w:t>
      </w:r>
      <w:r w:rsidR="00FD58AD">
        <w:t xml:space="preserve">, </w:t>
      </w:r>
      <w:r w:rsidR="00083B61">
        <w:t xml:space="preserve">which for </w:t>
      </w:r>
      <w:r w:rsidR="00FD58AD">
        <w:t xml:space="preserve">some </w:t>
      </w:r>
      <w:r w:rsidR="00083B61">
        <w:t xml:space="preserve">later manifested into post-traumatic stress disorders lasting </w:t>
      </w:r>
      <w:r w:rsidR="00FD58AD">
        <w:t>for many months after the trial</w:t>
      </w:r>
      <w:r w:rsidR="002F6F01">
        <w:t xml:space="preserve">. Factors which made this more common included </w:t>
      </w:r>
      <w:r w:rsidR="00FB093E">
        <w:t xml:space="preserve">lengthy deliberations, </w:t>
      </w:r>
      <w:r w:rsidR="002F6F01">
        <w:t>prolonged exposure to hearing graphic and disturbing evidence, previous history of trauma,</w:t>
      </w:r>
      <w:r w:rsidR="00FB093E">
        <w:t xml:space="preserve"> previous history of anxiety an</w:t>
      </w:r>
      <w:r w:rsidR="00904076">
        <w:t>d or</w:t>
      </w:r>
      <w:r w:rsidR="00FB093E">
        <w:t xml:space="preserve"> depression,</w:t>
      </w:r>
      <w:r w:rsidR="002F6F01">
        <w:t xml:space="preserve"> feelings of isolation and</w:t>
      </w:r>
      <w:r w:rsidR="00FB093E">
        <w:t xml:space="preserve"> loneliness in being</w:t>
      </w:r>
      <w:r w:rsidR="002F6F01">
        <w:t xml:space="preserve"> unable to talk about the case to family</w:t>
      </w:r>
      <w:r w:rsidR="008E67E6">
        <w:t xml:space="preserve"> and </w:t>
      </w:r>
      <w:r w:rsidR="002F6F01">
        <w:t>friends</w:t>
      </w:r>
      <w:r w:rsidR="00FB093E">
        <w:t xml:space="preserve"> as well as </w:t>
      </w:r>
      <w:r w:rsidR="002F6F01">
        <w:t>feelings of guilt and</w:t>
      </w:r>
      <w:r w:rsidR="00FD58AD">
        <w:t xml:space="preserve"> the</w:t>
      </w:r>
      <w:r w:rsidR="002F6F01">
        <w:t xml:space="preserve"> fear of wrongly accusing the defendant</w:t>
      </w:r>
      <w:r w:rsidR="00FB093E">
        <w:t xml:space="preserve"> and the consequences that might have.</w:t>
      </w:r>
      <w:r w:rsidR="00914658">
        <w:t xml:space="preserve"> </w:t>
      </w:r>
      <w:r w:rsidR="00FD58AD">
        <w:t xml:space="preserve">This </w:t>
      </w:r>
      <w:r w:rsidR="00DC62D2">
        <w:t>was</w:t>
      </w:r>
      <w:r w:rsidR="008E67E6">
        <w:t xml:space="preserve"> </w:t>
      </w:r>
      <w:r w:rsidR="00FD58AD">
        <w:t xml:space="preserve">particularly true in </w:t>
      </w:r>
      <w:r w:rsidR="008E67E6">
        <w:t>countries</w:t>
      </w:r>
      <w:r w:rsidR="006631A3">
        <w:t xml:space="preserve"> where</w:t>
      </w:r>
      <w:r w:rsidR="00FD58AD">
        <w:t xml:space="preserve"> the death penalty</w:t>
      </w:r>
      <w:r w:rsidR="006631A3">
        <w:t xml:space="preserve"> remains</w:t>
      </w:r>
      <w:r w:rsidR="00FD58AD">
        <w:t xml:space="preserve"> as part of sentencing. </w:t>
      </w:r>
      <w:r w:rsidR="00904076">
        <w:t>B</w:t>
      </w:r>
      <w:r w:rsidR="006631A3">
        <w:t xml:space="preserve">oth UK and US </w:t>
      </w:r>
      <w:r w:rsidR="00FB093E">
        <w:t>females</w:t>
      </w:r>
      <w:r w:rsidR="00914658">
        <w:t xml:space="preserve"> were</w:t>
      </w:r>
      <w:r w:rsidR="00FB093E">
        <w:t xml:space="preserve"> reported to be </w:t>
      </w:r>
      <w:r w:rsidR="00914658">
        <w:t xml:space="preserve">significantly </w:t>
      </w:r>
      <w:r w:rsidR="00FB093E">
        <w:t xml:space="preserve">more negatively impacted </w:t>
      </w:r>
      <w:r w:rsidR="00914658">
        <w:t xml:space="preserve">when compared to male jurors. </w:t>
      </w:r>
      <w:r w:rsidR="000F0A7F">
        <w:t>Robertson et al. (2009) recognises adequate emotional support</w:t>
      </w:r>
      <w:r w:rsidR="00F20F16">
        <w:t xml:space="preserve">, counselling and </w:t>
      </w:r>
      <w:r w:rsidR="000F0A7F">
        <w:t>debriefing is needed</w:t>
      </w:r>
      <w:r w:rsidR="00F20F16">
        <w:t xml:space="preserve"> </w:t>
      </w:r>
      <w:r w:rsidR="00C7201E">
        <w:t>post-trial</w:t>
      </w:r>
      <w:r w:rsidR="000F0A7F">
        <w:t xml:space="preserve"> </w:t>
      </w:r>
      <w:r w:rsidR="00F24FEF">
        <w:t xml:space="preserve">for both genders </w:t>
      </w:r>
      <w:r w:rsidR="000F0A7F">
        <w:t xml:space="preserve">to reduce the risk of psychopathology for jury members, </w:t>
      </w:r>
      <w:r w:rsidR="006631A3">
        <w:t>this</w:t>
      </w:r>
      <w:r w:rsidR="00F24FEF">
        <w:t xml:space="preserve"> again</w:t>
      </w:r>
      <w:r w:rsidR="006631A3">
        <w:t xml:space="preserve"> is seemingly the case for US juries more so than in the UK. Additionally, </w:t>
      </w:r>
      <w:r w:rsidR="00F20F16">
        <w:t>post-traumatic</w:t>
      </w:r>
      <w:r w:rsidR="006631A3">
        <w:t xml:space="preserve"> stress responses are more prevalent in crimes committed against another individual, rather than non-human offences such as arson, fraud and vandalism for instance. </w:t>
      </w:r>
      <w:r w:rsidR="00200A04">
        <w:t xml:space="preserve">Furthermore, Mathews et al. (2004) reported higher levels of stress and negative implications amongst </w:t>
      </w:r>
      <w:r w:rsidR="008E67E6">
        <w:t xml:space="preserve">younger </w:t>
      </w:r>
      <w:r w:rsidR="00200A04">
        <w:t>jurors in their twenties</w:t>
      </w:r>
      <w:r w:rsidR="007109FE">
        <w:t xml:space="preserve"> and that juror mental health should be taken into consideration during selection</w:t>
      </w:r>
      <w:r w:rsidR="00200A04">
        <w:t xml:space="preserve">. </w:t>
      </w:r>
      <w:r w:rsidR="00F20F16">
        <w:t>However,</w:t>
      </w:r>
      <w:r w:rsidR="00F24FEF">
        <w:t xml:space="preserve"> </w:t>
      </w:r>
      <w:r w:rsidR="00D9762A">
        <w:t>Flores et al. (2009)</w:t>
      </w:r>
      <w:r w:rsidR="00F24FEF">
        <w:t xml:space="preserve"> says that some amount of stress is normal and should be expected when partaking in jury duty as it </w:t>
      </w:r>
      <w:r w:rsidR="00904076">
        <w:t>goes</w:t>
      </w:r>
      <w:r w:rsidR="00F24FEF">
        <w:t xml:space="preserve"> beyond what individuals are required to do in </w:t>
      </w:r>
      <w:r w:rsidR="00353377">
        <w:t>everyday</w:t>
      </w:r>
      <w:r w:rsidR="00F24FEF">
        <w:t xml:space="preserve"> life</w:t>
      </w:r>
      <w:r w:rsidR="00200A04">
        <w:t xml:space="preserve"> and it is this </w:t>
      </w:r>
      <w:r w:rsidR="00F24FEF">
        <w:t>difference from the norm</w:t>
      </w:r>
      <w:r w:rsidR="00200A04">
        <w:t xml:space="preserve"> that</w:t>
      </w:r>
      <w:r w:rsidR="00F24FEF">
        <w:t xml:space="preserve"> makes deliberation and jury decision making</w:t>
      </w:r>
      <w:r w:rsidR="003B02EC">
        <w:t xml:space="preserve"> distinctly</w:t>
      </w:r>
      <w:r w:rsidR="00904076">
        <w:t xml:space="preserve"> unique and</w:t>
      </w:r>
      <w:r w:rsidR="00F24FEF">
        <w:t xml:space="preserve"> </w:t>
      </w:r>
      <w:r w:rsidR="003B02EC">
        <w:t>fundamental</w:t>
      </w:r>
      <w:r w:rsidR="00F24FEF">
        <w:t xml:space="preserve"> to the crown prosecution service.</w:t>
      </w:r>
      <w:r w:rsidR="00200A04">
        <w:t xml:space="preserve"> Nevertheless, this leads to the question of how ethically sound it is to put lay people under </w:t>
      </w:r>
      <w:r w:rsidR="00200A04">
        <w:lastRenderedPageBreak/>
        <w:t>unnecessary psychological stress, potentially clouding their judgment during deliberation and therefore diminish</w:t>
      </w:r>
      <w:r w:rsidR="00104DD8">
        <w:t>ing</w:t>
      </w:r>
      <w:r w:rsidR="00200A04">
        <w:t xml:space="preserve"> the efficacy of a jury (</w:t>
      </w:r>
      <w:r w:rsidR="005D6C2A">
        <w:t>Arendt &amp; Elklit, 2001</w:t>
      </w:r>
      <w:r w:rsidR="00200A04">
        <w:t>).</w:t>
      </w:r>
      <w:r w:rsidR="00F24FEF">
        <w:t xml:space="preserve"> </w:t>
      </w:r>
    </w:p>
    <w:p w14:paraId="7744005E" w14:textId="77777777" w:rsidR="00904076" w:rsidRPr="00CB5E3D" w:rsidRDefault="00904076" w:rsidP="000C1D48">
      <w:pPr>
        <w:spacing w:line="360" w:lineRule="auto"/>
        <w:rPr>
          <w:color w:val="FF0000"/>
        </w:rPr>
      </w:pPr>
    </w:p>
    <w:p w14:paraId="2F64A534" w14:textId="427A8169" w:rsidR="00514D6E" w:rsidRDefault="00E21A4C" w:rsidP="000C1D48">
      <w:pPr>
        <w:spacing w:line="360" w:lineRule="auto"/>
      </w:pPr>
      <w:r>
        <w:t>It is known that j</w:t>
      </w:r>
      <w:r w:rsidR="00D85D9B">
        <w:t>uries will deliberate for longer when unanimous decision is needed</w:t>
      </w:r>
      <w:r>
        <w:t xml:space="preserve"> (</w:t>
      </w:r>
      <w:r w:rsidR="003B403D">
        <w:t>Lonergan et al., 2016</w:t>
      </w:r>
      <w:r>
        <w:t>)</w:t>
      </w:r>
      <w:r w:rsidR="004F44C2">
        <w:t xml:space="preserve">. Therefore, do members of a jury have free will in making their decisions if they feel influenced and pressured into conforming with the majority decision? </w:t>
      </w:r>
      <w:r w:rsidR="0007222A">
        <w:t>Group pressures to conform to reach a majority decision</w:t>
      </w:r>
      <w:r w:rsidR="004F44C2">
        <w:t xml:space="preserve"> affects jury decision, inhibits discussion of factual evidence </w:t>
      </w:r>
      <w:r w:rsidR="004D2572">
        <w:t xml:space="preserve">and </w:t>
      </w:r>
      <w:r w:rsidR="004F44C2">
        <w:t>often leaves jurors feeling unsatisfied, experiencing hindsight bias and psychological stress</w:t>
      </w:r>
      <w:r w:rsidR="00104740">
        <w:t xml:space="preserve"> (Lon</w:t>
      </w:r>
      <w:r w:rsidR="002F1674">
        <w:t>erg</w:t>
      </w:r>
      <w:r w:rsidR="00104740">
        <w:t>an et al., 2016)</w:t>
      </w:r>
      <w:r w:rsidR="004F44C2">
        <w:t>.</w:t>
      </w:r>
      <w:r w:rsidR="00514D6E">
        <w:t xml:space="preserve"> Aschs’ line experiment demonstrated the how social pressures from a majority was influential in making individuals conform,</w:t>
      </w:r>
      <w:r w:rsidR="00904076">
        <w:t xml:space="preserve"> eventually</w:t>
      </w:r>
      <w:r w:rsidR="00514D6E">
        <w:t xml:space="preserve"> accepting the group decision as their own belief (Larsen, 1990).</w:t>
      </w:r>
      <w:r w:rsidR="00C5208D">
        <w:t xml:space="preserve"> Individuals are said to conform in order to create affiliation to a group, occurring out of fear of rejection or humiliation or simply because they feel they have no other choice but to conform. In the jury environment and not forgetting that the majority of forepersons are male, men have greater influence over group decision than women resulting in female jurors more likely to conform to group pressures (Carli, 2001).  </w:t>
      </w:r>
    </w:p>
    <w:p w14:paraId="04AC0F11" w14:textId="77777777" w:rsidR="0007222A" w:rsidRDefault="0007222A" w:rsidP="000C1D48">
      <w:pPr>
        <w:spacing w:line="360" w:lineRule="auto"/>
      </w:pPr>
    </w:p>
    <w:p w14:paraId="3D3AF5BD" w14:textId="4FF2E772" w:rsidR="003B403D" w:rsidRDefault="00904076" w:rsidP="00500AED">
      <w:pPr>
        <w:spacing w:line="360" w:lineRule="auto"/>
      </w:pPr>
      <w:r>
        <w:t>That being said, j</w:t>
      </w:r>
      <w:r w:rsidR="00FF443A">
        <w:t>uries are more</w:t>
      </w:r>
      <w:r w:rsidR="00650DA7">
        <w:t xml:space="preserve"> likely to meet a majority verdict in cases where expert witnesses have</w:t>
      </w:r>
      <w:r w:rsidR="003B403D">
        <w:t xml:space="preserve"> been utilised and</w:t>
      </w:r>
      <w:r w:rsidR="00650DA7">
        <w:t xml:space="preserve"> given evidence. </w:t>
      </w:r>
      <w:r w:rsidR="00EC3595" w:rsidRPr="00EC3595">
        <w:t xml:space="preserve">Ivkovic </w:t>
      </w:r>
      <w:r w:rsidR="0090157E">
        <w:t>and H</w:t>
      </w:r>
      <w:r w:rsidR="00EC3595" w:rsidRPr="00EC3595">
        <w:t>ans</w:t>
      </w:r>
      <w:r w:rsidR="00D950E5" w:rsidRPr="00EC3595">
        <w:t xml:space="preserve"> </w:t>
      </w:r>
      <w:r w:rsidR="00D950E5">
        <w:t>(200</w:t>
      </w:r>
      <w:r w:rsidR="00EC3595">
        <w:t>3</w:t>
      </w:r>
      <w:r w:rsidR="00D950E5">
        <w:t>) advocates expert witnesses</w:t>
      </w:r>
      <w:r w:rsidR="003B403D">
        <w:t xml:space="preserve"> in court</w:t>
      </w:r>
      <w:r w:rsidR="00D950E5">
        <w:t xml:space="preserve"> as they help to </w:t>
      </w:r>
      <w:r>
        <w:t xml:space="preserve">improve the delivery and presentation of evidence, </w:t>
      </w:r>
      <w:r w:rsidR="00D950E5">
        <w:t xml:space="preserve">eliminate bias and result in more active jury deliberation. However, </w:t>
      </w:r>
      <w:r w:rsidR="00FF443A">
        <w:t xml:space="preserve">Haack (2015) challenges the fairness of expert witnesses in US courts, </w:t>
      </w:r>
      <w:r w:rsidR="00D950E5">
        <w:t>depending on</w:t>
      </w:r>
      <w:r w:rsidR="00FF443A">
        <w:t xml:space="preserve"> who has selected them may </w:t>
      </w:r>
      <w:r w:rsidR="00D950E5">
        <w:t>lead to them giving</w:t>
      </w:r>
      <w:r w:rsidR="00FF443A">
        <w:t xml:space="preserve"> evidence more favourably towards one side more than the other. </w:t>
      </w:r>
      <w:r w:rsidR="00D950E5">
        <w:t xml:space="preserve">Additionally, empirical evidence by </w:t>
      </w:r>
      <w:r w:rsidR="00D950E5" w:rsidRPr="00EC3595">
        <w:t xml:space="preserve">Jones </w:t>
      </w:r>
      <w:r w:rsidR="00D950E5">
        <w:t xml:space="preserve">et al. (2023) found juries were influenced by appearance and body language of the expert witness more so than the factual information. This was especially true with female expert witnesses, </w:t>
      </w:r>
      <w:r w:rsidR="00EC3595">
        <w:t xml:space="preserve">who were deemed </w:t>
      </w:r>
      <w:r w:rsidR="00D950E5">
        <w:t xml:space="preserve">more professional and competent when </w:t>
      </w:r>
      <w:r w:rsidR="00EC3595">
        <w:t xml:space="preserve">conforming with typical gender stereotypes, for instance wearing a skirt rather than trousers and </w:t>
      </w:r>
      <w:r w:rsidR="004D2572">
        <w:t>suitable</w:t>
      </w:r>
      <w:r w:rsidR="00EC3595">
        <w:t xml:space="preserve"> makeup. </w:t>
      </w:r>
      <w:r w:rsidR="00DD07C4">
        <w:t>Looking at gender differences further, evidence from mock juries found jurors were less likely to find somebody guilty if they deemed them to be similar to them by way of gender</w:t>
      </w:r>
      <w:r w:rsidR="00C75466">
        <w:t>, race and ethnicity</w:t>
      </w:r>
      <w:r w:rsidR="00DD07C4">
        <w:t xml:space="preserve"> (Crighton &amp; Towl, 2021). </w:t>
      </w:r>
      <w:r w:rsidR="00500AED" w:rsidRPr="00500AED">
        <w:t xml:space="preserve">Crighton and Towl (2021) states research from scientific selection considers females as more sympathetic, fair and consistent, qualities which they consider make the best type of juror. </w:t>
      </w:r>
      <w:r w:rsidR="001850DC">
        <w:t>There is evidence to suggest female jurors demonstrate greater empathy to</w:t>
      </w:r>
      <w:r w:rsidR="00756804">
        <w:t xml:space="preserve">wards </w:t>
      </w:r>
      <w:r w:rsidR="001850DC">
        <w:t>female victims as demonstrated</w:t>
      </w:r>
      <w:r w:rsidR="0090157E">
        <w:t xml:space="preserve"> by </w:t>
      </w:r>
      <w:r w:rsidR="0090157E" w:rsidRPr="00173B52">
        <w:t xml:space="preserve">Elkins and Phillips </w:t>
      </w:r>
      <w:r w:rsidR="0090157E">
        <w:t>(1999) who</w:t>
      </w:r>
      <w:r w:rsidR="001850DC">
        <w:t xml:space="preserve"> conducted twelve s</w:t>
      </w:r>
      <w:r w:rsidR="00AF5095">
        <w:t xml:space="preserve">exual discrimination scenarios in the workplace and found of the 357 participants (171 female and 186 male) female jurors were more supportive of the victims </w:t>
      </w:r>
      <w:r w:rsidR="00AF5095">
        <w:lastRenderedPageBreak/>
        <w:t xml:space="preserve">when they were female when compared to male victims. </w:t>
      </w:r>
      <w:r w:rsidR="00E7699A">
        <w:t xml:space="preserve">Further work by </w:t>
      </w:r>
      <w:r w:rsidR="00E7699A" w:rsidRPr="00173B52">
        <w:t xml:space="preserve">Elkins et al. </w:t>
      </w:r>
      <w:r w:rsidR="00E7699A">
        <w:t xml:space="preserve">(2001) in a mock jury case of occupational discrimination comprised of 120 mixed race participants found </w:t>
      </w:r>
      <w:r w:rsidR="003B403D">
        <w:t xml:space="preserve">that while </w:t>
      </w:r>
      <w:r w:rsidR="00E7699A">
        <w:t>female jurors</w:t>
      </w:r>
      <w:r w:rsidR="00756804">
        <w:t xml:space="preserve"> did not discriminate towards male </w:t>
      </w:r>
      <w:r w:rsidR="007F2519">
        <w:t>victims</w:t>
      </w:r>
      <w:r w:rsidR="003B403D">
        <w:t xml:space="preserve">, they </w:t>
      </w:r>
      <w:r w:rsidR="00756804">
        <w:t>were indeed</w:t>
      </w:r>
      <w:r w:rsidR="00E7699A">
        <w:t xml:space="preserve"> more </w:t>
      </w:r>
      <w:r w:rsidR="00756804">
        <w:t>empathetic to female victims</w:t>
      </w:r>
      <w:r w:rsidR="007F2519">
        <w:t xml:space="preserve"> considering them less responsible for what had happened</w:t>
      </w:r>
      <w:r w:rsidR="003B403D">
        <w:t xml:space="preserve"> to them</w:t>
      </w:r>
      <w:r w:rsidR="00756804">
        <w:t>. Interestingly, this study found that the same was not true in instances of male jurors favouring male victims</w:t>
      </w:r>
      <w:r w:rsidR="007F2519">
        <w:t xml:space="preserve"> in the same way</w:t>
      </w:r>
      <w:r w:rsidR="00756804">
        <w:t>, demonstrating gender similarity bias prevalent with female jurors</w:t>
      </w:r>
      <w:r w:rsidR="007F2519">
        <w:t xml:space="preserve"> only</w:t>
      </w:r>
      <w:r w:rsidR="00756804">
        <w:t xml:space="preserve">. </w:t>
      </w:r>
      <w:r w:rsidR="00500AED">
        <w:t>This challenges Crighton and Towls</w:t>
      </w:r>
      <w:r w:rsidR="003B403D">
        <w:t>’</w:t>
      </w:r>
      <w:r w:rsidR="00500AED">
        <w:t xml:space="preserve"> theory of females being fairer</w:t>
      </w:r>
      <w:r w:rsidR="00500AED" w:rsidRPr="00500AED">
        <w:t xml:space="preserve">, </w:t>
      </w:r>
      <w:r w:rsidR="00500AED">
        <w:t xml:space="preserve">posing the question </w:t>
      </w:r>
      <w:r w:rsidR="00500AED" w:rsidRPr="00500AED">
        <w:t>can this be true in cases where gender bias does exist, particularly in rape, sexual offence and child abuse cases which significantly impact</w:t>
      </w:r>
      <w:r w:rsidR="003B403D">
        <w:t>s</w:t>
      </w:r>
      <w:r w:rsidR="00500AED" w:rsidRPr="00500AED">
        <w:t xml:space="preserve"> female jurors’ decision making?</w:t>
      </w:r>
      <w:r w:rsidR="00500AED">
        <w:t xml:space="preserve"> </w:t>
      </w:r>
    </w:p>
    <w:p w14:paraId="1EE86A40" w14:textId="77777777" w:rsidR="00263E53" w:rsidRDefault="00263E53" w:rsidP="00500AED">
      <w:pPr>
        <w:spacing w:line="360" w:lineRule="auto"/>
      </w:pPr>
    </w:p>
    <w:p w14:paraId="56F1DD85" w14:textId="4B2616A7" w:rsidR="00FA7F3A" w:rsidRDefault="00FA7F3A" w:rsidP="00500AED">
      <w:pPr>
        <w:spacing w:line="360" w:lineRule="auto"/>
      </w:pPr>
      <w:r>
        <w:t xml:space="preserve">Furthermore, </w:t>
      </w:r>
      <w:r w:rsidR="00263E53" w:rsidRPr="00812C6C">
        <w:t xml:space="preserve">Winters </w:t>
      </w:r>
      <w:r w:rsidR="00263E53">
        <w:t>et al. (2022)</w:t>
      </w:r>
      <w:r>
        <w:t xml:space="preserve"> </w:t>
      </w:r>
      <w:r w:rsidR="00263E53">
        <w:t xml:space="preserve">explored gender bias and </w:t>
      </w:r>
      <w:r w:rsidR="00840E7F">
        <w:t>a</w:t>
      </w:r>
      <w:r w:rsidR="00263E53">
        <w:t xml:space="preserve">ttractive </w:t>
      </w:r>
      <w:r w:rsidR="00840E7F">
        <w:t>l</w:t>
      </w:r>
      <w:r w:rsidR="00263E53">
        <w:t xml:space="preserve">eniency </w:t>
      </w:r>
      <w:r w:rsidR="00840E7F">
        <w:t>b</w:t>
      </w:r>
      <w:r w:rsidR="00263E53">
        <w:t>ias theory to explain</w:t>
      </w:r>
      <w:r w:rsidR="00840E7F">
        <w:t xml:space="preserve"> how level of attractiveness affects judgement. Attractiveness is associated with being happier, more sociable and outgoing </w:t>
      </w:r>
      <w:r w:rsidR="00C75466">
        <w:t>with</w:t>
      </w:r>
      <w:r w:rsidR="00840E7F">
        <w:t xml:space="preserve"> physically attractive defendants</w:t>
      </w:r>
      <w:r w:rsidR="00C75466">
        <w:t xml:space="preserve"> being</w:t>
      </w:r>
      <w:r w:rsidR="00840E7F">
        <w:t xml:space="preserve"> treated more leniently </w:t>
      </w:r>
      <w:r w:rsidR="00904076">
        <w:t xml:space="preserve">and </w:t>
      </w:r>
      <w:r w:rsidR="00840E7F">
        <w:t>given lesser sentences</w:t>
      </w:r>
      <w:r w:rsidR="00A10BD8">
        <w:t xml:space="preserve"> in the legal system</w:t>
      </w:r>
      <w:r w:rsidR="00840E7F">
        <w:t>. Mock and real-life juries found a causative relationship between the acquittal of attractive perpetrators and conviction of unattractive individuals, this is especially true in rape and sexual assault cases. However, there are some inconsistencies in the literature with some social psychologists dismissing attractive leniency bias as a working theory</w:t>
      </w:r>
      <w:r w:rsidR="00A10BD8">
        <w:t xml:space="preserve"> as it is not the case in cases of</w:t>
      </w:r>
      <w:r w:rsidR="00904076">
        <w:t xml:space="preserve"> crimes involving</w:t>
      </w:r>
      <w:r w:rsidR="00A10BD8">
        <w:t xml:space="preserve"> fraudulent activity and deception where</w:t>
      </w:r>
      <w:r w:rsidR="00C75466">
        <w:t xml:space="preserve"> </w:t>
      </w:r>
      <w:r w:rsidR="00904076">
        <w:t xml:space="preserve">the </w:t>
      </w:r>
      <w:r w:rsidR="00A10BD8">
        <w:t xml:space="preserve">perceived attractiveness </w:t>
      </w:r>
      <w:r w:rsidR="00C75466">
        <w:t xml:space="preserve">of the defendant </w:t>
      </w:r>
      <w:r w:rsidR="00A10BD8">
        <w:t>did not affect jury verdict (</w:t>
      </w:r>
      <w:r w:rsidR="00A10BD8" w:rsidRPr="00812C6C">
        <w:t>Shechory</w:t>
      </w:r>
      <w:r w:rsidR="00A10BD8">
        <w:t xml:space="preserve">-Britton &amp; Zui, 2015). </w:t>
      </w:r>
    </w:p>
    <w:p w14:paraId="741A6081" w14:textId="77777777" w:rsidR="00904076" w:rsidRDefault="00904076" w:rsidP="00500AED">
      <w:pPr>
        <w:spacing w:line="360" w:lineRule="auto"/>
      </w:pPr>
    </w:p>
    <w:p w14:paraId="592070E7" w14:textId="7C7DB1C6" w:rsidR="00904076" w:rsidRDefault="00904076" w:rsidP="00904076">
      <w:pPr>
        <w:spacing w:line="360" w:lineRule="auto"/>
      </w:pPr>
      <w:r>
        <w:t>With regards to race and ethnicity, ethnic minorities are largely underrepresented on juries both in the UK and the US and therefore it could be questioned whether they are a fair representation of society, as</w:t>
      </w:r>
      <w:r>
        <w:t xml:space="preserve"> primarily</w:t>
      </w:r>
      <w:r>
        <w:t xml:space="preserve"> intended by the notion of a jury (Crighton &amp; Towl, 2021). A meta-analysis of the literature by </w:t>
      </w:r>
      <w:r w:rsidRPr="00FB2291">
        <w:t xml:space="preserve">Mitchell </w:t>
      </w:r>
      <w:r>
        <w:t xml:space="preserve">et al., (2005) explored racial bias and found it is the race of the defendant rather than </w:t>
      </w:r>
      <w:r>
        <w:t xml:space="preserve">the </w:t>
      </w:r>
      <w:r>
        <w:t>race of members of the jury which influences jury decision making and sentencing. Even in circumstances where the majority of the jury was black, a black defendant would receive harsher sentencing outcomes compared to somebody who was white. On average in the UK and the US, black defendants</w:t>
      </w:r>
      <w:r>
        <w:t xml:space="preserve"> </w:t>
      </w:r>
      <w:r>
        <w:t xml:space="preserve">receive longer sentences when trialled for drug related offences, manslaughter and murder and white defendants were given longer for fraud related crimes (Sargent &amp; Bradfield, 2004). Unique to the American criminal justice system, the majority of criminals are black and receive harsher judgements </w:t>
      </w:r>
      <w:r>
        <w:t xml:space="preserve">so are </w:t>
      </w:r>
      <w:r>
        <w:t xml:space="preserve">sentenced to the death penalty disproportionately more than any other race (Ulmer, 2018). However, Williams and Holcomb (2001) remark that while this is </w:t>
      </w:r>
      <w:r>
        <w:lastRenderedPageBreak/>
        <w:t xml:space="preserve">particularly true in some Southern American states, </w:t>
      </w:r>
      <w:r w:rsidR="00E6562B">
        <w:t>they did</w:t>
      </w:r>
      <w:r>
        <w:t xml:space="preserve"> not</w:t>
      </w:r>
      <w:r w:rsidR="00E6562B">
        <w:t xml:space="preserve"> find race</w:t>
      </w:r>
      <w:r>
        <w:t xml:space="preserve"> a significant predictor of sentencing to the death penalty. </w:t>
      </w:r>
    </w:p>
    <w:p w14:paraId="483D2366" w14:textId="77777777" w:rsidR="00041AE9" w:rsidRDefault="00041AE9" w:rsidP="002C6138">
      <w:pPr>
        <w:spacing w:line="360" w:lineRule="auto"/>
      </w:pPr>
    </w:p>
    <w:p w14:paraId="69DD8AEC" w14:textId="4E1A9A01" w:rsidR="00D950E5" w:rsidRDefault="00041AE9" w:rsidP="002C6138">
      <w:pPr>
        <w:spacing w:line="360" w:lineRule="auto"/>
        <w:rPr>
          <w:color w:val="FF0000"/>
        </w:rPr>
      </w:pPr>
      <w:r w:rsidRPr="002C721F">
        <w:t xml:space="preserve">Another issue influential in the role of the jury is </w:t>
      </w:r>
      <w:r w:rsidR="002C721F" w:rsidRPr="002C721F">
        <w:t>attribution theory as it provides</w:t>
      </w:r>
      <w:r w:rsidR="00267B2A" w:rsidRPr="002C721F">
        <w:t xml:space="preserve"> </w:t>
      </w:r>
      <w:r w:rsidR="002C721F" w:rsidRPr="002C721F">
        <w:t>a</w:t>
      </w:r>
      <w:r w:rsidR="002C721F">
        <w:t xml:space="preserve"> cognitive framework for understanding events and rationalising human behaviours (Banerjee et al., 2020). There are two types: internal and external. Internal or dispositional attribution relates to the characteristics of an individual – for instance people might regard have pre-trial attitudes against a male charged with domestic abuse charges towards a partner as guilty because they are a violent and aggressive man, whereas external or situational attribution relates to the characteristics of the circumstances. In the same example of domestic abuse this time by a female to a male partner, the actions of the defendant could be attributed to her acting in self-defence, therefore resulting in a lesser sentence even though the nature of the crime was the same. Sheahan et al., (2017) identifies that because attribution bias does occur and influences jury decision making, the validity of a jury must be brought into question. Fundamentally for a jury to function fairly, the main purpose should be consideration of the facts and the facts alone, without being so heavily influenced by such external factors or pre-trial attitudes. </w:t>
      </w:r>
    </w:p>
    <w:p w14:paraId="5BFB007D" w14:textId="77777777" w:rsidR="008066C7" w:rsidRDefault="008066C7" w:rsidP="002C6138">
      <w:pPr>
        <w:spacing w:line="360" w:lineRule="auto"/>
        <w:rPr>
          <w:color w:val="FF0000"/>
        </w:rPr>
      </w:pPr>
    </w:p>
    <w:p w14:paraId="0B5085CC" w14:textId="6845EF76" w:rsidR="00BB38EF" w:rsidRDefault="000F4E80" w:rsidP="002B664A">
      <w:pPr>
        <w:spacing w:line="360" w:lineRule="auto"/>
      </w:pPr>
      <w:r w:rsidRPr="000F4E80">
        <w:t xml:space="preserve">Lecci and Myers (2009) carried out research into pre-trial attitudes with a mock jury simulation of 183 participants. They were shown a video reconstruction of an armed robbery trial and asked to complete a 29 item Pre-trial Juror Attitudes Questionnaire (PJAQ). They found that the jury deliberation process had little impact on individual guilty verdicts and that jury members would extend their pre-trial bias when a majority vote was needed. Interestingly, for the majority of jurors their initial verdict was the same as their final verdict given. </w:t>
      </w:r>
      <w:r w:rsidR="002C721F">
        <w:t>In cases where</w:t>
      </w:r>
      <w:r w:rsidR="00FF443A">
        <w:t xml:space="preserve"> a majority vote is needed, attention shifts to the personalities</w:t>
      </w:r>
      <w:r>
        <w:t xml:space="preserve"> </w:t>
      </w:r>
      <w:r w:rsidR="00FF443A">
        <w:t>of the jurors rather than the factual evidence presented, demonstrating how individual differences in personalities</w:t>
      </w:r>
      <w:r w:rsidR="002C721F">
        <w:t xml:space="preserve"> can</w:t>
      </w:r>
      <w:r w:rsidR="00FF443A">
        <w:t xml:space="preserve"> play a part in jury dynamics.</w:t>
      </w:r>
      <w:r w:rsidR="002B664A">
        <w:t xml:space="preserve"> One feature commonplace in all juries is the foreperson, a member of the jury selected by other jury members</w:t>
      </w:r>
      <w:r w:rsidR="00C56D14">
        <w:t xml:space="preserve"> to lead deliberations and deliver the final verdict. </w:t>
      </w:r>
      <w:r w:rsidR="000256BE">
        <w:t>Evidence from the Chicago Jury Project (as cited in Devine et al., 2001) claims the foreperson</w:t>
      </w:r>
      <w:r w:rsidR="00E25F2E">
        <w:t xml:space="preserve"> </w:t>
      </w:r>
      <w:r w:rsidR="000256BE">
        <w:t>is</w:t>
      </w:r>
      <w:r w:rsidR="00E25F2E">
        <w:t xml:space="preserve"> often selected on account of being a male who initiates deliberation, seated at the end of the table</w:t>
      </w:r>
      <w:r w:rsidR="000256BE">
        <w:t>,</w:t>
      </w:r>
      <w:r w:rsidR="00E25F2E">
        <w:t xml:space="preserve"> of high socio-economic status</w:t>
      </w:r>
      <w:r w:rsidR="000256BE">
        <w:t xml:space="preserve"> with previous jury experience being preferential</w:t>
      </w:r>
      <w:r w:rsidR="00E25F2E">
        <w:t xml:space="preserve">. </w:t>
      </w:r>
      <w:r w:rsidR="004C3BF3">
        <w:t xml:space="preserve">Playing </w:t>
      </w:r>
      <w:r w:rsidR="002C721F">
        <w:t xml:space="preserve">a </w:t>
      </w:r>
      <w:r w:rsidR="004C3BF3">
        <w:t>key role in deliberations, t</w:t>
      </w:r>
      <w:r w:rsidR="002F3BD9">
        <w:t xml:space="preserve">he foreperson must be able to overcome such challenges as </w:t>
      </w:r>
      <w:r w:rsidR="002C721F">
        <w:t xml:space="preserve">engaging </w:t>
      </w:r>
      <w:r w:rsidR="002F3BD9">
        <w:t xml:space="preserve">individuals who do not participate during deliberations. Evidence by </w:t>
      </w:r>
      <w:r w:rsidR="004F58E3">
        <w:t>Henning</w:t>
      </w:r>
      <w:r w:rsidR="00C125CB">
        <w:t>se</w:t>
      </w:r>
      <w:r w:rsidR="004F58E3">
        <w:t>n et al. (2000)</w:t>
      </w:r>
      <w:r w:rsidR="002F3BD9">
        <w:t xml:space="preserve"> suggests </w:t>
      </w:r>
      <w:r w:rsidR="004F58E3">
        <w:t>that there are some</w:t>
      </w:r>
      <w:r w:rsidR="002F3BD9">
        <w:t xml:space="preserve"> jury members do not contribute to case discussions</w:t>
      </w:r>
      <w:r w:rsidR="004F58E3">
        <w:t xml:space="preserve"> at al</w:t>
      </w:r>
      <w:r w:rsidR="002C721F">
        <w:t>l</w:t>
      </w:r>
      <w:r w:rsidR="004C3BF3">
        <w:t xml:space="preserve">. Known </w:t>
      </w:r>
      <w:r w:rsidR="002C721F">
        <w:t>to be</w:t>
      </w:r>
      <w:r w:rsidR="004C3BF3">
        <w:t xml:space="preserve"> social loafers, in this instance how useful they </w:t>
      </w:r>
      <w:r w:rsidR="004C3BF3">
        <w:lastRenderedPageBreak/>
        <w:t>are to the process of deliberation must be questioned if they are not upholding their duty of actively participatin</w:t>
      </w:r>
      <w:r w:rsidR="002C721F">
        <w:t>g. Ultimately,</w:t>
      </w:r>
      <w:r w:rsidR="004C3BF3">
        <w:t xml:space="preserve"> they have been selected for a purpose which they are not upholding</w:t>
      </w:r>
      <w:r w:rsidR="00BB38EF">
        <w:t>, thus devaluating the efficacy of the jury</w:t>
      </w:r>
      <w:r w:rsidR="004C3BF3" w:rsidRPr="00BB38EF">
        <w:t>.</w:t>
      </w:r>
      <w:r w:rsidR="00BB38EF" w:rsidRPr="00BB38EF">
        <w:t xml:space="preserve"> For example</w:t>
      </w:r>
      <w:r w:rsidR="002B664A" w:rsidRPr="00BB38EF">
        <w:t xml:space="preserve">, data analysis of 302 American juries by Cornwell and Hans (2011) found women participated less overall during deliberation compared to men, this being especially true of women of Asian-American ethnicity. </w:t>
      </w:r>
      <w:r w:rsidR="00BB38EF">
        <w:t>Essentially, according to Tweed and Wilkinson (2019) the foreperson can be highly influential to jury decision making and must possess good communication and interpersonal skills in order to do this successfully</w:t>
      </w:r>
      <w:r w:rsidR="007368A6">
        <w:t xml:space="preserve"> and reach a verdict</w:t>
      </w:r>
      <w:r w:rsidR="00BB38EF">
        <w:t>. In cases where this is not achieved, deliberation is unstructured, unorganised and more likely to result in a hung jury.</w:t>
      </w:r>
    </w:p>
    <w:p w14:paraId="6F76561E" w14:textId="77777777" w:rsidR="001C2378" w:rsidRDefault="001C2378" w:rsidP="002C6138">
      <w:pPr>
        <w:spacing w:line="360" w:lineRule="auto"/>
      </w:pPr>
    </w:p>
    <w:p w14:paraId="4C20A9DA" w14:textId="429CBADC" w:rsidR="001C2378" w:rsidRDefault="001C2378" w:rsidP="002C6138">
      <w:pPr>
        <w:spacing w:line="360" w:lineRule="auto"/>
      </w:pPr>
      <w:r>
        <w:t>In conclusion, juries and</w:t>
      </w:r>
      <w:r w:rsidR="002C721F">
        <w:t xml:space="preserve"> the associated</w:t>
      </w:r>
      <w:r>
        <w:t xml:space="preserve"> influential factors are complex and difficult to measure</w:t>
      </w:r>
      <w:r w:rsidR="00292AEA">
        <w:t>. That being said, consideration needs to be given as to whether juries remain fit for purpose today. One explanation working against this is</w:t>
      </w:r>
      <w:r>
        <w:t xml:space="preserve"> flawed methodologies</w:t>
      </w:r>
      <w:r w:rsidR="00292AEA">
        <w:t xml:space="preserve">, for </w:t>
      </w:r>
      <w:r w:rsidR="008E63AF">
        <w:t>example</w:t>
      </w:r>
      <w:r w:rsidR="00292AEA">
        <w:t>,</w:t>
      </w:r>
      <w:r>
        <w:t xml:space="preserve"> mock and shadow juries highlight jury bias</w:t>
      </w:r>
      <w:r w:rsidR="003514D4">
        <w:t xml:space="preserve"> is present in several domains, such as gender and race influencing sentencing. That the majority of research into mock juries is carried out by psychology students also </w:t>
      </w:r>
      <w:r w:rsidR="0010362C">
        <w:t>enable</w:t>
      </w:r>
      <w:r w:rsidR="003514D4">
        <w:t>s</w:t>
      </w:r>
      <w:r w:rsidR="0010362C">
        <w:t xml:space="preserve"> </w:t>
      </w:r>
      <w:r w:rsidR="00844313">
        <w:t>ecological</w:t>
      </w:r>
      <w:r>
        <w:t xml:space="preserve"> validity</w:t>
      </w:r>
      <w:r w:rsidR="0010362C">
        <w:t xml:space="preserve"> of the research to be questioned</w:t>
      </w:r>
      <w:r w:rsidR="003514D4">
        <w:t>, hinting at some researcher bias</w:t>
      </w:r>
      <w:r>
        <w:t xml:space="preserve">. </w:t>
      </w:r>
      <w:r w:rsidR="002C721F">
        <w:t xml:space="preserve">We must consider here that the majority of students are young and perhaps </w:t>
      </w:r>
      <w:r w:rsidR="003B1562">
        <w:t>naïve when it comes to</w:t>
      </w:r>
      <w:r w:rsidR="002C721F">
        <w:t xml:space="preserve"> real-life experience</w:t>
      </w:r>
      <w:r w:rsidR="003B1562">
        <w:t>s</w:t>
      </w:r>
      <w:r w:rsidR="002C721F">
        <w:t xml:space="preserve">. </w:t>
      </w:r>
      <w:r w:rsidR="003B1562">
        <w:t>Therefore,</w:t>
      </w:r>
      <w:r w:rsidR="002C721F">
        <w:t xml:space="preserve"> is it better to utilise participants from varied backgrounds and ages to increase ecological validity of the current literature in this field. </w:t>
      </w:r>
      <w:r w:rsidR="003514D4">
        <w:t>Whether we consider this methodology to be flawed or not, it is as it stands the only means available to investigate jury deliberation, but still we cannot operate the same observations for real-life juries</w:t>
      </w:r>
      <w:r w:rsidR="00821F27">
        <w:t xml:space="preserve"> which is a major downfall</w:t>
      </w:r>
      <w:r w:rsidR="003514D4">
        <w:t xml:space="preserve">. </w:t>
      </w:r>
      <w:r>
        <w:t xml:space="preserve">The impact of UK judicial system has been compared to the US as well as </w:t>
      </w:r>
      <w:r w:rsidR="0010362C">
        <w:t>other countries</w:t>
      </w:r>
      <w:r>
        <w:t xml:space="preserve"> who </w:t>
      </w:r>
      <w:r w:rsidR="0010362C">
        <w:t>do not</w:t>
      </w:r>
      <w:r>
        <w:t xml:space="preserve"> </w:t>
      </w:r>
      <w:r w:rsidR="00821F27">
        <w:t>employ</w:t>
      </w:r>
      <w:r>
        <w:t xml:space="preserve"> juries </w:t>
      </w:r>
      <w:r w:rsidR="00821F27">
        <w:t>as part of</w:t>
      </w:r>
      <w:r>
        <w:t xml:space="preserve"> their </w:t>
      </w:r>
      <w:r w:rsidR="0010362C">
        <w:t>legal system</w:t>
      </w:r>
      <w:r w:rsidR="00387A84">
        <w:t>. Whilst</w:t>
      </w:r>
      <w:r w:rsidR="0010362C">
        <w:t xml:space="preserve"> this assignment has covered several points of view in attempt to study the effectiveness of juries,</w:t>
      </w:r>
      <w:r w:rsidR="00292AEA">
        <w:t xml:space="preserve"> we can conclude</w:t>
      </w:r>
      <w:r w:rsidR="00821F27">
        <w:t xml:space="preserve"> from the literature</w:t>
      </w:r>
      <w:r w:rsidR="00292AEA">
        <w:t xml:space="preserve"> that</w:t>
      </w:r>
      <w:r w:rsidR="00387A84">
        <w:t xml:space="preserve"> there is no definitive answer</w:t>
      </w:r>
      <w:r w:rsidR="00292AEA">
        <w:t xml:space="preserve"> when asked to consider ‘are juries fair’.</w:t>
      </w:r>
      <w:r w:rsidR="00387A84">
        <w:t xml:space="preserve"> </w:t>
      </w:r>
      <w:r w:rsidR="00292AEA">
        <w:t>However, it can be noted that t</w:t>
      </w:r>
      <w:r w:rsidR="00387A84">
        <w:t xml:space="preserve">he benefits of jury deliberation can </w:t>
      </w:r>
      <w:r w:rsidR="00292AEA">
        <w:t xml:space="preserve">sometimes </w:t>
      </w:r>
      <w:r w:rsidR="00387A84">
        <w:t xml:space="preserve">be more effective in certain </w:t>
      </w:r>
      <w:r w:rsidR="00533B79">
        <w:t xml:space="preserve">circumstances </w:t>
      </w:r>
      <w:r w:rsidR="00292AEA">
        <w:t>depending on the nature and severity of the crime</w:t>
      </w:r>
      <w:r w:rsidR="00533B79">
        <w:t xml:space="preserve"> and sentencing. Modification of modern juries, for instance utilising smaller juries for lesser sentences as demonstrated by </w:t>
      </w:r>
      <w:r w:rsidR="003B1562">
        <w:t xml:space="preserve">the </w:t>
      </w:r>
      <w:r w:rsidR="00533B79">
        <w:t>Korea</w:t>
      </w:r>
      <w:r w:rsidR="003B1562">
        <w:t>n legal system</w:t>
      </w:r>
      <w:r w:rsidR="00533B79">
        <w:t xml:space="preserve"> should also be taken into consideration to streamline judicial process and reduce </w:t>
      </w:r>
      <w:r w:rsidR="002C721F">
        <w:t>legal</w:t>
      </w:r>
      <w:r w:rsidR="00533B79">
        <w:t xml:space="preserve"> costs</w:t>
      </w:r>
      <w:r w:rsidR="00387A84">
        <w:t xml:space="preserve">. </w:t>
      </w:r>
      <w:r w:rsidR="00533B79">
        <w:t>Modernisation</w:t>
      </w:r>
      <w:r w:rsidR="00821F27">
        <w:t xml:space="preserve"> and standardisation</w:t>
      </w:r>
      <w:r w:rsidR="00533B79">
        <w:t xml:space="preserve"> of juries</w:t>
      </w:r>
      <w:r w:rsidR="00821F27">
        <w:t xml:space="preserve">, </w:t>
      </w:r>
      <w:r w:rsidR="00533B79">
        <w:t>offer</w:t>
      </w:r>
      <w:r w:rsidR="00821F27">
        <w:t>ing</w:t>
      </w:r>
      <w:r w:rsidR="00533B79">
        <w:t xml:space="preserve"> support </w:t>
      </w:r>
      <w:r w:rsidR="00821F27">
        <w:t xml:space="preserve">both </w:t>
      </w:r>
      <w:r w:rsidR="00533B79">
        <w:t xml:space="preserve">during </w:t>
      </w:r>
      <w:r w:rsidR="00821F27">
        <w:t xml:space="preserve">and after </w:t>
      </w:r>
      <w:r w:rsidR="00533B79">
        <w:t>the trial a</w:t>
      </w:r>
      <w:r w:rsidR="00821F27">
        <w:t>long with</w:t>
      </w:r>
      <w:r w:rsidR="00533B79">
        <w:t xml:space="preserve"> debriefing should also be considered to reduce</w:t>
      </w:r>
      <w:r w:rsidR="002C721F">
        <w:t xml:space="preserve"> pre-trial</w:t>
      </w:r>
      <w:r w:rsidR="00533B79">
        <w:t xml:space="preserve"> bias a</w:t>
      </w:r>
      <w:r w:rsidR="002C721F">
        <w:t>ll the while</w:t>
      </w:r>
      <w:r w:rsidR="00533B79">
        <w:t xml:space="preserve"> ensur</w:t>
      </w:r>
      <w:r w:rsidR="002C721F">
        <w:t>ing</w:t>
      </w:r>
      <w:r w:rsidR="00533B79">
        <w:t xml:space="preserve"> jurors can u</w:t>
      </w:r>
      <w:r w:rsidR="00C306E8">
        <w:t>p</w:t>
      </w:r>
      <w:r w:rsidR="00533B79">
        <w:t>hold their responsibility to deliberate fairly</w:t>
      </w:r>
      <w:r w:rsidR="00821F27">
        <w:t xml:space="preserve"> whilst reducing any potentially negative outcomes</w:t>
      </w:r>
      <w:r w:rsidR="00533B79">
        <w:t>.</w:t>
      </w:r>
      <w:r w:rsidR="00840EA6">
        <w:t xml:space="preserve"> </w:t>
      </w:r>
      <w:r w:rsidR="002C721F">
        <w:t>Introduc</w:t>
      </w:r>
      <w:r w:rsidR="00840EA6">
        <w:t>ing</w:t>
      </w:r>
      <w:r w:rsidR="002C721F">
        <w:t xml:space="preserve"> new practices</w:t>
      </w:r>
      <w:r w:rsidR="003B1562">
        <w:t>,</w:t>
      </w:r>
      <w:r w:rsidR="002C721F">
        <w:t xml:space="preserve"> allowing</w:t>
      </w:r>
      <w:r w:rsidR="00840EA6">
        <w:t xml:space="preserve"> jurors to ask questions and make notes to refer to during deliberation could also aid decision making and jury efficacy.</w:t>
      </w:r>
      <w:r w:rsidR="00533B79">
        <w:t xml:space="preserve"> </w:t>
      </w:r>
      <w:r w:rsidR="00844313">
        <w:t>As yet</w:t>
      </w:r>
      <w:r w:rsidR="00292AEA">
        <w:t>,</w:t>
      </w:r>
      <w:r w:rsidR="00844313">
        <w:t xml:space="preserve"> </w:t>
      </w:r>
      <w:r w:rsidR="00292AEA">
        <w:t>in</w:t>
      </w:r>
      <w:r w:rsidR="00844313">
        <w:t xml:space="preserve"> the UK there is no alternative </w:t>
      </w:r>
      <w:r w:rsidR="00844313">
        <w:lastRenderedPageBreak/>
        <w:t xml:space="preserve">to juries and </w:t>
      </w:r>
      <w:r w:rsidR="00A13378">
        <w:t>whether</w:t>
      </w:r>
      <w:r w:rsidR="00844313">
        <w:t xml:space="preserve"> we agree with their effectiveness or not, they continue to remain an important part of the judicial process.  </w:t>
      </w:r>
    </w:p>
    <w:p w14:paraId="73EC078F" w14:textId="77777777" w:rsidR="0071117A" w:rsidRDefault="0071117A" w:rsidP="002C6138">
      <w:pPr>
        <w:tabs>
          <w:tab w:val="left" w:pos="1110"/>
        </w:tabs>
        <w:spacing w:line="360" w:lineRule="auto"/>
      </w:pPr>
    </w:p>
    <w:p w14:paraId="6CC9FE78" w14:textId="77777777" w:rsidR="007109FE" w:rsidRDefault="007109FE">
      <w:pPr>
        <w:rPr>
          <w:u w:val="single"/>
        </w:rPr>
      </w:pPr>
      <w:r>
        <w:rPr>
          <w:u w:val="single"/>
        </w:rPr>
        <w:br w:type="page"/>
      </w:r>
    </w:p>
    <w:p w14:paraId="6D6C6924" w14:textId="180AAE36" w:rsidR="0071117A" w:rsidRDefault="0071117A" w:rsidP="002C6138">
      <w:pPr>
        <w:tabs>
          <w:tab w:val="left" w:pos="1110"/>
        </w:tabs>
        <w:spacing w:line="360" w:lineRule="auto"/>
        <w:rPr>
          <w:u w:val="single"/>
        </w:rPr>
      </w:pPr>
      <w:r w:rsidRPr="0071117A">
        <w:rPr>
          <w:u w:val="single"/>
        </w:rPr>
        <w:lastRenderedPageBreak/>
        <w:t xml:space="preserve">Reference list. </w:t>
      </w:r>
      <w:r>
        <w:rPr>
          <w:u w:val="single"/>
        </w:rPr>
        <w:t xml:space="preserve"> </w:t>
      </w:r>
    </w:p>
    <w:p w14:paraId="016485C8" w14:textId="77777777" w:rsidR="00200A04" w:rsidRDefault="00200A04" w:rsidP="002C6138">
      <w:pPr>
        <w:tabs>
          <w:tab w:val="left" w:pos="1110"/>
        </w:tabs>
        <w:spacing w:line="360" w:lineRule="auto"/>
        <w:rPr>
          <w:u w:val="single"/>
        </w:rPr>
      </w:pPr>
    </w:p>
    <w:p w14:paraId="42BD23B9" w14:textId="261697B7" w:rsidR="0071117A" w:rsidRDefault="00200A04" w:rsidP="00DD2C0B">
      <w:pPr>
        <w:tabs>
          <w:tab w:val="left" w:pos="1110"/>
        </w:tabs>
        <w:spacing w:line="480" w:lineRule="auto"/>
        <w:ind w:left="1111" w:hanging="1111"/>
        <w:rPr>
          <w:rStyle w:val="Hyperlink"/>
          <w:rFonts w:cstheme="minorHAnsi"/>
          <w:shd w:val="clear" w:color="auto" w:fill="FFFFFF"/>
        </w:rPr>
      </w:pPr>
      <w:r w:rsidRPr="00200A04">
        <w:rPr>
          <w:rFonts w:cstheme="minorHAnsi"/>
          <w:color w:val="222222"/>
          <w:shd w:val="clear" w:color="auto" w:fill="FFFFFF"/>
        </w:rPr>
        <w:t>Arendt, M., &amp; Elklit, A. (2001). Effectiveness of psychological debriefing. </w:t>
      </w:r>
      <w:r w:rsidRPr="00200A04">
        <w:rPr>
          <w:rFonts w:cstheme="minorHAnsi"/>
          <w:i/>
          <w:iCs/>
          <w:color w:val="222222"/>
          <w:shd w:val="clear" w:color="auto" w:fill="FFFFFF"/>
        </w:rPr>
        <w:t xml:space="preserve">Acta </w:t>
      </w:r>
      <w:r w:rsidR="009C77CC">
        <w:rPr>
          <w:rFonts w:cstheme="minorHAnsi"/>
          <w:i/>
          <w:iCs/>
          <w:color w:val="222222"/>
          <w:shd w:val="clear" w:color="auto" w:fill="FFFFFF"/>
        </w:rPr>
        <w:t>P</w:t>
      </w:r>
      <w:r w:rsidRPr="00200A04">
        <w:rPr>
          <w:rFonts w:cstheme="minorHAnsi"/>
          <w:i/>
          <w:iCs/>
          <w:color w:val="222222"/>
          <w:shd w:val="clear" w:color="auto" w:fill="FFFFFF"/>
        </w:rPr>
        <w:t xml:space="preserve">sychiatrica </w:t>
      </w:r>
      <w:r w:rsidR="009C77CC">
        <w:rPr>
          <w:rFonts w:cstheme="minorHAnsi"/>
          <w:i/>
          <w:iCs/>
          <w:color w:val="222222"/>
          <w:shd w:val="clear" w:color="auto" w:fill="FFFFFF"/>
        </w:rPr>
        <w:t>S</w:t>
      </w:r>
      <w:r w:rsidRPr="00200A04">
        <w:rPr>
          <w:rFonts w:cstheme="minorHAnsi"/>
          <w:i/>
          <w:iCs/>
          <w:color w:val="222222"/>
          <w:shd w:val="clear" w:color="auto" w:fill="FFFFFF"/>
        </w:rPr>
        <w:t>candinavica</w:t>
      </w:r>
      <w:r w:rsidRPr="00200A04">
        <w:rPr>
          <w:rFonts w:cstheme="minorHAnsi"/>
          <w:color w:val="222222"/>
          <w:shd w:val="clear" w:color="auto" w:fill="FFFFFF"/>
        </w:rPr>
        <w:t>, </w:t>
      </w:r>
      <w:r w:rsidRPr="00200A04">
        <w:rPr>
          <w:rFonts w:cstheme="minorHAnsi"/>
          <w:i/>
          <w:iCs/>
          <w:color w:val="222222"/>
          <w:shd w:val="clear" w:color="auto" w:fill="FFFFFF"/>
        </w:rPr>
        <w:t>104</w:t>
      </w:r>
      <w:r w:rsidRPr="00200A04">
        <w:rPr>
          <w:rFonts w:cstheme="minorHAnsi"/>
          <w:color w:val="222222"/>
          <w:shd w:val="clear" w:color="auto" w:fill="FFFFFF"/>
        </w:rPr>
        <w:t>(6), 423-437.</w:t>
      </w:r>
      <w:r w:rsidR="007109FE">
        <w:rPr>
          <w:rFonts w:cstheme="minorHAnsi"/>
          <w:color w:val="222222"/>
          <w:shd w:val="clear" w:color="auto" w:fill="FFFFFF"/>
        </w:rPr>
        <w:t xml:space="preserve"> </w:t>
      </w:r>
      <w:hyperlink r:id="rId5" w:history="1">
        <w:r w:rsidR="00DD2C0B" w:rsidRPr="00265432">
          <w:rPr>
            <w:rStyle w:val="Hyperlink"/>
            <w:rFonts w:cstheme="minorHAnsi"/>
            <w:shd w:val="clear" w:color="auto" w:fill="FFFFFF"/>
          </w:rPr>
          <w:t>https://doi.org/10.1034/j.1600-0447.2001.00155.x</w:t>
        </w:r>
      </w:hyperlink>
    </w:p>
    <w:p w14:paraId="3800A77A" w14:textId="77777777" w:rsidR="00B95F1E" w:rsidRDefault="00B95F1E" w:rsidP="00DD2C0B">
      <w:pPr>
        <w:tabs>
          <w:tab w:val="left" w:pos="1110"/>
        </w:tabs>
        <w:spacing w:line="480" w:lineRule="auto"/>
        <w:ind w:left="1111" w:hanging="1111"/>
        <w:rPr>
          <w:rStyle w:val="Hyperlink"/>
          <w:rFonts w:cstheme="minorHAnsi"/>
          <w:shd w:val="clear" w:color="auto" w:fill="FFFFFF"/>
        </w:rPr>
      </w:pPr>
    </w:p>
    <w:p w14:paraId="1D5CBC30" w14:textId="3426C67F" w:rsidR="00B95F1E" w:rsidRPr="00B95F1E" w:rsidRDefault="00B95F1E" w:rsidP="00DD2C0B">
      <w:pPr>
        <w:tabs>
          <w:tab w:val="left" w:pos="1110"/>
        </w:tabs>
        <w:spacing w:line="480" w:lineRule="auto"/>
        <w:ind w:left="1111" w:hanging="1111"/>
        <w:rPr>
          <w:rStyle w:val="Hyperlink"/>
          <w:rFonts w:cstheme="minorHAnsi"/>
          <w:shd w:val="clear" w:color="auto" w:fill="FFFFFF"/>
        </w:rPr>
      </w:pPr>
      <w:r w:rsidRPr="00B95F1E">
        <w:rPr>
          <w:rFonts w:cstheme="minorHAnsi"/>
          <w:color w:val="222222"/>
          <w:shd w:val="clear" w:color="auto" w:fill="FFFFFF"/>
        </w:rPr>
        <w:t>Banerjee, D., Gidwani, C., &amp; Rao, T. S. (2020). The role of “Attributions” in social psychology and their relevance in psychosocial health: A narrative review. </w:t>
      </w:r>
      <w:r w:rsidRPr="00B95F1E">
        <w:rPr>
          <w:rFonts w:cstheme="minorHAnsi"/>
          <w:i/>
          <w:iCs/>
          <w:color w:val="222222"/>
          <w:shd w:val="clear" w:color="auto" w:fill="FFFFFF"/>
        </w:rPr>
        <w:t>Indian Journal of Social Psychiatry</w:t>
      </w:r>
      <w:r w:rsidRPr="00B95F1E">
        <w:rPr>
          <w:rFonts w:cstheme="minorHAnsi"/>
          <w:color w:val="222222"/>
          <w:shd w:val="clear" w:color="auto" w:fill="FFFFFF"/>
        </w:rPr>
        <w:t>, </w:t>
      </w:r>
      <w:r w:rsidRPr="00B95F1E">
        <w:rPr>
          <w:rFonts w:cstheme="minorHAnsi"/>
          <w:i/>
          <w:iCs/>
          <w:color w:val="222222"/>
          <w:shd w:val="clear" w:color="auto" w:fill="FFFFFF"/>
        </w:rPr>
        <w:t>36</w:t>
      </w:r>
      <w:r w:rsidRPr="00B95F1E">
        <w:rPr>
          <w:rFonts w:cstheme="minorHAnsi"/>
          <w:color w:val="222222"/>
          <w:shd w:val="clear" w:color="auto" w:fill="FFFFFF"/>
        </w:rPr>
        <w:t xml:space="preserve">(4), 277-283. </w:t>
      </w:r>
      <w:r w:rsidRPr="00B95F1E">
        <w:rPr>
          <w:rStyle w:val="ej-journal-doi"/>
          <w:rFonts w:cstheme="minorHAnsi"/>
          <w:i/>
          <w:iCs/>
          <w:color w:val="3B3030"/>
          <w:shd w:val="clear" w:color="auto" w:fill="FFFFFF"/>
        </w:rPr>
        <w:t>DOI: </w:t>
      </w:r>
      <w:r w:rsidRPr="00B95F1E">
        <w:rPr>
          <w:rFonts w:cstheme="minorHAnsi"/>
          <w:color w:val="3B3030"/>
          <w:shd w:val="clear" w:color="auto" w:fill="FFFFFF"/>
        </w:rPr>
        <w:t xml:space="preserve">10.4103/ijsp.ijsp_315_20 </w:t>
      </w:r>
    </w:p>
    <w:p w14:paraId="245C10B3" w14:textId="77777777" w:rsidR="009A36F3" w:rsidRDefault="009A36F3" w:rsidP="00DD2C0B">
      <w:pPr>
        <w:tabs>
          <w:tab w:val="left" w:pos="1110"/>
        </w:tabs>
        <w:spacing w:line="480" w:lineRule="auto"/>
        <w:ind w:left="1111" w:hanging="1111"/>
        <w:rPr>
          <w:rFonts w:cstheme="minorHAnsi"/>
          <w:color w:val="222222"/>
          <w:shd w:val="clear" w:color="auto" w:fill="FFFFFF"/>
        </w:rPr>
      </w:pPr>
    </w:p>
    <w:p w14:paraId="4E55380C" w14:textId="4DEBCD6C" w:rsidR="009A36F3" w:rsidRDefault="009A36F3" w:rsidP="00DD2C0B">
      <w:pPr>
        <w:tabs>
          <w:tab w:val="left" w:pos="1110"/>
        </w:tabs>
        <w:spacing w:line="480" w:lineRule="auto"/>
        <w:ind w:left="1111" w:hanging="1111"/>
        <w:rPr>
          <w:rStyle w:val="Hyperlink"/>
          <w:rFonts w:cstheme="minorHAnsi"/>
          <w:shd w:val="clear" w:color="auto" w:fill="FFFFFF"/>
        </w:rPr>
      </w:pPr>
      <w:r w:rsidRPr="009A36F3">
        <w:rPr>
          <w:rFonts w:cstheme="minorHAnsi"/>
          <w:color w:val="222222"/>
          <w:shd w:val="clear" w:color="auto" w:fill="FFFFFF"/>
        </w:rPr>
        <w:t>Bornstein, B. H., Golding, J. M., Neuschatz, J., Kimbrough, C., Reed, K., Magyarics, C., &amp; Luecht, K. (2017). Mock juror sampling issues in jury simulation research: A meta-analysis. </w:t>
      </w:r>
      <w:r w:rsidRPr="009A36F3">
        <w:rPr>
          <w:rFonts w:cstheme="minorHAnsi"/>
          <w:i/>
          <w:iCs/>
          <w:color w:val="222222"/>
          <w:shd w:val="clear" w:color="auto" w:fill="FFFFFF"/>
        </w:rPr>
        <w:t>Law and human behavior</w:t>
      </w:r>
      <w:r w:rsidRPr="009A36F3">
        <w:rPr>
          <w:rFonts w:cstheme="minorHAnsi"/>
          <w:color w:val="222222"/>
          <w:shd w:val="clear" w:color="auto" w:fill="FFFFFF"/>
        </w:rPr>
        <w:t>, </w:t>
      </w:r>
      <w:r w:rsidRPr="009A36F3">
        <w:rPr>
          <w:rFonts w:cstheme="minorHAnsi"/>
          <w:i/>
          <w:iCs/>
          <w:color w:val="222222"/>
          <w:shd w:val="clear" w:color="auto" w:fill="FFFFFF"/>
        </w:rPr>
        <w:t>41</w:t>
      </w:r>
      <w:r w:rsidRPr="009A36F3">
        <w:rPr>
          <w:rFonts w:cstheme="minorHAnsi"/>
          <w:color w:val="222222"/>
          <w:shd w:val="clear" w:color="auto" w:fill="FFFFFF"/>
        </w:rPr>
        <w:t xml:space="preserve">(1), 13. </w:t>
      </w:r>
      <w:hyperlink r:id="rId6" w:history="1">
        <w:r w:rsidR="007058AA" w:rsidRPr="001C7C36">
          <w:rPr>
            <w:rStyle w:val="Hyperlink"/>
            <w:rFonts w:cstheme="minorHAnsi"/>
            <w:shd w:val="clear" w:color="auto" w:fill="FFFFFF"/>
          </w:rPr>
          <w:t>https://psycnet.apa.org/doi/10.1037/lhb0000223</w:t>
        </w:r>
      </w:hyperlink>
    </w:p>
    <w:p w14:paraId="0DD5A463" w14:textId="77777777" w:rsidR="00E722E3" w:rsidRDefault="00E722E3" w:rsidP="00DD2C0B">
      <w:pPr>
        <w:tabs>
          <w:tab w:val="left" w:pos="1110"/>
        </w:tabs>
        <w:spacing w:line="480" w:lineRule="auto"/>
        <w:ind w:left="1111" w:hanging="1111"/>
        <w:rPr>
          <w:rStyle w:val="Hyperlink"/>
          <w:rFonts w:cstheme="minorHAnsi"/>
          <w:shd w:val="clear" w:color="auto" w:fill="FFFFFF"/>
        </w:rPr>
      </w:pPr>
    </w:p>
    <w:p w14:paraId="7C71934A" w14:textId="17674655" w:rsidR="00E722E3" w:rsidRPr="00E864D8" w:rsidRDefault="00E864D8" w:rsidP="00DD2C0B">
      <w:pPr>
        <w:tabs>
          <w:tab w:val="left" w:pos="1110"/>
        </w:tabs>
        <w:spacing w:line="480" w:lineRule="auto"/>
        <w:ind w:left="1111" w:hanging="1111"/>
        <w:rPr>
          <w:rStyle w:val="Hyperlink"/>
          <w:rFonts w:cstheme="minorHAnsi"/>
          <w:shd w:val="clear" w:color="auto" w:fill="FFFFFF"/>
        </w:rPr>
      </w:pPr>
      <w:r w:rsidRPr="00E864D8">
        <w:rPr>
          <w:rFonts w:cstheme="minorHAnsi"/>
          <w:color w:val="222222"/>
          <w:shd w:val="clear" w:color="auto" w:fill="FFFFFF"/>
        </w:rPr>
        <w:t>Carli, L. L. (2001). Gender and social influence. </w:t>
      </w:r>
      <w:r w:rsidRPr="00E864D8">
        <w:rPr>
          <w:rFonts w:cstheme="minorHAnsi"/>
          <w:i/>
          <w:iCs/>
          <w:color w:val="222222"/>
          <w:shd w:val="clear" w:color="auto" w:fill="FFFFFF"/>
        </w:rPr>
        <w:t>Journal of Social issues</w:t>
      </w:r>
      <w:r w:rsidRPr="00E864D8">
        <w:rPr>
          <w:rFonts w:cstheme="minorHAnsi"/>
          <w:color w:val="222222"/>
          <w:shd w:val="clear" w:color="auto" w:fill="FFFFFF"/>
        </w:rPr>
        <w:t>, </w:t>
      </w:r>
      <w:r w:rsidRPr="00E864D8">
        <w:rPr>
          <w:rFonts w:cstheme="minorHAnsi"/>
          <w:i/>
          <w:iCs/>
          <w:color w:val="222222"/>
          <w:shd w:val="clear" w:color="auto" w:fill="FFFFFF"/>
        </w:rPr>
        <w:t>57</w:t>
      </w:r>
      <w:r w:rsidRPr="00E864D8">
        <w:rPr>
          <w:rFonts w:cstheme="minorHAnsi"/>
          <w:color w:val="222222"/>
          <w:shd w:val="clear" w:color="auto" w:fill="FFFFFF"/>
        </w:rPr>
        <w:t xml:space="preserve">(4), 725-741. </w:t>
      </w:r>
      <w:hyperlink r:id="rId7" w:history="1">
        <w:r w:rsidRPr="00E864D8">
          <w:rPr>
            <w:rStyle w:val="Hyperlink"/>
            <w:rFonts w:cstheme="minorHAnsi"/>
            <w:shd w:val="clear" w:color="auto" w:fill="FFFFFF"/>
          </w:rPr>
          <w:t>https://doi.org/10.1111/0022-4537.00238</w:t>
        </w:r>
      </w:hyperlink>
      <w:r w:rsidRPr="00E864D8">
        <w:rPr>
          <w:rStyle w:val="Hyperlink"/>
          <w:rFonts w:cstheme="minorHAnsi"/>
          <w:shd w:val="clear" w:color="auto" w:fill="FFFFFF"/>
        </w:rPr>
        <w:t xml:space="preserve"> </w:t>
      </w:r>
    </w:p>
    <w:p w14:paraId="4D77B596" w14:textId="77777777" w:rsidR="00381242" w:rsidRDefault="00381242" w:rsidP="00DD2C0B">
      <w:pPr>
        <w:tabs>
          <w:tab w:val="left" w:pos="1110"/>
        </w:tabs>
        <w:spacing w:line="480" w:lineRule="auto"/>
        <w:ind w:left="1111" w:hanging="1111"/>
        <w:rPr>
          <w:rStyle w:val="Hyperlink"/>
          <w:rFonts w:cstheme="minorHAnsi"/>
          <w:shd w:val="clear" w:color="auto" w:fill="FFFFFF"/>
        </w:rPr>
      </w:pPr>
    </w:p>
    <w:p w14:paraId="76C56FDD" w14:textId="2B9E76C2" w:rsidR="00381242" w:rsidRPr="00381242" w:rsidRDefault="00381242" w:rsidP="00DD2C0B">
      <w:pPr>
        <w:tabs>
          <w:tab w:val="left" w:pos="1110"/>
        </w:tabs>
        <w:spacing w:line="480" w:lineRule="auto"/>
        <w:ind w:left="1111" w:hanging="1111"/>
        <w:rPr>
          <w:rFonts w:cstheme="minorHAnsi"/>
          <w:color w:val="222222"/>
          <w:shd w:val="clear" w:color="auto" w:fill="FFFFFF"/>
        </w:rPr>
      </w:pPr>
      <w:r w:rsidRPr="00381242">
        <w:rPr>
          <w:rFonts w:cstheme="minorHAnsi"/>
          <w:color w:val="222222"/>
          <w:shd w:val="clear" w:color="auto" w:fill="FFFFFF"/>
        </w:rPr>
        <w:t>Chalmers, J., Leverick, F., &amp; Munro, V. E. (2021). The provenance of what is proven: Exploring (mock) jury deliberation in Scottish rape trials. </w:t>
      </w:r>
      <w:r w:rsidRPr="00381242">
        <w:rPr>
          <w:rFonts w:cstheme="minorHAnsi"/>
          <w:i/>
          <w:iCs/>
          <w:color w:val="222222"/>
          <w:shd w:val="clear" w:color="auto" w:fill="FFFFFF"/>
        </w:rPr>
        <w:t>Journal of Law and Society</w:t>
      </w:r>
      <w:r w:rsidRPr="00381242">
        <w:rPr>
          <w:rFonts w:cstheme="minorHAnsi"/>
          <w:color w:val="222222"/>
          <w:shd w:val="clear" w:color="auto" w:fill="FFFFFF"/>
        </w:rPr>
        <w:t>, </w:t>
      </w:r>
      <w:r w:rsidRPr="00381242">
        <w:rPr>
          <w:rFonts w:cstheme="minorHAnsi"/>
          <w:i/>
          <w:iCs/>
          <w:color w:val="222222"/>
          <w:shd w:val="clear" w:color="auto" w:fill="FFFFFF"/>
        </w:rPr>
        <w:t>48</w:t>
      </w:r>
      <w:r w:rsidRPr="00381242">
        <w:rPr>
          <w:rFonts w:cstheme="minorHAnsi"/>
          <w:color w:val="222222"/>
          <w:shd w:val="clear" w:color="auto" w:fill="FFFFFF"/>
        </w:rPr>
        <w:t xml:space="preserve">(2), 226-249. </w:t>
      </w:r>
      <w:hyperlink r:id="rId8" w:history="1">
        <w:r w:rsidRPr="00381242">
          <w:rPr>
            <w:rStyle w:val="Hyperlink"/>
            <w:rFonts w:cstheme="minorHAnsi"/>
            <w:shd w:val="clear" w:color="auto" w:fill="FFFFFF"/>
          </w:rPr>
          <w:t>https://doi.org/10.1111/jols.12287</w:t>
        </w:r>
      </w:hyperlink>
      <w:r w:rsidRPr="00381242">
        <w:rPr>
          <w:rFonts w:cstheme="minorHAnsi"/>
          <w:color w:val="222222"/>
          <w:shd w:val="clear" w:color="auto" w:fill="FFFFFF"/>
        </w:rPr>
        <w:t xml:space="preserve"> </w:t>
      </w:r>
    </w:p>
    <w:p w14:paraId="1D92FDB9" w14:textId="77777777" w:rsidR="007058AA" w:rsidRDefault="007058AA" w:rsidP="00DD2C0B">
      <w:pPr>
        <w:tabs>
          <w:tab w:val="left" w:pos="1110"/>
        </w:tabs>
        <w:spacing w:line="480" w:lineRule="auto"/>
        <w:ind w:left="1111" w:hanging="1111"/>
        <w:rPr>
          <w:rFonts w:cstheme="minorHAnsi"/>
          <w:color w:val="222222"/>
          <w:shd w:val="clear" w:color="auto" w:fill="FFFFFF"/>
        </w:rPr>
      </w:pPr>
    </w:p>
    <w:p w14:paraId="1D8C34F8" w14:textId="5EA6F1A3" w:rsidR="007058AA" w:rsidRPr="007058AA" w:rsidRDefault="007058AA" w:rsidP="00DD2C0B">
      <w:pPr>
        <w:tabs>
          <w:tab w:val="left" w:pos="1110"/>
        </w:tabs>
        <w:spacing w:line="480" w:lineRule="auto"/>
        <w:ind w:left="1111" w:hanging="1111"/>
        <w:rPr>
          <w:rFonts w:cstheme="minorHAnsi"/>
          <w:color w:val="222222"/>
          <w:shd w:val="clear" w:color="auto" w:fill="FFFFFF"/>
        </w:rPr>
      </w:pPr>
      <w:r w:rsidRPr="007058AA">
        <w:rPr>
          <w:rFonts w:cstheme="minorHAnsi"/>
          <w:color w:val="222222"/>
          <w:shd w:val="clear" w:color="auto" w:fill="FFFFFF"/>
        </w:rPr>
        <w:t>Cornwell, E. Y., &amp; Hans, V. P. (2011). Representation through participation: A multilevel analysis of jury deliberations. </w:t>
      </w:r>
      <w:r w:rsidRPr="007058AA">
        <w:rPr>
          <w:rFonts w:cstheme="minorHAnsi"/>
          <w:i/>
          <w:iCs/>
          <w:color w:val="222222"/>
          <w:shd w:val="clear" w:color="auto" w:fill="FFFFFF"/>
        </w:rPr>
        <w:t>Law &amp; Society Review</w:t>
      </w:r>
      <w:r w:rsidRPr="007058AA">
        <w:rPr>
          <w:rFonts w:cstheme="minorHAnsi"/>
          <w:color w:val="222222"/>
          <w:shd w:val="clear" w:color="auto" w:fill="FFFFFF"/>
        </w:rPr>
        <w:t>, </w:t>
      </w:r>
      <w:r w:rsidRPr="007058AA">
        <w:rPr>
          <w:rFonts w:cstheme="minorHAnsi"/>
          <w:i/>
          <w:iCs/>
          <w:color w:val="222222"/>
          <w:shd w:val="clear" w:color="auto" w:fill="FFFFFF"/>
        </w:rPr>
        <w:t>45</w:t>
      </w:r>
      <w:r w:rsidRPr="007058AA">
        <w:rPr>
          <w:rFonts w:cstheme="minorHAnsi"/>
          <w:color w:val="222222"/>
          <w:shd w:val="clear" w:color="auto" w:fill="FFFFFF"/>
        </w:rPr>
        <w:t>(3), 667-698.https://doi.org/10.1111/j.1540-5893.2011.00447.x</w:t>
      </w:r>
    </w:p>
    <w:p w14:paraId="48947D59" w14:textId="77777777" w:rsidR="00DD2C0B" w:rsidRPr="00200A04" w:rsidRDefault="00DD2C0B" w:rsidP="00DD2C0B">
      <w:pPr>
        <w:tabs>
          <w:tab w:val="left" w:pos="1110"/>
        </w:tabs>
        <w:spacing w:line="480" w:lineRule="auto"/>
        <w:ind w:left="1111" w:hanging="1111"/>
        <w:rPr>
          <w:rFonts w:cstheme="minorHAnsi"/>
          <w:u w:val="single"/>
        </w:rPr>
      </w:pPr>
    </w:p>
    <w:p w14:paraId="26CCEAD3" w14:textId="688FA678" w:rsidR="0071117A" w:rsidRDefault="0071117A" w:rsidP="00DD2C0B">
      <w:pPr>
        <w:tabs>
          <w:tab w:val="left" w:pos="1110"/>
        </w:tabs>
        <w:spacing w:line="480" w:lineRule="auto"/>
        <w:ind w:left="1111" w:hanging="1111"/>
      </w:pPr>
      <w:r>
        <w:t xml:space="preserve">Crighton, D, A., &amp; Towl, G, J. (2021). </w:t>
      </w:r>
      <w:r>
        <w:rPr>
          <w:i/>
          <w:iCs/>
        </w:rPr>
        <w:t xml:space="preserve">Forensic psychology </w:t>
      </w:r>
      <w:r>
        <w:t>(3</w:t>
      </w:r>
      <w:r w:rsidRPr="0071117A">
        <w:rPr>
          <w:vertAlign w:val="superscript"/>
        </w:rPr>
        <w:t>rd</w:t>
      </w:r>
      <w:r>
        <w:t xml:space="preserve"> ed.). John Wiley and Sons Ltd.</w:t>
      </w:r>
      <w:r w:rsidR="00DD2C0B">
        <w:t xml:space="preserve"> </w:t>
      </w:r>
    </w:p>
    <w:p w14:paraId="7EE14F92" w14:textId="77777777" w:rsidR="00C56D14" w:rsidRDefault="00C56D14" w:rsidP="00DD2C0B">
      <w:pPr>
        <w:tabs>
          <w:tab w:val="left" w:pos="1110"/>
        </w:tabs>
        <w:spacing w:line="480" w:lineRule="auto"/>
        <w:ind w:left="1111" w:hanging="1111"/>
      </w:pPr>
    </w:p>
    <w:p w14:paraId="0CA99188" w14:textId="53D503F2" w:rsidR="00C56D14" w:rsidRPr="00C56D14" w:rsidRDefault="00C56D14" w:rsidP="00DD2C0B">
      <w:pPr>
        <w:tabs>
          <w:tab w:val="left" w:pos="1110"/>
        </w:tabs>
        <w:spacing w:line="480" w:lineRule="auto"/>
        <w:ind w:left="1111" w:hanging="1111"/>
        <w:rPr>
          <w:rFonts w:cstheme="minorHAnsi"/>
        </w:rPr>
      </w:pPr>
      <w:r w:rsidRPr="00C56D14">
        <w:rPr>
          <w:rFonts w:cstheme="minorHAnsi"/>
          <w:color w:val="222222"/>
          <w:shd w:val="clear" w:color="auto" w:fill="FFFFFF"/>
        </w:rPr>
        <w:t>Croucher, J. S., &amp; Hon, S. (2022). Judge or Jury? a legal conundrum. </w:t>
      </w:r>
      <w:r w:rsidRPr="00C56D14">
        <w:rPr>
          <w:rFonts w:cstheme="minorHAnsi"/>
          <w:i/>
          <w:iCs/>
          <w:color w:val="222222"/>
          <w:shd w:val="clear" w:color="auto" w:fill="FFFFFF"/>
        </w:rPr>
        <w:t>International Journal of Criminal Justice Sciences</w:t>
      </w:r>
      <w:r w:rsidRPr="00C56D14">
        <w:rPr>
          <w:rFonts w:cstheme="minorHAnsi"/>
          <w:color w:val="222222"/>
          <w:shd w:val="clear" w:color="auto" w:fill="FFFFFF"/>
        </w:rPr>
        <w:t>, </w:t>
      </w:r>
      <w:r w:rsidRPr="00C56D14">
        <w:rPr>
          <w:rFonts w:cstheme="minorHAnsi"/>
          <w:i/>
          <w:iCs/>
          <w:color w:val="222222"/>
          <w:shd w:val="clear" w:color="auto" w:fill="FFFFFF"/>
        </w:rPr>
        <w:t>17</w:t>
      </w:r>
      <w:r w:rsidRPr="00C56D14">
        <w:rPr>
          <w:rFonts w:cstheme="minorHAnsi"/>
          <w:color w:val="222222"/>
          <w:shd w:val="clear" w:color="auto" w:fill="FFFFFF"/>
        </w:rPr>
        <w:t xml:space="preserve">(1), 83-92. </w:t>
      </w:r>
    </w:p>
    <w:p w14:paraId="3CEFF231" w14:textId="77777777" w:rsidR="000943FA" w:rsidRDefault="000943FA" w:rsidP="00DD2C0B">
      <w:pPr>
        <w:tabs>
          <w:tab w:val="left" w:pos="1110"/>
        </w:tabs>
        <w:spacing w:line="480" w:lineRule="auto"/>
        <w:ind w:left="1111" w:hanging="1111"/>
      </w:pPr>
    </w:p>
    <w:p w14:paraId="7E79A11B" w14:textId="27C46B1B" w:rsidR="000943FA" w:rsidRDefault="000943FA" w:rsidP="00DD2C0B">
      <w:pPr>
        <w:tabs>
          <w:tab w:val="left" w:pos="1110"/>
        </w:tabs>
        <w:spacing w:line="480" w:lineRule="auto"/>
        <w:ind w:left="1111" w:hanging="1111"/>
        <w:rPr>
          <w:rFonts w:cstheme="minorHAnsi"/>
          <w:color w:val="222222"/>
          <w:shd w:val="clear" w:color="auto" w:fill="FFFFFF"/>
        </w:rPr>
      </w:pPr>
      <w:r w:rsidRPr="000943FA">
        <w:rPr>
          <w:rFonts w:cstheme="minorHAnsi"/>
          <w:color w:val="222222"/>
          <w:shd w:val="clear" w:color="auto" w:fill="FFFFFF"/>
        </w:rPr>
        <w:t>Cummins, D. E. (2021). Does Jury Size Really Matter? Maybe. Maybe Not. </w:t>
      </w:r>
      <w:r w:rsidRPr="000943FA">
        <w:rPr>
          <w:rFonts w:cstheme="minorHAnsi"/>
          <w:i/>
          <w:iCs/>
          <w:color w:val="222222"/>
          <w:shd w:val="clear" w:color="auto" w:fill="FFFFFF"/>
        </w:rPr>
        <w:t>The Judges' Journal</w:t>
      </w:r>
      <w:r w:rsidRPr="000943FA">
        <w:rPr>
          <w:rFonts w:cstheme="minorHAnsi"/>
          <w:color w:val="222222"/>
          <w:shd w:val="clear" w:color="auto" w:fill="FFFFFF"/>
        </w:rPr>
        <w:t>, </w:t>
      </w:r>
      <w:r w:rsidRPr="000943FA">
        <w:rPr>
          <w:rFonts w:cstheme="minorHAnsi"/>
          <w:i/>
          <w:iCs/>
          <w:color w:val="222222"/>
          <w:shd w:val="clear" w:color="auto" w:fill="FFFFFF"/>
        </w:rPr>
        <w:t>60</w:t>
      </w:r>
      <w:r w:rsidRPr="000943FA">
        <w:rPr>
          <w:rFonts w:cstheme="minorHAnsi"/>
          <w:color w:val="222222"/>
          <w:shd w:val="clear" w:color="auto" w:fill="FFFFFF"/>
        </w:rPr>
        <w:t xml:space="preserve">(3), 26-28. </w:t>
      </w:r>
      <w:hyperlink r:id="rId9" w:history="1">
        <w:r w:rsidRPr="000943FA">
          <w:rPr>
            <w:rStyle w:val="Hyperlink"/>
            <w:rFonts w:cstheme="minorHAnsi"/>
            <w:shd w:val="clear" w:color="auto" w:fill="FFFFFF"/>
          </w:rPr>
          <w:t>https://www.proquest.com/scholarly-journals/does-jury-size-really-matter-maybe-not/docview/2557549139/se-2?accountid=130472</w:t>
        </w:r>
      </w:hyperlink>
      <w:r w:rsidRPr="000943FA">
        <w:rPr>
          <w:rFonts w:cstheme="minorHAnsi"/>
          <w:color w:val="222222"/>
          <w:shd w:val="clear" w:color="auto" w:fill="FFFFFF"/>
        </w:rPr>
        <w:t xml:space="preserve"> </w:t>
      </w:r>
    </w:p>
    <w:p w14:paraId="0422C9A4" w14:textId="77777777" w:rsidR="00FC684B" w:rsidRDefault="00FC684B" w:rsidP="00DD2C0B">
      <w:pPr>
        <w:tabs>
          <w:tab w:val="left" w:pos="1110"/>
        </w:tabs>
        <w:spacing w:line="480" w:lineRule="auto"/>
        <w:ind w:left="1111" w:hanging="1111"/>
        <w:rPr>
          <w:rFonts w:cstheme="minorHAnsi"/>
        </w:rPr>
      </w:pPr>
    </w:p>
    <w:p w14:paraId="63011BF7" w14:textId="68ABBAB5" w:rsidR="00FC684B" w:rsidRPr="00FC684B" w:rsidRDefault="00FC684B" w:rsidP="00DD2C0B">
      <w:pPr>
        <w:tabs>
          <w:tab w:val="left" w:pos="1110"/>
        </w:tabs>
        <w:spacing w:line="480" w:lineRule="auto"/>
        <w:ind w:left="1111" w:hanging="1111"/>
        <w:rPr>
          <w:rFonts w:cstheme="minorHAnsi"/>
        </w:rPr>
      </w:pPr>
      <w:r w:rsidRPr="00FC684B">
        <w:rPr>
          <w:rFonts w:cstheme="minorHAnsi"/>
          <w:color w:val="222222"/>
          <w:shd w:val="clear" w:color="auto" w:fill="FFFFFF"/>
        </w:rPr>
        <w:t>Devine, D. J., Clayton, L. D., Dunford, B. B., Seying, R., &amp; Pryce, J. (2001). Jury decision making: 45 years of empirical research on deliberating groups. </w:t>
      </w:r>
      <w:r w:rsidRPr="00FC684B">
        <w:rPr>
          <w:rFonts w:cstheme="minorHAnsi"/>
          <w:i/>
          <w:iCs/>
          <w:color w:val="222222"/>
          <w:shd w:val="clear" w:color="auto" w:fill="FFFFFF"/>
        </w:rPr>
        <w:t>Psychology, public policy, and law</w:t>
      </w:r>
      <w:r w:rsidRPr="00FC684B">
        <w:rPr>
          <w:rFonts w:cstheme="minorHAnsi"/>
          <w:color w:val="222222"/>
          <w:shd w:val="clear" w:color="auto" w:fill="FFFFFF"/>
        </w:rPr>
        <w:t>, </w:t>
      </w:r>
      <w:r w:rsidRPr="00FC684B">
        <w:rPr>
          <w:rFonts w:cstheme="minorHAnsi"/>
          <w:i/>
          <w:iCs/>
          <w:color w:val="222222"/>
          <w:shd w:val="clear" w:color="auto" w:fill="FFFFFF"/>
        </w:rPr>
        <w:t>7</w:t>
      </w:r>
      <w:r w:rsidRPr="00FC684B">
        <w:rPr>
          <w:rFonts w:cstheme="minorHAnsi"/>
          <w:color w:val="222222"/>
          <w:shd w:val="clear" w:color="auto" w:fill="FFFFFF"/>
        </w:rPr>
        <w:t>(3), 622.</w:t>
      </w:r>
      <w:r w:rsidRPr="00FC684B">
        <w:rPr>
          <w:rFonts w:cstheme="minorHAnsi"/>
        </w:rPr>
        <w:t>https://psycnet.apa.org/doi/10.1037/1076-8971.7.3.622</w:t>
      </w:r>
    </w:p>
    <w:p w14:paraId="72450C20" w14:textId="77777777" w:rsidR="00DD2C0B" w:rsidRDefault="00DD2C0B" w:rsidP="00DD2C0B">
      <w:pPr>
        <w:tabs>
          <w:tab w:val="left" w:pos="1110"/>
        </w:tabs>
        <w:spacing w:line="480" w:lineRule="auto"/>
        <w:ind w:left="1111" w:hanging="1111"/>
      </w:pPr>
    </w:p>
    <w:p w14:paraId="0C768645" w14:textId="60DE71A1" w:rsidR="00DD2C0B" w:rsidRDefault="00DD2C0B" w:rsidP="00DD2C0B">
      <w:pPr>
        <w:tabs>
          <w:tab w:val="left" w:pos="1110"/>
        </w:tabs>
        <w:spacing w:line="480" w:lineRule="auto"/>
        <w:ind w:left="1111" w:hanging="1111"/>
        <w:rPr>
          <w:rFonts w:cstheme="minorHAnsi"/>
          <w:color w:val="222222"/>
          <w:shd w:val="clear" w:color="auto" w:fill="FFFFFF"/>
        </w:rPr>
      </w:pPr>
      <w:r w:rsidRPr="00DD2C0B">
        <w:rPr>
          <w:rFonts w:cstheme="minorHAnsi"/>
          <w:color w:val="222222"/>
          <w:shd w:val="clear" w:color="auto" w:fill="FFFFFF"/>
        </w:rPr>
        <w:t>Diamond, S. S., &amp; Rose, M. R. (2018). The contemporary American jury. </w:t>
      </w:r>
      <w:r w:rsidRPr="00DD2C0B">
        <w:rPr>
          <w:rFonts w:cstheme="minorHAnsi"/>
          <w:i/>
          <w:iCs/>
          <w:color w:val="222222"/>
          <w:shd w:val="clear" w:color="auto" w:fill="FFFFFF"/>
        </w:rPr>
        <w:t>Annual Review of Law and Social Science</w:t>
      </w:r>
      <w:r w:rsidRPr="00DD2C0B">
        <w:rPr>
          <w:rFonts w:cstheme="minorHAnsi"/>
          <w:color w:val="222222"/>
          <w:shd w:val="clear" w:color="auto" w:fill="FFFFFF"/>
        </w:rPr>
        <w:t>, </w:t>
      </w:r>
      <w:r w:rsidRPr="00DD2C0B">
        <w:rPr>
          <w:rFonts w:cstheme="minorHAnsi"/>
          <w:i/>
          <w:iCs/>
          <w:color w:val="222222"/>
          <w:shd w:val="clear" w:color="auto" w:fill="FFFFFF"/>
        </w:rPr>
        <w:t>14</w:t>
      </w:r>
      <w:r w:rsidRPr="00DD2C0B">
        <w:rPr>
          <w:rFonts w:cstheme="minorHAnsi"/>
          <w:color w:val="222222"/>
          <w:shd w:val="clear" w:color="auto" w:fill="FFFFFF"/>
        </w:rPr>
        <w:t xml:space="preserve">, 239-258. </w:t>
      </w:r>
      <w:hyperlink r:id="rId10" w:history="1">
        <w:r w:rsidRPr="00DD2C0B">
          <w:rPr>
            <w:rStyle w:val="Hyperlink"/>
            <w:rFonts w:cstheme="minorHAnsi"/>
            <w:shd w:val="clear" w:color="auto" w:fill="FFFFFF"/>
          </w:rPr>
          <w:t>https://doi.org/10.1146/annurev-lawsocsci-110316-113618</w:t>
        </w:r>
      </w:hyperlink>
      <w:r w:rsidRPr="00DD2C0B">
        <w:rPr>
          <w:rFonts w:cstheme="minorHAnsi"/>
          <w:color w:val="222222"/>
          <w:shd w:val="clear" w:color="auto" w:fill="FFFFFF"/>
        </w:rPr>
        <w:t xml:space="preserve"> </w:t>
      </w:r>
    </w:p>
    <w:p w14:paraId="4817A06A" w14:textId="77777777" w:rsidR="004A26D7" w:rsidRDefault="004A26D7" w:rsidP="00DD2C0B">
      <w:pPr>
        <w:tabs>
          <w:tab w:val="left" w:pos="1110"/>
        </w:tabs>
        <w:spacing w:line="480" w:lineRule="auto"/>
        <w:ind w:left="1111" w:hanging="1111"/>
        <w:rPr>
          <w:rFonts w:cstheme="minorHAnsi"/>
          <w:color w:val="222222"/>
          <w:shd w:val="clear" w:color="auto" w:fill="FFFFFF"/>
        </w:rPr>
      </w:pPr>
    </w:p>
    <w:p w14:paraId="23AEF90D" w14:textId="6828E324" w:rsidR="004A26D7" w:rsidRDefault="004A26D7" w:rsidP="00DD2C0B">
      <w:pPr>
        <w:tabs>
          <w:tab w:val="left" w:pos="1110"/>
        </w:tabs>
        <w:spacing w:line="480" w:lineRule="auto"/>
        <w:ind w:left="1111" w:hanging="1111"/>
        <w:rPr>
          <w:rFonts w:cstheme="minorHAnsi"/>
          <w:color w:val="222222"/>
          <w:shd w:val="clear" w:color="auto" w:fill="FFFFFF"/>
        </w:rPr>
      </w:pPr>
      <w:r w:rsidRPr="004A26D7">
        <w:rPr>
          <w:rFonts w:cstheme="minorHAnsi"/>
          <w:color w:val="222222"/>
          <w:shd w:val="clear" w:color="auto" w:fill="FFFFFF"/>
        </w:rPr>
        <w:t>Elkins, T. J., &amp; Philips, J. S. (1999). Evaluating sex discrimination claims: The mediating role of attributions. </w:t>
      </w:r>
      <w:r w:rsidRPr="004A26D7">
        <w:rPr>
          <w:rFonts w:cstheme="minorHAnsi"/>
          <w:i/>
          <w:iCs/>
          <w:color w:val="222222"/>
          <w:shd w:val="clear" w:color="auto" w:fill="FFFFFF"/>
        </w:rPr>
        <w:t>Journal of Applied Psychology</w:t>
      </w:r>
      <w:r w:rsidRPr="004A26D7">
        <w:rPr>
          <w:rFonts w:cstheme="minorHAnsi"/>
          <w:color w:val="222222"/>
          <w:shd w:val="clear" w:color="auto" w:fill="FFFFFF"/>
        </w:rPr>
        <w:t>, </w:t>
      </w:r>
      <w:r w:rsidRPr="004A26D7">
        <w:rPr>
          <w:rFonts w:cstheme="minorHAnsi"/>
          <w:i/>
          <w:iCs/>
          <w:color w:val="222222"/>
          <w:shd w:val="clear" w:color="auto" w:fill="FFFFFF"/>
        </w:rPr>
        <w:t>84</w:t>
      </w:r>
      <w:r w:rsidRPr="004A26D7">
        <w:rPr>
          <w:rFonts w:cstheme="minorHAnsi"/>
          <w:color w:val="222222"/>
          <w:shd w:val="clear" w:color="auto" w:fill="FFFFFF"/>
        </w:rPr>
        <w:t xml:space="preserve">(2), 186. </w:t>
      </w:r>
      <w:hyperlink r:id="rId11" w:history="1">
        <w:r w:rsidRPr="002D2725">
          <w:rPr>
            <w:rStyle w:val="Hyperlink"/>
            <w:rFonts w:cstheme="minorHAnsi"/>
            <w:shd w:val="clear" w:color="auto" w:fill="FFFFFF"/>
          </w:rPr>
          <w:t>https://psycnet.apa.org/doi/10.1037/0021-9010.84.2.186</w:t>
        </w:r>
      </w:hyperlink>
    </w:p>
    <w:p w14:paraId="6C43DACB" w14:textId="77777777" w:rsidR="004A26D7" w:rsidRDefault="004A26D7" w:rsidP="00DD2C0B">
      <w:pPr>
        <w:tabs>
          <w:tab w:val="left" w:pos="1110"/>
        </w:tabs>
        <w:spacing w:line="480" w:lineRule="auto"/>
        <w:ind w:left="1111" w:hanging="1111"/>
        <w:rPr>
          <w:rFonts w:cstheme="minorHAnsi"/>
          <w:color w:val="222222"/>
          <w:shd w:val="clear" w:color="auto" w:fill="FFFFFF"/>
        </w:rPr>
      </w:pPr>
    </w:p>
    <w:p w14:paraId="65ED6E12" w14:textId="19594FD7" w:rsidR="004A26D7" w:rsidRPr="004A26D7" w:rsidRDefault="004A26D7" w:rsidP="00DD2C0B">
      <w:pPr>
        <w:tabs>
          <w:tab w:val="left" w:pos="1110"/>
        </w:tabs>
        <w:spacing w:line="480" w:lineRule="auto"/>
        <w:ind w:left="1111" w:hanging="1111"/>
        <w:rPr>
          <w:rFonts w:cstheme="minorHAnsi"/>
          <w:color w:val="222222"/>
          <w:shd w:val="clear" w:color="auto" w:fill="FFFFFF"/>
        </w:rPr>
      </w:pPr>
      <w:r w:rsidRPr="004A26D7">
        <w:rPr>
          <w:rFonts w:cstheme="minorHAnsi"/>
          <w:color w:val="222222"/>
          <w:shd w:val="clear" w:color="auto" w:fill="FFFFFF"/>
        </w:rPr>
        <w:lastRenderedPageBreak/>
        <w:t>Elkins, T. J., Phillips, J. S., Konopaske, R., &amp; Townsend, J. (2001). Evaluating gender discrimination claims: Is there a gender similarity bias?. </w:t>
      </w:r>
      <w:r w:rsidRPr="004A26D7">
        <w:rPr>
          <w:rFonts w:cstheme="minorHAnsi"/>
          <w:i/>
          <w:iCs/>
          <w:color w:val="222222"/>
          <w:shd w:val="clear" w:color="auto" w:fill="FFFFFF"/>
        </w:rPr>
        <w:t>Sex Roles</w:t>
      </w:r>
      <w:r w:rsidRPr="004A26D7">
        <w:rPr>
          <w:rFonts w:cstheme="minorHAnsi"/>
          <w:color w:val="222222"/>
          <w:shd w:val="clear" w:color="auto" w:fill="FFFFFF"/>
        </w:rPr>
        <w:t>, </w:t>
      </w:r>
      <w:r w:rsidRPr="004A26D7">
        <w:rPr>
          <w:rFonts w:cstheme="minorHAnsi"/>
          <w:i/>
          <w:iCs/>
          <w:color w:val="222222"/>
          <w:shd w:val="clear" w:color="auto" w:fill="FFFFFF"/>
        </w:rPr>
        <w:t>44</w:t>
      </w:r>
      <w:r w:rsidRPr="004A26D7">
        <w:rPr>
          <w:rFonts w:cstheme="minorHAnsi"/>
          <w:color w:val="222222"/>
          <w:shd w:val="clear" w:color="auto" w:fill="FFFFFF"/>
        </w:rPr>
        <w:t xml:space="preserve">, 1-15. </w:t>
      </w:r>
      <w:r w:rsidRPr="004A26D7">
        <w:rPr>
          <w:rFonts w:cstheme="minorHAnsi"/>
          <w:color w:val="333333"/>
          <w:shd w:val="clear" w:color="auto" w:fill="FCFCFC"/>
        </w:rPr>
        <w:t>https://doi.org/10.1023/A:1011059131505</w:t>
      </w:r>
    </w:p>
    <w:p w14:paraId="3676B433" w14:textId="77777777" w:rsidR="00DD2C0B" w:rsidRPr="00DD2C0B" w:rsidRDefault="00DD2C0B" w:rsidP="00DD2C0B">
      <w:pPr>
        <w:tabs>
          <w:tab w:val="left" w:pos="1110"/>
        </w:tabs>
        <w:spacing w:line="480" w:lineRule="auto"/>
        <w:ind w:left="1111" w:hanging="1111"/>
        <w:rPr>
          <w:rFonts w:cstheme="minorHAnsi"/>
        </w:rPr>
      </w:pPr>
    </w:p>
    <w:p w14:paraId="77276AD5" w14:textId="480F0292" w:rsidR="00225D28" w:rsidRDefault="00225D28" w:rsidP="00DD2C0B">
      <w:pPr>
        <w:tabs>
          <w:tab w:val="left" w:pos="1110"/>
        </w:tabs>
        <w:spacing w:line="480" w:lineRule="auto"/>
        <w:ind w:left="1111" w:hanging="1111"/>
        <w:rPr>
          <w:rFonts w:cstheme="minorHAnsi"/>
          <w:color w:val="222222"/>
          <w:shd w:val="clear" w:color="auto" w:fill="FFFFFF"/>
        </w:rPr>
      </w:pPr>
      <w:r w:rsidRPr="00225D28">
        <w:rPr>
          <w:rFonts w:cstheme="minorHAnsi"/>
          <w:color w:val="222222"/>
          <w:shd w:val="clear" w:color="auto" w:fill="FFFFFF"/>
        </w:rPr>
        <w:t>Flores, D. M., Miller, M. K., Chamberlain, J., Richardson, J. T., &amp; Bornstein, B. H. (2009). Judges’ perspectives on stress and safety in the courtroom: An exploratory study.</w:t>
      </w:r>
      <w:r w:rsidRPr="00225D28">
        <w:rPr>
          <w:rFonts w:cstheme="minorHAnsi"/>
        </w:rPr>
        <w:t xml:space="preserve"> </w:t>
      </w:r>
      <w:hyperlink r:id="rId12" w:history="1">
        <w:r w:rsidRPr="00CC5EAF">
          <w:rPr>
            <w:rStyle w:val="Hyperlink"/>
            <w:rFonts w:cstheme="minorHAnsi"/>
            <w:shd w:val="clear" w:color="auto" w:fill="FFFFFF"/>
          </w:rPr>
          <w:t>https://digitalcommons.unl.edu/ajacourtreview</w:t>
        </w:r>
      </w:hyperlink>
      <w:r>
        <w:rPr>
          <w:rFonts w:cstheme="minorHAnsi"/>
          <w:color w:val="222222"/>
          <w:shd w:val="clear" w:color="auto" w:fill="FFFFFF"/>
        </w:rPr>
        <w:t xml:space="preserve"> </w:t>
      </w:r>
    </w:p>
    <w:p w14:paraId="270E00B5" w14:textId="77777777" w:rsidR="00650DA7" w:rsidRDefault="00650DA7" w:rsidP="00DD2C0B">
      <w:pPr>
        <w:tabs>
          <w:tab w:val="left" w:pos="1110"/>
        </w:tabs>
        <w:spacing w:line="480" w:lineRule="auto"/>
        <w:ind w:left="1111" w:hanging="1111"/>
        <w:rPr>
          <w:rFonts w:cstheme="minorHAnsi"/>
          <w:color w:val="222222"/>
          <w:shd w:val="clear" w:color="auto" w:fill="FFFFFF"/>
        </w:rPr>
      </w:pPr>
    </w:p>
    <w:p w14:paraId="6497D0AD" w14:textId="2C74F28C" w:rsidR="00650DA7" w:rsidRDefault="00FF443A" w:rsidP="00DD2C0B">
      <w:pPr>
        <w:tabs>
          <w:tab w:val="left" w:pos="1110"/>
        </w:tabs>
        <w:spacing w:line="480" w:lineRule="auto"/>
        <w:ind w:left="1111" w:hanging="1111"/>
        <w:rPr>
          <w:rFonts w:cstheme="minorHAnsi"/>
          <w:color w:val="222222"/>
          <w:shd w:val="clear" w:color="auto" w:fill="FFFFFF"/>
        </w:rPr>
      </w:pPr>
      <w:r w:rsidRPr="00FF443A">
        <w:rPr>
          <w:rFonts w:cstheme="minorHAnsi"/>
          <w:color w:val="222222"/>
          <w:shd w:val="clear" w:color="auto" w:fill="FFFFFF"/>
        </w:rPr>
        <w:t>Haack, S. (2015). The expert witness: Lessons from the US experience. </w:t>
      </w:r>
      <w:r w:rsidRPr="00FF443A">
        <w:rPr>
          <w:rFonts w:cstheme="minorHAnsi"/>
          <w:i/>
          <w:iCs/>
          <w:color w:val="222222"/>
          <w:shd w:val="clear" w:color="auto" w:fill="FFFFFF"/>
        </w:rPr>
        <w:t>Humana Mente: Journal of Philosophical Studies</w:t>
      </w:r>
      <w:r w:rsidRPr="00FF443A">
        <w:rPr>
          <w:rFonts w:cstheme="minorHAnsi"/>
          <w:color w:val="222222"/>
          <w:shd w:val="clear" w:color="auto" w:fill="FFFFFF"/>
        </w:rPr>
        <w:t>, </w:t>
      </w:r>
      <w:r w:rsidRPr="00FF443A">
        <w:rPr>
          <w:rFonts w:cstheme="minorHAnsi"/>
          <w:i/>
          <w:iCs/>
          <w:color w:val="222222"/>
          <w:shd w:val="clear" w:color="auto" w:fill="FFFFFF"/>
        </w:rPr>
        <w:t>28</w:t>
      </w:r>
      <w:r w:rsidRPr="00FF443A">
        <w:rPr>
          <w:rFonts w:cstheme="minorHAnsi"/>
          <w:color w:val="222222"/>
          <w:shd w:val="clear" w:color="auto" w:fill="FFFFFF"/>
        </w:rPr>
        <w:t>(2015), 39-70.https://ssrn.com/abstract=2615150</w:t>
      </w:r>
    </w:p>
    <w:p w14:paraId="1FE921B2" w14:textId="77777777" w:rsidR="008363DB" w:rsidRDefault="008363DB" w:rsidP="00DD2C0B">
      <w:pPr>
        <w:tabs>
          <w:tab w:val="left" w:pos="1110"/>
        </w:tabs>
        <w:spacing w:line="480" w:lineRule="auto"/>
        <w:ind w:left="1111" w:hanging="1111"/>
        <w:rPr>
          <w:rFonts w:cstheme="minorHAnsi"/>
          <w:color w:val="222222"/>
          <w:shd w:val="clear" w:color="auto" w:fill="FFFFFF"/>
        </w:rPr>
      </w:pPr>
    </w:p>
    <w:p w14:paraId="1E385B06" w14:textId="0396453B" w:rsidR="008363DB" w:rsidRPr="008363DB" w:rsidRDefault="008363DB" w:rsidP="00DD2C0B">
      <w:pPr>
        <w:tabs>
          <w:tab w:val="left" w:pos="1110"/>
        </w:tabs>
        <w:spacing w:line="480" w:lineRule="auto"/>
        <w:ind w:left="1111" w:hanging="1111"/>
        <w:rPr>
          <w:rFonts w:cstheme="minorHAnsi"/>
          <w:color w:val="222222"/>
          <w:shd w:val="clear" w:color="auto" w:fill="FFFFFF"/>
        </w:rPr>
      </w:pPr>
      <w:r w:rsidRPr="008363DB">
        <w:rPr>
          <w:rFonts w:cstheme="minorHAnsi"/>
          <w:color w:val="222222"/>
          <w:shd w:val="clear" w:color="auto" w:fill="FFFFFF"/>
        </w:rPr>
        <w:t>Henningsen, D. D., Cruz, M. G., &amp; Miller, M. L. (2000). Role of social loafing in predeliberation decision making. </w:t>
      </w:r>
      <w:r w:rsidRPr="008363DB">
        <w:rPr>
          <w:rFonts w:cstheme="minorHAnsi"/>
          <w:i/>
          <w:iCs/>
          <w:color w:val="222222"/>
          <w:shd w:val="clear" w:color="auto" w:fill="FFFFFF"/>
        </w:rPr>
        <w:t>Group Dynamics: Theory, Research, and Practice</w:t>
      </w:r>
      <w:r w:rsidRPr="008363DB">
        <w:rPr>
          <w:rFonts w:cstheme="minorHAnsi"/>
          <w:color w:val="222222"/>
          <w:shd w:val="clear" w:color="auto" w:fill="FFFFFF"/>
        </w:rPr>
        <w:t>, </w:t>
      </w:r>
      <w:r w:rsidRPr="008363DB">
        <w:rPr>
          <w:rFonts w:cstheme="minorHAnsi"/>
          <w:i/>
          <w:iCs/>
          <w:color w:val="222222"/>
          <w:shd w:val="clear" w:color="auto" w:fill="FFFFFF"/>
        </w:rPr>
        <w:t>4</w:t>
      </w:r>
      <w:r w:rsidRPr="008363DB">
        <w:rPr>
          <w:rFonts w:cstheme="minorHAnsi"/>
          <w:color w:val="222222"/>
          <w:shd w:val="clear" w:color="auto" w:fill="FFFFFF"/>
        </w:rPr>
        <w:t>(2), 168. https://psycnet.apa.org/doi/10.1037/1089-2699.4.2.168</w:t>
      </w:r>
    </w:p>
    <w:p w14:paraId="63214876" w14:textId="77777777" w:rsidR="00EC3595" w:rsidRDefault="00EC3595" w:rsidP="00DD2C0B">
      <w:pPr>
        <w:tabs>
          <w:tab w:val="left" w:pos="1110"/>
        </w:tabs>
        <w:spacing w:line="480" w:lineRule="auto"/>
        <w:ind w:left="1111" w:hanging="1111"/>
        <w:rPr>
          <w:rFonts w:cstheme="minorHAnsi"/>
          <w:color w:val="222222"/>
          <w:shd w:val="clear" w:color="auto" w:fill="FFFFFF"/>
        </w:rPr>
      </w:pPr>
    </w:p>
    <w:p w14:paraId="02D98B93" w14:textId="09060481" w:rsidR="00EC3595" w:rsidRPr="00EC3595" w:rsidRDefault="00EC3595" w:rsidP="00DD2C0B">
      <w:pPr>
        <w:tabs>
          <w:tab w:val="left" w:pos="1110"/>
        </w:tabs>
        <w:spacing w:line="480" w:lineRule="auto"/>
        <w:ind w:left="1111" w:hanging="1111"/>
        <w:rPr>
          <w:rFonts w:cstheme="minorHAnsi"/>
          <w:color w:val="222222"/>
          <w:shd w:val="clear" w:color="auto" w:fill="FFFFFF"/>
        </w:rPr>
      </w:pPr>
      <w:r w:rsidRPr="00EC3595">
        <w:rPr>
          <w:rFonts w:cstheme="minorHAnsi"/>
          <w:color w:val="222222"/>
          <w:shd w:val="clear" w:color="auto" w:fill="FFFFFF"/>
        </w:rPr>
        <w:t>Ivković, S. K., &amp; Hans, V. P. (2003). Jurors' evaluations of expert testimony: Judging the messenger and the message. </w:t>
      </w:r>
      <w:r w:rsidRPr="00EC3595">
        <w:rPr>
          <w:rFonts w:cstheme="minorHAnsi"/>
          <w:i/>
          <w:iCs/>
          <w:color w:val="222222"/>
          <w:shd w:val="clear" w:color="auto" w:fill="FFFFFF"/>
        </w:rPr>
        <w:t>Law &amp; Social Inquiry</w:t>
      </w:r>
      <w:r w:rsidRPr="00EC3595">
        <w:rPr>
          <w:rFonts w:cstheme="minorHAnsi"/>
          <w:color w:val="222222"/>
          <w:shd w:val="clear" w:color="auto" w:fill="FFFFFF"/>
        </w:rPr>
        <w:t>, </w:t>
      </w:r>
      <w:r w:rsidRPr="00EC3595">
        <w:rPr>
          <w:rFonts w:cstheme="minorHAnsi"/>
          <w:i/>
          <w:iCs/>
          <w:color w:val="222222"/>
          <w:shd w:val="clear" w:color="auto" w:fill="FFFFFF"/>
        </w:rPr>
        <w:t>28</w:t>
      </w:r>
      <w:r w:rsidRPr="00EC3595">
        <w:rPr>
          <w:rFonts w:cstheme="minorHAnsi"/>
          <w:color w:val="222222"/>
          <w:shd w:val="clear" w:color="auto" w:fill="FFFFFF"/>
        </w:rPr>
        <w:t>(2), 441-482. https://doi.org/10.1111/j.1747-4469.2003.tb00198.x</w:t>
      </w:r>
    </w:p>
    <w:p w14:paraId="71CF76C5" w14:textId="77777777" w:rsidR="00DD2C0B" w:rsidRDefault="00DD2C0B" w:rsidP="00DD2C0B">
      <w:pPr>
        <w:tabs>
          <w:tab w:val="left" w:pos="1110"/>
        </w:tabs>
        <w:spacing w:line="480" w:lineRule="auto"/>
        <w:ind w:left="1111" w:hanging="1111"/>
        <w:rPr>
          <w:rFonts w:cstheme="minorHAnsi"/>
          <w:color w:val="222222"/>
          <w:shd w:val="clear" w:color="auto" w:fill="FFFFFF"/>
        </w:rPr>
      </w:pPr>
    </w:p>
    <w:p w14:paraId="4AF10D73" w14:textId="5A438E1E" w:rsidR="003F697B" w:rsidRDefault="003F697B" w:rsidP="00DD2C0B">
      <w:pPr>
        <w:tabs>
          <w:tab w:val="left" w:pos="1110"/>
        </w:tabs>
        <w:spacing w:line="480" w:lineRule="auto"/>
        <w:ind w:left="1111" w:hanging="1111"/>
        <w:rPr>
          <w:rFonts w:cstheme="minorHAnsi"/>
          <w:color w:val="222222"/>
          <w:shd w:val="clear" w:color="auto" w:fill="FFFFFF"/>
        </w:rPr>
      </w:pPr>
      <w:r w:rsidRPr="003F697B">
        <w:rPr>
          <w:rFonts w:cstheme="minorHAnsi"/>
          <w:color w:val="222222"/>
          <w:shd w:val="clear" w:color="auto" w:fill="FFFFFF"/>
        </w:rPr>
        <w:t>Jae-Hyup, L. E. E., &amp; Jisuk, W. O. O. (2019). Assessment of the jury systems in Asia: A comparison of Korea and Japan. </w:t>
      </w:r>
      <w:r w:rsidRPr="003F697B">
        <w:rPr>
          <w:rFonts w:cstheme="minorHAnsi"/>
          <w:i/>
          <w:iCs/>
          <w:color w:val="222222"/>
          <w:shd w:val="clear" w:color="auto" w:fill="FFFFFF"/>
        </w:rPr>
        <w:t>Asian Journal of Comparative Law</w:t>
      </w:r>
      <w:r w:rsidRPr="003F697B">
        <w:rPr>
          <w:rFonts w:cstheme="minorHAnsi"/>
          <w:color w:val="222222"/>
          <w:shd w:val="clear" w:color="auto" w:fill="FFFFFF"/>
        </w:rPr>
        <w:t>, </w:t>
      </w:r>
      <w:r w:rsidRPr="003F697B">
        <w:rPr>
          <w:rFonts w:cstheme="minorHAnsi"/>
          <w:i/>
          <w:iCs/>
          <w:color w:val="222222"/>
          <w:shd w:val="clear" w:color="auto" w:fill="FFFFFF"/>
        </w:rPr>
        <w:t>14</w:t>
      </w:r>
      <w:r w:rsidRPr="003F697B">
        <w:rPr>
          <w:rFonts w:cstheme="minorHAnsi"/>
          <w:color w:val="222222"/>
          <w:shd w:val="clear" w:color="auto" w:fill="FFFFFF"/>
        </w:rPr>
        <w:t xml:space="preserve">(S1), S77-S96. </w:t>
      </w:r>
      <w:hyperlink r:id="rId13" w:history="1">
        <w:r w:rsidRPr="003F697B">
          <w:rPr>
            <w:rStyle w:val="Hyperlink"/>
            <w:rFonts w:cstheme="minorHAnsi"/>
            <w:shd w:val="clear" w:color="auto" w:fill="FFFFFF"/>
          </w:rPr>
          <w:t>https://doi.org/10.1017/asjcl.2019.9</w:t>
        </w:r>
      </w:hyperlink>
      <w:r w:rsidRPr="003F697B">
        <w:rPr>
          <w:rFonts w:cstheme="minorHAnsi"/>
          <w:color w:val="222222"/>
          <w:shd w:val="clear" w:color="auto" w:fill="FFFFFF"/>
        </w:rPr>
        <w:t xml:space="preserve"> </w:t>
      </w:r>
    </w:p>
    <w:p w14:paraId="74AFD193" w14:textId="77777777" w:rsidR="00EC3595" w:rsidRDefault="00EC3595" w:rsidP="00DD2C0B">
      <w:pPr>
        <w:tabs>
          <w:tab w:val="left" w:pos="1110"/>
        </w:tabs>
        <w:spacing w:line="480" w:lineRule="auto"/>
        <w:ind w:left="1111" w:hanging="1111"/>
        <w:rPr>
          <w:rFonts w:cstheme="minorHAnsi"/>
          <w:color w:val="222222"/>
          <w:shd w:val="clear" w:color="auto" w:fill="FFFFFF"/>
        </w:rPr>
      </w:pPr>
    </w:p>
    <w:p w14:paraId="02684545" w14:textId="1DE06A57" w:rsidR="00EC3595" w:rsidRPr="00EC3595" w:rsidRDefault="00EC3595" w:rsidP="00DD2C0B">
      <w:pPr>
        <w:tabs>
          <w:tab w:val="left" w:pos="1110"/>
        </w:tabs>
        <w:spacing w:line="480" w:lineRule="auto"/>
        <w:ind w:left="1111" w:hanging="1111"/>
        <w:rPr>
          <w:rFonts w:cstheme="minorHAnsi"/>
          <w:color w:val="222222"/>
          <w:shd w:val="clear" w:color="auto" w:fill="FFFFFF"/>
        </w:rPr>
      </w:pPr>
      <w:r w:rsidRPr="00EC3595">
        <w:rPr>
          <w:rFonts w:cstheme="minorHAnsi"/>
          <w:color w:val="222222"/>
          <w:shd w:val="clear" w:color="auto" w:fill="FFFFFF"/>
        </w:rPr>
        <w:lastRenderedPageBreak/>
        <w:t>Jones, A. C., Repke, A., Batastini, A. B., Sacco, D., Dahlen, E. R., &amp; Mohn, R. S. (2023). The power of presentation: How attire, cosmetics, and posture impact the source credibility of women expert witnesses. </w:t>
      </w:r>
      <w:r w:rsidRPr="00EC3595">
        <w:rPr>
          <w:rFonts w:cstheme="minorHAnsi"/>
          <w:i/>
          <w:iCs/>
          <w:color w:val="222222"/>
          <w:shd w:val="clear" w:color="auto" w:fill="FFFFFF"/>
        </w:rPr>
        <w:t>Journal of Forensic Sciences</w:t>
      </w:r>
      <w:r w:rsidRPr="00EC3595">
        <w:rPr>
          <w:rFonts w:cstheme="minorHAnsi"/>
          <w:color w:val="222222"/>
          <w:shd w:val="clear" w:color="auto" w:fill="FFFFFF"/>
        </w:rPr>
        <w:t>.</w:t>
      </w:r>
      <w:r>
        <w:rPr>
          <w:rFonts w:cstheme="minorHAnsi"/>
          <w:color w:val="222222"/>
          <w:shd w:val="clear" w:color="auto" w:fill="FFFFFF"/>
        </w:rPr>
        <w:t xml:space="preserve"> </w:t>
      </w:r>
      <w:hyperlink r:id="rId14" w:history="1">
        <w:r w:rsidRPr="003D44A1">
          <w:rPr>
            <w:rStyle w:val="Hyperlink"/>
            <w:rFonts w:cstheme="minorHAnsi"/>
            <w:shd w:val="clear" w:color="auto" w:fill="FFFFFF"/>
          </w:rPr>
          <w:t>https://doi.org/10.1111/1556-4029.15253</w:t>
        </w:r>
      </w:hyperlink>
      <w:r>
        <w:rPr>
          <w:rFonts w:cstheme="minorHAnsi"/>
          <w:color w:val="222222"/>
          <w:shd w:val="clear" w:color="auto" w:fill="FFFFFF"/>
        </w:rPr>
        <w:t xml:space="preserve"> </w:t>
      </w:r>
    </w:p>
    <w:p w14:paraId="56AD4D25" w14:textId="77777777" w:rsidR="00DD2C0B" w:rsidRPr="003F697B" w:rsidRDefault="00DD2C0B" w:rsidP="00DD2C0B">
      <w:pPr>
        <w:tabs>
          <w:tab w:val="left" w:pos="1110"/>
        </w:tabs>
        <w:spacing w:line="480" w:lineRule="auto"/>
        <w:ind w:left="1111" w:hanging="1111"/>
        <w:rPr>
          <w:rFonts w:cstheme="minorHAnsi"/>
        </w:rPr>
      </w:pPr>
    </w:p>
    <w:p w14:paraId="1B9B9855" w14:textId="0D91FCC7" w:rsidR="00E51C94" w:rsidRDefault="00E51C94" w:rsidP="00DD2C0B">
      <w:pPr>
        <w:tabs>
          <w:tab w:val="left" w:pos="1110"/>
        </w:tabs>
        <w:spacing w:line="480" w:lineRule="auto"/>
        <w:ind w:left="1111" w:hanging="1111"/>
      </w:pPr>
      <w:r>
        <w:t xml:space="preserve">Kapardis, A., &amp; Farrington, D, P. (2018) </w:t>
      </w:r>
      <w:r>
        <w:rPr>
          <w:i/>
          <w:iCs/>
        </w:rPr>
        <w:t xml:space="preserve">The psychology of crime, policing and courts. </w:t>
      </w:r>
      <w:r>
        <w:t xml:space="preserve">Routledge. </w:t>
      </w:r>
    </w:p>
    <w:p w14:paraId="38739878" w14:textId="77777777" w:rsidR="00E65AF6" w:rsidRDefault="00E65AF6" w:rsidP="00DD2C0B">
      <w:pPr>
        <w:tabs>
          <w:tab w:val="left" w:pos="1110"/>
        </w:tabs>
        <w:spacing w:line="480" w:lineRule="auto"/>
        <w:ind w:left="1111" w:hanging="1111"/>
      </w:pPr>
    </w:p>
    <w:p w14:paraId="19E95882" w14:textId="1353A4B4" w:rsidR="00E65AF6" w:rsidRDefault="00E65AF6" w:rsidP="00DD2C0B">
      <w:pPr>
        <w:tabs>
          <w:tab w:val="left" w:pos="1110"/>
        </w:tabs>
        <w:spacing w:line="480" w:lineRule="auto"/>
        <w:ind w:left="1111" w:hanging="1111"/>
        <w:rPr>
          <w:rFonts w:cstheme="minorHAnsi"/>
          <w:color w:val="3A3A3A"/>
          <w:shd w:val="clear" w:color="auto" w:fill="FFFFFF"/>
        </w:rPr>
      </w:pPr>
      <w:r w:rsidRPr="00E65AF6">
        <w:rPr>
          <w:rFonts w:cstheme="minorHAnsi"/>
          <w:color w:val="222222"/>
          <w:shd w:val="clear" w:color="auto" w:fill="FFFFFF"/>
        </w:rPr>
        <w:t>Larsen, K. S. (1990). The Asch conformity experiment: Replication and transhistorical comparison. </w:t>
      </w:r>
      <w:r w:rsidRPr="00E65AF6">
        <w:rPr>
          <w:rFonts w:cstheme="minorHAnsi"/>
          <w:i/>
          <w:iCs/>
          <w:color w:val="222222"/>
          <w:shd w:val="clear" w:color="auto" w:fill="FFFFFF"/>
        </w:rPr>
        <w:t>Journal of Social Behavior and Personality</w:t>
      </w:r>
      <w:r w:rsidRPr="00E65AF6">
        <w:rPr>
          <w:rFonts w:cstheme="minorHAnsi"/>
          <w:color w:val="222222"/>
          <w:shd w:val="clear" w:color="auto" w:fill="FFFFFF"/>
        </w:rPr>
        <w:t>, </w:t>
      </w:r>
      <w:r w:rsidRPr="00E65AF6">
        <w:rPr>
          <w:rFonts w:cstheme="minorHAnsi"/>
          <w:i/>
          <w:iCs/>
          <w:color w:val="222222"/>
          <w:shd w:val="clear" w:color="auto" w:fill="FFFFFF"/>
        </w:rPr>
        <w:t>5</w:t>
      </w:r>
      <w:r w:rsidRPr="00E65AF6">
        <w:rPr>
          <w:rFonts w:cstheme="minorHAnsi"/>
          <w:color w:val="222222"/>
          <w:shd w:val="clear" w:color="auto" w:fill="FFFFFF"/>
        </w:rPr>
        <w:t xml:space="preserve">(4), 163. </w:t>
      </w:r>
      <w:hyperlink r:id="rId15" w:history="1">
        <w:r w:rsidR="008066C7" w:rsidRPr="00CD6480">
          <w:rPr>
            <w:rStyle w:val="Hyperlink"/>
            <w:rFonts w:cstheme="minorHAnsi"/>
            <w:shd w:val="clear" w:color="auto" w:fill="FFFFFF"/>
          </w:rPr>
          <w:t>https://doi.org/info:doi/</w:t>
        </w:r>
      </w:hyperlink>
      <w:r w:rsidR="008066C7">
        <w:rPr>
          <w:rFonts w:cstheme="minorHAnsi"/>
          <w:color w:val="3A3A3A"/>
          <w:shd w:val="clear" w:color="auto" w:fill="FFFFFF"/>
        </w:rPr>
        <w:t xml:space="preserve"> </w:t>
      </w:r>
    </w:p>
    <w:p w14:paraId="5913AA7E" w14:textId="77777777" w:rsidR="008066C7" w:rsidRDefault="008066C7" w:rsidP="00DD2C0B">
      <w:pPr>
        <w:tabs>
          <w:tab w:val="left" w:pos="1110"/>
        </w:tabs>
        <w:spacing w:line="480" w:lineRule="auto"/>
        <w:ind w:left="1111" w:hanging="1111"/>
        <w:rPr>
          <w:rFonts w:cstheme="minorHAnsi"/>
        </w:rPr>
      </w:pPr>
    </w:p>
    <w:p w14:paraId="79D23A00" w14:textId="389F19E6" w:rsidR="008066C7" w:rsidRPr="008066C7" w:rsidRDefault="008066C7" w:rsidP="00DD2C0B">
      <w:pPr>
        <w:tabs>
          <w:tab w:val="left" w:pos="1110"/>
        </w:tabs>
        <w:spacing w:line="480" w:lineRule="auto"/>
        <w:ind w:left="1111" w:hanging="1111"/>
        <w:rPr>
          <w:rFonts w:cstheme="minorHAnsi"/>
        </w:rPr>
      </w:pPr>
      <w:r w:rsidRPr="008066C7">
        <w:rPr>
          <w:rFonts w:cstheme="minorHAnsi"/>
          <w:color w:val="222222"/>
          <w:shd w:val="clear" w:color="auto" w:fill="FFFFFF"/>
        </w:rPr>
        <w:t>Lecci, L. B., &amp; Myers, B. (2009). Predicting guilt judgments and verdict change using a measure of pretrial bias in a videotaped mock trial with deliberating jurors. </w:t>
      </w:r>
      <w:r w:rsidRPr="008066C7">
        <w:rPr>
          <w:rFonts w:cstheme="minorHAnsi"/>
          <w:i/>
          <w:iCs/>
          <w:color w:val="222222"/>
          <w:shd w:val="clear" w:color="auto" w:fill="FFFFFF"/>
        </w:rPr>
        <w:t>Psychology, Crime &amp; Law</w:t>
      </w:r>
      <w:r w:rsidRPr="008066C7">
        <w:rPr>
          <w:rFonts w:cstheme="minorHAnsi"/>
          <w:color w:val="222222"/>
          <w:shd w:val="clear" w:color="auto" w:fill="FFFFFF"/>
        </w:rPr>
        <w:t>, </w:t>
      </w:r>
      <w:r w:rsidRPr="008066C7">
        <w:rPr>
          <w:rFonts w:cstheme="minorHAnsi"/>
          <w:i/>
          <w:iCs/>
          <w:color w:val="222222"/>
          <w:shd w:val="clear" w:color="auto" w:fill="FFFFFF"/>
        </w:rPr>
        <w:t>15</w:t>
      </w:r>
      <w:r w:rsidRPr="008066C7">
        <w:rPr>
          <w:rFonts w:cstheme="minorHAnsi"/>
          <w:color w:val="222222"/>
          <w:shd w:val="clear" w:color="auto" w:fill="FFFFFF"/>
        </w:rPr>
        <w:t>(7), 619-634.</w:t>
      </w:r>
      <w:r w:rsidRPr="008066C7">
        <w:rPr>
          <w:rFonts w:cstheme="minorHAnsi"/>
          <w:color w:val="222222"/>
          <w:shd w:val="clear" w:color="auto" w:fill="FFFFFF"/>
        </w:rPr>
        <w:t xml:space="preserve"> </w:t>
      </w:r>
      <w:hyperlink r:id="rId16" w:history="1">
        <w:r w:rsidRPr="008066C7">
          <w:rPr>
            <w:rStyle w:val="Hyperlink"/>
            <w:rFonts w:cstheme="minorHAnsi"/>
          </w:rPr>
          <w:t>https://doi.org/10.1080/10683160802477757</w:t>
        </w:r>
      </w:hyperlink>
      <w:r w:rsidRPr="008066C7">
        <w:rPr>
          <w:rFonts w:cstheme="minorHAnsi"/>
        </w:rPr>
        <w:t xml:space="preserve"> </w:t>
      </w:r>
    </w:p>
    <w:p w14:paraId="227D35FD" w14:textId="77777777" w:rsidR="00DD2C0B" w:rsidRDefault="00DD2C0B" w:rsidP="00DD2C0B">
      <w:pPr>
        <w:tabs>
          <w:tab w:val="left" w:pos="1110"/>
        </w:tabs>
        <w:spacing w:line="480" w:lineRule="auto"/>
        <w:ind w:left="1111" w:hanging="1111"/>
      </w:pPr>
    </w:p>
    <w:p w14:paraId="3B102849" w14:textId="741A4981" w:rsidR="00083B61" w:rsidRDefault="00D654D8" w:rsidP="00DD2C0B">
      <w:pPr>
        <w:tabs>
          <w:tab w:val="left" w:pos="1110"/>
        </w:tabs>
        <w:spacing w:line="480" w:lineRule="auto"/>
        <w:ind w:left="1111" w:hanging="1111"/>
        <w:rPr>
          <w:rFonts w:cstheme="minorHAnsi"/>
        </w:rPr>
      </w:pPr>
      <w:r w:rsidRPr="00D654D8">
        <w:rPr>
          <w:rFonts w:cstheme="minorHAnsi"/>
          <w:color w:val="222222"/>
          <w:shd w:val="clear" w:color="auto" w:fill="FFFFFF"/>
        </w:rPr>
        <w:t>Lonergan, M., Leclerc, M. È., Descamps, M., Pigeon, S., &amp; Brunet, A. (2016). Prevalence and severity of trauma-and stressor-related symptoms among jurors: A review. </w:t>
      </w:r>
      <w:r w:rsidRPr="00D654D8">
        <w:rPr>
          <w:rFonts w:cstheme="minorHAnsi"/>
          <w:i/>
          <w:iCs/>
          <w:color w:val="222222"/>
          <w:shd w:val="clear" w:color="auto" w:fill="FFFFFF"/>
        </w:rPr>
        <w:t>Journal of Criminal Justice</w:t>
      </w:r>
      <w:r w:rsidRPr="00D654D8">
        <w:rPr>
          <w:rFonts w:cstheme="minorHAnsi"/>
          <w:color w:val="222222"/>
          <w:shd w:val="clear" w:color="auto" w:fill="FFFFFF"/>
        </w:rPr>
        <w:t>, </w:t>
      </w:r>
      <w:r w:rsidRPr="00D654D8">
        <w:rPr>
          <w:rFonts w:cstheme="minorHAnsi"/>
          <w:i/>
          <w:iCs/>
          <w:color w:val="222222"/>
          <w:shd w:val="clear" w:color="auto" w:fill="FFFFFF"/>
        </w:rPr>
        <w:t>47</w:t>
      </w:r>
      <w:r w:rsidRPr="00D654D8">
        <w:rPr>
          <w:rFonts w:cstheme="minorHAnsi"/>
          <w:color w:val="222222"/>
          <w:shd w:val="clear" w:color="auto" w:fill="FFFFFF"/>
        </w:rPr>
        <w:t>, 51-61.</w:t>
      </w:r>
      <w:r w:rsidRPr="00D654D8">
        <w:rPr>
          <w:rFonts w:cstheme="minorHAnsi"/>
        </w:rPr>
        <w:t>https://doi.org/10.1016/j.jcrimjus.2016.07.003</w:t>
      </w:r>
    </w:p>
    <w:p w14:paraId="7F276EF5" w14:textId="77777777" w:rsidR="00B45392" w:rsidRDefault="00B45392" w:rsidP="00DD2C0B">
      <w:pPr>
        <w:tabs>
          <w:tab w:val="left" w:pos="1110"/>
        </w:tabs>
        <w:spacing w:line="480" w:lineRule="auto"/>
        <w:ind w:left="1111" w:hanging="1111"/>
        <w:rPr>
          <w:rFonts w:cstheme="minorHAnsi"/>
        </w:rPr>
      </w:pPr>
    </w:p>
    <w:p w14:paraId="638A8434" w14:textId="109A8B2A" w:rsidR="00B45392" w:rsidRDefault="00B45392" w:rsidP="00DD2C0B">
      <w:pPr>
        <w:tabs>
          <w:tab w:val="left" w:pos="1110"/>
        </w:tabs>
        <w:spacing w:line="480" w:lineRule="auto"/>
        <w:ind w:left="1111" w:hanging="1111"/>
        <w:rPr>
          <w:rFonts w:cstheme="minorHAnsi"/>
          <w:color w:val="222222"/>
          <w:shd w:val="clear" w:color="auto" w:fill="FFFFFF"/>
        </w:rPr>
      </w:pPr>
      <w:r w:rsidRPr="00B45392">
        <w:rPr>
          <w:rFonts w:cstheme="minorHAnsi"/>
          <w:color w:val="222222"/>
          <w:shd w:val="clear" w:color="auto" w:fill="FFFFFF"/>
        </w:rPr>
        <w:t>Martin, M., De La Fuente, L., De La Fuente, E., &amp; García, J. (2007). The influence of sample type, presentation format and strength of evidence on juror simulation research. </w:t>
      </w:r>
      <w:r w:rsidRPr="00B45392">
        <w:rPr>
          <w:rFonts w:cstheme="minorHAnsi"/>
          <w:i/>
          <w:iCs/>
          <w:color w:val="222222"/>
          <w:shd w:val="clear" w:color="auto" w:fill="FFFFFF"/>
        </w:rPr>
        <w:t>Psychology, Crime &amp; Law</w:t>
      </w:r>
      <w:r w:rsidRPr="00B45392">
        <w:rPr>
          <w:rFonts w:cstheme="minorHAnsi"/>
          <w:color w:val="222222"/>
          <w:shd w:val="clear" w:color="auto" w:fill="FFFFFF"/>
        </w:rPr>
        <w:t>, </w:t>
      </w:r>
      <w:r w:rsidRPr="00B45392">
        <w:rPr>
          <w:rFonts w:cstheme="minorHAnsi"/>
          <w:i/>
          <w:iCs/>
          <w:color w:val="222222"/>
          <w:shd w:val="clear" w:color="auto" w:fill="FFFFFF"/>
        </w:rPr>
        <w:t>13</w:t>
      </w:r>
      <w:r w:rsidRPr="00B45392">
        <w:rPr>
          <w:rFonts w:cstheme="minorHAnsi"/>
          <w:color w:val="222222"/>
          <w:shd w:val="clear" w:color="auto" w:fill="FFFFFF"/>
        </w:rPr>
        <w:t xml:space="preserve">(2), 139-153. </w:t>
      </w:r>
      <w:hyperlink r:id="rId17" w:history="1">
        <w:r w:rsidR="0031561B" w:rsidRPr="007202BC">
          <w:rPr>
            <w:rStyle w:val="Hyperlink"/>
            <w:rFonts w:cstheme="minorHAnsi"/>
            <w:shd w:val="clear" w:color="auto" w:fill="FFFFFF"/>
          </w:rPr>
          <w:t>https://doi.org/10.1080/10683160500537431</w:t>
        </w:r>
      </w:hyperlink>
    </w:p>
    <w:p w14:paraId="23D17B49" w14:textId="77777777" w:rsidR="0031561B" w:rsidRDefault="0031561B" w:rsidP="00DD2C0B">
      <w:pPr>
        <w:tabs>
          <w:tab w:val="left" w:pos="1110"/>
        </w:tabs>
        <w:spacing w:line="480" w:lineRule="auto"/>
        <w:ind w:left="1111" w:hanging="1111"/>
        <w:rPr>
          <w:rFonts w:cstheme="minorHAnsi"/>
          <w:color w:val="222222"/>
          <w:shd w:val="clear" w:color="auto" w:fill="FFFFFF"/>
        </w:rPr>
      </w:pPr>
    </w:p>
    <w:p w14:paraId="1CB8E471" w14:textId="3E1E5677" w:rsidR="0031561B" w:rsidRPr="0031561B" w:rsidRDefault="0031561B" w:rsidP="00DD2C0B">
      <w:pPr>
        <w:tabs>
          <w:tab w:val="left" w:pos="1110"/>
        </w:tabs>
        <w:spacing w:line="480" w:lineRule="auto"/>
        <w:ind w:left="1111" w:hanging="1111"/>
        <w:rPr>
          <w:rFonts w:cstheme="minorHAnsi"/>
        </w:rPr>
      </w:pPr>
      <w:r w:rsidRPr="0031561B">
        <w:rPr>
          <w:rFonts w:cstheme="minorHAnsi"/>
          <w:color w:val="222222"/>
          <w:shd w:val="clear" w:color="auto" w:fill="FFFFFF"/>
        </w:rPr>
        <w:lastRenderedPageBreak/>
        <w:t>Mitchell, T. L., Haw, R. M., Pfeifer, J. E., &amp; Meissner, C. A. (2005). Racial bias in mock juror decision-making: A meta-analytic review of defendant treatment. </w:t>
      </w:r>
      <w:r w:rsidRPr="0031561B">
        <w:rPr>
          <w:rFonts w:cstheme="minorHAnsi"/>
          <w:i/>
          <w:iCs/>
          <w:color w:val="222222"/>
          <w:shd w:val="clear" w:color="auto" w:fill="FFFFFF"/>
        </w:rPr>
        <w:t>Law and human behavior</w:t>
      </w:r>
      <w:r w:rsidRPr="0031561B">
        <w:rPr>
          <w:rFonts w:cstheme="minorHAnsi"/>
          <w:color w:val="222222"/>
          <w:shd w:val="clear" w:color="auto" w:fill="FFFFFF"/>
        </w:rPr>
        <w:t>, </w:t>
      </w:r>
      <w:r w:rsidRPr="0031561B">
        <w:rPr>
          <w:rFonts w:cstheme="minorHAnsi"/>
          <w:i/>
          <w:iCs/>
          <w:color w:val="222222"/>
          <w:shd w:val="clear" w:color="auto" w:fill="FFFFFF"/>
        </w:rPr>
        <w:t>29</w:t>
      </w:r>
      <w:r w:rsidRPr="0031561B">
        <w:rPr>
          <w:rFonts w:cstheme="minorHAnsi"/>
          <w:color w:val="222222"/>
          <w:shd w:val="clear" w:color="auto" w:fill="FFFFFF"/>
        </w:rPr>
        <w:t xml:space="preserve">, 621-637. </w:t>
      </w:r>
    </w:p>
    <w:p w14:paraId="128687BF" w14:textId="77777777" w:rsidR="00DD2C0B" w:rsidRPr="00313DF8" w:rsidRDefault="00DD2C0B" w:rsidP="00DD2C0B">
      <w:pPr>
        <w:tabs>
          <w:tab w:val="left" w:pos="1110"/>
        </w:tabs>
        <w:spacing w:line="480" w:lineRule="auto"/>
        <w:ind w:left="1111" w:hanging="1111"/>
        <w:rPr>
          <w:rFonts w:cstheme="minorHAnsi"/>
        </w:rPr>
      </w:pPr>
    </w:p>
    <w:p w14:paraId="2F9AE874" w14:textId="531CAE16" w:rsidR="001C01DE" w:rsidRDefault="00083B61" w:rsidP="00DD2C0B">
      <w:pPr>
        <w:tabs>
          <w:tab w:val="left" w:pos="1110"/>
        </w:tabs>
        <w:spacing w:line="480" w:lineRule="auto"/>
        <w:ind w:left="1111" w:hanging="1111"/>
        <w:rPr>
          <w:rFonts w:cstheme="minorHAnsi"/>
          <w:color w:val="222222"/>
          <w:shd w:val="clear" w:color="auto" w:fill="FFFFFF"/>
        </w:rPr>
      </w:pPr>
      <w:r w:rsidRPr="00313DF8">
        <w:rPr>
          <w:rFonts w:cstheme="minorHAnsi"/>
          <w:color w:val="222222"/>
          <w:shd w:val="clear" w:color="auto" w:fill="FFFFFF"/>
        </w:rPr>
        <w:t>Robertson, N., Davies, G., &amp; Nettleingham, A. (2009). Vicarious traumatisation as a consequence of jury service. </w:t>
      </w:r>
      <w:r w:rsidRPr="00313DF8">
        <w:rPr>
          <w:rFonts w:cstheme="minorHAnsi"/>
          <w:i/>
          <w:iCs/>
          <w:color w:val="222222"/>
          <w:shd w:val="clear" w:color="auto" w:fill="FFFFFF"/>
        </w:rPr>
        <w:t>The Howard Journal of Criminal Justice</w:t>
      </w:r>
      <w:r w:rsidRPr="00313DF8">
        <w:rPr>
          <w:rFonts w:cstheme="minorHAnsi"/>
          <w:color w:val="222222"/>
          <w:shd w:val="clear" w:color="auto" w:fill="FFFFFF"/>
        </w:rPr>
        <w:t>, </w:t>
      </w:r>
      <w:r w:rsidRPr="00313DF8">
        <w:rPr>
          <w:rFonts w:cstheme="minorHAnsi"/>
          <w:i/>
          <w:iCs/>
          <w:color w:val="222222"/>
          <w:shd w:val="clear" w:color="auto" w:fill="FFFFFF"/>
        </w:rPr>
        <w:t>48</w:t>
      </w:r>
      <w:r w:rsidRPr="00313DF8">
        <w:rPr>
          <w:rFonts w:cstheme="minorHAnsi"/>
          <w:color w:val="222222"/>
          <w:shd w:val="clear" w:color="auto" w:fill="FFFFFF"/>
        </w:rPr>
        <w:t>(1), 1-12.</w:t>
      </w:r>
      <w:r w:rsidR="00313DF8" w:rsidRPr="00313DF8">
        <w:rPr>
          <w:rFonts w:cstheme="minorHAnsi"/>
        </w:rPr>
        <w:t xml:space="preserve"> </w:t>
      </w:r>
      <w:hyperlink r:id="rId18" w:history="1">
        <w:r w:rsidR="001C01DE" w:rsidRPr="00265432">
          <w:rPr>
            <w:rStyle w:val="Hyperlink"/>
            <w:rFonts w:cstheme="minorHAnsi"/>
            <w:shd w:val="clear" w:color="auto" w:fill="FFFFFF"/>
          </w:rPr>
          <w:t>https://doi.org/10.1111/j.1468-2311.2008.00539.x</w:t>
        </w:r>
      </w:hyperlink>
      <w:r w:rsidR="001C01DE">
        <w:rPr>
          <w:rFonts w:cstheme="minorHAnsi"/>
          <w:color w:val="222222"/>
          <w:shd w:val="clear" w:color="auto" w:fill="FFFFFF"/>
        </w:rPr>
        <w:t xml:space="preserve"> </w:t>
      </w:r>
    </w:p>
    <w:p w14:paraId="1F1EB1FF" w14:textId="77777777" w:rsidR="00C80F6E" w:rsidRDefault="00C80F6E" w:rsidP="00DD2C0B">
      <w:pPr>
        <w:tabs>
          <w:tab w:val="left" w:pos="1110"/>
        </w:tabs>
        <w:spacing w:line="480" w:lineRule="auto"/>
        <w:ind w:left="1111" w:hanging="1111"/>
        <w:rPr>
          <w:rFonts w:cstheme="minorHAnsi"/>
          <w:color w:val="222222"/>
          <w:shd w:val="clear" w:color="auto" w:fill="FFFFFF"/>
        </w:rPr>
      </w:pPr>
    </w:p>
    <w:p w14:paraId="33375804" w14:textId="7E9EB585" w:rsidR="00C80F6E" w:rsidRDefault="00C80F6E" w:rsidP="00DD2C0B">
      <w:pPr>
        <w:tabs>
          <w:tab w:val="left" w:pos="1110"/>
        </w:tabs>
        <w:spacing w:line="480" w:lineRule="auto"/>
        <w:ind w:left="1111" w:hanging="1111"/>
        <w:rPr>
          <w:rFonts w:cstheme="minorHAnsi"/>
          <w:color w:val="222222"/>
          <w:shd w:val="clear" w:color="auto" w:fill="FFFFFF"/>
        </w:rPr>
      </w:pPr>
      <w:r w:rsidRPr="00C80F6E">
        <w:rPr>
          <w:rFonts w:cstheme="minorHAnsi"/>
          <w:color w:val="222222"/>
          <w:shd w:val="clear" w:color="auto" w:fill="FFFFFF"/>
        </w:rPr>
        <w:t>Sargent, M. J., &amp; Bradfield, A. L. (2004). Race and information processing in criminal trials: Does the defendant’s race affect how the facts are evaluated?. </w:t>
      </w:r>
      <w:r w:rsidRPr="00C80F6E">
        <w:rPr>
          <w:rFonts w:cstheme="minorHAnsi"/>
          <w:i/>
          <w:iCs/>
          <w:color w:val="222222"/>
          <w:shd w:val="clear" w:color="auto" w:fill="FFFFFF"/>
        </w:rPr>
        <w:t>Personality and Social Psychology Bulletin</w:t>
      </w:r>
      <w:r w:rsidRPr="00C80F6E">
        <w:rPr>
          <w:rFonts w:cstheme="minorHAnsi"/>
          <w:color w:val="222222"/>
          <w:shd w:val="clear" w:color="auto" w:fill="FFFFFF"/>
        </w:rPr>
        <w:t>, </w:t>
      </w:r>
      <w:r w:rsidRPr="00C80F6E">
        <w:rPr>
          <w:rFonts w:cstheme="minorHAnsi"/>
          <w:i/>
          <w:iCs/>
          <w:color w:val="222222"/>
          <w:shd w:val="clear" w:color="auto" w:fill="FFFFFF"/>
        </w:rPr>
        <w:t>30</w:t>
      </w:r>
      <w:r w:rsidRPr="00C80F6E">
        <w:rPr>
          <w:rFonts w:cstheme="minorHAnsi"/>
          <w:color w:val="222222"/>
          <w:shd w:val="clear" w:color="auto" w:fill="FFFFFF"/>
        </w:rPr>
        <w:t xml:space="preserve">(8), 995-1008. </w:t>
      </w:r>
      <w:hyperlink r:id="rId19" w:history="1">
        <w:r w:rsidR="00FB2291" w:rsidRPr="007202BC">
          <w:rPr>
            <w:rStyle w:val="Hyperlink"/>
            <w:rFonts w:cstheme="minorHAnsi"/>
            <w:shd w:val="clear" w:color="auto" w:fill="FFFFFF"/>
          </w:rPr>
          <w:t>https://doi.org/10.1177/0146167204265741</w:t>
        </w:r>
      </w:hyperlink>
      <w:r w:rsidR="00FB2291">
        <w:rPr>
          <w:rFonts w:cstheme="minorHAnsi"/>
          <w:color w:val="222222"/>
          <w:shd w:val="clear" w:color="auto" w:fill="FFFFFF"/>
        </w:rPr>
        <w:t xml:space="preserve"> </w:t>
      </w:r>
    </w:p>
    <w:p w14:paraId="79F1ED5B" w14:textId="77777777" w:rsidR="00AB1DE2" w:rsidRDefault="00AB1DE2" w:rsidP="00DD2C0B">
      <w:pPr>
        <w:tabs>
          <w:tab w:val="left" w:pos="1110"/>
        </w:tabs>
        <w:spacing w:line="480" w:lineRule="auto"/>
        <w:ind w:left="1111" w:hanging="1111"/>
        <w:rPr>
          <w:rFonts w:cstheme="minorHAnsi"/>
          <w:color w:val="222222"/>
          <w:shd w:val="clear" w:color="auto" w:fill="FFFFFF"/>
        </w:rPr>
      </w:pPr>
    </w:p>
    <w:p w14:paraId="152470A0" w14:textId="1019C306" w:rsidR="00AB1DE2" w:rsidRDefault="00AB1DE2" w:rsidP="00DD2C0B">
      <w:pPr>
        <w:tabs>
          <w:tab w:val="left" w:pos="1110"/>
        </w:tabs>
        <w:spacing w:line="480" w:lineRule="auto"/>
        <w:ind w:left="1111" w:hanging="1111"/>
        <w:rPr>
          <w:rFonts w:cstheme="minorHAnsi"/>
          <w:color w:val="222222"/>
          <w:shd w:val="clear" w:color="auto" w:fill="FFFFFF"/>
        </w:rPr>
      </w:pPr>
      <w:r w:rsidRPr="00AB1DE2">
        <w:rPr>
          <w:rFonts w:cstheme="minorHAnsi"/>
          <w:color w:val="222222"/>
          <w:shd w:val="clear" w:color="auto" w:fill="FFFFFF"/>
        </w:rPr>
        <w:t>Sheahan, C. L., Pica, E., &amp; Pozzulo, J. D. (2021). Abuse is abuse: The influence of type of abuse, victim age, and defendant age on juror decision making. </w:t>
      </w:r>
      <w:r w:rsidRPr="00AB1DE2">
        <w:rPr>
          <w:rFonts w:cstheme="minorHAnsi"/>
          <w:i/>
          <w:iCs/>
          <w:color w:val="222222"/>
          <w:shd w:val="clear" w:color="auto" w:fill="FFFFFF"/>
        </w:rPr>
        <w:t>Journal of interpersonal violence</w:t>
      </w:r>
      <w:r w:rsidRPr="00AB1DE2">
        <w:rPr>
          <w:rFonts w:cstheme="minorHAnsi"/>
          <w:color w:val="222222"/>
          <w:shd w:val="clear" w:color="auto" w:fill="FFFFFF"/>
        </w:rPr>
        <w:t>, </w:t>
      </w:r>
      <w:r w:rsidRPr="00AB1DE2">
        <w:rPr>
          <w:rFonts w:cstheme="minorHAnsi"/>
          <w:i/>
          <w:iCs/>
          <w:color w:val="222222"/>
          <w:shd w:val="clear" w:color="auto" w:fill="FFFFFF"/>
        </w:rPr>
        <w:t>36</w:t>
      </w:r>
      <w:r w:rsidRPr="00AB1DE2">
        <w:rPr>
          <w:rFonts w:cstheme="minorHAnsi"/>
          <w:color w:val="222222"/>
          <w:shd w:val="clear" w:color="auto" w:fill="FFFFFF"/>
        </w:rPr>
        <w:t>(1-2), 938-956.https://doi.org/10.1177/0886260517731316</w:t>
      </w:r>
    </w:p>
    <w:p w14:paraId="2D9603A8" w14:textId="77777777" w:rsidR="009C77CC" w:rsidRDefault="009C77CC" w:rsidP="00DD2C0B">
      <w:pPr>
        <w:tabs>
          <w:tab w:val="left" w:pos="1110"/>
        </w:tabs>
        <w:spacing w:line="480" w:lineRule="auto"/>
        <w:ind w:left="1111" w:hanging="1111"/>
        <w:rPr>
          <w:rFonts w:cstheme="minorHAnsi"/>
          <w:color w:val="222222"/>
          <w:shd w:val="clear" w:color="auto" w:fill="FFFFFF"/>
        </w:rPr>
      </w:pPr>
    </w:p>
    <w:p w14:paraId="3CB08D4F" w14:textId="65738B7B" w:rsidR="00F53A76" w:rsidRPr="00812C6C" w:rsidRDefault="00812C6C" w:rsidP="00DD2C0B">
      <w:pPr>
        <w:tabs>
          <w:tab w:val="left" w:pos="1110"/>
        </w:tabs>
        <w:spacing w:line="480" w:lineRule="auto"/>
        <w:ind w:left="1111" w:hanging="1111"/>
        <w:rPr>
          <w:rFonts w:cstheme="minorHAnsi"/>
          <w:color w:val="222222"/>
          <w:shd w:val="clear" w:color="auto" w:fill="FFFFFF"/>
        </w:rPr>
      </w:pPr>
      <w:r w:rsidRPr="00812C6C">
        <w:rPr>
          <w:rFonts w:cstheme="minorHAnsi"/>
          <w:color w:val="222222"/>
          <w:shd w:val="clear" w:color="auto" w:fill="FFFFFF"/>
        </w:rPr>
        <w:t>Shechory-Bitton, M., &amp; Zvi, L. (2015). The effect of offender's attractiveness and subject's gender on judgments in swindling. </w:t>
      </w:r>
      <w:r w:rsidRPr="00812C6C">
        <w:rPr>
          <w:rFonts w:cstheme="minorHAnsi"/>
          <w:i/>
          <w:iCs/>
          <w:color w:val="222222"/>
          <w:shd w:val="clear" w:color="auto" w:fill="FFFFFF"/>
        </w:rPr>
        <w:t>Psychiatry, Psychology and Law</w:t>
      </w:r>
      <w:r w:rsidRPr="00812C6C">
        <w:rPr>
          <w:rFonts w:cstheme="minorHAnsi"/>
          <w:color w:val="222222"/>
          <w:shd w:val="clear" w:color="auto" w:fill="FFFFFF"/>
        </w:rPr>
        <w:t>, </w:t>
      </w:r>
      <w:r w:rsidRPr="00812C6C">
        <w:rPr>
          <w:rFonts w:cstheme="minorHAnsi"/>
          <w:i/>
          <w:iCs/>
          <w:color w:val="222222"/>
          <w:shd w:val="clear" w:color="auto" w:fill="FFFFFF"/>
        </w:rPr>
        <w:t>22</w:t>
      </w:r>
      <w:r w:rsidRPr="00812C6C">
        <w:rPr>
          <w:rFonts w:cstheme="minorHAnsi"/>
          <w:color w:val="222222"/>
          <w:shd w:val="clear" w:color="auto" w:fill="FFFFFF"/>
        </w:rPr>
        <w:t>(4), 559-570.https://doi.org/10.1080/13218719.2014.960037</w:t>
      </w:r>
    </w:p>
    <w:p w14:paraId="38B3ABE8" w14:textId="77777777" w:rsidR="00E25F2E" w:rsidRDefault="00E25F2E" w:rsidP="00DD2C0B">
      <w:pPr>
        <w:tabs>
          <w:tab w:val="left" w:pos="1110"/>
        </w:tabs>
        <w:spacing w:line="480" w:lineRule="auto"/>
        <w:ind w:left="1111" w:hanging="1111"/>
        <w:rPr>
          <w:rFonts w:cstheme="minorHAnsi"/>
          <w:color w:val="222222"/>
          <w:shd w:val="clear" w:color="auto" w:fill="FFFFFF"/>
        </w:rPr>
      </w:pPr>
    </w:p>
    <w:p w14:paraId="4CE59724" w14:textId="0DF14271" w:rsidR="00E25F2E" w:rsidRPr="00E25F2E" w:rsidRDefault="00E25F2E" w:rsidP="00DD2C0B">
      <w:pPr>
        <w:tabs>
          <w:tab w:val="left" w:pos="1110"/>
        </w:tabs>
        <w:spacing w:line="480" w:lineRule="auto"/>
        <w:ind w:left="1111" w:hanging="1111"/>
        <w:rPr>
          <w:rFonts w:cstheme="minorHAnsi"/>
          <w:color w:val="222222"/>
          <w:shd w:val="clear" w:color="auto" w:fill="FFFFFF"/>
        </w:rPr>
      </w:pPr>
      <w:r w:rsidRPr="00E25F2E">
        <w:rPr>
          <w:rFonts w:cstheme="minorHAnsi"/>
          <w:color w:val="222222"/>
          <w:shd w:val="clear" w:color="auto" w:fill="FFFFFF"/>
        </w:rPr>
        <w:t>Tweed, M., &amp; Wilkinson, T. (2019). Student progress decision-making in programmatic assessment: can we extrapolate from clinical decision-making and jury decision-making?. </w:t>
      </w:r>
      <w:r w:rsidRPr="00E25F2E">
        <w:rPr>
          <w:rFonts w:cstheme="minorHAnsi"/>
          <w:i/>
          <w:iCs/>
          <w:color w:val="222222"/>
          <w:shd w:val="clear" w:color="auto" w:fill="FFFFFF"/>
        </w:rPr>
        <w:t>BMC medical education</w:t>
      </w:r>
      <w:r w:rsidRPr="00E25F2E">
        <w:rPr>
          <w:rFonts w:cstheme="minorHAnsi"/>
          <w:color w:val="222222"/>
          <w:shd w:val="clear" w:color="auto" w:fill="FFFFFF"/>
        </w:rPr>
        <w:t>, </w:t>
      </w:r>
      <w:r w:rsidRPr="00E25F2E">
        <w:rPr>
          <w:rFonts w:cstheme="minorHAnsi"/>
          <w:i/>
          <w:iCs/>
          <w:color w:val="222222"/>
          <w:shd w:val="clear" w:color="auto" w:fill="FFFFFF"/>
        </w:rPr>
        <w:t>19</w:t>
      </w:r>
      <w:r w:rsidRPr="00E25F2E">
        <w:rPr>
          <w:rFonts w:cstheme="minorHAnsi"/>
          <w:color w:val="222222"/>
          <w:shd w:val="clear" w:color="auto" w:fill="FFFFFF"/>
        </w:rPr>
        <w:t xml:space="preserve">(1), 1-10. </w:t>
      </w:r>
      <w:hyperlink r:id="rId20" w:history="1">
        <w:r w:rsidRPr="00E25F2E">
          <w:rPr>
            <w:rStyle w:val="Hyperlink"/>
            <w:rFonts w:cstheme="minorHAnsi"/>
            <w:shd w:val="clear" w:color="auto" w:fill="FFFFFF"/>
          </w:rPr>
          <w:t>https://doi.org/10.1186/s12909-019-1583-1</w:t>
        </w:r>
      </w:hyperlink>
      <w:r w:rsidRPr="00E25F2E">
        <w:rPr>
          <w:rFonts w:cstheme="minorHAnsi"/>
          <w:color w:val="222222"/>
          <w:shd w:val="clear" w:color="auto" w:fill="FFFFFF"/>
        </w:rPr>
        <w:t xml:space="preserve"> </w:t>
      </w:r>
    </w:p>
    <w:p w14:paraId="789BA60B" w14:textId="77777777" w:rsidR="00E21A4C" w:rsidRDefault="00E21A4C" w:rsidP="00DD2C0B">
      <w:pPr>
        <w:tabs>
          <w:tab w:val="left" w:pos="1110"/>
        </w:tabs>
        <w:spacing w:line="480" w:lineRule="auto"/>
        <w:ind w:left="1111" w:hanging="1111"/>
        <w:rPr>
          <w:rFonts w:cstheme="minorHAnsi"/>
          <w:color w:val="222222"/>
          <w:shd w:val="clear" w:color="auto" w:fill="FFFFFF"/>
        </w:rPr>
      </w:pPr>
    </w:p>
    <w:p w14:paraId="0F7B14F9" w14:textId="5EBA7543" w:rsidR="00E21A4C" w:rsidRDefault="00E21A4C" w:rsidP="00DD2C0B">
      <w:pPr>
        <w:tabs>
          <w:tab w:val="left" w:pos="1110"/>
        </w:tabs>
        <w:spacing w:line="480" w:lineRule="auto"/>
        <w:ind w:left="1111" w:hanging="1111"/>
        <w:rPr>
          <w:rFonts w:cstheme="minorHAnsi"/>
          <w:color w:val="222222"/>
          <w:shd w:val="clear" w:color="auto" w:fill="FFFFFF"/>
        </w:rPr>
      </w:pPr>
      <w:r w:rsidRPr="00E21A4C">
        <w:rPr>
          <w:rFonts w:cstheme="minorHAnsi"/>
          <w:color w:val="222222"/>
          <w:shd w:val="clear" w:color="auto" w:fill="FFFFFF"/>
        </w:rPr>
        <w:t>Ulmer, J. (2018). Race, ethnicity, and sentencing. In </w:t>
      </w:r>
      <w:r w:rsidRPr="00E21A4C">
        <w:rPr>
          <w:rFonts w:cstheme="minorHAnsi"/>
          <w:i/>
          <w:iCs/>
          <w:color w:val="222222"/>
          <w:shd w:val="clear" w:color="auto" w:fill="FFFFFF"/>
        </w:rPr>
        <w:t>Oxford Research Encyclopedia of Criminology and Criminal Justice</w:t>
      </w:r>
      <w:r w:rsidRPr="00E21A4C">
        <w:rPr>
          <w:rFonts w:cstheme="minorHAnsi"/>
          <w:color w:val="222222"/>
          <w:shd w:val="clear" w:color="auto" w:fill="FFFFFF"/>
        </w:rPr>
        <w:t xml:space="preserve">. </w:t>
      </w:r>
      <w:hyperlink r:id="rId21" w:history="1">
        <w:r w:rsidR="00267B2A" w:rsidRPr="003F763E">
          <w:rPr>
            <w:rStyle w:val="Hyperlink"/>
            <w:rFonts w:cstheme="minorHAnsi"/>
            <w:shd w:val="clear" w:color="auto" w:fill="FFFFFF"/>
          </w:rPr>
          <w:t>https://doi.org/10.1093/acrefore/9780190264079.013.262</w:t>
        </w:r>
      </w:hyperlink>
    </w:p>
    <w:p w14:paraId="362FEF6A" w14:textId="77777777" w:rsidR="00267B2A" w:rsidRDefault="00267B2A" w:rsidP="00DD2C0B">
      <w:pPr>
        <w:tabs>
          <w:tab w:val="left" w:pos="1110"/>
        </w:tabs>
        <w:spacing w:line="480" w:lineRule="auto"/>
        <w:ind w:left="1111" w:hanging="1111"/>
        <w:rPr>
          <w:rFonts w:cstheme="minorHAnsi"/>
          <w:color w:val="222222"/>
          <w:shd w:val="clear" w:color="auto" w:fill="FFFFFF"/>
        </w:rPr>
      </w:pPr>
    </w:p>
    <w:p w14:paraId="2F75DFAE" w14:textId="50D0E6A2" w:rsidR="00267B2A" w:rsidRPr="00267B2A" w:rsidRDefault="00267B2A" w:rsidP="00DD2C0B">
      <w:pPr>
        <w:tabs>
          <w:tab w:val="left" w:pos="1110"/>
        </w:tabs>
        <w:spacing w:line="480" w:lineRule="auto"/>
        <w:ind w:left="1111" w:hanging="1111"/>
        <w:rPr>
          <w:rFonts w:cstheme="minorHAnsi"/>
          <w:color w:val="222222"/>
          <w:shd w:val="clear" w:color="auto" w:fill="FFFFFF"/>
        </w:rPr>
      </w:pPr>
      <w:r w:rsidRPr="00267B2A">
        <w:rPr>
          <w:rFonts w:cstheme="minorHAnsi"/>
          <w:color w:val="222222"/>
          <w:shd w:val="clear" w:color="auto" w:fill="FFFFFF"/>
        </w:rPr>
        <w:t>Wiener, R. L., Krauss, D. A., &amp; Lieberman, J. D. (2011). Mock jury research: Where do we go from here?. </w:t>
      </w:r>
      <w:r w:rsidRPr="00267B2A">
        <w:rPr>
          <w:rFonts w:cstheme="minorHAnsi"/>
          <w:i/>
          <w:iCs/>
          <w:color w:val="222222"/>
          <w:shd w:val="clear" w:color="auto" w:fill="FFFFFF"/>
        </w:rPr>
        <w:t>Behavioral sciences &amp; the law</w:t>
      </w:r>
      <w:r w:rsidRPr="00267B2A">
        <w:rPr>
          <w:rFonts w:cstheme="minorHAnsi"/>
          <w:color w:val="222222"/>
          <w:shd w:val="clear" w:color="auto" w:fill="FFFFFF"/>
        </w:rPr>
        <w:t>, </w:t>
      </w:r>
      <w:r w:rsidRPr="00267B2A">
        <w:rPr>
          <w:rFonts w:cstheme="minorHAnsi"/>
          <w:i/>
          <w:iCs/>
          <w:color w:val="222222"/>
          <w:shd w:val="clear" w:color="auto" w:fill="FFFFFF"/>
        </w:rPr>
        <w:t>29</w:t>
      </w:r>
      <w:r w:rsidRPr="00267B2A">
        <w:rPr>
          <w:rFonts w:cstheme="minorHAnsi"/>
          <w:color w:val="222222"/>
          <w:shd w:val="clear" w:color="auto" w:fill="FFFFFF"/>
        </w:rPr>
        <w:t>(3), 467-479. https://doi.org/10.1002/bsl.989</w:t>
      </w:r>
    </w:p>
    <w:p w14:paraId="799FDEF5" w14:textId="77777777" w:rsidR="00FB2291" w:rsidRDefault="00FB2291" w:rsidP="00DD2C0B">
      <w:pPr>
        <w:tabs>
          <w:tab w:val="left" w:pos="1110"/>
        </w:tabs>
        <w:spacing w:line="480" w:lineRule="auto"/>
        <w:ind w:left="1111" w:hanging="1111"/>
        <w:rPr>
          <w:rFonts w:cstheme="minorHAnsi"/>
          <w:color w:val="222222"/>
          <w:shd w:val="clear" w:color="auto" w:fill="FFFFFF"/>
        </w:rPr>
      </w:pPr>
    </w:p>
    <w:p w14:paraId="05072896" w14:textId="4EF4534A" w:rsidR="00FB2291" w:rsidRDefault="00FB2291" w:rsidP="00DD2C0B">
      <w:pPr>
        <w:tabs>
          <w:tab w:val="left" w:pos="1110"/>
        </w:tabs>
        <w:spacing w:line="480" w:lineRule="auto"/>
        <w:ind w:left="1111" w:hanging="1111"/>
        <w:rPr>
          <w:rFonts w:cstheme="minorHAnsi"/>
          <w:color w:val="222222"/>
          <w:shd w:val="clear" w:color="auto" w:fill="FFFFFF"/>
        </w:rPr>
      </w:pPr>
      <w:r w:rsidRPr="00FB2291">
        <w:rPr>
          <w:rFonts w:cstheme="minorHAnsi"/>
          <w:color w:val="222222"/>
          <w:shd w:val="clear" w:color="auto" w:fill="FFFFFF"/>
        </w:rPr>
        <w:t>Williams, M. R., &amp; Holcomb, J. E. (2001). Racial disparity and death sentences in Ohio. </w:t>
      </w:r>
      <w:r w:rsidRPr="00FB2291">
        <w:rPr>
          <w:rFonts w:cstheme="minorHAnsi"/>
          <w:i/>
          <w:iCs/>
          <w:color w:val="222222"/>
          <w:shd w:val="clear" w:color="auto" w:fill="FFFFFF"/>
        </w:rPr>
        <w:t>Journal of Criminal Justice</w:t>
      </w:r>
      <w:r w:rsidRPr="00FB2291">
        <w:rPr>
          <w:rFonts w:cstheme="minorHAnsi"/>
          <w:color w:val="222222"/>
          <w:shd w:val="clear" w:color="auto" w:fill="FFFFFF"/>
        </w:rPr>
        <w:t>, </w:t>
      </w:r>
      <w:r w:rsidRPr="00FB2291">
        <w:rPr>
          <w:rFonts w:cstheme="minorHAnsi"/>
          <w:i/>
          <w:iCs/>
          <w:color w:val="222222"/>
          <w:shd w:val="clear" w:color="auto" w:fill="FFFFFF"/>
        </w:rPr>
        <w:t>29</w:t>
      </w:r>
      <w:r w:rsidRPr="00FB2291">
        <w:rPr>
          <w:rFonts w:cstheme="minorHAnsi"/>
          <w:color w:val="222222"/>
          <w:shd w:val="clear" w:color="auto" w:fill="FFFFFF"/>
        </w:rPr>
        <w:t xml:space="preserve">(3), 207-218. </w:t>
      </w:r>
      <w:hyperlink r:id="rId22" w:history="1">
        <w:r w:rsidR="00F53A76" w:rsidRPr="003F763E">
          <w:rPr>
            <w:rStyle w:val="Hyperlink"/>
            <w:rFonts w:cstheme="minorHAnsi"/>
            <w:shd w:val="clear" w:color="auto" w:fill="FFFFFF"/>
          </w:rPr>
          <w:t>https://doi.org/10.1016/S0047-2352(01)00085-X</w:t>
        </w:r>
      </w:hyperlink>
    </w:p>
    <w:p w14:paraId="19D284DD" w14:textId="77777777" w:rsidR="00F53A76" w:rsidRDefault="00F53A76" w:rsidP="00DD2C0B">
      <w:pPr>
        <w:tabs>
          <w:tab w:val="left" w:pos="1110"/>
        </w:tabs>
        <w:spacing w:line="480" w:lineRule="auto"/>
        <w:ind w:left="1111" w:hanging="1111"/>
        <w:rPr>
          <w:rFonts w:cstheme="minorHAnsi"/>
          <w:color w:val="222222"/>
          <w:shd w:val="clear" w:color="auto" w:fill="FFFFFF"/>
        </w:rPr>
      </w:pPr>
    </w:p>
    <w:p w14:paraId="7B3047D9" w14:textId="71592319" w:rsidR="00F53A76" w:rsidRPr="00F53A76" w:rsidRDefault="00F53A76" w:rsidP="00F53A76">
      <w:pPr>
        <w:spacing w:after="0" w:line="360" w:lineRule="auto"/>
        <w:ind w:left="720" w:hanging="720"/>
        <w:rPr>
          <w:rFonts w:eastAsia="Times New Roman" w:cstheme="minorHAnsi"/>
          <w:color w:val="212529"/>
          <w:lang w:eastAsia="en-GB"/>
        </w:rPr>
      </w:pPr>
      <w:r w:rsidRPr="00F53A76">
        <w:rPr>
          <w:rFonts w:cstheme="minorHAnsi"/>
          <w:color w:val="222222"/>
          <w:shd w:val="clear" w:color="auto" w:fill="FFFFFF"/>
        </w:rPr>
        <w:t>Winters, G. M., Collins, C. M., Kaylor, L. E., &amp; Jeglic, E. L. (2022). The impact of defendant gender and attractiveness on juror decision-making in a sexual offense case. </w:t>
      </w:r>
      <w:r w:rsidRPr="00F53A76">
        <w:rPr>
          <w:rFonts w:cstheme="minorHAnsi"/>
          <w:i/>
          <w:iCs/>
          <w:color w:val="222222"/>
          <w:shd w:val="clear" w:color="auto" w:fill="FFFFFF"/>
        </w:rPr>
        <w:t>Deviant Behavior</w:t>
      </w:r>
      <w:r w:rsidRPr="00F53A76">
        <w:rPr>
          <w:rFonts w:cstheme="minorHAnsi"/>
          <w:color w:val="222222"/>
          <w:shd w:val="clear" w:color="auto" w:fill="FFFFFF"/>
        </w:rPr>
        <w:t>, </w:t>
      </w:r>
      <w:r w:rsidRPr="00F53A76">
        <w:rPr>
          <w:rFonts w:cstheme="minorHAnsi"/>
          <w:i/>
          <w:iCs/>
          <w:color w:val="222222"/>
          <w:shd w:val="clear" w:color="auto" w:fill="FFFFFF"/>
        </w:rPr>
        <w:t>43</w:t>
      </w:r>
      <w:r w:rsidRPr="00F53A76">
        <w:rPr>
          <w:rFonts w:cstheme="minorHAnsi"/>
          <w:color w:val="222222"/>
          <w:shd w:val="clear" w:color="auto" w:fill="FFFFFF"/>
        </w:rPr>
        <w:t xml:space="preserve">(4), 507-524. </w:t>
      </w:r>
      <w:r w:rsidRPr="00F53A76">
        <w:rPr>
          <w:rFonts w:eastAsia="Times New Roman" w:cstheme="minorHAnsi"/>
          <w:color w:val="212529"/>
          <w:lang w:eastAsia="en-GB"/>
        </w:rPr>
        <w:t>https://doi.org/10.1080/01639625.2020.1844364© 2020 Taylor &amp; Francis Group, LLC</w:t>
      </w:r>
    </w:p>
    <w:p w14:paraId="349BB6F2" w14:textId="77777777" w:rsidR="00DD2C0B" w:rsidRPr="001C01DE" w:rsidRDefault="00DD2C0B" w:rsidP="00DD2C0B">
      <w:pPr>
        <w:tabs>
          <w:tab w:val="left" w:pos="1110"/>
        </w:tabs>
        <w:spacing w:line="480" w:lineRule="auto"/>
        <w:ind w:left="1111" w:hanging="1111"/>
        <w:rPr>
          <w:rFonts w:cstheme="minorHAnsi"/>
          <w:color w:val="222222"/>
          <w:shd w:val="clear" w:color="auto" w:fill="FFFFFF"/>
        </w:rPr>
      </w:pPr>
    </w:p>
    <w:p w14:paraId="482B791C" w14:textId="5D6D0A6B" w:rsidR="001C01DE" w:rsidRPr="001C01DE" w:rsidRDefault="001C01DE" w:rsidP="00DD2C0B">
      <w:pPr>
        <w:tabs>
          <w:tab w:val="left" w:pos="1110"/>
        </w:tabs>
        <w:spacing w:line="480" w:lineRule="auto"/>
        <w:ind w:left="1111" w:hanging="1111"/>
        <w:rPr>
          <w:rFonts w:cstheme="minorHAnsi"/>
        </w:rPr>
      </w:pPr>
    </w:p>
    <w:sectPr w:rsidR="001C01DE" w:rsidRPr="001C01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A431A2"/>
    <w:multiLevelType w:val="hybridMultilevel"/>
    <w:tmpl w:val="EDB4B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893FCD"/>
    <w:multiLevelType w:val="hybridMultilevel"/>
    <w:tmpl w:val="975AF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1066137">
    <w:abstractNumId w:val="1"/>
  </w:num>
  <w:num w:numId="2" w16cid:durableId="2073960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667FA"/>
    <w:rsid w:val="00024034"/>
    <w:rsid w:val="000256BE"/>
    <w:rsid w:val="00041AE9"/>
    <w:rsid w:val="0004205E"/>
    <w:rsid w:val="0007222A"/>
    <w:rsid w:val="000774E0"/>
    <w:rsid w:val="00083B61"/>
    <w:rsid w:val="000943FA"/>
    <w:rsid w:val="000A7FA8"/>
    <w:rsid w:val="000C1D48"/>
    <w:rsid w:val="000F0A7F"/>
    <w:rsid w:val="000F4E80"/>
    <w:rsid w:val="000F7344"/>
    <w:rsid w:val="0010362C"/>
    <w:rsid w:val="00104740"/>
    <w:rsid w:val="00104DD8"/>
    <w:rsid w:val="0011073A"/>
    <w:rsid w:val="00126CA4"/>
    <w:rsid w:val="00162DC6"/>
    <w:rsid w:val="00173B52"/>
    <w:rsid w:val="001850DC"/>
    <w:rsid w:val="001C01DE"/>
    <w:rsid w:val="001C2378"/>
    <w:rsid w:val="001D1A1A"/>
    <w:rsid w:val="001E2C29"/>
    <w:rsid w:val="001F6418"/>
    <w:rsid w:val="00200A04"/>
    <w:rsid w:val="0022208B"/>
    <w:rsid w:val="00225D28"/>
    <w:rsid w:val="00263E53"/>
    <w:rsid w:val="00267B2A"/>
    <w:rsid w:val="00275172"/>
    <w:rsid w:val="00292AEA"/>
    <w:rsid w:val="002A1410"/>
    <w:rsid w:val="002B664A"/>
    <w:rsid w:val="002C6138"/>
    <w:rsid w:val="002C721F"/>
    <w:rsid w:val="002D1863"/>
    <w:rsid w:val="002F1674"/>
    <w:rsid w:val="002F3BD9"/>
    <w:rsid w:val="002F6F01"/>
    <w:rsid w:val="00313DF8"/>
    <w:rsid w:val="0031561B"/>
    <w:rsid w:val="003514D4"/>
    <w:rsid w:val="00353377"/>
    <w:rsid w:val="0036786C"/>
    <w:rsid w:val="00381242"/>
    <w:rsid w:val="00387A84"/>
    <w:rsid w:val="003B02EC"/>
    <w:rsid w:val="003B1562"/>
    <w:rsid w:val="003B403D"/>
    <w:rsid w:val="003B66E6"/>
    <w:rsid w:val="003F697B"/>
    <w:rsid w:val="00406F1F"/>
    <w:rsid w:val="00417911"/>
    <w:rsid w:val="004465FC"/>
    <w:rsid w:val="00490E76"/>
    <w:rsid w:val="004A26D7"/>
    <w:rsid w:val="004C08DE"/>
    <w:rsid w:val="004C3BF3"/>
    <w:rsid w:val="004C5083"/>
    <w:rsid w:val="004D2572"/>
    <w:rsid w:val="004F44C2"/>
    <w:rsid w:val="004F58E3"/>
    <w:rsid w:val="00500AED"/>
    <w:rsid w:val="00514D6E"/>
    <w:rsid w:val="00533B79"/>
    <w:rsid w:val="005C4BB9"/>
    <w:rsid w:val="005D6C2A"/>
    <w:rsid w:val="00620F05"/>
    <w:rsid w:val="00626EB6"/>
    <w:rsid w:val="00650DA7"/>
    <w:rsid w:val="00654F1D"/>
    <w:rsid w:val="006631A3"/>
    <w:rsid w:val="006822AA"/>
    <w:rsid w:val="006835FC"/>
    <w:rsid w:val="006F139F"/>
    <w:rsid w:val="006F3106"/>
    <w:rsid w:val="007058AA"/>
    <w:rsid w:val="007109FE"/>
    <w:rsid w:val="0071117A"/>
    <w:rsid w:val="007225F0"/>
    <w:rsid w:val="007368A6"/>
    <w:rsid w:val="00756804"/>
    <w:rsid w:val="00762E40"/>
    <w:rsid w:val="007F2519"/>
    <w:rsid w:val="007F39BD"/>
    <w:rsid w:val="008066C7"/>
    <w:rsid w:val="00812C6C"/>
    <w:rsid w:val="00821F27"/>
    <w:rsid w:val="008363DB"/>
    <w:rsid w:val="00840E7F"/>
    <w:rsid w:val="00840EA6"/>
    <w:rsid w:val="00841D5E"/>
    <w:rsid w:val="00844313"/>
    <w:rsid w:val="0086193B"/>
    <w:rsid w:val="00871E5C"/>
    <w:rsid w:val="008E4168"/>
    <w:rsid w:val="008E63AF"/>
    <w:rsid w:val="008E67E6"/>
    <w:rsid w:val="0090157E"/>
    <w:rsid w:val="00904076"/>
    <w:rsid w:val="00914658"/>
    <w:rsid w:val="0092099B"/>
    <w:rsid w:val="00926C1E"/>
    <w:rsid w:val="00931EDD"/>
    <w:rsid w:val="00975033"/>
    <w:rsid w:val="009A36F3"/>
    <w:rsid w:val="009C77CC"/>
    <w:rsid w:val="009C7EAB"/>
    <w:rsid w:val="00A05EA3"/>
    <w:rsid w:val="00A06277"/>
    <w:rsid w:val="00A10BD8"/>
    <w:rsid w:val="00A13378"/>
    <w:rsid w:val="00A46337"/>
    <w:rsid w:val="00A50DEB"/>
    <w:rsid w:val="00A546F9"/>
    <w:rsid w:val="00A61E8C"/>
    <w:rsid w:val="00A82CD8"/>
    <w:rsid w:val="00AB1DE2"/>
    <w:rsid w:val="00AD75CA"/>
    <w:rsid w:val="00AE0181"/>
    <w:rsid w:val="00AF5095"/>
    <w:rsid w:val="00B378D2"/>
    <w:rsid w:val="00B45392"/>
    <w:rsid w:val="00B95F1E"/>
    <w:rsid w:val="00BA0ABB"/>
    <w:rsid w:val="00BB38EF"/>
    <w:rsid w:val="00BF6057"/>
    <w:rsid w:val="00C10DA5"/>
    <w:rsid w:val="00C125CB"/>
    <w:rsid w:val="00C306E8"/>
    <w:rsid w:val="00C5208D"/>
    <w:rsid w:val="00C56D14"/>
    <w:rsid w:val="00C667FA"/>
    <w:rsid w:val="00C71697"/>
    <w:rsid w:val="00C7201E"/>
    <w:rsid w:val="00C75466"/>
    <w:rsid w:val="00C80F6E"/>
    <w:rsid w:val="00CA1DF2"/>
    <w:rsid w:val="00CB2D85"/>
    <w:rsid w:val="00CB51CB"/>
    <w:rsid w:val="00CB5E3D"/>
    <w:rsid w:val="00CD43FD"/>
    <w:rsid w:val="00D57188"/>
    <w:rsid w:val="00D654D8"/>
    <w:rsid w:val="00D85D00"/>
    <w:rsid w:val="00D85D9B"/>
    <w:rsid w:val="00D87A53"/>
    <w:rsid w:val="00D950E5"/>
    <w:rsid w:val="00D9762A"/>
    <w:rsid w:val="00DB1164"/>
    <w:rsid w:val="00DB55A3"/>
    <w:rsid w:val="00DC62D2"/>
    <w:rsid w:val="00DD07C4"/>
    <w:rsid w:val="00DD2C0B"/>
    <w:rsid w:val="00E17A6F"/>
    <w:rsid w:val="00E21A4C"/>
    <w:rsid w:val="00E25F2E"/>
    <w:rsid w:val="00E2695E"/>
    <w:rsid w:val="00E416CF"/>
    <w:rsid w:val="00E501CF"/>
    <w:rsid w:val="00E51C94"/>
    <w:rsid w:val="00E600BF"/>
    <w:rsid w:val="00E6562B"/>
    <w:rsid w:val="00E65AF6"/>
    <w:rsid w:val="00E722E3"/>
    <w:rsid w:val="00E7699A"/>
    <w:rsid w:val="00E864D8"/>
    <w:rsid w:val="00EC3595"/>
    <w:rsid w:val="00EC4412"/>
    <w:rsid w:val="00F20F16"/>
    <w:rsid w:val="00F22EBE"/>
    <w:rsid w:val="00F24FEF"/>
    <w:rsid w:val="00F312C0"/>
    <w:rsid w:val="00F53A76"/>
    <w:rsid w:val="00FA7F3A"/>
    <w:rsid w:val="00FB093E"/>
    <w:rsid w:val="00FB2291"/>
    <w:rsid w:val="00FC30A0"/>
    <w:rsid w:val="00FC684B"/>
    <w:rsid w:val="00FD58AD"/>
    <w:rsid w:val="00FF4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A8836"/>
  <w15:docId w15:val="{228FFA97-0CA1-4079-9870-BE623B6B9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7FA"/>
    <w:pPr>
      <w:ind w:left="720"/>
      <w:contextualSpacing/>
    </w:pPr>
  </w:style>
  <w:style w:type="character" w:styleId="Hyperlink">
    <w:name w:val="Hyperlink"/>
    <w:basedOn w:val="DefaultParagraphFont"/>
    <w:uiPriority w:val="99"/>
    <w:unhideWhenUsed/>
    <w:rsid w:val="00225D28"/>
    <w:rPr>
      <w:color w:val="0563C1" w:themeColor="hyperlink"/>
      <w:u w:val="single"/>
    </w:rPr>
  </w:style>
  <w:style w:type="character" w:styleId="UnresolvedMention">
    <w:name w:val="Unresolved Mention"/>
    <w:basedOn w:val="DefaultParagraphFont"/>
    <w:uiPriority w:val="99"/>
    <w:semiHidden/>
    <w:unhideWhenUsed/>
    <w:rsid w:val="00225D28"/>
    <w:rPr>
      <w:color w:val="605E5C"/>
      <w:shd w:val="clear" w:color="auto" w:fill="E1DFDD"/>
    </w:rPr>
  </w:style>
  <w:style w:type="character" w:customStyle="1" w:styleId="show-for-sr">
    <w:name w:val="show-for-sr"/>
    <w:basedOn w:val="DefaultParagraphFont"/>
    <w:rsid w:val="00CB2D85"/>
  </w:style>
  <w:style w:type="character" w:styleId="FollowedHyperlink">
    <w:name w:val="FollowedHyperlink"/>
    <w:basedOn w:val="DefaultParagraphFont"/>
    <w:uiPriority w:val="99"/>
    <w:semiHidden/>
    <w:unhideWhenUsed/>
    <w:rsid w:val="00EC3595"/>
    <w:rPr>
      <w:color w:val="954F72" w:themeColor="followedHyperlink"/>
      <w:u w:val="single"/>
    </w:rPr>
  </w:style>
  <w:style w:type="character" w:customStyle="1" w:styleId="ref-lnk">
    <w:name w:val="ref-lnk"/>
    <w:basedOn w:val="DefaultParagraphFont"/>
    <w:rsid w:val="00B45392"/>
  </w:style>
  <w:style w:type="character" w:customStyle="1" w:styleId="off-screen">
    <w:name w:val="off-screen"/>
    <w:basedOn w:val="DefaultParagraphFont"/>
    <w:rsid w:val="00B45392"/>
  </w:style>
  <w:style w:type="character" w:customStyle="1" w:styleId="ej-journal-doi">
    <w:name w:val="ej-journal-doi"/>
    <w:basedOn w:val="DefaultParagraphFont"/>
    <w:rsid w:val="00B95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8139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ols.12287" TargetMode="External"/><Relationship Id="rId13" Type="http://schemas.openxmlformats.org/officeDocument/2006/relationships/hyperlink" Target="https://doi.org/10.1017/asjcl.2019.9" TargetMode="External"/><Relationship Id="rId18" Type="http://schemas.openxmlformats.org/officeDocument/2006/relationships/hyperlink" Target="https://doi.org/10.1111/j.1468-2311.2008.00539.x" TargetMode="External"/><Relationship Id="rId3" Type="http://schemas.openxmlformats.org/officeDocument/2006/relationships/settings" Target="settings.xml"/><Relationship Id="rId21" Type="http://schemas.openxmlformats.org/officeDocument/2006/relationships/hyperlink" Target="https://doi.org/10.1093/acrefore/9780190264079.013.262" TargetMode="External"/><Relationship Id="rId7" Type="http://schemas.openxmlformats.org/officeDocument/2006/relationships/hyperlink" Target="https://doi.org/10.1111/0022-4537.00238" TargetMode="External"/><Relationship Id="rId12" Type="http://schemas.openxmlformats.org/officeDocument/2006/relationships/hyperlink" Target="https://digitalcommons.unl.edu/ajacourtreview" TargetMode="External"/><Relationship Id="rId17" Type="http://schemas.openxmlformats.org/officeDocument/2006/relationships/hyperlink" Target="https://doi.org/10.1080/10683160500537431" TargetMode="External"/><Relationship Id="rId2" Type="http://schemas.openxmlformats.org/officeDocument/2006/relationships/styles" Target="styles.xml"/><Relationship Id="rId16" Type="http://schemas.openxmlformats.org/officeDocument/2006/relationships/hyperlink" Target="https://doi.org/10.1080/10683160802477757" TargetMode="External"/><Relationship Id="rId20" Type="http://schemas.openxmlformats.org/officeDocument/2006/relationships/hyperlink" Target="https://doi.org/10.1186/s12909-019-1583-1" TargetMode="External"/><Relationship Id="rId1" Type="http://schemas.openxmlformats.org/officeDocument/2006/relationships/numbering" Target="numbering.xml"/><Relationship Id="rId6" Type="http://schemas.openxmlformats.org/officeDocument/2006/relationships/hyperlink" Target="https://psycnet.apa.org/doi/10.1037/lhb0000223" TargetMode="External"/><Relationship Id="rId11" Type="http://schemas.openxmlformats.org/officeDocument/2006/relationships/hyperlink" Target="https://psycnet.apa.org/doi/10.1037/0021-9010.84.2.186" TargetMode="External"/><Relationship Id="rId24" Type="http://schemas.openxmlformats.org/officeDocument/2006/relationships/theme" Target="theme/theme1.xml"/><Relationship Id="rId5" Type="http://schemas.openxmlformats.org/officeDocument/2006/relationships/hyperlink" Target="https://doi.org/10.1034/j.1600-0447.2001.00155.x" TargetMode="External"/><Relationship Id="rId15" Type="http://schemas.openxmlformats.org/officeDocument/2006/relationships/hyperlink" Target="https://doi.org/info:doi/" TargetMode="External"/><Relationship Id="rId23" Type="http://schemas.openxmlformats.org/officeDocument/2006/relationships/fontTable" Target="fontTable.xml"/><Relationship Id="rId10" Type="http://schemas.openxmlformats.org/officeDocument/2006/relationships/hyperlink" Target="https://doi.org/10.1146/annurev-lawsocsci-110316-113618" TargetMode="External"/><Relationship Id="rId19" Type="http://schemas.openxmlformats.org/officeDocument/2006/relationships/hyperlink" Target="https://doi.org/10.1177/0146167204265741" TargetMode="External"/><Relationship Id="rId4" Type="http://schemas.openxmlformats.org/officeDocument/2006/relationships/webSettings" Target="webSettings.xml"/><Relationship Id="rId9" Type="http://schemas.openxmlformats.org/officeDocument/2006/relationships/hyperlink" Target="https://www.proquest.com/scholarly-journals/does-jury-size-really-matter-maybe-not/docview/2557549139/se-2?accountid=130472" TargetMode="External"/><Relationship Id="rId14" Type="http://schemas.openxmlformats.org/officeDocument/2006/relationships/hyperlink" Target="https://doi.org/10.1111/1556-4029.15253" TargetMode="External"/><Relationship Id="rId22" Type="http://schemas.openxmlformats.org/officeDocument/2006/relationships/hyperlink" Target="https://doi.org/10.1016/S0047-2352(01)00085-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1746</TotalTime>
  <Pages>13</Pages>
  <Words>4015</Words>
  <Characters>22889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Reynolds (2015091)</dc:creator>
  <cp:keywords/>
  <dc:description/>
  <cp:lastModifiedBy>Stephanie Reynolds (2015091)</cp:lastModifiedBy>
  <cp:revision>16</cp:revision>
  <dcterms:created xsi:type="dcterms:W3CDTF">2023-10-09T18:39:00Z</dcterms:created>
  <dcterms:modified xsi:type="dcterms:W3CDTF">2023-11-12T12:37:00Z</dcterms:modified>
</cp:coreProperties>
</file>