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C276A" w14:textId="4042E63D" w:rsidR="00046F0F" w:rsidRDefault="00046F0F" w:rsidP="004F18CD">
      <w:pPr>
        <w:jc w:val="both"/>
      </w:pPr>
      <w:r>
        <w:t>BMBM4011</w:t>
      </w:r>
    </w:p>
    <w:p w14:paraId="2574EBCF" w14:textId="3F13ACE7" w:rsidR="00046F0F" w:rsidRDefault="00046F0F" w:rsidP="004F18CD">
      <w:pPr>
        <w:jc w:val="both"/>
      </w:pPr>
      <w:r>
        <w:t>Cameron Roberts</w:t>
      </w:r>
    </w:p>
    <w:p w14:paraId="6566A355" w14:textId="4256A565" w:rsidR="00046F0F" w:rsidRDefault="00046F0F" w:rsidP="004F18CD">
      <w:pPr>
        <w:jc w:val="both"/>
      </w:pPr>
      <w:r>
        <w:t>2517832</w:t>
      </w:r>
    </w:p>
    <w:p w14:paraId="41AF4D0E" w14:textId="7E6419F4" w:rsidR="00046F0F" w:rsidRDefault="00046F0F" w:rsidP="004F18CD">
      <w:pPr>
        <w:jc w:val="both"/>
      </w:pPr>
      <w:r>
        <w:t>Robyn Griffiths</w:t>
      </w:r>
    </w:p>
    <w:p w14:paraId="213685AB" w14:textId="4C05B61F" w:rsidR="00046F0F" w:rsidRDefault="00046F0F" w:rsidP="004F18CD">
      <w:pPr>
        <w:jc w:val="both"/>
      </w:pPr>
    </w:p>
    <w:p w14:paraId="3BAE41B9" w14:textId="66C16403" w:rsidR="00046F0F" w:rsidRDefault="00046F0F" w:rsidP="004F18CD">
      <w:pPr>
        <w:jc w:val="both"/>
      </w:pPr>
      <w:r>
        <w:t xml:space="preserve">StudySync is an academic planning and revision platform that uses Artificial Intelligence for higher education students to increase academic achievement and enhance student wellbeing. Students tend to struggle with current revision strategies and stress caused from poorly made study plans (Macan, 1994 Britton and Tesser 1991). Most tools available today for students have limits such as adapting to the student and change between different levels of education and the unique learning patterns with how different students study differently. This shows that they are no0t effective at providing long term academic support (Broadbent and Poon 2015). Studysync is different from there solutions by using evidence based adaptive study schedules, which allows multiple factors such as assessment deadlines and cognitive load theory such as active recall (Cepeda et al 2006). Studysyncs target market includes undergraduate and postgraduate students that attend high intensity academic programs. Cognitive overload reduction and improved academic results create value. </w:t>
      </w:r>
      <w:r w:rsidR="001D22B3">
        <w:t>Over the next two years Studysync will achieve practicality through a free subscription business model, partnerships with universities and student unions. These key elements allow for improvements to carry on and increase growth to evolving student’s needs.</w:t>
      </w:r>
    </w:p>
    <w:p w14:paraId="7A1AEF11" w14:textId="19E58E31" w:rsidR="001D22B3" w:rsidRDefault="001D22B3" w:rsidP="004F18CD">
      <w:pPr>
        <w:jc w:val="both"/>
      </w:pPr>
      <w:r>
        <w:t xml:space="preserve">Beginning with the fact that today higher </w:t>
      </w:r>
      <w:r w:rsidR="00CC71DA">
        <w:t>education</w:t>
      </w:r>
      <w:r>
        <w:t xml:space="preserve"> </w:t>
      </w:r>
      <w:r w:rsidR="00CC71DA">
        <w:t xml:space="preserve">institutions </w:t>
      </w:r>
      <w:r>
        <w:t xml:space="preserve"> face increased pressure to improve their students outcomes and </w:t>
      </w:r>
      <w:r w:rsidR="00CC71DA">
        <w:t>simultaneously</w:t>
      </w:r>
      <w:r>
        <w:t xml:space="preserve"> manage the rising levels of students workload, stress and disconnection, in the United kingdom alone more than half of all university students have reported difficulty in </w:t>
      </w:r>
      <w:r w:rsidR="00CC71DA">
        <w:t>effective</w:t>
      </w:r>
      <w:r>
        <w:t xml:space="preserve"> organising their time and consistently developing study habits to maintain academic and performance and well being (HEPI 2023). As a result of this is it clear that this shows an even larger problem identified throughout education showing that there </w:t>
      </w:r>
      <w:r w:rsidR="00CC71DA">
        <w:t>exists</w:t>
      </w:r>
      <w:r>
        <w:t xml:space="preserve"> a strong relationship between </w:t>
      </w:r>
      <w:r w:rsidR="00CC71DA">
        <w:t>self-regulated</w:t>
      </w:r>
      <w:r>
        <w:t xml:space="preserve"> learning and academic achievement however that </w:t>
      </w:r>
      <w:r w:rsidR="00CC71DA">
        <w:t xml:space="preserve">allows them </w:t>
      </w:r>
      <w:r>
        <w:t xml:space="preserve">to develop these skills varies from one person to another (Zimmerman 2002). In </w:t>
      </w:r>
      <w:r w:rsidR="00CC71DA">
        <w:t>addition,</w:t>
      </w:r>
      <w:r>
        <w:t xml:space="preserve"> the digital environment continues to expand at a rapid pace </w:t>
      </w:r>
      <w:r w:rsidR="00CC71DA">
        <w:t>most</w:t>
      </w:r>
      <w:r>
        <w:t xml:space="preserve"> students </w:t>
      </w:r>
      <w:r w:rsidR="00CC71DA">
        <w:t>continue</w:t>
      </w:r>
      <w:r>
        <w:t xml:space="preserve"> to use fragmented productivity tools consisting of calendars, note taking or manual planners that do not account for the </w:t>
      </w:r>
      <w:r w:rsidR="00B155BD">
        <w:t xml:space="preserve">difficulties of academic </w:t>
      </w:r>
      <w:r w:rsidR="00CC71DA">
        <w:t>workload</w:t>
      </w:r>
      <w:r w:rsidR="00B155BD">
        <w:t xml:space="preserve"> and the </w:t>
      </w:r>
      <w:r w:rsidR="00CC71DA">
        <w:t>behavioural</w:t>
      </w:r>
      <w:r w:rsidR="00B155BD">
        <w:t xml:space="preserve"> patterns for each student. Research shows that although digital tools are commonly used by </w:t>
      </w:r>
      <w:r w:rsidR="00CC71DA">
        <w:t>students,</w:t>
      </w:r>
      <w:r w:rsidR="00B155BD">
        <w:t xml:space="preserve"> they tend to lack design elements </w:t>
      </w:r>
      <w:r w:rsidR="00CC71DA">
        <w:t>intended</w:t>
      </w:r>
      <w:r w:rsidR="00B155BD">
        <w:t xml:space="preserve"> to facilitate deep learning </w:t>
      </w:r>
      <w:r w:rsidR="00CC71DA">
        <w:t>strategies</w:t>
      </w:r>
      <w:r w:rsidR="00B155BD">
        <w:t xml:space="preserve"> such as spaced </w:t>
      </w:r>
      <w:r w:rsidR="00CC71DA">
        <w:t>repetition</w:t>
      </w:r>
      <w:r w:rsidR="00B155BD">
        <w:t xml:space="preserve"> and active recall (Dunlosky et al 2013) unless purposely designed to do so. As a </w:t>
      </w:r>
      <w:r w:rsidR="00CC71DA">
        <w:t>result,</w:t>
      </w:r>
      <w:r w:rsidR="00B155BD">
        <w:t xml:space="preserve"> studysync </w:t>
      </w:r>
      <w:r w:rsidR="00CC71DA">
        <w:t>positions</w:t>
      </w:r>
      <w:r w:rsidR="00B155BD">
        <w:t xml:space="preserve"> itself in the void left by the lack of tools available to support students in making personalised study plans based </w:t>
      </w:r>
      <w:r w:rsidR="00B155BD">
        <w:lastRenderedPageBreak/>
        <w:t xml:space="preserve">upon an individual learning approach. Studysync uses AI to provide an adaptive scheduling platform that includes </w:t>
      </w:r>
      <w:r w:rsidR="00CC71DA">
        <w:t>evidence-based</w:t>
      </w:r>
      <w:r w:rsidR="00B155BD">
        <w:t xml:space="preserve"> learning. The platform creates personalised study plans based upon assessment deadlines, course weighting and user performance data. The platform also always adjusts its recommendations to minimize overload and maximize student effectiveness. Three primary trends are driving the potential opportunity for this venture. First the trend towards making things more digital in education is moving fast, second there is increasing recognition of the need to address mental health issues impacting university aged students there is also significant advancements in AI </w:t>
      </w:r>
      <w:r w:rsidR="00CC71DA">
        <w:t xml:space="preserve">driven platforms. The OECD projects significant growth in AI use in education especially in areas related to improving learning efficiency (OECD 2021). Studysync is located at the centre of three different fields such as educational technology, behavioural science and productivity software. </w:t>
      </w:r>
      <w:r w:rsidR="006615D1">
        <w:t xml:space="preserve">Studysync includes improved academic performance however also extends into providing a structured means for reducing stress associated management. </w:t>
      </w:r>
    </w:p>
    <w:p w14:paraId="3FD2D2CA" w14:textId="49EEDFE4" w:rsidR="00BF4226" w:rsidRDefault="006615D1" w:rsidP="004F18CD">
      <w:pPr>
        <w:jc w:val="both"/>
      </w:pPr>
      <w:r>
        <w:t xml:space="preserve">The overall </w:t>
      </w:r>
      <w:proofErr w:type="gramStart"/>
      <w:r>
        <w:t>long term</w:t>
      </w:r>
      <w:proofErr w:type="gramEnd"/>
      <w:r>
        <w:t xml:space="preserve"> viability of studysync will depend upon how well it </w:t>
      </w:r>
      <w:r w:rsidR="00A83B2B">
        <w:t>maintains</w:t>
      </w:r>
      <w:r>
        <w:t xml:space="preserve"> user engagement and stays technologically relevant and produces a steady flow of revenue in an extremely competitive marketplace. As such “longevity” for studysync is defined not just as sustainable financing but as an ongoing user adoption, adaptability and inclusion into learning environments. Digital education tools have been shown to be abandoned by students after </w:t>
      </w:r>
      <w:r w:rsidR="00A83B2B">
        <w:t>initial</w:t>
      </w:r>
      <w:r>
        <w:t xml:space="preserve"> use from a variety of reasons however most notably because these tools provide little </w:t>
      </w:r>
      <w:r w:rsidR="00A83B2B">
        <w:t>behavioural</w:t>
      </w:r>
      <w:r>
        <w:t xml:space="preserve"> </w:t>
      </w:r>
      <w:r w:rsidR="00A83B2B">
        <w:t>integration</w:t>
      </w:r>
      <w:r>
        <w:t xml:space="preserve"> and consequently small amounts of opportunity for sustained retention of user engagement (Selwyn 2016). Studysyncs approach to sustaining longevity has been developed in response to this challenge and has </w:t>
      </w:r>
      <w:r w:rsidR="00A83B2B">
        <w:t>focused</w:t>
      </w:r>
      <w:r>
        <w:t xml:space="preserve"> on three areas of </w:t>
      </w:r>
      <w:r w:rsidR="00A83B2B">
        <w:t xml:space="preserve">operational excellence, behavioural retention design and revenue diversification and product evolution. One of the biggest challenges facing digital learning platforms is maintaining long term user engagement. Students generally stop using digital learning tools when those tools require significant amounts of manual effort from them or when they cannot easily </w:t>
      </w:r>
      <w:r w:rsidR="00BF4226">
        <w:t>intergrade</w:t>
      </w:r>
      <w:r w:rsidR="00A83B2B">
        <w:t xml:space="preserve"> into the users established workflow (Broadbent and Poon 2015). Studysync directly addresses this issue through the implementation of automation and habit formation principles that decrease the amount of effort required from users in establishing routine use habits. Studysync uses automated generation of </w:t>
      </w:r>
      <w:r w:rsidR="00BF4226">
        <w:t>personalised</w:t>
      </w:r>
      <w:r w:rsidR="00A83B2B">
        <w:t xml:space="preserve"> study plans based upon deadlines, workload distribution and user progress to establish structured feedback loops that align with the </w:t>
      </w:r>
      <w:r w:rsidR="00BF4226">
        <w:t>self-regulated</w:t>
      </w:r>
      <w:r w:rsidR="00A83B2B">
        <w:t xml:space="preserve"> learning theory of Zimmerman (2002) and increase the likely hood that studysync becomes a habitually used tool by forming a relationship between studysync and daily study habits. </w:t>
      </w:r>
      <w:r w:rsidR="00BF4226">
        <w:t>Additional</w:t>
      </w:r>
      <w:r w:rsidR="00A83B2B">
        <w:t xml:space="preserve"> elements that reinforce usage include adaptive reminder </w:t>
      </w:r>
      <w:r w:rsidR="00BF4226">
        <w:t>notifications</w:t>
      </w:r>
      <w:r w:rsidR="00A83B2B">
        <w:t xml:space="preserve">, tacking user progress and selective use of gamification elements. Studysyncs longevity will also be contingent upon its ability to evolve and address changing </w:t>
      </w:r>
      <w:r w:rsidR="00BF4226">
        <w:t>users’</w:t>
      </w:r>
      <w:r w:rsidR="00A83B2B">
        <w:t xml:space="preserve"> behaviours. A key component of </w:t>
      </w:r>
      <w:r w:rsidR="00BF4226">
        <w:t>study syncs</w:t>
      </w:r>
      <w:r w:rsidR="00A83B2B">
        <w:t xml:space="preserve"> operational model is a date driven development process that analyses anonymous user data </w:t>
      </w:r>
      <w:r w:rsidR="00BF4226">
        <w:t>to</w:t>
      </w:r>
      <w:r w:rsidR="00A83B2B">
        <w:t xml:space="preserve"> continue improving </w:t>
      </w:r>
      <w:r w:rsidR="00A83B2B">
        <w:lastRenderedPageBreak/>
        <w:t xml:space="preserve">both the accuracy </w:t>
      </w:r>
      <w:r w:rsidR="00BF4226">
        <w:t xml:space="preserve">and </w:t>
      </w:r>
      <w:r w:rsidR="00A83B2B">
        <w:t>the effectiveness of scheduling recommendations generated by studysync</w:t>
      </w:r>
      <w:r w:rsidR="003A5B08">
        <w:t xml:space="preserve">. Research related to learning analytics has demonstrated that adaptive systems </w:t>
      </w:r>
      <w:r w:rsidR="00BF4226">
        <w:t>outperform</w:t>
      </w:r>
      <w:r w:rsidR="003A5B08">
        <w:t xml:space="preserve"> non adaptive digital tools because adaptive systems are able to res</w:t>
      </w:r>
      <w:r w:rsidR="00BF4226">
        <w:t>po</w:t>
      </w:r>
      <w:r w:rsidR="003A5B08">
        <w:t xml:space="preserve">nd </w:t>
      </w:r>
      <w:r w:rsidR="00BF4226">
        <w:t>i</w:t>
      </w:r>
      <w:r w:rsidR="003A5B08">
        <w:t xml:space="preserve">n real time to evolving learner behaviour and needs (Siemens and long 2011). Studysync uses this principle in analysing user study patterns, completion rates and assessment timeline date </w:t>
      </w:r>
      <w:r w:rsidR="00BF4226">
        <w:t>to</w:t>
      </w:r>
      <w:r w:rsidR="003A5B08">
        <w:t xml:space="preserve"> </w:t>
      </w:r>
      <w:r w:rsidR="00BF4226">
        <w:t>continuously</w:t>
      </w:r>
      <w:r w:rsidR="003A5B08">
        <w:t xml:space="preserve"> optimise future planning outputs. </w:t>
      </w:r>
      <w:r w:rsidR="00BF4226">
        <w:t>Additionally,</w:t>
      </w:r>
      <w:r w:rsidR="003A5B08">
        <w:t xml:space="preserve"> studysync </w:t>
      </w:r>
      <w:r w:rsidR="00BF4226">
        <w:t>integrates</w:t>
      </w:r>
      <w:r w:rsidR="003A5B08">
        <w:t xml:space="preserve"> with university learning management systems </w:t>
      </w:r>
      <w:r w:rsidR="004154DF">
        <w:t>to</w:t>
      </w:r>
      <w:r w:rsidR="003A5B08">
        <w:t xml:space="preserve"> provide a level of </w:t>
      </w:r>
      <w:r w:rsidR="00BF4226">
        <w:t>intuitional</w:t>
      </w:r>
      <w:r w:rsidR="003A5B08">
        <w:t xml:space="preserve"> embedding that makes studysync an integral component of the broader academic ecosystem versus simply being another isolated digital tool. Institutional embedding significantly </w:t>
      </w:r>
      <w:r w:rsidR="00BF4226">
        <w:t>raises</w:t>
      </w:r>
      <w:r w:rsidR="003A5B08">
        <w:t xml:space="preserve"> switching costs for users and subsequently supports longer term adoption of studysync by </w:t>
      </w:r>
      <w:r w:rsidR="00BF4226">
        <w:t>integrating</w:t>
      </w:r>
      <w:r w:rsidR="003A5B08">
        <w:t xml:space="preserve"> it into established educational </w:t>
      </w:r>
      <w:r w:rsidR="00BF4226">
        <w:t>infrastructures</w:t>
      </w:r>
      <w:r w:rsidR="003A5B08">
        <w:t xml:space="preserve">. Financially studysync has adopted a traditional SaaS business model. While core features of studysync are provided at no charge to </w:t>
      </w:r>
      <w:r w:rsidR="00BF4226">
        <w:t>maximise</w:t>
      </w:r>
      <w:r w:rsidR="003A5B08">
        <w:t xml:space="preserve"> the </w:t>
      </w:r>
      <w:r w:rsidR="00BF4226">
        <w:t>number</w:t>
      </w:r>
      <w:r w:rsidR="003A5B08">
        <w:t xml:space="preserve"> of </w:t>
      </w:r>
      <w:r w:rsidR="00BF4226">
        <w:t>potential</w:t>
      </w:r>
      <w:r w:rsidR="003A5B08">
        <w:t xml:space="preserve"> users acquired more sophisticated </w:t>
      </w:r>
      <w:r w:rsidR="00BF4226">
        <w:t>features</w:t>
      </w:r>
      <w:r w:rsidR="003A5B08">
        <w:t xml:space="preserve"> are available only through paid subscription levels. The free </w:t>
      </w:r>
      <w:r w:rsidR="00BF4226">
        <w:t>subscription</w:t>
      </w:r>
      <w:r w:rsidR="003A5B08">
        <w:t xml:space="preserve"> model has proven successful in providing rapid growth </w:t>
      </w:r>
      <w:r w:rsidR="00BF4226">
        <w:t xml:space="preserve">opportunities for digital platforms while minimizing marginal cost structures associated with growing customer bases (Chesbrough 2010). In addition to generating revenue from individuals subscribing to study syncs services institutional partnerships with universities and student unions enable studysync to generate additional revenue through licensing agreements. These types of partnership-based agreements allow institutions to offer studysync as part of student success and academic support programs therefore reducing studysync relying on individual subscribers and increasing financial stability. Regarding competitive </w:t>
      </w:r>
      <w:r w:rsidR="004154DF">
        <w:t>positioning</w:t>
      </w:r>
      <w:r w:rsidR="00BF4226">
        <w:t xml:space="preserve"> within the EdTech space there exist numerous competing offerings for productivity tools, AI assistants and digital planners. Mant digital planners </w:t>
      </w:r>
      <w:r w:rsidR="004154DF">
        <w:t>currently</w:t>
      </w:r>
      <w:r w:rsidR="00BF4226">
        <w:t xml:space="preserve"> complete in this space solely </w:t>
      </w:r>
      <w:r w:rsidR="004154DF">
        <w:t>based on</w:t>
      </w:r>
      <w:r w:rsidR="00BF4226">
        <w:t xml:space="preserve"> organising tasks rather than using cognitive sciences and learning theories to drive adaptive academic planning. Studysync uniquely </w:t>
      </w:r>
      <w:r w:rsidR="004154DF">
        <w:t>positions</w:t>
      </w:r>
      <w:r w:rsidR="00BF4226">
        <w:t xml:space="preserve"> itself within this crowded field by leveraging </w:t>
      </w:r>
      <w:r w:rsidR="004154DF">
        <w:t>behaviour</w:t>
      </w:r>
      <w:r w:rsidR="00BF4226">
        <w:t xml:space="preserve"> sciences, learning analytics and AI optimisation into one </w:t>
      </w:r>
      <w:r w:rsidR="004154DF">
        <w:t>integrated</w:t>
      </w:r>
      <w:r w:rsidR="00BF4226">
        <w:t xml:space="preserve"> platform designed to enhance academic performance. There is evidence showing that EdTech products developed from theoretical foundations within education are more likely to have sustained use within institutional contexts</w:t>
      </w:r>
      <w:r w:rsidR="004154DF">
        <w:t xml:space="preserve"> (OECD 2021). Through LMS integration and strategic partnerships with institutions studysync establishes structural barriers to entry for potential competitors and solidifies its position as a long-term player within a rapidly evolving digital education marketplace.</w:t>
      </w:r>
    </w:p>
    <w:p w14:paraId="4B82A3C0" w14:textId="77777777" w:rsidR="004154DF" w:rsidRDefault="004154DF"/>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32"/>
        <w:gridCol w:w="2419"/>
        <w:gridCol w:w="3775"/>
      </w:tblGrid>
      <w:tr w:rsidR="004154DF" w:rsidRPr="004154DF" w14:paraId="25C8C806" w14:textId="77777777">
        <w:trPr>
          <w:tblHeader/>
          <w:tblCellSpacing w:w="15" w:type="dxa"/>
        </w:trPr>
        <w:tc>
          <w:tcPr>
            <w:tcW w:w="0" w:type="auto"/>
            <w:vAlign w:val="center"/>
            <w:hideMark/>
          </w:tcPr>
          <w:p w14:paraId="36C96A77" w14:textId="77777777" w:rsidR="004154DF" w:rsidRPr="004154DF" w:rsidRDefault="004154DF" w:rsidP="004154DF">
            <w:pPr>
              <w:spacing w:after="0" w:line="240" w:lineRule="auto"/>
              <w:rPr>
                <w:rFonts w:ascii="Times New Roman" w:eastAsia="Times New Roman" w:hAnsi="Times New Roman" w:cs="Times New Roman"/>
                <w:b/>
                <w:bCs/>
                <w:color w:val="C00000"/>
                <w:kern w:val="0"/>
                <w:lang w:eastAsia="en-GB"/>
                <w14:ligatures w14:val="none"/>
              </w:rPr>
            </w:pPr>
          </w:p>
          <w:p w14:paraId="3CD965F3" w14:textId="42A7B4A1" w:rsidR="004154DF" w:rsidRPr="004154DF" w:rsidRDefault="004154DF" w:rsidP="004154DF">
            <w:pPr>
              <w:spacing w:after="0" w:line="240" w:lineRule="auto"/>
              <w:rPr>
                <w:rFonts w:ascii="Times New Roman" w:eastAsia="Times New Roman" w:hAnsi="Times New Roman" w:cs="Times New Roman"/>
                <w:b/>
                <w:bCs/>
                <w:color w:val="C00000"/>
                <w:kern w:val="0"/>
                <w:lang w:eastAsia="en-GB"/>
                <w14:ligatures w14:val="none"/>
              </w:rPr>
            </w:pPr>
            <w:r w:rsidRPr="004154DF">
              <w:rPr>
                <w:rFonts w:ascii="Times New Roman" w:eastAsia="Times New Roman" w:hAnsi="Times New Roman" w:cs="Times New Roman"/>
                <w:b/>
                <w:bCs/>
                <w:color w:val="C00000"/>
                <w:kern w:val="0"/>
                <w:lang w:eastAsia="en-GB"/>
                <w14:ligatures w14:val="none"/>
              </w:rPr>
              <w:t>Key Partners</w:t>
            </w:r>
          </w:p>
        </w:tc>
        <w:tc>
          <w:tcPr>
            <w:tcW w:w="0" w:type="auto"/>
            <w:vAlign w:val="center"/>
            <w:hideMark/>
          </w:tcPr>
          <w:p w14:paraId="7B28F1F7" w14:textId="77777777" w:rsidR="004154DF" w:rsidRPr="004154DF" w:rsidRDefault="004154DF" w:rsidP="004154DF">
            <w:pPr>
              <w:spacing w:after="0" w:line="240" w:lineRule="auto"/>
              <w:rPr>
                <w:rFonts w:ascii="Times New Roman" w:eastAsia="Times New Roman" w:hAnsi="Times New Roman" w:cs="Times New Roman"/>
                <w:b/>
                <w:bCs/>
                <w:color w:val="C00000"/>
                <w:kern w:val="0"/>
                <w:lang w:eastAsia="en-GB"/>
                <w14:ligatures w14:val="none"/>
              </w:rPr>
            </w:pPr>
            <w:r w:rsidRPr="004154DF">
              <w:rPr>
                <w:rFonts w:ascii="Times New Roman" w:eastAsia="Times New Roman" w:hAnsi="Times New Roman" w:cs="Times New Roman"/>
                <w:b/>
                <w:bCs/>
                <w:color w:val="C00000"/>
                <w:kern w:val="0"/>
                <w:lang w:eastAsia="en-GB"/>
                <w14:ligatures w14:val="none"/>
              </w:rPr>
              <w:t>Key Activities</w:t>
            </w:r>
          </w:p>
        </w:tc>
        <w:tc>
          <w:tcPr>
            <w:tcW w:w="0" w:type="auto"/>
            <w:vAlign w:val="center"/>
            <w:hideMark/>
          </w:tcPr>
          <w:p w14:paraId="6CD79700" w14:textId="77777777" w:rsidR="004154DF" w:rsidRPr="004154DF" w:rsidRDefault="004154DF" w:rsidP="004154DF">
            <w:pPr>
              <w:spacing w:after="0" w:line="240" w:lineRule="auto"/>
              <w:rPr>
                <w:rFonts w:ascii="Times New Roman" w:eastAsia="Times New Roman" w:hAnsi="Times New Roman" w:cs="Times New Roman"/>
                <w:b/>
                <w:bCs/>
                <w:color w:val="C00000"/>
                <w:kern w:val="0"/>
                <w:lang w:eastAsia="en-GB"/>
                <w14:ligatures w14:val="none"/>
              </w:rPr>
            </w:pPr>
            <w:r w:rsidRPr="004154DF">
              <w:rPr>
                <w:rFonts w:ascii="Times New Roman" w:eastAsia="Times New Roman" w:hAnsi="Times New Roman" w:cs="Times New Roman"/>
                <w:b/>
                <w:bCs/>
                <w:color w:val="C00000"/>
                <w:kern w:val="0"/>
                <w:lang w:eastAsia="en-GB"/>
                <w14:ligatures w14:val="none"/>
              </w:rPr>
              <w:t>Value Proposition</w:t>
            </w:r>
          </w:p>
        </w:tc>
      </w:tr>
      <w:tr w:rsidR="004154DF" w:rsidRPr="004154DF" w14:paraId="0C7621E5" w14:textId="77777777">
        <w:trPr>
          <w:tblCellSpacing w:w="15" w:type="dxa"/>
        </w:trPr>
        <w:tc>
          <w:tcPr>
            <w:tcW w:w="0" w:type="auto"/>
            <w:vAlign w:val="center"/>
            <w:hideMark/>
          </w:tcPr>
          <w:p w14:paraId="22AE4CBF"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Universities and student unions</w:t>
            </w:r>
          </w:p>
        </w:tc>
        <w:tc>
          <w:tcPr>
            <w:tcW w:w="0" w:type="auto"/>
            <w:vAlign w:val="center"/>
            <w:hideMark/>
          </w:tcPr>
          <w:p w14:paraId="13C30891"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AI algorithm development for scheduling</w:t>
            </w:r>
          </w:p>
        </w:tc>
        <w:tc>
          <w:tcPr>
            <w:tcW w:w="0" w:type="auto"/>
            <w:vAlign w:val="center"/>
            <w:hideMark/>
          </w:tcPr>
          <w:p w14:paraId="3C2C5999"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Personalised AI-driven study schedules</w:t>
            </w:r>
          </w:p>
        </w:tc>
      </w:tr>
      <w:tr w:rsidR="004154DF" w:rsidRPr="004154DF" w14:paraId="198E60CF" w14:textId="77777777">
        <w:trPr>
          <w:tblCellSpacing w:w="15" w:type="dxa"/>
        </w:trPr>
        <w:tc>
          <w:tcPr>
            <w:tcW w:w="0" w:type="auto"/>
            <w:vAlign w:val="center"/>
            <w:hideMark/>
          </w:tcPr>
          <w:p w14:paraId="2AFF0378"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lastRenderedPageBreak/>
              <w:t>LMS providers (e.g. Moodle, Canvas)</w:t>
            </w:r>
          </w:p>
        </w:tc>
        <w:tc>
          <w:tcPr>
            <w:tcW w:w="0" w:type="auto"/>
            <w:vAlign w:val="center"/>
            <w:hideMark/>
          </w:tcPr>
          <w:p w14:paraId="1434CBB1"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Data analytics and model improvement</w:t>
            </w:r>
          </w:p>
        </w:tc>
        <w:tc>
          <w:tcPr>
            <w:tcW w:w="0" w:type="auto"/>
            <w:vAlign w:val="center"/>
            <w:hideMark/>
          </w:tcPr>
          <w:p w14:paraId="48770883"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Reduced student stress and cognitive overload</w:t>
            </w:r>
          </w:p>
        </w:tc>
      </w:tr>
      <w:tr w:rsidR="004154DF" w:rsidRPr="004154DF" w14:paraId="54574B96" w14:textId="77777777">
        <w:trPr>
          <w:tblCellSpacing w:w="15" w:type="dxa"/>
        </w:trPr>
        <w:tc>
          <w:tcPr>
            <w:tcW w:w="0" w:type="auto"/>
            <w:vAlign w:val="center"/>
            <w:hideMark/>
          </w:tcPr>
          <w:p w14:paraId="0624A92A"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EdTech AI infrastructure providers (cloud services)</w:t>
            </w:r>
          </w:p>
        </w:tc>
        <w:tc>
          <w:tcPr>
            <w:tcW w:w="0" w:type="auto"/>
            <w:vAlign w:val="center"/>
            <w:hideMark/>
          </w:tcPr>
          <w:p w14:paraId="477A5A11"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App development and maintenance</w:t>
            </w:r>
          </w:p>
        </w:tc>
        <w:tc>
          <w:tcPr>
            <w:tcW w:w="0" w:type="auto"/>
            <w:vAlign w:val="center"/>
            <w:hideMark/>
          </w:tcPr>
          <w:p w14:paraId="3BDE25A7"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Improved academic performance through evidence-based learning techniques</w:t>
            </w:r>
          </w:p>
        </w:tc>
      </w:tr>
      <w:tr w:rsidR="004154DF" w:rsidRPr="004154DF" w14:paraId="3306B1AE" w14:textId="77777777">
        <w:trPr>
          <w:tblCellSpacing w:w="15" w:type="dxa"/>
        </w:trPr>
        <w:tc>
          <w:tcPr>
            <w:tcW w:w="0" w:type="auto"/>
            <w:vAlign w:val="center"/>
            <w:hideMark/>
          </w:tcPr>
          <w:p w14:paraId="33FBA41E"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p>
        </w:tc>
        <w:tc>
          <w:tcPr>
            <w:tcW w:w="0" w:type="auto"/>
            <w:vAlign w:val="center"/>
            <w:hideMark/>
          </w:tcPr>
          <w:p w14:paraId="57D3D895"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University partnership management</w:t>
            </w:r>
          </w:p>
        </w:tc>
        <w:tc>
          <w:tcPr>
            <w:tcW w:w="0" w:type="auto"/>
            <w:vAlign w:val="center"/>
            <w:hideMark/>
          </w:tcPr>
          <w:p w14:paraId="7528A31E" w14:textId="77777777" w:rsidR="004154DF" w:rsidRPr="004154DF" w:rsidRDefault="004154DF" w:rsidP="004154DF">
            <w:pPr>
              <w:spacing w:after="0" w:line="240" w:lineRule="auto"/>
              <w:rPr>
                <w:rFonts w:ascii="Times New Roman" w:eastAsia="Times New Roman" w:hAnsi="Times New Roman" w:cs="Times New Roman"/>
                <w:color w:val="C00000"/>
                <w:kern w:val="0"/>
                <w:lang w:eastAsia="en-GB"/>
                <w14:ligatures w14:val="none"/>
              </w:rPr>
            </w:pPr>
            <w:r w:rsidRPr="004154DF">
              <w:rPr>
                <w:rFonts w:ascii="Times New Roman" w:eastAsia="Times New Roman" w:hAnsi="Times New Roman" w:cs="Times New Roman"/>
                <w:color w:val="C00000"/>
                <w:kern w:val="0"/>
                <w:lang w:eastAsia="en-GB"/>
                <w14:ligatures w14:val="none"/>
              </w:rPr>
              <w:t>Adaptive planning that evolves with user behaviour</w:t>
            </w:r>
          </w:p>
        </w:tc>
      </w:tr>
    </w:tbl>
    <w:p w14:paraId="22DB3CC0" w14:textId="77777777" w:rsidR="004154DF" w:rsidRPr="004154DF" w:rsidRDefault="004F18CD" w:rsidP="004154DF">
      <w:pPr>
        <w:spacing w:after="0" w:line="240" w:lineRule="auto"/>
        <w:rPr>
          <w:rFonts w:ascii="Times New Roman" w:eastAsia="Times New Roman" w:hAnsi="Times New Roman" w:cs="Times New Roman"/>
          <w:kern w:val="0"/>
          <w:lang w:eastAsia="en-GB"/>
          <w14:ligatures w14:val="none"/>
        </w:rPr>
      </w:pPr>
      <w:r w:rsidRPr="00D56A19">
        <w:rPr>
          <w:rFonts w:ascii="Times New Roman" w:eastAsia="Times New Roman" w:hAnsi="Times New Roman" w:cs="Times New Roman"/>
          <w:noProof/>
          <w:kern w:val="0"/>
          <w:lang w:eastAsia="en-GB"/>
        </w:rPr>
      </w:r>
      <w:r w:rsidR="004F18CD" w:rsidRPr="00D56A19">
        <w:rPr>
          <w:rFonts w:ascii="Times New Roman" w:eastAsia="Times New Roman" w:hAnsi="Times New Roman" w:cs="Times New Roman"/>
          <w:noProof/>
          <w:kern w:val="0"/>
          <w:lang w:eastAsia="en-GB"/>
        </w:rPr>
        <w:pict w14:anchorId="2FAAF583">
          <v:rect id="_x0000_i1039" alt="" style="width:451.3pt;height:.05pt;mso-width-percent:0;mso-height-percent:0;mso-width-percent:0;mso-height-percent:0" o:hralign="center" o:hrstd="t" o:hrnoshade="t" o:hr="t" fillcolor="black" stroked="f"/>
        </w:pi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70"/>
        <w:gridCol w:w="3100"/>
        <w:gridCol w:w="2556"/>
      </w:tblGrid>
      <w:tr w:rsidR="004154DF" w:rsidRPr="004154DF" w14:paraId="38683799" w14:textId="77777777">
        <w:trPr>
          <w:tblHeader/>
          <w:tblCellSpacing w:w="15" w:type="dxa"/>
        </w:trPr>
        <w:tc>
          <w:tcPr>
            <w:tcW w:w="0" w:type="auto"/>
            <w:vAlign w:val="center"/>
            <w:hideMark/>
          </w:tcPr>
          <w:p w14:paraId="4FB651BD" w14:textId="77777777" w:rsidR="004154DF" w:rsidRPr="004154DF" w:rsidRDefault="004154DF" w:rsidP="004154DF">
            <w:pPr>
              <w:spacing w:after="0" w:line="240" w:lineRule="auto"/>
              <w:rPr>
                <w:rFonts w:ascii="Times New Roman" w:eastAsia="Times New Roman" w:hAnsi="Times New Roman" w:cs="Times New Roman"/>
                <w:b/>
                <w:bCs/>
                <w:color w:val="FFC000"/>
                <w:kern w:val="0"/>
                <w:lang w:eastAsia="en-GB"/>
                <w14:ligatures w14:val="none"/>
              </w:rPr>
            </w:pPr>
            <w:r w:rsidRPr="004154DF">
              <w:rPr>
                <w:rFonts w:ascii="Times New Roman" w:eastAsia="Times New Roman" w:hAnsi="Times New Roman" w:cs="Times New Roman"/>
                <w:b/>
                <w:bCs/>
                <w:color w:val="FFC000"/>
                <w:kern w:val="0"/>
                <w:lang w:eastAsia="en-GB"/>
                <w14:ligatures w14:val="none"/>
              </w:rPr>
              <w:t>Customer Relationships</w:t>
            </w:r>
          </w:p>
        </w:tc>
        <w:tc>
          <w:tcPr>
            <w:tcW w:w="0" w:type="auto"/>
            <w:vAlign w:val="center"/>
            <w:hideMark/>
          </w:tcPr>
          <w:p w14:paraId="206A9E26" w14:textId="77777777" w:rsidR="004154DF" w:rsidRPr="004154DF" w:rsidRDefault="004154DF" w:rsidP="004154DF">
            <w:pPr>
              <w:spacing w:after="0" w:line="240" w:lineRule="auto"/>
              <w:rPr>
                <w:rFonts w:ascii="Times New Roman" w:eastAsia="Times New Roman" w:hAnsi="Times New Roman" w:cs="Times New Roman"/>
                <w:b/>
                <w:bCs/>
                <w:color w:val="FFC000"/>
                <w:kern w:val="0"/>
                <w:lang w:eastAsia="en-GB"/>
                <w14:ligatures w14:val="none"/>
              </w:rPr>
            </w:pPr>
            <w:r w:rsidRPr="004154DF">
              <w:rPr>
                <w:rFonts w:ascii="Times New Roman" w:eastAsia="Times New Roman" w:hAnsi="Times New Roman" w:cs="Times New Roman"/>
                <w:b/>
                <w:bCs/>
                <w:color w:val="FFC000"/>
                <w:kern w:val="0"/>
                <w:lang w:eastAsia="en-GB"/>
                <w14:ligatures w14:val="none"/>
              </w:rPr>
              <w:t>Channels</w:t>
            </w:r>
          </w:p>
        </w:tc>
        <w:tc>
          <w:tcPr>
            <w:tcW w:w="0" w:type="auto"/>
            <w:vAlign w:val="center"/>
            <w:hideMark/>
          </w:tcPr>
          <w:p w14:paraId="3541CD28" w14:textId="77777777" w:rsidR="004154DF" w:rsidRPr="004154DF" w:rsidRDefault="004154DF" w:rsidP="004154DF">
            <w:pPr>
              <w:spacing w:after="0" w:line="240" w:lineRule="auto"/>
              <w:rPr>
                <w:rFonts w:ascii="Times New Roman" w:eastAsia="Times New Roman" w:hAnsi="Times New Roman" w:cs="Times New Roman"/>
                <w:b/>
                <w:bCs/>
                <w:color w:val="FFC000"/>
                <w:kern w:val="0"/>
                <w:lang w:eastAsia="en-GB"/>
                <w14:ligatures w14:val="none"/>
              </w:rPr>
            </w:pPr>
            <w:r w:rsidRPr="004154DF">
              <w:rPr>
                <w:rFonts w:ascii="Times New Roman" w:eastAsia="Times New Roman" w:hAnsi="Times New Roman" w:cs="Times New Roman"/>
                <w:b/>
                <w:bCs/>
                <w:color w:val="FFC000"/>
                <w:kern w:val="0"/>
                <w:lang w:eastAsia="en-GB"/>
                <w14:ligatures w14:val="none"/>
              </w:rPr>
              <w:t>Customer Segments</w:t>
            </w:r>
          </w:p>
        </w:tc>
      </w:tr>
      <w:tr w:rsidR="004154DF" w:rsidRPr="004154DF" w14:paraId="017A8F53" w14:textId="77777777">
        <w:trPr>
          <w:tblCellSpacing w:w="15" w:type="dxa"/>
        </w:trPr>
        <w:tc>
          <w:tcPr>
            <w:tcW w:w="0" w:type="auto"/>
            <w:vAlign w:val="center"/>
            <w:hideMark/>
          </w:tcPr>
          <w:p w14:paraId="1129A7AD"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Automated personalised onboarding</w:t>
            </w:r>
          </w:p>
        </w:tc>
        <w:tc>
          <w:tcPr>
            <w:tcW w:w="0" w:type="auto"/>
            <w:vAlign w:val="center"/>
            <w:hideMark/>
          </w:tcPr>
          <w:p w14:paraId="06124914"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Mobile app stores (iOS/Android)</w:t>
            </w:r>
          </w:p>
        </w:tc>
        <w:tc>
          <w:tcPr>
            <w:tcW w:w="0" w:type="auto"/>
            <w:vAlign w:val="center"/>
            <w:hideMark/>
          </w:tcPr>
          <w:p w14:paraId="068A44B5"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Undergraduate students</w:t>
            </w:r>
          </w:p>
        </w:tc>
      </w:tr>
      <w:tr w:rsidR="004154DF" w:rsidRPr="004154DF" w14:paraId="7C381AED" w14:textId="77777777">
        <w:trPr>
          <w:tblCellSpacing w:w="15" w:type="dxa"/>
        </w:trPr>
        <w:tc>
          <w:tcPr>
            <w:tcW w:w="0" w:type="auto"/>
            <w:vAlign w:val="center"/>
            <w:hideMark/>
          </w:tcPr>
          <w:p w14:paraId="55D92623"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AI-driven continuous support</w:t>
            </w:r>
          </w:p>
        </w:tc>
        <w:tc>
          <w:tcPr>
            <w:tcW w:w="0" w:type="auto"/>
            <w:vAlign w:val="center"/>
            <w:hideMark/>
          </w:tcPr>
          <w:p w14:paraId="0698F565"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University partnerships (direct onboarding)</w:t>
            </w:r>
          </w:p>
        </w:tc>
        <w:tc>
          <w:tcPr>
            <w:tcW w:w="0" w:type="auto"/>
            <w:vAlign w:val="center"/>
            <w:hideMark/>
          </w:tcPr>
          <w:p w14:paraId="350AD91E"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Postgraduate students</w:t>
            </w:r>
          </w:p>
        </w:tc>
      </w:tr>
      <w:tr w:rsidR="004154DF" w:rsidRPr="004154DF" w14:paraId="614BF145" w14:textId="77777777">
        <w:trPr>
          <w:tblCellSpacing w:w="15" w:type="dxa"/>
        </w:trPr>
        <w:tc>
          <w:tcPr>
            <w:tcW w:w="0" w:type="auto"/>
            <w:vAlign w:val="center"/>
            <w:hideMark/>
          </w:tcPr>
          <w:p w14:paraId="0F6DFDCC"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In-app feedback loops and progress tracking</w:t>
            </w:r>
          </w:p>
        </w:tc>
        <w:tc>
          <w:tcPr>
            <w:tcW w:w="0" w:type="auto"/>
            <w:vAlign w:val="center"/>
            <w:hideMark/>
          </w:tcPr>
          <w:p w14:paraId="09AE2CCA"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Student unions and orientation programmes</w:t>
            </w:r>
          </w:p>
        </w:tc>
        <w:tc>
          <w:tcPr>
            <w:tcW w:w="0" w:type="auto"/>
            <w:vAlign w:val="center"/>
            <w:hideMark/>
          </w:tcPr>
          <w:p w14:paraId="79F90544"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Universities (institutional buyers)</w:t>
            </w:r>
          </w:p>
        </w:tc>
      </w:tr>
      <w:tr w:rsidR="004154DF" w:rsidRPr="004154DF" w14:paraId="58F7C163" w14:textId="77777777">
        <w:trPr>
          <w:tblCellSpacing w:w="15" w:type="dxa"/>
        </w:trPr>
        <w:tc>
          <w:tcPr>
            <w:tcW w:w="0" w:type="auto"/>
            <w:vAlign w:val="center"/>
            <w:hideMark/>
          </w:tcPr>
          <w:p w14:paraId="3973CFBD"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Community/support forums (light-touch)</w:t>
            </w:r>
          </w:p>
        </w:tc>
        <w:tc>
          <w:tcPr>
            <w:tcW w:w="0" w:type="auto"/>
            <w:vAlign w:val="center"/>
            <w:hideMark/>
          </w:tcPr>
          <w:p w14:paraId="2AF5602D"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p>
        </w:tc>
        <w:tc>
          <w:tcPr>
            <w:tcW w:w="0" w:type="auto"/>
            <w:vAlign w:val="center"/>
            <w:hideMark/>
          </w:tcPr>
          <w:p w14:paraId="22776203" w14:textId="77777777" w:rsidR="004154DF" w:rsidRPr="004154DF" w:rsidRDefault="004154DF" w:rsidP="004154DF">
            <w:pPr>
              <w:spacing w:after="0" w:line="240" w:lineRule="auto"/>
              <w:rPr>
                <w:rFonts w:ascii="Times New Roman" w:eastAsia="Times New Roman" w:hAnsi="Times New Roman" w:cs="Times New Roman"/>
                <w:color w:val="FFC000"/>
                <w:kern w:val="0"/>
                <w:lang w:eastAsia="en-GB"/>
                <w14:ligatures w14:val="none"/>
              </w:rPr>
            </w:pPr>
            <w:r w:rsidRPr="004154DF">
              <w:rPr>
                <w:rFonts w:ascii="Times New Roman" w:eastAsia="Times New Roman" w:hAnsi="Times New Roman" w:cs="Times New Roman"/>
                <w:color w:val="FFC000"/>
                <w:kern w:val="0"/>
                <w:lang w:eastAsia="en-GB"/>
                <w14:ligatures w14:val="none"/>
              </w:rPr>
              <w:t>Student support services</w:t>
            </w:r>
          </w:p>
        </w:tc>
      </w:tr>
    </w:tbl>
    <w:p w14:paraId="33C2EAED" w14:textId="77777777" w:rsidR="004154DF" w:rsidRPr="004154DF" w:rsidRDefault="004F18CD" w:rsidP="004154DF">
      <w:pPr>
        <w:spacing w:after="0" w:line="240" w:lineRule="auto"/>
        <w:rPr>
          <w:rFonts w:ascii="Times New Roman" w:eastAsia="Times New Roman" w:hAnsi="Times New Roman" w:cs="Times New Roman"/>
          <w:kern w:val="0"/>
          <w:lang w:eastAsia="en-GB"/>
          <w14:ligatures w14:val="none"/>
        </w:rPr>
      </w:pPr>
      <w:r w:rsidRPr="00D56A19">
        <w:rPr>
          <w:rFonts w:ascii="Times New Roman" w:eastAsia="Times New Roman" w:hAnsi="Times New Roman" w:cs="Times New Roman"/>
          <w:noProof/>
          <w:kern w:val="0"/>
          <w:lang w:eastAsia="en-GB"/>
        </w:rPr>
      </w:r>
      <w:r w:rsidR="004F18CD" w:rsidRPr="00D56A19">
        <w:rPr>
          <w:rFonts w:ascii="Times New Roman" w:eastAsia="Times New Roman" w:hAnsi="Times New Roman" w:cs="Times New Roman"/>
          <w:noProof/>
          <w:kern w:val="0"/>
          <w:lang w:eastAsia="en-GB"/>
        </w:rPr>
        <w:pict w14:anchorId="20C99CFB">
          <v:rect id="_x0000_i1038" alt="" style="width:451.3pt;height:.05pt;mso-width-percent:0;mso-height-percent:0;mso-width-percent:0;mso-height-percent:0" o:hralign="center" o:hrstd="t" o:hrnoshade="t" o:hr="t" fillcolor="black" stroked="f"/>
        </w:pic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78"/>
        <w:gridCol w:w="2570"/>
        <w:gridCol w:w="3778"/>
      </w:tblGrid>
      <w:tr w:rsidR="004154DF" w:rsidRPr="004154DF" w14:paraId="7C169736" w14:textId="77777777">
        <w:trPr>
          <w:tblHeader/>
          <w:tblCellSpacing w:w="15" w:type="dxa"/>
        </w:trPr>
        <w:tc>
          <w:tcPr>
            <w:tcW w:w="0" w:type="auto"/>
            <w:vAlign w:val="center"/>
            <w:hideMark/>
          </w:tcPr>
          <w:p w14:paraId="57BB5885" w14:textId="77777777" w:rsidR="004154DF" w:rsidRPr="004154DF" w:rsidRDefault="004154DF" w:rsidP="004154DF">
            <w:pPr>
              <w:spacing w:after="0" w:line="240" w:lineRule="auto"/>
              <w:rPr>
                <w:rFonts w:ascii="Times New Roman" w:eastAsia="Times New Roman" w:hAnsi="Times New Roman" w:cs="Times New Roman"/>
                <w:b/>
                <w:bCs/>
                <w:color w:val="92D050"/>
                <w:kern w:val="0"/>
                <w:lang w:eastAsia="en-GB"/>
                <w14:ligatures w14:val="none"/>
              </w:rPr>
            </w:pPr>
            <w:r w:rsidRPr="004154DF">
              <w:rPr>
                <w:rFonts w:ascii="Times New Roman" w:eastAsia="Times New Roman" w:hAnsi="Times New Roman" w:cs="Times New Roman"/>
                <w:b/>
                <w:bCs/>
                <w:color w:val="92D050"/>
                <w:kern w:val="0"/>
                <w:lang w:eastAsia="en-GB"/>
                <w14:ligatures w14:val="none"/>
              </w:rPr>
              <w:t>Key Resources</w:t>
            </w:r>
          </w:p>
        </w:tc>
        <w:tc>
          <w:tcPr>
            <w:tcW w:w="0" w:type="auto"/>
            <w:vAlign w:val="center"/>
            <w:hideMark/>
          </w:tcPr>
          <w:p w14:paraId="493FB8AA" w14:textId="77777777" w:rsidR="004154DF" w:rsidRPr="004154DF" w:rsidRDefault="004154DF" w:rsidP="004154DF">
            <w:pPr>
              <w:spacing w:after="0" w:line="240" w:lineRule="auto"/>
              <w:rPr>
                <w:rFonts w:ascii="Times New Roman" w:eastAsia="Times New Roman" w:hAnsi="Times New Roman" w:cs="Times New Roman"/>
                <w:b/>
                <w:bCs/>
                <w:color w:val="92D050"/>
                <w:kern w:val="0"/>
                <w:lang w:eastAsia="en-GB"/>
                <w14:ligatures w14:val="none"/>
              </w:rPr>
            </w:pPr>
            <w:r w:rsidRPr="004154DF">
              <w:rPr>
                <w:rFonts w:ascii="Times New Roman" w:eastAsia="Times New Roman" w:hAnsi="Times New Roman" w:cs="Times New Roman"/>
                <w:b/>
                <w:bCs/>
                <w:color w:val="92D050"/>
                <w:kern w:val="0"/>
                <w:lang w:eastAsia="en-GB"/>
                <w14:ligatures w14:val="none"/>
              </w:rPr>
              <w:t>Cost Structure</w:t>
            </w:r>
          </w:p>
        </w:tc>
        <w:tc>
          <w:tcPr>
            <w:tcW w:w="0" w:type="auto"/>
            <w:vAlign w:val="center"/>
            <w:hideMark/>
          </w:tcPr>
          <w:p w14:paraId="2C9C1D23" w14:textId="77777777" w:rsidR="004154DF" w:rsidRPr="004154DF" w:rsidRDefault="004154DF" w:rsidP="004154DF">
            <w:pPr>
              <w:spacing w:after="0" w:line="240" w:lineRule="auto"/>
              <w:jc w:val="center"/>
              <w:rPr>
                <w:rFonts w:ascii="Times New Roman" w:eastAsia="Times New Roman" w:hAnsi="Times New Roman" w:cs="Times New Roman"/>
                <w:b/>
                <w:bCs/>
                <w:color w:val="92D050"/>
                <w:kern w:val="0"/>
                <w:lang w:eastAsia="en-GB"/>
                <w14:ligatures w14:val="none"/>
              </w:rPr>
            </w:pPr>
            <w:r w:rsidRPr="004154DF">
              <w:rPr>
                <w:rFonts w:ascii="Times New Roman" w:eastAsia="Times New Roman" w:hAnsi="Times New Roman" w:cs="Times New Roman"/>
                <w:b/>
                <w:bCs/>
                <w:color w:val="92D050"/>
                <w:kern w:val="0"/>
                <w:lang w:eastAsia="en-GB"/>
                <w14:ligatures w14:val="none"/>
              </w:rPr>
              <w:t>Revenue Streams</w:t>
            </w:r>
          </w:p>
        </w:tc>
      </w:tr>
      <w:tr w:rsidR="004154DF" w:rsidRPr="004154DF" w14:paraId="3FDA3CB5" w14:textId="77777777">
        <w:trPr>
          <w:tblCellSpacing w:w="15" w:type="dxa"/>
        </w:trPr>
        <w:tc>
          <w:tcPr>
            <w:tcW w:w="0" w:type="auto"/>
            <w:vAlign w:val="center"/>
            <w:hideMark/>
          </w:tcPr>
          <w:p w14:paraId="09B3E81C"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AI and machine learning infrastructure</w:t>
            </w:r>
          </w:p>
        </w:tc>
        <w:tc>
          <w:tcPr>
            <w:tcW w:w="0" w:type="auto"/>
            <w:vAlign w:val="center"/>
            <w:hideMark/>
          </w:tcPr>
          <w:p w14:paraId="55DC2674"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AI model development and hosting costs</w:t>
            </w:r>
          </w:p>
        </w:tc>
        <w:tc>
          <w:tcPr>
            <w:tcW w:w="0" w:type="auto"/>
            <w:vAlign w:val="center"/>
            <w:hideMark/>
          </w:tcPr>
          <w:p w14:paraId="79BC1763"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Freemium subscription model (student users)</w:t>
            </w:r>
          </w:p>
        </w:tc>
      </w:tr>
      <w:tr w:rsidR="004154DF" w:rsidRPr="004154DF" w14:paraId="4E2C9EE8" w14:textId="77777777">
        <w:trPr>
          <w:tblCellSpacing w:w="15" w:type="dxa"/>
        </w:trPr>
        <w:tc>
          <w:tcPr>
            <w:tcW w:w="0" w:type="auto"/>
            <w:vAlign w:val="center"/>
            <w:hideMark/>
          </w:tcPr>
          <w:p w14:paraId="3257BC74"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Student behavioural dataset (anonymised)</w:t>
            </w:r>
          </w:p>
        </w:tc>
        <w:tc>
          <w:tcPr>
            <w:tcW w:w="0" w:type="auto"/>
            <w:vAlign w:val="center"/>
            <w:hideMark/>
          </w:tcPr>
          <w:p w14:paraId="6AE579AB"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App development and maintenance</w:t>
            </w:r>
          </w:p>
        </w:tc>
        <w:tc>
          <w:tcPr>
            <w:tcW w:w="0" w:type="auto"/>
            <w:vAlign w:val="center"/>
            <w:hideMark/>
          </w:tcPr>
          <w:p w14:paraId="00797290"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Premium AI features subscription</w:t>
            </w:r>
          </w:p>
        </w:tc>
      </w:tr>
      <w:tr w:rsidR="004154DF" w:rsidRPr="004154DF" w14:paraId="5E5B02E5" w14:textId="77777777">
        <w:trPr>
          <w:tblCellSpacing w:w="15" w:type="dxa"/>
        </w:trPr>
        <w:tc>
          <w:tcPr>
            <w:tcW w:w="0" w:type="auto"/>
            <w:vAlign w:val="center"/>
            <w:hideMark/>
          </w:tcPr>
          <w:p w14:paraId="20D904A6"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Software development team</w:t>
            </w:r>
          </w:p>
        </w:tc>
        <w:tc>
          <w:tcPr>
            <w:tcW w:w="0" w:type="auto"/>
            <w:vAlign w:val="center"/>
            <w:hideMark/>
          </w:tcPr>
          <w:p w14:paraId="4094157E"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Marketing and user acquisition</w:t>
            </w:r>
          </w:p>
        </w:tc>
        <w:tc>
          <w:tcPr>
            <w:tcW w:w="0" w:type="auto"/>
            <w:vAlign w:val="center"/>
            <w:hideMark/>
          </w:tcPr>
          <w:p w14:paraId="0C095DAA"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Institutional licensing (universities)</w:t>
            </w:r>
          </w:p>
        </w:tc>
      </w:tr>
      <w:tr w:rsidR="004154DF" w:rsidRPr="004154DF" w14:paraId="2757A70B" w14:textId="77777777">
        <w:trPr>
          <w:tblCellSpacing w:w="15" w:type="dxa"/>
        </w:trPr>
        <w:tc>
          <w:tcPr>
            <w:tcW w:w="0" w:type="auto"/>
            <w:vAlign w:val="center"/>
            <w:hideMark/>
          </w:tcPr>
          <w:p w14:paraId="648AF79C"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Academic research partnerships</w:t>
            </w:r>
          </w:p>
        </w:tc>
        <w:tc>
          <w:tcPr>
            <w:tcW w:w="0" w:type="auto"/>
            <w:vAlign w:val="center"/>
            <w:hideMark/>
          </w:tcPr>
          <w:p w14:paraId="424A1581"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University partnership integration costs</w:t>
            </w:r>
          </w:p>
        </w:tc>
        <w:tc>
          <w:tcPr>
            <w:tcW w:w="0" w:type="auto"/>
            <w:vAlign w:val="center"/>
            <w:hideMark/>
          </w:tcPr>
          <w:p w14:paraId="2F27DD0A" w14:textId="77777777" w:rsidR="004154DF" w:rsidRPr="004154DF" w:rsidRDefault="004154DF" w:rsidP="004154DF">
            <w:pPr>
              <w:spacing w:after="0" w:line="240" w:lineRule="auto"/>
              <w:rPr>
                <w:rFonts w:ascii="Times New Roman" w:eastAsia="Times New Roman" w:hAnsi="Times New Roman" w:cs="Times New Roman"/>
                <w:color w:val="92D050"/>
                <w:kern w:val="0"/>
                <w:lang w:eastAsia="en-GB"/>
                <w14:ligatures w14:val="none"/>
              </w:rPr>
            </w:pPr>
            <w:r w:rsidRPr="004154DF">
              <w:rPr>
                <w:rFonts w:ascii="Times New Roman" w:eastAsia="Times New Roman" w:hAnsi="Times New Roman" w:cs="Times New Roman"/>
                <w:color w:val="92D050"/>
                <w:kern w:val="0"/>
                <w:lang w:eastAsia="en-GB"/>
                <w14:ligatures w14:val="none"/>
              </w:rPr>
              <w:t>Data insights dashboards for institutions (aggregated, anonymised)</w:t>
            </w:r>
          </w:p>
        </w:tc>
      </w:tr>
    </w:tbl>
    <w:p w14:paraId="68B025BD" w14:textId="77777777" w:rsidR="004154DF" w:rsidRPr="004154DF" w:rsidRDefault="004F18CD" w:rsidP="004154DF">
      <w:pPr>
        <w:spacing w:after="0" w:line="240" w:lineRule="auto"/>
        <w:rPr>
          <w:rFonts w:ascii="Times New Roman" w:eastAsia="Times New Roman" w:hAnsi="Times New Roman" w:cs="Times New Roman"/>
          <w:kern w:val="0"/>
          <w:lang w:eastAsia="en-GB"/>
          <w14:ligatures w14:val="none"/>
        </w:rPr>
      </w:pPr>
      <w:r w:rsidRPr="00D56A19">
        <w:rPr>
          <w:rFonts w:ascii="Times New Roman" w:eastAsia="Times New Roman" w:hAnsi="Times New Roman" w:cs="Times New Roman"/>
          <w:noProof/>
          <w:kern w:val="0"/>
          <w:lang w:eastAsia="en-GB"/>
        </w:rPr>
      </w:r>
      <w:r w:rsidR="004F18CD" w:rsidRPr="00D56A19">
        <w:rPr>
          <w:rFonts w:ascii="Times New Roman" w:eastAsia="Times New Roman" w:hAnsi="Times New Roman" w:cs="Times New Roman"/>
          <w:noProof/>
          <w:kern w:val="0"/>
          <w:lang w:eastAsia="en-GB"/>
        </w:rPr>
        <w:pict w14:anchorId="73D5332C">
          <v:rect id="_x0000_i1037" alt="" style="width:451.3pt;height:.05pt;mso-width-percent:0;mso-height-percent:0;mso-width-percent:0;mso-height-percent:0" o:hralign="center" o:hrstd="t" o:hrnoshade="t" o:hr="t" fillcolor="black" stroked="f"/>
        </w:pict>
      </w:r>
    </w:p>
    <w:p w14:paraId="0099E6F6" w14:textId="77777777" w:rsidR="004154DF" w:rsidRDefault="004154DF"/>
    <w:p w14:paraId="632F1941" w14:textId="70DB6F56" w:rsidR="00F80D72" w:rsidRDefault="004154DF" w:rsidP="004F18CD">
      <w:pPr>
        <w:jc w:val="both"/>
      </w:pPr>
      <w:r>
        <w:t xml:space="preserve">The viability of studysync is </w:t>
      </w:r>
      <w:r w:rsidR="00F80D72">
        <w:t>determined</w:t>
      </w:r>
      <w:r>
        <w:t xml:space="preserve"> by a combination of two distinct revenue models, namely the institutional licencing model and the consumer subscription model with free to use for the consumer with applications that offer a free service. These revenue models will create a diversified </w:t>
      </w:r>
      <w:r w:rsidR="006451A9">
        <w:t xml:space="preserve">range of income streams for the venture which will mitigate any potential risk associated with an over reliance on a single source of income from each user. The use of the freemium model will enable studysync to acquire </w:t>
      </w:r>
      <w:r w:rsidR="00F80D72">
        <w:t>many</w:t>
      </w:r>
      <w:r w:rsidR="006451A9">
        <w:t xml:space="preserve"> new consumers as all the essential planning and scheduling tool functions will remain free of charge. In contrast premium features will be available via various subscription tiers including </w:t>
      </w:r>
      <w:r w:rsidR="00F80D72">
        <w:t>workload</w:t>
      </w:r>
      <w:r w:rsidR="006451A9">
        <w:t xml:space="preserve"> </w:t>
      </w:r>
      <w:r w:rsidR="00F80D72">
        <w:t>forecasting</w:t>
      </w:r>
      <w:r w:rsidR="006451A9">
        <w:t xml:space="preserve">, personalised Ai study coaching and performance analysis. </w:t>
      </w:r>
      <w:r w:rsidR="00F80D72">
        <w:t>Therefore,</w:t>
      </w:r>
      <w:r w:rsidR="006451A9">
        <w:t xml:space="preserve"> this pricing structure has been adopted from </w:t>
      </w:r>
      <w:r w:rsidR="00F80D72">
        <w:t>existing</w:t>
      </w:r>
      <w:r w:rsidR="006451A9">
        <w:t xml:space="preserve"> SaaS business models which have demonstrated significant profit margins once they reach scale in terms of their user base and therefore minimal incremental costs per additional unit sold </w:t>
      </w:r>
      <w:r w:rsidR="006451A9">
        <w:lastRenderedPageBreak/>
        <w:t xml:space="preserve">(Chesbrough 2010). Studysync will also generate a </w:t>
      </w:r>
      <w:r w:rsidR="00EB6D4F">
        <w:t>longer-term</w:t>
      </w:r>
      <w:r w:rsidR="006451A9">
        <w:t xml:space="preserve"> predictable revenue stream via bulk institutional </w:t>
      </w:r>
      <w:r w:rsidR="00EB6D4F">
        <w:t>licensing</w:t>
      </w:r>
      <w:r w:rsidR="006451A9">
        <w:t xml:space="preserve"> arrangements. Many universities now purchase digital wellbeing and academic success tools to improve student retention and attainment and therefore is more likely to be a growing interest in purchasing studysync as a university wide solution. As a </w:t>
      </w:r>
      <w:r w:rsidR="00EB6D4F">
        <w:t>result,</w:t>
      </w:r>
      <w:r w:rsidR="006451A9">
        <w:t xml:space="preserve"> studysync will be able to generate predictable revenue streams from </w:t>
      </w:r>
      <w:r w:rsidR="00EB6D4F">
        <w:t>universities</w:t>
      </w:r>
      <w:r w:rsidR="006451A9">
        <w:t xml:space="preserve"> and student unions while minimising its expenditure on marketing related to gaining individual </w:t>
      </w:r>
      <w:r w:rsidR="00EB6D4F">
        <w:t>customers</w:t>
      </w:r>
      <w:r w:rsidR="006451A9">
        <w:t xml:space="preserve">. The main areas of </w:t>
      </w:r>
      <w:r w:rsidR="00EB6D4F">
        <w:t>expenditure</w:t>
      </w:r>
      <w:r w:rsidR="006451A9">
        <w:t xml:space="preserve"> for studysync will include the development of AI models required to deliver the </w:t>
      </w:r>
      <w:r w:rsidR="00EB6D4F">
        <w:t>series</w:t>
      </w:r>
      <w:r w:rsidR="006451A9">
        <w:t xml:space="preserve"> offered by the platform, cloud computing </w:t>
      </w:r>
      <w:r w:rsidR="00EB6D4F">
        <w:t>infrastructure</w:t>
      </w:r>
      <w:r w:rsidR="006451A9">
        <w:t xml:space="preserve"> and ongoing platform maintenance. As with most other types of machine learning systems initial expenditure on developing the AI models is expected to be very high. </w:t>
      </w:r>
      <w:r w:rsidR="00EB6D4F">
        <w:t>However,</w:t>
      </w:r>
      <w:r w:rsidR="006451A9">
        <w:t xml:space="preserve"> as the user base of the system grows </w:t>
      </w:r>
      <w:r w:rsidR="00EB6D4F">
        <w:t xml:space="preserve">the costs associated with developing the AI models will grow proportionally less efficiently due to the continuous nature of machine learning whereby as more data becomes available to train the models, so the accuracy of the models improve. As mentioned studysync will use a cloud-based infrastructure to enable it to rapidly expand or contract depending on the level of usage demanded from the platform. Consequently, study syncs operational costs will directly correlate with demand rather than being subject to predetermined overheads. </w:t>
      </w:r>
      <w:r w:rsidR="00F80D72">
        <w:t>A further key area of expenditure associated with achieving financial viability will be the recruitment and retention of a diverse group of professionals who possess skills across multiple disciplines including but not limited to software engineering, data science and educational specialism. It is essential that study syncs employees have knowledge of both how to develop and maintain robust technical solutions as well as understanding the best practice to ensure that the services provided by studysync meet both educational standards and are technically effective. Wherever possible studysync may seek partnerships with academic institutions to help alleviate some of the resource related constraints associated with its operations. Furthermore, establishing relationships with academic institutions may also provide studysync with access to anonymous learning data that may be used to continually improve its AI models. Therefore, overall study syncs financial resource strategy has been developed with the aim of creating a scalable cost effective and sustainable business model. Through implementing a subscription-based model that offers freemium services to individual consumers while generating revenue via institutional license contracts. Studysync believes that it is viable for financial viability to be achieved within two years post launch date.</w:t>
      </w:r>
    </w:p>
    <w:p w14:paraId="1A4BF51A" w14:textId="77777777" w:rsidR="00396A77" w:rsidRDefault="00396A77" w:rsidP="004F18CD">
      <w:pPr>
        <w:jc w:val="both"/>
      </w:pPr>
    </w:p>
    <w:p w14:paraId="715D6134" w14:textId="7CB4F7B8" w:rsidR="004F18CD" w:rsidRDefault="00396A77" w:rsidP="004F18CD">
      <w:pPr>
        <w:jc w:val="both"/>
      </w:pPr>
      <w:r>
        <w:t xml:space="preserve">The information builds upon the ventures operational structure and user centric design of </w:t>
      </w:r>
      <w:r w:rsidR="00D56A19">
        <w:t>study syncs</w:t>
      </w:r>
      <w:r>
        <w:t xml:space="preserve"> </w:t>
      </w:r>
      <w:r w:rsidR="00D56A19">
        <w:t xml:space="preserve">further </w:t>
      </w:r>
      <w:r>
        <w:t xml:space="preserve">expanding on how studysync will create, deliver and capture value. The focus </w:t>
      </w:r>
      <w:r w:rsidR="00D56A19">
        <w:t xml:space="preserve">of this section is the business model canvas, user experience, platform structure and financial setup. These areas show how they interrelate to enable studysync to grow sustainability in the EdTech market. The business model canvas represents the </w:t>
      </w:r>
      <w:r w:rsidR="00D56A19">
        <w:lastRenderedPageBreak/>
        <w:t xml:space="preserve">main elements of studysync in terms of its business model and links the ventures value proposition to its key activates resources and revenue streams. The central value proposition of studysync is delivering personalised ai driven study schedules that improve a user’s efficiency and help them to reduce academic stress and achieve better academic results. Through a system that learns the individual user’s workload and study patterns studysync provides a more flexible way for users to manage their study plans compared to study planners. Studysync has two major customer segments, students that use studysync to gain greater organization and academic support and educational institutions who incorporate the tool into larger programs to enhance student well-being and academic performance. Both approaches increase the number of users reached and credibility of studysync therefore making it easier to promote through either own usage or institutional promotion. Studysync is marketed through digital platforms such as mobile apps and web-based access which provides usage to a wide variety of students. Through digital marketing methods studysync engages users through automated interactions based on customised outputs, progress tracking and responsiveness of the system, this minimises the requirement of direct communication. The three key activates for studysync is the continuing development of the software, optimisation of the system and improvement of user experience. These are performed using three key resource types, cloud infrastructure, technical knowledge and data systems. Revenue for studysync comes from subscription-based models and agreements made with institutions. </w:t>
      </w:r>
      <w:r w:rsidR="00136965">
        <w:t xml:space="preserve">Costs are incurred through the development and maintenance. of the platform acquisition costs and infrastructure costs. This indicates a scalable and agile digital business model. The user journey describes how studysync integrates into daily routines of students and adds value over time. Users become aware of studysync through online advertising or learning environments. Following awareness users go through a straightforward and fast process that requires user to enter key academic related items such as course name and module titles due dates and expected workload. Studysync creates a customised study schedule for each user. Providing immediate value and encouraging repeat use this first output sets up an early connection with the user. In developing the user experience simplicity was to ensure that studysync does not add more complexity but instead enhances existing study behaviours. When engaged with the system throughout their studies users have access to structured schedules that break down heavy work loads into easily manageable tasks. Additionally, users have access to other features such as reminders, progress reports and workload management that assist users to maintain consistency in their study. Ultimately this leads to increased organisation and control over study experience. Users receive positive reinforcement from visual feedback </w:t>
      </w:r>
      <w:r w:rsidR="004F18CD">
        <w:t xml:space="preserve">mechanisms such as showing users their academic progress and summarising completed work. These reinforce motivation and encourage continued use of studysync. Eventually studysync becomes a regular component of the user’s academic workflow resulting in high levels of reliance and extended times of engagement. Studysync is developed as a cloud-based solution to allow for rapid </w:t>
      </w:r>
      <w:r w:rsidR="004F18CD">
        <w:lastRenderedPageBreak/>
        <w:t>expansion. The facilities are quick at processing large amounts of data while maintaining system performance. Studysync can develop rapidly without affecting usability for its users. Studysync combines user provided information about deadlines amount of workload required to complete a given assignment and availability of study time to produce a custom designed study schedule. The system can produce practical and achievable study plans that meet the requirements of individual users. Accessible from all times of devices studysync allows users to connect to it anywhere at any time, enhancing opportunities for consistent interaction with studysync. Studysync is also designed to accommodate future enhancements. With features that can be modified as needed to reflect changes in user requirement needs studysync maintains relevance in a dynamic technological and educational landscape contributing to long term sustainable growth. The financial framework behind studysync is designed to support growth while controlling cost. Using a subscription-based model allows for stable recuring revenue whereas establishing partnerships with educational institutions provides additional financial security. Together these provide a lower dependency on one source of income while fostering long term viability.</w:t>
      </w:r>
    </w:p>
    <w:p w14:paraId="110A2BF6" w14:textId="77777777" w:rsidR="003770A9" w:rsidRPr="003770A9" w:rsidRDefault="003770A9" w:rsidP="003770A9">
      <w:pPr>
        <w:jc w:val="both"/>
        <w:rPr>
          <w:rFonts w:ascii="Arial" w:hAnsi="Arial" w:cs="Arial"/>
        </w:rPr>
      </w:pPr>
    </w:p>
    <w:p w14:paraId="1C6C052E"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Britton, B.K. and Tesser, A. (1991) ‘Effects of time-management practices on college grades’,</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Journal of Educational Psychology</w:t>
      </w:r>
      <w:r w:rsidRPr="003770A9">
        <w:rPr>
          <w:rFonts w:ascii="Arial" w:hAnsi="Arial" w:cs="Arial"/>
          <w:color w:val="000000"/>
        </w:rPr>
        <w:t>, 83(3), pp. 405–410. Available at:</w:t>
      </w:r>
      <w:r w:rsidRPr="003770A9">
        <w:rPr>
          <w:rStyle w:val="apple-converted-space"/>
          <w:rFonts w:ascii="Arial" w:eastAsiaTheme="majorEastAsia" w:hAnsi="Arial" w:cs="Arial"/>
          <w:color w:val="000000"/>
        </w:rPr>
        <w:t> </w:t>
      </w:r>
      <w:r w:rsidRPr="003770A9">
        <w:rPr>
          <w:rFonts w:ascii="Arial" w:hAnsi="Arial" w:cs="Arial"/>
          <w:color w:val="000000"/>
        </w:rPr>
        <w:t>https://psycnet.apa.org/record/1992-03648-001</w:t>
      </w:r>
    </w:p>
    <w:p w14:paraId="770F6DD4"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Broadbent, J. and Poon, W.L. (2015) ‘Self-regulated learning strategies &amp; academic achievement in online higher education learning environments: A systematic review’,</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The Internet and Higher Education</w:t>
      </w:r>
      <w:r w:rsidRPr="003770A9">
        <w:rPr>
          <w:rFonts w:ascii="Arial" w:hAnsi="Arial" w:cs="Arial"/>
          <w:color w:val="000000"/>
        </w:rPr>
        <w:t>, 27, pp. 1–13. Available at:</w:t>
      </w:r>
      <w:r w:rsidRPr="003770A9">
        <w:rPr>
          <w:rStyle w:val="apple-converted-space"/>
          <w:rFonts w:ascii="Arial" w:eastAsiaTheme="majorEastAsia" w:hAnsi="Arial" w:cs="Arial"/>
          <w:color w:val="000000"/>
        </w:rPr>
        <w:t> </w:t>
      </w:r>
      <w:r w:rsidRPr="003770A9">
        <w:rPr>
          <w:rFonts w:ascii="Arial" w:hAnsi="Arial" w:cs="Arial"/>
          <w:color w:val="000000"/>
        </w:rPr>
        <w:t>https://www.sciencedirect.com/science/article/pii/S1096751615000254</w:t>
      </w:r>
    </w:p>
    <w:p w14:paraId="25F56018"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 xml:space="preserve">Cepeda, N.J., </w:t>
      </w:r>
      <w:proofErr w:type="spellStart"/>
      <w:r w:rsidRPr="003770A9">
        <w:rPr>
          <w:rFonts w:ascii="Arial" w:hAnsi="Arial" w:cs="Arial"/>
          <w:color w:val="000000"/>
        </w:rPr>
        <w:t>Pashler</w:t>
      </w:r>
      <w:proofErr w:type="spellEnd"/>
      <w:r w:rsidRPr="003770A9">
        <w:rPr>
          <w:rFonts w:ascii="Arial" w:hAnsi="Arial" w:cs="Arial"/>
          <w:color w:val="000000"/>
        </w:rPr>
        <w:t xml:space="preserve">, H., </w:t>
      </w:r>
      <w:proofErr w:type="spellStart"/>
      <w:r w:rsidRPr="003770A9">
        <w:rPr>
          <w:rFonts w:ascii="Arial" w:hAnsi="Arial" w:cs="Arial"/>
          <w:color w:val="000000"/>
        </w:rPr>
        <w:t>Vul</w:t>
      </w:r>
      <w:proofErr w:type="spellEnd"/>
      <w:r w:rsidRPr="003770A9">
        <w:rPr>
          <w:rFonts w:ascii="Arial" w:hAnsi="Arial" w:cs="Arial"/>
          <w:color w:val="000000"/>
        </w:rPr>
        <w:t>, E., Wixted, J.T. and Rohrer, D. (2006) ‘Distributed practice in verbal recall tasks: A review and quantitative synthesis’,</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Psychological Bulletin</w:t>
      </w:r>
      <w:r w:rsidRPr="003770A9">
        <w:rPr>
          <w:rFonts w:ascii="Arial" w:hAnsi="Arial" w:cs="Arial"/>
          <w:color w:val="000000"/>
        </w:rPr>
        <w:t>, 132(3), pp. 354–380. Available at:</w:t>
      </w:r>
      <w:r w:rsidRPr="003770A9">
        <w:rPr>
          <w:rStyle w:val="apple-converted-space"/>
          <w:rFonts w:ascii="Arial" w:eastAsiaTheme="majorEastAsia" w:hAnsi="Arial" w:cs="Arial"/>
          <w:color w:val="000000"/>
        </w:rPr>
        <w:t> </w:t>
      </w:r>
      <w:hyperlink r:id="rId6" w:tgtFrame="_new" w:history="1">
        <w:r w:rsidRPr="003770A9">
          <w:rPr>
            <w:rStyle w:val="Hyperlink"/>
            <w:rFonts w:ascii="Arial" w:eastAsiaTheme="majorEastAsia" w:hAnsi="Arial" w:cs="Arial"/>
          </w:rPr>
          <w:t>https://</w:t>
        </w:r>
        <w:r w:rsidRPr="003770A9">
          <w:rPr>
            <w:rStyle w:val="Hyperlink"/>
            <w:rFonts w:ascii="Arial" w:eastAsiaTheme="majorEastAsia" w:hAnsi="Arial" w:cs="Arial"/>
          </w:rPr>
          <w:t>d</w:t>
        </w:r>
        <w:r w:rsidRPr="003770A9">
          <w:rPr>
            <w:rStyle w:val="Hyperlink"/>
            <w:rFonts w:ascii="Arial" w:eastAsiaTheme="majorEastAsia" w:hAnsi="Arial" w:cs="Arial"/>
          </w:rPr>
          <w:t>oi.org/10.1037/0033-2909.132.3.354</w:t>
        </w:r>
      </w:hyperlink>
    </w:p>
    <w:p w14:paraId="517438C8"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Chesbrough, H. (2010) ‘Business model innovation: Opportunities and barriers’,</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Long Range Planning</w:t>
      </w:r>
      <w:r w:rsidRPr="003770A9">
        <w:rPr>
          <w:rFonts w:ascii="Arial" w:hAnsi="Arial" w:cs="Arial"/>
          <w:color w:val="000000"/>
        </w:rPr>
        <w:t>, 43(2–3), pp. 354–363. Available at:</w:t>
      </w:r>
      <w:r w:rsidRPr="003770A9">
        <w:rPr>
          <w:rStyle w:val="apple-converted-space"/>
          <w:rFonts w:ascii="Arial" w:eastAsiaTheme="majorEastAsia" w:hAnsi="Arial" w:cs="Arial"/>
          <w:color w:val="000000"/>
        </w:rPr>
        <w:t> </w:t>
      </w:r>
      <w:hyperlink r:id="rId7" w:tgtFrame="_new" w:history="1">
        <w:r w:rsidRPr="003770A9">
          <w:rPr>
            <w:rStyle w:val="Hyperlink"/>
            <w:rFonts w:ascii="Arial" w:eastAsiaTheme="majorEastAsia" w:hAnsi="Arial" w:cs="Arial"/>
          </w:rPr>
          <w:t>https://www.sciencedirec</w:t>
        </w:r>
        <w:r w:rsidRPr="003770A9">
          <w:rPr>
            <w:rStyle w:val="Hyperlink"/>
            <w:rFonts w:ascii="Arial" w:eastAsiaTheme="majorEastAsia" w:hAnsi="Arial" w:cs="Arial"/>
          </w:rPr>
          <w:t>t</w:t>
        </w:r>
        <w:r w:rsidRPr="003770A9">
          <w:rPr>
            <w:rStyle w:val="Hyperlink"/>
            <w:rFonts w:ascii="Arial" w:eastAsiaTheme="majorEastAsia" w:hAnsi="Arial" w:cs="Arial"/>
          </w:rPr>
          <w:t>.com/science/article/pii/S0024630109000569</w:t>
        </w:r>
      </w:hyperlink>
    </w:p>
    <w:p w14:paraId="72B3361B"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Dunlosky, J., Rawson, K.A., Marsh, E.J., Nathan, M.J. and Willingham, D.T. (2013) ‘Improving students’ learning with effective learning techniques: Promising directions from cognitive and educational psychology’,</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Psychological Science in the Public Interest</w:t>
      </w:r>
      <w:r w:rsidRPr="003770A9">
        <w:rPr>
          <w:rFonts w:ascii="Arial" w:hAnsi="Arial" w:cs="Arial"/>
          <w:color w:val="000000"/>
        </w:rPr>
        <w:t>, 14(1), pp. 4–58. Available at:</w:t>
      </w:r>
      <w:r w:rsidRPr="003770A9">
        <w:rPr>
          <w:rStyle w:val="apple-converted-space"/>
          <w:rFonts w:ascii="Arial" w:eastAsiaTheme="majorEastAsia" w:hAnsi="Arial" w:cs="Arial"/>
          <w:color w:val="000000"/>
        </w:rPr>
        <w:t> </w:t>
      </w:r>
      <w:hyperlink r:id="rId8" w:tgtFrame="_new" w:history="1">
        <w:r w:rsidRPr="003770A9">
          <w:rPr>
            <w:rStyle w:val="Hyperlink"/>
            <w:rFonts w:ascii="Arial" w:eastAsiaTheme="majorEastAsia" w:hAnsi="Arial" w:cs="Arial"/>
          </w:rPr>
          <w:t>https://journa</w:t>
        </w:r>
        <w:r w:rsidRPr="003770A9">
          <w:rPr>
            <w:rStyle w:val="Hyperlink"/>
            <w:rFonts w:ascii="Arial" w:eastAsiaTheme="majorEastAsia" w:hAnsi="Arial" w:cs="Arial"/>
          </w:rPr>
          <w:t>l</w:t>
        </w:r>
        <w:r w:rsidRPr="003770A9">
          <w:rPr>
            <w:rStyle w:val="Hyperlink"/>
            <w:rFonts w:ascii="Arial" w:eastAsiaTheme="majorEastAsia" w:hAnsi="Arial" w:cs="Arial"/>
          </w:rPr>
          <w:t>s.sa</w:t>
        </w:r>
        <w:r w:rsidRPr="003770A9">
          <w:rPr>
            <w:rStyle w:val="Hyperlink"/>
            <w:rFonts w:ascii="Arial" w:eastAsiaTheme="majorEastAsia" w:hAnsi="Arial" w:cs="Arial"/>
          </w:rPr>
          <w:t>g</w:t>
        </w:r>
        <w:r w:rsidRPr="003770A9">
          <w:rPr>
            <w:rStyle w:val="Hyperlink"/>
            <w:rFonts w:ascii="Arial" w:eastAsiaTheme="majorEastAsia" w:hAnsi="Arial" w:cs="Arial"/>
          </w:rPr>
          <w:t>epub.com/doi/10.1177/1529100612453266</w:t>
        </w:r>
      </w:hyperlink>
    </w:p>
    <w:p w14:paraId="602FA7C3"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Higher Education Policy Institute (HEPI) (2023)</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Student Academic Experience Survey 2023</w:t>
      </w:r>
      <w:r w:rsidRPr="003770A9">
        <w:rPr>
          <w:rFonts w:ascii="Arial" w:hAnsi="Arial" w:cs="Arial"/>
          <w:color w:val="000000"/>
        </w:rPr>
        <w:t>. Available at:</w:t>
      </w:r>
      <w:r w:rsidRPr="003770A9">
        <w:rPr>
          <w:rStyle w:val="apple-converted-space"/>
          <w:rFonts w:ascii="Arial" w:eastAsiaTheme="majorEastAsia" w:hAnsi="Arial" w:cs="Arial"/>
          <w:color w:val="000000"/>
        </w:rPr>
        <w:t> </w:t>
      </w:r>
      <w:r w:rsidRPr="003770A9">
        <w:rPr>
          <w:rFonts w:ascii="Arial" w:hAnsi="Arial" w:cs="Arial"/>
          <w:color w:val="000000"/>
        </w:rPr>
        <w:t>https://www.hepi.ac.uk/2023/06/08/student-academic-experience-survey-2023/</w:t>
      </w:r>
    </w:p>
    <w:p w14:paraId="1F43CAB8"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lastRenderedPageBreak/>
        <w:t>Macan, T.H. (1994) ‘Time management: Test of a process model’,</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Journal of Applied Psychology</w:t>
      </w:r>
      <w:r w:rsidRPr="003770A9">
        <w:rPr>
          <w:rFonts w:ascii="Arial" w:hAnsi="Arial" w:cs="Arial"/>
          <w:color w:val="000000"/>
        </w:rPr>
        <w:t>, 79(3), pp. 381–391. Available at:</w:t>
      </w:r>
      <w:r w:rsidRPr="003770A9">
        <w:rPr>
          <w:rStyle w:val="apple-converted-space"/>
          <w:rFonts w:ascii="Arial" w:eastAsiaTheme="majorEastAsia" w:hAnsi="Arial" w:cs="Arial"/>
          <w:color w:val="000000"/>
        </w:rPr>
        <w:t> </w:t>
      </w:r>
      <w:r w:rsidRPr="003770A9">
        <w:rPr>
          <w:rFonts w:ascii="Arial" w:hAnsi="Arial" w:cs="Arial"/>
          <w:color w:val="000000"/>
        </w:rPr>
        <w:t>https://psycnet.apa.org/record/1994-38248-001</w:t>
      </w:r>
    </w:p>
    <w:p w14:paraId="06C4B762"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OECD (2021)</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Artificial Intelligence in Education: Challenges and Opportunities for Sustainable Development</w:t>
      </w:r>
      <w:r w:rsidRPr="003770A9">
        <w:rPr>
          <w:rFonts w:ascii="Arial" w:hAnsi="Arial" w:cs="Arial"/>
          <w:color w:val="000000"/>
        </w:rPr>
        <w:t>. Available at:</w:t>
      </w:r>
      <w:r w:rsidRPr="003770A9">
        <w:rPr>
          <w:rStyle w:val="apple-converted-space"/>
          <w:rFonts w:ascii="Arial" w:eastAsiaTheme="majorEastAsia" w:hAnsi="Arial" w:cs="Arial"/>
          <w:color w:val="000000"/>
        </w:rPr>
        <w:t> </w:t>
      </w:r>
      <w:r w:rsidRPr="003770A9">
        <w:rPr>
          <w:rFonts w:ascii="Arial" w:hAnsi="Arial" w:cs="Arial"/>
          <w:color w:val="000000"/>
        </w:rPr>
        <w:t>https://www.oecd.org/education/artificial-intelligence-in-education.htm</w:t>
      </w:r>
    </w:p>
    <w:p w14:paraId="43BBE977"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Selwyn, N. (2016)</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Education and Technology: Key Issues and Debates</w:t>
      </w:r>
      <w:r w:rsidRPr="003770A9">
        <w:rPr>
          <w:rFonts w:ascii="Arial" w:hAnsi="Arial" w:cs="Arial"/>
          <w:color w:val="000000"/>
        </w:rPr>
        <w:t xml:space="preserve">. 2nd </w:t>
      </w:r>
      <w:proofErr w:type="spellStart"/>
      <w:r w:rsidRPr="003770A9">
        <w:rPr>
          <w:rFonts w:ascii="Arial" w:hAnsi="Arial" w:cs="Arial"/>
          <w:color w:val="000000"/>
        </w:rPr>
        <w:t>edn</w:t>
      </w:r>
      <w:proofErr w:type="spellEnd"/>
      <w:r w:rsidRPr="003770A9">
        <w:rPr>
          <w:rFonts w:ascii="Arial" w:hAnsi="Arial" w:cs="Arial"/>
          <w:color w:val="000000"/>
        </w:rPr>
        <w:t>. London: Bloomsbury Academic. Available at:</w:t>
      </w:r>
      <w:r w:rsidRPr="003770A9">
        <w:rPr>
          <w:rStyle w:val="apple-converted-space"/>
          <w:rFonts w:ascii="Arial" w:eastAsiaTheme="majorEastAsia" w:hAnsi="Arial" w:cs="Arial"/>
          <w:color w:val="000000"/>
        </w:rPr>
        <w:t> </w:t>
      </w:r>
      <w:r w:rsidRPr="003770A9">
        <w:rPr>
          <w:rFonts w:ascii="Arial" w:hAnsi="Arial" w:cs="Arial"/>
          <w:color w:val="000000"/>
        </w:rPr>
        <w:t>https://www.bloomsbury.com/uk/education-and-technology-9781473943989/</w:t>
      </w:r>
    </w:p>
    <w:p w14:paraId="1AF86348"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Siemens, G. and Long, P. (2011) ‘Penetrating the fog: Analytics in learning and education’,</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EDUCAUSE Review</w:t>
      </w:r>
      <w:r w:rsidRPr="003770A9">
        <w:rPr>
          <w:rFonts w:ascii="Arial" w:hAnsi="Arial" w:cs="Arial"/>
          <w:color w:val="000000"/>
        </w:rPr>
        <w:t>, 46(5), pp. 30–32. Available at:</w:t>
      </w:r>
      <w:r w:rsidRPr="003770A9">
        <w:rPr>
          <w:rStyle w:val="apple-converted-space"/>
          <w:rFonts w:ascii="Arial" w:eastAsiaTheme="majorEastAsia" w:hAnsi="Arial" w:cs="Arial"/>
          <w:color w:val="000000"/>
        </w:rPr>
        <w:t> </w:t>
      </w:r>
      <w:hyperlink r:id="rId9" w:tgtFrame="_new" w:history="1">
        <w:r w:rsidRPr="003770A9">
          <w:rPr>
            <w:rStyle w:val="Hyperlink"/>
            <w:rFonts w:ascii="Arial" w:eastAsiaTheme="majorEastAsia" w:hAnsi="Arial" w:cs="Arial"/>
          </w:rPr>
          <w:t>https://er.educause.</w:t>
        </w:r>
        <w:r w:rsidRPr="003770A9">
          <w:rPr>
            <w:rStyle w:val="Hyperlink"/>
            <w:rFonts w:ascii="Arial" w:eastAsiaTheme="majorEastAsia" w:hAnsi="Arial" w:cs="Arial"/>
          </w:rPr>
          <w:t>e</w:t>
        </w:r>
        <w:r w:rsidRPr="003770A9">
          <w:rPr>
            <w:rStyle w:val="Hyperlink"/>
            <w:rFonts w:ascii="Arial" w:eastAsiaTheme="majorEastAsia" w:hAnsi="Arial" w:cs="Arial"/>
          </w:rPr>
          <w:t>du/articles/2011/9/penetrating-the-fog-analytics-in-learning-and-education</w:t>
        </w:r>
      </w:hyperlink>
    </w:p>
    <w:p w14:paraId="46058DF5" w14:textId="77777777" w:rsidR="003770A9" w:rsidRPr="003770A9" w:rsidRDefault="003770A9" w:rsidP="003770A9">
      <w:pPr>
        <w:pStyle w:val="NormalWeb"/>
        <w:jc w:val="both"/>
        <w:rPr>
          <w:rFonts w:ascii="Arial" w:hAnsi="Arial" w:cs="Arial"/>
          <w:color w:val="000000"/>
        </w:rPr>
      </w:pPr>
      <w:r w:rsidRPr="003770A9">
        <w:rPr>
          <w:rFonts w:ascii="Arial" w:hAnsi="Arial" w:cs="Arial"/>
          <w:color w:val="000000"/>
        </w:rPr>
        <w:t>Zimmerman, B.J. (2002) ‘Becoming a self-regulated learner: An overview’,</w:t>
      </w:r>
      <w:r w:rsidRPr="003770A9">
        <w:rPr>
          <w:rStyle w:val="apple-converted-space"/>
          <w:rFonts w:ascii="Arial" w:eastAsiaTheme="majorEastAsia" w:hAnsi="Arial" w:cs="Arial"/>
          <w:color w:val="000000"/>
        </w:rPr>
        <w:t> </w:t>
      </w:r>
      <w:r w:rsidRPr="003770A9">
        <w:rPr>
          <w:rStyle w:val="Emphasis"/>
          <w:rFonts w:ascii="Arial" w:eastAsiaTheme="majorEastAsia" w:hAnsi="Arial" w:cs="Arial"/>
          <w:color w:val="000000"/>
        </w:rPr>
        <w:t xml:space="preserve">Theory </w:t>
      </w:r>
      <w:proofErr w:type="gramStart"/>
      <w:r w:rsidRPr="003770A9">
        <w:rPr>
          <w:rStyle w:val="Emphasis"/>
          <w:rFonts w:ascii="Arial" w:eastAsiaTheme="majorEastAsia" w:hAnsi="Arial" w:cs="Arial"/>
          <w:color w:val="000000"/>
        </w:rPr>
        <w:t>Into</w:t>
      </w:r>
      <w:proofErr w:type="gramEnd"/>
      <w:r w:rsidRPr="003770A9">
        <w:rPr>
          <w:rStyle w:val="Emphasis"/>
          <w:rFonts w:ascii="Arial" w:eastAsiaTheme="majorEastAsia" w:hAnsi="Arial" w:cs="Arial"/>
          <w:color w:val="000000"/>
        </w:rPr>
        <w:t xml:space="preserve"> Practice</w:t>
      </w:r>
      <w:r w:rsidRPr="003770A9">
        <w:rPr>
          <w:rFonts w:ascii="Arial" w:hAnsi="Arial" w:cs="Arial"/>
          <w:color w:val="000000"/>
        </w:rPr>
        <w:t>, 41(2), pp. 64–70. Available at:</w:t>
      </w:r>
      <w:r w:rsidRPr="003770A9">
        <w:rPr>
          <w:rStyle w:val="apple-converted-space"/>
          <w:rFonts w:ascii="Arial" w:eastAsiaTheme="majorEastAsia" w:hAnsi="Arial" w:cs="Arial"/>
          <w:color w:val="000000"/>
        </w:rPr>
        <w:t> </w:t>
      </w:r>
      <w:hyperlink r:id="rId10" w:tgtFrame="_new" w:history="1">
        <w:r w:rsidRPr="003770A9">
          <w:rPr>
            <w:rStyle w:val="Hyperlink"/>
            <w:rFonts w:ascii="Arial" w:eastAsiaTheme="majorEastAsia" w:hAnsi="Arial" w:cs="Arial"/>
          </w:rPr>
          <w:t>https://www.tandfonline.com/doi/abs/10.1207/s15430421tip4102_2</w:t>
        </w:r>
      </w:hyperlink>
    </w:p>
    <w:p w14:paraId="50F2B000" w14:textId="77777777" w:rsidR="003770A9" w:rsidRDefault="003770A9" w:rsidP="004F18CD">
      <w:pPr>
        <w:jc w:val="both"/>
      </w:pPr>
    </w:p>
    <w:sectPr w:rsidR="003770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E7CF0" w14:textId="77777777" w:rsidR="004154DF" w:rsidRDefault="004154DF" w:rsidP="004154DF">
      <w:pPr>
        <w:spacing w:after="0" w:line="240" w:lineRule="auto"/>
      </w:pPr>
      <w:r>
        <w:separator/>
      </w:r>
    </w:p>
  </w:endnote>
  <w:endnote w:type="continuationSeparator" w:id="0">
    <w:p w14:paraId="221FCC13" w14:textId="77777777" w:rsidR="004154DF" w:rsidRDefault="004154DF" w:rsidP="00415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F860D" w14:textId="77777777" w:rsidR="004154DF" w:rsidRDefault="004154DF" w:rsidP="004154DF">
      <w:pPr>
        <w:spacing w:after="0" w:line="240" w:lineRule="auto"/>
      </w:pPr>
      <w:r>
        <w:separator/>
      </w:r>
    </w:p>
  </w:footnote>
  <w:footnote w:type="continuationSeparator" w:id="0">
    <w:p w14:paraId="75378DD0" w14:textId="77777777" w:rsidR="004154DF" w:rsidRDefault="004154DF" w:rsidP="004154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F0F"/>
    <w:rsid w:val="00046F0F"/>
    <w:rsid w:val="00136965"/>
    <w:rsid w:val="001D22B3"/>
    <w:rsid w:val="003770A9"/>
    <w:rsid w:val="00396A77"/>
    <w:rsid w:val="003A5B08"/>
    <w:rsid w:val="004154DF"/>
    <w:rsid w:val="004F18CD"/>
    <w:rsid w:val="006451A9"/>
    <w:rsid w:val="006615D1"/>
    <w:rsid w:val="00A27BB8"/>
    <w:rsid w:val="00A83B2B"/>
    <w:rsid w:val="00B155BD"/>
    <w:rsid w:val="00BF4226"/>
    <w:rsid w:val="00CC71DA"/>
    <w:rsid w:val="00D56A19"/>
    <w:rsid w:val="00EB6D4F"/>
    <w:rsid w:val="00EE1D87"/>
    <w:rsid w:val="00F80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8BCFC"/>
  <w15:chartTrackingRefBased/>
  <w15:docId w15:val="{AEAE4FF8-61EE-AB40-B426-07C3F1090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6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6F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F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F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F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F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F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F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F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F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F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F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F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F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F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F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F0F"/>
    <w:rPr>
      <w:rFonts w:eastAsiaTheme="majorEastAsia" w:cstheme="majorBidi"/>
      <w:color w:val="272727" w:themeColor="text1" w:themeTint="D8"/>
    </w:rPr>
  </w:style>
  <w:style w:type="paragraph" w:styleId="Title">
    <w:name w:val="Title"/>
    <w:basedOn w:val="Normal"/>
    <w:next w:val="Normal"/>
    <w:link w:val="TitleChar"/>
    <w:uiPriority w:val="10"/>
    <w:qFormat/>
    <w:rsid w:val="00046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F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F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F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F0F"/>
    <w:pPr>
      <w:spacing w:before="160"/>
      <w:jc w:val="center"/>
    </w:pPr>
    <w:rPr>
      <w:i/>
      <w:iCs/>
      <w:color w:val="404040" w:themeColor="text1" w:themeTint="BF"/>
    </w:rPr>
  </w:style>
  <w:style w:type="character" w:customStyle="1" w:styleId="QuoteChar">
    <w:name w:val="Quote Char"/>
    <w:basedOn w:val="DefaultParagraphFont"/>
    <w:link w:val="Quote"/>
    <w:uiPriority w:val="29"/>
    <w:rsid w:val="00046F0F"/>
    <w:rPr>
      <w:i/>
      <w:iCs/>
      <w:color w:val="404040" w:themeColor="text1" w:themeTint="BF"/>
    </w:rPr>
  </w:style>
  <w:style w:type="paragraph" w:styleId="ListParagraph">
    <w:name w:val="List Paragraph"/>
    <w:basedOn w:val="Normal"/>
    <w:uiPriority w:val="34"/>
    <w:qFormat/>
    <w:rsid w:val="00046F0F"/>
    <w:pPr>
      <w:ind w:left="720"/>
      <w:contextualSpacing/>
    </w:pPr>
  </w:style>
  <w:style w:type="character" w:styleId="IntenseEmphasis">
    <w:name w:val="Intense Emphasis"/>
    <w:basedOn w:val="DefaultParagraphFont"/>
    <w:uiPriority w:val="21"/>
    <w:qFormat/>
    <w:rsid w:val="00046F0F"/>
    <w:rPr>
      <w:i/>
      <w:iCs/>
      <w:color w:val="0F4761" w:themeColor="accent1" w:themeShade="BF"/>
    </w:rPr>
  </w:style>
  <w:style w:type="paragraph" w:styleId="IntenseQuote">
    <w:name w:val="Intense Quote"/>
    <w:basedOn w:val="Normal"/>
    <w:next w:val="Normal"/>
    <w:link w:val="IntenseQuoteChar"/>
    <w:uiPriority w:val="30"/>
    <w:qFormat/>
    <w:rsid w:val="00046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F0F"/>
    <w:rPr>
      <w:i/>
      <w:iCs/>
      <w:color w:val="0F4761" w:themeColor="accent1" w:themeShade="BF"/>
    </w:rPr>
  </w:style>
  <w:style w:type="character" w:styleId="IntenseReference">
    <w:name w:val="Intense Reference"/>
    <w:basedOn w:val="DefaultParagraphFont"/>
    <w:uiPriority w:val="32"/>
    <w:qFormat/>
    <w:rsid w:val="00046F0F"/>
    <w:rPr>
      <w:b/>
      <w:bCs/>
      <w:smallCaps/>
      <w:color w:val="0F4761" w:themeColor="accent1" w:themeShade="BF"/>
      <w:spacing w:val="5"/>
    </w:rPr>
  </w:style>
  <w:style w:type="character" w:styleId="Strong">
    <w:name w:val="Strong"/>
    <w:basedOn w:val="DefaultParagraphFont"/>
    <w:uiPriority w:val="22"/>
    <w:qFormat/>
    <w:rsid w:val="004154DF"/>
    <w:rPr>
      <w:b/>
      <w:bCs/>
    </w:rPr>
  </w:style>
  <w:style w:type="paragraph" w:styleId="Header">
    <w:name w:val="header"/>
    <w:basedOn w:val="Normal"/>
    <w:link w:val="HeaderChar"/>
    <w:uiPriority w:val="99"/>
    <w:unhideWhenUsed/>
    <w:rsid w:val="00415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4DF"/>
  </w:style>
  <w:style w:type="paragraph" w:styleId="Footer">
    <w:name w:val="footer"/>
    <w:basedOn w:val="Normal"/>
    <w:link w:val="FooterChar"/>
    <w:uiPriority w:val="99"/>
    <w:unhideWhenUsed/>
    <w:rsid w:val="00415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4DF"/>
  </w:style>
  <w:style w:type="paragraph" w:styleId="NormalWeb">
    <w:name w:val="Normal (Web)"/>
    <w:basedOn w:val="Normal"/>
    <w:uiPriority w:val="99"/>
    <w:semiHidden/>
    <w:unhideWhenUsed/>
    <w:rsid w:val="003770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770A9"/>
  </w:style>
  <w:style w:type="character" w:styleId="Emphasis">
    <w:name w:val="Emphasis"/>
    <w:basedOn w:val="DefaultParagraphFont"/>
    <w:uiPriority w:val="20"/>
    <w:qFormat/>
    <w:rsid w:val="003770A9"/>
    <w:rPr>
      <w:i/>
      <w:iCs/>
    </w:rPr>
  </w:style>
  <w:style w:type="character" w:styleId="Hyperlink">
    <w:name w:val="Hyperlink"/>
    <w:basedOn w:val="DefaultParagraphFont"/>
    <w:uiPriority w:val="99"/>
    <w:semiHidden/>
    <w:unhideWhenUsed/>
    <w:rsid w:val="003770A9"/>
    <w:rPr>
      <w:color w:val="0000FF"/>
      <w:u w:val="single"/>
    </w:rPr>
  </w:style>
  <w:style w:type="character" w:styleId="FollowedHyperlink">
    <w:name w:val="FollowedHyperlink"/>
    <w:basedOn w:val="DefaultParagraphFont"/>
    <w:uiPriority w:val="99"/>
    <w:semiHidden/>
    <w:unhideWhenUsed/>
    <w:rsid w:val="003770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1529100612453266" TargetMode="External"/><Relationship Id="rId3" Type="http://schemas.openxmlformats.org/officeDocument/2006/relationships/webSettings" Target="webSettings.xml"/><Relationship Id="rId7" Type="http://schemas.openxmlformats.org/officeDocument/2006/relationships/hyperlink" Target="https://www.sciencedirect.com/science/article/pii/S002463010900056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0033-2909.132.3.354"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tandfonline.com/doi/abs/10.1207/s15430421tip4102_2" TargetMode="External"/><Relationship Id="rId4" Type="http://schemas.openxmlformats.org/officeDocument/2006/relationships/footnotes" Target="footnotes.xml"/><Relationship Id="rId9" Type="http://schemas.openxmlformats.org/officeDocument/2006/relationships/hyperlink" Target="https://er.educause.edu/articles/2011/9/penetrating-the-fog-analytics-in-learning-and-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3362</Words>
  <Characters>19168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Roberts (2517832)</dc:creator>
  <cp:keywords/>
  <dc:description/>
  <cp:lastModifiedBy>Cameron Roberts (2517832)</cp:lastModifiedBy>
  <cp:revision>2</cp:revision>
  <dcterms:created xsi:type="dcterms:W3CDTF">2026-04-24T00:46:00Z</dcterms:created>
  <dcterms:modified xsi:type="dcterms:W3CDTF">2026-04-24T00:46:00Z</dcterms:modified>
</cp:coreProperties>
</file>