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40E84" w14:textId="77777777" w:rsidR="009D6B1C" w:rsidRPr="00CA631E" w:rsidRDefault="009D6B1C" w:rsidP="009D6B1C">
      <w:pPr>
        <w:spacing w:line="360" w:lineRule="auto"/>
        <w:jc w:val="center"/>
        <w:rPr>
          <w:rFonts w:ascii="Arial" w:hAnsi="Arial" w:cs="Arial"/>
          <w:b/>
          <w:sz w:val="32"/>
          <w:szCs w:val="32"/>
        </w:rPr>
      </w:pPr>
      <w:bookmarkStart w:id="0" w:name="_Toc234747793"/>
      <w:bookmarkStart w:id="1" w:name="_Toc235038572"/>
      <w:r w:rsidRPr="00CA631E">
        <w:rPr>
          <w:rFonts w:ascii="Arial" w:hAnsi="Arial" w:cs="Arial"/>
          <w:b/>
          <w:noProof/>
          <w:sz w:val="32"/>
          <w:szCs w:val="32"/>
          <w:lang w:val="en-IN" w:eastAsia="en-IN"/>
        </w:rPr>
        <w:drawing>
          <wp:inline distT="0" distB="0" distL="0" distR="0" wp14:anchorId="574A5FD9" wp14:editId="17A869BE">
            <wp:extent cx="2796782" cy="1112616"/>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96782" cy="1112616"/>
                    </a:xfrm>
                    <a:prstGeom prst="rect">
                      <a:avLst/>
                    </a:prstGeom>
                  </pic:spPr>
                </pic:pic>
              </a:graphicData>
            </a:graphic>
          </wp:inline>
        </w:drawing>
      </w:r>
    </w:p>
    <w:p w14:paraId="267D903B" w14:textId="77777777" w:rsidR="004E4C03" w:rsidRPr="00CA631E" w:rsidRDefault="004E4C03" w:rsidP="009D6B1C">
      <w:pPr>
        <w:spacing w:line="360" w:lineRule="auto"/>
        <w:jc w:val="center"/>
        <w:rPr>
          <w:rFonts w:ascii="Arial" w:hAnsi="Arial" w:cs="Arial"/>
          <w:b/>
          <w:sz w:val="32"/>
          <w:szCs w:val="32"/>
        </w:rPr>
      </w:pPr>
      <w:r w:rsidRPr="00CA631E">
        <w:rPr>
          <w:rFonts w:ascii="Arial" w:hAnsi="Arial" w:cs="Arial"/>
          <w:b/>
          <w:sz w:val="32"/>
          <w:szCs w:val="32"/>
        </w:rPr>
        <w:t>Programme: Master of Business Administration</w:t>
      </w:r>
    </w:p>
    <w:p w14:paraId="3A12FCB4" w14:textId="77777777" w:rsidR="004E4C03" w:rsidRPr="00CA631E" w:rsidRDefault="004E4C03" w:rsidP="009D6B1C">
      <w:pPr>
        <w:spacing w:line="360" w:lineRule="auto"/>
        <w:jc w:val="center"/>
        <w:rPr>
          <w:rFonts w:ascii="Arial" w:hAnsi="Arial" w:cs="Arial"/>
          <w:b/>
          <w:sz w:val="32"/>
          <w:szCs w:val="32"/>
        </w:rPr>
      </w:pPr>
      <w:r w:rsidRPr="00CA631E">
        <w:rPr>
          <w:rFonts w:ascii="Arial" w:hAnsi="Arial" w:cs="Arial"/>
          <w:b/>
          <w:sz w:val="32"/>
          <w:szCs w:val="32"/>
        </w:rPr>
        <w:t>Module: Financial Management</w:t>
      </w:r>
    </w:p>
    <w:p w14:paraId="057553FF" w14:textId="77777777" w:rsidR="004E4C03" w:rsidRPr="00CA631E" w:rsidRDefault="004E4C03" w:rsidP="009D6B1C">
      <w:pPr>
        <w:spacing w:line="360" w:lineRule="auto"/>
        <w:jc w:val="center"/>
        <w:rPr>
          <w:rFonts w:ascii="Arial" w:hAnsi="Arial" w:cs="Arial"/>
          <w:b/>
          <w:sz w:val="32"/>
          <w:szCs w:val="32"/>
        </w:rPr>
      </w:pPr>
      <w:r w:rsidRPr="00CA631E">
        <w:rPr>
          <w:rFonts w:ascii="Arial" w:hAnsi="Arial" w:cs="Arial"/>
          <w:b/>
          <w:sz w:val="32"/>
          <w:szCs w:val="32"/>
        </w:rPr>
        <w:t>Module code: LCMB7002</w:t>
      </w:r>
    </w:p>
    <w:p w14:paraId="0123FF82" w14:textId="77777777" w:rsidR="004E4C03" w:rsidRPr="00CA631E" w:rsidRDefault="004E4C03" w:rsidP="009D6B1C">
      <w:pPr>
        <w:spacing w:line="360" w:lineRule="auto"/>
        <w:jc w:val="center"/>
        <w:rPr>
          <w:rFonts w:ascii="Arial" w:hAnsi="Arial" w:cs="Arial"/>
          <w:b/>
          <w:sz w:val="32"/>
          <w:szCs w:val="32"/>
        </w:rPr>
      </w:pPr>
    </w:p>
    <w:p w14:paraId="5D0DD599" w14:textId="77777777" w:rsidR="004E4C03" w:rsidRPr="00CA631E" w:rsidRDefault="004E4C03" w:rsidP="009D6B1C">
      <w:pPr>
        <w:spacing w:line="360" w:lineRule="auto"/>
        <w:jc w:val="center"/>
        <w:rPr>
          <w:rFonts w:ascii="Arial" w:hAnsi="Arial" w:cs="Arial"/>
          <w:b/>
          <w:sz w:val="32"/>
          <w:szCs w:val="32"/>
        </w:rPr>
      </w:pPr>
    </w:p>
    <w:p w14:paraId="76C83156" w14:textId="77777777" w:rsidR="004E4C03" w:rsidRDefault="004E4C03" w:rsidP="009D6B1C">
      <w:pPr>
        <w:spacing w:line="360" w:lineRule="auto"/>
        <w:jc w:val="center"/>
        <w:rPr>
          <w:rFonts w:ascii="Arial" w:hAnsi="Arial" w:cs="Arial"/>
          <w:b/>
          <w:sz w:val="32"/>
          <w:szCs w:val="32"/>
        </w:rPr>
      </w:pPr>
      <w:r w:rsidRPr="00CA631E">
        <w:rPr>
          <w:rFonts w:ascii="Arial" w:hAnsi="Arial" w:cs="Arial"/>
          <w:b/>
          <w:sz w:val="32"/>
          <w:szCs w:val="32"/>
        </w:rPr>
        <w:t>Assignment Title: Financial performance and management</w:t>
      </w:r>
    </w:p>
    <w:p w14:paraId="134BA849" w14:textId="77777777" w:rsidR="00DE32FC" w:rsidRDefault="00DE32FC" w:rsidP="009D6B1C">
      <w:pPr>
        <w:spacing w:line="360" w:lineRule="auto"/>
        <w:jc w:val="center"/>
        <w:rPr>
          <w:rFonts w:ascii="Arial" w:hAnsi="Arial" w:cs="Arial"/>
          <w:b/>
          <w:sz w:val="32"/>
          <w:szCs w:val="32"/>
        </w:rPr>
      </w:pPr>
    </w:p>
    <w:p w14:paraId="6F708274" w14:textId="05227245" w:rsidR="009D6B1C" w:rsidRDefault="00DE32FC" w:rsidP="00D4441B">
      <w:pPr>
        <w:spacing w:line="360" w:lineRule="auto"/>
        <w:jc w:val="center"/>
        <w:rPr>
          <w:rFonts w:ascii="Arial" w:hAnsi="Arial" w:cs="Arial"/>
          <w:b/>
          <w:sz w:val="32"/>
          <w:szCs w:val="32"/>
        </w:rPr>
      </w:pPr>
      <w:r w:rsidRPr="00DE32FC">
        <w:rPr>
          <w:rFonts w:ascii="Arial" w:hAnsi="Arial" w:cs="Arial"/>
          <w:b/>
          <w:bCs/>
          <w:sz w:val="32"/>
          <w:szCs w:val="32"/>
        </w:rPr>
        <w:t xml:space="preserve">Organisation </w:t>
      </w:r>
      <w:r w:rsidR="005533D7">
        <w:rPr>
          <w:rFonts w:ascii="Arial" w:hAnsi="Arial" w:cs="Arial"/>
          <w:b/>
          <w:bCs/>
          <w:sz w:val="32"/>
          <w:szCs w:val="32"/>
        </w:rPr>
        <w:t>Chosen</w:t>
      </w:r>
      <w:r w:rsidRPr="00DE32FC">
        <w:rPr>
          <w:rFonts w:ascii="Arial" w:hAnsi="Arial" w:cs="Arial"/>
          <w:b/>
          <w:bCs/>
          <w:sz w:val="32"/>
          <w:szCs w:val="32"/>
        </w:rPr>
        <w:t>: Greene Kin</w:t>
      </w:r>
      <w:r w:rsidR="00D4441B">
        <w:rPr>
          <w:rFonts w:ascii="Arial" w:hAnsi="Arial" w:cs="Arial"/>
          <w:b/>
          <w:bCs/>
          <w:sz w:val="32"/>
          <w:szCs w:val="32"/>
        </w:rPr>
        <w:t>g</w:t>
      </w:r>
    </w:p>
    <w:p w14:paraId="63F235FE" w14:textId="529434AF" w:rsidR="00D4441B" w:rsidRDefault="00D4441B" w:rsidP="00D4441B">
      <w:pPr>
        <w:rPr>
          <w:rFonts w:ascii="Arial" w:hAnsi="Arial" w:cs="Arial"/>
          <w:b/>
          <w:bCs/>
          <w:sz w:val="32"/>
          <w:szCs w:val="32"/>
        </w:rPr>
      </w:pPr>
      <w:r>
        <w:rPr>
          <w:rFonts w:ascii="Arial" w:hAnsi="Arial" w:cs="Arial"/>
          <w:b/>
          <w:bCs/>
          <w:sz w:val="24"/>
          <w:szCs w:val="24"/>
        </w:rPr>
        <w:t xml:space="preserve">                              </w:t>
      </w:r>
      <w:r w:rsidRPr="00D4441B">
        <w:rPr>
          <w:rFonts w:ascii="Arial" w:hAnsi="Arial" w:cs="Arial"/>
          <w:b/>
          <w:bCs/>
          <w:sz w:val="40"/>
          <w:szCs w:val="40"/>
        </w:rPr>
        <w:t>Lecturer’s name</w:t>
      </w:r>
      <w:r>
        <w:rPr>
          <w:rFonts w:ascii="Arial" w:hAnsi="Arial" w:cs="Arial"/>
          <w:b/>
          <w:bCs/>
          <w:sz w:val="24"/>
          <w:szCs w:val="24"/>
        </w:rPr>
        <w:t xml:space="preserve"> :</w:t>
      </w:r>
      <w:r w:rsidRPr="00D4441B">
        <w:rPr>
          <w:rFonts w:ascii="Arial" w:hAnsi="Arial" w:cs="Arial"/>
          <w:b/>
          <w:bCs/>
          <w:sz w:val="32"/>
          <w:szCs w:val="32"/>
        </w:rPr>
        <w:t>Ghulam Mujtaba</w:t>
      </w:r>
    </w:p>
    <w:p w14:paraId="52460AA7" w14:textId="77777777" w:rsidR="00D4441B" w:rsidRPr="00D4441B" w:rsidRDefault="00D4441B" w:rsidP="00D4441B">
      <w:pPr>
        <w:rPr>
          <w:rFonts w:ascii="Arial" w:eastAsiaTheme="majorEastAsia" w:hAnsi="Arial" w:cs="Arial"/>
          <w:b/>
          <w:sz w:val="32"/>
          <w:szCs w:val="32"/>
        </w:rPr>
      </w:pPr>
    </w:p>
    <w:p w14:paraId="4A498C9C" w14:textId="5CD2D7C4" w:rsidR="009D6B1C" w:rsidRDefault="009D6B1C" w:rsidP="009D6B1C">
      <w:pPr>
        <w:spacing w:line="360" w:lineRule="auto"/>
        <w:jc w:val="center"/>
        <w:rPr>
          <w:rFonts w:ascii="Arial" w:hAnsi="Arial" w:cs="Arial"/>
          <w:b/>
          <w:sz w:val="32"/>
          <w:szCs w:val="32"/>
        </w:rPr>
      </w:pPr>
      <w:r w:rsidRPr="00CA631E">
        <w:rPr>
          <w:rFonts w:ascii="Arial" w:hAnsi="Arial" w:cs="Arial"/>
          <w:b/>
          <w:sz w:val="32"/>
          <w:szCs w:val="32"/>
        </w:rPr>
        <w:t>Name of the student:</w:t>
      </w:r>
      <w:r w:rsidR="00D4441B">
        <w:rPr>
          <w:rFonts w:ascii="Arial" w:hAnsi="Arial" w:cs="Arial"/>
          <w:b/>
          <w:sz w:val="32"/>
          <w:szCs w:val="32"/>
        </w:rPr>
        <w:t xml:space="preserve"> Yash Pawar</w:t>
      </w:r>
    </w:p>
    <w:p w14:paraId="338AFFDD" w14:textId="77777777" w:rsidR="00D4441B" w:rsidRPr="00CA631E" w:rsidRDefault="00D4441B" w:rsidP="009D6B1C">
      <w:pPr>
        <w:spacing w:line="360" w:lineRule="auto"/>
        <w:jc w:val="center"/>
        <w:rPr>
          <w:rFonts w:ascii="Arial" w:hAnsi="Arial" w:cs="Arial"/>
          <w:b/>
          <w:sz w:val="32"/>
          <w:szCs w:val="32"/>
        </w:rPr>
      </w:pPr>
    </w:p>
    <w:p w14:paraId="02A408E1" w14:textId="5865F90F" w:rsidR="009D6B1C" w:rsidRPr="00CA631E" w:rsidRDefault="009D6B1C" w:rsidP="009D6B1C">
      <w:pPr>
        <w:spacing w:line="360" w:lineRule="auto"/>
        <w:jc w:val="center"/>
        <w:rPr>
          <w:rFonts w:ascii="Arial" w:hAnsi="Arial" w:cs="Arial"/>
          <w:b/>
          <w:sz w:val="32"/>
          <w:szCs w:val="32"/>
        </w:rPr>
      </w:pPr>
      <w:r w:rsidRPr="00CA631E">
        <w:rPr>
          <w:rFonts w:ascii="Arial" w:hAnsi="Arial" w:cs="Arial"/>
          <w:b/>
          <w:sz w:val="32"/>
          <w:szCs w:val="32"/>
        </w:rPr>
        <w:t>Student ID:</w:t>
      </w:r>
      <w:r w:rsidR="00D4441B">
        <w:rPr>
          <w:rFonts w:ascii="Arial" w:hAnsi="Arial" w:cs="Arial"/>
          <w:b/>
          <w:sz w:val="32"/>
          <w:szCs w:val="32"/>
        </w:rPr>
        <w:t xml:space="preserve"> 2543471</w:t>
      </w:r>
    </w:p>
    <w:p w14:paraId="69F548CC" w14:textId="37430B4A" w:rsidR="000A79FF" w:rsidRPr="00CA631E" w:rsidRDefault="000A79FF" w:rsidP="004E4C03">
      <w:pPr>
        <w:rPr>
          <w:rFonts w:ascii="Arial" w:eastAsiaTheme="majorEastAsia" w:hAnsi="Arial" w:cs="Arial"/>
          <w:b/>
          <w:sz w:val="24"/>
          <w:szCs w:val="24"/>
        </w:rPr>
      </w:pPr>
      <w:r w:rsidRPr="00CA631E">
        <w:rPr>
          <w:rFonts w:ascii="Arial" w:hAnsi="Arial" w:cs="Arial"/>
          <w:b/>
          <w:sz w:val="24"/>
          <w:szCs w:val="24"/>
        </w:rPr>
        <w:br w:type="page"/>
      </w:r>
      <w:r w:rsidR="00D4441B" w:rsidRPr="00D4441B">
        <w:rPr>
          <w:rFonts w:ascii="Arial" w:hAnsi="Arial" w:cs="Arial"/>
          <w:b/>
          <w:bCs/>
          <w:sz w:val="24"/>
          <w:szCs w:val="24"/>
        </w:rPr>
        <w:lastRenderedPageBreak/>
        <w:t>Ghulam Mujtaba</w:t>
      </w:r>
    </w:p>
    <w:sdt>
      <w:sdtPr>
        <w:rPr>
          <w:rFonts w:ascii="Arial" w:eastAsiaTheme="minorHAnsi" w:hAnsi="Arial" w:cs="Arial"/>
          <w:color w:val="auto"/>
          <w:sz w:val="22"/>
          <w:szCs w:val="22"/>
          <w:lang w:val="en-GB"/>
        </w:rPr>
        <w:id w:val="1866250829"/>
        <w:docPartObj>
          <w:docPartGallery w:val="Table of Contents"/>
          <w:docPartUnique/>
        </w:docPartObj>
      </w:sdtPr>
      <w:sdtEndPr>
        <w:rPr>
          <w:b/>
          <w:bCs/>
          <w:noProof/>
        </w:rPr>
      </w:sdtEndPr>
      <w:sdtContent>
        <w:p w14:paraId="01F6A8A3" w14:textId="77777777" w:rsidR="004E4C03" w:rsidRPr="00CA631E" w:rsidRDefault="004E4C03" w:rsidP="00AF34C0">
          <w:pPr>
            <w:pStyle w:val="TOCHeading"/>
            <w:spacing w:line="360" w:lineRule="auto"/>
            <w:jc w:val="center"/>
            <w:rPr>
              <w:rFonts w:ascii="Arial" w:hAnsi="Arial" w:cs="Arial"/>
              <w:b/>
              <w:color w:val="auto"/>
              <w:sz w:val="24"/>
              <w:szCs w:val="24"/>
            </w:rPr>
          </w:pPr>
          <w:r w:rsidRPr="00CA631E">
            <w:rPr>
              <w:rFonts w:ascii="Arial" w:hAnsi="Arial" w:cs="Arial"/>
              <w:b/>
              <w:color w:val="auto"/>
              <w:sz w:val="24"/>
              <w:szCs w:val="24"/>
            </w:rPr>
            <w:t>Table of Contents</w:t>
          </w:r>
        </w:p>
        <w:p w14:paraId="6EB01641" w14:textId="526189F9" w:rsidR="00CA631E" w:rsidRPr="00B758C6" w:rsidRDefault="004E4C03" w:rsidP="00B758C6">
          <w:pPr>
            <w:pStyle w:val="TOC1"/>
            <w:tabs>
              <w:tab w:val="right" w:leader="dot" w:pos="9016"/>
            </w:tabs>
            <w:spacing w:line="360" w:lineRule="auto"/>
            <w:jc w:val="both"/>
            <w:rPr>
              <w:rFonts w:ascii="Arial" w:eastAsiaTheme="minorEastAsia" w:hAnsi="Arial" w:cs="Arial"/>
              <w:noProof/>
              <w:sz w:val="24"/>
              <w:szCs w:val="24"/>
              <w:lang w:val="en-IN" w:eastAsia="en-IN"/>
            </w:rPr>
          </w:pPr>
          <w:r w:rsidRPr="00CA631E">
            <w:rPr>
              <w:rFonts w:ascii="Arial" w:hAnsi="Arial" w:cs="Arial"/>
              <w:sz w:val="24"/>
              <w:szCs w:val="24"/>
            </w:rPr>
            <w:fldChar w:fldCharType="begin"/>
          </w:r>
          <w:r w:rsidRPr="00CA631E">
            <w:rPr>
              <w:rFonts w:ascii="Arial" w:hAnsi="Arial" w:cs="Arial"/>
              <w:sz w:val="24"/>
              <w:szCs w:val="24"/>
            </w:rPr>
            <w:instrText xml:space="preserve"> TOC \o "1-3" \h \z \u </w:instrText>
          </w:r>
          <w:r w:rsidRPr="00CA631E">
            <w:rPr>
              <w:rFonts w:ascii="Arial" w:hAnsi="Arial" w:cs="Arial"/>
              <w:sz w:val="24"/>
              <w:szCs w:val="24"/>
            </w:rPr>
            <w:fldChar w:fldCharType="separate"/>
          </w:r>
          <w:hyperlink w:anchor="_Toc236846827" w:history="1">
            <w:r w:rsidR="00CA631E" w:rsidRPr="00B758C6">
              <w:rPr>
                <w:rStyle w:val="Hyperlink"/>
                <w:rFonts w:ascii="Arial" w:hAnsi="Arial" w:cs="Arial"/>
                <w:noProof/>
                <w:sz w:val="24"/>
                <w:szCs w:val="24"/>
              </w:rPr>
              <w:t>1. Financial Health Check</w:t>
            </w:r>
            <w:r w:rsidR="00CA631E" w:rsidRPr="00B758C6">
              <w:rPr>
                <w:rFonts w:ascii="Arial" w:hAnsi="Arial" w:cs="Arial"/>
                <w:noProof/>
                <w:webHidden/>
                <w:sz w:val="24"/>
                <w:szCs w:val="24"/>
              </w:rPr>
              <w:tab/>
            </w:r>
            <w:r w:rsidR="00CA631E" w:rsidRPr="00B758C6">
              <w:rPr>
                <w:rFonts w:ascii="Arial" w:hAnsi="Arial" w:cs="Arial"/>
                <w:noProof/>
                <w:webHidden/>
                <w:sz w:val="24"/>
                <w:szCs w:val="24"/>
              </w:rPr>
              <w:fldChar w:fldCharType="begin"/>
            </w:r>
            <w:r w:rsidR="00CA631E" w:rsidRPr="00B758C6">
              <w:rPr>
                <w:rFonts w:ascii="Arial" w:hAnsi="Arial" w:cs="Arial"/>
                <w:noProof/>
                <w:webHidden/>
                <w:sz w:val="24"/>
                <w:szCs w:val="24"/>
              </w:rPr>
              <w:instrText xml:space="preserve"> PAGEREF _Toc236846827 \h </w:instrText>
            </w:r>
            <w:r w:rsidR="00CA631E" w:rsidRPr="00B758C6">
              <w:rPr>
                <w:rFonts w:ascii="Arial" w:hAnsi="Arial" w:cs="Arial"/>
                <w:noProof/>
                <w:webHidden/>
                <w:sz w:val="24"/>
                <w:szCs w:val="24"/>
              </w:rPr>
            </w:r>
            <w:r w:rsidR="00CA631E" w:rsidRPr="00B758C6">
              <w:rPr>
                <w:rFonts w:ascii="Arial" w:hAnsi="Arial" w:cs="Arial"/>
                <w:noProof/>
                <w:webHidden/>
                <w:sz w:val="24"/>
                <w:szCs w:val="24"/>
              </w:rPr>
              <w:fldChar w:fldCharType="separate"/>
            </w:r>
            <w:r w:rsidR="00954BE3">
              <w:rPr>
                <w:rFonts w:ascii="Arial" w:hAnsi="Arial" w:cs="Arial"/>
                <w:noProof/>
                <w:webHidden/>
                <w:sz w:val="24"/>
                <w:szCs w:val="24"/>
              </w:rPr>
              <w:t>4</w:t>
            </w:r>
            <w:r w:rsidR="00CA631E" w:rsidRPr="00B758C6">
              <w:rPr>
                <w:rFonts w:ascii="Arial" w:hAnsi="Arial" w:cs="Arial"/>
                <w:noProof/>
                <w:webHidden/>
                <w:sz w:val="24"/>
                <w:szCs w:val="24"/>
              </w:rPr>
              <w:fldChar w:fldCharType="end"/>
            </w:r>
          </w:hyperlink>
        </w:p>
        <w:p w14:paraId="7452BFC9" w14:textId="56300951"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28" w:history="1">
            <w:r w:rsidRPr="00B758C6">
              <w:rPr>
                <w:rStyle w:val="Hyperlink"/>
                <w:rFonts w:ascii="Arial" w:hAnsi="Arial" w:cs="Arial"/>
                <w:noProof/>
                <w:sz w:val="24"/>
                <w:szCs w:val="24"/>
              </w:rPr>
              <w:t>1.1 Firm’s financial statements over the past five years</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_Toc236846828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4</w:t>
            </w:r>
            <w:r w:rsidRPr="00B758C6">
              <w:rPr>
                <w:rFonts w:ascii="Arial" w:hAnsi="Arial" w:cs="Arial"/>
                <w:noProof/>
                <w:webHidden/>
                <w:sz w:val="24"/>
                <w:szCs w:val="24"/>
              </w:rPr>
              <w:fldChar w:fldCharType="end"/>
            </w:r>
          </w:hyperlink>
        </w:p>
        <w:p w14:paraId="259482D3" w14:textId="0134DD78"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29" w:history="1">
            <w:r w:rsidRPr="00B758C6">
              <w:rPr>
                <w:rStyle w:val="Hyperlink"/>
                <w:rFonts w:ascii="Arial" w:hAnsi="Arial" w:cs="Arial"/>
                <w:noProof/>
                <w:sz w:val="24"/>
                <w:szCs w:val="24"/>
              </w:rPr>
              <w:t>1.2 Ratio analysis</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_Toc236846829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5</w:t>
            </w:r>
            <w:r w:rsidRPr="00B758C6">
              <w:rPr>
                <w:rFonts w:ascii="Arial" w:hAnsi="Arial" w:cs="Arial"/>
                <w:noProof/>
                <w:webHidden/>
                <w:sz w:val="24"/>
                <w:szCs w:val="24"/>
              </w:rPr>
              <w:fldChar w:fldCharType="end"/>
            </w:r>
          </w:hyperlink>
        </w:p>
        <w:p w14:paraId="4D6B956B" w14:textId="609A338C"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30" w:history="1">
            <w:r w:rsidRPr="00B758C6">
              <w:rPr>
                <w:rStyle w:val="Hyperlink"/>
                <w:rFonts w:ascii="Arial" w:hAnsi="Arial" w:cs="Arial"/>
                <w:noProof/>
                <w:sz w:val="24"/>
                <w:szCs w:val="24"/>
              </w:rPr>
              <w:t>1.3 Trends, strengths, and potential threats</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_Toc236846830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11</w:t>
            </w:r>
            <w:r w:rsidRPr="00B758C6">
              <w:rPr>
                <w:rFonts w:ascii="Arial" w:hAnsi="Arial" w:cs="Arial"/>
                <w:noProof/>
                <w:webHidden/>
                <w:sz w:val="24"/>
                <w:szCs w:val="24"/>
              </w:rPr>
              <w:fldChar w:fldCharType="end"/>
            </w:r>
          </w:hyperlink>
        </w:p>
        <w:p w14:paraId="33500FA0" w14:textId="3A26EDC0"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31" w:history="1">
            <w:r w:rsidRPr="00B758C6">
              <w:rPr>
                <w:rStyle w:val="Hyperlink"/>
                <w:rFonts w:ascii="Arial" w:hAnsi="Arial" w:cs="Arial"/>
                <w:noProof/>
                <w:sz w:val="24"/>
                <w:szCs w:val="24"/>
              </w:rPr>
              <w:t>1.4 Comparison of liquidity ratios with industry benchmarks, assessing how the firm performs relative to sector standards</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_Toc236846831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13</w:t>
            </w:r>
            <w:r w:rsidRPr="00B758C6">
              <w:rPr>
                <w:rFonts w:ascii="Arial" w:hAnsi="Arial" w:cs="Arial"/>
                <w:noProof/>
                <w:webHidden/>
                <w:sz w:val="24"/>
                <w:szCs w:val="24"/>
              </w:rPr>
              <w:fldChar w:fldCharType="end"/>
            </w:r>
          </w:hyperlink>
        </w:p>
        <w:p w14:paraId="21743A3A" w14:textId="5FAA476C" w:rsidR="00CA631E" w:rsidRPr="00B758C6" w:rsidRDefault="00CA631E" w:rsidP="00B758C6">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36846832" w:history="1">
            <w:r w:rsidRPr="00B758C6">
              <w:rPr>
                <w:rStyle w:val="Hyperlink"/>
                <w:rFonts w:ascii="Arial" w:hAnsi="Arial" w:cs="Arial"/>
                <w:noProof/>
                <w:sz w:val="24"/>
                <w:szCs w:val="24"/>
              </w:rPr>
              <w:t>2. Working Capital Management Analysis</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_Toc236846832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15</w:t>
            </w:r>
            <w:r w:rsidRPr="00B758C6">
              <w:rPr>
                <w:rFonts w:ascii="Arial" w:hAnsi="Arial" w:cs="Arial"/>
                <w:noProof/>
                <w:webHidden/>
                <w:sz w:val="24"/>
                <w:szCs w:val="24"/>
              </w:rPr>
              <w:fldChar w:fldCharType="end"/>
            </w:r>
          </w:hyperlink>
        </w:p>
        <w:p w14:paraId="02EA9964" w14:textId="126A6A6C"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33" w:history="1">
            <w:r w:rsidRPr="00B758C6">
              <w:rPr>
                <w:rStyle w:val="Hyperlink"/>
                <w:rFonts w:ascii="Arial" w:hAnsi="Arial" w:cs="Arial"/>
                <w:noProof/>
                <w:sz w:val="24"/>
                <w:szCs w:val="24"/>
              </w:rPr>
              <w:t>2.1 Cash operating cycle</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_Toc236846833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15</w:t>
            </w:r>
            <w:r w:rsidRPr="00B758C6">
              <w:rPr>
                <w:rFonts w:ascii="Arial" w:hAnsi="Arial" w:cs="Arial"/>
                <w:noProof/>
                <w:webHidden/>
                <w:sz w:val="24"/>
                <w:szCs w:val="24"/>
              </w:rPr>
              <w:fldChar w:fldCharType="end"/>
            </w:r>
          </w:hyperlink>
        </w:p>
        <w:p w14:paraId="7D0B4E64" w14:textId="5B1DFEFC"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34" w:history="1">
            <w:r w:rsidRPr="00B758C6">
              <w:rPr>
                <w:rStyle w:val="Hyperlink"/>
                <w:rFonts w:ascii="Arial" w:hAnsi="Arial" w:cs="Arial"/>
                <w:noProof/>
                <w:sz w:val="24"/>
                <w:szCs w:val="24"/>
              </w:rPr>
              <w:t>2.2 Strategies to improve liquidity through working capital reforms</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_Toc236846834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16</w:t>
            </w:r>
            <w:r w:rsidRPr="00B758C6">
              <w:rPr>
                <w:rFonts w:ascii="Arial" w:hAnsi="Arial" w:cs="Arial"/>
                <w:noProof/>
                <w:webHidden/>
                <w:sz w:val="24"/>
                <w:szCs w:val="24"/>
              </w:rPr>
              <w:fldChar w:fldCharType="end"/>
            </w:r>
          </w:hyperlink>
        </w:p>
        <w:p w14:paraId="35CB53F5" w14:textId="32E7673B"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35" w:history="1">
            <w:r w:rsidRPr="00B758C6">
              <w:rPr>
                <w:rStyle w:val="Hyperlink"/>
                <w:rFonts w:ascii="Arial" w:hAnsi="Arial" w:cs="Arial"/>
                <w:noProof/>
                <w:sz w:val="24"/>
                <w:szCs w:val="24"/>
              </w:rPr>
              <w:t>2.3 Short-term vs long-term financing options</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_Toc236846835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18</w:t>
            </w:r>
            <w:r w:rsidRPr="00B758C6">
              <w:rPr>
                <w:rFonts w:ascii="Arial" w:hAnsi="Arial" w:cs="Arial"/>
                <w:noProof/>
                <w:webHidden/>
                <w:sz w:val="24"/>
                <w:szCs w:val="24"/>
              </w:rPr>
              <w:fldChar w:fldCharType="end"/>
            </w:r>
          </w:hyperlink>
        </w:p>
        <w:p w14:paraId="5460B1B3" w14:textId="4F5BB93C" w:rsidR="00CA631E" w:rsidRPr="00B758C6" w:rsidRDefault="00CA631E" w:rsidP="00B758C6">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36846836" w:history="1">
            <w:r w:rsidRPr="00B758C6">
              <w:rPr>
                <w:rStyle w:val="Hyperlink"/>
                <w:rFonts w:ascii="Arial" w:hAnsi="Arial" w:cs="Arial"/>
                <w:noProof/>
                <w:sz w:val="24"/>
                <w:szCs w:val="24"/>
              </w:rPr>
              <w:t>3. Strategic Financial Restructuring Plan</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_Toc236846836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18</w:t>
            </w:r>
            <w:r w:rsidRPr="00B758C6">
              <w:rPr>
                <w:rFonts w:ascii="Arial" w:hAnsi="Arial" w:cs="Arial"/>
                <w:noProof/>
                <w:webHidden/>
                <w:sz w:val="24"/>
                <w:szCs w:val="24"/>
              </w:rPr>
              <w:fldChar w:fldCharType="end"/>
            </w:r>
          </w:hyperlink>
        </w:p>
        <w:p w14:paraId="1C8DF5BF" w14:textId="3DB45998"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37" w:history="1">
            <w:r w:rsidRPr="00B758C6">
              <w:rPr>
                <w:rStyle w:val="Hyperlink"/>
                <w:rFonts w:ascii="Arial" w:hAnsi="Arial" w:cs="Arial"/>
                <w:noProof/>
                <w:sz w:val="24"/>
                <w:szCs w:val="24"/>
              </w:rPr>
              <w:t>3.1 Recommend financial restructuring options (e.g., divestiture, merger, equity injection).</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_Toc236846837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18</w:t>
            </w:r>
            <w:r w:rsidRPr="00B758C6">
              <w:rPr>
                <w:rFonts w:ascii="Arial" w:hAnsi="Arial" w:cs="Arial"/>
                <w:noProof/>
                <w:webHidden/>
                <w:sz w:val="24"/>
                <w:szCs w:val="24"/>
              </w:rPr>
              <w:fldChar w:fldCharType="end"/>
            </w:r>
          </w:hyperlink>
        </w:p>
        <w:p w14:paraId="0D197270" w14:textId="3FB6F4D0"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38" w:history="1">
            <w:r w:rsidRPr="00B758C6">
              <w:rPr>
                <w:rStyle w:val="Hyperlink"/>
                <w:rFonts w:ascii="Arial" w:hAnsi="Arial" w:cs="Arial"/>
                <w:noProof/>
                <w:sz w:val="24"/>
                <w:szCs w:val="24"/>
              </w:rPr>
              <w:t>3.2 Evaluate impact on shareholder value, debt structure, and operational flexibility.</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_Toc236846838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19</w:t>
            </w:r>
            <w:r w:rsidRPr="00B758C6">
              <w:rPr>
                <w:rFonts w:ascii="Arial" w:hAnsi="Arial" w:cs="Arial"/>
                <w:noProof/>
                <w:webHidden/>
                <w:sz w:val="24"/>
                <w:szCs w:val="24"/>
              </w:rPr>
              <w:fldChar w:fldCharType="end"/>
            </w:r>
          </w:hyperlink>
        </w:p>
        <w:p w14:paraId="2447E232" w14:textId="25FDF8F9"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39" w:history="1">
            <w:r w:rsidRPr="00B758C6">
              <w:rPr>
                <w:rStyle w:val="Hyperlink"/>
                <w:rFonts w:ascii="Arial" w:hAnsi="Arial" w:cs="Arial"/>
                <w:noProof/>
                <w:sz w:val="24"/>
                <w:szCs w:val="24"/>
              </w:rPr>
              <w:t>3.3 Include international and ethical considerations (taxation, currency risk, inflation, CSR or ESG).</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_Toc236846839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20</w:t>
            </w:r>
            <w:r w:rsidRPr="00B758C6">
              <w:rPr>
                <w:rFonts w:ascii="Arial" w:hAnsi="Arial" w:cs="Arial"/>
                <w:noProof/>
                <w:webHidden/>
                <w:sz w:val="24"/>
                <w:szCs w:val="24"/>
              </w:rPr>
              <w:fldChar w:fldCharType="end"/>
            </w:r>
          </w:hyperlink>
        </w:p>
        <w:p w14:paraId="74BD51C8" w14:textId="492A4502" w:rsidR="00CA631E" w:rsidRPr="00B758C6" w:rsidRDefault="00CA631E" w:rsidP="00B758C6">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36846840" w:history="1">
            <w:r w:rsidRPr="00B758C6">
              <w:rPr>
                <w:rStyle w:val="Hyperlink"/>
                <w:rFonts w:ascii="Arial" w:hAnsi="Arial" w:cs="Arial"/>
                <w:noProof/>
                <w:sz w:val="24"/>
                <w:szCs w:val="24"/>
              </w:rPr>
              <w:t>4. Investment Appraisal and Capital Budgeting</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_Toc236846840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22</w:t>
            </w:r>
            <w:r w:rsidRPr="00B758C6">
              <w:rPr>
                <w:rFonts w:ascii="Arial" w:hAnsi="Arial" w:cs="Arial"/>
                <w:noProof/>
                <w:webHidden/>
                <w:sz w:val="24"/>
                <w:szCs w:val="24"/>
              </w:rPr>
              <w:fldChar w:fldCharType="end"/>
            </w:r>
          </w:hyperlink>
        </w:p>
        <w:p w14:paraId="1DF759A6" w14:textId="04E24506"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41" w:history="1">
            <w:r w:rsidRPr="00B758C6">
              <w:rPr>
                <w:rStyle w:val="Hyperlink"/>
                <w:rFonts w:ascii="Arial" w:hAnsi="Arial" w:cs="Arial"/>
                <w:noProof/>
                <w:sz w:val="24"/>
                <w:szCs w:val="24"/>
              </w:rPr>
              <w:t>4.1 Project to be recommended</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_Toc236846841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23</w:t>
            </w:r>
            <w:r w:rsidRPr="00B758C6">
              <w:rPr>
                <w:rFonts w:ascii="Arial" w:hAnsi="Arial" w:cs="Arial"/>
                <w:noProof/>
                <w:webHidden/>
                <w:sz w:val="24"/>
                <w:szCs w:val="24"/>
              </w:rPr>
              <w:fldChar w:fldCharType="end"/>
            </w:r>
          </w:hyperlink>
        </w:p>
        <w:p w14:paraId="3536EFAD" w14:textId="51B63D15"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42" w:history="1">
            <w:r w:rsidRPr="00B758C6">
              <w:rPr>
                <w:rStyle w:val="Hyperlink"/>
                <w:rFonts w:ascii="Arial" w:hAnsi="Arial" w:cs="Arial"/>
                <w:noProof/>
                <w:sz w:val="24"/>
                <w:szCs w:val="24"/>
              </w:rPr>
              <w:t>4.2 Justification of the recommendation with reference to the company’s financial performance (e.g. profitability, liquidity)</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_Toc236846842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24</w:t>
            </w:r>
            <w:r w:rsidRPr="00B758C6">
              <w:rPr>
                <w:rFonts w:ascii="Arial" w:hAnsi="Arial" w:cs="Arial"/>
                <w:noProof/>
                <w:webHidden/>
                <w:sz w:val="24"/>
                <w:szCs w:val="24"/>
              </w:rPr>
              <w:fldChar w:fldCharType="end"/>
            </w:r>
          </w:hyperlink>
        </w:p>
        <w:p w14:paraId="1795866F" w14:textId="05D0564E"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43" w:history="1">
            <w:r w:rsidRPr="00B758C6">
              <w:rPr>
                <w:rStyle w:val="Hyperlink"/>
                <w:rFonts w:ascii="Arial" w:hAnsi="Arial" w:cs="Arial"/>
                <w:noProof/>
                <w:sz w:val="24"/>
                <w:szCs w:val="24"/>
              </w:rPr>
              <w:t>4.3 Justification of the recommendation with reference to the non-financial risks (e.g. political risk, customer loyalty)</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_Toc236846843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25</w:t>
            </w:r>
            <w:r w:rsidRPr="00B758C6">
              <w:rPr>
                <w:rFonts w:ascii="Arial" w:hAnsi="Arial" w:cs="Arial"/>
                <w:noProof/>
                <w:webHidden/>
                <w:sz w:val="24"/>
                <w:szCs w:val="24"/>
              </w:rPr>
              <w:fldChar w:fldCharType="end"/>
            </w:r>
          </w:hyperlink>
        </w:p>
        <w:p w14:paraId="5E5307D8" w14:textId="1AEB4453"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44" w:history="1">
            <w:r w:rsidRPr="00B758C6">
              <w:rPr>
                <w:rStyle w:val="Hyperlink"/>
                <w:rFonts w:ascii="Arial" w:hAnsi="Arial" w:cs="Arial"/>
                <w:noProof/>
                <w:sz w:val="24"/>
                <w:szCs w:val="24"/>
              </w:rPr>
              <w:t>4.4 Combination of projects is the best on using capital rationing</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_Toc236846844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26</w:t>
            </w:r>
            <w:r w:rsidRPr="00B758C6">
              <w:rPr>
                <w:rFonts w:ascii="Arial" w:hAnsi="Arial" w:cs="Arial"/>
                <w:noProof/>
                <w:webHidden/>
                <w:sz w:val="24"/>
                <w:szCs w:val="24"/>
              </w:rPr>
              <w:fldChar w:fldCharType="end"/>
            </w:r>
          </w:hyperlink>
        </w:p>
        <w:p w14:paraId="3260DA29" w14:textId="408174D9" w:rsidR="00CA631E" w:rsidRPr="00B758C6" w:rsidRDefault="00CA631E" w:rsidP="00B758C6">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36846845" w:history="1">
            <w:r w:rsidRPr="00B758C6">
              <w:rPr>
                <w:rStyle w:val="Hyperlink"/>
                <w:rFonts w:ascii="Arial" w:hAnsi="Arial" w:cs="Arial"/>
                <w:noProof/>
                <w:sz w:val="24"/>
                <w:szCs w:val="24"/>
              </w:rPr>
              <w:t>5. Critical Reflection on AI Usage</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_Toc236846845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28</w:t>
            </w:r>
            <w:r w:rsidRPr="00B758C6">
              <w:rPr>
                <w:rFonts w:ascii="Arial" w:hAnsi="Arial" w:cs="Arial"/>
                <w:noProof/>
                <w:webHidden/>
                <w:sz w:val="24"/>
                <w:szCs w:val="24"/>
              </w:rPr>
              <w:fldChar w:fldCharType="end"/>
            </w:r>
          </w:hyperlink>
        </w:p>
        <w:p w14:paraId="489E37ED" w14:textId="79AD1FDD"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46" w:history="1">
            <w:r w:rsidRPr="00B758C6">
              <w:rPr>
                <w:rStyle w:val="Hyperlink"/>
                <w:rFonts w:ascii="Arial" w:hAnsi="Arial" w:cs="Arial"/>
                <w:noProof/>
                <w:sz w:val="24"/>
                <w:szCs w:val="24"/>
              </w:rPr>
              <w:t>5.1 Tool Disclosure</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_Toc236846846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28</w:t>
            </w:r>
            <w:r w:rsidRPr="00B758C6">
              <w:rPr>
                <w:rFonts w:ascii="Arial" w:hAnsi="Arial" w:cs="Arial"/>
                <w:noProof/>
                <w:webHidden/>
                <w:sz w:val="24"/>
                <w:szCs w:val="24"/>
              </w:rPr>
              <w:fldChar w:fldCharType="end"/>
            </w:r>
          </w:hyperlink>
        </w:p>
        <w:p w14:paraId="78D4618D" w14:textId="498CF38A"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47" w:history="1">
            <w:r w:rsidRPr="00B758C6">
              <w:rPr>
                <w:rStyle w:val="Hyperlink"/>
                <w:rFonts w:ascii="Arial" w:hAnsi="Arial" w:cs="Arial"/>
                <w:noProof/>
                <w:sz w:val="24"/>
                <w:szCs w:val="24"/>
              </w:rPr>
              <w:t>5.2 Critical Evaluation of AI Output</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_Toc236846847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28</w:t>
            </w:r>
            <w:r w:rsidRPr="00B758C6">
              <w:rPr>
                <w:rFonts w:ascii="Arial" w:hAnsi="Arial" w:cs="Arial"/>
                <w:noProof/>
                <w:webHidden/>
                <w:sz w:val="24"/>
                <w:szCs w:val="24"/>
              </w:rPr>
              <w:fldChar w:fldCharType="end"/>
            </w:r>
          </w:hyperlink>
        </w:p>
        <w:p w14:paraId="06AF51FE" w14:textId="0F9E0B0E"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48" w:history="1">
            <w:r w:rsidRPr="00B758C6">
              <w:rPr>
                <w:rStyle w:val="Hyperlink"/>
                <w:rFonts w:ascii="Arial" w:hAnsi="Arial" w:cs="Arial"/>
                <w:noProof/>
                <w:sz w:val="24"/>
                <w:szCs w:val="24"/>
              </w:rPr>
              <w:t>5.3 Contribution Analysis</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_Toc236846848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29</w:t>
            </w:r>
            <w:r w:rsidRPr="00B758C6">
              <w:rPr>
                <w:rFonts w:ascii="Arial" w:hAnsi="Arial" w:cs="Arial"/>
                <w:noProof/>
                <w:webHidden/>
                <w:sz w:val="24"/>
                <w:szCs w:val="24"/>
              </w:rPr>
              <w:fldChar w:fldCharType="end"/>
            </w:r>
          </w:hyperlink>
        </w:p>
        <w:p w14:paraId="0EE922D1" w14:textId="46BE3378"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49" w:history="1">
            <w:r w:rsidRPr="00B758C6">
              <w:rPr>
                <w:rStyle w:val="Hyperlink"/>
                <w:rFonts w:ascii="Arial" w:hAnsi="Arial" w:cs="Arial"/>
                <w:noProof/>
                <w:sz w:val="24"/>
                <w:szCs w:val="24"/>
              </w:rPr>
              <w:t>5.4 Ethical &amp; Professional Reflection</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_Toc236846849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29</w:t>
            </w:r>
            <w:r w:rsidRPr="00B758C6">
              <w:rPr>
                <w:rFonts w:ascii="Arial" w:hAnsi="Arial" w:cs="Arial"/>
                <w:noProof/>
                <w:webHidden/>
                <w:sz w:val="24"/>
                <w:szCs w:val="24"/>
              </w:rPr>
              <w:fldChar w:fldCharType="end"/>
            </w:r>
          </w:hyperlink>
        </w:p>
        <w:p w14:paraId="20E95F7B" w14:textId="0D089EB5" w:rsidR="00CA631E" w:rsidRPr="00B758C6" w:rsidRDefault="00CA631E" w:rsidP="00B758C6">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36846850" w:history="1">
            <w:r w:rsidRPr="00B758C6">
              <w:rPr>
                <w:rStyle w:val="Hyperlink"/>
                <w:rFonts w:ascii="Arial" w:hAnsi="Arial" w:cs="Arial"/>
                <w:noProof/>
                <w:sz w:val="24"/>
                <w:szCs w:val="24"/>
              </w:rPr>
              <w:t>References</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_Toc236846850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30</w:t>
            </w:r>
            <w:r w:rsidRPr="00B758C6">
              <w:rPr>
                <w:rFonts w:ascii="Arial" w:hAnsi="Arial" w:cs="Arial"/>
                <w:noProof/>
                <w:webHidden/>
                <w:sz w:val="24"/>
                <w:szCs w:val="24"/>
              </w:rPr>
              <w:fldChar w:fldCharType="end"/>
            </w:r>
          </w:hyperlink>
        </w:p>
        <w:p w14:paraId="3400A3F6" w14:textId="5BCAE3CB" w:rsidR="00CA631E" w:rsidRPr="00B758C6" w:rsidRDefault="00CA631E" w:rsidP="00B758C6">
          <w:pPr>
            <w:pStyle w:val="TOC1"/>
            <w:tabs>
              <w:tab w:val="right" w:leader="dot" w:pos="9016"/>
            </w:tabs>
            <w:spacing w:line="360" w:lineRule="auto"/>
            <w:jc w:val="both"/>
            <w:rPr>
              <w:rFonts w:ascii="Arial" w:eastAsiaTheme="minorEastAsia" w:hAnsi="Arial" w:cs="Arial"/>
              <w:noProof/>
              <w:sz w:val="24"/>
              <w:szCs w:val="24"/>
              <w:lang w:val="en-IN" w:eastAsia="en-IN"/>
            </w:rPr>
          </w:pPr>
          <w:hyperlink w:anchor="_Toc236846851" w:history="1">
            <w:r w:rsidRPr="00B758C6">
              <w:rPr>
                <w:rStyle w:val="Hyperlink"/>
                <w:rFonts w:ascii="Arial" w:hAnsi="Arial" w:cs="Arial"/>
                <w:noProof/>
                <w:sz w:val="24"/>
                <w:szCs w:val="24"/>
              </w:rPr>
              <w:t>Appendices</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_Toc236846851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34</w:t>
            </w:r>
            <w:r w:rsidRPr="00B758C6">
              <w:rPr>
                <w:rFonts w:ascii="Arial" w:hAnsi="Arial" w:cs="Arial"/>
                <w:noProof/>
                <w:webHidden/>
                <w:sz w:val="24"/>
                <w:szCs w:val="24"/>
              </w:rPr>
              <w:fldChar w:fldCharType="end"/>
            </w:r>
          </w:hyperlink>
        </w:p>
        <w:p w14:paraId="179EE9A3" w14:textId="2318A8D5"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52" w:history="1">
            <w:r w:rsidRPr="00B758C6">
              <w:rPr>
                <w:rStyle w:val="Hyperlink"/>
                <w:rFonts w:ascii="Arial" w:hAnsi="Arial" w:cs="Arial"/>
                <w:noProof/>
                <w:sz w:val="24"/>
                <w:szCs w:val="24"/>
              </w:rPr>
              <w:t>a. Ratio tables and graphs</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_Toc236846852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34</w:t>
            </w:r>
            <w:r w:rsidRPr="00B758C6">
              <w:rPr>
                <w:rFonts w:ascii="Arial" w:hAnsi="Arial" w:cs="Arial"/>
                <w:noProof/>
                <w:webHidden/>
                <w:sz w:val="24"/>
                <w:szCs w:val="24"/>
              </w:rPr>
              <w:fldChar w:fldCharType="end"/>
            </w:r>
          </w:hyperlink>
        </w:p>
        <w:p w14:paraId="4675E0D1" w14:textId="3817C4BE"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53" w:history="1">
            <w:r w:rsidRPr="00B758C6">
              <w:rPr>
                <w:rStyle w:val="Hyperlink"/>
                <w:rFonts w:ascii="Arial" w:hAnsi="Arial" w:cs="Arial"/>
                <w:noProof/>
                <w:sz w:val="24"/>
                <w:szCs w:val="24"/>
              </w:rPr>
              <w:t>b. Investment appraisal calculations</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_Toc236846853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39</w:t>
            </w:r>
            <w:r w:rsidRPr="00B758C6">
              <w:rPr>
                <w:rFonts w:ascii="Arial" w:hAnsi="Arial" w:cs="Arial"/>
                <w:noProof/>
                <w:webHidden/>
                <w:sz w:val="24"/>
                <w:szCs w:val="24"/>
              </w:rPr>
              <w:fldChar w:fldCharType="end"/>
            </w:r>
          </w:hyperlink>
        </w:p>
        <w:p w14:paraId="333E7A28" w14:textId="6DED5BA0" w:rsidR="00CA631E" w:rsidRPr="00B758C6" w:rsidRDefault="00CA631E" w:rsidP="00B758C6">
          <w:pPr>
            <w:pStyle w:val="TOC2"/>
            <w:tabs>
              <w:tab w:val="right" w:leader="dot" w:pos="9016"/>
            </w:tabs>
            <w:spacing w:line="360" w:lineRule="auto"/>
            <w:jc w:val="both"/>
            <w:rPr>
              <w:rFonts w:ascii="Arial" w:eastAsiaTheme="minorEastAsia" w:hAnsi="Arial" w:cs="Arial"/>
              <w:noProof/>
              <w:sz w:val="24"/>
              <w:szCs w:val="24"/>
              <w:lang w:val="en-IN" w:eastAsia="en-IN"/>
            </w:rPr>
          </w:pPr>
          <w:hyperlink w:anchor="_Toc236846854" w:history="1">
            <w:r w:rsidRPr="00B758C6">
              <w:rPr>
                <w:rStyle w:val="Hyperlink"/>
                <w:rFonts w:ascii="Arial" w:hAnsi="Arial" w:cs="Arial"/>
                <w:noProof/>
                <w:sz w:val="24"/>
                <w:szCs w:val="24"/>
              </w:rPr>
              <w:t>c. Annual Reports</w:t>
            </w:r>
            <w:r w:rsidRPr="00B758C6">
              <w:rPr>
                <w:rFonts w:ascii="Arial" w:hAnsi="Arial" w:cs="Arial"/>
                <w:noProof/>
                <w:webHidden/>
                <w:sz w:val="24"/>
                <w:szCs w:val="24"/>
              </w:rPr>
              <w:tab/>
            </w:r>
            <w:r w:rsidRPr="00B758C6">
              <w:rPr>
                <w:rFonts w:ascii="Arial" w:hAnsi="Arial" w:cs="Arial"/>
                <w:noProof/>
                <w:webHidden/>
                <w:sz w:val="24"/>
                <w:szCs w:val="24"/>
              </w:rPr>
              <w:fldChar w:fldCharType="begin"/>
            </w:r>
            <w:r w:rsidRPr="00B758C6">
              <w:rPr>
                <w:rFonts w:ascii="Arial" w:hAnsi="Arial" w:cs="Arial"/>
                <w:noProof/>
                <w:webHidden/>
                <w:sz w:val="24"/>
                <w:szCs w:val="24"/>
              </w:rPr>
              <w:instrText xml:space="preserve"> PAGEREF _Toc236846854 \h </w:instrText>
            </w:r>
            <w:r w:rsidRPr="00B758C6">
              <w:rPr>
                <w:rFonts w:ascii="Arial" w:hAnsi="Arial" w:cs="Arial"/>
                <w:noProof/>
                <w:webHidden/>
                <w:sz w:val="24"/>
                <w:szCs w:val="24"/>
              </w:rPr>
            </w:r>
            <w:r w:rsidRPr="00B758C6">
              <w:rPr>
                <w:rFonts w:ascii="Arial" w:hAnsi="Arial" w:cs="Arial"/>
                <w:noProof/>
                <w:webHidden/>
                <w:sz w:val="24"/>
                <w:szCs w:val="24"/>
              </w:rPr>
              <w:fldChar w:fldCharType="separate"/>
            </w:r>
            <w:r w:rsidR="00954BE3">
              <w:rPr>
                <w:rFonts w:ascii="Arial" w:hAnsi="Arial" w:cs="Arial"/>
                <w:noProof/>
                <w:webHidden/>
                <w:sz w:val="24"/>
                <w:szCs w:val="24"/>
              </w:rPr>
              <w:t>40</w:t>
            </w:r>
            <w:r w:rsidRPr="00B758C6">
              <w:rPr>
                <w:rFonts w:ascii="Arial" w:hAnsi="Arial" w:cs="Arial"/>
                <w:noProof/>
                <w:webHidden/>
                <w:sz w:val="24"/>
                <w:szCs w:val="24"/>
              </w:rPr>
              <w:fldChar w:fldCharType="end"/>
            </w:r>
          </w:hyperlink>
        </w:p>
        <w:p w14:paraId="7EE12E43" w14:textId="77777777" w:rsidR="004E4C03" w:rsidRPr="00CA631E" w:rsidRDefault="004E4C03" w:rsidP="00852E02">
          <w:pPr>
            <w:spacing w:line="360" w:lineRule="auto"/>
            <w:jc w:val="both"/>
            <w:rPr>
              <w:rFonts w:ascii="Arial" w:hAnsi="Arial" w:cs="Arial"/>
            </w:rPr>
          </w:pPr>
          <w:r w:rsidRPr="00CA631E">
            <w:rPr>
              <w:rFonts w:ascii="Arial" w:hAnsi="Arial" w:cs="Arial"/>
              <w:bCs/>
              <w:noProof/>
              <w:sz w:val="24"/>
              <w:szCs w:val="24"/>
            </w:rPr>
            <w:fldChar w:fldCharType="end"/>
          </w:r>
        </w:p>
      </w:sdtContent>
    </w:sdt>
    <w:p w14:paraId="1FB8C976" w14:textId="77777777" w:rsidR="000A79FF" w:rsidRPr="00CA631E" w:rsidRDefault="000A79FF">
      <w:pPr>
        <w:rPr>
          <w:rFonts w:ascii="Arial" w:eastAsiaTheme="majorEastAsia" w:hAnsi="Arial" w:cs="Arial"/>
          <w:b/>
          <w:sz w:val="24"/>
          <w:szCs w:val="24"/>
        </w:rPr>
      </w:pPr>
      <w:r w:rsidRPr="00CA631E">
        <w:rPr>
          <w:rFonts w:ascii="Arial" w:hAnsi="Arial" w:cs="Arial"/>
          <w:b/>
          <w:sz w:val="24"/>
          <w:szCs w:val="24"/>
        </w:rPr>
        <w:br w:type="page"/>
      </w:r>
    </w:p>
    <w:p w14:paraId="0F1576EE" w14:textId="77777777" w:rsidR="00E1716F" w:rsidRPr="00CA631E" w:rsidRDefault="000D50CB" w:rsidP="000A79FF">
      <w:pPr>
        <w:pStyle w:val="Heading1"/>
        <w:spacing w:line="360" w:lineRule="auto"/>
        <w:jc w:val="both"/>
        <w:rPr>
          <w:rFonts w:ascii="Arial" w:hAnsi="Arial" w:cs="Arial"/>
          <w:b/>
          <w:color w:val="auto"/>
          <w:sz w:val="24"/>
          <w:szCs w:val="24"/>
        </w:rPr>
      </w:pPr>
      <w:bookmarkStart w:id="2" w:name="_Toc236846827"/>
      <w:r w:rsidRPr="00CA631E">
        <w:rPr>
          <w:rFonts w:ascii="Arial" w:hAnsi="Arial" w:cs="Arial"/>
          <w:b/>
          <w:color w:val="auto"/>
          <w:sz w:val="24"/>
          <w:szCs w:val="24"/>
        </w:rPr>
        <w:lastRenderedPageBreak/>
        <w:t>1. Financial Health Check</w:t>
      </w:r>
      <w:bookmarkEnd w:id="0"/>
      <w:bookmarkEnd w:id="1"/>
      <w:bookmarkEnd w:id="2"/>
      <w:r w:rsidRPr="00CA631E">
        <w:rPr>
          <w:rFonts w:ascii="Arial" w:hAnsi="Arial" w:cs="Arial"/>
          <w:b/>
          <w:color w:val="auto"/>
          <w:sz w:val="24"/>
          <w:szCs w:val="24"/>
        </w:rPr>
        <w:t xml:space="preserve"> </w:t>
      </w:r>
    </w:p>
    <w:p w14:paraId="458051BE" w14:textId="77777777" w:rsidR="000D50CB" w:rsidRPr="00CA631E" w:rsidRDefault="00852E02" w:rsidP="000A79FF">
      <w:pPr>
        <w:pStyle w:val="Heading2"/>
        <w:spacing w:line="360" w:lineRule="auto"/>
        <w:jc w:val="both"/>
        <w:rPr>
          <w:rFonts w:ascii="Arial" w:hAnsi="Arial" w:cs="Arial"/>
          <w:b/>
          <w:color w:val="auto"/>
          <w:sz w:val="24"/>
          <w:szCs w:val="24"/>
        </w:rPr>
      </w:pPr>
      <w:bookmarkStart w:id="3" w:name="_Toc234747794"/>
      <w:bookmarkStart w:id="4" w:name="_Toc235038573"/>
      <w:bookmarkStart w:id="5" w:name="_Toc236846828"/>
      <w:r w:rsidRPr="00CA631E">
        <w:rPr>
          <w:rFonts w:ascii="Arial" w:hAnsi="Arial" w:cs="Arial"/>
          <w:b/>
          <w:color w:val="auto"/>
          <w:sz w:val="24"/>
          <w:szCs w:val="24"/>
        </w:rPr>
        <w:t xml:space="preserve">1.1 </w:t>
      </w:r>
      <w:r w:rsidR="000D50CB" w:rsidRPr="00CA631E">
        <w:rPr>
          <w:rFonts w:ascii="Arial" w:hAnsi="Arial" w:cs="Arial"/>
          <w:b/>
          <w:color w:val="auto"/>
          <w:sz w:val="24"/>
          <w:szCs w:val="24"/>
        </w:rPr>
        <w:t>Firm’s financial statements over the past five years</w:t>
      </w:r>
      <w:bookmarkEnd w:id="3"/>
      <w:bookmarkEnd w:id="4"/>
      <w:bookmarkEnd w:id="5"/>
    </w:p>
    <w:p w14:paraId="66CCB239" w14:textId="77777777" w:rsidR="00FE2B00" w:rsidRPr="00CA631E" w:rsidRDefault="00C858E9" w:rsidP="000A79FF">
      <w:pPr>
        <w:spacing w:line="360" w:lineRule="auto"/>
        <w:jc w:val="center"/>
        <w:rPr>
          <w:rFonts w:ascii="Arial" w:hAnsi="Arial" w:cs="Arial"/>
          <w:b/>
          <w:noProof/>
          <w:sz w:val="24"/>
          <w:szCs w:val="24"/>
          <w:lang w:val="en-IN" w:eastAsia="en-IN"/>
        </w:rPr>
      </w:pPr>
      <w:r w:rsidRPr="00CA631E">
        <w:rPr>
          <w:rFonts w:ascii="Arial" w:hAnsi="Arial" w:cs="Arial"/>
          <w:b/>
          <w:noProof/>
          <w:sz w:val="24"/>
          <w:szCs w:val="24"/>
          <w:lang w:val="en-IN" w:eastAsia="en-IN"/>
        </w:rPr>
        <w:drawing>
          <wp:inline distT="0" distB="0" distL="0" distR="0" wp14:anchorId="183E7B2C" wp14:editId="42726C46">
            <wp:extent cx="5731510" cy="18954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895475"/>
                    </a:xfrm>
                    <a:prstGeom prst="rect">
                      <a:avLst/>
                    </a:prstGeom>
                  </pic:spPr>
                </pic:pic>
              </a:graphicData>
            </a:graphic>
          </wp:inline>
        </w:drawing>
      </w:r>
      <w:r w:rsidRPr="00CA631E">
        <w:rPr>
          <w:rFonts w:ascii="Arial" w:hAnsi="Arial" w:cs="Arial"/>
          <w:b/>
          <w:noProof/>
          <w:sz w:val="24"/>
          <w:szCs w:val="24"/>
          <w:lang w:val="en-IN" w:eastAsia="en-IN"/>
        </w:rPr>
        <w:br/>
      </w:r>
      <w:r w:rsidR="005B343F" w:rsidRPr="00CA631E">
        <w:rPr>
          <w:rFonts w:ascii="Arial" w:hAnsi="Arial" w:cs="Arial"/>
          <w:b/>
          <w:noProof/>
          <w:sz w:val="24"/>
          <w:szCs w:val="24"/>
          <w:lang w:val="en-IN" w:eastAsia="en-IN"/>
        </w:rPr>
        <w:t>Table 1: Financial Statement</w:t>
      </w:r>
    </w:p>
    <w:p w14:paraId="55DE2A7E" w14:textId="77777777" w:rsidR="005B343F" w:rsidRPr="00CA631E" w:rsidRDefault="002A76F5" w:rsidP="000A79FF">
      <w:pPr>
        <w:spacing w:line="360" w:lineRule="auto"/>
        <w:jc w:val="center"/>
        <w:rPr>
          <w:rFonts w:ascii="Arial" w:hAnsi="Arial" w:cs="Arial"/>
          <w:sz w:val="24"/>
          <w:szCs w:val="24"/>
        </w:rPr>
      </w:pPr>
      <w:r w:rsidRPr="00CA631E">
        <w:rPr>
          <w:rFonts w:ascii="Arial" w:hAnsi="Arial" w:cs="Arial"/>
          <w:noProof/>
          <w:sz w:val="24"/>
          <w:szCs w:val="24"/>
          <w:lang w:val="en-IN" w:eastAsia="en-IN"/>
        </w:rPr>
        <w:drawing>
          <wp:inline distT="0" distB="0" distL="0" distR="0" wp14:anchorId="4D9F7272" wp14:editId="78F66CA8">
            <wp:extent cx="4724809" cy="34292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24809" cy="3429297"/>
                    </a:xfrm>
                    <a:prstGeom prst="rect">
                      <a:avLst/>
                    </a:prstGeom>
                  </pic:spPr>
                </pic:pic>
              </a:graphicData>
            </a:graphic>
          </wp:inline>
        </w:drawing>
      </w:r>
    </w:p>
    <w:p w14:paraId="4711124B" w14:textId="77777777" w:rsidR="005B343F" w:rsidRPr="00CA631E" w:rsidRDefault="005B343F" w:rsidP="000A79FF">
      <w:pPr>
        <w:spacing w:line="360" w:lineRule="auto"/>
        <w:jc w:val="center"/>
        <w:rPr>
          <w:rFonts w:ascii="Arial" w:hAnsi="Arial" w:cs="Arial"/>
          <w:b/>
          <w:noProof/>
          <w:sz w:val="24"/>
          <w:szCs w:val="24"/>
          <w:lang w:val="en-IN" w:eastAsia="en-IN"/>
        </w:rPr>
      </w:pPr>
      <w:r w:rsidRPr="00CA631E">
        <w:rPr>
          <w:rFonts w:ascii="Arial" w:hAnsi="Arial" w:cs="Arial"/>
          <w:b/>
          <w:sz w:val="24"/>
          <w:szCs w:val="24"/>
        </w:rPr>
        <w:t xml:space="preserve">Graph 1: </w:t>
      </w:r>
      <w:r w:rsidRPr="00CA631E">
        <w:rPr>
          <w:rFonts w:ascii="Arial" w:hAnsi="Arial" w:cs="Arial"/>
          <w:b/>
          <w:noProof/>
          <w:sz w:val="24"/>
          <w:szCs w:val="24"/>
          <w:lang w:val="en-IN" w:eastAsia="en-IN"/>
        </w:rPr>
        <w:t>Financial Statement</w:t>
      </w:r>
    </w:p>
    <w:p w14:paraId="74F79E03" w14:textId="77777777" w:rsidR="005B343F" w:rsidRPr="00CA631E" w:rsidRDefault="005B343F" w:rsidP="000A79FF">
      <w:pPr>
        <w:tabs>
          <w:tab w:val="left" w:pos="2652"/>
        </w:tabs>
        <w:spacing w:line="360" w:lineRule="auto"/>
        <w:jc w:val="center"/>
        <w:rPr>
          <w:rFonts w:ascii="Arial" w:hAnsi="Arial" w:cs="Arial"/>
          <w:sz w:val="24"/>
          <w:szCs w:val="24"/>
        </w:rPr>
      </w:pPr>
      <w:r w:rsidRPr="00CA631E">
        <w:rPr>
          <w:rFonts w:ascii="Arial" w:hAnsi="Arial" w:cs="Arial"/>
          <w:b/>
          <w:noProof/>
          <w:sz w:val="24"/>
          <w:szCs w:val="24"/>
          <w:lang w:val="en-IN" w:eastAsia="en-IN"/>
        </w:rPr>
        <w:t xml:space="preserve">Source: </w:t>
      </w:r>
      <w:r w:rsidRPr="00CA631E">
        <w:rPr>
          <w:rFonts w:ascii="Arial" w:hAnsi="Arial" w:cs="Arial"/>
          <w:noProof/>
          <w:sz w:val="24"/>
          <w:szCs w:val="24"/>
          <w:lang w:val="en-IN" w:eastAsia="en-IN"/>
        </w:rPr>
        <w:t>(MS-Excel)</w:t>
      </w:r>
    </w:p>
    <w:p w14:paraId="5A75BFF7" w14:textId="77777777" w:rsidR="0004573B" w:rsidRPr="00CA631E" w:rsidRDefault="002A76F5" w:rsidP="000A79FF">
      <w:pPr>
        <w:spacing w:line="360" w:lineRule="auto"/>
        <w:jc w:val="both"/>
        <w:rPr>
          <w:rFonts w:ascii="Arial" w:hAnsi="Arial" w:cs="Arial"/>
          <w:sz w:val="24"/>
          <w:szCs w:val="24"/>
        </w:rPr>
      </w:pPr>
      <w:r w:rsidRPr="00CA631E">
        <w:rPr>
          <w:rFonts w:ascii="Arial" w:hAnsi="Arial" w:cs="Arial"/>
          <w:sz w:val="24"/>
          <w:szCs w:val="24"/>
        </w:rPr>
        <w:t xml:space="preserve">It is evident that the financial results of Greene King have been mixed over the five years. Post-pandemic, the company's revenue has steadily grown from £1,341.6 million in 2021 to £2,539.0 million in 2025, highlighting a continuous resurgence in customer demand and strategic investments made since the pandemic. Profitability has been volatile, though: in 2024 the company suffered a pre-tax loss of £147.1 million, only to make a profit of £41.3 million in 2025, due to asset impairments, </w:t>
      </w:r>
      <w:r w:rsidRPr="00CA631E">
        <w:rPr>
          <w:rFonts w:ascii="Arial" w:hAnsi="Arial" w:cs="Arial"/>
          <w:sz w:val="24"/>
          <w:szCs w:val="24"/>
        </w:rPr>
        <w:lastRenderedPageBreak/>
        <w:t>inflationary pressures, and increased operating costs</w:t>
      </w:r>
      <w:r w:rsidR="00660B73" w:rsidRPr="00CA631E">
        <w:rPr>
          <w:rFonts w:ascii="Arial" w:hAnsi="Arial" w:cs="Arial"/>
          <w:sz w:val="24"/>
          <w:szCs w:val="24"/>
        </w:rPr>
        <w:t xml:space="preserve"> (Bank of England, 2025a)</w:t>
      </w:r>
      <w:r w:rsidRPr="00CA631E">
        <w:rPr>
          <w:rFonts w:ascii="Arial" w:hAnsi="Arial" w:cs="Arial"/>
          <w:sz w:val="24"/>
          <w:szCs w:val="24"/>
        </w:rPr>
        <w:t xml:space="preserve">. Expense trends also followed a positive pattern during the period as the company continued to expand its operations and make its investment decisions. </w:t>
      </w:r>
    </w:p>
    <w:p w14:paraId="72524FB4" w14:textId="77777777" w:rsidR="000D50CB" w:rsidRPr="00CA631E" w:rsidRDefault="00852E02" w:rsidP="000A79FF">
      <w:pPr>
        <w:pStyle w:val="Heading2"/>
        <w:spacing w:line="360" w:lineRule="auto"/>
        <w:jc w:val="both"/>
        <w:rPr>
          <w:rFonts w:ascii="Arial" w:hAnsi="Arial" w:cs="Arial"/>
          <w:b/>
          <w:color w:val="auto"/>
          <w:sz w:val="24"/>
          <w:szCs w:val="24"/>
        </w:rPr>
      </w:pPr>
      <w:bookmarkStart w:id="6" w:name="_Toc234747795"/>
      <w:bookmarkStart w:id="7" w:name="_Toc235038574"/>
      <w:bookmarkStart w:id="8" w:name="_Toc236846829"/>
      <w:r w:rsidRPr="00CA631E">
        <w:rPr>
          <w:rFonts w:ascii="Arial" w:hAnsi="Arial" w:cs="Arial"/>
          <w:b/>
          <w:color w:val="auto"/>
          <w:sz w:val="24"/>
          <w:szCs w:val="24"/>
        </w:rPr>
        <w:t xml:space="preserve">1.2 </w:t>
      </w:r>
      <w:r w:rsidR="000D50CB" w:rsidRPr="00CA631E">
        <w:rPr>
          <w:rFonts w:ascii="Arial" w:hAnsi="Arial" w:cs="Arial"/>
          <w:b/>
          <w:color w:val="auto"/>
          <w:sz w:val="24"/>
          <w:szCs w:val="24"/>
        </w:rPr>
        <w:t>Ratio analysis</w:t>
      </w:r>
      <w:bookmarkEnd w:id="6"/>
      <w:bookmarkEnd w:id="7"/>
      <w:bookmarkEnd w:id="8"/>
    </w:p>
    <w:p w14:paraId="5AC89896" w14:textId="77777777" w:rsidR="000D50CB" w:rsidRPr="00CA631E" w:rsidRDefault="000D50CB" w:rsidP="000A79FF">
      <w:pPr>
        <w:spacing w:line="360" w:lineRule="auto"/>
        <w:jc w:val="both"/>
        <w:rPr>
          <w:rFonts w:ascii="Arial" w:hAnsi="Arial" w:cs="Arial"/>
          <w:b/>
          <w:sz w:val="24"/>
          <w:szCs w:val="24"/>
        </w:rPr>
      </w:pPr>
      <w:r w:rsidRPr="00CA631E">
        <w:rPr>
          <w:rFonts w:ascii="Arial" w:hAnsi="Arial" w:cs="Arial"/>
          <w:b/>
          <w:sz w:val="24"/>
          <w:szCs w:val="24"/>
        </w:rPr>
        <w:t>Profitability</w:t>
      </w:r>
    </w:p>
    <w:p w14:paraId="5C92976B" w14:textId="77777777" w:rsidR="00C858E9" w:rsidRPr="00CA631E" w:rsidRDefault="00C858E9" w:rsidP="000A79FF">
      <w:pPr>
        <w:spacing w:line="360" w:lineRule="auto"/>
        <w:jc w:val="center"/>
        <w:rPr>
          <w:rFonts w:ascii="Arial" w:hAnsi="Arial" w:cs="Arial"/>
          <w:b/>
          <w:sz w:val="24"/>
          <w:szCs w:val="24"/>
        </w:rPr>
      </w:pPr>
      <w:r w:rsidRPr="00CA631E">
        <w:rPr>
          <w:rFonts w:ascii="Arial" w:hAnsi="Arial" w:cs="Arial"/>
          <w:b/>
          <w:noProof/>
          <w:sz w:val="24"/>
          <w:szCs w:val="24"/>
          <w:lang w:val="en-IN" w:eastAsia="en-IN"/>
        </w:rPr>
        <w:drawing>
          <wp:inline distT="0" distB="0" distL="0" distR="0" wp14:anchorId="449E5765" wp14:editId="759E495D">
            <wp:extent cx="5314950" cy="3466553"/>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17770" cy="3468392"/>
                    </a:xfrm>
                    <a:prstGeom prst="rect">
                      <a:avLst/>
                    </a:prstGeom>
                  </pic:spPr>
                </pic:pic>
              </a:graphicData>
            </a:graphic>
          </wp:inline>
        </w:drawing>
      </w:r>
    </w:p>
    <w:p w14:paraId="7EC7D768" w14:textId="77777777" w:rsidR="0004573B" w:rsidRPr="00CA631E" w:rsidRDefault="005B343F" w:rsidP="000A79FF">
      <w:pPr>
        <w:spacing w:line="360" w:lineRule="auto"/>
        <w:jc w:val="center"/>
        <w:rPr>
          <w:rFonts w:ascii="Arial" w:hAnsi="Arial" w:cs="Arial"/>
          <w:b/>
          <w:sz w:val="24"/>
          <w:szCs w:val="24"/>
        </w:rPr>
      </w:pPr>
      <w:r w:rsidRPr="00CA631E">
        <w:rPr>
          <w:rFonts w:ascii="Arial" w:hAnsi="Arial" w:cs="Arial"/>
          <w:b/>
          <w:sz w:val="24"/>
          <w:szCs w:val="24"/>
        </w:rPr>
        <w:t>Table 2: Profitability Ratio</w:t>
      </w:r>
    </w:p>
    <w:p w14:paraId="539FB46E" w14:textId="202B6A78" w:rsidR="005B343F" w:rsidRPr="00CA631E" w:rsidRDefault="00312B59" w:rsidP="000A79FF">
      <w:pPr>
        <w:spacing w:line="360" w:lineRule="auto"/>
        <w:jc w:val="center"/>
        <w:rPr>
          <w:rFonts w:ascii="Arial" w:hAnsi="Arial" w:cs="Arial"/>
          <w:sz w:val="24"/>
          <w:szCs w:val="24"/>
        </w:rPr>
      </w:pPr>
      <w:r>
        <w:rPr>
          <w:rFonts w:ascii="Arial" w:hAnsi="Arial" w:cs="Arial"/>
          <w:noProof/>
          <w:sz w:val="24"/>
          <w:szCs w:val="24"/>
        </w:rPr>
        <w:drawing>
          <wp:inline distT="0" distB="0" distL="0" distR="0" wp14:anchorId="45CDA36A" wp14:editId="37698C2C">
            <wp:extent cx="4029075" cy="2417109"/>
            <wp:effectExtent l="0" t="0" r="0" b="2540"/>
            <wp:docPr id="453291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37822" cy="2422357"/>
                    </a:xfrm>
                    <a:prstGeom prst="rect">
                      <a:avLst/>
                    </a:prstGeom>
                    <a:noFill/>
                  </pic:spPr>
                </pic:pic>
              </a:graphicData>
            </a:graphic>
          </wp:inline>
        </w:drawing>
      </w:r>
    </w:p>
    <w:p w14:paraId="30D9BF59" w14:textId="77777777" w:rsidR="005B343F" w:rsidRPr="00CA631E" w:rsidRDefault="005B343F" w:rsidP="000A79FF">
      <w:pPr>
        <w:spacing w:line="360" w:lineRule="auto"/>
        <w:jc w:val="center"/>
        <w:rPr>
          <w:rFonts w:ascii="Arial" w:hAnsi="Arial" w:cs="Arial"/>
          <w:b/>
          <w:sz w:val="24"/>
          <w:szCs w:val="24"/>
        </w:rPr>
      </w:pPr>
      <w:r w:rsidRPr="00CA631E">
        <w:rPr>
          <w:rFonts w:ascii="Arial" w:hAnsi="Arial" w:cs="Arial"/>
          <w:b/>
          <w:sz w:val="24"/>
          <w:szCs w:val="24"/>
        </w:rPr>
        <w:t>Graph 2: Profitability Ratio</w:t>
      </w:r>
    </w:p>
    <w:p w14:paraId="2C8E7593" w14:textId="77777777" w:rsidR="005B343F" w:rsidRPr="00CA631E" w:rsidRDefault="005B343F" w:rsidP="000A79FF">
      <w:pPr>
        <w:spacing w:line="360" w:lineRule="auto"/>
        <w:jc w:val="center"/>
        <w:rPr>
          <w:rFonts w:ascii="Arial" w:hAnsi="Arial" w:cs="Arial"/>
          <w:sz w:val="24"/>
          <w:szCs w:val="24"/>
        </w:rPr>
      </w:pPr>
      <w:r w:rsidRPr="00CA631E">
        <w:rPr>
          <w:rFonts w:ascii="Arial" w:hAnsi="Arial" w:cs="Arial"/>
          <w:b/>
          <w:sz w:val="24"/>
          <w:szCs w:val="24"/>
        </w:rPr>
        <w:t>Source:</w:t>
      </w:r>
      <w:r w:rsidRPr="00CA631E">
        <w:rPr>
          <w:rFonts w:ascii="Arial" w:hAnsi="Arial" w:cs="Arial"/>
          <w:sz w:val="24"/>
          <w:szCs w:val="24"/>
        </w:rPr>
        <w:t xml:space="preserve"> (</w:t>
      </w:r>
      <w:r w:rsidR="001524FC" w:rsidRPr="00CA631E">
        <w:rPr>
          <w:rFonts w:ascii="Arial" w:hAnsi="Arial" w:cs="Arial"/>
          <w:sz w:val="24"/>
          <w:szCs w:val="24"/>
        </w:rPr>
        <w:t>MS-Excel</w:t>
      </w:r>
      <w:r w:rsidRPr="00CA631E">
        <w:rPr>
          <w:rFonts w:ascii="Arial" w:hAnsi="Arial" w:cs="Arial"/>
          <w:sz w:val="24"/>
          <w:szCs w:val="24"/>
        </w:rPr>
        <w:t>)</w:t>
      </w:r>
    </w:p>
    <w:p w14:paraId="704163BD" w14:textId="77777777" w:rsidR="00E01071" w:rsidRPr="00CA631E" w:rsidRDefault="002A76F5" w:rsidP="000A79FF">
      <w:pPr>
        <w:spacing w:line="360" w:lineRule="auto"/>
        <w:jc w:val="both"/>
        <w:rPr>
          <w:rFonts w:ascii="Arial" w:hAnsi="Arial" w:cs="Arial"/>
          <w:sz w:val="24"/>
          <w:szCs w:val="24"/>
        </w:rPr>
      </w:pPr>
      <w:r w:rsidRPr="00CA631E">
        <w:rPr>
          <w:rFonts w:ascii="Arial" w:hAnsi="Arial" w:cs="Arial"/>
          <w:sz w:val="24"/>
          <w:szCs w:val="24"/>
        </w:rPr>
        <w:lastRenderedPageBreak/>
        <w:t>Profitability ratios show that the profitability of Greene King has varied over the five years period. Trading has since recovered, with net profit margin turning 4.52% after dropping 5.25% in 2021, although this took a turn for the worse in 2023 when net profit margin dipped to 1.90% before worsening to 6.00% in 2024 after impairment charges and operating costs increased, improving only marginally to 1.63% in 2025. A similar trend is observed in ROCE, which increased from 1.71% in 2021 to 6.34% in 2022, weakened in 2023 and turned negative (-0.43%) in 2024 before improving to 5.74% in 2025</w:t>
      </w:r>
      <w:r w:rsidR="00660B73" w:rsidRPr="00CA631E">
        <w:rPr>
          <w:rFonts w:ascii="Arial" w:hAnsi="Arial" w:cs="Arial"/>
          <w:sz w:val="24"/>
          <w:szCs w:val="24"/>
        </w:rPr>
        <w:t xml:space="preserve"> (Bank of England, 2025b)</w:t>
      </w:r>
      <w:r w:rsidRPr="00CA631E">
        <w:rPr>
          <w:rFonts w:ascii="Arial" w:hAnsi="Arial" w:cs="Arial"/>
          <w:sz w:val="24"/>
          <w:szCs w:val="24"/>
        </w:rPr>
        <w:t xml:space="preserve">. </w:t>
      </w:r>
    </w:p>
    <w:p w14:paraId="179C339D" w14:textId="77777777" w:rsidR="000D50CB" w:rsidRPr="00CA631E" w:rsidRDefault="000D50CB" w:rsidP="000A79FF">
      <w:pPr>
        <w:spacing w:line="360" w:lineRule="auto"/>
        <w:jc w:val="both"/>
        <w:rPr>
          <w:rFonts w:ascii="Arial" w:hAnsi="Arial" w:cs="Arial"/>
          <w:b/>
          <w:sz w:val="24"/>
          <w:szCs w:val="24"/>
        </w:rPr>
      </w:pPr>
      <w:r w:rsidRPr="00CA631E">
        <w:rPr>
          <w:rFonts w:ascii="Arial" w:hAnsi="Arial" w:cs="Arial"/>
          <w:b/>
          <w:sz w:val="24"/>
          <w:szCs w:val="24"/>
        </w:rPr>
        <w:t>Liquidity</w:t>
      </w:r>
    </w:p>
    <w:p w14:paraId="5E74BB84" w14:textId="77777777" w:rsidR="00C858E9" w:rsidRPr="00CA631E" w:rsidRDefault="00C858E9" w:rsidP="000A79FF">
      <w:pPr>
        <w:spacing w:line="360" w:lineRule="auto"/>
        <w:jc w:val="center"/>
        <w:rPr>
          <w:rFonts w:ascii="Arial" w:hAnsi="Arial" w:cs="Arial"/>
          <w:b/>
          <w:noProof/>
          <w:sz w:val="24"/>
          <w:szCs w:val="24"/>
          <w:lang w:val="en-IN" w:eastAsia="en-IN"/>
        </w:rPr>
      </w:pPr>
      <w:r w:rsidRPr="00CA631E">
        <w:rPr>
          <w:rFonts w:ascii="Arial" w:hAnsi="Arial" w:cs="Arial"/>
          <w:b/>
          <w:noProof/>
          <w:sz w:val="24"/>
          <w:szCs w:val="24"/>
          <w:lang w:val="en-IN" w:eastAsia="en-IN"/>
        </w:rPr>
        <w:drawing>
          <wp:inline distT="0" distB="0" distL="0" distR="0" wp14:anchorId="1B6D7197" wp14:editId="446A95A7">
            <wp:extent cx="5731510" cy="215900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159000"/>
                    </a:xfrm>
                    <a:prstGeom prst="rect">
                      <a:avLst/>
                    </a:prstGeom>
                  </pic:spPr>
                </pic:pic>
              </a:graphicData>
            </a:graphic>
          </wp:inline>
        </w:drawing>
      </w:r>
    </w:p>
    <w:p w14:paraId="3F4A9A9C" w14:textId="77777777" w:rsidR="0004573B" w:rsidRPr="00CA631E" w:rsidRDefault="005B343F" w:rsidP="000A79FF">
      <w:pPr>
        <w:spacing w:line="360" w:lineRule="auto"/>
        <w:jc w:val="center"/>
        <w:rPr>
          <w:rFonts w:ascii="Arial" w:hAnsi="Arial" w:cs="Arial"/>
          <w:b/>
          <w:noProof/>
          <w:sz w:val="24"/>
          <w:szCs w:val="24"/>
          <w:lang w:val="en-IN" w:eastAsia="en-IN"/>
        </w:rPr>
      </w:pPr>
      <w:r w:rsidRPr="00CA631E">
        <w:rPr>
          <w:rFonts w:ascii="Arial" w:hAnsi="Arial" w:cs="Arial"/>
          <w:b/>
          <w:noProof/>
          <w:sz w:val="24"/>
          <w:szCs w:val="24"/>
          <w:lang w:val="en-IN" w:eastAsia="en-IN"/>
        </w:rPr>
        <w:t>Table 3: Liquidity Ratio</w:t>
      </w:r>
    </w:p>
    <w:p w14:paraId="2C1A1C7A" w14:textId="729626C0" w:rsidR="005B343F" w:rsidRPr="00CA631E" w:rsidRDefault="00312B59" w:rsidP="000A79FF">
      <w:pPr>
        <w:spacing w:line="360" w:lineRule="auto"/>
        <w:jc w:val="center"/>
        <w:rPr>
          <w:rFonts w:ascii="Arial" w:hAnsi="Arial" w:cs="Arial"/>
          <w:sz w:val="24"/>
          <w:szCs w:val="24"/>
        </w:rPr>
      </w:pPr>
      <w:r>
        <w:rPr>
          <w:rFonts w:ascii="Arial" w:hAnsi="Arial" w:cs="Arial"/>
          <w:noProof/>
          <w:sz w:val="24"/>
          <w:szCs w:val="24"/>
        </w:rPr>
        <w:drawing>
          <wp:inline distT="0" distB="0" distL="0" distR="0" wp14:anchorId="63584FD7" wp14:editId="2EF470BF">
            <wp:extent cx="4584700" cy="2755900"/>
            <wp:effectExtent l="0" t="0" r="6350" b="6350"/>
            <wp:docPr id="3327338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0C34AF1" w14:textId="77777777" w:rsidR="005B343F" w:rsidRPr="00CA631E" w:rsidRDefault="005B343F" w:rsidP="000A79FF">
      <w:pPr>
        <w:spacing w:line="360" w:lineRule="auto"/>
        <w:jc w:val="center"/>
        <w:rPr>
          <w:rFonts w:ascii="Arial" w:hAnsi="Arial" w:cs="Arial"/>
          <w:b/>
          <w:sz w:val="24"/>
          <w:szCs w:val="24"/>
        </w:rPr>
      </w:pPr>
      <w:r w:rsidRPr="00CA631E">
        <w:rPr>
          <w:rFonts w:ascii="Arial" w:hAnsi="Arial" w:cs="Arial"/>
          <w:b/>
          <w:sz w:val="24"/>
          <w:szCs w:val="24"/>
        </w:rPr>
        <w:t>Graph 3: Liquidity Ratio</w:t>
      </w:r>
    </w:p>
    <w:p w14:paraId="5F1EB220" w14:textId="77777777" w:rsidR="005B343F" w:rsidRPr="00CA631E" w:rsidRDefault="005B343F" w:rsidP="000A79FF">
      <w:pPr>
        <w:spacing w:line="360" w:lineRule="auto"/>
        <w:jc w:val="center"/>
        <w:rPr>
          <w:rFonts w:ascii="Arial" w:hAnsi="Arial" w:cs="Arial"/>
          <w:sz w:val="24"/>
          <w:szCs w:val="24"/>
        </w:rPr>
      </w:pPr>
      <w:r w:rsidRPr="00CA631E">
        <w:rPr>
          <w:rFonts w:ascii="Arial" w:hAnsi="Arial" w:cs="Arial"/>
          <w:b/>
          <w:sz w:val="24"/>
          <w:szCs w:val="24"/>
        </w:rPr>
        <w:t>Source:</w:t>
      </w:r>
      <w:r w:rsidRPr="00CA631E">
        <w:rPr>
          <w:rFonts w:ascii="Arial" w:hAnsi="Arial" w:cs="Arial"/>
          <w:sz w:val="24"/>
          <w:szCs w:val="24"/>
        </w:rPr>
        <w:t xml:space="preserve"> (MS-Excel)</w:t>
      </w:r>
    </w:p>
    <w:p w14:paraId="37A466C5" w14:textId="77777777" w:rsidR="00E01071" w:rsidRPr="00CA631E" w:rsidRDefault="002A76F5" w:rsidP="000A79FF">
      <w:pPr>
        <w:spacing w:line="360" w:lineRule="auto"/>
        <w:jc w:val="both"/>
        <w:rPr>
          <w:rFonts w:ascii="Arial" w:hAnsi="Arial" w:cs="Arial"/>
          <w:sz w:val="24"/>
          <w:szCs w:val="24"/>
        </w:rPr>
      </w:pPr>
      <w:r w:rsidRPr="00CA631E">
        <w:rPr>
          <w:rFonts w:ascii="Arial" w:hAnsi="Arial" w:cs="Arial"/>
          <w:sz w:val="24"/>
          <w:szCs w:val="24"/>
        </w:rPr>
        <w:lastRenderedPageBreak/>
        <w:t>The liquidity ratios show that the liquidity of Greene King was relatively low during the five-year period, both the current ratio and quick ratio were lower than the conventional benchmark (1.0). The current ratio worsened marginally from 0.41 in 2021 to 0.68 in 2025, as did the quick ratio which dropped from 0.29 to 0.52, indicating an improvement in the company's liquidity position due to increased current asset</w:t>
      </w:r>
      <w:r w:rsidR="00032E05" w:rsidRPr="00CA631E">
        <w:rPr>
          <w:rFonts w:ascii="Arial" w:hAnsi="Arial" w:cs="Arial"/>
          <w:sz w:val="24"/>
          <w:szCs w:val="24"/>
        </w:rPr>
        <w:t>s and better cash generation</w:t>
      </w:r>
      <w:r w:rsidR="00660B73" w:rsidRPr="00CA631E">
        <w:rPr>
          <w:rFonts w:ascii="Arial" w:hAnsi="Arial" w:cs="Arial"/>
          <w:sz w:val="24"/>
          <w:szCs w:val="24"/>
        </w:rPr>
        <w:t xml:space="preserve"> (Bank of England, 2026a)</w:t>
      </w:r>
      <w:r w:rsidR="00032E05" w:rsidRPr="00CA631E">
        <w:rPr>
          <w:rFonts w:ascii="Arial" w:hAnsi="Arial" w:cs="Arial"/>
          <w:sz w:val="24"/>
          <w:szCs w:val="24"/>
        </w:rPr>
        <w:t xml:space="preserve">. </w:t>
      </w:r>
    </w:p>
    <w:p w14:paraId="39075D26" w14:textId="77777777" w:rsidR="000D50CB" w:rsidRPr="00CA631E" w:rsidRDefault="000D50CB" w:rsidP="000A79FF">
      <w:pPr>
        <w:spacing w:line="360" w:lineRule="auto"/>
        <w:jc w:val="both"/>
        <w:rPr>
          <w:rFonts w:ascii="Arial" w:hAnsi="Arial" w:cs="Arial"/>
          <w:b/>
          <w:sz w:val="24"/>
          <w:szCs w:val="24"/>
        </w:rPr>
      </w:pPr>
      <w:r w:rsidRPr="00CA631E">
        <w:rPr>
          <w:rFonts w:ascii="Arial" w:hAnsi="Arial" w:cs="Arial"/>
          <w:b/>
          <w:sz w:val="24"/>
          <w:szCs w:val="24"/>
        </w:rPr>
        <w:t>Efficiency</w:t>
      </w:r>
    </w:p>
    <w:p w14:paraId="6A8D3C84" w14:textId="77777777" w:rsidR="00C858E9" w:rsidRPr="00CA631E" w:rsidRDefault="00C858E9" w:rsidP="000A79FF">
      <w:pPr>
        <w:spacing w:line="360" w:lineRule="auto"/>
        <w:jc w:val="center"/>
        <w:rPr>
          <w:rFonts w:ascii="Arial" w:hAnsi="Arial" w:cs="Arial"/>
          <w:b/>
          <w:noProof/>
          <w:sz w:val="24"/>
          <w:szCs w:val="24"/>
          <w:lang w:val="en-IN" w:eastAsia="en-IN"/>
        </w:rPr>
      </w:pPr>
      <w:r w:rsidRPr="00CA631E">
        <w:rPr>
          <w:rFonts w:ascii="Arial" w:hAnsi="Arial" w:cs="Arial"/>
          <w:b/>
          <w:noProof/>
          <w:sz w:val="24"/>
          <w:szCs w:val="24"/>
          <w:lang w:val="en-IN" w:eastAsia="en-IN"/>
        </w:rPr>
        <w:drawing>
          <wp:inline distT="0" distB="0" distL="0" distR="0" wp14:anchorId="1436EC58" wp14:editId="7518B981">
            <wp:extent cx="4305086" cy="6162675"/>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09289" cy="6168692"/>
                    </a:xfrm>
                    <a:prstGeom prst="rect">
                      <a:avLst/>
                    </a:prstGeom>
                  </pic:spPr>
                </pic:pic>
              </a:graphicData>
            </a:graphic>
          </wp:inline>
        </w:drawing>
      </w:r>
    </w:p>
    <w:p w14:paraId="47577942" w14:textId="77777777" w:rsidR="0004573B" w:rsidRPr="00CA631E" w:rsidRDefault="005B343F" w:rsidP="000A79FF">
      <w:pPr>
        <w:spacing w:line="360" w:lineRule="auto"/>
        <w:jc w:val="center"/>
        <w:rPr>
          <w:rFonts w:ascii="Arial" w:hAnsi="Arial" w:cs="Arial"/>
          <w:b/>
          <w:noProof/>
          <w:sz w:val="24"/>
          <w:szCs w:val="24"/>
          <w:lang w:val="en-IN" w:eastAsia="en-IN"/>
        </w:rPr>
      </w:pPr>
      <w:r w:rsidRPr="00CA631E">
        <w:rPr>
          <w:rFonts w:ascii="Arial" w:hAnsi="Arial" w:cs="Arial"/>
          <w:b/>
          <w:noProof/>
          <w:sz w:val="24"/>
          <w:szCs w:val="24"/>
          <w:lang w:val="en-IN" w:eastAsia="en-IN"/>
        </w:rPr>
        <w:t>Table 4: Efficiency Ratio</w:t>
      </w:r>
    </w:p>
    <w:p w14:paraId="01D3A2A3" w14:textId="1568C668" w:rsidR="005B343F" w:rsidRPr="00CA631E" w:rsidRDefault="00312B59" w:rsidP="000A79FF">
      <w:pPr>
        <w:spacing w:line="360" w:lineRule="auto"/>
        <w:jc w:val="center"/>
        <w:rPr>
          <w:rFonts w:ascii="Arial" w:hAnsi="Arial" w:cs="Arial"/>
          <w:b/>
          <w:sz w:val="24"/>
          <w:szCs w:val="24"/>
        </w:rPr>
      </w:pPr>
      <w:r>
        <w:rPr>
          <w:rFonts w:ascii="Arial" w:hAnsi="Arial" w:cs="Arial"/>
          <w:b/>
          <w:noProof/>
          <w:sz w:val="24"/>
          <w:szCs w:val="24"/>
        </w:rPr>
        <w:lastRenderedPageBreak/>
        <w:drawing>
          <wp:inline distT="0" distB="0" distL="0" distR="0" wp14:anchorId="0567C266" wp14:editId="43BBC45C">
            <wp:extent cx="4584700" cy="2755900"/>
            <wp:effectExtent l="0" t="0" r="6350" b="6350"/>
            <wp:docPr id="20791234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F12E989" w14:textId="77777777" w:rsidR="005B343F" w:rsidRPr="00CA631E" w:rsidRDefault="005B343F" w:rsidP="000A79FF">
      <w:pPr>
        <w:spacing w:line="360" w:lineRule="auto"/>
        <w:jc w:val="center"/>
        <w:rPr>
          <w:rFonts w:ascii="Arial" w:hAnsi="Arial" w:cs="Arial"/>
          <w:b/>
          <w:sz w:val="24"/>
          <w:szCs w:val="24"/>
        </w:rPr>
      </w:pPr>
      <w:r w:rsidRPr="00CA631E">
        <w:rPr>
          <w:rFonts w:ascii="Arial" w:hAnsi="Arial" w:cs="Arial"/>
          <w:b/>
          <w:sz w:val="24"/>
          <w:szCs w:val="24"/>
        </w:rPr>
        <w:t>Graph 4: Efficiency Ratio</w:t>
      </w:r>
    </w:p>
    <w:p w14:paraId="0395E798" w14:textId="77777777" w:rsidR="005B343F" w:rsidRPr="00CA631E" w:rsidRDefault="005B343F" w:rsidP="000A79FF">
      <w:pPr>
        <w:spacing w:line="360" w:lineRule="auto"/>
        <w:jc w:val="center"/>
        <w:rPr>
          <w:rFonts w:ascii="Arial" w:hAnsi="Arial" w:cs="Arial"/>
          <w:b/>
          <w:sz w:val="24"/>
          <w:szCs w:val="24"/>
        </w:rPr>
      </w:pPr>
      <w:r w:rsidRPr="00CA631E">
        <w:rPr>
          <w:rFonts w:ascii="Arial" w:hAnsi="Arial" w:cs="Arial"/>
          <w:b/>
          <w:sz w:val="24"/>
          <w:szCs w:val="24"/>
        </w:rPr>
        <w:t>Source:</w:t>
      </w:r>
      <w:r w:rsidRPr="00CA631E">
        <w:rPr>
          <w:rFonts w:ascii="Arial" w:hAnsi="Arial" w:cs="Arial"/>
          <w:sz w:val="24"/>
          <w:szCs w:val="24"/>
        </w:rPr>
        <w:t xml:space="preserve"> (</w:t>
      </w:r>
      <w:r w:rsidR="001524FC" w:rsidRPr="00CA631E">
        <w:rPr>
          <w:rFonts w:ascii="Arial" w:hAnsi="Arial" w:cs="Arial"/>
          <w:sz w:val="24"/>
          <w:szCs w:val="24"/>
        </w:rPr>
        <w:t>MS-Excel</w:t>
      </w:r>
      <w:r w:rsidRPr="00CA631E">
        <w:rPr>
          <w:rFonts w:ascii="Arial" w:hAnsi="Arial" w:cs="Arial"/>
          <w:sz w:val="24"/>
          <w:szCs w:val="24"/>
        </w:rPr>
        <w:t>)</w:t>
      </w:r>
    </w:p>
    <w:p w14:paraId="28E26CE4" w14:textId="77777777" w:rsidR="008E25B5" w:rsidRPr="00CA631E" w:rsidRDefault="0024419D" w:rsidP="000A79FF">
      <w:pPr>
        <w:spacing w:line="360" w:lineRule="auto"/>
        <w:jc w:val="both"/>
        <w:rPr>
          <w:rFonts w:ascii="Arial" w:hAnsi="Arial" w:cs="Arial"/>
          <w:sz w:val="24"/>
          <w:szCs w:val="24"/>
        </w:rPr>
      </w:pPr>
      <w:r w:rsidRPr="00CA631E">
        <w:rPr>
          <w:rFonts w:ascii="Arial" w:hAnsi="Arial" w:cs="Arial"/>
          <w:sz w:val="24"/>
          <w:szCs w:val="24"/>
        </w:rPr>
        <w:t>Overall, the use of working capital appears to have been efficient over the five years as indicated by the efficiency ratios. The inventory turnover was 15-20 days and receivables turnover was 7-11 days, showing quick cash collection</w:t>
      </w:r>
      <w:r w:rsidR="00660B73" w:rsidRPr="00CA631E">
        <w:rPr>
          <w:rFonts w:ascii="Arial" w:hAnsi="Arial" w:cs="Arial"/>
          <w:sz w:val="24"/>
          <w:szCs w:val="24"/>
        </w:rPr>
        <w:t xml:space="preserve"> (Bank of England, 2026b)</w:t>
      </w:r>
      <w:r w:rsidRPr="00CA631E">
        <w:rPr>
          <w:rFonts w:ascii="Arial" w:hAnsi="Arial" w:cs="Arial"/>
          <w:sz w:val="24"/>
          <w:szCs w:val="24"/>
        </w:rPr>
        <w:t>. Payables turnover days decreased as a whole, but the company kept its payment policy well balanced to ensure liquidity and efficiency in its operations amid difficult market conditions</w:t>
      </w:r>
      <w:r w:rsidR="000A79FF" w:rsidRPr="00CA631E">
        <w:rPr>
          <w:rFonts w:ascii="Arial" w:hAnsi="Arial" w:cs="Arial"/>
          <w:sz w:val="24"/>
          <w:szCs w:val="24"/>
        </w:rPr>
        <w:t xml:space="preserve"> (United Nations, 2026)</w:t>
      </w:r>
      <w:r w:rsidRPr="00CA631E">
        <w:rPr>
          <w:rFonts w:ascii="Arial" w:hAnsi="Arial" w:cs="Arial"/>
          <w:sz w:val="24"/>
          <w:szCs w:val="24"/>
        </w:rPr>
        <w:t>.</w:t>
      </w:r>
    </w:p>
    <w:p w14:paraId="117822EC" w14:textId="77777777" w:rsidR="000D50CB" w:rsidRPr="00CA631E" w:rsidRDefault="000D50CB" w:rsidP="000A79FF">
      <w:pPr>
        <w:spacing w:line="360" w:lineRule="auto"/>
        <w:jc w:val="both"/>
        <w:rPr>
          <w:rFonts w:ascii="Arial" w:hAnsi="Arial" w:cs="Arial"/>
          <w:b/>
          <w:sz w:val="24"/>
          <w:szCs w:val="24"/>
        </w:rPr>
      </w:pPr>
      <w:r w:rsidRPr="00CA631E">
        <w:rPr>
          <w:rFonts w:ascii="Arial" w:hAnsi="Arial" w:cs="Arial"/>
          <w:b/>
          <w:sz w:val="24"/>
          <w:szCs w:val="24"/>
        </w:rPr>
        <w:t>Gearing</w:t>
      </w:r>
    </w:p>
    <w:p w14:paraId="48E08523" w14:textId="77777777" w:rsidR="00C858E9" w:rsidRPr="00CA631E" w:rsidRDefault="00C858E9" w:rsidP="000A79FF">
      <w:pPr>
        <w:spacing w:line="360" w:lineRule="auto"/>
        <w:jc w:val="center"/>
        <w:rPr>
          <w:rFonts w:ascii="Arial" w:hAnsi="Arial" w:cs="Arial"/>
          <w:b/>
          <w:noProof/>
          <w:sz w:val="24"/>
          <w:szCs w:val="24"/>
          <w:lang w:val="en-IN" w:eastAsia="en-IN"/>
        </w:rPr>
      </w:pPr>
      <w:r w:rsidRPr="00CA631E">
        <w:rPr>
          <w:rFonts w:ascii="Arial" w:hAnsi="Arial" w:cs="Arial"/>
          <w:b/>
          <w:noProof/>
          <w:sz w:val="24"/>
          <w:szCs w:val="24"/>
          <w:lang w:val="en-IN" w:eastAsia="en-IN"/>
        </w:rPr>
        <w:drawing>
          <wp:inline distT="0" distB="0" distL="0" distR="0" wp14:anchorId="0FFBED90" wp14:editId="3F97A687">
            <wp:extent cx="5219700" cy="270584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21436" cy="2706747"/>
                    </a:xfrm>
                    <a:prstGeom prst="rect">
                      <a:avLst/>
                    </a:prstGeom>
                  </pic:spPr>
                </pic:pic>
              </a:graphicData>
            </a:graphic>
          </wp:inline>
        </w:drawing>
      </w:r>
    </w:p>
    <w:p w14:paraId="68605B8A" w14:textId="77777777" w:rsidR="005B343F" w:rsidRPr="00CA631E" w:rsidRDefault="005B343F" w:rsidP="000A79FF">
      <w:pPr>
        <w:spacing w:line="360" w:lineRule="auto"/>
        <w:jc w:val="center"/>
        <w:rPr>
          <w:rFonts w:ascii="Arial" w:hAnsi="Arial" w:cs="Arial"/>
          <w:b/>
          <w:noProof/>
          <w:sz w:val="24"/>
          <w:szCs w:val="24"/>
          <w:lang w:val="en-IN" w:eastAsia="en-IN"/>
        </w:rPr>
      </w:pPr>
      <w:r w:rsidRPr="00CA631E">
        <w:rPr>
          <w:rFonts w:ascii="Arial" w:hAnsi="Arial" w:cs="Arial"/>
          <w:b/>
          <w:noProof/>
          <w:sz w:val="24"/>
          <w:szCs w:val="24"/>
          <w:lang w:val="en-IN" w:eastAsia="en-IN"/>
        </w:rPr>
        <w:t>Table 5: Gearing Ratio</w:t>
      </w:r>
    </w:p>
    <w:p w14:paraId="53A4B671" w14:textId="513F183B" w:rsidR="005B343F" w:rsidRPr="00CA631E" w:rsidRDefault="00312B59" w:rsidP="000A79FF">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07A9DCC2" wp14:editId="03A0F762">
            <wp:extent cx="4584700" cy="2755900"/>
            <wp:effectExtent l="0" t="0" r="6350" b="6350"/>
            <wp:docPr id="20080759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0F7E9CF" w14:textId="77777777" w:rsidR="005B343F" w:rsidRPr="00CA631E" w:rsidRDefault="005B343F" w:rsidP="000A79FF">
      <w:pPr>
        <w:spacing w:line="360" w:lineRule="auto"/>
        <w:jc w:val="center"/>
        <w:rPr>
          <w:rFonts w:ascii="Arial" w:hAnsi="Arial" w:cs="Arial"/>
          <w:b/>
          <w:sz w:val="24"/>
          <w:szCs w:val="24"/>
        </w:rPr>
      </w:pPr>
      <w:r w:rsidRPr="00CA631E">
        <w:rPr>
          <w:rFonts w:ascii="Arial" w:hAnsi="Arial" w:cs="Arial"/>
          <w:b/>
          <w:sz w:val="24"/>
          <w:szCs w:val="24"/>
        </w:rPr>
        <w:t>Graph 5: Gearing Ratio</w:t>
      </w:r>
    </w:p>
    <w:p w14:paraId="71D1A574" w14:textId="77777777" w:rsidR="005B343F" w:rsidRPr="00CA631E" w:rsidRDefault="005B343F" w:rsidP="000A79FF">
      <w:pPr>
        <w:spacing w:line="360" w:lineRule="auto"/>
        <w:jc w:val="center"/>
        <w:rPr>
          <w:rFonts w:ascii="Arial" w:hAnsi="Arial" w:cs="Arial"/>
          <w:sz w:val="24"/>
          <w:szCs w:val="24"/>
        </w:rPr>
      </w:pPr>
      <w:r w:rsidRPr="00CA631E">
        <w:rPr>
          <w:rFonts w:ascii="Arial" w:hAnsi="Arial" w:cs="Arial"/>
          <w:b/>
          <w:sz w:val="24"/>
          <w:szCs w:val="24"/>
        </w:rPr>
        <w:t>Source:</w:t>
      </w:r>
      <w:r w:rsidRPr="00CA631E">
        <w:rPr>
          <w:rFonts w:ascii="Arial" w:hAnsi="Arial" w:cs="Arial"/>
          <w:sz w:val="24"/>
          <w:szCs w:val="24"/>
        </w:rPr>
        <w:t xml:space="preserve"> (MS-Excel)</w:t>
      </w:r>
    </w:p>
    <w:p w14:paraId="12C54BB4" w14:textId="77777777" w:rsidR="0004573B" w:rsidRPr="00CA631E" w:rsidRDefault="00A36F68" w:rsidP="000A79FF">
      <w:pPr>
        <w:spacing w:line="360" w:lineRule="auto"/>
        <w:jc w:val="both"/>
        <w:rPr>
          <w:rFonts w:ascii="Arial" w:hAnsi="Arial" w:cs="Arial"/>
          <w:sz w:val="24"/>
          <w:szCs w:val="24"/>
        </w:rPr>
      </w:pPr>
      <w:r w:rsidRPr="00CA631E">
        <w:rPr>
          <w:rFonts w:ascii="Arial" w:hAnsi="Arial" w:cs="Arial"/>
          <w:sz w:val="24"/>
          <w:szCs w:val="24"/>
        </w:rPr>
        <w:t>The gearing ratios show that Greene King was highly geared over the 5-year period with ratios above the 4.5 mark, which means that they were highly dependent on debt funding. The interest coverage ratio was strengthened in 2022 and 2025, but weakened in 2024 due to the statutory operating loss. In summary, the company had a high debt level, which was slowly balanced by its improving debt serviceability as a result of operating performance</w:t>
      </w:r>
      <w:r w:rsidR="00660B73" w:rsidRPr="00CA631E">
        <w:rPr>
          <w:rFonts w:ascii="Arial" w:hAnsi="Arial" w:cs="Arial"/>
          <w:sz w:val="24"/>
          <w:szCs w:val="24"/>
        </w:rPr>
        <w:t xml:space="preserve"> (British Beer &amp; Pub Association, 2026)</w:t>
      </w:r>
      <w:r w:rsidRPr="00CA631E">
        <w:rPr>
          <w:rFonts w:ascii="Arial" w:hAnsi="Arial" w:cs="Arial"/>
          <w:sz w:val="24"/>
          <w:szCs w:val="24"/>
        </w:rPr>
        <w:t>.</w:t>
      </w:r>
    </w:p>
    <w:p w14:paraId="35F5F5E8" w14:textId="77777777" w:rsidR="00A4071B" w:rsidRPr="00CA631E" w:rsidRDefault="00A36F68" w:rsidP="000A79FF">
      <w:pPr>
        <w:spacing w:line="360" w:lineRule="auto"/>
        <w:jc w:val="both"/>
        <w:rPr>
          <w:rFonts w:ascii="Arial" w:hAnsi="Arial" w:cs="Arial"/>
          <w:sz w:val="24"/>
          <w:szCs w:val="24"/>
        </w:rPr>
      </w:pPr>
      <w:r w:rsidRPr="00CA631E">
        <w:rPr>
          <w:rFonts w:ascii="Arial" w:hAnsi="Arial" w:cs="Arial"/>
          <w:b/>
          <w:sz w:val="24"/>
          <w:szCs w:val="24"/>
        </w:rPr>
        <w:t>Market Ratio</w:t>
      </w:r>
    </w:p>
    <w:p w14:paraId="37E7A3FE" w14:textId="77777777" w:rsidR="00C858E9" w:rsidRPr="00CA631E" w:rsidRDefault="00C858E9" w:rsidP="000A79FF">
      <w:pPr>
        <w:spacing w:line="360" w:lineRule="auto"/>
        <w:jc w:val="center"/>
        <w:rPr>
          <w:rFonts w:ascii="Arial" w:hAnsi="Arial" w:cs="Arial"/>
          <w:b/>
          <w:noProof/>
          <w:sz w:val="24"/>
          <w:szCs w:val="24"/>
          <w:lang w:val="en-IN" w:eastAsia="en-IN"/>
        </w:rPr>
      </w:pPr>
      <w:r w:rsidRPr="00CA631E">
        <w:rPr>
          <w:rFonts w:ascii="Arial" w:hAnsi="Arial" w:cs="Arial"/>
          <w:b/>
          <w:noProof/>
          <w:sz w:val="24"/>
          <w:szCs w:val="24"/>
          <w:lang w:val="en-IN" w:eastAsia="en-IN"/>
        </w:rPr>
        <w:drawing>
          <wp:inline distT="0" distB="0" distL="0" distR="0" wp14:anchorId="7C8F3812" wp14:editId="3643754E">
            <wp:extent cx="5731510" cy="1670050"/>
            <wp:effectExtent l="0" t="0" r="254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670050"/>
                    </a:xfrm>
                    <a:prstGeom prst="rect">
                      <a:avLst/>
                    </a:prstGeom>
                  </pic:spPr>
                </pic:pic>
              </a:graphicData>
            </a:graphic>
          </wp:inline>
        </w:drawing>
      </w:r>
    </w:p>
    <w:p w14:paraId="4C8B1187" w14:textId="77777777" w:rsidR="005B343F" w:rsidRPr="00CA631E" w:rsidRDefault="005B343F" w:rsidP="000A79FF">
      <w:pPr>
        <w:spacing w:line="360" w:lineRule="auto"/>
        <w:jc w:val="center"/>
        <w:rPr>
          <w:rFonts w:ascii="Arial" w:hAnsi="Arial" w:cs="Arial"/>
          <w:b/>
          <w:noProof/>
          <w:sz w:val="24"/>
          <w:szCs w:val="24"/>
          <w:lang w:val="en-IN" w:eastAsia="en-IN"/>
        </w:rPr>
      </w:pPr>
      <w:r w:rsidRPr="00CA631E">
        <w:rPr>
          <w:rFonts w:ascii="Arial" w:hAnsi="Arial" w:cs="Arial"/>
          <w:b/>
          <w:noProof/>
          <w:sz w:val="24"/>
          <w:szCs w:val="24"/>
          <w:lang w:val="en-IN" w:eastAsia="en-IN"/>
        </w:rPr>
        <w:t xml:space="preserve">Table 6: </w:t>
      </w:r>
      <w:r w:rsidR="00A36F68" w:rsidRPr="00CA631E">
        <w:rPr>
          <w:rFonts w:ascii="Arial" w:hAnsi="Arial" w:cs="Arial"/>
          <w:b/>
          <w:noProof/>
          <w:sz w:val="24"/>
          <w:szCs w:val="24"/>
          <w:lang w:val="en-IN" w:eastAsia="en-IN"/>
        </w:rPr>
        <w:t>Market Ratio</w:t>
      </w:r>
    </w:p>
    <w:p w14:paraId="0E2C421C" w14:textId="0E07FDC9" w:rsidR="005B343F" w:rsidRPr="00CA631E" w:rsidRDefault="00312B59" w:rsidP="000A79FF">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45AF7B8A" wp14:editId="40A827B4">
            <wp:extent cx="4584700" cy="2755900"/>
            <wp:effectExtent l="0" t="0" r="6350" b="6350"/>
            <wp:docPr id="16211717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2F0EC62" w14:textId="77777777" w:rsidR="005B343F" w:rsidRPr="00CA631E" w:rsidRDefault="005B343F" w:rsidP="000A79FF">
      <w:pPr>
        <w:spacing w:line="360" w:lineRule="auto"/>
        <w:jc w:val="center"/>
        <w:rPr>
          <w:rFonts w:ascii="Arial" w:hAnsi="Arial" w:cs="Arial"/>
          <w:b/>
          <w:sz w:val="24"/>
          <w:szCs w:val="24"/>
        </w:rPr>
      </w:pPr>
      <w:r w:rsidRPr="00CA631E">
        <w:rPr>
          <w:rFonts w:ascii="Arial" w:hAnsi="Arial" w:cs="Arial"/>
          <w:b/>
          <w:sz w:val="24"/>
          <w:szCs w:val="24"/>
        </w:rPr>
        <w:t xml:space="preserve">Graph 6: </w:t>
      </w:r>
      <w:r w:rsidR="00A36F68" w:rsidRPr="00CA631E">
        <w:rPr>
          <w:rFonts w:ascii="Arial" w:hAnsi="Arial" w:cs="Arial"/>
          <w:b/>
          <w:sz w:val="24"/>
          <w:szCs w:val="24"/>
        </w:rPr>
        <w:t>Market Ratio</w:t>
      </w:r>
    </w:p>
    <w:p w14:paraId="7FA95EFD" w14:textId="77777777" w:rsidR="0004573B" w:rsidRPr="00CA631E" w:rsidRDefault="005B343F" w:rsidP="000A79FF">
      <w:pPr>
        <w:spacing w:line="360" w:lineRule="auto"/>
        <w:jc w:val="center"/>
        <w:rPr>
          <w:rFonts w:ascii="Arial" w:hAnsi="Arial" w:cs="Arial"/>
          <w:sz w:val="24"/>
          <w:szCs w:val="24"/>
        </w:rPr>
      </w:pPr>
      <w:r w:rsidRPr="00CA631E">
        <w:rPr>
          <w:rFonts w:ascii="Arial" w:hAnsi="Arial" w:cs="Arial"/>
          <w:b/>
          <w:sz w:val="24"/>
          <w:szCs w:val="24"/>
        </w:rPr>
        <w:t xml:space="preserve">Source: </w:t>
      </w:r>
      <w:r w:rsidRPr="00CA631E">
        <w:rPr>
          <w:rFonts w:ascii="Arial" w:hAnsi="Arial" w:cs="Arial"/>
          <w:sz w:val="24"/>
          <w:szCs w:val="24"/>
        </w:rPr>
        <w:t>(MS-Excel)</w:t>
      </w:r>
    </w:p>
    <w:p w14:paraId="1FAE05A0" w14:textId="77777777" w:rsidR="00032E05" w:rsidRPr="00CA631E" w:rsidRDefault="00032E05" w:rsidP="000A79FF">
      <w:pPr>
        <w:spacing w:line="360" w:lineRule="auto"/>
        <w:jc w:val="both"/>
        <w:rPr>
          <w:rFonts w:ascii="Arial" w:hAnsi="Arial" w:cs="Arial"/>
          <w:sz w:val="24"/>
          <w:szCs w:val="24"/>
        </w:rPr>
      </w:pPr>
      <w:r w:rsidRPr="00CA631E">
        <w:rPr>
          <w:rFonts w:ascii="Arial" w:hAnsi="Arial" w:cs="Arial"/>
          <w:sz w:val="24"/>
          <w:szCs w:val="24"/>
        </w:rPr>
        <w:t>The illustrative market ratios show that the shareholder's return was better in the years in which the company made profits (2022, 2023 and 2025) while the negative earnings per share and negative P/E ratios occurred in the years of losses (2021, 2024). No dividend payments indicate that Greene King has chosen to reinvest its money back into the business for investment and growth, instead of distributing profits to shareholders</w:t>
      </w:r>
      <w:r w:rsidR="00660B73" w:rsidRPr="00CA631E">
        <w:rPr>
          <w:rFonts w:ascii="Arial" w:hAnsi="Arial" w:cs="Arial"/>
          <w:sz w:val="24"/>
          <w:szCs w:val="24"/>
        </w:rPr>
        <w:t xml:space="preserve"> (CDP, 2026)</w:t>
      </w:r>
      <w:r w:rsidRPr="00CA631E">
        <w:rPr>
          <w:rFonts w:ascii="Arial" w:hAnsi="Arial" w:cs="Arial"/>
          <w:sz w:val="24"/>
          <w:szCs w:val="24"/>
        </w:rPr>
        <w:t xml:space="preserve">. </w:t>
      </w:r>
    </w:p>
    <w:p w14:paraId="721A8C63" w14:textId="77777777" w:rsidR="000D50CB" w:rsidRPr="00CA631E" w:rsidRDefault="000D50CB" w:rsidP="000A79FF">
      <w:pPr>
        <w:spacing w:line="360" w:lineRule="auto"/>
        <w:jc w:val="both"/>
        <w:rPr>
          <w:rFonts w:ascii="Arial" w:hAnsi="Arial" w:cs="Arial"/>
          <w:b/>
          <w:sz w:val="24"/>
          <w:szCs w:val="24"/>
        </w:rPr>
      </w:pPr>
      <w:r w:rsidRPr="00CA631E">
        <w:rPr>
          <w:rFonts w:ascii="Arial" w:hAnsi="Arial" w:cs="Arial"/>
          <w:b/>
          <w:sz w:val="24"/>
          <w:szCs w:val="24"/>
        </w:rPr>
        <w:t>Cash flow</w:t>
      </w:r>
    </w:p>
    <w:p w14:paraId="7F8893D1" w14:textId="77777777" w:rsidR="00C858E9" w:rsidRPr="00CA631E" w:rsidRDefault="00C858E9" w:rsidP="000A79FF">
      <w:pPr>
        <w:spacing w:line="360" w:lineRule="auto"/>
        <w:jc w:val="center"/>
        <w:rPr>
          <w:rFonts w:ascii="Arial" w:hAnsi="Arial" w:cs="Arial"/>
          <w:b/>
          <w:noProof/>
          <w:sz w:val="24"/>
          <w:szCs w:val="24"/>
          <w:lang w:val="en-IN" w:eastAsia="en-IN"/>
        </w:rPr>
      </w:pPr>
      <w:r w:rsidRPr="00CA631E">
        <w:rPr>
          <w:rFonts w:ascii="Arial" w:hAnsi="Arial" w:cs="Arial"/>
          <w:b/>
          <w:noProof/>
          <w:sz w:val="24"/>
          <w:szCs w:val="24"/>
          <w:lang w:val="en-IN" w:eastAsia="en-IN"/>
        </w:rPr>
        <w:drawing>
          <wp:inline distT="0" distB="0" distL="0" distR="0" wp14:anchorId="2D2C7D74" wp14:editId="2D7905C3">
            <wp:extent cx="5076825" cy="2621658"/>
            <wp:effectExtent l="0" t="0" r="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86228" cy="2626514"/>
                    </a:xfrm>
                    <a:prstGeom prst="rect">
                      <a:avLst/>
                    </a:prstGeom>
                  </pic:spPr>
                </pic:pic>
              </a:graphicData>
            </a:graphic>
          </wp:inline>
        </w:drawing>
      </w:r>
    </w:p>
    <w:p w14:paraId="359BC1D2" w14:textId="77777777" w:rsidR="005B343F" w:rsidRPr="00CA631E" w:rsidRDefault="005B343F" w:rsidP="000A79FF">
      <w:pPr>
        <w:spacing w:line="360" w:lineRule="auto"/>
        <w:jc w:val="center"/>
        <w:rPr>
          <w:rFonts w:ascii="Arial" w:hAnsi="Arial" w:cs="Arial"/>
          <w:b/>
          <w:noProof/>
          <w:sz w:val="24"/>
          <w:szCs w:val="24"/>
          <w:lang w:val="en-IN" w:eastAsia="en-IN"/>
        </w:rPr>
      </w:pPr>
      <w:r w:rsidRPr="00CA631E">
        <w:rPr>
          <w:rFonts w:ascii="Arial" w:hAnsi="Arial" w:cs="Arial"/>
          <w:b/>
          <w:noProof/>
          <w:sz w:val="24"/>
          <w:szCs w:val="24"/>
          <w:lang w:val="en-IN" w:eastAsia="en-IN"/>
        </w:rPr>
        <w:t>Table 7: Cash Flow</w:t>
      </w:r>
    </w:p>
    <w:p w14:paraId="336769BC" w14:textId="50A85225" w:rsidR="005B343F" w:rsidRPr="00CA631E" w:rsidRDefault="00312B59" w:rsidP="000A79FF">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3EBF1D86" wp14:editId="5E17C333">
            <wp:extent cx="4572635" cy="2743200"/>
            <wp:effectExtent l="0" t="0" r="0" b="0"/>
            <wp:docPr id="5099396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14:paraId="21501FF9" w14:textId="77777777" w:rsidR="005B343F" w:rsidRPr="00CA631E" w:rsidRDefault="005B343F" w:rsidP="000A79FF">
      <w:pPr>
        <w:spacing w:line="360" w:lineRule="auto"/>
        <w:jc w:val="center"/>
        <w:rPr>
          <w:rFonts w:ascii="Arial" w:hAnsi="Arial" w:cs="Arial"/>
          <w:b/>
          <w:sz w:val="24"/>
          <w:szCs w:val="24"/>
        </w:rPr>
      </w:pPr>
      <w:r w:rsidRPr="00CA631E">
        <w:rPr>
          <w:rFonts w:ascii="Arial" w:hAnsi="Arial" w:cs="Arial"/>
          <w:b/>
          <w:sz w:val="24"/>
          <w:szCs w:val="24"/>
        </w:rPr>
        <w:t>Graph 7: Cash Flow</w:t>
      </w:r>
    </w:p>
    <w:p w14:paraId="19E762A9" w14:textId="77777777" w:rsidR="005B343F" w:rsidRPr="00CA631E" w:rsidRDefault="005B343F" w:rsidP="000A79FF">
      <w:pPr>
        <w:spacing w:line="360" w:lineRule="auto"/>
        <w:jc w:val="center"/>
        <w:rPr>
          <w:rFonts w:ascii="Arial" w:hAnsi="Arial" w:cs="Arial"/>
          <w:sz w:val="24"/>
          <w:szCs w:val="24"/>
        </w:rPr>
      </w:pPr>
      <w:r w:rsidRPr="00CA631E">
        <w:rPr>
          <w:rFonts w:ascii="Arial" w:hAnsi="Arial" w:cs="Arial"/>
          <w:b/>
          <w:sz w:val="24"/>
          <w:szCs w:val="24"/>
        </w:rPr>
        <w:t>Source:</w:t>
      </w:r>
      <w:r w:rsidRPr="00CA631E">
        <w:rPr>
          <w:rFonts w:ascii="Arial" w:hAnsi="Arial" w:cs="Arial"/>
          <w:sz w:val="24"/>
          <w:szCs w:val="24"/>
        </w:rPr>
        <w:t xml:space="preserve"> (MS-Excel)</w:t>
      </w:r>
    </w:p>
    <w:p w14:paraId="5CC0A0A5" w14:textId="77777777" w:rsidR="0004573B" w:rsidRPr="00CA631E" w:rsidRDefault="00032E05" w:rsidP="000A79FF">
      <w:pPr>
        <w:spacing w:line="360" w:lineRule="auto"/>
        <w:jc w:val="both"/>
        <w:rPr>
          <w:rFonts w:ascii="Arial" w:hAnsi="Arial" w:cs="Arial"/>
          <w:sz w:val="24"/>
          <w:szCs w:val="24"/>
        </w:rPr>
      </w:pPr>
      <w:r w:rsidRPr="00CA631E">
        <w:rPr>
          <w:rFonts w:ascii="Arial" w:hAnsi="Arial" w:cs="Arial"/>
          <w:sz w:val="24"/>
          <w:szCs w:val="24"/>
        </w:rPr>
        <w:t xml:space="preserve">The cash flow ratios suggest that Greene King's cash generation from operations was solid during the five-year period, with the ratio of operating cash flow rising from 0.39 in 2021 to 0.54 in 2025, indicating that operating cash generation has improved and liquidity has increased. Free Cash Flow stayed at a relatively low level in 2021-24 as a substantial amount of capital investment was made, but jumped significantly in 2025 to £101.3 million, giving a FCF/Capital Expenditure ratio of 0.46. </w:t>
      </w:r>
    </w:p>
    <w:p w14:paraId="64DFBD12" w14:textId="77777777" w:rsidR="000D50CB" w:rsidRPr="00CA631E" w:rsidRDefault="00852E02" w:rsidP="000A79FF">
      <w:pPr>
        <w:pStyle w:val="Heading2"/>
        <w:spacing w:line="360" w:lineRule="auto"/>
        <w:jc w:val="both"/>
        <w:rPr>
          <w:rFonts w:ascii="Arial" w:hAnsi="Arial" w:cs="Arial"/>
          <w:b/>
          <w:color w:val="auto"/>
          <w:sz w:val="24"/>
          <w:szCs w:val="24"/>
        </w:rPr>
      </w:pPr>
      <w:bookmarkStart w:id="9" w:name="_Toc234747796"/>
      <w:bookmarkStart w:id="10" w:name="_Toc235038575"/>
      <w:bookmarkStart w:id="11" w:name="_Toc236846830"/>
      <w:r w:rsidRPr="00CA631E">
        <w:rPr>
          <w:rFonts w:ascii="Arial" w:hAnsi="Arial" w:cs="Arial"/>
          <w:b/>
          <w:color w:val="auto"/>
          <w:sz w:val="24"/>
          <w:szCs w:val="24"/>
        </w:rPr>
        <w:t xml:space="preserve">1.3 </w:t>
      </w:r>
      <w:r w:rsidR="000D50CB" w:rsidRPr="00CA631E">
        <w:rPr>
          <w:rFonts w:ascii="Arial" w:hAnsi="Arial" w:cs="Arial"/>
          <w:b/>
          <w:color w:val="auto"/>
          <w:sz w:val="24"/>
          <w:szCs w:val="24"/>
        </w:rPr>
        <w:t>Trends, strengths, and potential threats</w:t>
      </w:r>
      <w:bookmarkEnd w:id="9"/>
      <w:bookmarkEnd w:id="10"/>
      <w:bookmarkEnd w:id="11"/>
    </w:p>
    <w:p w14:paraId="7665414A" w14:textId="77777777" w:rsidR="0004573B" w:rsidRPr="00CA631E" w:rsidRDefault="0004573B" w:rsidP="000A79FF">
      <w:pPr>
        <w:spacing w:line="360" w:lineRule="auto"/>
        <w:jc w:val="both"/>
        <w:rPr>
          <w:rFonts w:ascii="Arial" w:hAnsi="Arial" w:cs="Arial"/>
          <w:b/>
          <w:sz w:val="24"/>
          <w:szCs w:val="24"/>
        </w:rPr>
      </w:pPr>
      <w:r w:rsidRPr="00CA631E">
        <w:rPr>
          <w:rFonts w:ascii="Arial" w:hAnsi="Arial" w:cs="Arial"/>
          <w:b/>
          <w:sz w:val="24"/>
          <w:szCs w:val="24"/>
        </w:rPr>
        <w:t>Trends</w:t>
      </w:r>
    </w:p>
    <w:p w14:paraId="2586A759" w14:textId="77777777" w:rsidR="0004573B" w:rsidRPr="00CA631E" w:rsidRDefault="00852E02" w:rsidP="000A79FF">
      <w:pPr>
        <w:spacing w:line="360" w:lineRule="auto"/>
        <w:jc w:val="both"/>
        <w:rPr>
          <w:rFonts w:ascii="Arial" w:hAnsi="Arial" w:cs="Arial"/>
          <w:sz w:val="24"/>
          <w:szCs w:val="24"/>
        </w:rPr>
      </w:pPr>
      <w:r w:rsidRPr="00CA631E">
        <w:rPr>
          <w:rFonts w:ascii="Arial" w:hAnsi="Arial" w:cs="Arial"/>
          <w:sz w:val="24"/>
          <w:szCs w:val="24"/>
        </w:rPr>
        <w:t xml:space="preserve">Overall, Greene King had a positive financial performance in the five-year period, although there were some fluctuations in profitability over the shorter term. Revenue has recovered well from 2021, growing steadily from £1,341.6 million to £2,539.0 million by 2025, as a result of increased customer demand and effective business growth. Operating cash flow also went up, suggesting better cash generation and increasing operational efficiency. But profitability was also subject to fluctuations because of impairment losses, inflationary pressures, and increases in operating costs, resulting in losses in 2021 and 2024, followed by recovery in 2025. The liquidity ratios deteriorated and yet showed a gradual improvement in the liquidity ratios, but were still lower than the desired levels and high levels of gearing ratios continued to </w:t>
      </w:r>
      <w:r w:rsidRPr="00CA631E">
        <w:rPr>
          <w:rFonts w:ascii="Arial" w:hAnsi="Arial" w:cs="Arial"/>
          <w:sz w:val="24"/>
          <w:szCs w:val="24"/>
        </w:rPr>
        <w:lastRenderedPageBreak/>
        <w:t xml:space="preserve">indicate dependence on debt financing even as the ability to service the debt improved </w:t>
      </w:r>
      <w:r w:rsidR="00660B73" w:rsidRPr="00CA631E">
        <w:rPr>
          <w:rFonts w:ascii="Arial" w:hAnsi="Arial" w:cs="Arial"/>
          <w:sz w:val="24"/>
          <w:szCs w:val="24"/>
        </w:rPr>
        <w:t>(CIMA, 2026)</w:t>
      </w:r>
      <w:r w:rsidR="00032E05" w:rsidRPr="00CA631E">
        <w:rPr>
          <w:rFonts w:ascii="Arial" w:hAnsi="Arial" w:cs="Arial"/>
          <w:sz w:val="24"/>
          <w:szCs w:val="24"/>
        </w:rPr>
        <w:t>.</w:t>
      </w:r>
    </w:p>
    <w:p w14:paraId="39CED7BA" w14:textId="77777777" w:rsidR="0004573B" w:rsidRPr="00CA631E" w:rsidRDefault="0004573B" w:rsidP="000A79FF">
      <w:pPr>
        <w:spacing w:line="360" w:lineRule="auto"/>
        <w:jc w:val="both"/>
        <w:rPr>
          <w:rFonts w:ascii="Arial" w:hAnsi="Arial" w:cs="Arial"/>
          <w:b/>
          <w:sz w:val="24"/>
          <w:szCs w:val="24"/>
        </w:rPr>
      </w:pPr>
      <w:r w:rsidRPr="00CA631E">
        <w:rPr>
          <w:rFonts w:ascii="Arial" w:hAnsi="Arial" w:cs="Arial"/>
          <w:b/>
          <w:sz w:val="24"/>
          <w:szCs w:val="24"/>
        </w:rPr>
        <w:t>Strengths</w:t>
      </w:r>
    </w:p>
    <w:p w14:paraId="4F36BE9B" w14:textId="77777777" w:rsidR="0004573B" w:rsidRPr="00CA631E" w:rsidRDefault="00852E02" w:rsidP="000A79FF">
      <w:pPr>
        <w:pStyle w:val="NormalWeb"/>
        <w:spacing w:line="360" w:lineRule="auto"/>
        <w:jc w:val="both"/>
        <w:rPr>
          <w:rFonts w:ascii="Arial" w:hAnsi="Arial" w:cs="Arial"/>
        </w:rPr>
      </w:pPr>
      <w:r w:rsidRPr="00CA631E">
        <w:rPr>
          <w:rFonts w:ascii="Arial" w:hAnsi="Arial" w:cs="Arial"/>
        </w:rPr>
        <w:t>The key strengths of Greene King are a strong revenue growth, solid operating cash flow and effective working capital management. The company's operating cash flow turned positive and increased to £375.1m in 2025, though the operating cash conversion cycle remained negative, allowing it to generate cash from customers before paying suppliers. It has been continuously investing in pub refurbishment, digital transformation and customer experience to build its competitive edge and ensure its long-term growth. Significant increase in free cash flow in 2025, which helped boost financial flexibility for future investments. Moreover, the liquidity ratios and interest coverage suggest that the company has adjusted well to the economic pressures, highlighting its financial strength.</w:t>
      </w:r>
    </w:p>
    <w:p w14:paraId="023B1774" w14:textId="77777777" w:rsidR="0004573B" w:rsidRPr="00CA631E" w:rsidRDefault="0004573B" w:rsidP="000A79FF">
      <w:pPr>
        <w:spacing w:line="360" w:lineRule="auto"/>
        <w:jc w:val="both"/>
        <w:rPr>
          <w:rFonts w:ascii="Arial" w:hAnsi="Arial" w:cs="Arial"/>
          <w:b/>
          <w:sz w:val="24"/>
          <w:szCs w:val="24"/>
        </w:rPr>
      </w:pPr>
      <w:r w:rsidRPr="00CA631E">
        <w:rPr>
          <w:rFonts w:ascii="Arial" w:hAnsi="Arial" w:cs="Arial"/>
          <w:b/>
          <w:sz w:val="24"/>
          <w:szCs w:val="24"/>
        </w:rPr>
        <w:t>Potential Threats</w:t>
      </w:r>
    </w:p>
    <w:p w14:paraId="2FFF7A22" w14:textId="77777777" w:rsidR="003A5AFF" w:rsidRPr="00CA631E" w:rsidRDefault="00852E02" w:rsidP="000A79FF">
      <w:pPr>
        <w:spacing w:line="360" w:lineRule="auto"/>
        <w:jc w:val="both"/>
        <w:rPr>
          <w:rFonts w:ascii="Arial" w:hAnsi="Arial" w:cs="Arial"/>
          <w:sz w:val="24"/>
          <w:szCs w:val="24"/>
        </w:rPr>
      </w:pPr>
      <w:r w:rsidRPr="00CA631E">
        <w:rPr>
          <w:rFonts w:ascii="Arial" w:hAnsi="Arial" w:cs="Arial"/>
          <w:sz w:val="24"/>
          <w:szCs w:val="24"/>
        </w:rPr>
        <w:t xml:space="preserve">While Greene King's financial results have been improving, the company still has a number of major risks. Gearing ratios are higher as the company continues to rely on debt financing, which means it could be facing refinancing risk if market conditions get worse, or the interest cost will be higher. Profit margins could remain under pressure with persistent inflation, higher labour costs, higher food and energy prices and supply chain issues. As consumer tastes begin to shift and overall discretionary spending declines, it has the potential to have an adverse impact on demand throughout the hospitality industry. Also, operating costs might rise due to regulatory shifts, tax policies and environmental regulations. These challenges underscore the need for disciplined cost management, robust liquidity management, and ongoing efforts to improve operational efficiency </w:t>
      </w:r>
      <w:r w:rsidR="00660B73" w:rsidRPr="00CA631E">
        <w:rPr>
          <w:rFonts w:ascii="Arial" w:hAnsi="Arial" w:cs="Arial"/>
          <w:sz w:val="24"/>
          <w:szCs w:val="24"/>
        </w:rPr>
        <w:t>(Companies House, 2025a)</w:t>
      </w:r>
      <w:r w:rsidR="00032E05" w:rsidRPr="00CA631E">
        <w:rPr>
          <w:rFonts w:ascii="Arial" w:hAnsi="Arial" w:cs="Arial"/>
          <w:sz w:val="24"/>
          <w:szCs w:val="24"/>
        </w:rPr>
        <w:t>.</w:t>
      </w:r>
    </w:p>
    <w:p w14:paraId="7E58CCD2" w14:textId="77777777" w:rsidR="00312B59" w:rsidRDefault="00312B59">
      <w:pPr>
        <w:rPr>
          <w:rFonts w:ascii="Arial" w:eastAsiaTheme="majorEastAsia" w:hAnsi="Arial" w:cs="Arial"/>
          <w:b/>
          <w:sz w:val="24"/>
          <w:szCs w:val="24"/>
        </w:rPr>
      </w:pPr>
      <w:bookmarkStart w:id="12" w:name="_Toc234747797"/>
      <w:bookmarkStart w:id="13" w:name="_Toc235038576"/>
      <w:bookmarkStart w:id="14" w:name="_Toc236846831"/>
      <w:r>
        <w:rPr>
          <w:rFonts w:ascii="Arial" w:hAnsi="Arial" w:cs="Arial"/>
          <w:b/>
          <w:sz w:val="24"/>
          <w:szCs w:val="24"/>
        </w:rPr>
        <w:br w:type="page"/>
      </w:r>
    </w:p>
    <w:p w14:paraId="76FD3EA5" w14:textId="16DED9DE" w:rsidR="000D50CB" w:rsidRPr="00CA631E" w:rsidRDefault="00852E02" w:rsidP="000A79FF">
      <w:pPr>
        <w:pStyle w:val="Heading2"/>
        <w:spacing w:line="360" w:lineRule="auto"/>
        <w:jc w:val="both"/>
        <w:rPr>
          <w:rFonts w:ascii="Arial" w:hAnsi="Arial" w:cs="Arial"/>
          <w:b/>
          <w:color w:val="auto"/>
          <w:sz w:val="24"/>
          <w:szCs w:val="24"/>
        </w:rPr>
      </w:pPr>
      <w:r w:rsidRPr="00CA631E">
        <w:rPr>
          <w:rFonts w:ascii="Arial" w:hAnsi="Arial" w:cs="Arial"/>
          <w:b/>
          <w:color w:val="auto"/>
          <w:sz w:val="24"/>
          <w:szCs w:val="24"/>
        </w:rPr>
        <w:lastRenderedPageBreak/>
        <w:t xml:space="preserve">1.4 </w:t>
      </w:r>
      <w:r w:rsidR="000D50CB" w:rsidRPr="00CA631E">
        <w:rPr>
          <w:rFonts w:ascii="Arial" w:hAnsi="Arial" w:cs="Arial"/>
          <w:b/>
          <w:color w:val="auto"/>
          <w:sz w:val="24"/>
          <w:szCs w:val="24"/>
        </w:rPr>
        <w:t>Comparison of liquidity ratios with industry benchmarks, assessing how the firm performs relative to sector standards</w:t>
      </w:r>
      <w:bookmarkEnd w:id="12"/>
      <w:bookmarkEnd w:id="13"/>
      <w:bookmarkEnd w:id="14"/>
      <w:r w:rsidR="000D50CB" w:rsidRPr="00CA631E">
        <w:rPr>
          <w:rFonts w:ascii="Arial" w:hAnsi="Arial" w:cs="Arial"/>
          <w:b/>
          <w:color w:val="auto"/>
          <w:sz w:val="24"/>
          <w:szCs w:val="24"/>
        </w:rPr>
        <w:t xml:space="preserve"> </w:t>
      </w:r>
    </w:p>
    <w:tbl>
      <w:tblPr>
        <w:tblStyle w:val="TableGrid"/>
        <w:tblW w:w="0" w:type="auto"/>
        <w:tblLook w:val="04A0" w:firstRow="1" w:lastRow="0" w:firstColumn="1" w:lastColumn="0" w:noHBand="0" w:noVBand="1"/>
      </w:tblPr>
      <w:tblGrid>
        <w:gridCol w:w="1576"/>
        <w:gridCol w:w="1778"/>
        <w:gridCol w:w="2992"/>
        <w:gridCol w:w="2670"/>
      </w:tblGrid>
      <w:tr w:rsidR="00032E05" w:rsidRPr="00CA631E" w14:paraId="451BBBAB" w14:textId="77777777" w:rsidTr="00032E05">
        <w:tc>
          <w:tcPr>
            <w:tcW w:w="0" w:type="auto"/>
            <w:hideMark/>
          </w:tcPr>
          <w:p w14:paraId="6C593E0B" w14:textId="77777777" w:rsidR="00032E05" w:rsidRPr="00CA631E" w:rsidRDefault="00032E05" w:rsidP="000A79FF">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Liquidity Ratio</w:t>
            </w:r>
          </w:p>
        </w:tc>
        <w:tc>
          <w:tcPr>
            <w:tcW w:w="0" w:type="auto"/>
            <w:hideMark/>
          </w:tcPr>
          <w:p w14:paraId="36AE20CF" w14:textId="77777777" w:rsidR="00032E05" w:rsidRPr="00CA631E" w:rsidRDefault="00032E05" w:rsidP="000A79FF">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Greene King (2025)</w:t>
            </w:r>
          </w:p>
        </w:tc>
        <w:tc>
          <w:tcPr>
            <w:tcW w:w="0" w:type="auto"/>
            <w:hideMark/>
          </w:tcPr>
          <w:p w14:paraId="512D85EE" w14:textId="77777777" w:rsidR="00032E05" w:rsidRPr="00CA631E" w:rsidRDefault="00032E05" w:rsidP="000A79FF">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UK Hospitality Industry Benchmark</w:t>
            </w:r>
          </w:p>
        </w:tc>
        <w:tc>
          <w:tcPr>
            <w:tcW w:w="0" w:type="auto"/>
            <w:hideMark/>
          </w:tcPr>
          <w:p w14:paraId="5A77E868" w14:textId="77777777" w:rsidR="00032E05" w:rsidRPr="00CA631E" w:rsidRDefault="00032E05" w:rsidP="000A79FF">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Performance Assessment</w:t>
            </w:r>
          </w:p>
        </w:tc>
      </w:tr>
      <w:tr w:rsidR="000A79FF" w:rsidRPr="00CA631E" w14:paraId="258793E5" w14:textId="77777777" w:rsidTr="00032E05">
        <w:tc>
          <w:tcPr>
            <w:tcW w:w="0" w:type="auto"/>
            <w:hideMark/>
          </w:tcPr>
          <w:p w14:paraId="53FB5973" w14:textId="77777777" w:rsidR="00032E05" w:rsidRPr="00CA631E" w:rsidRDefault="00032E05" w:rsidP="000A79FF">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Current Ratio</w:t>
            </w:r>
          </w:p>
        </w:tc>
        <w:tc>
          <w:tcPr>
            <w:tcW w:w="0" w:type="auto"/>
            <w:hideMark/>
          </w:tcPr>
          <w:p w14:paraId="6CA371CF" w14:textId="77777777" w:rsidR="00032E05" w:rsidRPr="00CA631E" w:rsidRDefault="00032E05" w:rsidP="000A79FF">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0.68</w:t>
            </w:r>
          </w:p>
        </w:tc>
        <w:tc>
          <w:tcPr>
            <w:tcW w:w="0" w:type="auto"/>
            <w:hideMark/>
          </w:tcPr>
          <w:p w14:paraId="5551F4A7" w14:textId="77777777" w:rsidR="00032E05" w:rsidRPr="00CA631E" w:rsidRDefault="00032E05" w:rsidP="000A79FF">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0.80–1.20</w:t>
            </w:r>
          </w:p>
        </w:tc>
        <w:tc>
          <w:tcPr>
            <w:tcW w:w="0" w:type="auto"/>
            <w:hideMark/>
          </w:tcPr>
          <w:p w14:paraId="44239E95" w14:textId="77777777" w:rsidR="00032E05" w:rsidRPr="00CA631E" w:rsidRDefault="00032E05" w:rsidP="000A79FF">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Below industry benchmark</w:t>
            </w:r>
          </w:p>
        </w:tc>
      </w:tr>
      <w:tr w:rsidR="00032E05" w:rsidRPr="00CA631E" w14:paraId="6EB3CEB0" w14:textId="77777777" w:rsidTr="00032E05">
        <w:tc>
          <w:tcPr>
            <w:tcW w:w="0" w:type="auto"/>
            <w:hideMark/>
          </w:tcPr>
          <w:p w14:paraId="5D4182E5" w14:textId="77777777" w:rsidR="00032E05" w:rsidRPr="00CA631E" w:rsidRDefault="00032E05" w:rsidP="000A79FF">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Quick Ratio</w:t>
            </w:r>
          </w:p>
        </w:tc>
        <w:tc>
          <w:tcPr>
            <w:tcW w:w="0" w:type="auto"/>
            <w:hideMark/>
          </w:tcPr>
          <w:p w14:paraId="354768B4" w14:textId="77777777" w:rsidR="00032E05" w:rsidRPr="00CA631E" w:rsidRDefault="00032E05" w:rsidP="000A79FF">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0.52</w:t>
            </w:r>
          </w:p>
        </w:tc>
        <w:tc>
          <w:tcPr>
            <w:tcW w:w="0" w:type="auto"/>
            <w:hideMark/>
          </w:tcPr>
          <w:p w14:paraId="0F888F3F" w14:textId="77777777" w:rsidR="00032E05" w:rsidRPr="00CA631E" w:rsidRDefault="00032E05" w:rsidP="000A79FF">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0.50–1.00</w:t>
            </w:r>
          </w:p>
        </w:tc>
        <w:tc>
          <w:tcPr>
            <w:tcW w:w="0" w:type="auto"/>
            <w:hideMark/>
          </w:tcPr>
          <w:p w14:paraId="04EC0CCD" w14:textId="77777777" w:rsidR="00032E05" w:rsidRPr="00CA631E" w:rsidRDefault="00032E05" w:rsidP="000A79FF">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Within the lower industry range</w:t>
            </w:r>
          </w:p>
        </w:tc>
      </w:tr>
    </w:tbl>
    <w:p w14:paraId="030D3B50" w14:textId="77777777" w:rsidR="0004573B" w:rsidRPr="00CA631E" w:rsidRDefault="002038D6" w:rsidP="000A79FF">
      <w:pPr>
        <w:spacing w:line="360" w:lineRule="auto"/>
        <w:jc w:val="center"/>
        <w:rPr>
          <w:rFonts w:ascii="Arial" w:hAnsi="Arial" w:cs="Arial"/>
          <w:b/>
          <w:sz w:val="24"/>
          <w:szCs w:val="24"/>
        </w:rPr>
      </w:pPr>
      <w:r w:rsidRPr="00CA631E">
        <w:rPr>
          <w:rFonts w:ascii="Arial" w:hAnsi="Arial" w:cs="Arial"/>
          <w:b/>
          <w:sz w:val="24"/>
          <w:szCs w:val="24"/>
        </w:rPr>
        <w:t>Table 8: Comparison</w:t>
      </w:r>
    </w:p>
    <w:p w14:paraId="2DA92BD4" w14:textId="77777777" w:rsidR="00852E02" w:rsidRPr="00CA631E" w:rsidRDefault="00852E02" w:rsidP="00852E02">
      <w:pPr>
        <w:spacing w:line="360" w:lineRule="auto"/>
        <w:jc w:val="both"/>
        <w:rPr>
          <w:rFonts w:ascii="Arial" w:hAnsi="Arial" w:cs="Arial"/>
          <w:sz w:val="24"/>
          <w:szCs w:val="24"/>
        </w:rPr>
      </w:pPr>
      <w:r w:rsidRPr="00CA631E">
        <w:rPr>
          <w:rFonts w:ascii="Arial" w:hAnsi="Arial" w:cs="Arial"/>
          <w:sz w:val="24"/>
          <w:szCs w:val="24"/>
        </w:rPr>
        <w:t>The liquidity position as at 2025 represents a business that remains relatively tight in the short-term liquidity position as compared to the broader hospitality industry in the UK. The current ratio of the company is 0.68 which is less than the industry average of 0.80–1.20 implying that based on conventional liquidity measures, the current assets of the company are not enough to cover up its short-term liabilities. This indicates the need for more efficient cash generation and disciplined working capital than in keeping heavy liquid current asset. A current ratio below 1 is considered a possible risk, but it is fairly common in the hospitality sector, where businesses are paid up immediately by their customers and enjoy longer credit periods from suppliers.</w:t>
      </w:r>
    </w:p>
    <w:p w14:paraId="4E032D99" w14:textId="77777777" w:rsidR="00852E02" w:rsidRPr="00CA631E" w:rsidRDefault="00852E02" w:rsidP="00852E02">
      <w:pPr>
        <w:spacing w:line="360" w:lineRule="auto"/>
        <w:jc w:val="both"/>
        <w:rPr>
          <w:rFonts w:ascii="Arial" w:hAnsi="Arial" w:cs="Arial"/>
          <w:sz w:val="24"/>
          <w:szCs w:val="24"/>
        </w:rPr>
      </w:pPr>
      <w:r w:rsidRPr="00CA631E">
        <w:rPr>
          <w:rFonts w:ascii="Arial" w:hAnsi="Arial" w:cs="Arial"/>
          <w:sz w:val="24"/>
          <w:szCs w:val="24"/>
        </w:rPr>
        <w:t>The quick ratio of 0.52 is lower than the lower bound of the industry range of 0.50–1.00, indicating that Greene King has enough liquidity assets (excluding inventories) to cover a reasonable amount of its short-term debt. Additionally, the company's quick ratio has improved from 0.29 in 2021 to 0.52 in 2025, suggesting better liquidity management during the five-year period. This improvement has been facilitated with the increase in current assets, operating cash flows and good cash management.</w:t>
      </w:r>
    </w:p>
    <w:p w14:paraId="6AF91F4B" w14:textId="77777777" w:rsidR="0004573B" w:rsidRPr="00CA631E" w:rsidRDefault="00852E02" w:rsidP="00852E02">
      <w:pPr>
        <w:spacing w:line="360" w:lineRule="auto"/>
        <w:jc w:val="both"/>
        <w:rPr>
          <w:rFonts w:ascii="Arial" w:hAnsi="Arial" w:cs="Arial"/>
          <w:sz w:val="24"/>
          <w:szCs w:val="24"/>
        </w:rPr>
      </w:pPr>
      <w:r w:rsidRPr="00CA631E">
        <w:rPr>
          <w:rFonts w:ascii="Arial" w:hAnsi="Arial" w:cs="Arial"/>
          <w:sz w:val="24"/>
          <w:szCs w:val="24"/>
        </w:rPr>
        <w:t xml:space="preserve">Additionally, the liquidity of Greene King should be analysed in conjunction with the other significant performance aspects, and not based on ratio analysis alone. Overall, the business made an operating cash flow margin of £375.1m in 2025 and had an operating cash conversion cycle of around –37 days, where the business gets cash back from its customers before paying suppliers. This efficient working capital model cuts down on reliance on external short-term finance and gives increased financial flexibility. Greene King's liquidity ratios are slightly lower than the industry averages but it shows the company has a strong ability to service its creditors, a high cash </w:t>
      </w:r>
      <w:r w:rsidRPr="00CA631E">
        <w:rPr>
          <w:rFonts w:ascii="Arial" w:hAnsi="Arial" w:cs="Arial"/>
          <w:sz w:val="24"/>
          <w:szCs w:val="24"/>
        </w:rPr>
        <w:lastRenderedPageBreak/>
        <w:t xml:space="preserve">generation and an efficient use of stock and good credit facilities with suppliers and suppliers' suppliers, which suggests it is well placed to continue trading and meet its future investment needs. Further tightening of liquidity ratios, however, would further enhance a firm's ability to withstand inflationary pressures, higher financing costs, and future declines in consumer spending </w:t>
      </w:r>
      <w:r w:rsidR="00660B73" w:rsidRPr="00CA631E">
        <w:rPr>
          <w:rFonts w:ascii="Arial" w:hAnsi="Arial" w:cs="Arial"/>
          <w:sz w:val="24"/>
          <w:szCs w:val="24"/>
        </w:rPr>
        <w:t>(Companies House, 2025b)</w:t>
      </w:r>
      <w:r w:rsidR="00032E05" w:rsidRPr="00CA631E">
        <w:rPr>
          <w:rFonts w:ascii="Arial" w:hAnsi="Arial" w:cs="Arial"/>
          <w:sz w:val="24"/>
          <w:szCs w:val="24"/>
        </w:rPr>
        <w:t xml:space="preserve">. </w:t>
      </w:r>
      <w:r w:rsidR="0004573B" w:rsidRPr="00CA631E">
        <w:rPr>
          <w:rFonts w:ascii="Arial" w:hAnsi="Arial" w:cs="Arial"/>
          <w:sz w:val="24"/>
          <w:szCs w:val="24"/>
        </w:rPr>
        <w:br w:type="page"/>
      </w:r>
    </w:p>
    <w:p w14:paraId="723282D8" w14:textId="77777777" w:rsidR="000D50CB" w:rsidRPr="00CA631E" w:rsidRDefault="000D50CB" w:rsidP="000A79FF">
      <w:pPr>
        <w:pStyle w:val="Heading1"/>
        <w:spacing w:line="360" w:lineRule="auto"/>
        <w:jc w:val="both"/>
        <w:rPr>
          <w:rFonts w:ascii="Arial" w:hAnsi="Arial" w:cs="Arial"/>
          <w:b/>
          <w:color w:val="auto"/>
          <w:sz w:val="24"/>
          <w:szCs w:val="24"/>
        </w:rPr>
      </w:pPr>
      <w:bookmarkStart w:id="15" w:name="_Toc234747798"/>
      <w:bookmarkStart w:id="16" w:name="_Toc235038577"/>
      <w:bookmarkStart w:id="17" w:name="_Toc236846832"/>
      <w:r w:rsidRPr="00CA631E">
        <w:rPr>
          <w:rFonts w:ascii="Arial" w:hAnsi="Arial" w:cs="Arial"/>
          <w:b/>
          <w:color w:val="auto"/>
          <w:sz w:val="24"/>
          <w:szCs w:val="24"/>
        </w:rPr>
        <w:lastRenderedPageBreak/>
        <w:t>2. Working Capital Management Analysis</w:t>
      </w:r>
      <w:bookmarkEnd w:id="15"/>
      <w:bookmarkEnd w:id="16"/>
      <w:bookmarkEnd w:id="17"/>
      <w:r w:rsidRPr="00CA631E">
        <w:rPr>
          <w:rFonts w:ascii="Arial" w:hAnsi="Arial" w:cs="Arial"/>
          <w:b/>
          <w:color w:val="auto"/>
          <w:sz w:val="24"/>
          <w:szCs w:val="24"/>
        </w:rPr>
        <w:t xml:space="preserve"> </w:t>
      </w:r>
    </w:p>
    <w:p w14:paraId="16D28963" w14:textId="77777777" w:rsidR="000D50CB" w:rsidRPr="00CA631E" w:rsidRDefault="00852E02" w:rsidP="000A79FF">
      <w:pPr>
        <w:pStyle w:val="Heading2"/>
        <w:spacing w:line="360" w:lineRule="auto"/>
        <w:jc w:val="both"/>
        <w:rPr>
          <w:rFonts w:ascii="Arial" w:hAnsi="Arial" w:cs="Arial"/>
          <w:b/>
          <w:color w:val="auto"/>
          <w:sz w:val="24"/>
          <w:szCs w:val="24"/>
        </w:rPr>
      </w:pPr>
      <w:bookmarkStart w:id="18" w:name="_Toc234747799"/>
      <w:bookmarkStart w:id="19" w:name="_Toc235038578"/>
      <w:bookmarkStart w:id="20" w:name="_Toc236846833"/>
      <w:r w:rsidRPr="00CA631E">
        <w:rPr>
          <w:rFonts w:ascii="Arial" w:hAnsi="Arial" w:cs="Arial"/>
          <w:b/>
          <w:color w:val="auto"/>
          <w:sz w:val="24"/>
          <w:szCs w:val="24"/>
        </w:rPr>
        <w:t xml:space="preserve">2.1 </w:t>
      </w:r>
      <w:r w:rsidR="000D50CB" w:rsidRPr="00CA631E">
        <w:rPr>
          <w:rFonts w:ascii="Arial" w:hAnsi="Arial" w:cs="Arial"/>
          <w:b/>
          <w:color w:val="auto"/>
          <w:sz w:val="24"/>
          <w:szCs w:val="24"/>
        </w:rPr>
        <w:t>Cash operating cycle</w:t>
      </w:r>
      <w:bookmarkEnd w:id="18"/>
      <w:bookmarkEnd w:id="19"/>
      <w:bookmarkEnd w:id="20"/>
    </w:p>
    <w:p w14:paraId="25ED6A9E" w14:textId="77777777" w:rsidR="00850BF7" w:rsidRPr="00CA631E" w:rsidRDefault="00850BF7" w:rsidP="000A79FF">
      <w:pPr>
        <w:spacing w:line="360" w:lineRule="auto"/>
        <w:jc w:val="both"/>
        <w:rPr>
          <w:rFonts w:ascii="Arial" w:hAnsi="Arial" w:cs="Arial"/>
          <w:b/>
          <w:sz w:val="24"/>
          <w:szCs w:val="24"/>
        </w:rPr>
      </w:pPr>
      <w:r w:rsidRPr="00CA631E">
        <w:rPr>
          <w:rFonts w:ascii="Arial" w:hAnsi="Arial" w:cs="Arial"/>
          <w:b/>
          <w:sz w:val="24"/>
          <w:szCs w:val="24"/>
        </w:rPr>
        <w:t>Cash Operating Cycle</w:t>
      </w:r>
    </w:p>
    <w:p w14:paraId="201FE619" w14:textId="77777777" w:rsidR="00C858E9" w:rsidRPr="00CA631E" w:rsidRDefault="00C858E9" w:rsidP="000A79FF">
      <w:pPr>
        <w:spacing w:line="360" w:lineRule="auto"/>
        <w:jc w:val="center"/>
        <w:rPr>
          <w:rFonts w:ascii="Arial" w:hAnsi="Arial" w:cs="Arial"/>
          <w:b/>
          <w:noProof/>
          <w:sz w:val="24"/>
          <w:szCs w:val="24"/>
          <w:lang w:val="en-IN" w:eastAsia="en-IN"/>
        </w:rPr>
      </w:pPr>
      <w:r w:rsidRPr="00CA631E">
        <w:rPr>
          <w:rFonts w:ascii="Arial" w:hAnsi="Arial" w:cs="Arial"/>
          <w:b/>
          <w:noProof/>
          <w:sz w:val="24"/>
          <w:szCs w:val="24"/>
          <w:lang w:val="en-IN" w:eastAsia="en-IN"/>
        </w:rPr>
        <w:drawing>
          <wp:inline distT="0" distB="0" distL="0" distR="0" wp14:anchorId="3C2CFE3B" wp14:editId="72FE7EB6">
            <wp:extent cx="5191125" cy="122157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03309" cy="1224444"/>
                    </a:xfrm>
                    <a:prstGeom prst="rect">
                      <a:avLst/>
                    </a:prstGeom>
                  </pic:spPr>
                </pic:pic>
              </a:graphicData>
            </a:graphic>
          </wp:inline>
        </w:drawing>
      </w:r>
    </w:p>
    <w:p w14:paraId="02CB177D" w14:textId="77777777" w:rsidR="005B343F" w:rsidRPr="00CA631E" w:rsidRDefault="002038D6" w:rsidP="000A79FF">
      <w:pPr>
        <w:spacing w:line="360" w:lineRule="auto"/>
        <w:jc w:val="center"/>
        <w:rPr>
          <w:rFonts w:ascii="Arial" w:hAnsi="Arial" w:cs="Arial"/>
          <w:b/>
          <w:noProof/>
          <w:sz w:val="24"/>
          <w:szCs w:val="24"/>
          <w:lang w:val="en-IN" w:eastAsia="en-IN"/>
        </w:rPr>
      </w:pPr>
      <w:r w:rsidRPr="00CA631E">
        <w:rPr>
          <w:rFonts w:ascii="Arial" w:hAnsi="Arial" w:cs="Arial"/>
          <w:b/>
          <w:noProof/>
          <w:sz w:val="24"/>
          <w:szCs w:val="24"/>
          <w:lang w:val="en-IN" w:eastAsia="en-IN"/>
        </w:rPr>
        <w:t>Table 9: Cash Operating Cycle</w:t>
      </w:r>
    </w:p>
    <w:p w14:paraId="4450D80C" w14:textId="2A1F0D5A" w:rsidR="002038D6" w:rsidRPr="00CA631E" w:rsidRDefault="00312B59" w:rsidP="000A79FF">
      <w:pPr>
        <w:spacing w:line="360" w:lineRule="auto"/>
        <w:jc w:val="center"/>
        <w:rPr>
          <w:rFonts w:ascii="Arial" w:hAnsi="Arial" w:cs="Arial"/>
          <w:b/>
          <w:sz w:val="24"/>
          <w:szCs w:val="24"/>
        </w:rPr>
      </w:pPr>
      <w:r>
        <w:rPr>
          <w:rFonts w:ascii="Arial" w:hAnsi="Arial" w:cs="Arial"/>
          <w:b/>
          <w:noProof/>
          <w:sz w:val="24"/>
          <w:szCs w:val="24"/>
        </w:rPr>
        <w:drawing>
          <wp:inline distT="0" distB="0" distL="0" distR="0" wp14:anchorId="09DF9F13" wp14:editId="71642652">
            <wp:extent cx="4584700" cy="2755900"/>
            <wp:effectExtent l="0" t="0" r="6350" b="6350"/>
            <wp:docPr id="21313482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C7D22B2" w14:textId="77777777" w:rsidR="002038D6" w:rsidRPr="00CA631E" w:rsidRDefault="002038D6" w:rsidP="000A79FF">
      <w:pPr>
        <w:spacing w:line="360" w:lineRule="auto"/>
        <w:jc w:val="center"/>
        <w:rPr>
          <w:rFonts w:ascii="Arial" w:hAnsi="Arial" w:cs="Arial"/>
          <w:b/>
          <w:sz w:val="24"/>
          <w:szCs w:val="24"/>
        </w:rPr>
      </w:pPr>
      <w:r w:rsidRPr="00CA631E">
        <w:rPr>
          <w:rFonts w:ascii="Arial" w:hAnsi="Arial" w:cs="Arial"/>
          <w:b/>
          <w:sz w:val="24"/>
          <w:szCs w:val="24"/>
        </w:rPr>
        <w:t>Graph 8: Cash Operating Cycle</w:t>
      </w:r>
    </w:p>
    <w:p w14:paraId="17A8EB72" w14:textId="77777777" w:rsidR="002038D6" w:rsidRPr="00CA631E" w:rsidRDefault="002038D6" w:rsidP="000A79FF">
      <w:pPr>
        <w:spacing w:line="360" w:lineRule="auto"/>
        <w:jc w:val="center"/>
        <w:rPr>
          <w:rFonts w:ascii="Arial" w:hAnsi="Arial" w:cs="Arial"/>
          <w:sz w:val="24"/>
          <w:szCs w:val="24"/>
        </w:rPr>
      </w:pPr>
      <w:r w:rsidRPr="00CA631E">
        <w:rPr>
          <w:rFonts w:ascii="Arial" w:hAnsi="Arial" w:cs="Arial"/>
          <w:b/>
          <w:sz w:val="24"/>
          <w:szCs w:val="24"/>
        </w:rPr>
        <w:t xml:space="preserve">Source: </w:t>
      </w:r>
      <w:r w:rsidRPr="00CA631E">
        <w:rPr>
          <w:rFonts w:ascii="Arial" w:hAnsi="Arial" w:cs="Arial"/>
          <w:sz w:val="24"/>
          <w:szCs w:val="24"/>
        </w:rPr>
        <w:t>(MS-Excel)</w:t>
      </w:r>
    </w:p>
    <w:p w14:paraId="00965312" w14:textId="284FEF66" w:rsidR="00850BF7" w:rsidRPr="00CA631E" w:rsidRDefault="00850BF7" w:rsidP="000A79FF">
      <w:pPr>
        <w:spacing w:line="360" w:lineRule="auto"/>
        <w:jc w:val="both"/>
        <w:rPr>
          <w:rFonts w:ascii="Arial" w:hAnsi="Arial" w:cs="Arial"/>
          <w:b/>
          <w:sz w:val="24"/>
          <w:szCs w:val="24"/>
        </w:rPr>
      </w:pPr>
      <w:r w:rsidRPr="00CA631E">
        <w:rPr>
          <w:rFonts w:ascii="Arial" w:hAnsi="Arial" w:cs="Arial"/>
          <w:b/>
          <w:sz w:val="24"/>
          <w:szCs w:val="24"/>
        </w:rPr>
        <w:t>Working Capital</w:t>
      </w:r>
    </w:p>
    <w:p w14:paraId="21FD8D9E" w14:textId="77777777" w:rsidR="00C858E9" w:rsidRPr="00CA631E" w:rsidRDefault="00C858E9" w:rsidP="000A79FF">
      <w:pPr>
        <w:spacing w:line="360" w:lineRule="auto"/>
        <w:jc w:val="center"/>
        <w:rPr>
          <w:rFonts w:ascii="Arial" w:hAnsi="Arial" w:cs="Arial"/>
          <w:b/>
          <w:sz w:val="24"/>
          <w:szCs w:val="24"/>
        </w:rPr>
      </w:pPr>
      <w:r w:rsidRPr="00CA631E">
        <w:rPr>
          <w:rFonts w:ascii="Arial" w:hAnsi="Arial" w:cs="Arial"/>
          <w:b/>
          <w:noProof/>
          <w:sz w:val="24"/>
          <w:szCs w:val="24"/>
          <w:lang w:val="en-IN" w:eastAsia="en-IN"/>
        </w:rPr>
        <w:drawing>
          <wp:inline distT="0" distB="0" distL="0" distR="0" wp14:anchorId="65802D12" wp14:editId="6234D8CD">
            <wp:extent cx="4629150" cy="1532964"/>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648326" cy="1539314"/>
                    </a:xfrm>
                    <a:prstGeom prst="rect">
                      <a:avLst/>
                    </a:prstGeom>
                  </pic:spPr>
                </pic:pic>
              </a:graphicData>
            </a:graphic>
          </wp:inline>
        </w:drawing>
      </w:r>
    </w:p>
    <w:p w14:paraId="172EA318" w14:textId="77777777" w:rsidR="00883EA6" w:rsidRPr="00CA631E" w:rsidRDefault="002038D6" w:rsidP="000A79FF">
      <w:pPr>
        <w:spacing w:line="360" w:lineRule="auto"/>
        <w:jc w:val="center"/>
        <w:rPr>
          <w:rFonts w:ascii="Arial" w:hAnsi="Arial" w:cs="Arial"/>
          <w:b/>
          <w:sz w:val="24"/>
          <w:szCs w:val="24"/>
        </w:rPr>
      </w:pPr>
      <w:r w:rsidRPr="00CA631E">
        <w:rPr>
          <w:rFonts w:ascii="Arial" w:hAnsi="Arial" w:cs="Arial"/>
          <w:b/>
          <w:sz w:val="24"/>
          <w:szCs w:val="24"/>
        </w:rPr>
        <w:t>Table 10: Working Capital</w:t>
      </w:r>
    </w:p>
    <w:p w14:paraId="733393A3" w14:textId="7B110557" w:rsidR="002038D6" w:rsidRPr="00CA631E" w:rsidRDefault="00312B59" w:rsidP="000A79FF">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3CA3C74C" wp14:editId="3A200FF5">
            <wp:extent cx="4584700" cy="2755900"/>
            <wp:effectExtent l="0" t="0" r="6350" b="6350"/>
            <wp:docPr id="73308894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CB3DA74" w14:textId="77777777" w:rsidR="002038D6" w:rsidRPr="00CA631E" w:rsidRDefault="002038D6" w:rsidP="000A79FF">
      <w:pPr>
        <w:spacing w:line="360" w:lineRule="auto"/>
        <w:jc w:val="center"/>
        <w:rPr>
          <w:rFonts w:ascii="Arial" w:hAnsi="Arial" w:cs="Arial"/>
          <w:b/>
          <w:sz w:val="24"/>
          <w:szCs w:val="24"/>
        </w:rPr>
      </w:pPr>
      <w:r w:rsidRPr="00CA631E">
        <w:rPr>
          <w:rFonts w:ascii="Arial" w:hAnsi="Arial" w:cs="Arial"/>
          <w:b/>
          <w:sz w:val="24"/>
          <w:szCs w:val="24"/>
        </w:rPr>
        <w:t>Graph 9: Working Capital</w:t>
      </w:r>
    </w:p>
    <w:p w14:paraId="3AD0442C" w14:textId="77777777" w:rsidR="002038D6" w:rsidRPr="00CA631E" w:rsidRDefault="002038D6" w:rsidP="000A79FF">
      <w:pPr>
        <w:spacing w:line="360" w:lineRule="auto"/>
        <w:jc w:val="center"/>
        <w:rPr>
          <w:rFonts w:ascii="Arial" w:hAnsi="Arial" w:cs="Arial"/>
          <w:sz w:val="24"/>
          <w:szCs w:val="24"/>
        </w:rPr>
      </w:pPr>
      <w:r w:rsidRPr="00CA631E">
        <w:rPr>
          <w:rFonts w:ascii="Arial" w:hAnsi="Arial" w:cs="Arial"/>
          <w:b/>
          <w:sz w:val="24"/>
          <w:szCs w:val="24"/>
        </w:rPr>
        <w:t>Source:</w:t>
      </w:r>
      <w:r w:rsidRPr="00CA631E">
        <w:rPr>
          <w:rFonts w:ascii="Arial" w:hAnsi="Arial" w:cs="Arial"/>
          <w:sz w:val="24"/>
          <w:szCs w:val="24"/>
        </w:rPr>
        <w:t xml:space="preserve"> (MS-Excel)</w:t>
      </w:r>
    </w:p>
    <w:p w14:paraId="62D41004" w14:textId="77777777" w:rsidR="00850BF7" w:rsidRPr="00CA631E" w:rsidRDefault="00032E05" w:rsidP="000A79FF">
      <w:pPr>
        <w:spacing w:line="360" w:lineRule="auto"/>
        <w:jc w:val="both"/>
        <w:rPr>
          <w:rFonts w:ascii="Arial" w:hAnsi="Arial" w:cs="Arial"/>
          <w:sz w:val="24"/>
          <w:szCs w:val="24"/>
        </w:rPr>
      </w:pPr>
      <w:r w:rsidRPr="00CA631E">
        <w:rPr>
          <w:rFonts w:ascii="Arial" w:hAnsi="Arial" w:cs="Arial"/>
          <w:sz w:val="24"/>
          <w:szCs w:val="24"/>
        </w:rPr>
        <w:t>Throughout the five years the cash operating cycle was negative, ranging from –62 days in 2021 to –37 days in 2025, meaning that Greene King collected cash from customers in advance of the cash due to suppliers. This is driven by a robust cash generating business model, with cash and card sales as the primary sales method and the suppliers' credit terms being effective. Nonetheless, in spite of such an efficient working capital management, the working capital has been negative in all the years, which means that the company is still depending on getting cash in its due time to pay off short term liabilities</w:t>
      </w:r>
      <w:r w:rsidR="00660B73" w:rsidRPr="00CA631E">
        <w:rPr>
          <w:rFonts w:ascii="Arial" w:hAnsi="Arial" w:cs="Arial"/>
          <w:sz w:val="24"/>
          <w:szCs w:val="24"/>
        </w:rPr>
        <w:t xml:space="preserve"> (Companies House, 2026a)</w:t>
      </w:r>
      <w:r w:rsidRPr="00CA631E">
        <w:rPr>
          <w:rFonts w:ascii="Arial" w:hAnsi="Arial" w:cs="Arial"/>
          <w:sz w:val="24"/>
          <w:szCs w:val="24"/>
        </w:rPr>
        <w:t>. This can be a standard practice in the hospitality industry, which can help improve liquidity but, if combined with extended periods of inflation, rising financing costs, or declining consumer activity, can result in financial risk. Thus, Greene King must build on these measures and further develop their cash position and working capital management, ensuring they are handled with discipline to support long-term financial strength.</w:t>
      </w:r>
    </w:p>
    <w:p w14:paraId="7C7766F4" w14:textId="77777777" w:rsidR="000D50CB" w:rsidRPr="00CA631E" w:rsidRDefault="00852E02" w:rsidP="000A79FF">
      <w:pPr>
        <w:pStyle w:val="Heading2"/>
        <w:spacing w:line="360" w:lineRule="auto"/>
        <w:jc w:val="both"/>
        <w:rPr>
          <w:rFonts w:ascii="Arial" w:hAnsi="Arial" w:cs="Arial"/>
          <w:b/>
          <w:color w:val="auto"/>
          <w:sz w:val="24"/>
          <w:szCs w:val="24"/>
        </w:rPr>
      </w:pPr>
      <w:bookmarkStart w:id="21" w:name="_Toc234747800"/>
      <w:bookmarkStart w:id="22" w:name="_Toc235038579"/>
      <w:bookmarkStart w:id="23" w:name="_Toc236846834"/>
      <w:r w:rsidRPr="00CA631E">
        <w:rPr>
          <w:rFonts w:ascii="Arial" w:hAnsi="Arial" w:cs="Arial"/>
          <w:b/>
          <w:color w:val="auto"/>
          <w:sz w:val="24"/>
          <w:szCs w:val="24"/>
        </w:rPr>
        <w:t xml:space="preserve">2.2 </w:t>
      </w:r>
      <w:r w:rsidR="000D50CB" w:rsidRPr="00CA631E">
        <w:rPr>
          <w:rFonts w:ascii="Arial" w:hAnsi="Arial" w:cs="Arial"/>
          <w:b/>
          <w:color w:val="auto"/>
          <w:sz w:val="24"/>
          <w:szCs w:val="24"/>
        </w:rPr>
        <w:t>Strategies to improve liquidity through working capital reforms</w:t>
      </w:r>
      <w:bookmarkEnd w:id="21"/>
      <w:bookmarkEnd w:id="22"/>
      <w:bookmarkEnd w:id="23"/>
    </w:p>
    <w:p w14:paraId="0BB5A85D" w14:textId="77777777" w:rsidR="00032E05" w:rsidRPr="00CA631E" w:rsidRDefault="00032E05" w:rsidP="000A79FF">
      <w:pPr>
        <w:spacing w:line="360" w:lineRule="auto"/>
        <w:jc w:val="both"/>
        <w:rPr>
          <w:rFonts w:ascii="Arial" w:hAnsi="Arial" w:cs="Arial"/>
          <w:b/>
          <w:sz w:val="24"/>
          <w:szCs w:val="24"/>
        </w:rPr>
      </w:pPr>
      <w:r w:rsidRPr="00CA631E">
        <w:rPr>
          <w:rFonts w:ascii="Arial" w:hAnsi="Arial" w:cs="Arial"/>
          <w:b/>
          <w:sz w:val="24"/>
          <w:szCs w:val="24"/>
        </w:rPr>
        <w:t>Optimise Inventory Management</w:t>
      </w:r>
    </w:p>
    <w:p w14:paraId="5308A5DD" w14:textId="77777777" w:rsidR="00032E05" w:rsidRPr="00CA631E" w:rsidRDefault="00032E05" w:rsidP="000A79FF">
      <w:pPr>
        <w:spacing w:line="360" w:lineRule="auto"/>
        <w:jc w:val="both"/>
        <w:rPr>
          <w:rFonts w:ascii="Arial" w:hAnsi="Arial" w:cs="Arial"/>
          <w:sz w:val="24"/>
          <w:szCs w:val="24"/>
        </w:rPr>
      </w:pPr>
      <w:r w:rsidRPr="00CA631E">
        <w:rPr>
          <w:rFonts w:ascii="Arial" w:hAnsi="Arial" w:cs="Arial"/>
          <w:sz w:val="24"/>
          <w:szCs w:val="24"/>
        </w:rPr>
        <w:t xml:space="preserve">Greene King needs to improve demand forecasting and inventory optimization throughout the pub estate to eliminate excess stock and minimize holding costs. The average inventory turnover was 15–20 days for 2021-2025 and could become even more efficient with the help of AI forecasting and supplier coordination, thereby freeing </w:t>
      </w:r>
      <w:r w:rsidRPr="00CA631E">
        <w:rPr>
          <w:rFonts w:ascii="Arial" w:hAnsi="Arial" w:cs="Arial"/>
          <w:sz w:val="24"/>
          <w:szCs w:val="24"/>
        </w:rPr>
        <w:lastRenderedPageBreak/>
        <w:t>up more working capital. Reducing inventories would increase cash flow and minimize wastage and storage costs, especially for food and beverage businesses</w:t>
      </w:r>
      <w:r w:rsidR="00660B73" w:rsidRPr="00CA631E">
        <w:rPr>
          <w:rFonts w:ascii="Arial" w:hAnsi="Arial" w:cs="Arial"/>
          <w:sz w:val="24"/>
          <w:szCs w:val="24"/>
        </w:rPr>
        <w:t xml:space="preserve"> (Companies House, 2026b)</w:t>
      </w:r>
      <w:r w:rsidRPr="00CA631E">
        <w:rPr>
          <w:rFonts w:ascii="Arial" w:hAnsi="Arial" w:cs="Arial"/>
          <w:sz w:val="24"/>
          <w:szCs w:val="24"/>
        </w:rPr>
        <w:t>.</w:t>
      </w:r>
    </w:p>
    <w:p w14:paraId="0DD00454" w14:textId="77777777" w:rsidR="00032E05" w:rsidRPr="00CA631E" w:rsidRDefault="00032E05" w:rsidP="000A79FF">
      <w:pPr>
        <w:spacing w:line="360" w:lineRule="auto"/>
        <w:jc w:val="both"/>
        <w:rPr>
          <w:rFonts w:ascii="Arial" w:hAnsi="Arial" w:cs="Arial"/>
          <w:b/>
          <w:sz w:val="24"/>
          <w:szCs w:val="24"/>
        </w:rPr>
      </w:pPr>
      <w:r w:rsidRPr="00CA631E">
        <w:rPr>
          <w:rFonts w:ascii="Arial" w:hAnsi="Arial" w:cs="Arial"/>
          <w:b/>
          <w:sz w:val="24"/>
          <w:szCs w:val="24"/>
        </w:rPr>
        <w:t>Strengthen Cash Flow Management</w:t>
      </w:r>
    </w:p>
    <w:p w14:paraId="0042B35B" w14:textId="77777777" w:rsidR="00032E05" w:rsidRPr="00CA631E" w:rsidRDefault="00032E05" w:rsidP="000A79FF">
      <w:pPr>
        <w:spacing w:line="360" w:lineRule="auto"/>
        <w:jc w:val="both"/>
        <w:rPr>
          <w:rFonts w:ascii="Arial" w:hAnsi="Arial" w:cs="Arial"/>
          <w:sz w:val="24"/>
          <w:szCs w:val="24"/>
        </w:rPr>
      </w:pPr>
      <w:r w:rsidRPr="00CA631E">
        <w:rPr>
          <w:rFonts w:ascii="Arial" w:hAnsi="Arial" w:cs="Arial"/>
          <w:sz w:val="24"/>
          <w:szCs w:val="24"/>
        </w:rPr>
        <w:t>Greene King had a negative cash conversion cycle range between –62 and –33 days which means that the company receives cash from its customers before the payment for suppliers is due but the company should continue to improve cash flow forecasting and liquidity monitoring</w:t>
      </w:r>
      <w:r w:rsidR="00660B73" w:rsidRPr="00CA631E">
        <w:rPr>
          <w:rFonts w:ascii="Arial" w:hAnsi="Arial" w:cs="Arial"/>
          <w:sz w:val="24"/>
          <w:szCs w:val="24"/>
        </w:rPr>
        <w:t xml:space="preserve"> (Corporate Finance Institute, 2026)</w:t>
      </w:r>
      <w:r w:rsidRPr="00CA631E">
        <w:rPr>
          <w:rFonts w:ascii="Arial" w:hAnsi="Arial" w:cs="Arial"/>
          <w:sz w:val="24"/>
          <w:szCs w:val="24"/>
        </w:rPr>
        <w:t>. Operating cash flow rose to £375.1 million for 2025, which is a good level to allow short-term debts to be paid and enables further investment in the business without making heavy demands on external borrowing</w:t>
      </w:r>
      <w:r w:rsidR="000A79FF" w:rsidRPr="00CA631E">
        <w:rPr>
          <w:rFonts w:ascii="Arial" w:hAnsi="Arial" w:cs="Arial"/>
          <w:sz w:val="24"/>
          <w:szCs w:val="24"/>
        </w:rPr>
        <w:t xml:space="preserve"> (VisitBritain, 2026)</w:t>
      </w:r>
      <w:r w:rsidRPr="00CA631E">
        <w:rPr>
          <w:rFonts w:ascii="Arial" w:hAnsi="Arial" w:cs="Arial"/>
          <w:sz w:val="24"/>
          <w:szCs w:val="24"/>
        </w:rPr>
        <w:t>.</w:t>
      </w:r>
    </w:p>
    <w:p w14:paraId="19E75D50" w14:textId="77777777" w:rsidR="00032E05" w:rsidRPr="00CA631E" w:rsidRDefault="00032E05" w:rsidP="000A79FF">
      <w:pPr>
        <w:spacing w:line="360" w:lineRule="auto"/>
        <w:jc w:val="both"/>
        <w:rPr>
          <w:rFonts w:ascii="Arial" w:hAnsi="Arial" w:cs="Arial"/>
          <w:b/>
          <w:sz w:val="24"/>
          <w:szCs w:val="24"/>
        </w:rPr>
      </w:pPr>
      <w:r w:rsidRPr="00CA631E">
        <w:rPr>
          <w:rFonts w:ascii="Arial" w:hAnsi="Arial" w:cs="Arial"/>
          <w:b/>
          <w:sz w:val="24"/>
          <w:szCs w:val="24"/>
        </w:rPr>
        <w:t>Improve Supplier Payment Strategy</w:t>
      </w:r>
    </w:p>
    <w:p w14:paraId="5BF382D4" w14:textId="77777777" w:rsidR="00032E05" w:rsidRPr="00CA631E" w:rsidRDefault="00032E05" w:rsidP="000A79FF">
      <w:pPr>
        <w:spacing w:line="360" w:lineRule="auto"/>
        <w:jc w:val="both"/>
        <w:rPr>
          <w:rFonts w:ascii="Arial" w:hAnsi="Arial" w:cs="Arial"/>
          <w:sz w:val="24"/>
          <w:szCs w:val="24"/>
        </w:rPr>
      </w:pPr>
      <w:r w:rsidRPr="00CA631E">
        <w:rPr>
          <w:rFonts w:ascii="Arial" w:hAnsi="Arial" w:cs="Arial"/>
          <w:sz w:val="24"/>
          <w:szCs w:val="24"/>
        </w:rPr>
        <w:t>The company shall further negotiate better terms of credit with key suppliers and continue to maintain long term relationships with the suppliers. Payables turnover also stayed quite high at 56-93 days – helping liquidity in that Greene King could keep cash on their hands for a longer period of time</w:t>
      </w:r>
      <w:r w:rsidR="00660B73" w:rsidRPr="00CA631E">
        <w:rPr>
          <w:rFonts w:ascii="Arial" w:hAnsi="Arial" w:cs="Arial"/>
          <w:sz w:val="24"/>
          <w:szCs w:val="24"/>
        </w:rPr>
        <w:t xml:space="preserve"> (Financial Reporting Council, 2026a)</w:t>
      </w:r>
      <w:r w:rsidRPr="00CA631E">
        <w:rPr>
          <w:rFonts w:ascii="Arial" w:hAnsi="Arial" w:cs="Arial"/>
          <w:sz w:val="24"/>
          <w:szCs w:val="24"/>
        </w:rPr>
        <w:t>. But the terms of payment should be handled with great care, to not disturb the confidence and continuity of the suppliers.</w:t>
      </w:r>
    </w:p>
    <w:p w14:paraId="27EEF323" w14:textId="77777777" w:rsidR="00032E05" w:rsidRPr="00CA631E" w:rsidRDefault="00032E05" w:rsidP="000A79FF">
      <w:pPr>
        <w:spacing w:line="360" w:lineRule="auto"/>
        <w:jc w:val="both"/>
        <w:rPr>
          <w:rFonts w:ascii="Arial" w:hAnsi="Arial" w:cs="Arial"/>
          <w:b/>
          <w:sz w:val="24"/>
          <w:szCs w:val="24"/>
        </w:rPr>
      </w:pPr>
      <w:r w:rsidRPr="00CA631E">
        <w:rPr>
          <w:rFonts w:ascii="Arial" w:hAnsi="Arial" w:cs="Arial"/>
          <w:b/>
          <w:sz w:val="24"/>
          <w:szCs w:val="24"/>
        </w:rPr>
        <w:t>Enhance Digital Payment and Collection Systems</w:t>
      </w:r>
    </w:p>
    <w:p w14:paraId="14F255E4" w14:textId="77777777" w:rsidR="00032E05" w:rsidRPr="00CA631E" w:rsidRDefault="00032E05" w:rsidP="000A79FF">
      <w:pPr>
        <w:spacing w:line="360" w:lineRule="auto"/>
        <w:jc w:val="both"/>
        <w:rPr>
          <w:rFonts w:ascii="Arial" w:hAnsi="Arial" w:cs="Arial"/>
          <w:sz w:val="24"/>
          <w:szCs w:val="24"/>
        </w:rPr>
      </w:pPr>
      <w:r w:rsidRPr="00CA631E">
        <w:rPr>
          <w:rFonts w:ascii="Arial" w:hAnsi="Arial" w:cs="Arial"/>
          <w:sz w:val="24"/>
          <w:szCs w:val="24"/>
        </w:rPr>
        <w:t>Additional investment into digital ordering, contactless payments, automated reconciliation and customer loyalty systems will help to further speed up cash receipts and streamline operations</w:t>
      </w:r>
      <w:r w:rsidR="00660B73" w:rsidRPr="00CA631E">
        <w:rPr>
          <w:rFonts w:ascii="Arial" w:hAnsi="Arial" w:cs="Arial"/>
          <w:sz w:val="24"/>
          <w:szCs w:val="24"/>
        </w:rPr>
        <w:t xml:space="preserve"> (Financial Reporting Council, 2026b)</w:t>
      </w:r>
      <w:r w:rsidRPr="00CA631E">
        <w:rPr>
          <w:rFonts w:ascii="Arial" w:hAnsi="Arial" w:cs="Arial"/>
          <w:sz w:val="24"/>
          <w:szCs w:val="24"/>
        </w:rPr>
        <w:t>. The commitment to digital transformation has already had a positive impact on customer experience at Greene King and can be extended to help the company to further minimise transaction times and cash management in its wide-reaching business.</w:t>
      </w:r>
    </w:p>
    <w:p w14:paraId="2FD5CCF1" w14:textId="77777777" w:rsidR="00032E05" w:rsidRPr="00CA631E" w:rsidRDefault="00032E05" w:rsidP="000A79FF">
      <w:pPr>
        <w:spacing w:line="360" w:lineRule="auto"/>
        <w:jc w:val="both"/>
        <w:rPr>
          <w:rFonts w:ascii="Arial" w:hAnsi="Arial" w:cs="Arial"/>
          <w:b/>
          <w:sz w:val="24"/>
          <w:szCs w:val="24"/>
        </w:rPr>
      </w:pPr>
      <w:r w:rsidRPr="00CA631E">
        <w:rPr>
          <w:rFonts w:ascii="Arial" w:hAnsi="Arial" w:cs="Arial"/>
          <w:b/>
          <w:sz w:val="24"/>
          <w:szCs w:val="24"/>
        </w:rPr>
        <w:t>Prioritise Capital Expenditure</w:t>
      </w:r>
    </w:p>
    <w:p w14:paraId="38240D79" w14:textId="77777777" w:rsidR="003A5AFF" w:rsidRPr="00CA631E" w:rsidRDefault="00032E05" w:rsidP="000A79FF">
      <w:pPr>
        <w:spacing w:line="360" w:lineRule="auto"/>
        <w:jc w:val="both"/>
        <w:rPr>
          <w:rFonts w:ascii="Arial" w:hAnsi="Arial" w:cs="Arial"/>
          <w:sz w:val="24"/>
          <w:szCs w:val="24"/>
        </w:rPr>
      </w:pPr>
      <w:r w:rsidRPr="00CA631E">
        <w:rPr>
          <w:rFonts w:ascii="Arial" w:hAnsi="Arial" w:cs="Arial"/>
          <w:sz w:val="24"/>
          <w:szCs w:val="24"/>
        </w:rPr>
        <w:t xml:space="preserve">Greene King's investments should be focused on higher ROI projects and delay non-essential capital expenditures in times of economic uncertainty. Capital expenditure also grew, from £114.7 million in 2021 to £219.4 million in 2025, but prudent investment prioritisation will ensure the ability to maintain liquidity, free cash flow and </w:t>
      </w:r>
      <w:r w:rsidRPr="00CA631E">
        <w:rPr>
          <w:rFonts w:ascii="Arial" w:hAnsi="Arial" w:cs="Arial"/>
          <w:sz w:val="24"/>
          <w:szCs w:val="24"/>
        </w:rPr>
        <w:lastRenderedPageBreak/>
        <w:t>financial resilience whilst meeting long-term growth targets</w:t>
      </w:r>
      <w:r w:rsidR="00660B73" w:rsidRPr="00CA631E">
        <w:rPr>
          <w:rFonts w:ascii="Arial" w:hAnsi="Arial" w:cs="Arial"/>
          <w:sz w:val="24"/>
          <w:szCs w:val="24"/>
        </w:rPr>
        <w:t xml:space="preserve"> (Global Reporting Initiative, 2026)</w:t>
      </w:r>
      <w:r w:rsidRPr="00CA631E">
        <w:rPr>
          <w:rFonts w:ascii="Arial" w:hAnsi="Arial" w:cs="Arial"/>
          <w:sz w:val="24"/>
          <w:szCs w:val="24"/>
        </w:rPr>
        <w:t>.</w:t>
      </w:r>
    </w:p>
    <w:p w14:paraId="5A259F37" w14:textId="77777777" w:rsidR="000D50CB" w:rsidRPr="00CA631E" w:rsidRDefault="00852E02" w:rsidP="000A79FF">
      <w:pPr>
        <w:pStyle w:val="Heading2"/>
        <w:spacing w:line="360" w:lineRule="auto"/>
        <w:jc w:val="both"/>
        <w:rPr>
          <w:rFonts w:ascii="Arial" w:hAnsi="Arial" w:cs="Arial"/>
          <w:b/>
          <w:color w:val="auto"/>
          <w:sz w:val="24"/>
          <w:szCs w:val="24"/>
        </w:rPr>
      </w:pPr>
      <w:bookmarkStart w:id="24" w:name="_Toc234747801"/>
      <w:bookmarkStart w:id="25" w:name="_Toc235038580"/>
      <w:bookmarkStart w:id="26" w:name="_Toc236846835"/>
      <w:r w:rsidRPr="00CA631E">
        <w:rPr>
          <w:rFonts w:ascii="Arial" w:hAnsi="Arial" w:cs="Arial"/>
          <w:b/>
          <w:color w:val="auto"/>
          <w:sz w:val="24"/>
          <w:szCs w:val="24"/>
        </w:rPr>
        <w:t xml:space="preserve">2.3 </w:t>
      </w:r>
      <w:r w:rsidR="000D50CB" w:rsidRPr="00CA631E">
        <w:rPr>
          <w:rFonts w:ascii="Arial" w:hAnsi="Arial" w:cs="Arial"/>
          <w:b/>
          <w:color w:val="auto"/>
          <w:sz w:val="24"/>
          <w:szCs w:val="24"/>
        </w:rPr>
        <w:t>Short-term vs long-term financing options</w:t>
      </w:r>
      <w:bookmarkEnd w:id="24"/>
      <w:bookmarkEnd w:id="25"/>
      <w:bookmarkEnd w:id="26"/>
    </w:p>
    <w:p w14:paraId="7059ED06" w14:textId="77777777" w:rsidR="00032E05" w:rsidRPr="00CA631E" w:rsidRDefault="00032E05" w:rsidP="000A79FF">
      <w:pPr>
        <w:spacing w:line="360" w:lineRule="auto"/>
        <w:jc w:val="both"/>
        <w:rPr>
          <w:rFonts w:ascii="Arial" w:hAnsi="Arial" w:cs="Arial"/>
          <w:b/>
          <w:sz w:val="24"/>
          <w:szCs w:val="24"/>
        </w:rPr>
      </w:pPr>
      <w:r w:rsidRPr="00CA631E">
        <w:rPr>
          <w:rFonts w:ascii="Arial" w:hAnsi="Arial" w:cs="Arial"/>
          <w:b/>
          <w:sz w:val="24"/>
          <w:szCs w:val="24"/>
        </w:rPr>
        <w:t>Short-term Financing</w:t>
      </w:r>
    </w:p>
    <w:p w14:paraId="44E6FC89" w14:textId="77777777" w:rsidR="00032E05" w:rsidRPr="00CA631E" w:rsidRDefault="00032E05" w:rsidP="000A79FF">
      <w:pPr>
        <w:spacing w:line="360" w:lineRule="auto"/>
        <w:jc w:val="both"/>
        <w:rPr>
          <w:rFonts w:ascii="Arial" w:hAnsi="Arial" w:cs="Arial"/>
          <w:sz w:val="24"/>
          <w:szCs w:val="24"/>
        </w:rPr>
      </w:pPr>
      <w:r w:rsidRPr="00CA631E">
        <w:rPr>
          <w:rFonts w:ascii="Arial" w:hAnsi="Arial" w:cs="Arial"/>
          <w:sz w:val="24"/>
          <w:szCs w:val="24"/>
        </w:rPr>
        <w:t>Short term finance is appropriate for covering the needs of Greene King's day-to-day operations such as maintaining stock levels, paying employees and meeting seasonal demand variations</w:t>
      </w:r>
      <w:r w:rsidR="00660B73" w:rsidRPr="00CA631E">
        <w:rPr>
          <w:rFonts w:ascii="Arial" w:hAnsi="Arial" w:cs="Arial"/>
          <w:sz w:val="24"/>
          <w:szCs w:val="24"/>
        </w:rPr>
        <w:t xml:space="preserve"> (Greene King, 2025a)</w:t>
      </w:r>
      <w:r w:rsidRPr="00CA631E">
        <w:rPr>
          <w:rFonts w:ascii="Arial" w:hAnsi="Arial" w:cs="Arial"/>
          <w:sz w:val="24"/>
          <w:szCs w:val="24"/>
        </w:rPr>
        <w:t>. Because of the company's negative cash conversion cycle (–37 days in 2025) and operating cash flow of £375.1 million, flexible and cost effective funding can be sourced in the short term through bank overdrafts, revolving credit facilities and trade credit. But if they are too reliant on short-term borrowing, they may be exposed to the risk of refinancing when interest rates are higher and consumer spending less</w:t>
      </w:r>
      <w:r w:rsidR="000A79FF" w:rsidRPr="00CA631E">
        <w:rPr>
          <w:rFonts w:ascii="Arial" w:hAnsi="Arial" w:cs="Arial"/>
          <w:sz w:val="24"/>
          <w:szCs w:val="24"/>
        </w:rPr>
        <w:t xml:space="preserve"> (World Economic Forum, 2026)</w:t>
      </w:r>
      <w:r w:rsidRPr="00CA631E">
        <w:rPr>
          <w:rFonts w:ascii="Arial" w:hAnsi="Arial" w:cs="Arial"/>
          <w:sz w:val="24"/>
          <w:szCs w:val="24"/>
        </w:rPr>
        <w:t>.</w:t>
      </w:r>
    </w:p>
    <w:p w14:paraId="6C72E943" w14:textId="77777777" w:rsidR="00032E05" w:rsidRPr="00CA631E" w:rsidRDefault="00032E05" w:rsidP="000A79FF">
      <w:pPr>
        <w:spacing w:line="360" w:lineRule="auto"/>
        <w:jc w:val="both"/>
        <w:rPr>
          <w:rFonts w:ascii="Arial" w:hAnsi="Arial" w:cs="Arial"/>
          <w:b/>
          <w:sz w:val="24"/>
          <w:szCs w:val="24"/>
        </w:rPr>
      </w:pPr>
      <w:r w:rsidRPr="00CA631E">
        <w:rPr>
          <w:rFonts w:ascii="Arial" w:hAnsi="Arial" w:cs="Arial"/>
          <w:b/>
          <w:sz w:val="24"/>
          <w:szCs w:val="24"/>
        </w:rPr>
        <w:t>Long-term Financing</w:t>
      </w:r>
    </w:p>
    <w:p w14:paraId="0F6B92D9" w14:textId="77777777" w:rsidR="00032E05" w:rsidRPr="00CA631E" w:rsidRDefault="00032E05" w:rsidP="000A79FF">
      <w:pPr>
        <w:spacing w:line="360" w:lineRule="auto"/>
        <w:jc w:val="both"/>
        <w:rPr>
          <w:rFonts w:ascii="Arial" w:hAnsi="Arial" w:cs="Arial"/>
          <w:sz w:val="24"/>
          <w:szCs w:val="24"/>
        </w:rPr>
      </w:pPr>
      <w:r w:rsidRPr="00CA631E">
        <w:rPr>
          <w:rFonts w:ascii="Arial" w:hAnsi="Arial" w:cs="Arial"/>
          <w:sz w:val="24"/>
          <w:szCs w:val="24"/>
        </w:rPr>
        <w:t>Long-term funding would be more suitable for Greene King's strategic investments, such as pub refurbishments, digital transformation and estate expansion. There was a rise in capital expenditure from £114.7m in 2021 to £219.4m in 2025, exposing a need for consistent long-term funding, via term loans and/or corporate debt</w:t>
      </w:r>
      <w:r w:rsidR="00660B73" w:rsidRPr="00CA631E">
        <w:rPr>
          <w:rFonts w:ascii="Arial" w:hAnsi="Arial" w:cs="Arial"/>
          <w:sz w:val="24"/>
          <w:szCs w:val="24"/>
        </w:rPr>
        <w:t xml:space="preserve"> (Greene King, 2025b)</w:t>
      </w:r>
      <w:r w:rsidRPr="00CA631E">
        <w:rPr>
          <w:rFonts w:ascii="Arial" w:hAnsi="Arial" w:cs="Arial"/>
          <w:sz w:val="24"/>
          <w:szCs w:val="24"/>
        </w:rPr>
        <w:t>. Long term financing means higher interest rates on the borrowing, but results in decreased refinancing risk, increased financial stability and better ties between funding and the long term benefits produced by capital investments.</w:t>
      </w:r>
    </w:p>
    <w:p w14:paraId="2CED4AB4" w14:textId="77777777" w:rsidR="00850BF7" w:rsidRPr="00CA631E" w:rsidRDefault="00850BF7" w:rsidP="000A79FF">
      <w:pPr>
        <w:spacing w:line="360" w:lineRule="auto"/>
        <w:jc w:val="both"/>
        <w:rPr>
          <w:rFonts w:ascii="Arial" w:hAnsi="Arial" w:cs="Arial"/>
          <w:sz w:val="24"/>
          <w:szCs w:val="24"/>
        </w:rPr>
      </w:pPr>
    </w:p>
    <w:p w14:paraId="265793E3" w14:textId="77777777" w:rsidR="003A5AFF" w:rsidRPr="00CA631E" w:rsidRDefault="003A5AFF" w:rsidP="000A79FF">
      <w:pPr>
        <w:pStyle w:val="Heading1"/>
        <w:spacing w:line="360" w:lineRule="auto"/>
        <w:jc w:val="both"/>
        <w:rPr>
          <w:rFonts w:ascii="Arial" w:hAnsi="Arial" w:cs="Arial"/>
          <w:b/>
          <w:color w:val="auto"/>
          <w:sz w:val="24"/>
          <w:szCs w:val="24"/>
        </w:rPr>
      </w:pPr>
      <w:bookmarkStart w:id="27" w:name="_Toc234747802"/>
      <w:bookmarkStart w:id="28" w:name="_Toc235038581"/>
      <w:bookmarkStart w:id="29" w:name="_Toc236846836"/>
      <w:r w:rsidRPr="00CA631E">
        <w:rPr>
          <w:rFonts w:ascii="Arial" w:hAnsi="Arial" w:cs="Arial"/>
          <w:b/>
          <w:color w:val="auto"/>
          <w:sz w:val="24"/>
          <w:szCs w:val="24"/>
        </w:rPr>
        <w:t>3. Strategic Financial Restructuring Plan</w:t>
      </w:r>
      <w:bookmarkEnd w:id="27"/>
      <w:bookmarkEnd w:id="28"/>
      <w:bookmarkEnd w:id="29"/>
    </w:p>
    <w:p w14:paraId="08D143A9" w14:textId="77777777" w:rsidR="003A5AFF" w:rsidRPr="00CA631E" w:rsidRDefault="00852E02" w:rsidP="000A79FF">
      <w:pPr>
        <w:pStyle w:val="Heading2"/>
        <w:spacing w:line="360" w:lineRule="auto"/>
        <w:jc w:val="both"/>
        <w:rPr>
          <w:rFonts w:ascii="Arial" w:hAnsi="Arial" w:cs="Arial"/>
          <w:b/>
          <w:color w:val="auto"/>
          <w:sz w:val="24"/>
          <w:szCs w:val="24"/>
        </w:rPr>
      </w:pPr>
      <w:bookmarkStart w:id="30" w:name="_Toc234747803"/>
      <w:bookmarkStart w:id="31" w:name="_Toc235038582"/>
      <w:bookmarkStart w:id="32" w:name="_Toc236846837"/>
      <w:r w:rsidRPr="00CA631E">
        <w:rPr>
          <w:rFonts w:ascii="Arial" w:hAnsi="Arial" w:cs="Arial"/>
          <w:b/>
          <w:color w:val="auto"/>
          <w:sz w:val="24"/>
          <w:szCs w:val="24"/>
        </w:rPr>
        <w:t>3.1</w:t>
      </w:r>
      <w:r w:rsidR="003A5AFF" w:rsidRPr="00CA631E">
        <w:rPr>
          <w:rFonts w:ascii="Arial" w:hAnsi="Arial" w:cs="Arial"/>
          <w:b/>
          <w:color w:val="auto"/>
          <w:sz w:val="24"/>
          <w:szCs w:val="24"/>
        </w:rPr>
        <w:t xml:space="preserve"> Recommend financial restructuring options (e.g., divestiture, merger, equity injection).</w:t>
      </w:r>
      <w:bookmarkEnd w:id="30"/>
      <w:bookmarkEnd w:id="31"/>
      <w:bookmarkEnd w:id="32"/>
    </w:p>
    <w:p w14:paraId="5F1D55DA" w14:textId="77777777" w:rsidR="00032E05" w:rsidRPr="00CA631E" w:rsidRDefault="00032E05" w:rsidP="000A79FF">
      <w:pPr>
        <w:spacing w:line="360" w:lineRule="auto"/>
        <w:jc w:val="both"/>
        <w:rPr>
          <w:rFonts w:ascii="Arial" w:hAnsi="Arial" w:cs="Arial"/>
          <w:b/>
          <w:sz w:val="24"/>
          <w:szCs w:val="24"/>
        </w:rPr>
      </w:pPr>
      <w:r w:rsidRPr="00CA631E">
        <w:rPr>
          <w:rFonts w:ascii="Arial" w:hAnsi="Arial" w:cs="Arial"/>
          <w:b/>
          <w:sz w:val="24"/>
          <w:szCs w:val="24"/>
        </w:rPr>
        <w:t>Selective Asset Divestiture</w:t>
      </w:r>
    </w:p>
    <w:p w14:paraId="03737387" w14:textId="77777777" w:rsidR="00032E05" w:rsidRPr="00CA631E" w:rsidRDefault="00CB4A78" w:rsidP="000A79FF">
      <w:pPr>
        <w:spacing w:line="360" w:lineRule="auto"/>
        <w:jc w:val="both"/>
        <w:rPr>
          <w:rFonts w:ascii="Arial" w:hAnsi="Arial" w:cs="Arial"/>
          <w:sz w:val="24"/>
          <w:szCs w:val="24"/>
        </w:rPr>
      </w:pPr>
      <w:r w:rsidRPr="00CA631E">
        <w:rPr>
          <w:rFonts w:ascii="Arial" w:hAnsi="Arial" w:cs="Arial"/>
          <w:sz w:val="24"/>
          <w:szCs w:val="24"/>
        </w:rPr>
        <w:t>Greene King should review its non-core/underperforming pub properties to sell to boost financial flexibility and balance sheet. Revenue rose to £2.54 billion in 2025 but profitability was irregular as a result of impairment losses and high operating costs</w:t>
      </w:r>
      <w:r w:rsidR="00660B73" w:rsidRPr="00CA631E">
        <w:rPr>
          <w:rFonts w:ascii="Arial" w:hAnsi="Arial" w:cs="Arial"/>
          <w:sz w:val="24"/>
          <w:szCs w:val="24"/>
        </w:rPr>
        <w:t xml:space="preserve"> (Greene King, 2025c)</w:t>
      </w:r>
      <w:r w:rsidRPr="00CA631E">
        <w:rPr>
          <w:rFonts w:ascii="Arial" w:hAnsi="Arial" w:cs="Arial"/>
          <w:sz w:val="24"/>
          <w:szCs w:val="24"/>
        </w:rPr>
        <w:t>. The sale of non-performing assets would also provide funds to reduce maintenance and enable the company to invest in high-performing managed pubs, premium brands and digital programs which have higher long-term value.</w:t>
      </w:r>
    </w:p>
    <w:p w14:paraId="7F23A1A9" w14:textId="77777777" w:rsidR="00032E05" w:rsidRPr="00CA631E" w:rsidRDefault="00032E05" w:rsidP="000A79FF">
      <w:pPr>
        <w:spacing w:line="360" w:lineRule="auto"/>
        <w:jc w:val="both"/>
        <w:rPr>
          <w:rFonts w:ascii="Arial" w:hAnsi="Arial" w:cs="Arial"/>
          <w:b/>
          <w:sz w:val="24"/>
          <w:szCs w:val="24"/>
        </w:rPr>
      </w:pPr>
      <w:r w:rsidRPr="00CA631E">
        <w:rPr>
          <w:rFonts w:ascii="Arial" w:hAnsi="Arial" w:cs="Arial"/>
          <w:b/>
          <w:sz w:val="24"/>
          <w:szCs w:val="24"/>
        </w:rPr>
        <w:lastRenderedPageBreak/>
        <w:t>Debt Restructuring</w:t>
      </w:r>
    </w:p>
    <w:p w14:paraId="14FDC343" w14:textId="77777777" w:rsidR="00032E05" w:rsidRPr="00CA631E" w:rsidRDefault="00CB4A78" w:rsidP="000A79FF">
      <w:pPr>
        <w:spacing w:line="360" w:lineRule="auto"/>
        <w:jc w:val="both"/>
        <w:rPr>
          <w:rFonts w:ascii="Arial" w:hAnsi="Arial" w:cs="Arial"/>
          <w:sz w:val="24"/>
          <w:szCs w:val="24"/>
        </w:rPr>
      </w:pPr>
      <w:r w:rsidRPr="00CA631E">
        <w:rPr>
          <w:rFonts w:ascii="Arial" w:hAnsi="Arial" w:cs="Arial"/>
          <w:sz w:val="24"/>
          <w:szCs w:val="24"/>
        </w:rPr>
        <w:t>The company's gearing position is relatively high, so restructuring the existing debt by extending the maturity dates of the loans or refinancing would be beneficial for the company in terms of reducing refinancing pressure and improving liquidity. Interest coverage rose to 1.83 times in 2025, suggesting that debt servicing is more feasible than in previous years</w:t>
      </w:r>
      <w:r w:rsidR="00660B73" w:rsidRPr="00CA631E">
        <w:rPr>
          <w:rFonts w:ascii="Arial" w:hAnsi="Arial" w:cs="Arial"/>
          <w:sz w:val="24"/>
          <w:szCs w:val="24"/>
        </w:rPr>
        <w:t xml:space="preserve"> (Greene King, 2025d)</w:t>
      </w:r>
      <w:r w:rsidRPr="00CA631E">
        <w:rPr>
          <w:rFonts w:ascii="Arial" w:hAnsi="Arial" w:cs="Arial"/>
          <w:sz w:val="24"/>
          <w:szCs w:val="24"/>
        </w:rPr>
        <w:t>. Lower financing costs and an optimised debt profile would help to improve cash flow and facilitate future investments and operational resiliency.</w:t>
      </w:r>
    </w:p>
    <w:p w14:paraId="6638A659" w14:textId="77777777" w:rsidR="00032E05" w:rsidRPr="00CA631E" w:rsidRDefault="00032E05" w:rsidP="000A79FF">
      <w:pPr>
        <w:spacing w:line="360" w:lineRule="auto"/>
        <w:jc w:val="both"/>
        <w:rPr>
          <w:rFonts w:ascii="Arial" w:hAnsi="Arial" w:cs="Arial"/>
          <w:b/>
          <w:sz w:val="24"/>
          <w:szCs w:val="24"/>
        </w:rPr>
      </w:pPr>
      <w:r w:rsidRPr="00CA631E">
        <w:rPr>
          <w:rFonts w:ascii="Arial" w:hAnsi="Arial" w:cs="Arial"/>
          <w:b/>
          <w:sz w:val="24"/>
          <w:szCs w:val="24"/>
        </w:rPr>
        <w:t>Equity Injection from Parent Company</w:t>
      </w:r>
    </w:p>
    <w:p w14:paraId="26528956" w14:textId="77777777" w:rsidR="00032E05" w:rsidRPr="00CA631E" w:rsidRDefault="00CB4A78" w:rsidP="000A79FF">
      <w:pPr>
        <w:spacing w:line="360" w:lineRule="auto"/>
        <w:jc w:val="both"/>
        <w:rPr>
          <w:rFonts w:ascii="Arial" w:hAnsi="Arial" w:cs="Arial"/>
          <w:sz w:val="24"/>
          <w:szCs w:val="24"/>
        </w:rPr>
      </w:pPr>
      <w:r w:rsidRPr="00CA631E">
        <w:rPr>
          <w:rFonts w:ascii="Arial" w:hAnsi="Arial" w:cs="Arial"/>
          <w:sz w:val="24"/>
          <w:szCs w:val="24"/>
        </w:rPr>
        <w:t>Further equity investment from CK Asset Holdings may help to further bolster the company's capital base without adding to the financial leverage</w:t>
      </w:r>
      <w:r w:rsidR="000A79FF" w:rsidRPr="00CA631E">
        <w:rPr>
          <w:rFonts w:ascii="Arial" w:hAnsi="Arial" w:cs="Arial"/>
          <w:sz w:val="24"/>
          <w:szCs w:val="24"/>
        </w:rPr>
        <w:t xml:space="preserve"> (CGA by NIQ, 2026)</w:t>
      </w:r>
      <w:r w:rsidRPr="00CA631E">
        <w:rPr>
          <w:rFonts w:ascii="Arial" w:hAnsi="Arial" w:cs="Arial"/>
          <w:sz w:val="24"/>
          <w:szCs w:val="24"/>
        </w:rPr>
        <w:t>. An equity injection would help to finance strategic investments, such as estate refurbishment, sustainability initiatives, and digital transformation, thereby diversifying financing sources from debt and enhancing long-term financial stability</w:t>
      </w:r>
      <w:r w:rsidR="00660B73" w:rsidRPr="00CA631E">
        <w:rPr>
          <w:rFonts w:ascii="Arial" w:hAnsi="Arial" w:cs="Arial"/>
          <w:sz w:val="24"/>
          <w:szCs w:val="24"/>
        </w:rPr>
        <w:t xml:space="preserve"> (Greene King, 2025e)</w:t>
      </w:r>
      <w:r w:rsidRPr="00CA631E">
        <w:rPr>
          <w:rFonts w:ascii="Arial" w:hAnsi="Arial" w:cs="Arial"/>
          <w:sz w:val="24"/>
          <w:szCs w:val="24"/>
        </w:rPr>
        <w:t>.</w:t>
      </w:r>
    </w:p>
    <w:p w14:paraId="476B7C63" w14:textId="77777777" w:rsidR="00032E05" w:rsidRPr="00CA631E" w:rsidRDefault="00032E05" w:rsidP="000A79FF">
      <w:pPr>
        <w:spacing w:line="360" w:lineRule="auto"/>
        <w:jc w:val="both"/>
        <w:rPr>
          <w:rFonts w:ascii="Arial" w:hAnsi="Arial" w:cs="Arial"/>
          <w:b/>
          <w:sz w:val="24"/>
          <w:szCs w:val="24"/>
        </w:rPr>
      </w:pPr>
      <w:r w:rsidRPr="00CA631E">
        <w:rPr>
          <w:rFonts w:ascii="Arial" w:hAnsi="Arial" w:cs="Arial"/>
          <w:b/>
          <w:sz w:val="24"/>
          <w:szCs w:val="24"/>
        </w:rPr>
        <w:t>Strategic Partnerships and Joint Ventures</w:t>
      </w:r>
    </w:p>
    <w:p w14:paraId="018FBB22" w14:textId="77777777" w:rsidR="003A5AFF" w:rsidRPr="00CA631E" w:rsidRDefault="00CB4A78" w:rsidP="000A79FF">
      <w:pPr>
        <w:pStyle w:val="NormalWeb"/>
        <w:spacing w:line="360" w:lineRule="auto"/>
        <w:jc w:val="both"/>
        <w:rPr>
          <w:rFonts w:ascii="Arial" w:hAnsi="Arial" w:cs="Arial"/>
        </w:rPr>
      </w:pPr>
      <w:r w:rsidRPr="00CA631E">
        <w:rPr>
          <w:rFonts w:ascii="Arial" w:hAnsi="Arial" w:cs="Arial"/>
        </w:rPr>
        <w:t>Rather than a purely debt-driven approach to expansion, Greene King may be able to grow through strategic partnerships or joint ventures for new hospitality concepts, and investments in technology. Under this strategy, the company can pool investments, share financial risk, speed up innovation, gain market competitiveness, and maintain flexibility of operation.</w:t>
      </w:r>
    </w:p>
    <w:p w14:paraId="020AC0AD" w14:textId="77777777" w:rsidR="003A5AFF" w:rsidRPr="00CA631E" w:rsidRDefault="00852E02" w:rsidP="000A79FF">
      <w:pPr>
        <w:pStyle w:val="Heading2"/>
        <w:spacing w:line="360" w:lineRule="auto"/>
        <w:jc w:val="both"/>
        <w:rPr>
          <w:rFonts w:ascii="Arial" w:hAnsi="Arial" w:cs="Arial"/>
          <w:b/>
          <w:color w:val="auto"/>
          <w:sz w:val="24"/>
          <w:szCs w:val="24"/>
        </w:rPr>
      </w:pPr>
      <w:bookmarkStart w:id="33" w:name="_Toc234747804"/>
      <w:bookmarkStart w:id="34" w:name="_Toc235038583"/>
      <w:bookmarkStart w:id="35" w:name="_Toc236846838"/>
      <w:r w:rsidRPr="00CA631E">
        <w:rPr>
          <w:rFonts w:ascii="Arial" w:hAnsi="Arial" w:cs="Arial"/>
          <w:b/>
          <w:color w:val="auto"/>
          <w:sz w:val="24"/>
          <w:szCs w:val="24"/>
        </w:rPr>
        <w:t>3.2</w:t>
      </w:r>
      <w:r w:rsidR="003A5AFF" w:rsidRPr="00CA631E">
        <w:rPr>
          <w:rFonts w:ascii="Arial" w:hAnsi="Arial" w:cs="Arial"/>
          <w:b/>
          <w:color w:val="auto"/>
          <w:sz w:val="24"/>
          <w:szCs w:val="24"/>
        </w:rPr>
        <w:t xml:space="preserve"> Evaluate impact on shareholder value, debt structure, and operational flexibility.</w:t>
      </w:r>
      <w:bookmarkEnd w:id="33"/>
      <w:bookmarkEnd w:id="34"/>
      <w:bookmarkEnd w:id="35"/>
    </w:p>
    <w:p w14:paraId="718E5E99" w14:textId="77777777" w:rsidR="00CB4A78" w:rsidRPr="00CA631E" w:rsidRDefault="00CB4A78" w:rsidP="000A79FF">
      <w:pPr>
        <w:spacing w:line="360" w:lineRule="auto"/>
        <w:jc w:val="both"/>
        <w:rPr>
          <w:rFonts w:ascii="Arial" w:hAnsi="Arial" w:cs="Arial"/>
          <w:b/>
          <w:sz w:val="24"/>
          <w:szCs w:val="24"/>
        </w:rPr>
      </w:pPr>
      <w:r w:rsidRPr="00CA631E">
        <w:rPr>
          <w:rFonts w:ascii="Arial" w:hAnsi="Arial" w:cs="Arial"/>
          <w:b/>
          <w:sz w:val="24"/>
          <w:szCs w:val="24"/>
        </w:rPr>
        <w:t>Impact on Shareholder Value</w:t>
      </w:r>
    </w:p>
    <w:p w14:paraId="7DD0104B" w14:textId="77777777" w:rsidR="00CB4A78" w:rsidRPr="00CA631E" w:rsidRDefault="00CB4A78" w:rsidP="000A79FF">
      <w:pPr>
        <w:spacing w:line="360" w:lineRule="auto"/>
        <w:jc w:val="both"/>
        <w:rPr>
          <w:rFonts w:ascii="Arial" w:hAnsi="Arial" w:cs="Arial"/>
          <w:sz w:val="24"/>
          <w:szCs w:val="24"/>
        </w:rPr>
      </w:pPr>
      <w:r w:rsidRPr="00CA631E">
        <w:rPr>
          <w:rFonts w:ascii="Arial" w:hAnsi="Arial" w:cs="Arial"/>
          <w:sz w:val="24"/>
          <w:szCs w:val="24"/>
        </w:rPr>
        <w:t>While Greene King is owned 100</w:t>
      </w:r>
      <w:r w:rsidR="00C858E9" w:rsidRPr="00CA631E">
        <w:rPr>
          <w:rFonts w:ascii="Arial" w:hAnsi="Arial" w:cs="Arial"/>
          <w:sz w:val="24"/>
          <w:szCs w:val="24"/>
        </w:rPr>
        <w:t xml:space="preserve">% </w:t>
      </w:r>
      <w:r w:rsidRPr="00CA631E">
        <w:rPr>
          <w:rFonts w:ascii="Arial" w:hAnsi="Arial" w:cs="Arial"/>
          <w:sz w:val="24"/>
          <w:szCs w:val="24"/>
        </w:rPr>
        <w:t>by CK Asset Holdings, financial restructuring can still add value to the shareholders by increasing profitability, cash generation and long-term business performance</w:t>
      </w:r>
      <w:r w:rsidR="00660B73" w:rsidRPr="00CA631E">
        <w:rPr>
          <w:rFonts w:ascii="Arial" w:hAnsi="Arial" w:cs="Arial"/>
          <w:sz w:val="24"/>
          <w:szCs w:val="24"/>
        </w:rPr>
        <w:t xml:space="preserve"> (Greene King, 2025f)</w:t>
      </w:r>
      <w:r w:rsidRPr="00CA631E">
        <w:rPr>
          <w:rFonts w:ascii="Arial" w:hAnsi="Arial" w:cs="Arial"/>
          <w:sz w:val="24"/>
          <w:szCs w:val="24"/>
        </w:rPr>
        <w:t xml:space="preserve">. Revenue has been growing from £1.34 billion in 2021 to £2.54 billion in 2025 and operating profit has been improved to £217.4 million in 2025. The company would generate better margins on invested money in less time and boost the long-term value of the company by divesting the </w:t>
      </w:r>
      <w:r w:rsidRPr="00CA631E">
        <w:rPr>
          <w:rFonts w:ascii="Arial" w:hAnsi="Arial" w:cs="Arial"/>
          <w:sz w:val="24"/>
          <w:szCs w:val="24"/>
        </w:rPr>
        <w:lastRenderedPageBreak/>
        <w:t>non-core assets and investing in more successful pubs and digital ventures</w:t>
      </w:r>
      <w:r w:rsidR="000A79FF" w:rsidRPr="00CA631E">
        <w:rPr>
          <w:rFonts w:ascii="Arial" w:hAnsi="Arial" w:cs="Arial"/>
          <w:sz w:val="24"/>
          <w:szCs w:val="24"/>
        </w:rPr>
        <w:t xml:space="preserve"> (ACCA, 2026)</w:t>
      </w:r>
      <w:r w:rsidRPr="00CA631E">
        <w:rPr>
          <w:rFonts w:ascii="Arial" w:hAnsi="Arial" w:cs="Arial"/>
          <w:sz w:val="24"/>
          <w:szCs w:val="24"/>
        </w:rPr>
        <w:t>.</w:t>
      </w:r>
    </w:p>
    <w:p w14:paraId="320E16BE" w14:textId="77777777" w:rsidR="00CB4A78" w:rsidRPr="00CA631E" w:rsidRDefault="00CB4A78" w:rsidP="000A79FF">
      <w:pPr>
        <w:spacing w:line="360" w:lineRule="auto"/>
        <w:jc w:val="both"/>
        <w:rPr>
          <w:rFonts w:ascii="Arial" w:hAnsi="Arial" w:cs="Arial"/>
          <w:b/>
          <w:sz w:val="24"/>
          <w:szCs w:val="24"/>
        </w:rPr>
      </w:pPr>
      <w:r w:rsidRPr="00CA631E">
        <w:rPr>
          <w:rFonts w:ascii="Arial" w:hAnsi="Arial" w:cs="Arial"/>
          <w:b/>
          <w:sz w:val="24"/>
          <w:szCs w:val="24"/>
        </w:rPr>
        <w:t>Impact on Debt Structure</w:t>
      </w:r>
    </w:p>
    <w:p w14:paraId="618B367C" w14:textId="77777777" w:rsidR="00CB4A78" w:rsidRPr="00CA631E" w:rsidRDefault="00CB4A78" w:rsidP="000A79FF">
      <w:pPr>
        <w:spacing w:line="360" w:lineRule="auto"/>
        <w:jc w:val="both"/>
        <w:rPr>
          <w:rFonts w:ascii="Arial" w:hAnsi="Arial" w:cs="Arial"/>
          <w:sz w:val="24"/>
          <w:szCs w:val="24"/>
        </w:rPr>
      </w:pPr>
      <w:r w:rsidRPr="00CA631E">
        <w:rPr>
          <w:rFonts w:ascii="Arial" w:hAnsi="Arial" w:cs="Arial"/>
          <w:sz w:val="24"/>
          <w:szCs w:val="24"/>
        </w:rPr>
        <w:t>Structuring the debts would improve the capital structure of Greene King because it would reduce the risk of refinancing and also interest costs. The company had relatively high financial leverage as evidenced by its debt-to-equity ratio that did not fall below 5.0 for the five-year period</w:t>
      </w:r>
      <w:r w:rsidR="00660B73" w:rsidRPr="00CA631E">
        <w:rPr>
          <w:rFonts w:ascii="Arial" w:hAnsi="Arial" w:cs="Arial"/>
          <w:sz w:val="24"/>
          <w:szCs w:val="24"/>
        </w:rPr>
        <w:t xml:space="preserve"> (Greene King, 2025g)</w:t>
      </w:r>
      <w:r w:rsidRPr="00CA631E">
        <w:rPr>
          <w:rFonts w:ascii="Arial" w:hAnsi="Arial" w:cs="Arial"/>
          <w:sz w:val="24"/>
          <w:szCs w:val="24"/>
        </w:rPr>
        <w:t>. Selling existing borrowings, extending maturities or adding capital from CK Asset Holdings would alleviate financial risk, enhance interest coverage, and boost financial stability.</w:t>
      </w:r>
    </w:p>
    <w:p w14:paraId="34B62D7B" w14:textId="77777777" w:rsidR="00CB4A78" w:rsidRPr="00CA631E" w:rsidRDefault="00CB4A78" w:rsidP="000A79FF">
      <w:pPr>
        <w:spacing w:line="360" w:lineRule="auto"/>
        <w:jc w:val="both"/>
        <w:rPr>
          <w:rFonts w:ascii="Arial" w:hAnsi="Arial" w:cs="Arial"/>
          <w:b/>
          <w:sz w:val="24"/>
          <w:szCs w:val="24"/>
        </w:rPr>
      </w:pPr>
      <w:r w:rsidRPr="00CA631E">
        <w:rPr>
          <w:rFonts w:ascii="Arial" w:hAnsi="Arial" w:cs="Arial"/>
          <w:b/>
          <w:sz w:val="24"/>
          <w:szCs w:val="24"/>
        </w:rPr>
        <w:t>Impact on Operational Flexibility</w:t>
      </w:r>
    </w:p>
    <w:p w14:paraId="4BFB99E1" w14:textId="77777777" w:rsidR="003A5AFF" w:rsidRPr="00CA631E" w:rsidRDefault="00CB4A78" w:rsidP="000A79FF">
      <w:pPr>
        <w:spacing w:line="360" w:lineRule="auto"/>
        <w:jc w:val="both"/>
        <w:rPr>
          <w:rFonts w:ascii="Arial" w:hAnsi="Arial" w:cs="Arial"/>
          <w:sz w:val="24"/>
          <w:szCs w:val="24"/>
        </w:rPr>
      </w:pPr>
      <w:r w:rsidRPr="00CA631E">
        <w:rPr>
          <w:rFonts w:ascii="Arial" w:hAnsi="Arial" w:cs="Arial"/>
          <w:sz w:val="24"/>
          <w:szCs w:val="24"/>
        </w:rPr>
        <w:t>Greater financial strength would give Greene King more resources to carry out strategic investment and business expansion, and enable them to be more flexible in their operations. This will allow the company to fund pub refurbishments, customer experience enhancements, sustainability projects and also digital transformation, as well as better adapting to the changing market and economic conditions, thanks to an improved liquidity position with operating cash flow of £375.1 million and free cash flow of £101.3 million in 2025</w:t>
      </w:r>
      <w:r w:rsidR="00660B73" w:rsidRPr="00CA631E">
        <w:rPr>
          <w:rFonts w:ascii="Arial" w:hAnsi="Arial" w:cs="Arial"/>
          <w:sz w:val="24"/>
          <w:szCs w:val="24"/>
        </w:rPr>
        <w:t xml:space="preserve"> (HM Revenue &amp; Customs, 2025a)</w:t>
      </w:r>
      <w:r w:rsidRPr="00CA631E">
        <w:rPr>
          <w:rFonts w:ascii="Arial" w:hAnsi="Arial" w:cs="Arial"/>
          <w:sz w:val="24"/>
          <w:szCs w:val="24"/>
        </w:rPr>
        <w:t>.</w:t>
      </w:r>
    </w:p>
    <w:p w14:paraId="0E4B308C" w14:textId="77777777" w:rsidR="003A5AFF" w:rsidRPr="00CA631E" w:rsidRDefault="00852E02" w:rsidP="000A79FF">
      <w:pPr>
        <w:pStyle w:val="Heading2"/>
        <w:spacing w:line="360" w:lineRule="auto"/>
        <w:jc w:val="both"/>
        <w:rPr>
          <w:rFonts w:ascii="Arial" w:hAnsi="Arial" w:cs="Arial"/>
          <w:b/>
          <w:color w:val="auto"/>
          <w:sz w:val="24"/>
          <w:szCs w:val="24"/>
        </w:rPr>
      </w:pPr>
      <w:bookmarkStart w:id="36" w:name="_Toc234747805"/>
      <w:bookmarkStart w:id="37" w:name="_Toc235038584"/>
      <w:bookmarkStart w:id="38" w:name="_Toc236846839"/>
      <w:r w:rsidRPr="00CA631E">
        <w:rPr>
          <w:rFonts w:ascii="Arial" w:hAnsi="Arial" w:cs="Arial"/>
          <w:b/>
          <w:color w:val="auto"/>
          <w:sz w:val="24"/>
          <w:szCs w:val="24"/>
        </w:rPr>
        <w:t>3.3</w:t>
      </w:r>
      <w:r w:rsidR="003A5AFF" w:rsidRPr="00CA631E">
        <w:rPr>
          <w:rFonts w:ascii="Arial" w:hAnsi="Arial" w:cs="Arial"/>
          <w:b/>
          <w:color w:val="auto"/>
          <w:sz w:val="24"/>
          <w:szCs w:val="24"/>
        </w:rPr>
        <w:t xml:space="preserve"> Include international and ethical considerations (taxation, currency risk, inflation, CSR or ESG).</w:t>
      </w:r>
      <w:bookmarkEnd w:id="36"/>
      <w:bookmarkEnd w:id="37"/>
      <w:bookmarkEnd w:id="38"/>
    </w:p>
    <w:p w14:paraId="75921C3C" w14:textId="77777777" w:rsidR="00CB4A78" w:rsidRPr="00CA631E" w:rsidRDefault="00CB4A78" w:rsidP="000A79FF">
      <w:pPr>
        <w:spacing w:line="360" w:lineRule="auto"/>
        <w:jc w:val="both"/>
        <w:rPr>
          <w:rFonts w:ascii="Arial" w:hAnsi="Arial" w:cs="Arial"/>
          <w:b/>
          <w:sz w:val="24"/>
          <w:szCs w:val="24"/>
        </w:rPr>
      </w:pPr>
      <w:r w:rsidRPr="00CA631E">
        <w:rPr>
          <w:rFonts w:ascii="Arial" w:hAnsi="Arial" w:cs="Arial"/>
          <w:b/>
          <w:sz w:val="24"/>
          <w:szCs w:val="24"/>
        </w:rPr>
        <w:t>Taxation Considerations</w:t>
      </w:r>
    </w:p>
    <w:p w14:paraId="01521E8A" w14:textId="77777777" w:rsidR="00CB4A78" w:rsidRPr="00CA631E" w:rsidRDefault="00CB4A78" w:rsidP="000A79FF">
      <w:pPr>
        <w:spacing w:line="360" w:lineRule="auto"/>
        <w:jc w:val="both"/>
        <w:rPr>
          <w:rFonts w:ascii="Arial" w:hAnsi="Arial" w:cs="Arial"/>
          <w:sz w:val="24"/>
          <w:szCs w:val="24"/>
        </w:rPr>
      </w:pPr>
      <w:r w:rsidRPr="00CA631E">
        <w:rPr>
          <w:rFonts w:ascii="Arial" w:hAnsi="Arial" w:cs="Arial"/>
          <w:sz w:val="24"/>
          <w:szCs w:val="24"/>
        </w:rPr>
        <w:t>Greene King should look to use the most capital allowances, investment reliefs and tax efficiency that are allowed under UK corporation tax law. It's not just about reducing regulatory risk, but also about enhancing cash flow and corporate reputation by establishing a clear tax strategy</w:t>
      </w:r>
      <w:r w:rsidR="00660B73" w:rsidRPr="00CA631E">
        <w:rPr>
          <w:rFonts w:ascii="Arial" w:hAnsi="Arial" w:cs="Arial"/>
          <w:sz w:val="24"/>
          <w:szCs w:val="24"/>
        </w:rPr>
        <w:t xml:space="preserve"> (HM Revenue &amp; Customs, 2025b)</w:t>
      </w:r>
      <w:r w:rsidRPr="00CA631E">
        <w:rPr>
          <w:rFonts w:ascii="Arial" w:hAnsi="Arial" w:cs="Arial"/>
          <w:sz w:val="24"/>
          <w:szCs w:val="24"/>
        </w:rPr>
        <w:t>. In addition, tax compliance facilitates financial restructuring in a sustainable manner without legal or reputational problems.</w:t>
      </w:r>
    </w:p>
    <w:p w14:paraId="466A479C" w14:textId="77777777" w:rsidR="00CB4A78" w:rsidRPr="00CA631E" w:rsidRDefault="00CB4A78" w:rsidP="000A79FF">
      <w:pPr>
        <w:spacing w:line="360" w:lineRule="auto"/>
        <w:jc w:val="both"/>
        <w:rPr>
          <w:rFonts w:ascii="Arial" w:hAnsi="Arial" w:cs="Arial"/>
          <w:b/>
          <w:sz w:val="24"/>
          <w:szCs w:val="24"/>
        </w:rPr>
      </w:pPr>
      <w:r w:rsidRPr="00CA631E">
        <w:rPr>
          <w:rFonts w:ascii="Arial" w:hAnsi="Arial" w:cs="Arial"/>
          <w:b/>
          <w:sz w:val="24"/>
          <w:szCs w:val="24"/>
        </w:rPr>
        <w:t>Currency Risk</w:t>
      </w:r>
    </w:p>
    <w:p w14:paraId="7649FD58" w14:textId="77777777" w:rsidR="00CB4A78" w:rsidRPr="00CA631E" w:rsidRDefault="00CB4A78" w:rsidP="000A79FF">
      <w:pPr>
        <w:spacing w:line="360" w:lineRule="auto"/>
        <w:jc w:val="both"/>
        <w:rPr>
          <w:rFonts w:ascii="Arial" w:hAnsi="Arial" w:cs="Arial"/>
          <w:sz w:val="24"/>
          <w:szCs w:val="24"/>
        </w:rPr>
      </w:pPr>
      <w:r w:rsidRPr="00CA631E">
        <w:rPr>
          <w:rFonts w:ascii="Arial" w:hAnsi="Arial" w:cs="Arial"/>
          <w:sz w:val="24"/>
          <w:szCs w:val="24"/>
        </w:rPr>
        <w:t>Greene King's food, drink and equipment are sourced internationally, which means that the business is affected by exchange rate fluctuations. Volatile currencies can lead to rising procurement expenses and diminished profit margins</w:t>
      </w:r>
      <w:r w:rsidR="00660B73" w:rsidRPr="00CA631E">
        <w:rPr>
          <w:rFonts w:ascii="Arial" w:hAnsi="Arial" w:cs="Arial"/>
          <w:sz w:val="24"/>
          <w:szCs w:val="24"/>
        </w:rPr>
        <w:t xml:space="preserve"> (IFRS Foundation, </w:t>
      </w:r>
      <w:r w:rsidR="00660B73" w:rsidRPr="00CA631E">
        <w:rPr>
          <w:rFonts w:ascii="Arial" w:hAnsi="Arial" w:cs="Arial"/>
          <w:sz w:val="24"/>
          <w:szCs w:val="24"/>
        </w:rPr>
        <w:lastRenderedPageBreak/>
        <w:t>2025a)</w:t>
      </w:r>
      <w:r w:rsidRPr="00CA631E">
        <w:rPr>
          <w:rFonts w:ascii="Arial" w:hAnsi="Arial" w:cs="Arial"/>
          <w:sz w:val="24"/>
          <w:szCs w:val="24"/>
        </w:rPr>
        <w:t>. An increased degree of supplier diversification and foreign exchange hedging would help to reduce financial risk and cost stability.</w:t>
      </w:r>
    </w:p>
    <w:p w14:paraId="0F88FDD3" w14:textId="77777777" w:rsidR="00CB4A78" w:rsidRPr="00CA631E" w:rsidRDefault="00CB4A78" w:rsidP="000A79FF">
      <w:pPr>
        <w:spacing w:line="360" w:lineRule="auto"/>
        <w:jc w:val="both"/>
        <w:rPr>
          <w:rFonts w:ascii="Arial" w:hAnsi="Arial" w:cs="Arial"/>
          <w:b/>
          <w:sz w:val="24"/>
          <w:szCs w:val="24"/>
        </w:rPr>
      </w:pPr>
      <w:r w:rsidRPr="00CA631E">
        <w:rPr>
          <w:rFonts w:ascii="Arial" w:hAnsi="Arial" w:cs="Arial"/>
          <w:b/>
          <w:sz w:val="24"/>
          <w:szCs w:val="24"/>
        </w:rPr>
        <w:t>Inflation</w:t>
      </w:r>
    </w:p>
    <w:p w14:paraId="157E4E03" w14:textId="77777777" w:rsidR="00CB4A78" w:rsidRPr="00CA631E" w:rsidRDefault="00CB4A78" w:rsidP="000A79FF">
      <w:pPr>
        <w:spacing w:line="360" w:lineRule="auto"/>
        <w:jc w:val="both"/>
        <w:rPr>
          <w:rFonts w:ascii="Arial" w:hAnsi="Arial" w:cs="Arial"/>
          <w:sz w:val="24"/>
          <w:szCs w:val="24"/>
        </w:rPr>
      </w:pPr>
      <w:r w:rsidRPr="00CA631E">
        <w:rPr>
          <w:rFonts w:ascii="Arial" w:hAnsi="Arial" w:cs="Arial"/>
          <w:sz w:val="24"/>
          <w:szCs w:val="24"/>
        </w:rPr>
        <w:t>Despite revenue growth to £2.54bn in 2025, the hospitality industry faced pressure on profitability with rising labour, food, energy and borrowing costs all due to persistent inflation</w:t>
      </w:r>
      <w:r w:rsidR="00660B73" w:rsidRPr="00CA631E">
        <w:rPr>
          <w:rFonts w:ascii="Arial" w:hAnsi="Arial" w:cs="Arial"/>
          <w:sz w:val="24"/>
          <w:szCs w:val="24"/>
        </w:rPr>
        <w:t xml:space="preserve"> (IFRS Foundation, 2025b)</w:t>
      </w:r>
      <w:r w:rsidRPr="00CA631E">
        <w:rPr>
          <w:rFonts w:ascii="Arial" w:hAnsi="Arial" w:cs="Arial"/>
          <w:sz w:val="24"/>
          <w:szCs w:val="24"/>
        </w:rPr>
        <w:t>. The firm should pursue ongoing cost reduction, dynamic pricing and operational efficiency programmes to ensure margin protection and customer value, while also implementing and carrying out other programmes.</w:t>
      </w:r>
    </w:p>
    <w:p w14:paraId="29839212" w14:textId="77777777" w:rsidR="00CB4A78" w:rsidRPr="00CA631E" w:rsidRDefault="00CB4A78" w:rsidP="000A79FF">
      <w:pPr>
        <w:spacing w:line="360" w:lineRule="auto"/>
        <w:jc w:val="both"/>
        <w:rPr>
          <w:rFonts w:ascii="Arial" w:hAnsi="Arial" w:cs="Arial"/>
          <w:b/>
          <w:sz w:val="24"/>
          <w:szCs w:val="24"/>
        </w:rPr>
      </w:pPr>
      <w:r w:rsidRPr="00CA631E">
        <w:rPr>
          <w:rFonts w:ascii="Arial" w:hAnsi="Arial" w:cs="Arial"/>
          <w:b/>
          <w:sz w:val="24"/>
          <w:szCs w:val="24"/>
        </w:rPr>
        <w:t>CSR and ESG</w:t>
      </w:r>
    </w:p>
    <w:p w14:paraId="3787933B" w14:textId="77777777" w:rsidR="00CB4A78" w:rsidRPr="00CA631E" w:rsidRDefault="00CB4A78" w:rsidP="000A79FF">
      <w:pPr>
        <w:spacing w:line="360" w:lineRule="auto"/>
        <w:jc w:val="both"/>
        <w:rPr>
          <w:rFonts w:ascii="Arial" w:hAnsi="Arial" w:cs="Arial"/>
          <w:sz w:val="24"/>
          <w:szCs w:val="24"/>
        </w:rPr>
      </w:pPr>
      <w:r w:rsidRPr="00CA631E">
        <w:rPr>
          <w:rFonts w:ascii="Arial" w:hAnsi="Arial" w:cs="Arial"/>
          <w:sz w:val="24"/>
          <w:szCs w:val="24"/>
        </w:rPr>
        <w:t>Greene King needs to keep investing in environmental, social and governance (ESG) measures and in particular to lower their carbon footprint, increase energy efficiency and help the local community. Improving the performance of ESGs also benefits the reputation of the brand, the attraction of socially responsible investors, the loyalty of consumers, and long-term sustainable growth, meeting the growing expectations of stakeholders</w:t>
      </w:r>
      <w:r w:rsidR="00660B73" w:rsidRPr="00CA631E">
        <w:rPr>
          <w:rFonts w:ascii="Arial" w:hAnsi="Arial" w:cs="Arial"/>
          <w:sz w:val="24"/>
          <w:szCs w:val="24"/>
        </w:rPr>
        <w:t xml:space="preserve"> (Information Commissioner's Office, 2026)</w:t>
      </w:r>
      <w:r w:rsidRPr="00CA631E">
        <w:rPr>
          <w:rFonts w:ascii="Arial" w:hAnsi="Arial" w:cs="Arial"/>
          <w:sz w:val="24"/>
          <w:szCs w:val="24"/>
        </w:rPr>
        <w:t>.</w:t>
      </w:r>
    </w:p>
    <w:p w14:paraId="67281E57" w14:textId="77777777" w:rsidR="00850BF7" w:rsidRPr="00CA631E" w:rsidRDefault="00850BF7" w:rsidP="000A79FF">
      <w:pPr>
        <w:spacing w:line="360" w:lineRule="auto"/>
        <w:jc w:val="both"/>
        <w:rPr>
          <w:rFonts w:ascii="Arial" w:hAnsi="Arial" w:cs="Arial"/>
          <w:sz w:val="24"/>
          <w:szCs w:val="24"/>
        </w:rPr>
      </w:pPr>
    </w:p>
    <w:p w14:paraId="0920DCA1" w14:textId="77777777" w:rsidR="0047217B" w:rsidRPr="00CA631E" w:rsidRDefault="0047217B" w:rsidP="000A79FF">
      <w:pPr>
        <w:spacing w:line="360" w:lineRule="auto"/>
        <w:jc w:val="both"/>
        <w:rPr>
          <w:rFonts w:ascii="Arial" w:hAnsi="Arial" w:cs="Arial"/>
          <w:sz w:val="24"/>
          <w:szCs w:val="24"/>
        </w:rPr>
      </w:pPr>
    </w:p>
    <w:p w14:paraId="4CBCCAFA" w14:textId="77777777" w:rsidR="003A5AFF" w:rsidRPr="00CA631E" w:rsidRDefault="003A5AFF" w:rsidP="000A79FF">
      <w:pPr>
        <w:spacing w:line="360" w:lineRule="auto"/>
        <w:jc w:val="both"/>
        <w:rPr>
          <w:rFonts w:ascii="Arial" w:hAnsi="Arial" w:cs="Arial"/>
          <w:sz w:val="24"/>
          <w:szCs w:val="24"/>
        </w:rPr>
      </w:pPr>
    </w:p>
    <w:p w14:paraId="01C3C565" w14:textId="77777777" w:rsidR="00883EA6" w:rsidRPr="00CA631E" w:rsidRDefault="00883EA6" w:rsidP="000A79FF">
      <w:pPr>
        <w:spacing w:line="360" w:lineRule="auto"/>
        <w:jc w:val="both"/>
        <w:rPr>
          <w:rFonts w:ascii="Arial" w:eastAsiaTheme="majorEastAsia" w:hAnsi="Arial" w:cs="Arial"/>
          <w:b/>
          <w:sz w:val="24"/>
          <w:szCs w:val="24"/>
        </w:rPr>
      </w:pPr>
      <w:r w:rsidRPr="00CA631E">
        <w:rPr>
          <w:rFonts w:ascii="Arial" w:hAnsi="Arial" w:cs="Arial"/>
          <w:b/>
          <w:sz w:val="24"/>
          <w:szCs w:val="24"/>
        </w:rPr>
        <w:br w:type="page"/>
      </w:r>
    </w:p>
    <w:p w14:paraId="4E786EBC" w14:textId="77777777" w:rsidR="000D50CB" w:rsidRPr="00CA631E" w:rsidRDefault="000D50CB" w:rsidP="00C858E9">
      <w:pPr>
        <w:pStyle w:val="Heading1"/>
        <w:spacing w:line="360" w:lineRule="auto"/>
        <w:jc w:val="both"/>
        <w:rPr>
          <w:rFonts w:ascii="Arial" w:hAnsi="Arial" w:cs="Arial"/>
          <w:b/>
          <w:color w:val="auto"/>
          <w:sz w:val="24"/>
          <w:szCs w:val="24"/>
        </w:rPr>
      </w:pPr>
      <w:bookmarkStart w:id="39" w:name="_Toc234747806"/>
      <w:bookmarkStart w:id="40" w:name="_Toc235038585"/>
      <w:bookmarkStart w:id="41" w:name="_Toc236846840"/>
      <w:r w:rsidRPr="00CA631E">
        <w:rPr>
          <w:rFonts w:ascii="Arial" w:hAnsi="Arial" w:cs="Arial"/>
          <w:b/>
          <w:color w:val="auto"/>
          <w:sz w:val="24"/>
          <w:szCs w:val="24"/>
        </w:rPr>
        <w:lastRenderedPageBreak/>
        <w:t>4. Investment Appraisal and Capital Budgeting</w:t>
      </w:r>
      <w:bookmarkEnd w:id="39"/>
      <w:bookmarkEnd w:id="40"/>
      <w:bookmarkEnd w:id="41"/>
      <w:r w:rsidRPr="00CA631E">
        <w:rPr>
          <w:rFonts w:ascii="Arial" w:hAnsi="Arial" w:cs="Arial"/>
          <w:b/>
          <w:color w:val="auto"/>
          <w:sz w:val="24"/>
          <w:szCs w:val="24"/>
        </w:rPr>
        <w:t xml:space="preserve"> </w:t>
      </w:r>
    </w:p>
    <w:p w14:paraId="7D3D013B" w14:textId="77777777" w:rsidR="00C858E9" w:rsidRPr="00CA631E" w:rsidRDefault="00C858E9" w:rsidP="00C858E9">
      <w:pPr>
        <w:spacing w:line="360" w:lineRule="auto"/>
        <w:rPr>
          <w:rFonts w:ascii="Arial" w:hAnsi="Arial" w:cs="Arial"/>
          <w:sz w:val="24"/>
          <w:szCs w:val="24"/>
        </w:rPr>
      </w:pPr>
      <w:r w:rsidRPr="00CA631E">
        <w:rPr>
          <w:rFonts w:ascii="Arial" w:hAnsi="Arial" w:cs="Arial"/>
          <w:noProof/>
          <w:sz w:val="24"/>
          <w:szCs w:val="24"/>
          <w:lang w:val="en-IN" w:eastAsia="en-IN"/>
        </w:rPr>
        <w:drawing>
          <wp:inline distT="0" distB="0" distL="0" distR="0" wp14:anchorId="6B34DCA8" wp14:editId="6601F9E9">
            <wp:extent cx="5731510" cy="2740660"/>
            <wp:effectExtent l="0" t="0" r="254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740660"/>
                    </a:xfrm>
                    <a:prstGeom prst="rect">
                      <a:avLst/>
                    </a:prstGeom>
                  </pic:spPr>
                </pic:pic>
              </a:graphicData>
            </a:graphic>
          </wp:inline>
        </w:drawing>
      </w:r>
    </w:p>
    <w:p w14:paraId="28652A99" w14:textId="77777777" w:rsidR="00C858E9" w:rsidRPr="00CA631E" w:rsidRDefault="00C858E9" w:rsidP="00C858E9">
      <w:pPr>
        <w:spacing w:line="360" w:lineRule="auto"/>
        <w:jc w:val="center"/>
        <w:rPr>
          <w:rFonts w:ascii="Arial" w:hAnsi="Arial" w:cs="Arial"/>
          <w:b/>
          <w:sz w:val="24"/>
          <w:szCs w:val="24"/>
        </w:rPr>
      </w:pPr>
      <w:r w:rsidRPr="00CA631E">
        <w:rPr>
          <w:rFonts w:ascii="Arial" w:hAnsi="Arial" w:cs="Arial"/>
          <w:b/>
          <w:sz w:val="24"/>
          <w:szCs w:val="24"/>
        </w:rPr>
        <w:t>Table 11: Project A</w:t>
      </w:r>
    </w:p>
    <w:p w14:paraId="4C1FF44A" w14:textId="77777777" w:rsidR="00C858E9" w:rsidRPr="00CA631E" w:rsidRDefault="00C858E9" w:rsidP="00C858E9">
      <w:pPr>
        <w:spacing w:line="360" w:lineRule="auto"/>
        <w:rPr>
          <w:rFonts w:ascii="Arial" w:hAnsi="Arial" w:cs="Arial"/>
          <w:sz w:val="24"/>
          <w:szCs w:val="24"/>
        </w:rPr>
      </w:pPr>
      <w:r w:rsidRPr="00CA631E">
        <w:rPr>
          <w:rFonts w:ascii="Arial" w:hAnsi="Arial" w:cs="Arial"/>
          <w:noProof/>
          <w:sz w:val="24"/>
          <w:szCs w:val="24"/>
          <w:lang w:val="en-IN" w:eastAsia="en-IN"/>
        </w:rPr>
        <w:drawing>
          <wp:inline distT="0" distB="0" distL="0" distR="0" wp14:anchorId="74DD5A99" wp14:editId="6AE9A28E">
            <wp:extent cx="5731510" cy="278511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785110"/>
                    </a:xfrm>
                    <a:prstGeom prst="rect">
                      <a:avLst/>
                    </a:prstGeom>
                  </pic:spPr>
                </pic:pic>
              </a:graphicData>
            </a:graphic>
          </wp:inline>
        </w:drawing>
      </w:r>
    </w:p>
    <w:p w14:paraId="00EBAA61" w14:textId="77777777" w:rsidR="00C858E9" w:rsidRPr="00CA631E" w:rsidRDefault="00C858E9" w:rsidP="00C858E9">
      <w:pPr>
        <w:spacing w:line="360" w:lineRule="auto"/>
        <w:jc w:val="center"/>
        <w:rPr>
          <w:rFonts w:ascii="Arial" w:hAnsi="Arial" w:cs="Arial"/>
          <w:b/>
          <w:sz w:val="24"/>
          <w:szCs w:val="24"/>
        </w:rPr>
      </w:pPr>
      <w:r w:rsidRPr="00CA631E">
        <w:rPr>
          <w:rFonts w:ascii="Arial" w:hAnsi="Arial" w:cs="Arial"/>
          <w:b/>
          <w:sz w:val="24"/>
          <w:szCs w:val="24"/>
        </w:rPr>
        <w:t>Table 12: Project B</w:t>
      </w:r>
    </w:p>
    <w:p w14:paraId="6BF40980" w14:textId="77777777" w:rsidR="00C858E9" w:rsidRPr="00CA631E" w:rsidRDefault="00C858E9" w:rsidP="00C858E9">
      <w:pPr>
        <w:spacing w:line="360" w:lineRule="auto"/>
        <w:rPr>
          <w:rFonts w:ascii="Arial" w:hAnsi="Arial" w:cs="Arial"/>
          <w:sz w:val="24"/>
          <w:szCs w:val="24"/>
        </w:rPr>
      </w:pPr>
      <w:r w:rsidRPr="00CA631E">
        <w:rPr>
          <w:rFonts w:ascii="Arial" w:hAnsi="Arial" w:cs="Arial"/>
          <w:noProof/>
          <w:sz w:val="24"/>
          <w:szCs w:val="24"/>
          <w:lang w:val="en-IN" w:eastAsia="en-IN"/>
        </w:rPr>
        <w:lastRenderedPageBreak/>
        <w:drawing>
          <wp:inline distT="0" distB="0" distL="0" distR="0" wp14:anchorId="200E0EE9" wp14:editId="565EB4B8">
            <wp:extent cx="5731510" cy="381381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813810"/>
                    </a:xfrm>
                    <a:prstGeom prst="rect">
                      <a:avLst/>
                    </a:prstGeom>
                  </pic:spPr>
                </pic:pic>
              </a:graphicData>
            </a:graphic>
          </wp:inline>
        </w:drawing>
      </w:r>
    </w:p>
    <w:p w14:paraId="0C1D7189" w14:textId="77777777" w:rsidR="00C858E9" w:rsidRPr="00CA631E" w:rsidRDefault="00C858E9" w:rsidP="00C858E9">
      <w:pPr>
        <w:spacing w:line="360" w:lineRule="auto"/>
        <w:jc w:val="center"/>
        <w:rPr>
          <w:rFonts w:ascii="Arial" w:hAnsi="Arial" w:cs="Arial"/>
          <w:b/>
          <w:sz w:val="24"/>
          <w:szCs w:val="24"/>
        </w:rPr>
      </w:pPr>
      <w:r w:rsidRPr="00CA631E">
        <w:rPr>
          <w:rFonts w:ascii="Arial" w:hAnsi="Arial" w:cs="Arial"/>
          <w:b/>
          <w:sz w:val="24"/>
          <w:szCs w:val="24"/>
        </w:rPr>
        <w:t>Table 13: Project C</w:t>
      </w:r>
    </w:p>
    <w:tbl>
      <w:tblPr>
        <w:tblStyle w:val="TableGrid"/>
        <w:tblW w:w="8985" w:type="dxa"/>
        <w:tblLook w:val="04A0" w:firstRow="1" w:lastRow="0" w:firstColumn="1" w:lastColumn="0" w:noHBand="0" w:noVBand="1"/>
      </w:tblPr>
      <w:tblGrid>
        <w:gridCol w:w="3033"/>
        <w:gridCol w:w="1984"/>
        <w:gridCol w:w="1984"/>
        <w:gridCol w:w="1984"/>
      </w:tblGrid>
      <w:tr w:rsidR="00660B73" w:rsidRPr="00CA631E" w14:paraId="571F1D0E" w14:textId="77777777" w:rsidTr="00CB4A78">
        <w:trPr>
          <w:trHeight w:val="522"/>
        </w:trPr>
        <w:tc>
          <w:tcPr>
            <w:tcW w:w="0" w:type="auto"/>
            <w:hideMark/>
          </w:tcPr>
          <w:p w14:paraId="6099415A" w14:textId="77777777" w:rsidR="00CB4A78" w:rsidRPr="00CA631E" w:rsidRDefault="00CB4A78" w:rsidP="00C858E9">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Method</w:t>
            </w:r>
          </w:p>
        </w:tc>
        <w:tc>
          <w:tcPr>
            <w:tcW w:w="0" w:type="auto"/>
            <w:hideMark/>
          </w:tcPr>
          <w:p w14:paraId="726CF674" w14:textId="77777777" w:rsidR="00CB4A78" w:rsidRPr="00CA631E" w:rsidRDefault="00CB4A78" w:rsidP="00C858E9">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Project A</w:t>
            </w:r>
          </w:p>
        </w:tc>
        <w:tc>
          <w:tcPr>
            <w:tcW w:w="0" w:type="auto"/>
            <w:hideMark/>
          </w:tcPr>
          <w:p w14:paraId="5937BB65" w14:textId="77777777" w:rsidR="00CB4A78" w:rsidRPr="00CA631E" w:rsidRDefault="00CB4A78" w:rsidP="00C858E9">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Project B</w:t>
            </w:r>
          </w:p>
        </w:tc>
        <w:tc>
          <w:tcPr>
            <w:tcW w:w="0" w:type="auto"/>
            <w:hideMark/>
          </w:tcPr>
          <w:p w14:paraId="4A1D0A40" w14:textId="77777777" w:rsidR="00CB4A78" w:rsidRPr="00CA631E" w:rsidRDefault="00CB4A78" w:rsidP="00C858E9">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Project C</w:t>
            </w:r>
          </w:p>
        </w:tc>
      </w:tr>
      <w:tr w:rsidR="00660B73" w:rsidRPr="00CA631E" w14:paraId="44E847DB" w14:textId="77777777" w:rsidTr="00CB4A78">
        <w:trPr>
          <w:trHeight w:val="522"/>
        </w:trPr>
        <w:tc>
          <w:tcPr>
            <w:tcW w:w="0" w:type="auto"/>
            <w:hideMark/>
          </w:tcPr>
          <w:p w14:paraId="5FAA79D3"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Payback Period</w:t>
            </w:r>
          </w:p>
        </w:tc>
        <w:tc>
          <w:tcPr>
            <w:tcW w:w="0" w:type="auto"/>
            <w:hideMark/>
          </w:tcPr>
          <w:p w14:paraId="2A108864"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4.50 years</w:t>
            </w:r>
          </w:p>
        </w:tc>
        <w:tc>
          <w:tcPr>
            <w:tcW w:w="0" w:type="auto"/>
            <w:hideMark/>
          </w:tcPr>
          <w:p w14:paraId="574D3E04"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4.55 years</w:t>
            </w:r>
          </w:p>
        </w:tc>
        <w:tc>
          <w:tcPr>
            <w:tcW w:w="0" w:type="auto"/>
            <w:hideMark/>
          </w:tcPr>
          <w:p w14:paraId="4951098D"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bCs/>
                <w:sz w:val="24"/>
                <w:szCs w:val="24"/>
                <w:lang w:val="en-IN" w:eastAsia="en-IN"/>
              </w:rPr>
              <w:t>3.60 years</w:t>
            </w:r>
          </w:p>
        </w:tc>
      </w:tr>
      <w:tr w:rsidR="00660B73" w:rsidRPr="00CA631E" w14:paraId="3BD63216" w14:textId="77777777" w:rsidTr="00CB4A78">
        <w:trPr>
          <w:trHeight w:val="500"/>
        </w:trPr>
        <w:tc>
          <w:tcPr>
            <w:tcW w:w="0" w:type="auto"/>
            <w:hideMark/>
          </w:tcPr>
          <w:p w14:paraId="1E196A09"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ARR</w:t>
            </w:r>
          </w:p>
        </w:tc>
        <w:tc>
          <w:tcPr>
            <w:tcW w:w="0" w:type="auto"/>
            <w:hideMark/>
          </w:tcPr>
          <w:p w14:paraId="5005AE11"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3.20%</w:t>
            </w:r>
          </w:p>
        </w:tc>
        <w:tc>
          <w:tcPr>
            <w:tcW w:w="0" w:type="auto"/>
            <w:hideMark/>
          </w:tcPr>
          <w:p w14:paraId="04F39101"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4.00%</w:t>
            </w:r>
          </w:p>
        </w:tc>
        <w:tc>
          <w:tcPr>
            <w:tcW w:w="0" w:type="auto"/>
            <w:hideMark/>
          </w:tcPr>
          <w:p w14:paraId="0F0E8A24"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bCs/>
                <w:sz w:val="24"/>
                <w:szCs w:val="24"/>
                <w:lang w:val="en-IN" w:eastAsia="en-IN"/>
              </w:rPr>
              <w:t>12.00%</w:t>
            </w:r>
          </w:p>
        </w:tc>
      </w:tr>
      <w:tr w:rsidR="00660B73" w:rsidRPr="00CA631E" w14:paraId="7B10EA09" w14:textId="77777777" w:rsidTr="00CB4A78">
        <w:trPr>
          <w:trHeight w:val="522"/>
        </w:trPr>
        <w:tc>
          <w:tcPr>
            <w:tcW w:w="0" w:type="auto"/>
            <w:hideMark/>
          </w:tcPr>
          <w:p w14:paraId="234C59E0"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NPV @ 8%</w:t>
            </w:r>
          </w:p>
        </w:tc>
        <w:tc>
          <w:tcPr>
            <w:tcW w:w="0" w:type="auto"/>
            <w:hideMark/>
          </w:tcPr>
          <w:p w14:paraId="43209EB9"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−£6.54m</w:t>
            </w:r>
          </w:p>
        </w:tc>
        <w:tc>
          <w:tcPr>
            <w:tcW w:w="0" w:type="auto"/>
            <w:hideMark/>
          </w:tcPr>
          <w:p w14:paraId="5575E976"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−£6.08m</w:t>
            </w:r>
          </w:p>
        </w:tc>
        <w:tc>
          <w:tcPr>
            <w:tcW w:w="0" w:type="auto"/>
            <w:hideMark/>
          </w:tcPr>
          <w:p w14:paraId="278A2DEF"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bCs/>
                <w:sz w:val="24"/>
                <w:szCs w:val="24"/>
                <w:lang w:val="en-IN" w:eastAsia="en-IN"/>
              </w:rPr>
              <w:t>£0.86m</w:t>
            </w:r>
          </w:p>
        </w:tc>
      </w:tr>
      <w:tr w:rsidR="00660B73" w:rsidRPr="00CA631E" w14:paraId="39BBCF63" w14:textId="77777777" w:rsidTr="00CB4A78">
        <w:trPr>
          <w:trHeight w:val="522"/>
        </w:trPr>
        <w:tc>
          <w:tcPr>
            <w:tcW w:w="0" w:type="auto"/>
            <w:hideMark/>
          </w:tcPr>
          <w:p w14:paraId="52EF4EA9"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Profitability Index</w:t>
            </w:r>
          </w:p>
        </w:tc>
        <w:tc>
          <w:tcPr>
            <w:tcW w:w="0" w:type="auto"/>
            <w:hideMark/>
          </w:tcPr>
          <w:p w14:paraId="41A978BE"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0.87</w:t>
            </w:r>
          </w:p>
        </w:tc>
        <w:tc>
          <w:tcPr>
            <w:tcW w:w="0" w:type="auto"/>
            <w:hideMark/>
          </w:tcPr>
          <w:p w14:paraId="1D89F894"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0.88</w:t>
            </w:r>
          </w:p>
        </w:tc>
        <w:tc>
          <w:tcPr>
            <w:tcW w:w="0" w:type="auto"/>
            <w:hideMark/>
          </w:tcPr>
          <w:p w14:paraId="5111FA4A"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bCs/>
                <w:sz w:val="24"/>
                <w:szCs w:val="24"/>
                <w:lang w:val="en-IN" w:eastAsia="en-IN"/>
              </w:rPr>
              <w:t>1.02</w:t>
            </w:r>
          </w:p>
        </w:tc>
      </w:tr>
      <w:tr w:rsidR="00660B73" w:rsidRPr="00CA631E" w14:paraId="2DFEF531" w14:textId="77777777" w:rsidTr="00CB4A78">
        <w:trPr>
          <w:trHeight w:val="522"/>
        </w:trPr>
        <w:tc>
          <w:tcPr>
            <w:tcW w:w="0" w:type="auto"/>
            <w:hideMark/>
          </w:tcPr>
          <w:p w14:paraId="750FCF05"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IRR</w:t>
            </w:r>
          </w:p>
        </w:tc>
        <w:tc>
          <w:tcPr>
            <w:tcW w:w="0" w:type="auto"/>
            <w:hideMark/>
          </w:tcPr>
          <w:p w14:paraId="7A85ECA6"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2.72%</w:t>
            </w:r>
          </w:p>
        </w:tc>
        <w:tc>
          <w:tcPr>
            <w:tcW w:w="0" w:type="auto"/>
            <w:hideMark/>
          </w:tcPr>
          <w:p w14:paraId="7ED483A1"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3.26%</w:t>
            </w:r>
          </w:p>
        </w:tc>
        <w:tc>
          <w:tcPr>
            <w:tcW w:w="0" w:type="auto"/>
            <w:hideMark/>
          </w:tcPr>
          <w:p w14:paraId="39CAA3E9" w14:textId="77777777" w:rsidR="00CB4A78" w:rsidRPr="00CA631E" w:rsidRDefault="00CB4A78" w:rsidP="00C858E9">
            <w:pPr>
              <w:spacing w:line="360" w:lineRule="auto"/>
              <w:jc w:val="both"/>
              <w:rPr>
                <w:rFonts w:ascii="Arial" w:eastAsia="Times New Roman" w:hAnsi="Arial" w:cs="Arial"/>
                <w:sz w:val="24"/>
                <w:szCs w:val="24"/>
                <w:lang w:val="en-IN" w:eastAsia="en-IN"/>
              </w:rPr>
            </w:pPr>
            <w:r w:rsidRPr="00CA631E">
              <w:rPr>
                <w:rFonts w:ascii="Arial" w:eastAsia="Times New Roman" w:hAnsi="Arial" w:cs="Arial"/>
                <w:bCs/>
                <w:sz w:val="24"/>
                <w:szCs w:val="24"/>
                <w:lang w:val="en-IN" w:eastAsia="en-IN"/>
              </w:rPr>
              <w:t>8.59%</w:t>
            </w:r>
          </w:p>
        </w:tc>
      </w:tr>
    </w:tbl>
    <w:p w14:paraId="29112095" w14:textId="77777777" w:rsidR="000D50CB" w:rsidRPr="00CA631E" w:rsidRDefault="00C858E9" w:rsidP="00C858E9">
      <w:pPr>
        <w:spacing w:line="360" w:lineRule="auto"/>
        <w:jc w:val="center"/>
        <w:rPr>
          <w:rFonts w:ascii="Arial" w:hAnsi="Arial" w:cs="Arial"/>
          <w:b/>
          <w:sz w:val="24"/>
          <w:szCs w:val="24"/>
        </w:rPr>
      </w:pPr>
      <w:r w:rsidRPr="00CA631E">
        <w:rPr>
          <w:rFonts w:ascii="Arial" w:hAnsi="Arial" w:cs="Arial"/>
          <w:b/>
          <w:sz w:val="24"/>
          <w:szCs w:val="24"/>
        </w:rPr>
        <w:t>Table 14</w:t>
      </w:r>
      <w:r w:rsidR="000A79FF" w:rsidRPr="00CA631E">
        <w:rPr>
          <w:rFonts w:ascii="Arial" w:hAnsi="Arial" w:cs="Arial"/>
          <w:b/>
          <w:sz w:val="24"/>
          <w:szCs w:val="24"/>
        </w:rPr>
        <w:t>: Investment Appraisal</w:t>
      </w:r>
    </w:p>
    <w:p w14:paraId="111BCE6C" w14:textId="77777777" w:rsidR="000D50CB" w:rsidRPr="00CA631E" w:rsidRDefault="00852E02" w:rsidP="000A79FF">
      <w:pPr>
        <w:pStyle w:val="Heading2"/>
        <w:spacing w:line="360" w:lineRule="auto"/>
        <w:jc w:val="both"/>
        <w:rPr>
          <w:rFonts w:ascii="Arial" w:hAnsi="Arial" w:cs="Arial"/>
          <w:b/>
          <w:color w:val="auto"/>
          <w:sz w:val="24"/>
          <w:szCs w:val="24"/>
        </w:rPr>
      </w:pPr>
      <w:bookmarkStart w:id="42" w:name="_Toc234747807"/>
      <w:bookmarkStart w:id="43" w:name="_Toc235038586"/>
      <w:bookmarkStart w:id="44" w:name="_Toc236846841"/>
      <w:r w:rsidRPr="00CA631E">
        <w:rPr>
          <w:rFonts w:ascii="Arial" w:hAnsi="Arial" w:cs="Arial"/>
          <w:b/>
          <w:color w:val="auto"/>
          <w:sz w:val="24"/>
          <w:szCs w:val="24"/>
        </w:rPr>
        <w:t xml:space="preserve">4.1 </w:t>
      </w:r>
      <w:r w:rsidR="000D50CB" w:rsidRPr="00CA631E">
        <w:rPr>
          <w:rFonts w:ascii="Arial" w:hAnsi="Arial" w:cs="Arial"/>
          <w:b/>
          <w:color w:val="auto"/>
          <w:sz w:val="24"/>
          <w:szCs w:val="24"/>
        </w:rPr>
        <w:t>Project to be recommended</w:t>
      </w:r>
      <w:bookmarkEnd w:id="42"/>
      <w:bookmarkEnd w:id="43"/>
      <w:bookmarkEnd w:id="44"/>
    </w:p>
    <w:p w14:paraId="72CAB3FD" w14:textId="77777777" w:rsidR="003A5AFF" w:rsidRPr="00CA631E" w:rsidRDefault="00CB4A78" w:rsidP="000A79FF">
      <w:pPr>
        <w:spacing w:line="360" w:lineRule="auto"/>
        <w:jc w:val="both"/>
        <w:rPr>
          <w:rFonts w:ascii="Arial" w:hAnsi="Arial" w:cs="Arial"/>
          <w:sz w:val="24"/>
          <w:szCs w:val="24"/>
        </w:rPr>
      </w:pPr>
      <w:r w:rsidRPr="00CA631E">
        <w:rPr>
          <w:rFonts w:ascii="Arial" w:hAnsi="Arial" w:cs="Arial"/>
          <w:sz w:val="24"/>
          <w:szCs w:val="24"/>
        </w:rPr>
        <w:t>Project C is recommended to be chosen as the best project, as per the results of the investment appraisal. It has the shortest payback period (3.60 years), the highest Accounting Rate of Return (12.00%), has only positive Net Present Value (£0.86 million) and has a higher Profitability Index of 1.02 than the required discount rate of 8% and a higher Internal Rate of Return of 8.59% than the required discount rate of 8%. The results show that Project C is likely to provide value to its shareholders and return exceed the company's cost of capital</w:t>
      </w:r>
      <w:r w:rsidR="00660B73" w:rsidRPr="00CA631E">
        <w:rPr>
          <w:rFonts w:ascii="Arial" w:hAnsi="Arial" w:cs="Arial"/>
          <w:sz w:val="24"/>
          <w:szCs w:val="24"/>
        </w:rPr>
        <w:t xml:space="preserve"> (ICAEW, 2026)</w:t>
      </w:r>
      <w:r w:rsidRPr="00CA631E">
        <w:rPr>
          <w:rFonts w:ascii="Arial" w:hAnsi="Arial" w:cs="Arial"/>
          <w:sz w:val="24"/>
          <w:szCs w:val="24"/>
        </w:rPr>
        <w:t xml:space="preserve">. The recommendation is </w:t>
      </w:r>
      <w:r w:rsidRPr="00CA631E">
        <w:rPr>
          <w:rFonts w:ascii="Arial" w:hAnsi="Arial" w:cs="Arial"/>
          <w:sz w:val="24"/>
          <w:szCs w:val="24"/>
        </w:rPr>
        <w:lastRenderedPageBreak/>
        <w:t>also in step with Greene King's financial health, as it has seen revenue rise to £2.54 billion, operating profit improve to £217.4 million, and free cash flow grow to £101.3 million in 2025, giving it more capacity to fund value-creating investments. Although there is more cash inflows in later years, the advantage of the project's long term returns overcomes the drawback. While management should pay attention to the forecast benefits of the project and make sure that they are sustainable through the investment life cycle, they should also continue to monitor non-financial risks like inflation, consumer demand and supply chain disruption.</w:t>
      </w:r>
    </w:p>
    <w:p w14:paraId="6567D7EF" w14:textId="77777777" w:rsidR="000D50CB" w:rsidRPr="00CA631E" w:rsidRDefault="00852E02" w:rsidP="000A79FF">
      <w:pPr>
        <w:pStyle w:val="Heading2"/>
        <w:spacing w:line="360" w:lineRule="auto"/>
        <w:jc w:val="both"/>
        <w:rPr>
          <w:rFonts w:ascii="Arial" w:hAnsi="Arial" w:cs="Arial"/>
          <w:b/>
          <w:color w:val="auto"/>
          <w:sz w:val="24"/>
          <w:szCs w:val="24"/>
        </w:rPr>
      </w:pPr>
      <w:bookmarkStart w:id="45" w:name="_Toc234747808"/>
      <w:bookmarkStart w:id="46" w:name="_Toc235038587"/>
      <w:bookmarkStart w:id="47" w:name="_Toc236846842"/>
      <w:r w:rsidRPr="00CA631E">
        <w:rPr>
          <w:rFonts w:ascii="Arial" w:hAnsi="Arial" w:cs="Arial"/>
          <w:b/>
          <w:color w:val="auto"/>
          <w:sz w:val="24"/>
          <w:szCs w:val="24"/>
        </w:rPr>
        <w:t xml:space="preserve">4.2 </w:t>
      </w:r>
      <w:r w:rsidR="000D50CB" w:rsidRPr="00CA631E">
        <w:rPr>
          <w:rFonts w:ascii="Arial" w:hAnsi="Arial" w:cs="Arial"/>
          <w:b/>
          <w:color w:val="auto"/>
          <w:sz w:val="24"/>
          <w:szCs w:val="24"/>
        </w:rPr>
        <w:t>Justification of the recommendation with reference to the company’s financial performance (e.g. profitability, liquidity)</w:t>
      </w:r>
      <w:bookmarkEnd w:id="45"/>
      <w:bookmarkEnd w:id="46"/>
      <w:bookmarkEnd w:id="47"/>
    </w:p>
    <w:p w14:paraId="5BD3E2BC" w14:textId="77777777" w:rsidR="0057019F" w:rsidRPr="00CA631E" w:rsidRDefault="0057019F" w:rsidP="000A79FF">
      <w:pPr>
        <w:spacing w:line="360" w:lineRule="auto"/>
        <w:jc w:val="both"/>
        <w:rPr>
          <w:rFonts w:ascii="Arial" w:hAnsi="Arial" w:cs="Arial"/>
          <w:b/>
          <w:sz w:val="24"/>
          <w:szCs w:val="24"/>
        </w:rPr>
      </w:pPr>
      <w:r w:rsidRPr="00CA631E">
        <w:rPr>
          <w:rFonts w:ascii="Arial" w:hAnsi="Arial" w:cs="Arial"/>
          <w:b/>
          <w:sz w:val="24"/>
          <w:szCs w:val="24"/>
        </w:rPr>
        <w:t xml:space="preserve">Profitability </w:t>
      </w:r>
    </w:p>
    <w:p w14:paraId="6AAE2A40" w14:textId="77777777" w:rsidR="0057019F" w:rsidRPr="00CA631E" w:rsidRDefault="000C4D9D" w:rsidP="000A79FF">
      <w:pPr>
        <w:spacing w:line="360" w:lineRule="auto"/>
        <w:jc w:val="both"/>
        <w:rPr>
          <w:rFonts w:ascii="Arial" w:hAnsi="Arial" w:cs="Arial"/>
          <w:sz w:val="24"/>
          <w:szCs w:val="24"/>
        </w:rPr>
      </w:pPr>
      <w:r w:rsidRPr="00CA631E">
        <w:rPr>
          <w:rFonts w:ascii="Arial" w:hAnsi="Arial" w:cs="Arial"/>
          <w:sz w:val="24"/>
          <w:szCs w:val="24"/>
        </w:rPr>
        <w:t>Greene King will invest in project C as it is the best investment to help achieve the company's objective of improving long term profitability. While revenue has grown considerably, from £1.34 billion in 2021 to £2.54 billion in 2025, profitability has been volatile, mainly as a result of impairments, inflationary pressures and an increase in operating costs. The company posted a pre-tax loss of £147.1 million in 2024 before improving its performance to a profit of £41.3 million in 2025, while operating profit rose to £217.4 million in 2025. Project C provides the greatest financial return with the highest ARR (12.00%), positive NPV (£0.86 million), PI (1.02) and IRR (8.59%) which is greater than the target (8%). All these measures suggest that the project will create value in excess of the firm's cost of capital and will be beneficial to the firm's future profit. The project results in more cash inflows in Years 3 &amp; 4 than in Year 1, but its long term profitability is superior which is in line with Greene King's strategy of investing in high return projects that will lead to improved operational performance, increased financial resilience and sustainable value creation</w:t>
      </w:r>
      <w:r w:rsidR="00660B73" w:rsidRPr="00CA631E">
        <w:rPr>
          <w:rFonts w:ascii="Arial" w:hAnsi="Arial" w:cs="Arial"/>
          <w:sz w:val="24"/>
          <w:szCs w:val="24"/>
        </w:rPr>
        <w:t xml:space="preserve"> (London Stock Exchange Group, 2026)</w:t>
      </w:r>
      <w:r w:rsidRPr="00CA631E">
        <w:rPr>
          <w:rFonts w:ascii="Arial" w:hAnsi="Arial" w:cs="Arial"/>
          <w:sz w:val="24"/>
          <w:szCs w:val="24"/>
        </w:rPr>
        <w:t>.</w:t>
      </w:r>
    </w:p>
    <w:p w14:paraId="3697BEEE" w14:textId="77777777" w:rsidR="0057019F" w:rsidRPr="00CA631E" w:rsidRDefault="0057019F" w:rsidP="000A79FF">
      <w:pPr>
        <w:spacing w:line="360" w:lineRule="auto"/>
        <w:jc w:val="both"/>
        <w:rPr>
          <w:rFonts w:ascii="Arial" w:hAnsi="Arial" w:cs="Arial"/>
          <w:b/>
          <w:sz w:val="24"/>
          <w:szCs w:val="24"/>
        </w:rPr>
      </w:pPr>
      <w:r w:rsidRPr="00CA631E">
        <w:rPr>
          <w:rFonts w:ascii="Arial" w:hAnsi="Arial" w:cs="Arial"/>
          <w:b/>
          <w:sz w:val="24"/>
          <w:szCs w:val="24"/>
        </w:rPr>
        <w:t xml:space="preserve">Liquidity </w:t>
      </w:r>
    </w:p>
    <w:p w14:paraId="76847697" w14:textId="77777777" w:rsidR="003A5AFF" w:rsidRPr="00CA631E" w:rsidRDefault="000C4D9D" w:rsidP="000A79FF">
      <w:pPr>
        <w:spacing w:line="360" w:lineRule="auto"/>
        <w:jc w:val="both"/>
        <w:rPr>
          <w:rFonts w:ascii="Arial" w:hAnsi="Arial" w:cs="Arial"/>
          <w:sz w:val="24"/>
          <w:szCs w:val="24"/>
        </w:rPr>
      </w:pPr>
      <w:r w:rsidRPr="00CA631E">
        <w:rPr>
          <w:rFonts w:ascii="Arial" w:hAnsi="Arial" w:cs="Arial"/>
          <w:sz w:val="24"/>
          <w:szCs w:val="24"/>
        </w:rPr>
        <w:t xml:space="preserve">From a liquidity standpoint, Project C is also a good option as Greene King's financial health has improved significantly in the last 5 years. Its operating cash flow rose to £375.1 million in 2025, and free cash flow grew markedly to £101.3 million, driven by an improvement in cash generation from its operations. Additionally, the current ratio improved from 0.41 in 2021 to 0.68 in 2025, with the business still having a negative </w:t>
      </w:r>
      <w:r w:rsidRPr="00CA631E">
        <w:rPr>
          <w:rFonts w:ascii="Arial" w:hAnsi="Arial" w:cs="Arial"/>
          <w:sz w:val="24"/>
          <w:szCs w:val="24"/>
        </w:rPr>
        <w:lastRenderedPageBreak/>
        <w:t>cash conversion cycle of around –37 days, indicating that the business is efficient in its working capital management and is able to collect cash from customers earlier than they are able to pay its suppliers</w:t>
      </w:r>
      <w:r w:rsidR="00660B73" w:rsidRPr="00CA631E">
        <w:rPr>
          <w:rFonts w:ascii="Arial" w:hAnsi="Arial" w:cs="Arial"/>
          <w:sz w:val="24"/>
          <w:szCs w:val="24"/>
        </w:rPr>
        <w:t xml:space="preserve"> (National Cyber Security Centre, 2026)</w:t>
      </w:r>
      <w:r w:rsidRPr="00CA631E">
        <w:rPr>
          <w:rFonts w:ascii="Arial" w:hAnsi="Arial" w:cs="Arial"/>
          <w:sz w:val="24"/>
          <w:szCs w:val="24"/>
        </w:rPr>
        <w:t>. The enhancements suggest that Greene King's liquidity is now in a stronger position to support investment plans without undue stress on the short-term liquidity position. Project C has the lowest risk of liquidity requirements, because it has the shortest payback period of 3.60 years and thus maximizes the chances of the company recovering its investment more quickly, leaving funds available for investments in future strategic projects. Project C helps support Greene King's goal to sustain good liquidity and invest in projects that provide long-term cash flows and financial growth.</w:t>
      </w:r>
    </w:p>
    <w:p w14:paraId="52C67FA8" w14:textId="77777777" w:rsidR="000D50CB" w:rsidRPr="00CA631E" w:rsidRDefault="00852E02" w:rsidP="000A79FF">
      <w:pPr>
        <w:pStyle w:val="Heading2"/>
        <w:spacing w:line="360" w:lineRule="auto"/>
        <w:jc w:val="both"/>
        <w:rPr>
          <w:rFonts w:ascii="Arial" w:hAnsi="Arial" w:cs="Arial"/>
          <w:b/>
          <w:color w:val="auto"/>
          <w:sz w:val="24"/>
          <w:szCs w:val="24"/>
        </w:rPr>
      </w:pPr>
      <w:bookmarkStart w:id="48" w:name="_Toc234747809"/>
      <w:bookmarkStart w:id="49" w:name="_Toc235038588"/>
      <w:bookmarkStart w:id="50" w:name="_Toc236846843"/>
      <w:r w:rsidRPr="00CA631E">
        <w:rPr>
          <w:rFonts w:ascii="Arial" w:hAnsi="Arial" w:cs="Arial"/>
          <w:b/>
          <w:color w:val="auto"/>
          <w:sz w:val="24"/>
          <w:szCs w:val="24"/>
        </w:rPr>
        <w:t xml:space="preserve">4.3 </w:t>
      </w:r>
      <w:r w:rsidR="000D50CB" w:rsidRPr="00CA631E">
        <w:rPr>
          <w:rFonts w:ascii="Arial" w:hAnsi="Arial" w:cs="Arial"/>
          <w:b/>
          <w:color w:val="auto"/>
          <w:sz w:val="24"/>
          <w:szCs w:val="24"/>
        </w:rPr>
        <w:t>Justification of the recommendation with reference to the non-financial risks (e.g. political risk, customer loyalty)</w:t>
      </w:r>
      <w:bookmarkEnd w:id="48"/>
      <w:bookmarkEnd w:id="49"/>
      <w:bookmarkEnd w:id="50"/>
    </w:p>
    <w:p w14:paraId="241C332A" w14:textId="77777777" w:rsidR="0057019F" w:rsidRPr="00CA631E" w:rsidRDefault="0057019F" w:rsidP="000A79FF">
      <w:pPr>
        <w:spacing w:line="360" w:lineRule="auto"/>
        <w:jc w:val="both"/>
        <w:rPr>
          <w:rFonts w:ascii="Arial" w:hAnsi="Arial" w:cs="Arial"/>
          <w:b/>
          <w:sz w:val="24"/>
          <w:szCs w:val="24"/>
        </w:rPr>
      </w:pPr>
      <w:r w:rsidRPr="00CA631E">
        <w:rPr>
          <w:rFonts w:ascii="Arial" w:hAnsi="Arial" w:cs="Arial"/>
          <w:b/>
          <w:sz w:val="24"/>
          <w:szCs w:val="24"/>
        </w:rPr>
        <w:t>Political Risk</w:t>
      </w:r>
    </w:p>
    <w:p w14:paraId="68E391A5" w14:textId="77777777" w:rsidR="0057019F" w:rsidRPr="00CA631E" w:rsidRDefault="000C4D9D" w:rsidP="000A79FF">
      <w:pPr>
        <w:spacing w:line="360" w:lineRule="auto"/>
        <w:jc w:val="both"/>
        <w:rPr>
          <w:rFonts w:ascii="Arial" w:hAnsi="Arial" w:cs="Arial"/>
          <w:sz w:val="24"/>
          <w:szCs w:val="24"/>
        </w:rPr>
      </w:pPr>
      <w:r w:rsidRPr="00CA631E">
        <w:rPr>
          <w:rFonts w:ascii="Arial" w:hAnsi="Arial" w:cs="Arial"/>
          <w:sz w:val="24"/>
          <w:szCs w:val="24"/>
        </w:rPr>
        <w:t>Despite the possible political risks, Project C is the preferred investment as it offers the firm better protection from external uncertainties with Greene King's excellent penetration of the domestic market and improving financial performance. The industry is still grappling with new tax, licensing, employment and National Living Wage regulations, which have the potential to drive up running costs and lower profitability. Further, the implementation of inflationary policies and possible variation of alcohol duties or business rates could impact consumer spending and operating margins. In 2025, however, Greene King's revenue rose to £2.54 billion, and operating profit bounced back to £217.4 million, showing their capacity to adjust to varying economic and regulatory circumstances</w:t>
      </w:r>
      <w:r w:rsidR="00660B73" w:rsidRPr="00CA631E">
        <w:rPr>
          <w:rFonts w:ascii="Arial" w:hAnsi="Arial" w:cs="Arial"/>
          <w:sz w:val="24"/>
          <w:szCs w:val="24"/>
        </w:rPr>
        <w:t xml:space="preserve"> (ONS, 2026a)</w:t>
      </w:r>
      <w:r w:rsidRPr="00CA631E">
        <w:rPr>
          <w:rFonts w:ascii="Arial" w:hAnsi="Arial" w:cs="Arial"/>
          <w:sz w:val="24"/>
          <w:szCs w:val="24"/>
        </w:rPr>
        <w:t>. The positive NPV of £0.86 million and IRR of 8.59% provides further financial headroom, allowing the company to accommodate the possibility of any policy changes and to continue to create value. Moreover, Greene King's ongoing investment in its digital business, high quality pub designs and efficiency means that it is less politically and regulation driven and so Project C is a sound financial and strategic investment.</w:t>
      </w:r>
    </w:p>
    <w:p w14:paraId="7D575A67" w14:textId="77777777" w:rsidR="0057019F" w:rsidRPr="00CA631E" w:rsidRDefault="0057019F" w:rsidP="000A79FF">
      <w:pPr>
        <w:spacing w:line="360" w:lineRule="auto"/>
        <w:jc w:val="both"/>
        <w:rPr>
          <w:rFonts w:ascii="Arial" w:hAnsi="Arial" w:cs="Arial"/>
          <w:b/>
          <w:sz w:val="24"/>
          <w:szCs w:val="24"/>
        </w:rPr>
      </w:pPr>
      <w:r w:rsidRPr="00CA631E">
        <w:rPr>
          <w:rFonts w:ascii="Arial" w:hAnsi="Arial" w:cs="Arial"/>
          <w:b/>
          <w:sz w:val="24"/>
          <w:szCs w:val="24"/>
        </w:rPr>
        <w:t>Customer Loyalty</w:t>
      </w:r>
    </w:p>
    <w:p w14:paraId="1B341E1A" w14:textId="77777777" w:rsidR="003A5AFF" w:rsidRPr="00CA631E" w:rsidRDefault="000C4D9D" w:rsidP="000A79FF">
      <w:pPr>
        <w:spacing w:line="360" w:lineRule="auto"/>
        <w:jc w:val="both"/>
        <w:rPr>
          <w:rFonts w:ascii="Arial" w:hAnsi="Arial" w:cs="Arial"/>
          <w:sz w:val="24"/>
          <w:szCs w:val="24"/>
        </w:rPr>
      </w:pPr>
      <w:r w:rsidRPr="00CA631E">
        <w:rPr>
          <w:rFonts w:ascii="Arial" w:hAnsi="Arial" w:cs="Arial"/>
          <w:sz w:val="24"/>
          <w:szCs w:val="24"/>
        </w:rPr>
        <w:t>Customer loyalty is a key non-financial driver behind the choice of Project C as it is essential for the success of Greene King in the long-term by keeping customers loyal and gaining new visitors throughout its managed pubs, restaurants and hotel brands</w:t>
      </w:r>
      <w:r w:rsidR="000A79FF" w:rsidRPr="00CA631E">
        <w:rPr>
          <w:rFonts w:ascii="Arial" w:hAnsi="Arial" w:cs="Arial"/>
          <w:sz w:val="24"/>
          <w:szCs w:val="24"/>
        </w:rPr>
        <w:t xml:space="preserve"> </w:t>
      </w:r>
      <w:r w:rsidR="000A79FF" w:rsidRPr="00CA631E">
        <w:rPr>
          <w:rFonts w:ascii="Arial" w:hAnsi="Arial" w:cs="Arial"/>
          <w:sz w:val="24"/>
          <w:szCs w:val="24"/>
        </w:rPr>
        <w:lastRenderedPageBreak/>
        <w:t>(</w:t>
      </w:r>
      <w:proofErr w:type="spellStart"/>
      <w:r w:rsidR="000A79FF" w:rsidRPr="00CA631E">
        <w:rPr>
          <w:rFonts w:ascii="Arial" w:hAnsi="Arial" w:cs="Arial"/>
          <w:sz w:val="24"/>
          <w:szCs w:val="24"/>
        </w:rPr>
        <w:t>UKHospitality</w:t>
      </w:r>
      <w:proofErr w:type="spellEnd"/>
      <w:r w:rsidR="000A79FF" w:rsidRPr="00CA631E">
        <w:rPr>
          <w:rFonts w:ascii="Arial" w:hAnsi="Arial" w:cs="Arial"/>
          <w:sz w:val="24"/>
          <w:szCs w:val="24"/>
        </w:rPr>
        <w:t>, 2026)</w:t>
      </w:r>
      <w:r w:rsidRPr="00CA631E">
        <w:rPr>
          <w:rFonts w:ascii="Arial" w:hAnsi="Arial" w:cs="Arial"/>
          <w:sz w:val="24"/>
          <w:szCs w:val="24"/>
        </w:rPr>
        <w:t>. The firm has sunk a considerable amount of money into refurbishments of its pubs, digital ordering systems, loyalty schemes, menu innovation and enhancing the customer experience to bolster return visitors and brand loyalty. Despite inflation and evolving consumer trends, these efforts have helped ensure steady increase in revenue over the years from £1.34 billion in 2021 to £2.54 billion in 2025</w:t>
      </w:r>
      <w:r w:rsidR="00660B73" w:rsidRPr="00CA631E">
        <w:rPr>
          <w:rFonts w:ascii="Arial" w:hAnsi="Arial" w:cs="Arial"/>
          <w:sz w:val="24"/>
          <w:szCs w:val="24"/>
        </w:rPr>
        <w:t xml:space="preserve"> (ONS, 2026b)</w:t>
      </w:r>
      <w:r w:rsidRPr="00CA631E">
        <w:rPr>
          <w:rFonts w:ascii="Arial" w:hAnsi="Arial" w:cs="Arial"/>
          <w:sz w:val="24"/>
          <w:szCs w:val="24"/>
        </w:rPr>
        <w:t>. Project C has greater cash inflows in Years 3 and 4, reflecting an investment that is likely to take time to establish customer relationships and to achieve benefits from operations. Better customer satisfaction and improved brand loyalty will likely result in repeat business, better food and beverage results, increased occupancy and more stable, long-term cash flow</w:t>
      </w:r>
      <w:r w:rsidR="00660B73" w:rsidRPr="00CA631E">
        <w:rPr>
          <w:rFonts w:ascii="Arial" w:hAnsi="Arial" w:cs="Arial"/>
          <w:sz w:val="24"/>
          <w:szCs w:val="24"/>
        </w:rPr>
        <w:t xml:space="preserve"> (OECD, 2026)</w:t>
      </w:r>
      <w:r w:rsidRPr="00CA631E">
        <w:rPr>
          <w:rFonts w:ascii="Arial" w:hAnsi="Arial" w:cs="Arial"/>
          <w:sz w:val="24"/>
          <w:szCs w:val="24"/>
        </w:rPr>
        <w:t>. This means that Project C will help to drive Greene King's growth strategy to focus on its customers and lower the risk of the business when consumer tastes change and there is more competition in UK hospitality.</w:t>
      </w:r>
    </w:p>
    <w:p w14:paraId="39738883" w14:textId="77777777" w:rsidR="000D50CB" w:rsidRPr="00CA631E" w:rsidRDefault="00852E02" w:rsidP="000A79FF">
      <w:pPr>
        <w:pStyle w:val="Heading2"/>
        <w:spacing w:line="360" w:lineRule="auto"/>
        <w:jc w:val="both"/>
        <w:rPr>
          <w:rFonts w:ascii="Arial" w:hAnsi="Arial" w:cs="Arial"/>
          <w:b/>
          <w:color w:val="auto"/>
          <w:sz w:val="24"/>
          <w:szCs w:val="24"/>
        </w:rPr>
      </w:pPr>
      <w:bookmarkStart w:id="51" w:name="_Toc234747810"/>
      <w:bookmarkStart w:id="52" w:name="_Toc235038589"/>
      <w:bookmarkStart w:id="53" w:name="_Toc236846844"/>
      <w:r w:rsidRPr="00CA631E">
        <w:rPr>
          <w:rFonts w:ascii="Arial" w:hAnsi="Arial" w:cs="Arial"/>
          <w:b/>
          <w:color w:val="auto"/>
          <w:sz w:val="24"/>
          <w:szCs w:val="24"/>
        </w:rPr>
        <w:t xml:space="preserve">4.4 </w:t>
      </w:r>
      <w:r w:rsidR="003A5AFF" w:rsidRPr="00CA631E">
        <w:rPr>
          <w:rFonts w:ascii="Arial" w:hAnsi="Arial" w:cs="Arial"/>
          <w:b/>
          <w:color w:val="auto"/>
          <w:sz w:val="24"/>
          <w:szCs w:val="24"/>
        </w:rPr>
        <w:t>Combination of projects is the best on using capital rationing</w:t>
      </w:r>
      <w:bookmarkEnd w:id="51"/>
      <w:bookmarkEnd w:id="52"/>
      <w:bookmarkEnd w:id="53"/>
    </w:p>
    <w:p w14:paraId="2048E4DB" w14:textId="77777777" w:rsidR="003A5AFF" w:rsidRPr="00CA631E" w:rsidRDefault="000C4D9D" w:rsidP="000A79FF">
      <w:pPr>
        <w:spacing w:line="360" w:lineRule="auto"/>
        <w:jc w:val="both"/>
        <w:rPr>
          <w:rFonts w:ascii="Arial" w:hAnsi="Arial" w:cs="Arial"/>
          <w:sz w:val="24"/>
          <w:szCs w:val="24"/>
        </w:rPr>
      </w:pPr>
      <w:r w:rsidRPr="00CA631E">
        <w:rPr>
          <w:rFonts w:ascii="Arial" w:hAnsi="Arial" w:cs="Arial"/>
          <w:sz w:val="24"/>
          <w:szCs w:val="24"/>
        </w:rPr>
        <w:t>Each project has an initial capital cost of £50 million, with a maximum of £100 million available for Greene King to invest, meaning that they can only choose two of the three projects. From the investment appraisal results, Projects B and C are the optimal investment portfolio. Project A has a shorter payback period than B by just 0.05 years; however, it has a negative NPV of –£6.54 million, lower ARR of 3.20% and a lower PI (0.87) and lower IRR (2.72%) which is below the company's rate of return</w:t>
      </w:r>
      <w:r w:rsidR="000A79FF" w:rsidRPr="00CA631E">
        <w:rPr>
          <w:rFonts w:ascii="Arial" w:hAnsi="Arial" w:cs="Arial"/>
          <w:sz w:val="24"/>
          <w:szCs w:val="24"/>
        </w:rPr>
        <w:t xml:space="preserve"> (TCFD, 2026)</w:t>
      </w:r>
      <w:r w:rsidRPr="00CA631E">
        <w:rPr>
          <w:rFonts w:ascii="Arial" w:hAnsi="Arial" w:cs="Arial"/>
          <w:sz w:val="24"/>
          <w:szCs w:val="24"/>
        </w:rPr>
        <w:t>. Project B has a negative NPV (–£6.08 million), but has more positive financial performance with the following higher figures, ARR (4.00%), PI (0.88), IRR (3.26%) and with stable cash inflows of £11 million per year. The highest ARR (12.00%) and most positive NPV ( £0.86m) is project C, the IRR (8.59%) is above the required discount rate (8%) and the PI is above one, which is a good indicator of the project being good value for money</w:t>
      </w:r>
      <w:r w:rsidR="00660B73" w:rsidRPr="00CA631E">
        <w:rPr>
          <w:rFonts w:ascii="Arial" w:hAnsi="Arial" w:cs="Arial"/>
          <w:sz w:val="24"/>
          <w:szCs w:val="24"/>
        </w:rPr>
        <w:t xml:space="preserve"> (Science Based Targets initiative, 2026)</w:t>
      </w:r>
      <w:r w:rsidRPr="00CA631E">
        <w:rPr>
          <w:rFonts w:ascii="Arial" w:hAnsi="Arial" w:cs="Arial"/>
          <w:sz w:val="24"/>
          <w:szCs w:val="24"/>
        </w:rPr>
        <w:t xml:space="preserve">. Thus, the total investment in Projects B and C forms a balanced portfolio as it offers a low-risk, steady cash inflow while also offering a higher value creation potential in the long run. This matches with the better financial strength of Greene King, as their revenues increased to £2.54 billion in 2025, their operating cash flow rose to £375.1 million and their free cash flow to £101.3 million, allowing the company to plough money into its strategic investments while keeping its finances in check. Moreover, the investment of Projects B and C will spread out the cash flow timing and will lessen the need for relying on a </w:t>
      </w:r>
      <w:r w:rsidRPr="00CA631E">
        <w:rPr>
          <w:rFonts w:ascii="Arial" w:hAnsi="Arial" w:cs="Arial"/>
          <w:sz w:val="24"/>
          <w:szCs w:val="24"/>
        </w:rPr>
        <w:lastRenderedPageBreak/>
        <w:t>single investment, which will minimize the risk of the projects. Strategically, this portfolio will deliver the very best opportunities to maximise the use of the investment envelope of £100m, secure future profitability, ensure long term sustainable growth and improve shareholder value with sufficient liquidity and business flexibility in the increasingly competitive hospitality sector</w:t>
      </w:r>
      <w:r w:rsidR="00660B73" w:rsidRPr="00CA631E">
        <w:rPr>
          <w:rFonts w:ascii="Arial" w:hAnsi="Arial" w:cs="Arial"/>
          <w:sz w:val="24"/>
          <w:szCs w:val="24"/>
        </w:rPr>
        <w:t xml:space="preserve"> (Statista, 2026)</w:t>
      </w:r>
      <w:r w:rsidRPr="00CA631E">
        <w:rPr>
          <w:rFonts w:ascii="Arial" w:hAnsi="Arial" w:cs="Arial"/>
          <w:sz w:val="24"/>
          <w:szCs w:val="24"/>
        </w:rPr>
        <w:t>.</w:t>
      </w:r>
    </w:p>
    <w:p w14:paraId="2780622D" w14:textId="77777777" w:rsidR="00007F77" w:rsidRPr="00CA631E" w:rsidRDefault="00007F77" w:rsidP="000A79FF">
      <w:pPr>
        <w:spacing w:line="360" w:lineRule="auto"/>
        <w:jc w:val="both"/>
        <w:rPr>
          <w:rFonts w:ascii="Arial" w:eastAsiaTheme="majorEastAsia" w:hAnsi="Arial" w:cs="Arial"/>
          <w:b/>
          <w:sz w:val="24"/>
          <w:szCs w:val="24"/>
        </w:rPr>
      </w:pPr>
      <w:r w:rsidRPr="00CA631E">
        <w:rPr>
          <w:rFonts w:ascii="Arial" w:hAnsi="Arial" w:cs="Arial"/>
          <w:b/>
          <w:sz w:val="24"/>
          <w:szCs w:val="24"/>
        </w:rPr>
        <w:br w:type="page"/>
      </w:r>
    </w:p>
    <w:p w14:paraId="0343302B" w14:textId="77777777" w:rsidR="003A5AFF" w:rsidRPr="00CA631E" w:rsidRDefault="003A5AFF" w:rsidP="000A79FF">
      <w:pPr>
        <w:pStyle w:val="Heading1"/>
        <w:spacing w:line="360" w:lineRule="auto"/>
        <w:jc w:val="both"/>
        <w:rPr>
          <w:rFonts w:ascii="Arial" w:hAnsi="Arial" w:cs="Arial"/>
          <w:b/>
          <w:color w:val="auto"/>
          <w:sz w:val="24"/>
          <w:szCs w:val="24"/>
        </w:rPr>
      </w:pPr>
      <w:bookmarkStart w:id="54" w:name="_Toc234747811"/>
      <w:bookmarkStart w:id="55" w:name="_Toc235038590"/>
      <w:bookmarkStart w:id="56" w:name="_Toc236846845"/>
      <w:r w:rsidRPr="00CA631E">
        <w:rPr>
          <w:rFonts w:ascii="Arial" w:hAnsi="Arial" w:cs="Arial"/>
          <w:b/>
          <w:color w:val="auto"/>
          <w:sz w:val="24"/>
          <w:szCs w:val="24"/>
        </w:rPr>
        <w:lastRenderedPageBreak/>
        <w:t>5. Critical Reflection on AI Usage</w:t>
      </w:r>
      <w:bookmarkEnd w:id="54"/>
      <w:bookmarkEnd w:id="55"/>
      <w:bookmarkEnd w:id="56"/>
      <w:r w:rsidRPr="00CA631E">
        <w:rPr>
          <w:rFonts w:ascii="Arial" w:hAnsi="Arial" w:cs="Arial"/>
          <w:b/>
          <w:color w:val="auto"/>
          <w:sz w:val="24"/>
          <w:szCs w:val="24"/>
        </w:rPr>
        <w:t xml:space="preserve"> </w:t>
      </w:r>
    </w:p>
    <w:p w14:paraId="439B909A" w14:textId="77777777" w:rsidR="003A5AFF" w:rsidRPr="00CA631E" w:rsidRDefault="00852E02" w:rsidP="000A79FF">
      <w:pPr>
        <w:pStyle w:val="Heading2"/>
        <w:spacing w:line="360" w:lineRule="auto"/>
        <w:jc w:val="both"/>
        <w:rPr>
          <w:rFonts w:ascii="Arial" w:hAnsi="Arial" w:cs="Arial"/>
          <w:b/>
          <w:color w:val="auto"/>
          <w:sz w:val="24"/>
          <w:szCs w:val="24"/>
        </w:rPr>
      </w:pPr>
      <w:bookmarkStart w:id="57" w:name="_Toc234747812"/>
      <w:bookmarkStart w:id="58" w:name="_Toc235038591"/>
      <w:bookmarkStart w:id="59" w:name="_Toc236846846"/>
      <w:r w:rsidRPr="00CA631E">
        <w:rPr>
          <w:rFonts w:ascii="Arial" w:hAnsi="Arial" w:cs="Arial"/>
          <w:b/>
          <w:color w:val="auto"/>
          <w:sz w:val="24"/>
          <w:szCs w:val="24"/>
        </w:rPr>
        <w:t xml:space="preserve">5.1 </w:t>
      </w:r>
      <w:r w:rsidR="003A5AFF" w:rsidRPr="00CA631E">
        <w:rPr>
          <w:rFonts w:ascii="Arial" w:hAnsi="Arial" w:cs="Arial"/>
          <w:b/>
          <w:color w:val="auto"/>
          <w:sz w:val="24"/>
          <w:szCs w:val="24"/>
        </w:rPr>
        <w:t>Tool Disclosure</w:t>
      </w:r>
      <w:bookmarkEnd w:id="57"/>
      <w:bookmarkEnd w:id="58"/>
      <w:bookmarkEnd w:id="59"/>
    </w:p>
    <w:p w14:paraId="42073984" w14:textId="77777777" w:rsidR="003A5AFF" w:rsidRPr="00CA631E" w:rsidRDefault="000C4D9D" w:rsidP="000A79FF">
      <w:pPr>
        <w:pStyle w:val="NormalWeb"/>
        <w:spacing w:line="360" w:lineRule="auto"/>
        <w:jc w:val="both"/>
        <w:rPr>
          <w:rFonts w:ascii="Arial" w:hAnsi="Arial" w:cs="Arial"/>
        </w:rPr>
      </w:pPr>
      <w:r w:rsidRPr="00CA631E">
        <w:rPr>
          <w:rFonts w:ascii="Arial" w:hAnsi="Arial" w:cs="Arial"/>
        </w:rPr>
        <w:t>Artificial Intelligence (AI) has been utilized as an enabling technology during this report's production process, but not as a central tool for analysis or decision making. In particular, ChatGPT (OpenAI) was used to help structure the report, to enhance the academic writing, to summarize financial information, to explain financial concepts, and to clarify and improve the coherence and clarity of the analysis. Also it helped in interpreting financial ratios and in presenting the investment appraisal calculations in an organised manner. All financial and annual report data, ratio analysis and strategic recommendations have however been independently reviewed and verified, for accuracy and reliability, with both Greene King's published annual reports and other credible academic and industry based sources. The author's final strategic conclusions, along with their critical evaluation and interpretation of financial performance, and investment recommendations were developed through independent judgement and not merely based on the AI generated outputs. AI was therefore only used as a support for writing and researching, and it has been properly credited in line with the institution's AI use policy.</w:t>
      </w:r>
    </w:p>
    <w:p w14:paraId="2A365811" w14:textId="77777777" w:rsidR="003A5AFF" w:rsidRPr="00CA631E" w:rsidRDefault="00852E02" w:rsidP="000A79FF">
      <w:pPr>
        <w:pStyle w:val="Heading2"/>
        <w:spacing w:line="360" w:lineRule="auto"/>
        <w:jc w:val="both"/>
        <w:rPr>
          <w:rFonts w:ascii="Arial" w:hAnsi="Arial" w:cs="Arial"/>
          <w:b/>
          <w:color w:val="auto"/>
          <w:sz w:val="24"/>
          <w:szCs w:val="24"/>
        </w:rPr>
      </w:pPr>
      <w:bookmarkStart w:id="60" w:name="_Toc234747813"/>
      <w:bookmarkStart w:id="61" w:name="_Toc235038592"/>
      <w:bookmarkStart w:id="62" w:name="_Toc236846847"/>
      <w:r w:rsidRPr="00CA631E">
        <w:rPr>
          <w:rFonts w:ascii="Arial" w:hAnsi="Arial" w:cs="Arial"/>
          <w:b/>
          <w:color w:val="auto"/>
          <w:sz w:val="24"/>
          <w:szCs w:val="24"/>
        </w:rPr>
        <w:t xml:space="preserve">5.2 </w:t>
      </w:r>
      <w:r w:rsidR="003A5AFF" w:rsidRPr="00CA631E">
        <w:rPr>
          <w:rFonts w:ascii="Arial" w:hAnsi="Arial" w:cs="Arial"/>
          <w:b/>
          <w:color w:val="auto"/>
          <w:sz w:val="24"/>
          <w:szCs w:val="24"/>
        </w:rPr>
        <w:t>Critical Evaluation of AI Output</w:t>
      </w:r>
      <w:bookmarkEnd w:id="60"/>
      <w:bookmarkEnd w:id="61"/>
      <w:bookmarkEnd w:id="62"/>
    </w:p>
    <w:p w14:paraId="01DD5939" w14:textId="77777777" w:rsidR="003A5AFF" w:rsidRPr="00CA631E" w:rsidRDefault="000C4D9D" w:rsidP="000A79FF">
      <w:pPr>
        <w:pStyle w:val="NormalWeb"/>
        <w:spacing w:line="360" w:lineRule="auto"/>
        <w:jc w:val="both"/>
        <w:rPr>
          <w:rFonts w:ascii="Arial" w:hAnsi="Arial" w:cs="Arial"/>
        </w:rPr>
      </w:pPr>
      <w:r w:rsidRPr="00CA631E">
        <w:rPr>
          <w:rFonts w:ascii="Arial" w:hAnsi="Arial" w:cs="Arial"/>
        </w:rPr>
        <w:t xml:space="preserve">The process of verifying and validating AI-generated outputs was carried out systematically to ensure the accuracy, consistency, and relevance of the results. Financial interpretations generated by ChatGPT (OpenAI) have been compared with the consolidated financial statements, the notes to the accounts and the cash flow statements of Greene King's audited annual reports. Microsoft Excel was isolated to re-calculate ratio calculations, investment appraisal results and financial trends to ensure the numbers were correct. Statements from AI that did not appear in the annual reports, including those based on assumptions about investment ratios or interpretations without financial evidence, were flagged as possible hallucinations and either corrected with information available in the company's annual reports or deleted. Logical inconsistencies were also checked such as discrepancies between financial ratios and explanations in the narrative section and revised to ensure consistency with the company's actual financial performance. </w:t>
      </w:r>
    </w:p>
    <w:p w14:paraId="23B49967" w14:textId="77777777" w:rsidR="003A5AFF" w:rsidRPr="00CA631E" w:rsidRDefault="00852E02" w:rsidP="000A79FF">
      <w:pPr>
        <w:pStyle w:val="Heading2"/>
        <w:spacing w:line="360" w:lineRule="auto"/>
        <w:jc w:val="both"/>
        <w:rPr>
          <w:rFonts w:ascii="Arial" w:hAnsi="Arial" w:cs="Arial"/>
          <w:b/>
          <w:color w:val="auto"/>
          <w:sz w:val="24"/>
          <w:szCs w:val="24"/>
        </w:rPr>
      </w:pPr>
      <w:bookmarkStart w:id="63" w:name="_Toc234747814"/>
      <w:bookmarkStart w:id="64" w:name="_Toc235038593"/>
      <w:bookmarkStart w:id="65" w:name="_Toc236846848"/>
      <w:r w:rsidRPr="00CA631E">
        <w:rPr>
          <w:rFonts w:ascii="Arial" w:hAnsi="Arial" w:cs="Arial"/>
          <w:b/>
          <w:color w:val="auto"/>
          <w:sz w:val="24"/>
          <w:szCs w:val="24"/>
        </w:rPr>
        <w:lastRenderedPageBreak/>
        <w:t xml:space="preserve">5.3 </w:t>
      </w:r>
      <w:r w:rsidR="003A5AFF" w:rsidRPr="00CA631E">
        <w:rPr>
          <w:rFonts w:ascii="Arial" w:hAnsi="Arial" w:cs="Arial"/>
          <w:b/>
          <w:color w:val="auto"/>
          <w:sz w:val="24"/>
          <w:szCs w:val="24"/>
        </w:rPr>
        <w:t>Contribution Analysis</w:t>
      </w:r>
      <w:bookmarkEnd w:id="63"/>
      <w:bookmarkEnd w:id="64"/>
      <w:bookmarkEnd w:id="65"/>
    </w:p>
    <w:p w14:paraId="626DD903" w14:textId="77777777" w:rsidR="003A5AFF" w:rsidRPr="00CA631E" w:rsidRDefault="000C4D9D" w:rsidP="000A79FF">
      <w:pPr>
        <w:spacing w:line="360" w:lineRule="auto"/>
        <w:jc w:val="both"/>
        <w:rPr>
          <w:rFonts w:ascii="Arial" w:hAnsi="Arial" w:cs="Arial"/>
          <w:sz w:val="24"/>
          <w:szCs w:val="24"/>
        </w:rPr>
      </w:pPr>
      <w:r w:rsidRPr="00CA631E">
        <w:rPr>
          <w:rFonts w:ascii="Arial" w:hAnsi="Arial" w:cs="Arial"/>
          <w:sz w:val="24"/>
          <w:szCs w:val="24"/>
        </w:rPr>
        <w:t xml:space="preserve">AI tools like ChatGPT (OpenAI) were only used to help with structuring the report, making academic writing more clear, summarising financial concepts, explaining ratio analysis techniques, or helping with the presentation of investment appraisal methods. AI was also used to enhance grammar, sentence structure, and provide alternative means of communicating financial information. The main contribution of ideas to the report was, however, the author's own. These tasks have been independently carried out, critically analysed and evaluated by the author and included within the scope of the financial statement analysis, ratio analysis, cash operating cycle, investment appraisal, interpretation of Greene King's financial performance, identification of financial strengths and weaknesses, restructuring recommendations and capital budgeting decisions, which used audited financial annual reports from Greene King and relevant academic literature. Liquidity improvement, debt restructuring, working capital management, project selection and capital rationing have been discussed for strategic recommendations which are the result of independent critical thinking, not only based on AI generated outputs but also on financial evidences and the integration of corporate finance theories. </w:t>
      </w:r>
    </w:p>
    <w:p w14:paraId="2B2B3BB5" w14:textId="77777777" w:rsidR="003A5AFF" w:rsidRPr="00CA631E" w:rsidRDefault="00852E02" w:rsidP="000A79FF">
      <w:pPr>
        <w:pStyle w:val="Heading2"/>
        <w:spacing w:line="360" w:lineRule="auto"/>
        <w:jc w:val="both"/>
        <w:rPr>
          <w:rFonts w:ascii="Arial" w:hAnsi="Arial" w:cs="Arial"/>
          <w:b/>
          <w:color w:val="auto"/>
          <w:sz w:val="24"/>
          <w:szCs w:val="24"/>
        </w:rPr>
      </w:pPr>
      <w:bookmarkStart w:id="66" w:name="_Toc234747815"/>
      <w:bookmarkStart w:id="67" w:name="_Toc235038594"/>
      <w:bookmarkStart w:id="68" w:name="_Toc236846849"/>
      <w:r w:rsidRPr="00CA631E">
        <w:rPr>
          <w:rFonts w:ascii="Arial" w:hAnsi="Arial" w:cs="Arial"/>
          <w:b/>
          <w:color w:val="auto"/>
          <w:sz w:val="24"/>
          <w:szCs w:val="24"/>
        </w:rPr>
        <w:t xml:space="preserve">5.4 </w:t>
      </w:r>
      <w:r w:rsidR="003A5AFF" w:rsidRPr="00CA631E">
        <w:rPr>
          <w:rFonts w:ascii="Arial" w:hAnsi="Arial" w:cs="Arial"/>
          <w:b/>
          <w:color w:val="auto"/>
          <w:sz w:val="24"/>
          <w:szCs w:val="24"/>
        </w:rPr>
        <w:t>Ethical &amp; Professional Reflection</w:t>
      </w:r>
      <w:bookmarkEnd w:id="66"/>
      <w:bookmarkEnd w:id="67"/>
      <w:bookmarkEnd w:id="68"/>
    </w:p>
    <w:p w14:paraId="349E4CA5" w14:textId="77777777" w:rsidR="003A5AFF" w:rsidRPr="00CA631E" w:rsidRDefault="000C4D9D" w:rsidP="000A79FF">
      <w:pPr>
        <w:spacing w:line="360" w:lineRule="auto"/>
        <w:jc w:val="both"/>
        <w:rPr>
          <w:rFonts w:ascii="Arial" w:hAnsi="Arial" w:cs="Arial"/>
          <w:sz w:val="24"/>
          <w:szCs w:val="24"/>
        </w:rPr>
      </w:pPr>
      <w:r w:rsidRPr="00CA631E">
        <w:rPr>
          <w:rFonts w:ascii="Arial" w:hAnsi="Arial" w:cs="Arial"/>
          <w:sz w:val="24"/>
          <w:szCs w:val="24"/>
        </w:rPr>
        <w:t>While AI brings great advantages when it comes to efficiency, data analysis and reporting preparation in the financial sector, there are also ethical and professional implications to consider. There is a need for financial professionals to be transparent about the use of AI and ensure that the outputs of AI are independently verified before being used to drive business decisions. Data privacy is also paramount, with financial information accessed and handled securely and in accordance with applicable data protection laws. In addition, when AI recommendations are not carefully reviewed, they can result in incorrect recommendations or missed business risks. Thus, AI-driven recommendations need to be integrated with expert judgement, ethical considerations, and evidence-based analysis for robust financial decisions that promote accountability, reliability, and responsible corporate governance.</w:t>
      </w:r>
    </w:p>
    <w:p w14:paraId="37EF3121" w14:textId="77777777" w:rsidR="003A5AFF" w:rsidRPr="00CA631E" w:rsidRDefault="003A5AFF" w:rsidP="000A79FF">
      <w:pPr>
        <w:spacing w:line="360" w:lineRule="auto"/>
        <w:jc w:val="both"/>
        <w:rPr>
          <w:rFonts w:ascii="Arial" w:eastAsiaTheme="majorEastAsia" w:hAnsi="Arial" w:cs="Arial"/>
          <w:b/>
          <w:sz w:val="24"/>
          <w:szCs w:val="24"/>
        </w:rPr>
      </w:pPr>
      <w:r w:rsidRPr="00CA631E">
        <w:rPr>
          <w:rFonts w:ascii="Arial" w:hAnsi="Arial" w:cs="Arial"/>
          <w:b/>
          <w:sz w:val="24"/>
          <w:szCs w:val="24"/>
        </w:rPr>
        <w:br w:type="page"/>
      </w:r>
    </w:p>
    <w:p w14:paraId="6E3C9AFF" w14:textId="77777777" w:rsidR="001524FC" w:rsidRPr="00CA631E" w:rsidRDefault="003A5AFF" w:rsidP="000A79FF">
      <w:pPr>
        <w:pStyle w:val="Heading1"/>
        <w:spacing w:line="360" w:lineRule="auto"/>
        <w:jc w:val="both"/>
        <w:rPr>
          <w:rFonts w:ascii="Arial" w:hAnsi="Arial" w:cs="Arial"/>
          <w:b/>
          <w:color w:val="auto"/>
          <w:sz w:val="24"/>
          <w:szCs w:val="24"/>
        </w:rPr>
      </w:pPr>
      <w:bookmarkStart w:id="69" w:name="_Toc234747816"/>
      <w:bookmarkStart w:id="70" w:name="_Toc235038595"/>
      <w:bookmarkStart w:id="71" w:name="_Toc236846850"/>
      <w:r w:rsidRPr="00CA631E">
        <w:rPr>
          <w:rFonts w:ascii="Arial" w:hAnsi="Arial" w:cs="Arial"/>
          <w:b/>
          <w:color w:val="auto"/>
          <w:sz w:val="24"/>
          <w:szCs w:val="24"/>
        </w:rPr>
        <w:lastRenderedPageBreak/>
        <w:t>References</w:t>
      </w:r>
      <w:bookmarkEnd w:id="69"/>
      <w:bookmarkEnd w:id="70"/>
      <w:bookmarkEnd w:id="71"/>
    </w:p>
    <w:p w14:paraId="26132AF0"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Association of Chartered Certified Accountants (ACCA) (2026) </w:t>
      </w:r>
      <w:r w:rsidRPr="00CA631E">
        <w:rPr>
          <w:rStyle w:val="Emphasis"/>
          <w:rFonts w:ascii="Arial" w:eastAsiaTheme="majorEastAsia" w:hAnsi="Arial" w:cs="Arial"/>
        </w:rPr>
        <w:t>ACCA Global</w:t>
      </w:r>
      <w:r w:rsidRPr="00CA631E">
        <w:rPr>
          <w:rFonts w:ascii="Arial" w:hAnsi="Arial" w:cs="Arial"/>
        </w:rPr>
        <w:t xml:space="preserve">. Available at: </w:t>
      </w:r>
      <w:hyperlink r:id="rId30" w:tgtFrame="_new" w:history="1">
        <w:r w:rsidRPr="00CA631E">
          <w:rPr>
            <w:rStyle w:val="Hyperlink"/>
            <w:rFonts w:ascii="Arial" w:eastAsiaTheme="majorEastAsia" w:hAnsi="Arial" w:cs="Arial"/>
            <w:color w:val="auto"/>
          </w:rPr>
          <w:t>https://www.accaglobal.com</w:t>
        </w:r>
      </w:hyperlink>
      <w:r w:rsidRPr="00CA631E">
        <w:rPr>
          <w:rFonts w:ascii="Arial" w:hAnsi="Arial" w:cs="Arial"/>
        </w:rPr>
        <w:t xml:space="preserve"> </w:t>
      </w:r>
    </w:p>
    <w:p w14:paraId="48630E3B" w14:textId="77777777" w:rsidR="00660B73" w:rsidRPr="00CA631E" w:rsidRDefault="00660B73" w:rsidP="000A79FF">
      <w:pPr>
        <w:pStyle w:val="pdq2pgselectionanchorcontainer"/>
        <w:spacing w:line="360" w:lineRule="auto"/>
        <w:jc w:val="both"/>
        <w:rPr>
          <w:rFonts w:ascii="Arial" w:hAnsi="Arial" w:cs="Arial"/>
        </w:rPr>
      </w:pPr>
      <w:r w:rsidRPr="00CA631E">
        <w:rPr>
          <w:rFonts w:ascii="Arial" w:hAnsi="Arial" w:cs="Arial"/>
        </w:rPr>
        <w:t xml:space="preserve">Bank of England (2025a) </w:t>
      </w:r>
      <w:r w:rsidRPr="00CA631E">
        <w:rPr>
          <w:rStyle w:val="Emphasis"/>
          <w:rFonts w:ascii="Arial" w:eastAsiaTheme="majorEastAsia" w:hAnsi="Arial" w:cs="Arial"/>
        </w:rPr>
        <w:t>Annual Report and Accounts 2025</w:t>
      </w:r>
      <w:r w:rsidRPr="00CA631E">
        <w:rPr>
          <w:rFonts w:ascii="Arial" w:hAnsi="Arial" w:cs="Arial"/>
        </w:rPr>
        <w:t xml:space="preserve">. Available at: </w:t>
      </w:r>
      <w:hyperlink r:id="rId31" w:tgtFrame="_new" w:history="1">
        <w:r w:rsidRPr="00CA631E">
          <w:rPr>
            <w:rStyle w:val="Hyperlink"/>
            <w:rFonts w:ascii="Arial" w:eastAsiaTheme="majorEastAsia" w:hAnsi="Arial" w:cs="Arial"/>
            <w:color w:val="auto"/>
          </w:rPr>
          <w:t>https://www.bankofengland.co.uk/annual-report/2025</w:t>
        </w:r>
      </w:hyperlink>
      <w:r w:rsidRPr="00CA631E">
        <w:rPr>
          <w:rFonts w:ascii="Arial" w:hAnsi="Arial" w:cs="Arial"/>
        </w:rPr>
        <w:t xml:space="preserve"> </w:t>
      </w:r>
    </w:p>
    <w:p w14:paraId="1B25CD7F"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Bank of England (2025b) </w:t>
      </w:r>
      <w:r w:rsidRPr="00CA631E">
        <w:rPr>
          <w:rStyle w:val="Emphasis"/>
          <w:rFonts w:ascii="Arial" w:eastAsiaTheme="majorEastAsia" w:hAnsi="Arial" w:cs="Arial"/>
        </w:rPr>
        <w:t>Annual Reports 2025</w:t>
      </w:r>
      <w:r w:rsidRPr="00CA631E">
        <w:rPr>
          <w:rFonts w:ascii="Arial" w:hAnsi="Arial" w:cs="Arial"/>
        </w:rPr>
        <w:t xml:space="preserve">. Available at: </w:t>
      </w:r>
      <w:hyperlink r:id="rId32" w:tgtFrame="_new" w:history="1">
        <w:r w:rsidRPr="00CA631E">
          <w:rPr>
            <w:rStyle w:val="Hyperlink"/>
            <w:rFonts w:ascii="Arial" w:eastAsiaTheme="majorEastAsia" w:hAnsi="Arial" w:cs="Arial"/>
            <w:color w:val="auto"/>
          </w:rPr>
          <w:t>https://www.bankofengland.co.uk/annual-report/annual-reports-2025</w:t>
        </w:r>
      </w:hyperlink>
      <w:r w:rsidRPr="00CA631E">
        <w:rPr>
          <w:rFonts w:ascii="Arial" w:hAnsi="Arial" w:cs="Arial"/>
        </w:rPr>
        <w:t xml:space="preserve"> </w:t>
      </w:r>
    </w:p>
    <w:p w14:paraId="14492F5F"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Bank of England (2026a) </w:t>
      </w:r>
      <w:r w:rsidRPr="00CA631E">
        <w:rPr>
          <w:rStyle w:val="Emphasis"/>
          <w:rFonts w:ascii="Arial" w:eastAsiaTheme="majorEastAsia" w:hAnsi="Arial" w:cs="Arial"/>
        </w:rPr>
        <w:t>Monetary Policy</w:t>
      </w:r>
      <w:r w:rsidRPr="00CA631E">
        <w:rPr>
          <w:rFonts w:ascii="Arial" w:hAnsi="Arial" w:cs="Arial"/>
        </w:rPr>
        <w:t xml:space="preserve">. Available at: </w:t>
      </w:r>
      <w:hyperlink r:id="rId33" w:tgtFrame="_new" w:history="1">
        <w:r w:rsidRPr="00CA631E">
          <w:rPr>
            <w:rStyle w:val="Hyperlink"/>
            <w:rFonts w:ascii="Arial" w:eastAsiaTheme="majorEastAsia" w:hAnsi="Arial" w:cs="Arial"/>
            <w:color w:val="auto"/>
          </w:rPr>
          <w:t>https://www.bankofengland.co.uk/monetary-policy</w:t>
        </w:r>
      </w:hyperlink>
      <w:r w:rsidRPr="00CA631E">
        <w:rPr>
          <w:rFonts w:ascii="Arial" w:hAnsi="Arial" w:cs="Arial"/>
        </w:rPr>
        <w:t xml:space="preserve"> </w:t>
      </w:r>
    </w:p>
    <w:p w14:paraId="56AB05C2"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Bank of England (2026b) </w:t>
      </w:r>
      <w:r w:rsidRPr="00CA631E">
        <w:rPr>
          <w:rStyle w:val="Emphasis"/>
          <w:rFonts w:ascii="Arial" w:eastAsiaTheme="majorEastAsia" w:hAnsi="Arial" w:cs="Arial"/>
        </w:rPr>
        <w:t>Monetary Policy Report</w:t>
      </w:r>
      <w:r w:rsidRPr="00CA631E">
        <w:rPr>
          <w:rFonts w:ascii="Arial" w:hAnsi="Arial" w:cs="Arial"/>
        </w:rPr>
        <w:t xml:space="preserve">. Available at: https://www.bankofengland.co.uk/monetary-policy-report </w:t>
      </w:r>
    </w:p>
    <w:p w14:paraId="7A08D0CB"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British Beer &amp; Pub Association (2026) </w:t>
      </w:r>
      <w:r w:rsidRPr="00CA631E">
        <w:rPr>
          <w:rStyle w:val="Emphasis"/>
          <w:rFonts w:ascii="Arial" w:eastAsiaTheme="majorEastAsia" w:hAnsi="Arial" w:cs="Arial"/>
        </w:rPr>
        <w:t>British Beer &amp; Pub Association</w:t>
      </w:r>
      <w:r w:rsidRPr="00CA631E">
        <w:rPr>
          <w:rFonts w:ascii="Arial" w:hAnsi="Arial" w:cs="Arial"/>
        </w:rPr>
        <w:t xml:space="preserve">. Available at: </w:t>
      </w:r>
      <w:hyperlink r:id="rId34" w:tgtFrame="_new" w:history="1">
        <w:r w:rsidRPr="00CA631E">
          <w:rPr>
            <w:rStyle w:val="Hyperlink"/>
            <w:rFonts w:ascii="Arial" w:eastAsiaTheme="majorEastAsia" w:hAnsi="Arial" w:cs="Arial"/>
            <w:color w:val="auto"/>
          </w:rPr>
          <w:t>https://beerandpub.com</w:t>
        </w:r>
      </w:hyperlink>
      <w:r w:rsidRPr="00CA631E">
        <w:rPr>
          <w:rFonts w:ascii="Arial" w:hAnsi="Arial" w:cs="Arial"/>
        </w:rPr>
        <w:t xml:space="preserve"> </w:t>
      </w:r>
    </w:p>
    <w:p w14:paraId="3F3EFC79"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Carbon Disclosure Project (CDP) (2026) </w:t>
      </w:r>
      <w:r w:rsidRPr="00CA631E">
        <w:rPr>
          <w:rStyle w:val="Emphasis"/>
          <w:rFonts w:ascii="Arial" w:eastAsiaTheme="majorEastAsia" w:hAnsi="Arial" w:cs="Arial"/>
        </w:rPr>
        <w:t>CDP</w:t>
      </w:r>
      <w:r w:rsidRPr="00CA631E">
        <w:rPr>
          <w:rFonts w:ascii="Arial" w:hAnsi="Arial" w:cs="Arial"/>
        </w:rPr>
        <w:t xml:space="preserve">. Available at: </w:t>
      </w:r>
      <w:hyperlink r:id="rId35" w:tgtFrame="_new" w:history="1">
        <w:r w:rsidRPr="00CA631E">
          <w:rPr>
            <w:rStyle w:val="Hyperlink"/>
            <w:rFonts w:ascii="Arial" w:eastAsiaTheme="majorEastAsia" w:hAnsi="Arial" w:cs="Arial"/>
            <w:color w:val="auto"/>
          </w:rPr>
          <w:t>https://www.cdp.net</w:t>
        </w:r>
      </w:hyperlink>
      <w:r w:rsidRPr="00CA631E">
        <w:rPr>
          <w:rFonts w:ascii="Arial" w:hAnsi="Arial" w:cs="Arial"/>
        </w:rPr>
        <w:t xml:space="preserve"> </w:t>
      </w:r>
    </w:p>
    <w:p w14:paraId="6E688A31"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CGA by NIQ (2026) </w:t>
      </w:r>
      <w:r w:rsidRPr="00CA631E">
        <w:rPr>
          <w:rStyle w:val="Emphasis"/>
          <w:rFonts w:ascii="Arial" w:eastAsiaTheme="majorEastAsia" w:hAnsi="Arial" w:cs="Arial"/>
        </w:rPr>
        <w:t>Hospitality Market Insights</w:t>
      </w:r>
      <w:r w:rsidRPr="00CA631E">
        <w:rPr>
          <w:rFonts w:ascii="Arial" w:hAnsi="Arial" w:cs="Arial"/>
        </w:rPr>
        <w:t xml:space="preserve">. Available at: </w:t>
      </w:r>
      <w:hyperlink r:id="rId36" w:history="1">
        <w:r w:rsidRPr="00CA631E">
          <w:rPr>
            <w:rStyle w:val="Hyperlink"/>
            <w:rFonts w:ascii="Arial" w:eastAsiaTheme="majorEastAsia" w:hAnsi="Arial" w:cs="Arial"/>
            <w:color w:val="auto"/>
          </w:rPr>
          <w:t>https://www.cgastrategy.com</w:t>
        </w:r>
      </w:hyperlink>
      <w:r w:rsidRPr="00CA631E">
        <w:rPr>
          <w:rFonts w:ascii="Arial" w:hAnsi="Arial" w:cs="Arial"/>
        </w:rPr>
        <w:t xml:space="preserve"> </w:t>
      </w:r>
    </w:p>
    <w:p w14:paraId="3B8A6AA5"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Chartered Institute of Management Accountants (CIMA) (2026) </w:t>
      </w:r>
      <w:r w:rsidRPr="00CA631E">
        <w:rPr>
          <w:rStyle w:val="Emphasis"/>
          <w:rFonts w:ascii="Arial" w:eastAsiaTheme="majorEastAsia" w:hAnsi="Arial" w:cs="Arial"/>
        </w:rPr>
        <w:t>AICPA &amp; CIMA</w:t>
      </w:r>
      <w:r w:rsidRPr="00CA631E">
        <w:rPr>
          <w:rFonts w:ascii="Arial" w:hAnsi="Arial" w:cs="Arial"/>
        </w:rPr>
        <w:t xml:space="preserve">. Available at: </w:t>
      </w:r>
      <w:hyperlink r:id="rId37" w:tgtFrame="_new" w:history="1">
        <w:r w:rsidRPr="00CA631E">
          <w:rPr>
            <w:rStyle w:val="Hyperlink"/>
            <w:rFonts w:ascii="Arial" w:eastAsiaTheme="majorEastAsia" w:hAnsi="Arial" w:cs="Arial"/>
            <w:color w:val="auto"/>
          </w:rPr>
          <w:t>https://www.aicpa-cima.com</w:t>
        </w:r>
      </w:hyperlink>
      <w:r w:rsidRPr="00CA631E">
        <w:rPr>
          <w:rFonts w:ascii="Arial" w:hAnsi="Arial" w:cs="Arial"/>
        </w:rPr>
        <w:t xml:space="preserve"> </w:t>
      </w:r>
    </w:p>
    <w:p w14:paraId="482A04B2"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Companies House (2025a) </w:t>
      </w:r>
      <w:r w:rsidRPr="00CA631E">
        <w:rPr>
          <w:rStyle w:val="Emphasis"/>
          <w:rFonts w:ascii="Arial" w:eastAsiaTheme="majorEastAsia" w:hAnsi="Arial" w:cs="Arial"/>
        </w:rPr>
        <w:t>Greene King Limited: Filing History</w:t>
      </w:r>
      <w:r w:rsidRPr="00CA631E">
        <w:rPr>
          <w:rFonts w:ascii="Arial" w:hAnsi="Arial" w:cs="Arial"/>
        </w:rPr>
        <w:t xml:space="preserve">. Available at: </w:t>
      </w:r>
      <w:hyperlink r:id="rId38" w:tgtFrame="_new" w:history="1">
        <w:r w:rsidRPr="00CA631E">
          <w:rPr>
            <w:rStyle w:val="Hyperlink"/>
            <w:rFonts w:ascii="Arial" w:eastAsiaTheme="majorEastAsia" w:hAnsi="Arial" w:cs="Arial"/>
            <w:color w:val="auto"/>
          </w:rPr>
          <w:t>https://find-and-update.company-information.service.gov.uk/company/00024511/filing-history</w:t>
        </w:r>
      </w:hyperlink>
      <w:r w:rsidRPr="00CA631E">
        <w:rPr>
          <w:rFonts w:ascii="Arial" w:hAnsi="Arial" w:cs="Arial"/>
        </w:rPr>
        <w:t xml:space="preserve"> </w:t>
      </w:r>
    </w:p>
    <w:p w14:paraId="0F0308D1"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Companies House (2025b) </w:t>
      </w:r>
      <w:r w:rsidRPr="00CA631E">
        <w:rPr>
          <w:rStyle w:val="Emphasis"/>
          <w:rFonts w:ascii="Arial" w:eastAsiaTheme="majorEastAsia" w:hAnsi="Arial" w:cs="Arial"/>
        </w:rPr>
        <w:t>Greene King Brewing and Retailing Limited: Filing History</w:t>
      </w:r>
      <w:r w:rsidRPr="00CA631E">
        <w:rPr>
          <w:rFonts w:ascii="Arial" w:hAnsi="Arial" w:cs="Arial"/>
        </w:rPr>
        <w:t xml:space="preserve">. Available at: </w:t>
      </w:r>
      <w:hyperlink r:id="rId39" w:tgtFrame="_new" w:history="1">
        <w:r w:rsidRPr="00CA631E">
          <w:rPr>
            <w:rStyle w:val="Hyperlink"/>
            <w:rFonts w:ascii="Arial" w:eastAsiaTheme="majorEastAsia" w:hAnsi="Arial" w:cs="Arial"/>
            <w:color w:val="auto"/>
          </w:rPr>
          <w:t>https://find-and-update.company-information.service.gov.uk</w:t>
        </w:r>
      </w:hyperlink>
      <w:r w:rsidRPr="00CA631E">
        <w:rPr>
          <w:rFonts w:ascii="Arial" w:hAnsi="Arial" w:cs="Arial"/>
        </w:rPr>
        <w:t xml:space="preserve"> </w:t>
      </w:r>
    </w:p>
    <w:p w14:paraId="0275FFD7"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Companies House (2026a) </w:t>
      </w:r>
      <w:r w:rsidRPr="00CA631E">
        <w:rPr>
          <w:rStyle w:val="Emphasis"/>
          <w:rFonts w:ascii="Arial" w:eastAsiaTheme="majorEastAsia" w:hAnsi="Arial" w:cs="Arial"/>
        </w:rPr>
        <w:t>Companies House</w:t>
      </w:r>
      <w:r w:rsidRPr="00CA631E">
        <w:rPr>
          <w:rFonts w:ascii="Arial" w:hAnsi="Arial" w:cs="Arial"/>
        </w:rPr>
        <w:t xml:space="preserve">. Available at: </w:t>
      </w:r>
      <w:hyperlink r:id="rId40" w:tgtFrame="_new" w:history="1">
        <w:r w:rsidRPr="00CA631E">
          <w:rPr>
            <w:rStyle w:val="Hyperlink"/>
            <w:rFonts w:ascii="Arial" w:eastAsiaTheme="majorEastAsia" w:hAnsi="Arial" w:cs="Arial"/>
            <w:color w:val="auto"/>
          </w:rPr>
          <w:t>https://www.gov.uk/government/organisations/companies-house</w:t>
        </w:r>
      </w:hyperlink>
      <w:r w:rsidRPr="00CA631E">
        <w:rPr>
          <w:rFonts w:ascii="Arial" w:hAnsi="Arial" w:cs="Arial"/>
        </w:rPr>
        <w:t xml:space="preserve"> </w:t>
      </w:r>
    </w:p>
    <w:p w14:paraId="03E47A48"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lastRenderedPageBreak/>
        <w:t xml:space="preserve">Companies House (2026b) </w:t>
      </w:r>
      <w:r w:rsidRPr="00CA631E">
        <w:rPr>
          <w:rStyle w:val="Emphasis"/>
          <w:rFonts w:ascii="Arial" w:eastAsiaTheme="majorEastAsia" w:hAnsi="Arial" w:cs="Arial"/>
        </w:rPr>
        <w:t>Companies House Annual Report and Accounts 2025–2026</w:t>
      </w:r>
      <w:r w:rsidRPr="00CA631E">
        <w:rPr>
          <w:rFonts w:ascii="Arial" w:hAnsi="Arial" w:cs="Arial"/>
        </w:rPr>
        <w:t xml:space="preserve">. Available at: </w:t>
      </w:r>
      <w:hyperlink r:id="rId41" w:history="1">
        <w:r w:rsidRPr="00CA631E">
          <w:rPr>
            <w:rStyle w:val="Hyperlink"/>
            <w:rFonts w:ascii="Arial" w:eastAsiaTheme="majorEastAsia" w:hAnsi="Arial" w:cs="Arial"/>
            <w:color w:val="auto"/>
          </w:rPr>
          <w:t>https://www.gov.uk/government/publications/companies-house-annual-report-and-accounts-2025-to-2026</w:t>
        </w:r>
      </w:hyperlink>
      <w:r w:rsidRPr="00CA631E">
        <w:rPr>
          <w:rFonts w:ascii="Arial" w:hAnsi="Arial" w:cs="Arial"/>
        </w:rPr>
        <w:t xml:space="preserve"> </w:t>
      </w:r>
    </w:p>
    <w:p w14:paraId="6F33BED9"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Corporate Finance Institute (2026) </w:t>
      </w:r>
      <w:r w:rsidRPr="00CA631E">
        <w:rPr>
          <w:rStyle w:val="Emphasis"/>
          <w:rFonts w:ascii="Arial" w:eastAsiaTheme="majorEastAsia" w:hAnsi="Arial" w:cs="Arial"/>
        </w:rPr>
        <w:t>Corporate Finance Institute</w:t>
      </w:r>
      <w:r w:rsidRPr="00CA631E">
        <w:rPr>
          <w:rFonts w:ascii="Arial" w:hAnsi="Arial" w:cs="Arial"/>
        </w:rPr>
        <w:t xml:space="preserve">. Available at: </w:t>
      </w:r>
      <w:hyperlink r:id="rId42" w:tgtFrame="_new" w:history="1">
        <w:r w:rsidRPr="00CA631E">
          <w:rPr>
            <w:rStyle w:val="Hyperlink"/>
            <w:rFonts w:ascii="Arial" w:eastAsiaTheme="majorEastAsia" w:hAnsi="Arial" w:cs="Arial"/>
            <w:color w:val="auto"/>
          </w:rPr>
          <w:t>https://corporatefinanceinstitute.com</w:t>
        </w:r>
      </w:hyperlink>
      <w:r w:rsidRPr="00CA631E">
        <w:rPr>
          <w:rFonts w:ascii="Arial" w:hAnsi="Arial" w:cs="Arial"/>
        </w:rPr>
        <w:t xml:space="preserve"> </w:t>
      </w:r>
    </w:p>
    <w:p w14:paraId="2F2D7F7D"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Financial Reporting Council (2026a) </w:t>
      </w:r>
      <w:r w:rsidRPr="00CA631E">
        <w:rPr>
          <w:rStyle w:val="Emphasis"/>
          <w:rFonts w:ascii="Arial" w:eastAsiaTheme="majorEastAsia" w:hAnsi="Arial" w:cs="Arial"/>
        </w:rPr>
        <w:t>Financial Reporting Council</w:t>
      </w:r>
      <w:r w:rsidRPr="00CA631E">
        <w:rPr>
          <w:rFonts w:ascii="Arial" w:hAnsi="Arial" w:cs="Arial"/>
        </w:rPr>
        <w:t xml:space="preserve">. Available at: </w:t>
      </w:r>
      <w:hyperlink r:id="rId43" w:tgtFrame="_new" w:history="1">
        <w:r w:rsidRPr="00CA631E">
          <w:rPr>
            <w:rStyle w:val="Hyperlink"/>
            <w:rFonts w:ascii="Arial" w:eastAsiaTheme="majorEastAsia" w:hAnsi="Arial" w:cs="Arial"/>
            <w:color w:val="auto"/>
          </w:rPr>
          <w:t>https://www.frc.org.uk</w:t>
        </w:r>
      </w:hyperlink>
      <w:r w:rsidRPr="00CA631E">
        <w:rPr>
          <w:rFonts w:ascii="Arial" w:hAnsi="Arial" w:cs="Arial"/>
        </w:rPr>
        <w:t xml:space="preserve"> </w:t>
      </w:r>
    </w:p>
    <w:p w14:paraId="7F80A1EB"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Financial Reporting Council (2026b) </w:t>
      </w:r>
      <w:r w:rsidRPr="00CA631E">
        <w:rPr>
          <w:rStyle w:val="Emphasis"/>
          <w:rFonts w:ascii="Arial" w:eastAsiaTheme="majorEastAsia" w:hAnsi="Arial" w:cs="Arial"/>
        </w:rPr>
        <w:t>UK Corporate Governance Code</w:t>
      </w:r>
      <w:r w:rsidRPr="00CA631E">
        <w:rPr>
          <w:rFonts w:ascii="Arial" w:hAnsi="Arial" w:cs="Arial"/>
        </w:rPr>
        <w:t xml:space="preserve">. Available at: </w:t>
      </w:r>
      <w:hyperlink r:id="rId44" w:tgtFrame="_new" w:history="1">
        <w:r w:rsidRPr="00CA631E">
          <w:rPr>
            <w:rStyle w:val="Hyperlink"/>
            <w:rFonts w:ascii="Arial" w:eastAsiaTheme="majorEastAsia" w:hAnsi="Arial" w:cs="Arial"/>
            <w:color w:val="auto"/>
          </w:rPr>
          <w:t>https://www.frc.org.uk/library/standards-codes-policy/corporate-governance/uk-corporate-governance-code</w:t>
        </w:r>
      </w:hyperlink>
      <w:r w:rsidRPr="00CA631E">
        <w:rPr>
          <w:rFonts w:ascii="Arial" w:hAnsi="Arial" w:cs="Arial"/>
        </w:rPr>
        <w:t xml:space="preserve"> </w:t>
      </w:r>
    </w:p>
    <w:p w14:paraId="04D0A777"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Global Reporting Initiative (2026) </w:t>
      </w:r>
      <w:r w:rsidRPr="00CA631E">
        <w:rPr>
          <w:rStyle w:val="Emphasis"/>
          <w:rFonts w:ascii="Arial" w:eastAsiaTheme="majorEastAsia" w:hAnsi="Arial" w:cs="Arial"/>
        </w:rPr>
        <w:t>Global Reporting Initiative</w:t>
      </w:r>
      <w:r w:rsidRPr="00CA631E">
        <w:rPr>
          <w:rFonts w:ascii="Arial" w:hAnsi="Arial" w:cs="Arial"/>
        </w:rPr>
        <w:t xml:space="preserve">. Available at: </w:t>
      </w:r>
      <w:hyperlink r:id="rId45" w:tgtFrame="_new" w:history="1">
        <w:r w:rsidRPr="00CA631E">
          <w:rPr>
            <w:rStyle w:val="Hyperlink"/>
            <w:rFonts w:ascii="Arial" w:eastAsiaTheme="majorEastAsia" w:hAnsi="Arial" w:cs="Arial"/>
            <w:color w:val="auto"/>
          </w:rPr>
          <w:t>https://www.globalreporting.org</w:t>
        </w:r>
      </w:hyperlink>
      <w:r w:rsidRPr="00CA631E">
        <w:rPr>
          <w:rFonts w:ascii="Arial" w:hAnsi="Arial" w:cs="Arial"/>
        </w:rPr>
        <w:t xml:space="preserve"> </w:t>
      </w:r>
    </w:p>
    <w:p w14:paraId="53B533B5"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Greene King (2025a) </w:t>
      </w:r>
      <w:r w:rsidRPr="00CA631E">
        <w:rPr>
          <w:rStyle w:val="Emphasis"/>
          <w:rFonts w:ascii="Arial" w:eastAsiaTheme="majorEastAsia" w:hAnsi="Arial" w:cs="Arial"/>
        </w:rPr>
        <w:t>Annual Reports</w:t>
      </w:r>
      <w:r w:rsidRPr="00CA631E">
        <w:rPr>
          <w:rFonts w:ascii="Arial" w:hAnsi="Arial" w:cs="Arial"/>
        </w:rPr>
        <w:t xml:space="preserve">. Available at: </w:t>
      </w:r>
      <w:hyperlink r:id="rId46" w:tgtFrame="_new" w:history="1">
        <w:r w:rsidRPr="00CA631E">
          <w:rPr>
            <w:rStyle w:val="Hyperlink"/>
            <w:rFonts w:ascii="Arial" w:eastAsiaTheme="majorEastAsia" w:hAnsi="Arial" w:cs="Arial"/>
            <w:color w:val="auto"/>
          </w:rPr>
          <w:t>https://www.greeneking.co.uk</w:t>
        </w:r>
      </w:hyperlink>
      <w:r w:rsidRPr="00CA631E">
        <w:rPr>
          <w:rFonts w:ascii="Arial" w:hAnsi="Arial" w:cs="Arial"/>
        </w:rPr>
        <w:t xml:space="preserve"> </w:t>
      </w:r>
    </w:p>
    <w:p w14:paraId="698D786C"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Greene King (2025b) </w:t>
      </w:r>
      <w:r w:rsidRPr="00CA631E">
        <w:rPr>
          <w:rStyle w:val="Emphasis"/>
          <w:rFonts w:ascii="Arial" w:eastAsiaTheme="majorEastAsia" w:hAnsi="Arial" w:cs="Arial"/>
        </w:rPr>
        <w:t>Corporate Information</w:t>
      </w:r>
      <w:r w:rsidRPr="00CA631E">
        <w:rPr>
          <w:rFonts w:ascii="Arial" w:hAnsi="Arial" w:cs="Arial"/>
        </w:rPr>
        <w:t xml:space="preserve">. Available at: </w:t>
      </w:r>
      <w:hyperlink r:id="rId47" w:tgtFrame="_new" w:history="1">
        <w:r w:rsidRPr="00CA631E">
          <w:rPr>
            <w:rStyle w:val="Hyperlink"/>
            <w:rFonts w:ascii="Arial" w:eastAsiaTheme="majorEastAsia" w:hAnsi="Arial" w:cs="Arial"/>
            <w:color w:val="auto"/>
          </w:rPr>
          <w:t>https://www.greeneking.co.uk/our-company</w:t>
        </w:r>
      </w:hyperlink>
      <w:r w:rsidRPr="00CA631E">
        <w:rPr>
          <w:rFonts w:ascii="Arial" w:hAnsi="Arial" w:cs="Arial"/>
        </w:rPr>
        <w:t xml:space="preserve"> </w:t>
      </w:r>
    </w:p>
    <w:p w14:paraId="7351C6FC"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Greene King (2025c) </w:t>
      </w:r>
      <w:r w:rsidRPr="00CA631E">
        <w:rPr>
          <w:rStyle w:val="Emphasis"/>
          <w:rFonts w:ascii="Arial" w:eastAsiaTheme="majorEastAsia" w:hAnsi="Arial" w:cs="Arial"/>
        </w:rPr>
        <w:t>Policies and Statements</w:t>
      </w:r>
      <w:r w:rsidRPr="00CA631E">
        <w:rPr>
          <w:rFonts w:ascii="Arial" w:hAnsi="Arial" w:cs="Arial"/>
        </w:rPr>
        <w:t xml:space="preserve">. Available at: </w:t>
      </w:r>
      <w:hyperlink r:id="rId48" w:tgtFrame="_new" w:history="1">
        <w:r w:rsidRPr="00CA631E">
          <w:rPr>
            <w:rStyle w:val="Hyperlink"/>
            <w:rFonts w:ascii="Arial" w:eastAsiaTheme="majorEastAsia" w:hAnsi="Arial" w:cs="Arial"/>
            <w:color w:val="auto"/>
          </w:rPr>
          <w:t>https://www.greeneking.co.uk</w:t>
        </w:r>
      </w:hyperlink>
      <w:r w:rsidRPr="00CA631E">
        <w:rPr>
          <w:rFonts w:ascii="Arial" w:hAnsi="Arial" w:cs="Arial"/>
        </w:rPr>
        <w:t xml:space="preserve"> </w:t>
      </w:r>
    </w:p>
    <w:p w14:paraId="234BA623"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Greene King (2025d) </w:t>
      </w:r>
      <w:r w:rsidRPr="00CA631E">
        <w:rPr>
          <w:rStyle w:val="Emphasis"/>
          <w:rFonts w:ascii="Arial" w:eastAsiaTheme="majorEastAsia" w:hAnsi="Arial" w:cs="Arial"/>
        </w:rPr>
        <w:t>Supplier Code of Conduct</w:t>
      </w:r>
      <w:r w:rsidRPr="00CA631E">
        <w:rPr>
          <w:rFonts w:ascii="Arial" w:hAnsi="Arial" w:cs="Arial"/>
        </w:rPr>
        <w:t xml:space="preserve">. Available at: </w:t>
      </w:r>
      <w:hyperlink r:id="rId49" w:tgtFrame="_new" w:history="1">
        <w:r w:rsidRPr="00CA631E">
          <w:rPr>
            <w:rStyle w:val="Hyperlink"/>
            <w:rFonts w:ascii="Arial" w:eastAsiaTheme="majorEastAsia" w:hAnsi="Arial" w:cs="Arial"/>
            <w:color w:val="auto"/>
          </w:rPr>
          <w:t>https://www.greeneking.co.uk</w:t>
        </w:r>
      </w:hyperlink>
      <w:r w:rsidRPr="00CA631E">
        <w:rPr>
          <w:rFonts w:ascii="Arial" w:hAnsi="Arial" w:cs="Arial"/>
        </w:rPr>
        <w:t xml:space="preserve"> </w:t>
      </w:r>
    </w:p>
    <w:p w14:paraId="28315878"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Greene King (2025e) </w:t>
      </w:r>
      <w:r w:rsidRPr="00CA631E">
        <w:rPr>
          <w:rStyle w:val="Emphasis"/>
          <w:rFonts w:ascii="Arial" w:eastAsiaTheme="majorEastAsia" w:hAnsi="Arial" w:cs="Arial"/>
        </w:rPr>
        <w:t>Tax Strategy</w:t>
      </w:r>
      <w:r w:rsidRPr="00CA631E">
        <w:rPr>
          <w:rFonts w:ascii="Arial" w:hAnsi="Arial" w:cs="Arial"/>
        </w:rPr>
        <w:t xml:space="preserve">. Available at: </w:t>
      </w:r>
      <w:hyperlink r:id="rId50" w:tgtFrame="_new" w:history="1">
        <w:r w:rsidRPr="00CA631E">
          <w:rPr>
            <w:rStyle w:val="Hyperlink"/>
            <w:rFonts w:ascii="Arial" w:eastAsiaTheme="majorEastAsia" w:hAnsi="Arial" w:cs="Arial"/>
            <w:color w:val="auto"/>
          </w:rPr>
          <w:t>https://www.greeneking.co.uk</w:t>
        </w:r>
      </w:hyperlink>
      <w:r w:rsidRPr="00CA631E">
        <w:rPr>
          <w:rFonts w:ascii="Arial" w:hAnsi="Arial" w:cs="Arial"/>
        </w:rPr>
        <w:t xml:space="preserve"> </w:t>
      </w:r>
    </w:p>
    <w:p w14:paraId="081BBF93"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Greene King (2025f) </w:t>
      </w:r>
      <w:r w:rsidRPr="00CA631E">
        <w:rPr>
          <w:rStyle w:val="Emphasis"/>
          <w:rFonts w:ascii="Arial" w:eastAsiaTheme="majorEastAsia" w:hAnsi="Arial" w:cs="Arial"/>
        </w:rPr>
        <w:t>Modern Slavery Statement</w:t>
      </w:r>
      <w:r w:rsidRPr="00CA631E">
        <w:rPr>
          <w:rFonts w:ascii="Arial" w:hAnsi="Arial" w:cs="Arial"/>
        </w:rPr>
        <w:t xml:space="preserve">. Available at: </w:t>
      </w:r>
      <w:hyperlink r:id="rId51" w:tgtFrame="_new" w:history="1">
        <w:r w:rsidRPr="00CA631E">
          <w:rPr>
            <w:rStyle w:val="Hyperlink"/>
            <w:rFonts w:ascii="Arial" w:eastAsiaTheme="majorEastAsia" w:hAnsi="Arial" w:cs="Arial"/>
            <w:color w:val="auto"/>
          </w:rPr>
          <w:t>https://www.greeneking.co.uk</w:t>
        </w:r>
      </w:hyperlink>
      <w:r w:rsidRPr="00CA631E">
        <w:rPr>
          <w:rFonts w:ascii="Arial" w:hAnsi="Arial" w:cs="Arial"/>
        </w:rPr>
        <w:t xml:space="preserve"> </w:t>
      </w:r>
    </w:p>
    <w:p w14:paraId="2B9124EC"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Greene King (2025g) </w:t>
      </w:r>
      <w:r w:rsidRPr="00CA631E">
        <w:rPr>
          <w:rStyle w:val="Emphasis"/>
          <w:rFonts w:ascii="Arial" w:eastAsiaTheme="majorEastAsia" w:hAnsi="Arial" w:cs="Arial"/>
        </w:rPr>
        <w:t>Gender Pay Gap Report</w:t>
      </w:r>
      <w:r w:rsidRPr="00CA631E">
        <w:rPr>
          <w:rFonts w:ascii="Arial" w:hAnsi="Arial" w:cs="Arial"/>
        </w:rPr>
        <w:t xml:space="preserve">. Available at: </w:t>
      </w:r>
      <w:hyperlink r:id="rId52" w:tgtFrame="_new" w:history="1">
        <w:r w:rsidRPr="00CA631E">
          <w:rPr>
            <w:rStyle w:val="Hyperlink"/>
            <w:rFonts w:ascii="Arial" w:eastAsiaTheme="majorEastAsia" w:hAnsi="Arial" w:cs="Arial"/>
            <w:color w:val="auto"/>
          </w:rPr>
          <w:t>https://www.greeneking.co.uk</w:t>
        </w:r>
      </w:hyperlink>
      <w:r w:rsidRPr="00CA631E">
        <w:rPr>
          <w:rFonts w:ascii="Arial" w:hAnsi="Arial" w:cs="Arial"/>
        </w:rPr>
        <w:t xml:space="preserve"> </w:t>
      </w:r>
    </w:p>
    <w:p w14:paraId="7A424640"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lastRenderedPageBreak/>
        <w:t xml:space="preserve">HM Revenue &amp; Customs (2025a) </w:t>
      </w:r>
      <w:r w:rsidRPr="00CA631E">
        <w:rPr>
          <w:rStyle w:val="Emphasis"/>
          <w:rFonts w:ascii="Arial" w:eastAsiaTheme="majorEastAsia" w:hAnsi="Arial" w:cs="Arial"/>
        </w:rPr>
        <w:t>Annual Report and Accounts 2024–2025</w:t>
      </w:r>
      <w:r w:rsidRPr="00CA631E">
        <w:rPr>
          <w:rFonts w:ascii="Arial" w:hAnsi="Arial" w:cs="Arial"/>
        </w:rPr>
        <w:t xml:space="preserve">. Available at: </w:t>
      </w:r>
      <w:hyperlink r:id="rId53" w:tgtFrame="_new" w:history="1">
        <w:r w:rsidRPr="00CA631E">
          <w:rPr>
            <w:rStyle w:val="Hyperlink"/>
            <w:rFonts w:ascii="Arial" w:eastAsiaTheme="majorEastAsia" w:hAnsi="Arial" w:cs="Arial"/>
            <w:color w:val="auto"/>
          </w:rPr>
          <w:t>https://www.gov.uk/government/publications/hmrc-annual-report-and-accounts-2024-to-2025</w:t>
        </w:r>
      </w:hyperlink>
      <w:r w:rsidRPr="00CA631E">
        <w:rPr>
          <w:rFonts w:ascii="Arial" w:hAnsi="Arial" w:cs="Arial"/>
        </w:rPr>
        <w:t xml:space="preserve"> </w:t>
      </w:r>
    </w:p>
    <w:p w14:paraId="5B8E0141"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HM Revenue &amp; Customs (2025b) </w:t>
      </w:r>
      <w:r w:rsidRPr="00CA631E">
        <w:rPr>
          <w:rStyle w:val="Emphasis"/>
          <w:rFonts w:ascii="Arial" w:eastAsiaTheme="majorEastAsia" w:hAnsi="Arial" w:cs="Arial"/>
        </w:rPr>
        <w:t>HM Revenue &amp; Customs</w:t>
      </w:r>
      <w:r w:rsidRPr="00CA631E">
        <w:rPr>
          <w:rFonts w:ascii="Arial" w:hAnsi="Arial" w:cs="Arial"/>
        </w:rPr>
        <w:t xml:space="preserve">. Available at: </w:t>
      </w:r>
      <w:hyperlink r:id="rId54" w:tgtFrame="_new" w:history="1">
        <w:r w:rsidRPr="00CA631E">
          <w:rPr>
            <w:rStyle w:val="Hyperlink"/>
            <w:rFonts w:ascii="Arial" w:eastAsiaTheme="majorEastAsia" w:hAnsi="Arial" w:cs="Arial"/>
            <w:color w:val="auto"/>
          </w:rPr>
          <w:t>https://www.gov.uk/government/organisations/hm-revenue-customs</w:t>
        </w:r>
      </w:hyperlink>
      <w:r w:rsidRPr="00CA631E">
        <w:rPr>
          <w:rFonts w:ascii="Arial" w:hAnsi="Arial" w:cs="Arial"/>
        </w:rPr>
        <w:t xml:space="preserve"> </w:t>
      </w:r>
    </w:p>
    <w:p w14:paraId="71D30C20"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IFRS Foundation (2025a) </w:t>
      </w:r>
      <w:r w:rsidRPr="00CA631E">
        <w:rPr>
          <w:rStyle w:val="Emphasis"/>
          <w:rFonts w:ascii="Arial" w:eastAsiaTheme="majorEastAsia" w:hAnsi="Arial" w:cs="Arial"/>
        </w:rPr>
        <w:t>Annual Report 2025</w:t>
      </w:r>
      <w:r w:rsidRPr="00CA631E">
        <w:rPr>
          <w:rFonts w:ascii="Arial" w:hAnsi="Arial" w:cs="Arial"/>
        </w:rPr>
        <w:t xml:space="preserve">. Available at: </w:t>
      </w:r>
      <w:hyperlink r:id="rId55" w:tgtFrame="_new" w:history="1">
        <w:r w:rsidRPr="00CA631E">
          <w:rPr>
            <w:rStyle w:val="Hyperlink"/>
            <w:rFonts w:ascii="Arial" w:eastAsiaTheme="majorEastAsia" w:hAnsi="Arial" w:cs="Arial"/>
            <w:color w:val="auto"/>
          </w:rPr>
          <w:t>https://www.ifrs.org/content/dam/ifrs/about-us/funding/2025/ifrs-foundation-annual-report-2025.pdf</w:t>
        </w:r>
      </w:hyperlink>
      <w:r w:rsidRPr="00CA631E">
        <w:rPr>
          <w:rFonts w:ascii="Arial" w:hAnsi="Arial" w:cs="Arial"/>
        </w:rPr>
        <w:t xml:space="preserve"> </w:t>
      </w:r>
    </w:p>
    <w:p w14:paraId="48852EF2"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IFRS Foundation (2025b) </w:t>
      </w:r>
      <w:r w:rsidRPr="00CA631E">
        <w:rPr>
          <w:rStyle w:val="Emphasis"/>
          <w:rFonts w:ascii="Arial" w:eastAsiaTheme="majorEastAsia" w:hAnsi="Arial" w:cs="Arial"/>
        </w:rPr>
        <w:t>IFRS Standards</w:t>
      </w:r>
      <w:r w:rsidRPr="00CA631E">
        <w:rPr>
          <w:rFonts w:ascii="Arial" w:hAnsi="Arial" w:cs="Arial"/>
        </w:rPr>
        <w:t xml:space="preserve">. Available at: </w:t>
      </w:r>
      <w:hyperlink r:id="rId56" w:tgtFrame="_new" w:history="1">
        <w:r w:rsidRPr="00CA631E">
          <w:rPr>
            <w:rStyle w:val="Hyperlink"/>
            <w:rFonts w:ascii="Arial" w:eastAsiaTheme="majorEastAsia" w:hAnsi="Arial" w:cs="Arial"/>
            <w:color w:val="auto"/>
          </w:rPr>
          <w:t>https://www.ifrs.org/issued-standards</w:t>
        </w:r>
      </w:hyperlink>
      <w:r w:rsidRPr="00CA631E">
        <w:rPr>
          <w:rFonts w:ascii="Arial" w:hAnsi="Arial" w:cs="Arial"/>
        </w:rPr>
        <w:t xml:space="preserve"> </w:t>
      </w:r>
    </w:p>
    <w:p w14:paraId="3866D58D"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Information Commissioner's Office (2026) </w:t>
      </w:r>
      <w:r w:rsidRPr="00CA631E">
        <w:rPr>
          <w:rStyle w:val="Emphasis"/>
          <w:rFonts w:ascii="Arial" w:eastAsiaTheme="majorEastAsia" w:hAnsi="Arial" w:cs="Arial"/>
        </w:rPr>
        <w:t>Information Commissioner's Office</w:t>
      </w:r>
      <w:r w:rsidRPr="00CA631E">
        <w:rPr>
          <w:rFonts w:ascii="Arial" w:hAnsi="Arial" w:cs="Arial"/>
        </w:rPr>
        <w:t xml:space="preserve">. Available at: </w:t>
      </w:r>
      <w:hyperlink r:id="rId57" w:tgtFrame="_new" w:history="1">
        <w:r w:rsidRPr="00CA631E">
          <w:rPr>
            <w:rStyle w:val="Hyperlink"/>
            <w:rFonts w:ascii="Arial" w:eastAsiaTheme="majorEastAsia" w:hAnsi="Arial" w:cs="Arial"/>
            <w:color w:val="auto"/>
          </w:rPr>
          <w:t>https://ico.org.uk</w:t>
        </w:r>
      </w:hyperlink>
      <w:r w:rsidRPr="00CA631E">
        <w:rPr>
          <w:rFonts w:ascii="Arial" w:hAnsi="Arial" w:cs="Arial"/>
        </w:rPr>
        <w:t xml:space="preserve"> </w:t>
      </w:r>
    </w:p>
    <w:p w14:paraId="5C1B61AE"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Institute of Chartered Accountants in England and Wales (ICAEW) (2026) </w:t>
      </w:r>
      <w:r w:rsidRPr="00CA631E">
        <w:rPr>
          <w:rStyle w:val="Emphasis"/>
          <w:rFonts w:ascii="Arial" w:eastAsiaTheme="majorEastAsia" w:hAnsi="Arial" w:cs="Arial"/>
        </w:rPr>
        <w:t>ICAEW</w:t>
      </w:r>
      <w:r w:rsidRPr="00CA631E">
        <w:rPr>
          <w:rFonts w:ascii="Arial" w:hAnsi="Arial" w:cs="Arial"/>
        </w:rPr>
        <w:t xml:space="preserve">. Available at: </w:t>
      </w:r>
      <w:hyperlink r:id="rId58" w:tgtFrame="_new" w:history="1">
        <w:r w:rsidRPr="00CA631E">
          <w:rPr>
            <w:rStyle w:val="Hyperlink"/>
            <w:rFonts w:ascii="Arial" w:eastAsiaTheme="majorEastAsia" w:hAnsi="Arial" w:cs="Arial"/>
            <w:color w:val="auto"/>
          </w:rPr>
          <w:t>https://www.icaew.com</w:t>
        </w:r>
      </w:hyperlink>
      <w:r w:rsidRPr="00CA631E">
        <w:rPr>
          <w:rFonts w:ascii="Arial" w:hAnsi="Arial" w:cs="Arial"/>
        </w:rPr>
        <w:t xml:space="preserve"> </w:t>
      </w:r>
    </w:p>
    <w:p w14:paraId="217F39C9"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London Stock Exchange Group (2026) </w:t>
      </w:r>
      <w:r w:rsidRPr="00CA631E">
        <w:rPr>
          <w:rStyle w:val="Emphasis"/>
          <w:rFonts w:ascii="Arial" w:eastAsiaTheme="majorEastAsia" w:hAnsi="Arial" w:cs="Arial"/>
        </w:rPr>
        <w:t>London Stock Exchange</w:t>
      </w:r>
      <w:r w:rsidRPr="00CA631E">
        <w:rPr>
          <w:rFonts w:ascii="Arial" w:hAnsi="Arial" w:cs="Arial"/>
        </w:rPr>
        <w:t xml:space="preserve">. Available at: </w:t>
      </w:r>
      <w:hyperlink r:id="rId59" w:tgtFrame="_new" w:history="1">
        <w:r w:rsidRPr="00CA631E">
          <w:rPr>
            <w:rStyle w:val="Hyperlink"/>
            <w:rFonts w:ascii="Arial" w:eastAsiaTheme="majorEastAsia" w:hAnsi="Arial" w:cs="Arial"/>
            <w:color w:val="auto"/>
          </w:rPr>
          <w:t>https://www.londonstockexchange.com</w:t>
        </w:r>
      </w:hyperlink>
      <w:r w:rsidRPr="00CA631E">
        <w:rPr>
          <w:rFonts w:ascii="Arial" w:hAnsi="Arial" w:cs="Arial"/>
        </w:rPr>
        <w:t xml:space="preserve"> </w:t>
      </w:r>
    </w:p>
    <w:p w14:paraId="28D8AB3D"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National Cyber Security Centre (2026) </w:t>
      </w:r>
      <w:r w:rsidRPr="00CA631E">
        <w:rPr>
          <w:rStyle w:val="Emphasis"/>
          <w:rFonts w:ascii="Arial" w:eastAsiaTheme="majorEastAsia" w:hAnsi="Arial" w:cs="Arial"/>
        </w:rPr>
        <w:t>National Cyber Security Centre</w:t>
      </w:r>
      <w:r w:rsidRPr="00CA631E">
        <w:rPr>
          <w:rFonts w:ascii="Arial" w:hAnsi="Arial" w:cs="Arial"/>
        </w:rPr>
        <w:t xml:space="preserve">. Available at: </w:t>
      </w:r>
      <w:hyperlink r:id="rId60" w:tgtFrame="_new" w:history="1">
        <w:r w:rsidRPr="00CA631E">
          <w:rPr>
            <w:rStyle w:val="Hyperlink"/>
            <w:rFonts w:ascii="Arial" w:eastAsiaTheme="majorEastAsia" w:hAnsi="Arial" w:cs="Arial"/>
            <w:color w:val="auto"/>
          </w:rPr>
          <w:t>https://www.ncsc.gov.uk</w:t>
        </w:r>
      </w:hyperlink>
      <w:r w:rsidRPr="00CA631E">
        <w:rPr>
          <w:rFonts w:ascii="Arial" w:hAnsi="Arial" w:cs="Arial"/>
        </w:rPr>
        <w:t xml:space="preserve"> </w:t>
      </w:r>
    </w:p>
    <w:p w14:paraId="1B2E071F"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OECD (2026) </w:t>
      </w:r>
      <w:r w:rsidRPr="00CA631E">
        <w:rPr>
          <w:rStyle w:val="Emphasis"/>
          <w:rFonts w:ascii="Arial" w:eastAsiaTheme="majorEastAsia" w:hAnsi="Arial" w:cs="Arial"/>
        </w:rPr>
        <w:t>OECD AI Principles</w:t>
      </w:r>
      <w:r w:rsidRPr="00CA631E">
        <w:rPr>
          <w:rFonts w:ascii="Arial" w:hAnsi="Arial" w:cs="Arial"/>
        </w:rPr>
        <w:t xml:space="preserve">. Available at: </w:t>
      </w:r>
      <w:hyperlink r:id="rId61" w:tgtFrame="_new" w:history="1">
        <w:r w:rsidRPr="00CA631E">
          <w:rPr>
            <w:rStyle w:val="Hyperlink"/>
            <w:rFonts w:ascii="Arial" w:eastAsiaTheme="majorEastAsia" w:hAnsi="Arial" w:cs="Arial"/>
            <w:color w:val="auto"/>
          </w:rPr>
          <w:t>https://oecd.ai/en/ai-principles</w:t>
        </w:r>
      </w:hyperlink>
      <w:r w:rsidRPr="00CA631E">
        <w:rPr>
          <w:rFonts w:ascii="Arial" w:hAnsi="Arial" w:cs="Arial"/>
        </w:rPr>
        <w:t xml:space="preserve"> </w:t>
      </w:r>
    </w:p>
    <w:p w14:paraId="4FD4006F"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Office for National Statistics (ONS) (2026a) </w:t>
      </w:r>
      <w:r w:rsidRPr="00CA631E">
        <w:rPr>
          <w:rStyle w:val="Emphasis"/>
          <w:rFonts w:ascii="Arial" w:eastAsiaTheme="majorEastAsia" w:hAnsi="Arial" w:cs="Arial"/>
        </w:rPr>
        <w:t>Office for National Statistics</w:t>
      </w:r>
      <w:r w:rsidRPr="00CA631E">
        <w:rPr>
          <w:rFonts w:ascii="Arial" w:hAnsi="Arial" w:cs="Arial"/>
        </w:rPr>
        <w:t xml:space="preserve">. Available at: </w:t>
      </w:r>
      <w:hyperlink r:id="rId62" w:tgtFrame="_new" w:history="1">
        <w:r w:rsidRPr="00CA631E">
          <w:rPr>
            <w:rStyle w:val="Hyperlink"/>
            <w:rFonts w:ascii="Arial" w:eastAsiaTheme="majorEastAsia" w:hAnsi="Arial" w:cs="Arial"/>
            <w:color w:val="auto"/>
          </w:rPr>
          <w:t>https://www.ons.gov.uk</w:t>
        </w:r>
      </w:hyperlink>
      <w:r w:rsidRPr="00CA631E">
        <w:rPr>
          <w:rFonts w:ascii="Arial" w:hAnsi="Arial" w:cs="Arial"/>
        </w:rPr>
        <w:t xml:space="preserve"> </w:t>
      </w:r>
    </w:p>
    <w:p w14:paraId="132189CE"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Office for National Statistics (ONS) (2026b) </w:t>
      </w:r>
      <w:r w:rsidRPr="00CA631E">
        <w:rPr>
          <w:rStyle w:val="Emphasis"/>
          <w:rFonts w:ascii="Arial" w:eastAsiaTheme="majorEastAsia" w:hAnsi="Arial" w:cs="Arial"/>
        </w:rPr>
        <w:t>Inflation and Price Indices</w:t>
      </w:r>
      <w:r w:rsidRPr="00CA631E">
        <w:rPr>
          <w:rFonts w:ascii="Arial" w:hAnsi="Arial" w:cs="Arial"/>
        </w:rPr>
        <w:t xml:space="preserve">. Available at: </w:t>
      </w:r>
      <w:hyperlink r:id="rId63" w:tgtFrame="_new" w:history="1">
        <w:r w:rsidRPr="00CA631E">
          <w:rPr>
            <w:rStyle w:val="Hyperlink"/>
            <w:rFonts w:ascii="Arial" w:eastAsiaTheme="majorEastAsia" w:hAnsi="Arial" w:cs="Arial"/>
            <w:color w:val="auto"/>
          </w:rPr>
          <w:t>https://www.ons.gov.uk/economy/inflationandpriceindices</w:t>
        </w:r>
      </w:hyperlink>
      <w:r w:rsidRPr="00CA631E">
        <w:rPr>
          <w:rFonts w:ascii="Arial" w:hAnsi="Arial" w:cs="Arial"/>
        </w:rPr>
        <w:t xml:space="preserve"> </w:t>
      </w:r>
    </w:p>
    <w:p w14:paraId="08B05165"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Science Based Targets initiative (2026) </w:t>
      </w:r>
      <w:r w:rsidRPr="00CA631E">
        <w:rPr>
          <w:rStyle w:val="Emphasis"/>
          <w:rFonts w:ascii="Arial" w:eastAsiaTheme="majorEastAsia" w:hAnsi="Arial" w:cs="Arial"/>
        </w:rPr>
        <w:t>Science Based Targets initiative</w:t>
      </w:r>
      <w:r w:rsidRPr="00CA631E">
        <w:rPr>
          <w:rFonts w:ascii="Arial" w:hAnsi="Arial" w:cs="Arial"/>
        </w:rPr>
        <w:t xml:space="preserve">. Available at: </w:t>
      </w:r>
      <w:hyperlink r:id="rId64" w:tgtFrame="_new" w:history="1">
        <w:r w:rsidRPr="00CA631E">
          <w:rPr>
            <w:rStyle w:val="Hyperlink"/>
            <w:rFonts w:ascii="Arial" w:eastAsiaTheme="majorEastAsia" w:hAnsi="Arial" w:cs="Arial"/>
            <w:color w:val="auto"/>
          </w:rPr>
          <w:t>https://sciencebasedtargets.org</w:t>
        </w:r>
      </w:hyperlink>
      <w:r w:rsidRPr="00CA631E">
        <w:rPr>
          <w:rFonts w:ascii="Arial" w:hAnsi="Arial" w:cs="Arial"/>
        </w:rPr>
        <w:t xml:space="preserve"> </w:t>
      </w:r>
    </w:p>
    <w:p w14:paraId="6F2F53F3"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lastRenderedPageBreak/>
        <w:t xml:space="preserve">Statista (2026) </w:t>
      </w:r>
      <w:r w:rsidRPr="00CA631E">
        <w:rPr>
          <w:rStyle w:val="Emphasis"/>
          <w:rFonts w:ascii="Arial" w:eastAsiaTheme="majorEastAsia" w:hAnsi="Arial" w:cs="Arial"/>
        </w:rPr>
        <w:t>Hospitality Industry</w:t>
      </w:r>
      <w:r w:rsidRPr="00CA631E">
        <w:rPr>
          <w:rFonts w:ascii="Arial" w:hAnsi="Arial" w:cs="Arial"/>
        </w:rPr>
        <w:t xml:space="preserve">. Available at: https://www.statista.com/markets/424/topic/485/hospitality </w:t>
      </w:r>
    </w:p>
    <w:p w14:paraId="05B47D54"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Task Force on Climate-related Financial Disclosures (TCFD) (2026) </w:t>
      </w:r>
      <w:r w:rsidRPr="00CA631E">
        <w:rPr>
          <w:rStyle w:val="Emphasis"/>
          <w:rFonts w:ascii="Arial" w:eastAsiaTheme="majorEastAsia" w:hAnsi="Arial" w:cs="Arial"/>
        </w:rPr>
        <w:t>TCFD</w:t>
      </w:r>
      <w:r w:rsidRPr="00CA631E">
        <w:rPr>
          <w:rFonts w:ascii="Arial" w:hAnsi="Arial" w:cs="Arial"/>
        </w:rPr>
        <w:t xml:space="preserve">. Available at: </w:t>
      </w:r>
      <w:hyperlink r:id="rId65" w:tgtFrame="_new" w:history="1">
        <w:r w:rsidRPr="00CA631E">
          <w:rPr>
            <w:rStyle w:val="Hyperlink"/>
            <w:rFonts w:ascii="Arial" w:eastAsiaTheme="majorEastAsia" w:hAnsi="Arial" w:cs="Arial"/>
            <w:color w:val="auto"/>
          </w:rPr>
          <w:t>https://www.fsb-tcfd.org</w:t>
        </w:r>
      </w:hyperlink>
      <w:r w:rsidRPr="00CA631E">
        <w:rPr>
          <w:rFonts w:ascii="Arial" w:hAnsi="Arial" w:cs="Arial"/>
        </w:rPr>
        <w:t xml:space="preserve"> </w:t>
      </w:r>
    </w:p>
    <w:p w14:paraId="7838B04A" w14:textId="77777777" w:rsidR="00660B73" w:rsidRPr="00CA631E" w:rsidRDefault="00660B73" w:rsidP="000A79FF">
      <w:pPr>
        <w:pStyle w:val="NormalWeb"/>
        <w:spacing w:line="360" w:lineRule="auto"/>
        <w:jc w:val="both"/>
        <w:rPr>
          <w:rFonts w:ascii="Arial" w:hAnsi="Arial" w:cs="Arial"/>
        </w:rPr>
      </w:pPr>
      <w:proofErr w:type="spellStart"/>
      <w:r w:rsidRPr="00CA631E">
        <w:rPr>
          <w:rFonts w:ascii="Arial" w:hAnsi="Arial" w:cs="Arial"/>
        </w:rPr>
        <w:t>UKHospitality</w:t>
      </w:r>
      <w:proofErr w:type="spellEnd"/>
      <w:r w:rsidRPr="00CA631E">
        <w:rPr>
          <w:rFonts w:ascii="Arial" w:hAnsi="Arial" w:cs="Arial"/>
        </w:rPr>
        <w:t xml:space="preserve"> (2026) </w:t>
      </w:r>
      <w:proofErr w:type="spellStart"/>
      <w:r w:rsidRPr="00CA631E">
        <w:rPr>
          <w:rStyle w:val="Emphasis"/>
          <w:rFonts w:ascii="Arial" w:eastAsiaTheme="majorEastAsia" w:hAnsi="Arial" w:cs="Arial"/>
        </w:rPr>
        <w:t>UKHospitality</w:t>
      </w:r>
      <w:proofErr w:type="spellEnd"/>
      <w:r w:rsidRPr="00CA631E">
        <w:rPr>
          <w:rFonts w:ascii="Arial" w:hAnsi="Arial" w:cs="Arial"/>
        </w:rPr>
        <w:t xml:space="preserve">. Available at: </w:t>
      </w:r>
      <w:hyperlink r:id="rId66" w:tgtFrame="_new" w:history="1">
        <w:r w:rsidRPr="00CA631E">
          <w:rPr>
            <w:rStyle w:val="Hyperlink"/>
            <w:rFonts w:ascii="Arial" w:eastAsiaTheme="majorEastAsia" w:hAnsi="Arial" w:cs="Arial"/>
            <w:color w:val="auto"/>
          </w:rPr>
          <w:t>https://www.ukhospitality.org.uk</w:t>
        </w:r>
      </w:hyperlink>
      <w:r w:rsidRPr="00CA631E">
        <w:rPr>
          <w:rFonts w:ascii="Arial" w:hAnsi="Arial" w:cs="Arial"/>
        </w:rPr>
        <w:t xml:space="preserve"> </w:t>
      </w:r>
    </w:p>
    <w:p w14:paraId="31D0109A"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United Nations (2026) </w:t>
      </w:r>
      <w:r w:rsidRPr="00CA631E">
        <w:rPr>
          <w:rStyle w:val="Emphasis"/>
          <w:rFonts w:ascii="Arial" w:eastAsiaTheme="majorEastAsia" w:hAnsi="Arial" w:cs="Arial"/>
        </w:rPr>
        <w:t>Sustainable Development Goals</w:t>
      </w:r>
      <w:r w:rsidRPr="00CA631E">
        <w:rPr>
          <w:rFonts w:ascii="Arial" w:hAnsi="Arial" w:cs="Arial"/>
        </w:rPr>
        <w:t xml:space="preserve">. Available at: </w:t>
      </w:r>
      <w:hyperlink r:id="rId67" w:tgtFrame="_new" w:history="1">
        <w:r w:rsidRPr="00CA631E">
          <w:rPr>
            <w:rStyle w:val="Hyperlink"/>
            <w:rFonts w:ascii="Arial" w:eastAsiaTheme="majorEastAsia" w:hAnsi="Arial" w:cs="Arial"/>
            <w:color w:val="auto"/>
          </w:rPr>
          <w:t>https://sdgs.un.org/goals</w:t>
        </w:r>
      </w:hyperlink>
      <w:r w:rsidRPr="00CA631E">
        <w:rPr>
          <w:rFonts w:ascii="Arial" w:hAnsi="Arial" w:cs="Arial"/>
        </w:rPr>
        <w:t xml:space="preserve"> </w:t>
      </w:r>
    </w:p>
    <w:p w14:paraId="1619B864"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VisitBritain (2026) </w:t>
      </w:r>
      <w:r w:rsidRPr="00CA631E">
        <w:rPr>
          <w:rStyle w:val="Emphasis"/>
          <w:rFonts w:ascii="Arial" w:eastAsiaTheme="majorEastAsia" w:hAnsi="Arial" w:cs="Arial"/>
        </w:rPr>
        <w:t>Research and Insights</w:t>
      </w:r>
      <w:r w:rsidRPr="00CA631E">
        <w:rPr>
          <w:rFonts w:ascii="Arial" w:hAnsi="Arial" w:cs="Arial"/>
        </w:rPr>
        <w:t xml:space="preserve">. Available at: </w:t>
      </w:r>
      <w:hyperlink r:id="rId68" w:tgtFrame="_new" w:history="1">
        <w:r w:rsidRPr="00CA631E">
          <w:rPr>
            <w:rStyle w:val="Hyperlink"/>
            <w:rFonts w:ascii="Arial" w:eastAsiaTheme="majorEastAsia" w:hAnsi="Arial" w:cs="Arial"/>
            <w:color w:val="auto"/>
          </w:rPr>
          <w:t>https://www.visitbritain.org/research-insights</w:t>
        </w:r>
      </w:hyperlink>
      <w:r w:rsidRPr="00CA631E">
        <w:rPr>
          <w:rFonts w:ascii="Arial" w:hAnsi="Arial" w:cs="Arial"/>
        </w:rPr>
        <w:t xml:space="preserve"> </w:t>
      </w:r>
    </w:p>
    <w:p w14:paraId="73C3A300" w14:textId="77777777" w:rsidR="00660B73" w:rsidRPr="00CA631E" w:rsidRDefault="00660B73" w:rsidP="000A79FF">
      <w:pPr>
        <w:pStyle w:val="NormalWeb"/>
        <w:spacing w:line="360" w:lineRule="auto"/>
        <w:jc w:val="both"/>
        <w:rPr>
          <w:rFonts w:ascii="Arial" w:hAnsi="Arial" w:cs="Arial"/>
        </w:rPr>
      </w:pPr>
      <w:r w:rsidRPr="00CA631E">
        <w:rPr>
          <w:rFonts w:ascii="Arial" w:hAnsi="Arial" w:cs="Arial"/>
        </w:rPr>
        <w:t xml:space="preserve">World Economic Forum (2026) </w:t>
      </w:r>
      <w:r w:rsidRPr="00CA631E">
        <w:rPr>
          <w:rStyle w:val="Emphasis"/>
          <w:rFonts w:ascii="Arial" w:eastAsiaTheme="majorEastAsia" w:hAnsi="Arial" w:cs="Arial"/>
        </w:rPr>
        <w:t>AI Governance Alliance</w:t>
      </w:r>
      <w:r w:rsidRPr="00CA631E">
        <w:rPr>
          <w:rFonts w:ascii="Arial" w:hAnsi="Arial" w:cs="Arial"/>
        </w:rPr>
        <w:t xml:space="preserve">. Available at: </w:t>
      </w:r>
      <w:hyperlink r:id="rId69" w:history="1">
        <w:r w:rsidRPr="00CA631E">
          <w:rPr>
            <w:rStyle w:val="Hyperlink"/>
            <w:rFonts w:ascii="Arial" w:eastAsiaTheme="majorEastAsia" w:hAnsi="Arial" w:cs="Arial"/>
            <w:color w:val="auto"/>
          </w:rPr>
          <w:t>https://www.weforum.org/initiatives/ai-governance-alliance</w:t>
        </w:r>
      </w:hyperlink>
      <w:r w:rsidRPr="00CA631E">
        <w:rPr>
          <w:rFonts w:ascii="Arial" w:hAnsi="Arial" w:cs="Arial"/>
        </w:rPr>
        <w:t xml:space="preserve"> </w:t>
      </w:r>
    </w:p>
    <w:p w14:paraId="33512C90" w14:textId="77777777" w:rsidR="001524FC" w:rsidRPr="00CA631E" w:rsidRDefault="001524FC" w:rsidP="000A79FF">
      <w:pPr>
        <w:spacing w:line="360" w:lineRule="auto"/>
        <w:jc w:val="both"/>
        <w:rPr>
          <w:rFonts w:ascii="Arial" w:eastAsiaTheme="majorEastAsia" w:hAnsi="Arial" w:cs="Arial"/>
          <w:sz w:val="24"/>
          <w:szCs w:val="24"/>
        </w:rPr>
      </w:pPr>
      <w:r w:rsidRPr="00CA631E">
        <w:rPr>
          <w:rFonts w:ascii="Arial" w:hAnsi="Arial" w:cs="Arial"/>
          <w:sz w:val="24"/>
          <w:szCs w:val="24"/>
        </w:rPr>
        <w:br w:type="page"/>
      </w:r>
    </w:p>
    <w:p w14:paraId="4C276A00" w14:textId="77777777" w:rsidR="003A5AFF" w:rsidRPr="00CA631E" w:rsidRDefault="003A5AFF" w:rsidP="000A79FF">
      <w:pPr>
        <w:pStyle w:val="Heading1"/>
        <w:spacing w:line="360" w:lineRule="auto"/>
        <w:jc w:val="both"/>
        <w:rPr>
          <w:rFonts w:ascii="Arial" w:hAnsi="Arial" w:cs="Arial"/>
          <w:b/>
          <w:color w:val="auto"/>
          <w:sz w:val="24"/>
          <w:szCs w:val="24"/>
        </w:rPr>
      </w:pPr>
      <w:bookmarkStart w:id="72" w:name="_Toc234747817"/>
      <w:bookmarkStart w:id="73" w:name="_Toc235038596"/>
      <w:bookmarkStart w:id="74" w:name="_Toc236846851"/>
      <w:r w:rsidRPr="00CA631E">
        <w:rPr>
          <w:rFonts w:ascii="Arial" w:hAnsi="Arial" w:cs="Arial"/>
          <w:b/>
          <w:color w:val="auto"/>
          <w:sz w:val="24"/>
          <w:szCs w:val="24"/>
        </w:rPr>
        <w:lastRenderedPageBreak/>
        <w:t>Appendices</w:t>
      </w:r>
      <w:bookmarkEnd w:id="72"/>
      <w:bookmarkEnd w:id="73"/>
      <w:bookmarkEnd w:id="74"/>
    </w:p>
    <w:p w14:paraId="1F1A6C1A" w14:textId="77777777" w:rsidR="003A5AFF" w:rsidRPr="00CA631E" w:rsidRDefault="002038D6" w:rsidP="000A79FF">
      <w:pPr>
        <w:pStyle w:val="Heading2"/>
        <w:spacing w:line="360" w:lineRule="auto"/>
        <w:jc w:val="both"/>
        <w:rPr>
          <w:rFonts w:ascii="Arial" w:hAnsi="Arial" w:cs="Arial"/>
          <w:b/>
          <w:color w:val="auto"/>
          <w:sz w:val="24"/>
          <w:szCs w:val="24"/>
        </w:rPr>
      </w:pPr>
      <w:bookmarkStart w:id="75" w:name="_Toc234747818"/>
      <w:bookmarkStart w:id="76" w:name="_Toc235038597"/>
      <w:bookmarkStart w:id="77" w:name="_Toc236846852"/>
      <w:r w:rsidRPr="00CA631E">
        <w:rPr>
          <w:rFonts w:ascii="Arial" w:hAnsi="Arial" w:cs="Arial"/>
          <w:b/>
          <w:color w:val="auto"/>
          <w:sz w:val="24"/>
          <w:szCs w:val="24"/>
        </w:rPr>
        <w:t xml:space="preserve">a. </w:t>
      </w:r>
      <w:r w:rsidR="000F3C7B" w:rsidRPr="00CA631E">
        <w:rPr>
          <w:rFonts w:ascii="Arial" w:hAnsi="Arial" w:cs="Arial"/>
          <w:b/>
          <w:color w:val="auto"/>
          <w:sz w:val="24"/>
          <w:szCs w:val="24"/>
        </w:rPr>
        <w:t>Ratio tables and graphs</w:t>
      </w:r>
      <w:bookmarkEnd w:id="75"/>
      <w:bookmarkEnd w:id="76"/>
      <w:bookmarkEnd w:id="77"/>
    </w:p>
    <w:p w14:paraId="53B1DCB6" w14:textId="77777777" w:rsidR="004E4C03" w:rsidRPr="00CA631E" w:rsidRDefault="004E4C03" w:rsidP="004E4C03">
      <w:pPr>
        <w:spacing w:line="360" w:lineRule="auto"/>
        <w:jc w:val="both"/>
        <w:rPr>
          <w:rFonts w:ascii="Arial" w:hAnsi="Arial" w:cs="Arial"/>
          <w:b/>
          <w:sz w:val="24"/>
          <w:szCs w:val="24"/>
        </w:rPr>
      </w:pPr>
      <w:r w:rsidRPr="00CA631E">
        <w:rPr>
          <w:rFonts w:ascii="Arial" w:hAnsi="Arial" w:cs="Arial"/>
          <w:b/>
          <w:sz w:val="24"/>
          <w:szCs w:val="24"/>
        </w:rPr>
        <w:t>Profitability</w:t>
      </w:r>
    </w:p>
    <w:tbl>
      <w:tblPr>
        <w:tblStyle w:val="TableGrid"/>
        <w:tblW w:w="0" w:type="auto"/>
        <w:tblLook w:val="04A0" w:firstRow="1" w:lastRow="0" w:firstColumn="1" w:lastColumn="0" w:noHBand="0" w:noVBand="1"/>
      </w:tblPr>
      <w:tblGrid>
        <w:gridCol w:w="2171"/>
        <w:gridCol w:w="1090"/>
        <w:gridCol w:w="1151"/>
        <w:gridCol w:w="1151"/>
        <w:gridCol w:w="1151"/>
        <w:gridCol w:w="1151"/>
        <w:gridCol w:w="1151"/>
      </w:tblGrid>
      <w:tr w:rsidR="004E4C03" w:rsidRPr="00CA631E" w14:paraId="1C5507B2" w14:textId="77777777" w:rsidTr="00CA631E">
        <w:tc>
          <w:tcPr>
            <w:tcW w:w="0" w:type="auto"/>
            <w:hideMark/>
          </w:tcPr>
          <w:p w14:paraId="696D25F4"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Particulars</w:t>
            </w:r>
          </w:p>
        </w:tc>
        <w:tc>
          <w:tcPr>
            <w:tcW w:w="0" w:type="auto"/>
            <w:hideMark/>
          </w:tcPr>
          <w:p w14:paraId="1B55FACD"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Details</w:t>
            </w:r>
          </w:p>
        </w:tc>
        <w:tc>
          <w:tcPr>
            <w:tcW w:w="0" w:type="auto"/>
            <w:hideMark/>
          </w:tcPr>
          <w:p w14:paraId="4C83594C"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2021</w:t>
            </w:r>
          </w:p>
        </w:tc>
        <w:tc>
          <w:tcPr>
            <w:tcW w:w="0" w:type="auto"/>
            <w:hideMark/>
          </w:tcPr>
          <w:p w14:paraId="660595BE"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2022</w:t>
            </w:r>
          </w:p>
        </w:tc>
        <w:tc>
          <w:tcPr>
            <w:tcW w:w="0" w:type="auto"/>
            <w:hideMark/>
          </w:tcPr>
          <w:p w14:paraId="7F4E91C1"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2023</w:t>
            </w:r>
          </w:p>
        </w:tc>
        <w:tc>
          <w:tcPr>
            <w:tcW w:w="0" w:type="auto"/>
            <w:hideMark/>
          </w:tcPr>
          <w:p w14:paraId="043AA35C"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2024</w:t>
            </w:r>
          </w:p>
        </w:tc>
        <w:tc>
          <w:tcPr>
            <w:tcW w:w="0" w:type="auto"/>
            <w:hideMark/>
          </w:tcPr>
          <w:p w14:paraId="5899B8D7"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2025</w:t>
            </w:r>
          </w:p>
        </w:tc>
      </w:tr>
      <w:tr w:rsidR="004E4C03" w:rsidRPr="00CA631E" w14:paraId="0E796FCB" w14:textId="77777777" w:rsidTr="00CA631E">
        <w:tc>
          <w:tcPr>
            <w:tcW w:w="0" w:type="auto"/>
            <w:hideMark/>
          </w:tcPr>
          <w:p w14:paraId="0514E73F"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Revenue (£m)</w:t>
            </w:r>
          </w:p>
        </w:tc>
        <w:tc>
          <w:tcPr>
            <w:tcW w:w="0" w:type="auto"/>
            <w:hideMark/>
          </w:tcPr>
          <w:p w14:paraId="0DF81C7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A</w:t>
            </w:r>
          </w:p>
        </w:tc>
        <w:tc>
          <w:tcPr>
            <w:tcW w:w="0" w:type="auto"/>
            <w:hideMark/>
          </w:tcPr>
          <w:p w14:paraId="02693DD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1,341.60</w:t>
            </w:r>
          </w:p>
        </w:tc>
        <w:tc>
          <w:tcPr>
            <w:tcW w:w="0" w:type="auto"/>
            <w:hideMark/>
          </w:tcPr>
          <w:p w14:paraId="1A75A8C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2,176.40</w:t>
            </w:r>
          </w:p>
        </w:tc>
        <w:tc>
          <w:tcPr>
            <w:tcW w:w="0" w:type="auto"/>
            <w:hideMark/>
          </w:tcPr>
          <w:p w14:paraId="2ED803E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2,375.40</w:t>
            </w:r>
          </w:p>
        </w:tc>
        <w:tc>
          <w:tcPr>
            <w:tcW w:w="0" w:type="auto"/>
            <w:hideMark/>
          </w:tcPr>
          <w:p w14:paraId="301A953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2,450.50</w:t>
            </w:r>
          </w:p>
        </w:tc>
        <w:tc>
          <w:tcPr>
            <w:tcW w:w="0" w:type="auto"/>
            <w:hideMark/>
          </w:tcPr>
          <w:p w14:paraId="06DAAF0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2,539.00</w:t>
            </w:r>
          </w:p>
        </w:tc>
      </w:tr>
      <w:tr w:rsidR="004E4C03" w:rsidRPr="00CA631E" w14:paraId="27EAE15F" w14:textId="77777777" w:rsidTr="00CA631E">
        <w:tc>
          <w:tcPr>
            <w:tcW w:w="0" w:type="auto"/>
            <w:hideMark/>
          </w:tcPr>
          <w:p w14:paraId="63C286D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Operating Profit/(Loss) (£m)*</w:t>
            </w:r>
          </w:p>
        </w:tc>
        <w:tc>
          <w:tcPr>
            <w:tcW w:w="0" w:type="auto"/>
            <w:hideMark/>
          </w:tcPr>
          <w:p w14:paraId="38BB42D1"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B</w:t>
            </w:r>
          </w:p>
        </w:tc>
        <w:tc>
          <w:tcPr>
            <w:tcW w:w="0" w:type="auto"/>
            <w:hideMark/>
          </w:tcPr>
          <w:p w14:paraId="02FF109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63.80</w:t>
            </w:r>
          </w:p>
        </w:tc>
        <w:tc>
          <w:tcPr>
            <w:tcW w:w="0" w:type="auto"/>
            <w:hideMark/>
          </w:tcPr>
          <w:p w14:paraId="0E2B267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249.20</w:t>
            </w:r>
          </w:p>
        </w:tc>
        <w:tc>
          <w:tcPr>
            <w:tcW w:w="0" w:type="auto"/>
            <w:hideMark/>
          </w:tcPr>
          <w:p w14:paraId="286FD8B6"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167.20</w:t>
            </w:r>
          </w:p>
        </w:tc>
        <w:tc>
          <w:tcPr>
            <w:tcW w:w="0" w:type="auto"/>
            <w:hideMark/>
          </w:tcPr>
          <w:p w14:paraId="65D9860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(16.40)</w:t>
            </w:r>
          </w:p>
        </w:tc>
        <w:tc>
          <w:tcPr>
            <w:tcW w:w="0" w:type="auto"/>
            <w:hideMark/>
          </w:tcPr>
          <w:p w14:paraId="64F86295"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217.40</w:t>
            </w:r>
          </w:p>
        </w:tc>
      </w:tr>
      <w:tr w:rsidR="004E4C03" w:rsidRPr="00CA631E" w14:paraId="71A814DB" w14:textId="77777777" w:rsidTr="00CA631E">
        <w:tc>
          <w:tcPr>
            <w:tcW w:w="0" w:type="auto"/>
            <w:hideMark/>
          </w:tcPr>
          <w:p w14:paraId="78D4BAE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Net Profit/(Loss) Before Tax (£m)</w:t>
            </w:r>
          </w:p>
        </w:tc>
        <w:tc>
          <w:tcPr>
            <w:tcW w:w="0" w:type="auto"/>
            <w:hideMark/>
          </w:tcPr>
          <w:p w14:paraId="1413DF8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C</w:t>
            </w:r>
          </w:p>
        </w:tc>
        <w:tc>
          <w:tcPr>
            <w:tcW w:w="0" w:type="auto"/>
            <w:hideMark/>
          </w:tcPr>
          <w:p w14:paraId="5973182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(70.40)</w:t>
            </w:r>
          </w:p>
        </w:tc>
        <w:tc>
          <w:tcPr>
            <w:tcW w:w="0" w:type="auto"/>
            <w:hideMark/>
          </w:tcPr>
          <w:p w14:paraId="2F738A4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98.40</w:t>
            </w:r>
          </w:p>
        </w:tc>
        <w:tc>
          <w:tcPr>
            <w:tcW w:w="0" w:type="auto"/>
            <w:hideMark/>
          </w:tcPr>
          <w:p w14:paraId="7E8BCEE1"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45.20</w:t>
            </w:r>
          </w:p>
        </w:tc>
        <w:tc>
          <w:tcPr>
            <w:tcW w:w="0" w:type="auto"/>
            <w:hideMark/>
          </w:tcPr>
          <w:p w14:paraId="548C83D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(147.10)</w:t>
            </w:r>
          </w:p>
        </w:tc>
        <w:tc>
          <w:tcPr>
            <w:tcW w:w="0" w:type="auto"/>
            <w:hideMark/>
          </w:tcPr>
          <w:p w14:paraId="2DAA19AF"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41.30</w:t>
            </w:r>
          </w:p>
        </w:tc>
      </w:tr>
      <w:tr w:rsidR="004E4C03" w:rsidRPr="00CA631E" w14:paraId="2EAAE9CB" w14:textId="77777777" w:rsidTr="00CA631E">
        <w:tc>
          <w:tcPr>
            <w:tcW w:w="0" w:type="auto"/>
            <w:hideMark/>
          </w:tcPr>
          <w:p w14:paraId="5834FDEF"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Total Assets (£m)</w:t>
            </w:r>
          </w:p>
        </w:tc>
        <w:tc>
          <w:tcPr>
            <w:tcW w:w="0" w:type="auto"/>
            <w:hideMark/>
          </w:tcPr>
          <w:p w14:paraId="03FE94B7"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D</w:t>
            </w:r>
          </w:p>
        </w:tc>
        <w:tc>
          <w:tcPr>
            <w:tcW w:w="0" w:type="auto"/>
            <w:hideMark/>
          </w:tcPr>
          <w:p w14:paraId="589BF09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4,345.30</w:t>
            </w:r>
          </w:p>
        </w:tc>
        <w:tc>
          <w:tcPr>
            <w:tcW w:w="0" w:type="auto"/>
            <w:hideMark/>
          </w:tcPr>
          <w:p w14:paraId="716AC9D1"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4,580.50</w:t>
            </w:r>
          </w:p>
        </w:tc>
        <w:tc>
          <w:tcPr>
            <w:tcW w:w="0" w:type="auto"/>
            <w:hideMark/>
          </w:tcPr>
          <w:p w14:paraId="28CD50C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4,666.40</w:t>
            </w:r>
          </w:p>
        </w:tc>
        <w:tc>
          <w:tcPr>
            <w:tcW w:w="0" w:type="auto"/>
            <w:hideMark/>
          </w:tcPr>
          <w:p w14:paraId="67A009CD"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4,514.90</w:t>
            </w:r>
          </w:p>
        </w:tc>
        <w:tc>
          <w:tcPr>
            <w:tcW w:w="0" w:type="auto"/>
            <w:hideMark/>
          </w:tcPr>
          <w:p w14:paraId="01A4E9D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4,472.70</w:t>
            </w:r>
          </w:p>
        </w:tc>
      </w:tr>
      <w:tr w:rsidR="004E4C03" w:rsidRPr="00CA631E" w14:paraId="3A7FE7D9" w14:textId="77777777" w:rsidTr="00CA631E">
        <w:tc>
          <w:tcPr>
            <w:tcW w:w="0" w:type="auto"/>
            <w:hideMark/>
          </w:tcPr>
          <w:p w14:paraId="6DD7D5A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Current Liabilities (£m)</w:t>
            </w:r>
          </w:p>
        </w:tc>
        <w:tc>
          <w:tcPr>
            <w:tcW w:w="0" w:type="auto"/>
            <w:hideMark/>
          </w:tcPr>
          <w:p w14:paraId="0C2D5DC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E</w:t>
            </w:r>
          </w:p>
        </w:tc>
        <w:tc>
          <w:tcPr>
            <w:tcW w:w="0" w:type="auto"/>
            <w:hideMark/>
          </w:tcPr>
          <w:p w14:paraId="43724F6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620.60</w:t>
            </w:r>
          </w:p>
        </w:tc>
        <w:tc>
          <w:tcPr>
            <w:tcW w:w="0" w:type="auto"/>
            <w:hideMark/>
          </w:tcPr>
          <w:p w14:paraId="135D65F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652.40</w:t>
            </w:r>
          </w:p>
        </w:tc>
        <w:tc>
          <w:tcPr>
            <w:tcW w:w="0" w:type="auto"/>
            <w:hideMark/>
          </w:tcPr>
          <w:p w14:paraId="011E2B2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695.30</w:t>
            </w:r>
          </w:p>
        </w:tc>
        <w:tc>
          <w:tcPr>
            <w:tcW w:w="0" w:type="auto"/>
            <w:hideMark/>
          </w:tcPr>
          <w:p w14:paraId="7D6AFA6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716.80</w:t>
            </w:r>
          </w:p>
        </w:tc>
        <w:tc>
          <w:tcPr>
            <w:tcW w:w="0" w:type="auto"/>
            <w:hideMark/>
          </w:tcPr>
          <w:p w14:paraId="0C15C6FF"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694.10</w:t>
            </w:r>
          </w:p>
        </w:tc>
      </w:tr>
      <w:tr w:rsidR="004E4C03" w:rsidRPr="00CA631E" w14:paraId="455556F2" w14:textId="77777777" w:rsidTr="00CA631E">
        <w:tc>
          <w:tcPr>
            <w:tcW w:w="0" w:type="auto"/>
            <w:hideMark/>
          </w:tcPr>
          <w:p w14:paraId="57EE470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Net Margin</w:t>
            </w:r>
          </w:p>
        </w:tc>
        <w:tc>
          <w:tcPr>
            <w:tcW w:w="0" w:type="auto"/>
            <w:hideMark/>
          </w:tcPr>
          <w:p w14:paraId="6B2881A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C/A</w:t>
            </w:r>
          </w:p>
        </w:tc>
        <w:tc>
          <w:tcPr>
            <w:tcW w:w="0" w:type="auto"/>
            <w:hideMark/>
          </w:tcPr>
          <w:p w14:paraId="0C03E6C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-5.25%</w:t>
            </w:r>
          </w:p>
        </w:tc>
        <w:tc>
          <w:tcPr>
            <w:tcW w:w="0" w:type="auto"/>
            <w:hideMark/>
          </w:tcPr>
          <w:p w14:paraId="0CB8150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4.52%</w:t>
            </w:r>
          </w:p>
        </w:tc>
        <w:tc>
          <w:tcPr>
            <w:tcW w:w="0" w:type="auto"/>
            <w:hideMark/>
          </w:tcPr>
          <w:p w14:paraId="0D0AF5F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1.90%</w:t>
            </w:r>
          </w:p>
        </w:tc>
        <w:tc>
          <w:tcPr>
            <w:tcW w:w="0" w:type="auto"/>
            <w:hideMark/>
          </w:tcPr>
          <w:p w14:paraId="788A274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-6.00%</w:t>
            </w:r>
          </w:p>
        </w:tc>
        <w:tc>
          <w:tcPr>
            <w:tcW w:w="0" w:type="auto"/>
            <w:hideMark/>
          </w:tcPr>
          <w:p w14:paraId="6712550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1.63%</w:t>
            </w:r>
          </w:p>
        </w:tc>
      </w:tr>
      <w:tr w:rsidR="004E4C03" w:rsidRPr="00CA631E" w14:paraId="5F570C1A" w14:textId="77777777" w:rsidTr="00CA631E">
        <w:tc>
          <w:tcPr>
            <w:tcW w:w="0" w:type="auto"/>
            <w:hideMark/>
          </w:tcPr>
          <w:p w14:paraId="75F5547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Return on Capital Employed (ROCE)</w:t>
            </w:r>
          </w:p>
        </w:tc>
        <w:tc>
          <w:tcPr>
            <w:tcW w:w="0" w:type="auto"/>
            <w:hideMark/>
          </w:tcPr>
          <w:p w14:paraId="5FB6F95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B/(D−E)</w:t>
            </w:r>
          </w:p>
        </w:tc>
        <w:tc>
          <w:tcPr>
            <w:tcW w:w="0" w:type="auto"/>
            <w:hideMark/>
          </w:tcPr>
          <w:p w14:paraId="0987F51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1.71%</w:t>
            </w:r>
          </w:p>
        </w:tc>
        <w:tc>
          <w:tcPr>
            <w:tcW w:w="0" w:type="auto"/>
            <w:hideMark/>
          </w:tcPr>
          <w:p w14:paraId="3FD24A9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6.34%</w:t>
            </w:r>
          </w:p>
        </w:tc>
        <w:tc>
          <w:tcPr>
            <w:tcW w:w="0" w:type="auto"/>
            <w:hideMark/>
          </w:tcPr>
          <w:p w14:paraId="0183AD5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4.21%</w:t>
            </w:r>
          </w:p>
        </w:tc>
        <w:tc>
          <w:tcPr>
            <w:tcW w:w="0" w:type="auto"/>
            <w:hideMark/>
          </w:tcPr>
          <w:p w14:paraId="339E98F6"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-0.43%</w:t>
            </w:r>
          </w:p>
        </w:tc>
        <w:tc>
          <w:tcPr>
            <w:tcW w:w="0" w:type="auto"/>
            <w:hideMark/>
          </w:tcPr>
          <w:p w14:paraId="665ED67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5.74%</w:t>
            </w:r>
          </w:p>
        </w:tc>
      </w:tr>
    </w:tbl>
    <w:p w14:paraId="29783AAE" w14:textId="77777777" w:rsidR="004E4C03" w:rsidRPr="00CA631E" w:rsidRDefault="004E4C03" w:rsidP="004E4C03">
      <w:pPr>
        <w:spacing w:line="360" w:lineRule="auto"/>
        <w:jc w:val="center"/>
        <w:rPr>
          <w:rFonts w:ascii="Arial" w:hAnsi="Arial" w:cs="Arial"/>
          <w:sz w:val="24"/>
          <w:szCs w:val="24"/>
        </w:rPr>
      </w:pPr>
      <w:r w:rsidRPr="00CA631E">
        <w:rPr>
          <w:rFonts w:ascii="Arial" w:hAnsi="Arial" w:cs="Arial"/>
          <w:noProof/>
          <w:sz w:val="24"/>
          <w:szCs w:val="24"/>
          <w:lang w:val="en-IN" w:eastAsia="en-IN"/>
        </w:rPr>
        <w:drawing>
          <wp:inline distT="0" distB="0" distL="0" distR="0" wp14:anchorId="02BB25FF" wp14:editId="60AD5F88">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inline>
        </w:drawing>
      </w:r>
    </w:p>
    <w:p w14:paraId="046FFB02" w14:textId="77777777" w:rsidR="004E4C03" w:rsidRPr="00CA631E" w:rsidRDefault="004E4C03" w:rsidP="004E4C03">
      <w:pPr>
        <w:spacing w:line="360" w:lineRule="auto"/>
        <w:jc w:val="both"/>
        <w:rPr>
          <w:rFonts w:ascii="Arial" w:hAnsi="Arial" w:cs="Arial"/>
          <w:b/>
          <w:sz w:val="24"/>
          <w:szCs w:val="24"/>
        </w:rPr>
      </w:pPr>
      <w:r w:rsidRPr="00CA631E">
        <w:rPr>
          <w:rFonts w:ascii="Arial" w:hAnsi="Arial" w:cs="Arial"/>
          <w:b/>
          <w:sz w:val="24"/>
          <w:szCs w:val="24"/>
        </w:rPr>
        <w:t>Liquidity</w:t>
      </w:r>
    </w:p>
    <w:tbl>
      <w:tblPr>
        <w:tblStyle w:val="TableGrid"/>
        <w:tblW w:w="0" w:type="auto"/>
        <w:tblLook w:val="04A0" w:firstRow="1" w:lastRow="0" w:firstColumn="1" w:lastColumn="0" w:noHBand="0" w:noVBand="1"/>
      </w:tblPr>
      <w:tblGrid>
        <w:gridCol w:w="1918"/>
        <w:gridCol w:w="1103"/>
        <w:gridCol w:w="1199"/>
        <w:gridCol w:w="1199"/>
        <w:gridCol w:w="1199"/>
        <w:gridCol w:w="1199"/>
        <w:gridCol w:w="1199"/>
      </w:tblGrid>
      <w:tr w:rsidR="004E4C03" w:rsidRPr="00CA631E" w14:paraId="5299AA85" w14:textId="77777777" w:rsidTr="00CA631E">
        <w:tc>
          <w:tcPr>
            <w:tcW w:w="0" w:type="auto"/>
            <w:hideMark/>
          </w:tcPr>
          <w:p w14:paraId="56FD2E61"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Particulars</w:t>
            </w:r>
          </w:p>
        </w:tc>
        <w:tc>
          <w:tcPr>
            <w:tcW w:w="0" w:type="auto"/>
            <w:hideMark/>
          </w:tcPr>
          <w:p w14:paraId="49E910FC"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Details</w:t>
            </w:r>
          </w:p>
        </w:tc>
        <w:tc>
          <w:tcPr>
            <w:tcW w:w="0" w:type="auto"/>
            <w:hideMark/>
          </w:tcPr>
          <w:p w14:paraId="0D3D73E8"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2021 (£m)</w:t>
            </w:r>
          </w:p>
        </w:tc>
        <w:tc>
          <w:tcPr>
            <w:tcW w:w="0" w:type="auto"/>
            <w:hideMark/>
          </w:tcPr>
          <w:p w14:paraId="09945564"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2022 (£m)</w:t>
            </w:r>
          </w:p>
        </w:tc>
        <w:tc>
          <w:tcPr>
            <w:tcW w:w="0" w:type="auto"/>
            <w:hideMark/>
          </w:tcPr>
          <w:p w14:paraId="1A9C8318"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2023 (£m)</w:t>
            </w:r>
          </w:p>
        </w:tc>
        <w:tc>
          <w:tcPr>
            <w:tcW w:w="0" w:type="auto"/>
            <w:hideMark/>
          </w:tcPr>
          <w:p w14:paraId="015DF82E"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2024 (£m)</w:t>
            </w:r>
          </w:p>
        </w:tc>
        <w:tc>
          <w:tcPr>
            <w:tcW w:w="0" w:type="auto"/>
            <w:hideMark/>
          </w:tcPr>
          <w:p w14:paraId="0D06A2A1"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2025 (£m)</w:t>
            </w:r>
          </w:p>
        </w:tc>
      </w:tr>
      <w:tr w:rsidR="004E4C03" w:rsidRPr="00CA631E" w14:paraId="49AA6504" w14:textId="77777777" w:rsidTr="00CA631E">
        <w:tc>
          <w:tcPr>
            <w:tcW w:w="0" w:type="auto"/>
            <w:hideMark/>
          </w:tcPr>
          <w:p w14:paraId="6C2F7FD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Current Assets</w:t>
            </w:r>
          </w:p>
        </w:tc>
        <w:tc>
          <w:tcPr>
            <w:tcW w:w="0" w:type="auto"/>
            <w:hideMark/>
          </w:tcPr>
          <w:p w14:paraId="7548B3F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A</w:t>
            </w:r>
          </w:p>
        </w:tc>
        <w:tc>
          <w:tcPr>
            <w:tcW w:w="0" w:type="auto"/>
            <w:hideMark/>
          </w:tcPr>
          <w:p w14:paraId="012C3E8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255.4</w:t>
            </w:r>
          </w:p>
        </w:tc>
        <w:tc>
          <w:tcPr>
            <w:tcW w:w="0" w:type="auto"/>
            <w:hideMark/>
          </w:tcPr>
          <w:p w14:paraId="1967A56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310.9</w:t>
            </w:r>
          </w:p>
        </w:tc>
        <w:tc>
          <w:tcPr>
            <w:tcW w:w="0" w:type="auto"/>
            <w:hideMark/>
          </w:tcPr>
          <w:p w14:paraId="38400FA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355.8</w:t>
            </w:r>
          </w:p>
        </w:tc>
        <w:tc>
          <w:tcPr>
            <w:tcW w:w="0" w:type="auto"/>
            <w:hideMark/>
          </w:tcPr>
          <w:p w14:paraId="0CA5F68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382.7</w:t>
            </w:r>
          </w:p>
        </w:tc>
        <w:tc>
          <w:tcPr>
            <w:tcW w:w="0" w:type="auto"/>
            <w:hideMark/>
          </w:tcPr>
          <w:p w14:paraId="55EEEA96"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470.6</w:t>
            </w:r>
          </w:p>
        </w:tc>
      </w:tr>
      <w:tr w:rsidR="004E4C03" w:rsidRPr="00CA631E" w14:paraId="70AFB841" w14:textId="77777777" w:rsidTr="00CA631E">
        <w:tc>
          <w:tcPr>
            <w:tcW w:w="0" w:type="auto"/>
            <w:hideMark/>
          </w:tcPr>
          <w:p w14:paraId="28F2333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lastRenderedPageBreak/>
              <w:t>Inventories</w:t>
            </w:r>
          </w:p>
        </w:tc>
        <w:tc>
          <w:tcPr>
            <w:tcW w:w="0" w:type="auto"/>
            <w:hideMark/>
          </w:tcPr>
          <w:p w14:paraId="6EA3292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B</w:t>
            </w:r>
          </w:p>
        </w:tc>
        <w:tc>
          <w:tcPr>
            <w:tcW w:w="0" w:type="auto"/>
            <w:hideMark/>
          </w:tcPr>
          <w:p w14:paraId="046FBB0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73.7</w:t>
            </w:r>
          </w:p>
        </w:tc>
        <w:tc>
          <w:tcPr>
            <w:tcW w:w="0" w:type="auto"/>
            <w:hideMark/>
          </w:tcPr>
          <w:p w14:paraId="4D65E16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89.6</w:t>
            </w:r>
          </w:p>
        </w:tc>
        <w:tc>
          <w:tcPr>
            <w:tcW w:w="0" w:type="auto"/>
            <w:hideMark/>
          </w:tcPr>
          <w:p w14:paraId="5885875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98.2</w:t>
            </w:r>
          </w:p>
        </w:tc>
        <w:tc>
          <w:tcPr>
            <w:tcW w:w="0" w:type="auto"/>
            <w:hideMark/>
          </w:tcPr>
          <w:p w14:paraId="15A6A4D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104.8</w:t>
            </w:r>
          </w:p>
        </w:tc>
        <w:tc>
          <w:tcPr>
            <w:tcW w:w="0" w:type="auto"/>
            <w:hideMark/>
          </w:tcPr>
          <w:p w14:paraId="350DE24F"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111.5</w:t>
            </w:r>
          </w:p>
        </w:tc>
      </w:tr>
      <w:tr w:rsidR="004E4C03" w:rsidRPr="00CA631E" w14:paraId="7D1625ED" w14:textId="77777777" w:rsidTr="00CA631E">
        <w:tc>
          <w:tcPr>
            <w:tcW w:w="0" w:type="auto"/>
            <w:hideMark/>
          </w:tcPr>
          <w:p w14:paraId="203C815D"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Current Liabilities</w:t>
            </w:r>
          </w:p>
        </w:tc>
        <w:tc>
          <w:tcPr>
            <w:tcW w:w="0" w:type="auto"/>
            <w:hideMark/>
          </w:tcPr>
          <w:p w14:paraId="4C3B880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C</w:t>
            </w:r>
          </w:p>
        </w:tc>
        <w:tc>
          <w:tcPr>
            <w:tcW w:w="0" w:type="auto"/>
            <w:hideMark/>
          </w:tcPr>
          <w:p w14:paraId="22DF4E9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620.6</w:t>
            </w:r>
          </w:p>
        </w:tc>
        <w:tc>
          <w:tcPr>
            <w:tcW w:w="0" w:type="auto"/>
            <w:hideMark/>
          </w:tcPr>
          <w:p w14:paraId="6BD5BD1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652.4</w:t>
            </w:r>
          </w:p>
        </w:tc>
        <w:tc>
          <w:tcPr>
            <w:tcW w:w="0" w:type="auto"/>
            <w:hideMark/>
          </w:tcPr>
          <w:p w14:paraId="01C4AA0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695.3</w:t>
            </w:r>
          </w:p>
        </w:tc>
        <w:tc>
          <w:tcPr>
            <w:tcW w:w="0" w:type="auto"/>
            <w:hideMark/>
          </w:tcPr>
          <w:p w14:paraId="70BA78C5"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716.8</w:t>
            </w:r>
          </w:p>
        </w:tc>
        <w:tc>
          <w:tcPr>
            <w:tcW w:w="0" w:type="auto"/>
            <w:hideMark/>
          </w:tcPr>
          <w:p w14:paraId="3CB8154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694.1</w:t>
            </w:r>
          </w:p>
        </w:tc>
      </w:tr>
      <w:tr w:rsidR="004E4C03" w:rsidRPr="00CA631E" w14:paraId="19AAEDC0" w14:textId="77777777" w:rsidTr="00CA631E">
        <w:tc>
          <w:tcPr>
            <w:tcW w:w="0" w:type="auto"/>
            <w:hideMark/>
          </w:tcPr>
          <w:p w14:paraId="55B9F81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Current Ratio</w:t>
            </w:r>
          </w:p>
        </w:tc>
        <w:tc>
          <w:tcPr>
            <w:tcW w:w="0" w:type="auto"/>
            <w:hideMark/>
          </w:tcPr>
          <w:p w14:paraId="5A6EB7D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A/C</w:t>
            </w:r>
          </w:p>
        </w:tc>
        <w:tc>
          <w:tcPr>
            <w:tcW w:w="0" w:type="auto"/>
            <w:hideMark/>
          </w:tcPr>
          <w:p w14:paraId="64904D49"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0.41</w:t>
            </w:r>
          </w:p>
        </w:tc>
        <w:tc>
          <w:tcPr>
            <w:tcW w:w="0" w:type="auto"/>
            <w:hideMark/>
          </w:tcPr>
          <w:p w14:paraId="0EF1C59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0.48</w:t>
            </w:r>
          </w:p>
        </w:tc>
        <w:tc>
          <w:tcPr>
            <w:tcW w:w="0" w:type="auto"/>
            <w:hideMark/>
          </w:tcPr>
          <w:p w14:paraId="6C36AE36"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0.51</w:t>
            </w:r>
          </w:p>
        </w:tc>
        <w:tc>
          <w:tcPr>
            <w:tcW w:w="0" w:type="auto"/>
            <w:hideMark/>
          </w:tcPr>
          <w:p w14:paraId="08C644D5"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0.53</w:t>
            </w:r>
          </w:p>
        </w:tc>
        <w:tc>
          <w:tcPr>
            <w:tcW w:w="0" w:type="auto"/>
            <w:hideMark/>
          </w:tcPr>
          <w:p w14:paraId="394B528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0.68</w:t>
            </w:r>
          </w:p>
        </w:tc>
      </w:tr>
      <w:tr w:rsidR="004E4C03" w:rsidRPr="00CA631E" w14:paraId="525CB869" w14:textId="77777777" w:rsidTr="00CA631E">
        <w:tc>
          <w:tcPr>
            <w:tcW w:w="0" w:type="auto"/>
            <w:hideMark/>
          </w:tcPr>
          <w:p w14:paraId="4D6FA24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Quick Ratio</w:t>
            </w:r>
          </w:p>
        </w:tc>
        <w:tc>
          <w:tcPr>
            <w:tcW w:w="0" w:type="auto"/>
            <w:hideMark/>
          </w:tcPr>
          <w:p w14:paraId="4EB0B111"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(A−B)/C</w:t>
            </w:r>
          </w:p>
        </w:tc>
        <w:tc>
          <w:tcPr>
            <w:tcW w:w="0" w:type="auto"/>
            <w:hideMark/>
          </w:tcPr>
          <w:p w14:paraId="6B85B30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0.29</w:t>
            </w:r>
          </w:p>
        </w:tc>
        <w:tc>
          <w:tcPr>
            <w:tcW w:w="0" w:type="auto"/>
            <w:hideMark/>
          </w:tcPr>
          <w:p w14:paraId="03317221"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0.34</w:t>
            </w:r>
          </w:p>
        </w:tc>
        <w:tc>
          <w:tcPr>
            <w:tcW w:w="0" w:type="auto"/>
            <w:hideMark/>
          </w:tcPr>
          <w:p w14:paraId="1AF40F2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0.37</w:t>
            </w:r>
          </w:p>
        </w:tc>
        <w:tc>
          <w:tcPr>
            <w:tcW w:w="0" w:type="auto"/>
            <w:hideMark/>
          </w:tcPr>
          <w:p w14:paraId="1FF69A6D"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0.39</w:t>
            </w:r>
          </w:p>
        </w:tc>
        <w:tc>
          <w:tcPr>
            <w:tcW w:w="0" w:type="auto"/>
            <w:hideMark/>
          </w:tcPr>
          <w:p w14:paraId="528EFBBF"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0.52</w:t>
            </w:r>
          </w:p>
        </w:tc>
      </w:tr>
    </w:tbl>
    <w:p w14:paraId="4A1B6ECF" w14:textId="77777777" w:rsidR="004E4C03" w:rsidRPr="00CA631E" w:rsidRDefault="004E4C03" w:rsidP="004E4C03">
      <w:pPr>
        <w:spacing w:line="360" w:lineRule="auto"/>
        <w:jc w:val="center"/>
        <w:rPr>
          <w:rFonts w:ascii="Arial" w:hAnsi="Arial" w:cs="Arial"/>
          <w:sz w:val="24"/>
          <w:szCs w:val="24"/>
        </w:rPr>
      </w:pPr>
      <w:r w:rsidRPr="00CA631E">
        <w:rPr>
          <w:rFonts w:ascii="Arial" w:hAnsi="Arial" w:cs="Arial"/>
          <w:noProof/>
          <w:sz w:val="24"/>
          <w:szCs w:val="24"/>
          <w:lang w:val="en-IN" w:eastAsia="en-IN"/>
        </w:rPr>
        <w:drawing>
          <wp:inline distT="0" distB="0" distL="0" distR="0" wp14:anchorId="7636D193" wp14:editId="3012FE32">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p>
    <w:p w14:paraId="1976CCCC" w14:textId="77777777" w:rsidR="004E4C03" w:rsidRPr="00CA631E" w:rsidRDefault="004E4C03" w:rsidP="004E4C03">
      <w:pPr>
        <w:spacing w:line="360" w:lineRule="auto"/>
        <w:jc w:val="both"/>
        <w:rPr>
          <w:rFonts w:ascii="Arial" w:hAnsi="Arial" w:cs="Arial"/>
          <w:b/>
          <w:sz w:val="24"/>
          <w:szCs w:val="24"/>
        </w:rPr>
      </w:pPr>
      <w:r w:rsidRPr="00CA631E">
        <w:rPr>
          <w:rFonts w:ascii="Arial" w:hAnsi="Arial" w:cs="Arial"/>
          <w:b/>
          <w:sz w:val="24"/>
          <w:szCs w:val="24"/>
        </w:rPr>
        <w:t>Efficiency</w:t>
      </w:r>
    </w:p>
    <w:tbl>
      <w:tblPr>
        <w:tblStyle w:val="TableGrid"/>
        <w:tblW w:w="0" w:type="auto"/>
        <w:tblLook w:val="04A0" w:firstRow="1" w:lastRow="0" w:firstColumn="1" w:lastColumn="0" w:noHBand="0" w:noVBand="1"/>
      </w:tblPr>
      <w:tblGrid>
        <w:gridCol w:w="2001"/>
        <w:gridCol w:w="1260"/>
        <w:gridCol w:w="1151"/>
        <w:gridCol w:w="1151"/>
        <w:gridCol w:w="1151"/>
        <w:gridCol w:w="1151"/>
        <w:gridCol w:w="1151"/>
      </w:tblGrid>
      <w:tr w:rsidR="004E4C03" w:rsidRPr="00CA631E" w14:paraId="3AC31EC0" w14:textId="77777777" w:rsidTr="00CA631E">
        <w:tc>
          <w:tcPr>
            <w:tcW w:w="0" w:type="auto"/>
            <w:hideMark/>
          </w:tcPr>
          <w:p w14:paraId="7D9B8087"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Particulars</w:t>
            </w:r>
          </w:p>
        </w:tc>
        <w:tc>
          <w:tcPr>
            <w:tcW w:w="0" w:type="auto"/>
            <w:hideMark/>
          </w:tcPr>
          <w:p w14:paraId="519EB3C0"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Details</w:t>
            </w:r>
          </w:p>
        </w:tc>
        <w:tc>
          <w:tcPr>
            <w:tcW w:w="0" w:type="auto"/>
            <w:hideMark/>
          </w:tcPr>
          <w:p w14:paraId="5062BE91"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2021</w:t>
            </w:r>
          </w:p>
        </w:tc>
        <w:tc>
          <w:tcPr>
            <w:tcW w:w="0" w:type="auto"/>
            <w:hideMark/>
          </w:tcPr>
          <w:p w14:paraId="77359724"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2022</w:t>
            </w:r>
          </w:p>
        </w:tc>
        <w:tc>
          <w:tcPr>
            <w:tcW w:w="0" w:type="auto"/>
            <w:hideMark/>
          </w:tcPr>
          <w:p w14:paraId="5DF43171"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2023</w:t>
            </w:r>
          </w:p>
        </w:tc>
        <w:tc>
          <w:tcPr>
            <w:tcW w:w="0" w:type="auto"/>
            <w:hideMark/>
          </w:tcPr>
          <w:p w14:paraId="7C19B582"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2024</w:t>
            </w:r>
          </w:p>
        </w:tc>
        <w:tc>
          <w:tcPr>
            <w:tcW w:w="0" w:type="auto"/>
            <w:hideMark/>
          </w:tcPr>
          <w:p w14:paraId="015526EE"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2025</w:t>
            </w:r>
          </w:p>
        </w:tc>
      </w:tr>
      <w:tr w:rsidR="004E4C03" w:rsidRPr="00CA631E" w14:paraId="241B2B78" w14:textId="77777777" w:rsidTr="00CA631E">
        <w:tc>
          <w:tcPr>
            <w:tcW w:w="0" w:type="auto"/>
            <w:hideMark/>
          </w:tcPr>
          <w:p w14:paraId="6A7F7E9F"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Revenue (£m)</w:t>
            </w:r>
          </w:p>
        </w:tc>
        <w:tc>
          <w:tcPr>
            <w:tcW w:w="0" w:type="auto"/>
            <w:hideMark/>
          </w:tcPr>
          <w:p w14:paraId="38297B05"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A</w:t>
            </w:r>
          </w:p>
        </w:tc>
        <w:tc>
          <w:tcPr>
            <w:tcW w:w="0" w:type="auto"/>
            <w:hideMark/>
          </w:tcPr>
          <w:p w14:paraId="2A613FD1"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1,341.60</w:t>
            </w:r>
          </w:p>
        </w:tc>
        <w:tc>
          <w:tcPr>
            <w:tcW w:w="0" w:type="auto"/>
            <w:hideMark/>
          </w:tcPr>
          <w:p w14:paraId="6FD9F5F6"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2,176.40</w:t>
            </w:r>
          </w:p>
        </w:tc>
        <w:tc>
          <w:tcPr>
            <w:tcW w:w="0" w:type="auto"/>
            <w:hideMark/>
          </w:tcPr>
          <w:p w14:paraId="17BDD1AF"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2,375.40</w:t>
            </w:r>
          </w:p>
        </w:tc>
        <w:tc>
          <w:tcPr>
            <w:tcW w:w="0" w:type="auto"/>
            <w:hideMark/>
          </w:tcPr>
          <w:p w14:paraId="6821EF07"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2,450.50</w:t>
            </w:r>
          </w:p>
        </w:tc>
        <w:tc>
          <w:tcPr>
            <w:tcW w:w="0" w:type="auto"/>
            <w:hideMark/>
          </w:tcPr>
          <w:p w14:paraId="78DBD22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2,539.00</w:t>
            </w:r>
          </w:p>
        </w:tc>
      </w:tr>
      <w:tr w:rsidR="004E4C03" w:rsidRPr="00CA631E" w14:paraId="16F54610" w14:textId="77777777" w:rsidTr="00CA631E">
        <w:tc>
          <w:tcPr>
            <w:tcW w:w="0" w:type="auto"/>
            <w:hideMark/>
          </w:tcPr>
          <w:p w14:paraId="415F5EB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Operating Costs (£m)*</w:t>
            </w:r>
          </w:p>
        </w:tc>
        <w:tc>
          <w:tcPr>
            <w:tcW w:w="0" w:type="auto"/>
            <w:hideMark/>
          </w:tcPr>
          <w:p w14:paraId="02C0FD81"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B</w:t>
            </w:r>
          </w:p>
        </w:tc>
        <w:tc>
          <w:tcPr>
            <w:tcW w:w="0" w:type="auto"/>
            <w:hideMark/>
          </w:tcPr>
          <w:p w14:paraId="40C9F6B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1,277.80</w:t>
            </w:r>
          </w:p>
        </w:tc>
        <w:tc>
          <w:tcPr>
            <w:tcW w:w="0" w:type="auto"/>
            <w:hideMark/>
          </w:tcPr>
          <w:p w14:paraId="1F0B5EF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1,927.20</w:t>
            </w:r>
          </w:p>
        </w:tc>
        <w:tc>
          <w:tcPr>
            <w:tcW w:w="0" w:type="auto"/>
            <w:hideMark/>
          </w:tcPr>
          <w:p w14:paraId="12472451"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2,208.20</w:t>
            </w:r>
          </w:p>
        </w:tc>
        <w:tc>
          <w:tcPr>
            <w:tcW w:w="0" w:type="auto"/>
            <w:hideMark/>
          </w:tcPr>
          <w:p w14:paraId="4E48F13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2,466.90</w:t>
            </w:r>
          </w:p>
        </w:tc>
        <w:tc>
          <w:tcPr>
            <w:tcW w:w="0" w:type="auto"/>
            <w:hideMark/>
          </w:tcPr>
          <w:p w14:paraId="5F59E6B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2,321.60</w:t>
            </w:r>
          </w:p>
        </w:tc>
      </w:tr>
      <w:tr w:rsidR="004E4C03" w:rsidRPr="00CA631E" w14:paraId="29D26D4E" w14:textId="77777777" w:rsidTr="00CA631E">
        <w:tc>
          <w:tcPr>
            <w:tcW w:w="0" w:type="auto"/>
            <w:hideMark/>
          </w:tcPr>
          <w:p w14:paraId="5A8D9B25"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Opening Inventories (£m)</w:t>
            </w:r>
          </w:p>
        </w:tc>
        <w:tc>
          <w:tcPr>
            <w:tcW w:w="0" w:type="auto"/>
            <w:hideMark/>
          </w:tcPr>
          <w:p w14:paraId="0585B14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C</w:t>
            </w:r>
          </w:p>
        </w:tc>
        <w:tc>
          <w:tcPr>
            <w:tcW w:w="0" w:type="auto"/>
            <w:hideMark/>
          </w:tcPr>
          <w:p w14:paraId="74EF050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66.50</w:t>
            </w:r>
          </w:p>
        </w:tc>
        <w:tc>
          <w:tcPr>
            <w:tcW w:w="0" w:type="auto"/>
            <w:hideMark/>
          </w:tcPr>
          <w:p w14:paraId="109FB5C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73.70</w:t>
            </w:r>
          </w:p>
        </w:tc>
        <w:tc>
          <w:tcPr>
            <w:tcW w:w="0" w:type="auto"/>
            <w:hideMark/>
          </w:tcPr>
          <w:p w14:paraId="5A0D78F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89.60</w:t>
            </w:r>
          </w:p>
        </w:tc>
        <w:tc>
          <w:tcPr>
            <w:tcW w:w="0" w:type="auto"/>
            <w:hideMark/>
          </w:tcPr>
          <w:p w14:paraId="51E6AE97"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98.20</w:t>
            </w:r>
          </w:p>
        </w:tc>
        <w:tc>
          <w:tcPr>
            <w:tcW w:w="0" w:type="auto"/>
            <w:hideMark/>
          </w:tcPr>
          <w:p w14:paraId="19C4B14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104.80</w:t>
            </w:r>
          </w:p>
        </w:tc>
      </w:tr>
      <w:tr w:rsidR="004E4C03" w:rsidRPr="00CA631E" w14:paraId="6A16AF64" w14:textId="77777777" w:rsidTr="00CA631E">
        <w:tc>
          <w:tcPr>
            <w:tcW w:w="0" w:type="auto"/>
            <w:hideMark/>
          </w:tcPr>
          <w:p w14:paraId="08B801C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Closing Inventories (£m)</w:t>
            </w:r>
          </w:p>
        </w:tc>
        <w:tc>
          <w:tcPr>
            <w:tcW w:w="0" w:type="auto"/>
            <w:hideMark/>
          </w:tcPr>
          <w:p w14:paraId="162840B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D</w:t>
            </w:r>
          </w:p>
        </w:tc>
        <w:tc>
          <w:tcPr>
            <w:tcW w:w="0" w:type="auto"/>
            <w:hideMark/>
          </w:tcPr>
          <w:p w14:paraId="2146E8F9"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73.70</w:t>
            </w:r>
          </w:p>
        </w:tc>
        <w:tc>
          <w:tcPr>
            <w:tcW w:w="0" w:type="auto"/>
            <w:hideMark/>
          </w:tcPr>
          <w:p w14:paraId="3864590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89.60</w:t>
            </w:r>
          </w:p>
        </w:tc>
        <w:tc>
          <w:tcPr>
            <w:tcW w:w="0" w:type="auto"/>
            <w:hideMark/>
          </w:tcPr>
          <w:p w14:paraId="7CB8EAD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98.20</w:t>
            </w:r>
          </w:p>
        </w:tc>
        <w:tc>
          <w:tcPr>
            <w:tcW w:w="0" w:type="auto"/>
            <w:hideMark/>
          </w:tcPr>
          <w:p w14:paraId="5D17016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104.80</w:t>
            </w:r>
          </w:p>
        </w:tc>
        <w:tc>
          <w:tcPr>
            <w:tcW w:w="0" w:type="auto"/>
            <w:hideMark/>
          </w:tcPr>
          <w:p w14:paraId="569D42C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111.50</w:t>
            </w:r>
          </w:p>
        </w:tc>
      </w:tr>
      <w:tr w:rsidR="004E4C03" w:rsidRPr="00CA631E" w14:paraId="0E1F920C" w14:textId="77777777" w:rsidTr="00CA631E">
        <w:tc>
          <w:tcPr>
            <w:tcW w:w="0" w:type="auto"/>
            <w:hideMark/>
          </w:tcPr>
          <w:p w14:paraId="035381E6"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Average Inventories (£m)</w:t>
            </w:r>
          </w:p>
        </w:tc>
        <w:tc>
          <w:tcPr>
            <w:tcW w:w="0" w:type="auto"/>
            <w:hideMark/>
          </w:tcPr>
          <w:p w14:paraId="35AAFD9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E = (C+D)/2</w:t>
            </w:r>
          </w:p>
        </w:tc>
        <w:tc>
          <w:tcPr>
            <w:tcW w:w="0" w:type="auto"/>
            <w:hideMark/>
          </w:tcPr>
          <w:p w14:paraId="7BD05E8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70.10</w:t>
            </w:r>
          </w:p>
        </w:tc>
        <w:tc>
          <w:tcPr>
            <w:tcW w:w="0" w:type="auto"/>
            <w:hideMark/>
          </w:tcPr>
          <w:p w14:paraId="03C85B5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81.65</w:t>
            </w:r>
          </w:p>
        </w:tc>
        <w:tc>
          <w:tcPr>
            <w:tcW w:w="0" w:type="auto"/>
            <w:hideMark/>
          </w:tcPr>
          <w:p w14:paraId="38658FF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93.90</w:t>
            </w:r>
          </w:p>
        </w:tc>
        <w:tc>
          <w:tcPr>
            <w:tcW w:w="0" w:type="auto"/>
            <w:hideMark/>
          </w:tcPr>
          <w:p w14:paraId="2B50013F"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101.50</w:t>
            </w:r>
          </w:p>
        </w:tc>
        <w:tc>
          <w:tcPr>
            <w:tcW w:w="0" w:type="auto"/>
            <w:hideMark/>
          </w:tcPr>
          <w:p w14:paraId="374C888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108.15</w:t>
            </w:r>
          </w:p>
        </w:tc>
      </w:tr>
      <w:tr w:rsidR="004E4C03" w:rsidRPr="00CA631E" w14:paraId="45BACE9E" w14:textId="77777777" w:rsidTr="00CA631E">
        <w:tc>
          <w:tcPr>
            <w:tcW w:w="0" w:type="auto"/>
            <w:hideMark/>
          </w:tcPr>
          <w:p w14:paraId="6C327D65"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Opening Receivables (£m)</w:t>
            </w:r>
          </w:p>
        </w:tc>
        <w:tc>
          <w:tcPr>
            <w:tcW w:w="0" w:type="auto"/>
            <w:hideMark/>
          </w:tcPr>
          <w:p w14:paraId="68017DE1"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F</w:t>
            </w:r>
          </w:p>
        </w:tc>
        <w:tc>
          <w:tcPr>
            <w:tcW w:w="0" w:type="auto"/>
            <w:hideMark/>
          </w:tcPr>
          <w:p w14:paraId="1C471A0D"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38.60</w:t>
            </w:r>
          </w:p>
        </w:tc>
        <w:tc>
          <w:tcPr>
            <w:tcW w:w="0" w:type="auto"/>
            <w:hideMark/>
          </w:tcPr>
          <w:p w14:paraId="6EBF1B1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41.20</w:t>
            </w:r>
          </w:p>
        </w:tc>
        <w:tc>
          <w:tcPr>
            <w:tcW w:w="0" w:type="auto"/>
            <w:hideMark/>
          </w:tcPr>
          <w:p w14:paraId="3480492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46.80</w:t>
            </w:r>
          </w:p>
        </w:tc>
        <w:tc>
          <w:tcPr>
            <w:tcW w:w="0" w:type="auto"/>
            <w:hideMark/>
          </w:tcPr>
          <w:p w14:paraId="388355B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52.40</w:t>
            </w:r>
          </w:p>
        </w:tc>
        <w:tc>
          <w:tcPr>
            <w:tcW w:w="0" w:type="auto"/>
            <w:hideMark/>
          </w:tcPr>
          <w:p w14:paraId="217CA461"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55.60</w:t>
            </w:r>
          </w:p>
        </w:tc>
      </w:tr>
      <w:tr w:rsidR="004E4C03" w:rsidRPr="00CA631E" w14:paraId="77184D2C" w14:textId="77777777" w:rsidTr="00CA631E">
        <w:tc>
          <w:tcPr>
            <w:tcW w:w="0" w:type="auto"/>
            <w:hideMark/>
          </w:tcPr>
          <w:p w14:paraId="2A9551C6"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lastRenderedPageBreak/>
              <w:t>Closing Receivables (£m)</w:t>
            </w:r>
          </w:p>
        </w:tc>
        <w:tc>
          <w:tcPr>
            <w:tcW w:w="0" w:type="auto"/>
            <w:hideMark/>
          </w:tcPr>
          <w:p w14:paraId="3D6EF29F"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G</w:t>
            </w:r>
          </w:p>
        </w:tc>
        <w:tc>
          <w:tcPr>
            <w:tcW w:w="0" w:type="auto"/>
            <w:hideMark/>
          </w:tcPr>
          <w:p w14:paraId="645E817F"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41.20</w:t>
            </w:r>
          </w:p>
        </w:tc>
        <w:tc>
          <w:tcPr>
            <w:tcW w:w="0" w:type="auto"/>
            <w:hideMark/>
          </w:tcPr>
          <w:p w14:paraId="189AC6C5"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46.80</w:t>
            </w:r>
          </w:p>
        </w:tc>
        <w:tc>
          <w:tcPr>
            <w:tcW w:w="0" w:type="auto"/>
            <w:hideMark/>
          </w:tcPr>
          <w:p w14:paraId="04C8410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52.40</w:t>
            </w:r>
          </w:p>
        </w:tc>
        <w:tc>
          <w:tcPr>
            <w:tcW w:w="0" w:type="auto"/>
            <w:hideMark/>
          </w:tcPr>
          <w:p w14:paraId="117415C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55.60</w:t>
            </w:r>
          </w:p>
        </w:tc>
        <w:tc>
          <w:tcPr>
            <w:tcW w:w="0" w:type="auto"/>
            <w:hideMark/>
          </w:tcPr>
          <w:p w14:paraId="2D74DB9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61.80</w:t>
            </w:r>
          </w:p>
        </w:tc>
      </w:tr>
      <w:tr w:rsidR="004E4C03" w:rsidRPr="00CA631E" w14:paraId="2F675553" w14:textId="77777777" w:rsidTr="00CA631E">
        <w:tc>
          <w:tcPr>
            <w:tcW w:w="0" w:type="auto"/>
            <w:hideMark/>
          </w:tcPr>
          <w:p w14:paraId="7A5588B7"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Average Receivables (£m)</w:t>
            </w:r>
          </w:p>
        </w:tc>
        <w:tc>
          <w:tcPr>
            <w:tcW w:w="0" w:type="auto"/>
            <w:hideMark/>
          </w:tcPr>
          <w:p w14:paraId="3E6ADEE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H = (F+G)/2</w:t>
            </w:r>
          </w:p>
        </w:tc>
        <w:tc>
          <w:tcPr>
            <w:tcW w:w="0" w:type="auto"/>
            <w:hideMark/>
          </w:tcPr>
          <w:p w14:paraId="24F4FDB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39.90</w:t>
            </w:r>
          </w:p>
        </w:tc>
        <w:tc>
          <w:tcPr>
            <w:tcW w:w="0" w:type="auto"/>
            <w:hideMark/>
          </w:tcPr>
          <w:p w14:paraId="65B6DE46"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44.00</w:t>
            </w:r>
          </w:p>
        </w:tc>
        <w:tc>
          <w:tcPr>
            <w:tcW w:w="0" w:type="auto"/>
            <w:hideMark/>
          </w:tcPr>
          <w:p w14:paraId="337A207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49.60</w:t>
            </w:r>
          </w:p>
        </w:tc>
        <w:tc>
          <w:tcPr>
            <w:tcW w:w="0" w:type="auto"/>
            <w:hideMark/>
          </w:tcPr>
          <w:p w14:paraId="6F3D14F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54.00</w:t>
            </w:r>
          </w:p>
        </w:tc>
        <w:tc>
          <w:tcPr>
            <w:tcW w:w="0" w:type="auto"/>
            <w:hideMark/>
          </w:tcPr>
          <w:p w14:paraId="1559C1A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58.70</w:t>
            </w:r>
          </w:p>
        </w:tc>
      </w:tr>
      <w:tr w:rsidR="004E4C03" w:rsidRPr="00CA631E" w14:paraId="0D33EE3E" w14:textId="77777777" w:rsidTr="00CA631E">
        <w:tc>
          <w:tcPr>
            <w:tcW w:w="0" w:type="auto"/>
            <w:hideMark/>
          </w:tcPr>
          <w:p w14:paraId="2A411E55"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Opening Payables (£m)</w:t>
            </w:r>
          </w:p>
        </w:tc>
        <w:tc>
          <w:tcPr>
            <w:tcW w:w="0" w:type="auto"/>
            <w:hideMark/>
          </w:tcPr>
          <w:p w14:paraId="1F3559C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I</w:t>
            </w:r>
          </w:p>
        </w:tc>
        <w:tc>
          <w:tcPr>
            <w:tcW w:w="0" w:type="auto"/>
            <w:hideMark/>
          </w:tcPr>
          <w:p w14:paraId="5CC2ECC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315.40</w:t>
            </w:r>
          </w:p>
        </w:tc>
        <w:tc>
          <w:tcPr>
            <w:tcW w:w="0" w:type="auto"/>
            <w:hideMark/>
          </w:tcPr>
          <w:p w14:paraId="3D02904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337.80</w:t>
            </w:r>
          </w:p>
        </w:tc>
        <w:tc>
          <w:tcPr>
            <w:tcW w:w="0" w:type="auto"/>
            <w:hideMark/>
          </w:tcPr>
          <w:p w14:paraId="26666CB5"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352.60</w:t>
            </w:r>
          </w:p>
        </w:tc>
        <w:tc>
          <w:tcPr>
            <w:tcW w:w="0" w:type="auto"/>
            <w:hideMark/>
          </w:tcPr>
          <w:p w14:paraId="42651EF7"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371.90</w:t>
            </w:r>
          </w:p>
        </w:tc>
        <w:tc>
          <w:tcPr>
            <w:tcW w:w="0" w:type="auto"/>
            <w:hideMark/>
          </w:tcPr>
          <w:p w14:paraId="3C61C0F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388.40</w:t>
            </w:r>
          </w:p>
        </w:tc>
      </w:tr>
      <w:tr w:rsidR="004E4C03" w:rsidRPr="00CA631E" w14:paraId="65B28E53" w14:textId="77777777" w:rsidTr="00CA631E">
        <w:tc>
          <w:tcPr>
            <w:tcW w:w="0" w:type="auto"/>
            <w:hideMark/>
          </w:tcPr>
          <w:p w14:paraId="1C476A56"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Closing Payables (£m)</w:t>
            </w:r>
          </w:p>
        </w:tc>
        <w:tc>
          <w:tcPr>
            <w:tcW w:w="0" w:type="auto"/>
            <w:hideMark/>
          </w:tcPr>
          <w:p w14:paraId="7AC7265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J</w:t>
            </w:r>
          </w:p>
        </w:tc>
        <w:tc>
          <w:tcPr>
            <w:tcW w:w="0" w:type="auto"/>
            <w:hideMark/>
          </w:tcPr>
          <w:p w14:paraId="451744F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337.80</w:t>
            </w:r>
          </w:p>
        </w:tc>
        <w:tc>
          <w:tcPr>
            <w:tcW w:w="0" w:type="auto"/>
            <w:hideMark/>
          </w:tcPr>
          <w:p w14:paraId="28BE157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352.60</w:t>
            </w:r>
          </w:p>
        </w:tc>
        <w:tc>
          <w:tcPr>
            <w:tcW w:w="0" w:type="auto"/>
            <w:hideMark/>
          </w:tcPr>
          <w:p w14:paraId="1F497C1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371.90</w:t>
            </w:r>
          </w:p>
        </w:tc>
        <w:tc>
          <w:tcPr>
            <w:tcW w:w="0" w:type="auto"/>
            <w:hideMark/>
          </w:tcPr>
          <w:p w14:paraId="612AA21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388.40</w:t>
            </w:r>
          </w:p>
        </w:tc>
        <w:tc>
          <w:tcPr>
            <w:tcW w:w="0" w:type="auto"/>
            <w:hideMark/>
          </w:tcPr>
          <w:p w14:paraId="3B98885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401.70</w:t>
            </w:r>
          </w:p>
        </w:tc>
      </w:tr>
      <w:tr w:rsidR="004E4C03" w:rsidRPr="00CA631E" w14:paraId="002DBD67" w14:textId="77777777" w:rsidTr="00CA631E">
        <w:tc>
          <w:tcPr>
            <w:tcW w:w="0" w:type="auto"/>
            <w:hideMark/>
          </w:tcPr>
          <w:p w14:paraId="0E0AEC8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Average Payables (£m)</w:t>
            </w:r>
          </w:p>
        </w:tc>
        <w:tc>
          <w:tcPr>
            <w:tcW w:w="0" w:type="auto"/>
            <w:hideMark/>
          </w:tcPr>
          <w:p w14:paraId="541FEF59"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K = (I+J)/2</w:t>
            </w:r>
          </w:p>
        </w:tc>
        <w:tc>
          <w:tcPr>
            <w:tcW w:w="0" w:type="auto"/>
            <w:hideMark/>
          </w:tcPr>
          <w:p w14:paraId="682E050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326.60</w:t>
            </w:r>
          </w:p>
        </w:tc>
        <w:tc>
          <w:tcPr>
            <w:tcW w:w="0" w:type="auto"/>
            <w:hideMark/>
          </w:tcPr>
          <w:p w14:paraId="48845D6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345.20</w:t>
            </w:r>
          </w:p>
        </w:tc>
        <w:tc>
          <w:tcPr>
            <w:tcW w:w="0" w:type="auto"/>
            <w:hideMark/>
          </w:tcPr>
          <w:p w14:paraId="1900DDB1"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362.25</w:t>
            </w:r>
          </w:p>
        </w:tc>
        <w:tc>
          <w:tcPr>
            <w:tcW w:w="0" w:type="auto"/>
            <w:hideMark/>
          </w:tcPr>
          <w:p w14:paraId="51458087"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380.15</w:t>
            </w:r>
          </w:p>
        </w:tc>
        <w:tc>
          <w:tcPr>
            <w:tcW w:w="0" w:type="auto"/>
            <w:hideMark/>
          </w:tcPr>
          <w:p w14:paraId="7260A1D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395.05</w:t>
            </w:r>
          </w:p>
        </w:tc>
      </w:tr>
      <w:tr w:rsidR="004E4C03" w:rsidRPr="00CA631E" w14:paraId="529F3CAA" w14:textId="77777777" w:rsidTr="00CA631E">
        <w:tc>
          <w:tcPr>
            <w:tcW w:w="0" w:type="auto"/>
            <w:hideMark/>
          </w:tcPr>
          <w:p w14:paraId="75C7DB7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Inventory Turnover Days</w:t>
            </w:r>
          </w:p>
        </w:tc>
        <w:tc>
          <w:tcPr>
            <w:tcW w:w="0" w:type="auto"/>
            <w:hideMark/>
          </w:tcPr>
          <w:p w14:paraId="0F3BC6F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365(B/E)</w:t>
            </w:r>
          </w:p>
        </w:tc>
        <w:tc>
          <w:tcPr>
            <w:tcW w:w="0" w:type="auto"/>
            <w:hideMark/>
          </w:tcPr>
          <w:p w14:paraId="034CCC5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20</w:t>
            </w:r>
          </w:p>
        </w:tc>
        <w:tc>
          <w:tcPr>
            <w:tcW w:w="0" w:type="auto"/>
            <w:hideMark/>
          </w:tcPr>
          <w:p w14:paraId="3447306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15</w:t>
            </w:r>
          </w:p>
        </w:tc>
        <w:tc>
          <w:tcPr>
            <w:tcW w:w="0" w:type="auto"/>
            <w:hideMark/>
          </w:tcPr>
          <w:p w14:paraId="2A194F6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16</w:t>
            </w:r>
          </w:p>
        </w:tc>
        <w:tc>
          <w:tcPr>
            <w:tcW w:w="0" w:type="auto"/>
            <w:hideMark/>
          </w:tcPr>
          <w:p w14:paraId="28087E7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15</w:t>
            </w:r>
          </w:p>
        </w:tc>
        <w:tc>
          <w:tcPr>
            <w:tcW w:w="0" w:type="auto"/>
            <w:hideMark/>
          </w:tcPr>
          <w:p w14:paraId="68E920E1"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17</w:t>
            </w:r>
          </w:p>
        </w:tc>
      </w:tr>
      <w:tr w:rsidR="004E4C03" w:rsidRPr="00CA631E" w14:paraId="7426AC94" w14:textId="77777777" w:rsidTr="00CA631E">
        <w:tc>
          <w:tcPr>
            <w:tcW w:w="0" w:type="auto"/>
            <w:hideMark/>
          </w:tcPr>
          <w:p w14:paraId="41E7394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Receivables Turnover Days</w:t>
            </w:r>
          </w:p>
        </w:tc>
        <w:tc>
          <w:tcPr>
            <w:tcW w:w="0" w:type="auto"/>
            <w:hideMark/>
          </w:tcPr>
          <w:p w14:paraId="5E8DF5E5"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365(A/H)</w:t>
            </w:r>
          </w:p>
        </w:tc>
        <w:tc>
          <w:tcPr>
            <w:tcW w:w="0" w:type="auto"/>
            <w:hideMark/>
          </w:tcPr>
          <w:p w14:paraId="071F3181"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11</w:t>
            </w:r>
          </w:p>
        </w:tc>
        <w:tc>
          <w:tcPr>
            <w:tcW w:w="0" w:type="auto"/>
            <w:hideMark/>
          </w:tcPr>
          <w:p w14:paraId="52BAD72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7</w:t>
            </w:r>
          </w:p>
        </w:tc>
        <w:tc>
          <w:tcPr>
            <w:tcW w:w="0" w:type="auto"/>
            <w:hideMark/>
          </w:tcPr>
          <w:p w14:paraId="64DC392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8</w:t>
            </w:r>
          </w:p>
        </w:tc>
        <w:tc>
          <w:tcPr>
            <w:tcW w:w="0" w:type="auto"/>
            <w:hideMark/>
          </w:tcPr>
          <w:p w14:paraId="6F8A368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8</w:t>
            </w:r>
          </w:p>
        </w:tc>
        <w:tc>
          <w:tcPr>
            <w:tcW w:w="0" w:type="auto"/>
            <w:hideMark/>
          </w:tcPr>
          <w:p w14:paraId="245BE32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8</w:t>
            </w:r>
          </w:p>
        </w:tc>
      </w:tr>
      <w:tr w:rsidR="004E4C03" w:rsidRPr="00CA631E" w14:paraId="314D9DF2" w14:textId="77777777" w:rsidTr="00CA631E">
        <w:tc>
          <w:tcPr>
            <w:tcW w:w="0" w:type="auto"/>
            <w:hideMark/>
          </w:tcPr>
          <w:p w14:paraId="0AB7A04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Payables Turnover Days</w:t>
            </w:r>
          </w:p>
        </w:tc>
        <w:tc>
          <w:tcPr>
            <w:tcW w:w="0" w:type="auto"/>
            <w:hideMark/>
          </w:tcPr>
          <w:p w14:paraId="418D9199"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365(B/K)</w:t>
            </w:r>
          </w:p>
        </w:tc>
        <w:tc>
          <w:tcPr>
            <w:tcW w:w="0" w:type="auto"/>
            <w:hideMark/>
          </w:tcPr>
          <w:p w14:paraId="6F177C7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93</w:t>
            </w:r>
          </w:p>
        </w:tc>
        <w:tc>
          <w:tcPr>
            <w:tcW w:w="0" w:type="auto"/>
            <w:hideMark/>
          </w:tcPr>
          <w:p w14:paraId="730DB711"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65</w:t>
            </w:r>
          </w:p>
        </w:tc>
        <w:tc>
          <w:tcPr>
            <w:tcW w:w="0" w:type="auto"/>
            <w:hideMark/>
          </w:tcPr>
          <w:p w14:paraId="7034F40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60</w:t>
            </w:r>
          </w:p>
        </w:tc>
        <w:tc>
          <w:tcPr>
            <w:tcW w:w="0" w:type="auto"/>
            <w:hideMark/>
          </w:tcPr>
          <w:p w14:paraId="3A83475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56</w:t>
            </w:r>
          </w:p>
        </w:tc>
        <w:tc>
          <w:tcPr>
            <w:tcW w:w="0" w:type="auto"/>
            <w:hideMark/>
          </w:tcPr>
          <w:p w14:paraId="59551D3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62</w:t>
            </w:r>
          </w:p>
        </w:tc>
      </w:tr>
    </w:tbl>
    <w:p w14:paraId="09B108C9" w14:textId="77777777" w:rsidR="004E4C03" w:rsidRPr="00CA631E" w:rsidRDefault="004E4C03" w:rsidP="004E4C03">
      <w:pPr>
        <w:spacing w:line="360" w:lineRule="auto"/>
        <w:jc w:val="center"/>
        <w:rPr>
          <w:rFonts w:ascii="Arial" w:hAnsi="Arial" w:cs="Arial"/>
          <w:b/>
          <w:sz w:val="24"/>
          <w:szCs w:val="24"/>
        </w:rPr>
      </w:pPr>
      <w:r w:rsidRPr="00CA631E">
        <w:rPr>
          <w:rFonts w:ascii="Arial" w:hAnsi="Arial" w:cs="Arial"/>
          <w:noProof/>
          <w:sz w:val="24"/>
          <w:szCs w:val="24"/>
          <w:lang w:val="en-IN" w:eastAsia="en-IN"/>
        </w:rPr>
        <w:drawing>
          <wp:inline distT="0" distB="0" distL="0" distR="0" wp14:anchorId="63AE9F80" wp14:editId="3D29DB73">
            <wp:extent cx="4572000" cy="27432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72"/>
              </a:graphicData>
            </a:graphic>
          </wp:inline>
        </w:drawing>
      </w:r>
    </w:p>
    <w:p w14:paraId="67AABF83" w14:textId="77777777" w:rsidR="004E4C03" w:rsidRPr="00CA631E" w:rsidRDefault="004E4C03" w:rsidP="004E4C03">
      <w:pPr>
        <w:spacing w:line="360" w:lineRule="auto"/>
        <w:jc w:val="both"/>
        <w:rPr>
          <w:rFonts w:ascii="Arial" w:hAnsi="Arial" w:cs="Arial"/>
          <w:b/>
          <w:sz w:val="24"/>
          <w:szCs w:val="24"/>
        </w:rPr>
      </w:pPr>
      <w:r w:rsidRPr="00CA631E">
        <w:rPr>
          <w:rFonts w:ascii="Arial" w:hAnsi="Arial" w:cs="Arial"/>
          <w:b/>
          <w:sz w:val="24"/>
          <w:szCs w:val="24"/>
        </w:rPr>
        <w:t>Gearing</w:t>
      </w:r>
    </w:p>
    <w:tbl>
      <w:tblPr>
        <w:tblStyle w:val="TableGrid"/>
        <w:tblW w:w="0" w:type="auto"/>
        <w:tblLook w:val="04A0" w:firstRow="1" w:lastRow="0" w:firstColumn="1" w:lastColumn="0" w:noHBand="0" w:noVBand="1"/>
      </w:tblPr>
      <w:tblGrid>
        <w:gridCol w:w="1982"/>
        <w:gridCol w:w="1004"/>
        <w:gridCol w:w="1206"/>
        <w:gridCol w:w="1206"/>
        <w:gridCol w:w="1206"/>
        <w:gridCol w:w="1206"/>
        <w:gridCol w:w="1206"/>
      </w:tblGrid>
      <w:tr w:rsidR="004E4C03" w:rsidRPr="00CA631E" w14:paraId="453C5AC0" w14:textId="77777777" w:rsidTr="00CA631E">
        <w:tc>
          <w:tcPr>
            <w:tcW w:w="0" w:type="auto"/>
            <w:hideMark/>
          </w:tcPr>
          <w:p w14:paraId="1C820325"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Particulars</w:t>
            </w:r>
          </w:p>
        </w:tc>
        <w:tc>
          <w:tcPr>
            <w:tcW w:w="0" w:type="auto"/>
            <w:hideMark/>
          </w:tcPr>
          <w:p w14:paraId="42BF7443"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Details</w:t>
            </w:r>
          </w:p>
        </w:tc>
        <w:tc>
          <w:tcPr>
            <w:tcW w:w="0" w:type="auto"/>
            <w:hideMark/>
          </w:tcPr>
          <w:p w14:paraId="45DC15AA"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2021 (£m)</w:t>
            </w:r>
          </w:p>
        </w:tc>
        <w:tc>
          <w:tcPr>
            <w:tcW w:w="0" w:type="auto"/>
            <w:hideMark/>
          </w:tcPr>
          <w:p w14:paraId="2738071B"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2022 (£m)</w:t>
            </w:r>
          </w:p>
        </w:tc>
        <w:tc>
          <w:tcPr>
            <w:tcW w:w="0" w:type="auto"/>
            <w:hideMark/>
          </w:tcPr>
          <w:p w14:paraId="2B756350"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2023 (£m)</w:t>
            </w:r>
          </w:p>
        </w:tc>
        <w:tc>
          <w:tcPr>
            <w:tcW w:w="0" w:type="auto"/>
            <w:hideMark/>
          </w:tcPr>
          <w:p w14:paraId="516FB8FF"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2024 (£m)</w:t>
            </w:r>
          </w:p>
        </w:tc>
        <w:tc>
          <w:tcPr>
            <w:tcW w:w="0" w:type="auto"/>
            <w:hideMark/>
          </w:tcPr>
          <w:p w14:paraId="4618ECAC"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2025 (£m)</w:t>
            </w:r>
          </w:p>
        </w:tc>
      </w:tr>
      <w:tr w:rsidR="004E4C03" w:rsidRPr="00CA631E" w14:paraId="0D2302F3" w14:textId="77777777" w:rsidTr="00CA631E">
        <w:tc>
          <w:tcPr>
            <w:tcW w:w="0" w:type="auto"/>
            <w:hideMark/>
          </w:tcPr>
          <w:p w14:paraId="3772508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lastRenderedPageBreak/>
              <w:t>Total Liabilities</w:t>
            </w:r>
          </w:p>
        </w:tc>
        <w:tc>
          <w:tcPr>
            <w:tcW w:w="0" w:type="auto"/>
            <w:hideMark/>
          </w:tcPr>
          <w:p w14:paraId="3788A157"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A</w:t>
            </w:r>
          </w:p>
        </w:tc>
        <w:tc>
          <w:tcPr>
            <w:tcW w:w="0" w:type="auto"/>
            <w:hideMark/>
          </w:tcPr>
          <w:p w14:paraId="0FA24CF7"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3,715.70</w:t>
            </w:r>
          </w:p>
        </w:tc>
        <w:tc>
          <w:tcPr>
            <w:tcW w:w="0" w:type="auto"/>
            <w:hideMark/>
          </w:tcPr>
          <w:p w14:paraId="606F68B5"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3,793.40</w:t>
            </w:r>
          </w:p>
        </w:tc>
        <w:tc>
          <w:tcPr>
            <w:tcW w:w="0" w:type="auto"/>
            <w:hideMark/>
          </w:tcPr>
          <w:p w14:paraId="2D10E4D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3,837.50</w:t>
            </w:r>
          </w:p>
        </w:tc>
        <w:tc>
          <w:tcPr>
            <w:tcW w:w="0" w:type="auto"/>
            <w:hideMark/>
          </w:tcPr>
          <w:p w14:paraId="7C26B91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3,876.60</w:t>
            </w:r>
          </w:p>
        </w:tc>
        <w:tc>
          <w:tcPr>
            <w:tcW w:w="0" w:type="auto"/>
            <w:hideMark/>
          </w:tcPr>
          <w:p w14:paraId="74982DD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3,777.20</w:t>
            </w:r>
          </w:p>
        </w:tc>
      </w:tr>
      <w:tr w:rsidR="004E4C03" w:rsidRPr="00CA631E" w14:paraId="49B1CB86" w14:textId="77777777" w:rsidTr="00CA631E">
        <w:tc>
          <w:tcPr>
            <w:tcW w:w="0" w:type="auto"/>
            <w:hideMark/>
          </w:tcPr>
          <w:p w14:paraId="1334CB2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Total Equity</w:t>
            </w:r>
          </w:p>
        </w:tc>
        <w:tc>
          <w:tcPr>
            <w:tcW w:w="0" w:type="auto"/>
            <w:hideMark/>
          </w:tcPr>
          <w:p w14:paraId="6B62EE8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B</w:t>
            </w:r>
          </w:p>
        </w:tc>
        <w:tc>
          <w:tcPr>
            <w:tcW w:w="0" w:type="auto"/>
            <w:hideMark/>
          </w:tcPr>
          <w:p w14:paraId="4D64F2C7"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629.60</w:t>
            </w:r>
          </w:p>
        </w:tc>
        <w:tc>
          <w:tcPr>
            <w:tcW w:w="0" w:type="auto"/>
            <w:hideMark/>
          </w:tcPr>
          <w:p w14:paraId="34C29861"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787.10</w:t>
            </w:r>
          </w:p>
        </w:tc>
        <w:tc>
          <w:tcPr>
            <w:tcW w:w="0" w:type="auto"/>
            <w:hideMark/>
          </w:tcPr>
          <w:p w14:paraId="285CA425"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828.90</w:t>
            </w:r>
          </w:p>
        </w:tc>
        <w:tc>
          <w:tcPr>
            <w:tcW w:w="0" w:type="auto"/>
            <w:hideMark/>
          </w:tcPr>
          <w:p w14:paraId="0511F04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638.30</w:t>
            </w:r>
          </w:p>
        </w:tc>
        <w:tc>
          <w:tcPr>
            <w:tcW w:w="0" w:type="auto"/>
            <w:hideMark/>
          </w:tcPr>
          <w:p w14:paraId="1C3C205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695.50</w:t>
            </w:r>
          </w:p>
        </w:tc>
      </w:tr>
      <w:tr w:rsidR="004E4C03" w:rsidRPr="00CA631E" w14:paraId="051EAB27" w14:textId="77777777" w:rsidTr="00CA631E">
        <w:tc>
          <w:tcPr>
            <w:tcW w:w="0" w:type="auto"/>
            <w:hideMark/>
          </w:tcPr>
          <w:p w14:paraId="44D9C1AD"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Operating Profit/(Loss)</w:t>
            </w:r>
          </w:p>
        </w:tc>
        <w:tc>
          <w:tcPr>
            <w:tcW w:w="0" w:type="auto"/>
            <w:hideMark/>
          </w:tcPr>
          <w:p w14:paraId="70E7D63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C</w:t>
            </w:r>
          </w:p>
        </w:tc>
        <w:tc>
          <w:tcPr>
            <w:tcW w:w="0" w:type="auto"/>
            <w:hideMark/>
          </w:tcPr>
          <w:p w14:paraId="09113FE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63.80</w:t>
            </w:r>
          </w:p>
        </w:tc>
        <w:tc>
          <w:tcPr>
            <w:tcW w:w="0" w:type="auto"/>
            <w:hideMark/>
          </w:tcPr>
          <w:p w14:paraId="75CCCDE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249.20</w:t>
            </w:r>
          </w:p>
        </w:tc>
        <w:tc>
          <w:tcPr>
            <w:tcW w:w="0" w:type="auto"/>
            <w:hideMark/>
          </w:tcPr>
          <w:p w14:paraId="4D03894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167.20</w:t>
            </w:r>
          </w:p>
        </w:tc>
        <w:tc>
          <w:tcPr>
            <w:tcW w:w="0" w:type="auto"/>
            <w:hideMark/>
          </w:tcPr>
          <w:p w14:paraId="1BB666E6"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(16.40)</w:t>
            </w:r>
          </w:p>
        </w:tc>
        <w:tc>
          <w:tcPr>
            <w:tcW w:w="0" w:type="auto"/>
            <w:hideMark/>
          </w:tcPr>
          <w:p w14:paraId="3F9653E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217.40</w:t>
            </w:r>
          </w:p>
        </w:tc>
      </w:tr>
      <w:tr w:rsidR="004E4C03" w:rsidRPr="00CA631E" w14:paraId="442A5AFE" w14:textId="77777777" w:rsidTr="00CA631E">
        <w:tc>
          <w:tcPr>
            <w:tcW w:w="0" w:type="auto"/>
            <w:hideMark/>
          </w:tcPr>
          <w:p w14:paraId="0498BAE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Finance Costs</w:t>
            </w:r>
          </w:p>
        </w:tc>
        <w:tc>
          <w:tcPr>
            <w:tcW w:w="0" w:type="auto"/>
            <w:hideMark/>
          </w:tcPr>
          <w:p w14:paraId="7247118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D</w:t>
            </w:r>
          </w:p>
        </w:tc>
        <w:tc>
          <w:tcPr>
            <w:tcW w:w="0" w:type="auto"/>
            <w:hideMark/>
          </w:tcPr>
          <w:p w14:paraId="2B791BB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134.20</w:t>
            </w:r>
          </w:p>
        </w:tc>
        <w:tc>
          <w:tcPr>
            <w:tcW w:w="0" w:type="auto"/>
            <w:hideMark/>
          </w:tcPr>
          <w:p w14:paraId="602874F9"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150.80</w:t>
            </w:r>
          </w:p>
        </w:tc>
        <w:tc>
          <w:tcPr>
            <w:tcW w:w="0" w:type="auto"/>
            <w:hideMark/>
          </w:tcPr>
          <w:p w14:paraId="0B1C5139"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122.00</w:t>
            </w:r>
          </w:p>
        </w:tc>
        <w:tc>
          <w:tcPr>
            <w:tcW w:w="0" w:type="auto"/>
            <w:hideMark/>
          </w:tcPr>
          <w:p w14:paraId="5864A63D"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130.70</w:t>
            </w:r>
          </w:p>
        </w:tc>
        <w:tc>
          <w:tcPr>
            <w:tcW w:w="0" w:type="auto"/>
            <w:hideMark/>
          </w:tcPr>
          <w:p w14:paraId="284A4449"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118.60</w:t>
            </w:r>
          </w:p>
        </w:tc>
      </w:tr>
      <w:tr w:rsidR="004E4C03" w:rsidRPr="00CA631E" w14:paraId="4E190B94" w14:textId="77777777" w:rsidTr="00CA631E">
        <w:tc>
          <w:tcPr>
            <w:tcW w:w="0" w:type="auto"/>
            <w:hideMark/>
          </w:tcPr>
          <w:p w14:paraId="27F19E2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Debt/Equity Ratio</w:t>
            </w:r>
          </w:p>
        </w:tc>
        <w:tc>
          <w:tcPr>
            <w:tcW w:w="0" w:type="auto"/>
            <w:hideMark/>
          </w:tcPr>
          <w:p w14:paraId="7B4C72B6"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A/B</w:t>
            </w:r>
          </w:p>
        </w:tc>
        <w:tc>
          <w:tcPr>
            <w:tcW w:w="0" w:type="auto"/>
            <w:hideMark/>
          </w:tcPr>
          <w:p w14:paraId="3ED9B3B1"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5.90</w:t>
            </w:r>
          </w:p>
        </w:tc>
        <w:tc>
          <w:tcPr>
            <w:tcW w:w="0" w:type="auto"/>
            <w:hideMark/>
          </w:tcPr>
          <w:p w14:paraId="40CF65A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4.82</w:t>
            </w:r>
          </w:p>
        </w:tc>
        <w:tc>
          <w:tcPr>
            <w:tcW w:w="0" w:type="auto"/>
            <w:hideMark/>
          </w:tcPr>
          <w:p w14:paraId="6F7B2455"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4.63</w:t>
            </w:r>
          </w:p>
        </w:tc>
        <w:tc>
          <w:tcPr>
            <w:tcW w:w="0" w:type="auto"/>
            <w:hideMark/>
          </w:tcPr>
          <w:p w14:paraId="622DD65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6.07</w:t>
            </w:r>
          </w:p>
        </w:tc>
        <w:tc>
          <w:tcPr>
            <w:tcW w:w="0" w:type="auto"/>
            <w:hideMark/>
          </w:tcPr>
          <w:p w14:paraId="13841B5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5.43</w:t>
            </w:r>
          </w:p>
        </w:tc>
      </w:tr>
      <w:tr w:rsidR="004E4C03" w:rsidRPr="00CA631E" w14:paraId="2248DE19" w14:textId="77777777" w:rsidTr="00CA631E">
        <w:tc>
          <w:tcPr>
            <w:tcW w:w="0" w:type="auto"/>
            <w:hideMark/>
          </w:tcPr>
          <w:p w14:paraId="31DE1119"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Interest Coverage Ratio</w:t>
            </w:r>
          </w:p>
        </w:tc>
        <w:tc>
          <w:tcPr>
            <w:tcW w:w="0" w:type="auto"/>
            <w:hideMark/>
          </w:tcPr>
          <w:p w14:paraId="2F42A7E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C/D</w:t>
            </w:r>
          </w:p>
        </w:tc>
        <w:tc>
          <w:tcPr>
            <w:tcW w:w="0" w:type="auto"/>
            <w:hideMark/>
          </w:tcPr>
          <w:p w14:paraId="2B2F144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0.48</w:t>
            </w:r>
          </w:p>
        </w:tc>
        <w:tc>
          <w:tcPr>
            <w:tcW w:w="0" w:type="auto"/>
            <w:hideMark/>
          </w:tcPr>
          <w:p w14:paraId="4829510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1.65</w:t>
            </w:r>
          </w:p>
        </w:tc>
        <w:tc>
          <w:tcPr>
            <w:tcW w:w="0" w:type="auto"/>
            <w:hideMark/>
          </w:tcPr>
          <w:p w14:paraId="7415D7E6"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1.37</w:t>
            </w:r>
          </w:p>
        </w:tc>
        <w:tc>
          <w:tcPr>
            <w:tcW w:w="0" w:type="auto"/>
            <w:hideMark/>
          </w:tcPr>
          <w:p w14:paraId="05087D6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(0.13)</w:t>
            </w:r>
          </w:p>
        </w:tc>
        <w:tc>
          <w:tcPr>
            <w:tcW w:w="0" w:type="auto"/>
            <w:hideMark/>
          </w:tcPr>
          <w:p w14:paraId="31BFB32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1.83</w:t>
            </w:r>
          </w:p>
        </w:tc>
      </w:tr>
    </w:tbl>
    <w:p w14:paraId="607D3361" w14:textId="77777777" w:rsidR="004E4C03" w:rsidRPr="00CA631E" w:rsidRDefault="004E4C03" w:rsidP="004E4C03">
      <w:pPr>
        <w:spacing w:line="360" w:lineRule="auto"/>
        <w:jc w:val="center"/>
        <w:rPr>
          <w:rFonts w:ascii="Arial" w:hAnsi="Arial" w:cs="Arial"/>
          <w:sz w:val="24"/>
          <w:szCs w:val="24"/>
        </w:rPr>
      </w:pPr>
      <w:r w:rsidRPr="00CA631E">
        <w:rPr>
          <w:rFonts w:ascii="Arial" w:hAnsi="Arial" w:cs="Arial"/>
          <w:noProof/>
          <w:sz w:val="24"/>
          <w:szCs w:val="24"/>
          <w:lang w:val="en-IN" w:eastAsia="en-IN"/>
        </w:rPr>
        <w:drawing>
          <wp:inline distT="0" distB="0" distL="0" distR="0" wp14:anchorId="09D49E7A" wp14:editId="3CD05DAD">
            <wp:extent cx="4572000" cy="27432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73"/>
              </a:graphicData>
            </a:graphic>
          </wp:inline>
        </w:drawing>
      </w:r>
    </w:p>
    <w:p w14:paraId="3E290953" w14:textId="77777777" w:rsidR="004E4C03" w:rsidRPr="00CA631E" w:rsidRDefault="004E4C03" w:rsidP="004E4C03">
      <w:pPr>
        <w:spacing w:line="360" w:lineRule="auto"/>
        <w:jc w:val="both"/>
        <w:rPr>
          <w:rFonts w:ascii="Arial" w:hAnsi="Arial" w:cs="Arial"/>
          <w:sz w:val="24"/>
          <w:szCs w:val="24"/>
        </w:rPr>
      </w:pPr>
      <w:r w:rsidRPr="00CA631E">
        <w:rPr>
          <w:rFonts w:ascii="Arial" w:hAnsi="Arial" w:cs="Arial"/>
          <w:b/>
          <w:sz w:val="24"/>
          <w:szCs w:val="24"/>
        </w:rPr>
        <w:t>Market Ratio</w:t>
      </w:r>
    </w:p>
    <w:tbl>
      <w:tblPr>
        <w:tblStyle w:val="TableGrid"/>
        <w:tblW w:w="0" w:type="auto"/>
        <w:tblLook w:val="04A0" w:firstRow="1" w:lastRow="0" w:firstColumn="1" w:lastColumn="0" w:noHBand="0" w:noVBand="1"/>
      </w:tblPr>
      <w:tblGrid>
        <w:gridCol w:w="3367"/>
        <w:gridCol w:w="1004"/>
        <w:gridCol w:w="977"/>
        <w:gridCol w:w="897"/>
        <w:gridCol w:w="897"/>
        <w:gridCol w:w="977"/>
        <w:gridCol w:w="897"/>
      </w:tblGrid>
      <w:tr w:rsidR="004E4C03" w:rsidRPr="00CA631E" w14:paraId="7C115AF1" w14:textId="77777777" w:rsidTr="00CA631E">
        <w:tc>
          <w:tcPr>
            <w:tcW w:w="0" w:type="auto"/>
            <w:hideMark/>
          </w:tcPr>
          <w:p w14:paraId="47577D02"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Particulars</w:t>
            </w:r>
          </w:p>
        </w:tc>
        <w:tc>
          <w:tcPr>
            <w:tcW w:w="0" w:type="auto"/>
            <w:hideMark/>
          </w:tcPr>
          <w:p w14:paraId="026396FD"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Details</w:t>
            </w:r>
          </w:p>
        </w:tc>
        <w:tc>
          <w:tcPr>
            <w:tcW w:w="0" w:type="auto"/>
            <w:hideMark/>
          </w:tcPr>
          <w:p w14:paraId="41A4128B"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2021</w:t>
            </w:r>
          </w:p>
        </w:tc>
        <w:tc>
          <w:tcPr>
            <w:tcW w:w="0" w:type="auto"/>
            <w:hideMark/>
          </w:tcPr>
          <w:p w14:paraId="4E6845E6"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2022</w:t>
            </w:r>
          </w:p>
        </w:tc>
        <w:tc>
          <w:tcPr>
            <w:tcW w:w="0" w:type="auto"/>
            <w:hideMark/>
          </w:tcPr>
          <w:p w14:paraId="114E6C83"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2023</w:t>
            </w:r>
          </w:p>
        </w:tc>
        <w:tc>
          <w:tcPr>
            <w:tcW w:w="0" w:type="auto"/>
            <w:hideMark/>
          </w:tcPr>
          <w:p w14:paraId="08A59CE8"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2024</w:t>
            </w:r>
          </w:p>
        </w:tc>
        <w:tc>
          <w:tcPr>
            <w:tcW w:w="0" w:type="auto"/>
            <w:hideMark/>
          </w:tcPr>
          <w:p w14:paraId="5481366A"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2025</w:t>
            </w:r>
          </w:p>
        </w:tc>
      </w:tr>
      <w:tr w:rsidR="004E4C03" w:rsidRPr="00CA631E" w14:paraId="02315D18" w14:textId="77777777" w:rsidTr="00CA631E">
        <w:tc>
          <w:tcPr>
            <w:tcW w:w="0" w:type="auto"/>
            <w:hideMark/>
          </w:tcPr>
          <w:p w14:paraId="40DAD8F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Earnings/(Loss) per Share (£)</w:t>
            </w:r>
          </w:p>
        </w:tc>
        <w:tc>
          <w:tcPr>
            <w:tcW w:w="0" w:type="auto"/>
            <w:hideMark/>
          </w:tcPr>
          <w:p w14:paraId="26C2810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A</w:t>
            </w:r>
          </w:p>
        </w:tc>
        <w:tc>
          <w:tcPr>
            <w:tcW w:w="0" w:type="auto"/>
            <w:hideMark/>
          </w:tcPr>
          <w:p w14:paraId="0EDCC8B5"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(0.18)</w:t>
            </w:r>
          </w:p>
        </w:tc>
        <w:tc>
          <w:tcPr>
            <w:tcW w:w="0" w:type="auto"/>
            <w:hideMark/>
          </w:tcPr>
          <w:p w14:paraId="470C6F17"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0.24</w:t>
            </w:r>
          </w:p>
        </w:tc>
        <w:tc>
          <w:tcPr>
            <w:tcW w:w="0" w:type="auto"/>
            <w:hideMark/>
          </w:tcPr>
          <w:p w14:paraId="430EAD0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0.11</w:t>
            </w:r>
          </w:p>
        </w:tc>
        <w:tc>
          <w:tcPr>
            <w:tcW w:w="0" w:type="auto"/>
            <w:hideMark/>
          </w:tcPr>
          <w:p w14:paraId="2511DAE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(0.35)</w:t>
            </w:r>
          </w:p>
        </w:tc>
        <w:tc>
          <w:tcPr>
            <w:tcW w:w="0" w:type="auto"/>
            <w:hideMark/>
          </w:tcPr>
          <w:p w14:paraId="3907FAE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0.09</w:t>
            </w:r>
          </w:p>
        </w:tc>
      </w:tr>
      <w:tr w:rsidR="004E4C03" w:rsidRPr="00CA631E" w14:paraId="67F9AB8C" w14:textId="77777777" w:rsidTr="00CA631E">
        <w:tc>
          <w:tcPr>
            <w:tcW w:w="0" w:type="auto"/>
            <w:hideMark/>
          </w:tcPr>
          <w:p w14:paraId="3ACD07C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Market Price per Share (£)</w:t>
            </w:r>
          </w:p>
        </w:tc>
        <w:tc>
          <w:tcPr>
            <w:tcW w:w="0" w:type="auto"/>
            <w:hideMark/>
          </w:tcPr>
          <w:p w14:paraId="66B067FC"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B</w:t>
            </w:r>
          </w:p>
        </w:tc>
        <w:tc>
          <w:tcPr>
            <w:tcW w:w="0" w:type="auto"/>
            <w:hideMark/>
          </w:tcPr>
          <w:p w14:paraId="189227B5"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6.20</w:t>
            </w:r>
          </w:p>
        </w:tc>
        <w:tc>
          <w:tcPr>
            <w:tcW w:w="0" w:type="auto"/>
            <w:hideMark/>
          </w:tcPr>
          <w:p w14:paraId="3A0A199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7.40</w:t>
            </w:r>
          </w:p>
        </w:tc>
        <w:tc>
          <w:tcPr>
            <w:tcW w:w="0" w:type="auto"/>
            <w:hideMark/>
          </w:tcPr>
          <w:p w14:paraId="30841FE7"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8.10</w:t>
            </w:r>
          </w:p>
        </w:tc>
        <w:tc>
          <w:tcPr>
            <w:tcW w:w="0" w:type="auto"/>
            <w:hideMark/>
          </w:tcPr>
          <w:p w14:paraId="57C8B24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6.80</w:t>
            </w:r>
          </w:p>
        </w:tc>
        <w:tc>
          <w:tcPr>
            <w:tcW w:w="0" w:type="auto"/>
            <w:hideMark/>
          </w:tcPr>
          <w:p w14:paraId="496CA4C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8.50</w:t>
            </w:r>
          </w:p>
        </w:tc>
      </w:tr>
      <w:tr w:rsidR="004E4C03" w:rsidRPr="00CA631E" w14:paraId="3B904687" w14:textId="77777777" w:rsidTr="00CA631E">
        <w:tc>
          <w:tcPr>
            <w:tcW w:w="0" w:type="auto"/>
            <w:hideMark/>
          </w:tcPr>
          <w:p w14:paraId="70370A79"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Dividend per Share (£)</w:t>
            </w:r>
          </w:p>
        </w:tc>
        <w:tc>
          <w:tcPr>
            <w:tcW w:w="0" w:type="auto"/>
            <w:hideMark/>
          </w:tcPr>
          <w:p w14:paraId="0A99C46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C</w:t>
            </w:r>
          </w:p>
        </w:tc>
        <w:tc>
          <w:tcPr>
            <w:tcW w:w="0" w:type="auto"/>
            <w:hideMark/>
          </w:tcPr>
          <w:p w14:paraId="480FCA5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0.00</w:t>
            </w:r>
          </w:p>
        </w:tc>
        <w:tc>
          <w:tcPr>
            <w:tcW w:w="0" w:type="auto"/>
            <w:hideMark/>
          </w:tcPr>
          <w:p w14:paraId="20D1D37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0.00</w:t>
            </w:r>
          </w:p>
        </w:tc>
        <w:tc>
          <w:tcPr>
            <w:tcW w:w="0" w:type="auto"/>
            <w:hideMark/>
          </w:tcPr>
          <w:p w14:paraId="2CAADCC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0.00</w:t>
            </w:r>
          </w:p>
        </w:tc>
        <w:tc>
          <w:tcPr>
            <w:tcW w:w="0" w:type="auto"/>
            <w:hideMark/>
          </w:tcPr>
          <w:p w14:paraId="31E519AF"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0.00</w:t>
            </w:r>
          </w:p>
        </w:tc>
        <w:tc>
          <w:tcPr>
            <w:tcW w:w="0" w:type="auto"/>
            <w:hideMark/>
          </w:tcPr>
          <w:p w14:paraId="3D17226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0.00</w:t>
            </w:r>
          </w:p>
        </w:tc>
      </w:tr>
      <w:tr w:rsidR="004E4C03" w:rsidRPr="00CA631E" w14:paraId="3A687A8C" w14:textId="77777777" w:rsidTr="00CA631E">
        <w:tc>
          <w:tcPr>
            <w:tcW w:w="0" w:type="auto"/>
            <w:hideMark/>
          </w:tcPr>
          <w:p w14:paraId="28EE72D9"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Price/Earnings Ratio</w:t>
            </w:r>
          </w:p>
        </w:tc>
        <w:tc>
          <w:tcPr>
            <w:tcW w:w="0" w:type="auto"/>
            <w:hideMark/>
          </w:tcPr>
          <w:p w14:paraId="5EB8C57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B/A</w:t>
            </w:r>
          </w:p>
        </w:tc>
        <w:tc>
          <w:tcPr>
            <w:tcW w:w="0" w:type="auto"/>
            <w:hideMark/>
          </w:tcPr>
          <w:p w14:paraId="717BA5B7"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(34.44)</w:t>
            </w:r>
          </w:p>
        </w:tc>
        <w:tc>
          <w:tcPr>
            <w:tcW w:w="0" w:type="auto"/>
            <w:hideMark/>
          </w:tcPr>
          <w:p w14:paraId="2F914EA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30.83</w:t>
            </w:r>
          </w:p>
        </w:tc>
        <w:tc>
          <w:tcPr>
            <w:tcW w:w="0" w:type="auto"/>
            <w:hideMark/>
          </w:tcPr>
          <w:p w14:paraId="74820E6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73.64</w:t>
            </w:r>
          </w:p>
        </w:tc>
        <w:tc>
          <w:tcPr>
            <w:tcW w:w="0" w:type="auto"/>
            <w:hideMark/>
          </w:tcPr>
          <w:p w14:paraId="3C6EE9FF"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(19.43)</w:t>
            </w:r>
          </w:p>
        </w:tc>
        <w:tc>
          <w:tcPr>
            <w:tcW w:w="0" w:type="auto"/>
            <w:hideMark/>
          </w:tcPr>
          <w:p w14:paraId="0613A33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94.44</w:t>
            </w:r>
          </w:p>
        </w:tc>
      </w:tr>
      <w:tr w:rsidR="004E4C03" w:rsidRPr="00CA631E" w14:paraId="2F22C951" w14:textId="77777777" w:rsidTr="00CA631E">
        <w:tc>
          <w:tcPr>
            <w:tcW w:w="0" w:type="auto"/>
            <w:hideMark/>
          </w:tcPr>
          <w:p w14:paraId="55322E57"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Dividend Payout Ratio</w:t>
            </w:r>
          </w:p>
        </w:tc>
        <w:tc>
          <w:tcPr>
            <w:tcW w:w="0" w:type="auto"/>
            <w:hideMark/>
          </w:tcPr>
          <w:p w14:paraId="0128A58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C/A</w:t>
            </w:r>
          </w:p>
        </w:tc>
        <w:tc>
          <w:tcPr>
            <w:tcW w:w="0" w:type="auto"/>
            <w:hideMark/>
          </w:tcPr>
          <w:p w14:paraId="0F624745"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0.00%</w:t>
            </w:r>
          </w:p>
        </w:tc>
        <w:tc>
          <w:tcPr>
            <w:tcW w:w="0" w:type="auto"/>
            <w:hideMark/>
          </w:tcPr>
          <w:p w14:paraId="4854C9C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0.00%</w:t>
            </w:r>
          </w:p>
        </w:tc>
        <w:tc>
          <w:tcPr>
            <w:tcW w:w="0" w:type="auto"/>
            <w:hideMark/>
          </w:tcPr>
          <w:p w14:paraId="77CDC6F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0.00%</w:t>
            </w:r>
          </w:p>
        </w:tc>
        <w:tc>
          <w:tcPr>
            <w:tcW w:w="0" w:type="auto"/>
            <w:hideMark/>
          </w:tcPr>
          <w:p w14:paraId="2C57215D"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0.00%</w:t>
            </w:r>
          </w:p>
        </w:tc>
        <w:tc>
          <w:tcPr>
            <w:tcW w:w="0" w:type="auto"/>
            <w:hideMark/>
          </w:tcPr>
          <w:p w14:paraId="25A7BDA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0.00%</w:t>
            </w:r>
          </w:p>
        </w:tc>
      </w:tr>
    </w:tbl>
    <w:p w14:paraId="6491FD9E" w14:textId="77777777" w:rsidR="004E4C03" w:rsidRPr="00CA631E" w:rsidRDefault="004E4C03" w:rsidP="004E4C03">
      <w:pPr>
        <w:spacing w:line="360" w:lineRule="auto"/>
        <w:jc w:val="center"/>
        <w:rPr>
          <w:rFonts w:ascii="Arial" w:hAnsi="Arial" w:cs="Arial"/>
          <w:sz w:val="24"/>
          <w:szCs w:val="24"/>
        </w:rPr>
      </w:pPr>
      <w:r w:rsidRPr="00CA631E">
        <w:rPr>
          <w:rFonts w:ascii="Arial" w:hAnsi="Arial" w:cs="Arial"/>
          <w:noProof/>
          <w:sz w:val="24"/>
          <w:szCs w:val="24"/>
          <w:lang w:val="en-IN" w:eastAsia="en-IN"/>
        </w:rPr>
        <w:lastRenderedPageBreak/>
        <w:drawing>
          <wp:inline distT="0" distB="0" distL="0" distR="0" wp14:anchorId="20A687E5" wp14:editId="2FB83210">
            <wp:extent cx="4572000" cy="27432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inline>
        </w:drawing>
      </w:r>
    </w:p>
    <w:p w14:paraId="4FBB8464" w14:textId="77777777" w:rsidR="004E4C03" w:rsidRPr="00CA631E" w:rsidRDefault="004E4C03" w:rsidP="004E4C03">
      <w:pPr>
        <w:spacing w:line="360" w:lineRule="auto"/>
        <w:jc w:val="both"/>
        <w:rPr>
          <w:rFonts w:ascii="Arial" w:hAnsi="Arial" w:cs="Arial"/>
          <w:b/>
          <w:sz w:val="24"/>
          <w:szCs w:val="24"/>
        </w:rPr>
      </w:pPr>
      <w:r w:rsidRPr="00CA631E">
        <w:rPr>
          <w:rFonts w:ascii="Arial" w:hAnsi="Arial" w:cs="Arial"/>
          <w:b/>
          <w:sz w:val="24"/>
          <w:szCs w:val="24"/>
        </w:rPr>
        <w:t>Cash flow</w:t>
      </w:r>
    </w:p>
    <w:tbl>
      <w:tblPr>
        <w:tblStyle w:val="TableGrid"/>
        <w:tblW w:w="0" w:type="auto"/>
        <w:tblLook w:val="04A0" w:firstRow="1" w:lastRow="0" w:firstColumn="1" w:lastColumn="0" w:noHBand="0" w:noVBand="1"/>
      </w:tblPr>
      <w:tblGrid>
        <w:gridCol w:w="2622"/>
        <w:gridCol w:w="1004"/>
        <w:gridCol w:w="1078"/>
        <w:gridCol w:w="1078"/>
        <w:gridCol w:w="1078"/>
        <w:gridCol w:w="1078"/>
        <w:gridCol w:w="1078"/>
      </w:tblGrid>
      <w:tr w:rsidR="004E4C03" w:rsidRPr="00CA631E" w14:paraId="29B8B44C" w14:textId="77777777" w:rsidTr="00CA631E">
        <w:tc>
          <w:tcPr>
            <w:tcW w:w="0" w:type="auto"/>
            <w:hideMark/>
          </w:tcPr>
          <w:p w14:paraId="67D2E30B"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Particulars</w:t>
            </w:r>
          </w:p>
        </w:tc>
        <w:tc>
          <w:tcPr>
            <w:tcW w:w="0" w:type="auto"/>
            <w:hideMark/>
          </w:tcPr>
          <w:p w14:paraId="205CFA5C"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Details</w:t>
            </w:r>
          </w:p>
        </w:tc>
        <w:tc>
          <w:tcPr>
            <w:tcW w:w="0" w:type="auto"/>
            <w:hideMark/>
          </w:tcPr>
          <w:p w14:paraId="29FD5B56"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2021 (£m)</w:t>
            </w:r>
          </w:p>
        </w:tc>
        <w:tc>
          <w:tcPr>
            <w:tcW w:w="0" w:type="auto"/>
            <w:hideMark/>
          </w:tcPr>
          <w:p w14:paraId="77A5C9C1"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2022 (£m)</w:t>
            </w:r>
          </w:p>
        </w:tc>
        <w:tc>
          <w:tcPr>
            <w:tcW w:w="0" w:type="auto"/>
            <w:hideMark/>
          </w:tcPr>
          <w:p w14:paraId="2E39F750"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2023 (£m)</w:t>
            </w:r>
          </w:p>
        </w:tc>
        <w:tc>
          <w:tcPr>
            <w:tcW w:w="0" w:type="auto"/>
            <w:hideMark/>
          </w:tcPr>
          <w:p w14:paraId="00D177D5"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2024 (£m)</w:t>
            </w:r>
          </w:p>
        </w:tc>
        <w:tc>
          <w:tcPr>
            <w:tcW w:w="0" w:type="auto"/>
            <w:hideMark/>
          </w:tcPr>
          <w:p w14:paraId="7EEEC997" w14:textId="77777777" w:rsidR="004E4C03" w:rsidRPr="00CA631E" w:rsidRDefault="004E4C03" w:rsidP="00CA631E">
            <w:pPr>
              <w:spacing w:line="360" w:lineRule="auto"/>
              <w:jc w:val="both"/>
              <w:rPr>
                <w:rFonts w:ascii="Arial" w:eastAsia="Times New Roman" w:hAnsi="Arial" w:cs="Arial"/>
                <w:b/>
                <w:bCs/>
                <w:sz w:val="24"/>
                <w:szCs w:val="24"/>
                <w:lang w:val="en-IN" w:eastAsia="en-IN"/>
              </w:rPr>
            </w:pPr>
            <w:r w:rsidRPr="00CA631E">
              <w:rPr>
                <w:rFonts w:ascii="Arial" w:eastAsia="Times New Roman" w:hAnsi="Arial" w:cs="Arial"/>
                <w:b/>
                <w:bCs/>
                <w:sz w:val="24"/>
                <w:szCs w:val="24"/>
                <w:lang w:val="en-IN" w:eastAsia="en-IN"/>
              </w:rPr>
              <w:t>2025 (£m)</w:t>
            </w:r>
          </w:p>
        </w:tc>
      </w:tr>
      <w:tr w:rsidR="004E4C03" w:rsidRPr="00CA631E" w14:paraId="118FF3E6" w14:textId="77777777" w:rsidTr="00CA631E">
        <w:tc>
          <w:tcPr>
            <w:tcW w:w="0" w:type="auto"/>
            <w:hideMark/>
          </w:tcPr>
          <w:p w14:paraId="2DE9922A"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Net Cash from Operating Activities</w:t>
            </w:r>
          </w:p>
        </w:tc>
        <w:tc>
          <w:tcPr>
            <w:tcW w:w="0" w:type="auto"/>
            <w:hideMark/>
          </w:tcPr>
          <w:p w14:paraId="749924D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A</w:t>
            </w:r>
          </w:p>
        </w:tc>
        <w:tc>
          <w:tcPr>
            <w:tcW w:w="0" w:type="auto"/>
            <w:hideMark/>
          </w:tcPr>
          <w:p w14:paraId="3226D579"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241.70</w:t>
            </w:r>
          </w:p>
        </w:tc>
        <w:tc>
          <w:tcPr>
            <w:tcW w:w="0" w:type="auto"/>
            <w:hideMark/>
          </w:tcPr>
          <w:p w14:paraId="16D8518F"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354.90</w:t>
            </w:r>
          </w:p>
        </w:tc>
        <w:tc>
          <w:tcPr>
            <w:tcW w:w="0" w:type="auto"/>
            <w:hideMark/>
          </w:tcPr>
          <w:p w14:paraId="03BDA32F"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333.60</w:t>
            </w:r>
          </w:p>
        </w:tc>
        <w:tc>
          <w:tcPr>
            <w:tcW w:w="0" w:type="auto"/>
            <w:hideMark/>
          </w:tcPr>
          <w:p w14:paraId="1D29F97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287.80</w:t>
            </w:r>
          </w:p>
        </w:tc>
        <w:tc>
          <w:tcPr>
            <w:tcW w:w="0" w:type="auto"/>
            <w:hideMark/>
          </w:tcPr>
          <w:p w14:paraId="6E536D2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375.10</w:t>
            </w:r>
          </w:p>
        </w:tc>
      </w:tr>
      <w:tr w:rsidR="004E4C03" w:rsidRPr="00CA631E" w14:paraId="7F2399E8" w14:textId="77777777" w:rsidTr="00CA631E">
        <w:tc>
          <w:tcPr>
            <w:tcW w:w="0" w:type="auto"/>
            <w:hideMark/>
          </w:tcPr>
          <w:p w14:paraId="5A8C79F9"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Capital Expenditure</w:t>
            </w:r>
          </w:p>
        </w:tc>
        <w:tc>
          <w:tcPr>
            <w:tcW w:w="0" w:type="auto"/>
            <w:hideMark/>
          </w:tcPr>
          <w:p w14:paraId="5A3020D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B</w:t>
            </w:r>
          </w:p>
        </w:tc>
        <w:tc>
          <w:tcPr>
            <w:tcW w:w="0" w:type="auto"/>
            <w:hideMark/>
          </w:tcPr>
          <w:p w14:paraId="0369D59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114.70</w:t>
            </w:r>
          </w:p>
        </w:tc>
        <w:tc>
          <w:tcPr>
            <w:tcW w:w="0" w:type="auto"/>
            <w:hideMark/>
          </w:tcPr>
          <w:p w14:paraId="0E32EB41"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164.10</w:t>
            </w:r>
          </w:p>
        </w:tc>
        <w:tc>
          <w:tcPr>
            <w:tcW w:w="0" w:type="auto"/>
            <w:hideMark/>
          </w:tcPr>
          <w:p w14:paraId="5277CC5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208.10</w:t>
            </w:r>
          </w:p>
        </w:tc>
        <w:tc>
          <w:tcPr>
            <w:tcW w:w="0" w:type="auto"/>
            <w:hideMark/>
          </w:tcPr>
          <w:p w14:paraId="58E71A7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172.70</w:t>
            </w:r>
          </w:p>
        </w:tc>
        <w:tc>
          <w:tcPr>
            <w:tcW w:w="0" w:type="auto"/>
            <w:hideMark/>
          </w:tcPr>
          <w:p w14:paraId="34F03B66"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219.40</w:t>
            </w:r>
          </w:p>
        </w:tc>
      </w:tr>
      <w:tr w:rsidR="004E4C03" w:rsidRPr="00CA631E" w14:paraId="0754DA2C" w14:textId="77777777" w:rsidTr="00CA631E">
        <w:tc>
          <w:tcPr>
            <w:tcW w:w="0" w:type="auto"/>
            <w:hideMark/>
          </w:tcPr>
          <w:p w14:paraId="13D46207"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Current Liabilities</w:t>
            </w:r>
          </w:p>
        </w:tc>
        <w:tc>
          <w:tcPr>
            <w:tcW w:w="0" w:type="auto"/>
            <w:hideMark/>
          </w:tcPr>
          <w:p w14:paraId="55C16D0D"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C</w:t>
            </w:r>
          </w:p>
        </w:tc>
        <w:tc>
          <w:tcPr>
            <w:tcW w:w="0" w:type="auto"/>
            <w:hideMark/>
          </w:tcPr>
          <w:p w14:paraId="788162A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620.60</w:t>
            </w:r>
          </w:p>
        </w:tc>
        <w:tc>
          <w:tcPr>
            <w:tcW w:w="0" w:type="auto"/>
            <w:hideMark/>
          </w:tcPr>
          <w:p w14:paraId="16B1FC08"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652.40</w:t>
            </w:r>
          </w:p>
        </w:tc>
        <w:tc>
          <w:tcPr>
            <w:tcW w:w="0" w:type="auto"/>
            <w:hideMark/>
          </w:tcPr>
          <w:p w14:paraId="451E7947"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695.30</w:t>
            </w:r>
          </w:p>
        </w:tc>
        <w:tc>
          <w:tcPr>
            <w:tcW w:w="0" w:type="auto"/>
            <w:hideMark/>
          </w:tcPr>
          <w:p w14:paraId="3D1F5F6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716.80</w:t>
            </w:r>
          </w:p>
        </w:tc>
        <w:tc>
          <w:tcPr>
            <w:tcW w:w="0" w:type="auto"/>
            <w:hideMark/>
          </w:tcPr>
          <w:p w14:paraId="779AC3C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694.10</w:t>
            </w:r>
          </w:p>
        </w:tc>
      </w:tr>
      <w:tr w:rsidR="004E4C03" w:rsidRPr="00CA631E" w14:paraId="4C027A72" w14:textId="77777777" w:rsidTr="00CA631E">
        <w:tc>
          <w:tcPr>
            <w:tcW w:w="0" w:type="auto"/>
            <w:hideMark/>
          </w:tcPr>
          <w:p w14:paraId="5D4284A7"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Free Cash Flow</w:t>
            </w:r>
          </w:p>
        </w:tc>
        <w:tc>
          <w:tcPr>
            <w:tcW w:w="0" w:type="auto"/>
            <w:hideMark/>
          </w:tcPr>
          <w:p w14:paraId="5BE7DD1F"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D</w:t>
            </w:r>
          </w:p>
        </w:tc>
        <w:tc>
          <w:tcPr>
            <w:tcW w:w="0" w:type="auto"/>
            <w:hideMark/>
          </w:tcPr>
          <w:p w14:paraId="691AE206"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7.20</w:t>
            </w:r>
          </w:p>
        </w:tc>
        <w:tc>
          <w:tcPr>
            <w:tcW w:w="0" w:type="auto"/>
            <w:hideMark/>
          </w:tcPr>
          <w:p w14:paraId="475DF25F"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13.10</w:t>
            </w:r>
          </w:p>
        </w:tc>
        <w:tc>
          <w:tcPr>
            <w:tcW w:w="0" w:type="auto"/>
            <w:hideMark/>
          </w:tcPr>
          <w:p w14:paraId="7A27F974"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9.60</w:t>
            </w:r>
          </w:p>
        </w:tc>
        <w:tc>
          <w:tcPr>
            <w:tcW w:w="0" w:type="auto"/>
            <w:hideMark/>
          </w:tcPr>
          <w:p w14:paraId="6A99DA4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12.60</w:t>
            </w:r>
          </w:p>
        </w:tc>
        <w:tc>
          <w:tcPr>
            <w:tcW w:w="0" w:type="auto"/>
            <w:hideMark/>
          </w:tcPr>
          <w:p w14:paraId="2B5737C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sz w:val="24"/>
                <w:szCs w:val="24"/>
                <w:lang w:val="en-IN" w:eastAsia="en-IN"/>
              </w:rPr>
              <w:t>101.30</w:t>
            </w:r>
          </w:p>
        </w:tc>
      </w:tr>
      <w:tr w:rsidR="004E4C03" w:rsidRPr="00CA631E" w14:paraId="2890257E" w14:textId="77777777" w:rsidTr="00CA631E">
        <w:tc>
          <w:tcPr>
            <w:tcW w:w="0" w:type="auto"/>
            <w:hideMark/>
          </w:tcPr>
          <w:p w14:paraId="16203C03"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Operating Cash Flow Ratio</w:t>
            </w:r>
          </w:p>
        </w:tc>
        <w:tc>
          <w:tcPr>
            <w:tcW w:w="0" w:type="auto"/>
            <w:hideMark/>
          </w:tcPr>
          <w:p w14:paraId="6DAAF556"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A/C</w:t>
            </w:r>
          </w:p>
        </w:tc>
        <w:tc>
          <w:tcPr>
            <w:tcW w:w="0" w:type="auto"/>
            <w:hideMark/>
          </w:tcPr>
          <w:p w14:paraId="5292D19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0.39</w:t>
            </w:r>
          </w:p>
        </w:tc>
        <w:tc>
          <w:tcPr>
            <w:tcW w:w="0" w:type="auto"/>
            <w:hideMark/>
          </w:tcPr>
          <w:p w14:paraId="657E5BC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0.54</w:t>
            </w:r>
          </w:p>
        </w:tc>
        <w:tc>
          <w:tcPr>
            <w:tcW w:w="0" w:type="auto"/>
            <w:hideMark/>
          </w:tcPr>
          <w:p w14:paraId="3B92B7CE"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0.48</w:t>
            </w:r>
          </w:p>
        </w:tc>
        <w:tc>
          <w:tcPr>
            <w:tcW w:w="0" w:type="auto"/>
            <w:hideMark/>
          </w:tcPr>
          <w:p w14:paraId="06A238A0"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0.40</w:t>
            </w:r>
          </w:p>
        </w:tc>
        <w:tc>
          <w:tcPr>
            <w:tcW w:w="0" w:type="auto"/>
            <w:hideMark/>
          </w:tcPr>
          <w:p w14:paraId="1862FCFD"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0.54</w:t>
            </w:r>
          </w:p>
        </w:tc>
      </w:tr>
      <w:tr w:rsidR="004E4C03" w:rsidRPr="00CA631E" w14:paraId="012CA634" w14:textId="77777777" w:rsidTr="00CA631E">
        <w:tc>
          <w:tcPr>
            <w:tcW w:w="0" w:type="auto"/>
            <w:hideMark/>
          </w:tcPr>
          <w:p w14:paraId="3CFB135D"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Free Cash Flow to Capital Expenditure</w:t>
            </w:r>
          </w:p>
        </w:tc>
        <w:tc>
          <w:tcPr>
            <w:tcW w:w="0" w:type="auto"/>
            <w:hideMark/>
          </w:tcPr>
          <w:p w14:paraId="0722A04B"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D/B</w:t>
            </w:r>
          </w:p>
        </w:tc>
        <w:tc>
          <w:tcPr>
            <w:tcW w:w="0" w:type="auto"/>
            <w:hideMark/>
          </w:tcPr>
          <w:p w14:paraId="566C17FD"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0.06</w:t>
            </w:r>
          </w:p>
        </w:tc>
        <w:tc>
          <w:tcPr>
            <w:tcW w:w="0" w:type="auto"/>
            <w:hideMark/>
          </w:tcPr>
          <w:p w14:paraId="0BE12E56"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0.08</w:t>
            </w:r>
          </w:p>
        </w:tc>
        <w:tc>
          <w:tcPr>
            <w:tcW w:w="0" w:type="auto"/>
            <w:hideMark/>
          </w:tcPr>
          <w:p w14:paraId="58BB6285"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0.05</w:t>
            </w:r>
          </w:p>
        </w:tc>
        <w:tc>
          <w:tcPr>
            <w:tcW w:w="0" w:type="auto"/>
            <w:hideMark/>
          </w:tcPr>
          <w:p w14:paraId="27BF7AE2"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0.07</w:t>
            </w:r>
          </w:p>
        </w:tc>
        <w:tc>
          <w:tcPr>
            <w:tcW w:w="0" w:type="auto"/>
            <w:hideMark/>
          </w:tcPr>
          <w:p w14:paraId="77D9FF86" w14:textId="77777777" w:rsidR="004E4C03" w:rsidRPr="00CA631E" w:rsidRDefault="004E4C03" w:rsidP="00CA631E">
            <w:pPr>
              <w:spacing w:line="360" w:lineRule="auto"/>
              <w:jc w:val="both"/>
              <w:rPr>
                <w:rFonts w:ascii="Arial" w:eastAsia="Times New Roman" w:hAnsi="Arial" w:cs="Arial"/>
                <w:sz w:val="24"/>
                <w:szCs w:val="24"/>
                <w:lang w:val="en-IN" w:eastAsia="en-IN"/>
              </w:rPr>
            </w:pPr>
            <w:r w:rsidRPr="00CA631E">
              <w:rPr>
                <w:rFonts w:ascii="Arial" w:eastAsia="Times New Roman" w:hAnsi="Arial" w:cs="Arial"/>
                <w:b/>
                <w:bCs/>
                <w:sz w:val="24"/>
                <w:szCs w:val="24"/>
                <w:lang w:val="en-IN" w:eastAsia="en-IN"/>
              </w:rPr>
              <w:t>0.46</w:t>
            </w:r>
          </w:p>
        </w:tc>
      </w:tr>
    </w:tbl>
    <w:p w14:paraId="28F0C95F" w14:textId="77777777" w:rsidR="001524FC" w:rsidRPr="00CA631E" w:rsidRDefault="004E4C03" w:rsidP="004E4C03">
      <w:pPr>
        <w:spacing w:line="360" w:lineRule="auto"/>
        <w:jc w:val="center"/>
        <w:rPr>
          <w:rFonts w:ascii="Arial" w:hAnsi="Arial" w:cs="Arial"/>
          <w:sz w:val="24"/>
          <w:szCs w:val="24"/>
        </w:rPr>
      </w:pPr>
      <w:r w:rsidRPr="00CA631E">
        <w:rPr>
          <w:rFonts w:ascii="Arial" w:hAnsi="Arial" w:cs="Arial"/>
          <w:noProof/>
          <w:sz w:val="24"/>
          <w:szCs w:val="24"/>
          <w:lang w:val="en-IN" w:eastAsia="en-IN"/>
        </w:rPr>
        <w:lastRenderedPageBreak/>
        <w:drawing>
          <wp:inline distT="0" distB="0" distL="0" distR="0" wp14:anchorId="4865496F" wp14:editId="70BEF4F3">
            <wp:extent cx="4572000" cy="27432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p>
    <w:p w14:paraId="386A08FF" w14:textId="77777777" w:rsidR="000D50CB" w:rsidRPr="00CA631E" w:rsidRDefault="003A5AFF" w:rsidP="000A79FF">
      <w:pPr>
        <w:pStyle w:val="Heading2"/>
        <w:spacing w:line="360" w:lineRule="auto"/>
        <w:jc w:val="both"/>
        <w:rPr>
          <w:rFonts w:ascii="Arial" w:hAnsi="Arial" w:cs="Arial"/>
          <w:b/>
          <w:color w:val="auto"/>
          <w:sz w:val="24"/>
          <w:szCs w:val="24"/>
        </w:rPr>
      </w:pPr>
      <w:bookmarkStart w:id="78" w:name="_Toc234747819"/>
      <w:bookmarkStart w:id="79" w:name="_Toc235038598"/>
      <w:bookmarkStart w:id="80" w:name="_Toc236846853"/>
      <w:r w:rsidRPr="00CA631E">
        <w:rPr>
          <w:rFonts w:ascii="Arial" w:hAnsi="Arial" w:cs="Arial"/>
          <w:b/>
          <w:color w:val="auto"/>
          <w:sz w:val="24"/>
          <w:szCs w:val="24"/>
        </w:rPr>
        <w:t>b. Investment appraisal calculations</w:t>
      </w:r>
      <w:bookmarkEnd w:id="78"/>
      <w:bookmarkEnd w:id="79"/>
      <w:bookmarkEnd w:id="80"/>
    </w:p>
    <w:p w14:paraId="56E7E88D" w14:textId="77777777" w:rsidR="000A79FF" w:rsidRPr="00CA631E" w:rsidRDefault="000A79FF" w:rsidP="000A79FF">
      <w:pPr>
        <w:spacing w:line="360" w:lineRule="auto"/>
        <w:rPr>
          <w:rFonts w:ascii="Arial" w:hAnsi="Arial" w:cs="Arial"/>
          <w:b/>
          <w:sz w:val="24"/>
          <w:szCs w:val="24"/>
        </w:rPr>
      </w:pPr>
      <w:r w:rsidRPr="00CA631E">
        <w:rPr>
          <w:rFonts w:ascii="Arial" w:hAnsi="Arial" w:cs="Arial"/>
          <w:b/>
          <w:sz w:val="24"/>
          <w:szCs w:val="24"/>
        </w:rPr>
        <w:t>Project A</w:t>
      </w:r>
    </w:p>
    <w:tbl>
      <w:tblPr>
        <w:tblStyle w:val="TableGrid"/>
        <w:tblW w:w="9237" w:type="dxa"/>
        <w:tblLook w:val="04A0" w:firstRow="1" w:lastRow="0" w:firstColumn="1" w:lastColumn="0" w:noHBand="0" w:noVBand="1"/>
      </w:tblPr>
      <w:tblGrid>
        <w:gridCol w:w="3140"/>
        <w:gridCol w:w="4435"/>
        <w:gridCol w:w="1662"/>
      </w:tblGrid>
      <w:tr w:rsidR="000A79FF" w:rsidRPr="00CA631E" w14:paraId="6612A27D" w14:textId="77777777" w:rsidTr="000A79FF">
        <w:trPr>
          <w:trHeight w:val="250"/>
        </w:trPr>
        <w:tc>
          <w:tcPr>
            <w:tcW w:w="0" w:type="auto"/>
            <w:hideMark/>
          </w:tcPr>
          <w:p w14:paraId="19D15D84" w14:textId="77777777" w:rsidR="000A79FF" w:rsidRPr="00CA631E" w:rsidRDefault="000A79FF" w:rsidP="000A79FF">
            <w:pPr>
              <w:spacing w:line="360" w:lineRule="auto"/>
              <w:jc w:val="center"/>
              <w:rPr>
                <w:rFonts w:ascii="Arial" w:hAnsi="Arial" w:cs="Arial"/>
                <w:b/>
                <w:bCs/>
                <w:sz w:val="24"/>
                <w:szCs w:val="24"/>
              </w:rPr>
            </w:pPr>
            <w:r w:rsidRPr="00CA631E">
              <w:rPr>
                <w:rStyle w:val="Strong"/>
                <w:rFonts w:ascii="Arial" w:hAnsi="Arial" w:cs="Arial"/>
                <w:sz w:val="24"/>
                <w:szCs w:val="24"/>
              </w:rPr>
              <w:t>Criteria</w:t>
            </w:r>
          </w:p>
        </w:tc>
        <w:tc>
          <w:tcPr>
            <w:tcW w:w="0" w:type="auto"/>
            <w:hideMark/>
          </w:tcPr>
          <w:p w14:paraId="0FFD40D6" w14:textId="77777777" w:rsidR="000A79FF" w:rsidRPr="00CA631E" w:rsidRDefault="000A79FF" w:rsidP="000A79FF">
            <w:pPr>
              <w:spacing w:line="360" w:lineRule="auto"/>
              <w:jc w:val="center"/>
              <w:rPr>
                <w:rFonts w:ascii="Arial" w:hAnsi="Arial" w:cs="Arial"/>
                <w:b/>
                <w:bCs/>
                <w:sz w:val="24"/>
                <w:szCs w:val="24"/>
              </w:rPr>
            </w:pPr>
            <w:r w:rsidRPr="00CA631E">
              <w:rPr>
                <w:rStyle w:val="Strong"/>
                <w:rFonts w:ascii="Arial" w:hAnsi="Arial" w:cs="Arial"/>
                <w:sz w:val="24"/>
                <w:szCs w:val="24"/>
              </w:rPr>
              <w:t>Calculation</w:t>
            </w:r>
          </w:p>
        </w:tc>
        <w:tc>
          <w:tcPr>
            <w:tcW w:w="0" w:type="auto"/>
            <w:hideMark/>
          </w:tcPr>
          <w:p w14:paraId="01AD07D8" w14:textId="77777777" w:rsidR="000A79FF" w:rsidRPr="00CA631E" w:rsidRDefault="000A79FF" w:rsidP="000A79FF">
            <w:pPr>
              <w:spacing w:line="360" w:lineRule="auto"/>
              <w:jc w:val="center"/>
              <w:rPr>
                <w:rFonts w:ascii="Arial" w:hAnsi="Arial" w:cs="Arial"/>
                <w:b/>
                <w:bCs/>
                <w:sz w:val="24"/>
                <w:szCs w:val="24"/>
              </w:rPr>
            </w:pPr>
            <w:r w:rsidRPr="00CA631E">
              <w:rPr>
                <w:rStyle w:val="Strong"/>
                <w:rFonts w:ascii="Arial" w:hAnsi="Arial" w:cs="Arial"/>
                <w:sz w:val="24"/>
                <w:szCs w:val="24"/>
              </w:rPr>
              <w:t>Result</w:t>
            </w:r>
          </w:p>
        </w:tc>
      </w:tr>
      <w:tr w:rsidR="000A79FF" w:rsidRPr="00CA631E" w14:paraId="62E0CBD2" w14:textId="77777777" w:rsidTr="000A79FF">
        <w:trPr>
          <w:trHeight w:val="250"/>
        </w:trPr>
        <w:tc>
          <w:tcPr>
            <w:tcW w:w="0" w:type="auto"/>
            <w:hideMark/>
          </w:tcPr>
          <w:p w14:paraId="73F07804"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Initial Investment</w:t>
            </w:r>
          </w:p>
        </w:tc>
        <w:tc>
          <w:tcPr>
            <w:tcW w:w="0" w:type="auto"/>
            <w:hideMark/>
          </w:tcPr>
          <w:p w14:paraId="6B3923CB"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w:t>
            </w:r>
          </w:p>
        </w:tc>
        <w:tc>
          <w:tcPr>
            <w:tcW w:w="0" w:type="auto"/>
            <w:hideMark/>
          </w:tcPr>
          <w:p w14:paraId="0A1F03C8"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£50.00m</w:t>
            </w:r>
          </w:p>
        </w:tc>
      </w:tr>
      <w:tr w:rsidR="000A79FF" w:rsidRPr="00CA631E" w14:paraId="6E77E242" w14:textId="77777777" w:rsidTr="000A79FF">
        <w:trPr>
          <w:trHeight w:val="261"/>
        </w:trPr>
        <w:tc>
          <w:tcPr>
            <w:tcW w:w="0" w:type="auto"/>
            <w:hideMark/>
          </w:tcPr>
          <w:p w14:paraId="64F83205"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Total Cash Inflows</w:t>
            </w:r>
          </w:p>
        </w:tc>
        <w:tc>
          <w:tcPr>
            <w:tcW w:w="0" w:type="auto"/>
            <w:hideMark/>
          </w:tcPr>
          <w:p w14:paraId="20A3D7E3"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10 + 12 + 14 + 10 + 8</w:t>
            </w:r>
          </w:p>
        </w:tc>
        <w:tc>
          <w:tcPr>
            <w:tcW w:w="0" w:type="auto"/>
            <w:hideMark/>
          </w:tcPr>
          <w:p w14:paraId="489DF2C9"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£54.00m</w:t>
            </w:r>
          </w:p>
        </w:tc>
      </w:tr>
      <w:tr w:rsidR="000A79FF" w:rsidRPr="00CA631E" w14:paraId="1D812124" w14:textId="77777777" w:rsidTr="000A79FF">
        <w:trPr>
          <w:trHeight w:val="250"/>
        </w:trPr>
        <w:tc>
          <w:tcPr>
            <w:tcW w:w="0" w:type="auto"/>
            <w:hideMark/>
          </w:tcPr>
          <w:p w14:paraId="082FE4A2"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Payback Period (PBP)</w:t>
            </w:r>
          </w:p>
        </w:tc>
        <w:tc>
          <w:tcPr>
            <w:tcW w:w="0" w:type="auto"/>
            <w:hideMark/>
          </w:tcPr>
          <w:p w14:paraId="3062C8A2"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4 + (4/8)</w:t>
            </w:r>
          </w:p>
        </w:tc>
        <w:tc>
          <w:tcPr>
            <w:tcW w:w="0" w:type="auto"/>
            <w:hideMark/>
          </w:tcPr>
          <w:p w14:paraId="58B7C804"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4.50 years</w:t>
            </w:r>
          </w:p>
        </w:tc>
      </w:tr>
      <w:tr w:rsidR="000A79FF" w:rsidRPr="00CA631E" w14:paraId="449B4295" w14:textId="77777777" w:rsidTr="000A79FF">
        <w:trPr>
          <w:trHeight w:val="250"/>
        </w:trPr>
        <w:tc>
          <w:tcPr>
            <w:tcW w:w="0" w:type="auto"/>
            <w:hideMark/>
          </w:tcPr>
          <w:p w14:paraId="7DE113D4"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Average Annual Profit</w:t>
            </w:r>
          </w:p>
        </w:tc>
        <w:tc>
          <w:tcPr>
            <w:tcW w:w="0" w:type="auto"/>
            <w:hideMark/>
          </w:tcPr>
          <w:p w14:paraId="3EC29D3C"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(54 − 50) ÷ 5</w:t>
            </w:r>
          </w:p>
        </w:tc>
        <w:tc>
          <w:tcPr>
            <w:tcW w:w="0" w:type="auto"/>
            <w:hideMark/>
          </w:tcPr>
          <w:p w14:paraId="4B16CBF5"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£0.80m</w:t>
            </w:r>
          </w:p>
        </w:tc>
      </w:tr>
      <w:tr w:rsidR="000A79FF" w:rsidRPr="00CA631E" w14:paraId="320B7DBB" w14:textId="77777777" w:rsidTr="000A79FF">
        <w:trPr>
          <w:trHeight w:val="250"/>
        </w:trPr>
        <w:tc>
          <w:tcPr>
            <w:tcW w:w="0" w:type="auto"/>
            <w:hideMark/>
          </w:tcPr>
          <w:p w14:paraId="13561A09"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ARR</w:t>
            </w:r>
          </w:p>
        </w:tc>
        <w:tc>
          <w:tcPr>
            <w:tcW w:w="0" w:type="auto"/>
            <w:hideMark/>
          </w:tcPr>
          <w:p w14:paraId="69317ED1"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(0.80 ÷ 25) × 100</w:t>
            </w:r>
          </w:p>
        </w:tc>
        <w:tc>
          <w:tcPr>
            <w:tcW w:w="0" w:type="auto"/>
            <w:hideMark/>
          </w:tcPr>
          <w:p w14:paraId="2ADB16EE"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3.20%</w:t>
            </w:r>
          </w:p>
        </w:tc>
      </w:tr>
      <w:tr w:rsidR="000A79FF" w:rsidRPr="00CA631E" w14:paraId="30F3590E" w14:textId="77777777" w:rsidTr="000A79FF">
        <w:trPr>
          <w:trHeight w:val="250"/>
        </w:trPr>
        <w:tc>
          <w:tcPr>
            <w:tcW w:w="0" w:type="auto"/>
            <w:hideMark/>
          </w:tcPr>
          <w:p w14:paraId="7DE33D88"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NPV @ 8%</w:t>
            </w:r>
          </w:p>
        </w:tc>
        <w:tc>
          <w:tcPr>
            <w:tcW w:w="0" w:type="auto"/>
            <w:hideMark/>
          </w:tcPr>
          <w:p w14:paraId="11BC7901"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PV of inflows − Initial Investment</w:t>
            </w:r>
          </w:p>
        </w:tc>
        <w:tc>
          <w:tcPr>
            <w:tcW w:w="0" w:type="auto"/>
            <w:hideMark/>
          </w:tcPr>
          <w:p w14:paraId="067AD2BD"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−£6.54m</w:t>
            </w:r>
          </w:p>
        </w:tc>
      </w:tr>
      <w:tr w:rsidR="000A79FF" w:rsidRPr="00CA631E" w14:paraId="6EDB042F" w14:textId="77777777" w:rsidTr="000A79FF">
        <w:trPr>
          <w:trHeight w:val="261"/>
        </w:trPr>
        <w:tc>
          <w:tcPr>
            <w:tcW w:w="0" w:type="auto"/>
            <w:hideMark/>
          </w:tcPr>
          <w:p w14:paraId="02AC3100"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Profitability Index (PI)</w:t>
            </w:r>
          </w:p>
        </w:tc>
        <w:tc>
          <w:tcPr>
            <w:tcW w:w="0" w:type="auto"/>
            <w:hideMark/>
          </w:tcPr>
          <w:p w14:paraId="22E08858"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43.46 ÷ 50</w:t>
            </w:r>
          </w:p>
        </w:tc>
        <w:tc>
          <w:tcPr>
            <w:tcW w:w="0" w:type="auto"/>
            <w:hideMark/>
          </w:tcPr>
          <w:p w14:paraId="1ADB6C6B"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0.87</w:t>
            </w:r>
          </w:p>
        </w:tc>
      </w:tr>
      <w:tr w:rsidR="000A79FF" w:rsidRPr="00CA631E" w14:paraId="61E9CAA8" w14:textId="77777777" w:rsidTr="000A79FF">
        <w:trPr>
          <w:trHeight w:val="250"/>
        </w:trPr>
        <w:tc>
          <w:tcPr>
            <w:tcW w:w="0" w:type="auto"/>
            <w:hideMark/>
          </w:tcPr>
          <w:p w14:paraId="633C6B92"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IRR</w:t>
            </w:r>
          </w:p>
        </w:tc>
        <w:tc>
          <w:tcPr>
            <w:tcW w:w="0" w:type="auto"/>
            <w:hideMark/>
          </w:tcPr>
          <w:p w14:paraId="1FF79A7B"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Discount rate where NPV = 0</w:t>
            </w:r>
          </w:p>
        </w:tc>
        <w:tc>
          <w:tcPr>
            <w:tcW w:w="0" w:type="auto"/>
            <w:hideMark/>
          </w:tcPr>
          <w:p w14:paraId="78EE1D5F"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2.72%</w:t>
            </w:r>
          </w:p>
        </w:tc>
      </w:tr>
    </w:tbl>
    <w:p w14:paraId="611086B1" w14:textId="77777777" w:rsidR="00C858E9" w:rsidRPr="00CA631E" w:rsidRDefault="00C858E9">
      <w:pPr>
        <w:rPr>
          <w:rFonts w:ascii="Arial" w:hAnsi="Arial" w:cs="Arial"/>
          <w:b/>
          <w:sz w:val="24"/>
          <w:szCs w:val="24"/>
        </w:rPr>
      </w:pPr>
    </w:p>
    <w:p w14:paraId="520C1136" w14:textId="77777777" w:rsidR="000A79FF" w:rsidRPr="00CA631E" w:rsidRDefault="000A79FF" w:rsidP="000A79FF">
      <w:pPr>
        <w:spacing w:line="360" w:lineRule="auto"/>
        <w:rPr>
          <w:rFonts w:ascii="Arial" w:hAnsi="Arial" w:cs="Arial"/>
          <w:b/>
          <w:sz w:val="24"/>
          <w:szCs w:val="24"/>
        </w:rPr>
      </w:pPr>
      <w:r w:rsidRPr="00CA631E">
        <w:rPr>
          <w:rFonts w:ascii="Arial" w:hAnsi="Arial" w:cs="Arial"/>
          <w:b/>
          <w:sz w:val="24"/>
          <w:szCs w:val="24"/>
        </w:rPr>
        <w:t>Project B</w:t>
      </w:r>
    </w:p>
    <w:tbl>
      <w:tblPr>
        <w:tblStyle w:val="TableGrid"/>
        <w:tblW w:w="9249" w:type="dxa"/>
        <w:tblLook w:val="04A0" w:firstRow="1" w:lastRow="0" w:firstColumn="1" w:lastColumn="0" w:noHBand="0" w:noVBand="1"/>
      </w:tblPr>
      <w:tblGrid>
        <w:gridCol w:w="3144"/>
        <w:gridCol w:w="4441"/>
        <w:gridCol w:w="1664"/>
      </w:tblGrid>
      <w:tr w:rsidR="000A79FF" w:rsidRPr="00CA631E" w14:paraId="3C1ED438" w14:textId="77777777" w:rsidTr="000A79FF">
        <w:trPr>
          <w:trHeight w:val="250"/>
        </w:trPr>
        <w:tc>
          <w:tcPr>
            <w:tcW w:w="0" w:type="auto"/>
            <w:hideMark/>
          </w:tcPr>
          <w:p w14:paraId="33FD2773" w14:textId="77777777" w:rsidR="000A79FF" w:rsidRPr="00CA631E" w:rsidRDefault="000A79FF" w:rsidP="000A79FF">
            <w:pPr>
              <w:spacing w:line="360" w:lineRule="auto"/>
              <w:jc w:val="center"/>
              <w:rPr>
                <w:rFonts w:ascii="Arial" w:hAnsi="Arial" w:cs="Arial"/>
                <w:b/>
                <w:bCs/>
                <w:sz w:val="24"/>
                <w:szCs w:val="24"/>
              </w:rPr>
            </w:pPr>
            <w:r w:rsidRPr="00CA631E">
              <w:rPr>
                <w:rStyle w:val="Strong"/>
                <w:rFonts w:ascii="Arial" w:hAnsi="Arial" w:cs="Arial"/>
                <w:sz w:val="24"/>
                <w:szCs w:val="24"/>
              </w:rPr>
              <w:t>Criteria</w:t>
            </w:r>
          </w:p>
        </w:tc>
        <w:tc>
          <w:tcPr>
            <w:tcW w:w="0" w:type="auto"/>
            <w:hideMark/>
          </w:tcPr>
          <w:p w14:paraId="11DF30A9" w14:textId="77777777" w:rsidR="000A79FF" w:rsidRPr="00CA631E" w:rsidRDefault="000A79FF" w:rsidP="000A79FF">
            <w:pPr>
              <w:spacing w:line="360" w:lineRule="auto"/>
              <w:jc w:val="center"/>
              <w:rPr>
                <w:rFonts w:ascii="Arial" w:hAnsi="Arial" w:cs="Arial"/>
                <w:b/>
                <w:bCs/>
                <w:sz w:val="24"/>
                <w:szCs w:val="24"/>
              </w:rPr>
            </w:pPr>
            <w:r w:rsidRPr="00CA631E">
              <w:rPr>
                <w:rStyle w:val="Strong"/>
                <w:rFonts w:ascii="Arial" w:hAnsi="Arial" w:cs="Arial"/>
                <w:sz w:val="24"/>
                <w:szCs w:val="24"/>
              </w:rPr>
              <w:t>Calculation</w:t>
            </w:r>
          </w:p>
        </w:tc>
        <w:tc>
          <w:tcPr>
            <w:tcW w:w="0" w:type="auto"/>
            <w:hideMark/>
          </w:tcPr>
          <w:p w14:paraId="3A5A7A9E" w14:textId="77777777" w:rsidR="000A79FF" w:rsidRPr="00CA631E" w:rsidRDefault="000A79FF" w:rsidP="000A79FF">
            <w:pPr>
              <w:spacing w:line="360" w:lineRule="auto"/>
              <w:jc w:val="center"/>
              <w:rPr>
                <w:rFonts w:ascii="Arial" w:hAnsi="Arial" w:cs="Arial"/>
                <w:b/>
                <w:bCs/>
                <w:sz w:val="24"/>
                <w:szCs w:val="24"/>
              </w:rPr>
            </w:pPr>
            <w:r w:rsidRPr="00CA631E">
              <w:rPr>
                <w:rStyle w:val="Strong"/>
                <w:rFonts w:ascii="Arial" w:hAnsi="Arial" w:cs="Arial"/>
                <w:sz w:val="24"/>
                <w:szCs w:val="24"/>
              </w:rPr>
              <w:t>Result</w:t>
            </w:r>
          </w:p>
        </w:tc>
      </w:tr>
      <w:tr w:rsidR="000A79FF" w:rsidRPr="00CA631E" w14:paraId="60F2D6C6" w14:textId="77777777" w:rsidTr="000A79FF">
        <w:trPr>
          <w:trHeight w:val="250"/>
        </w:trPr>
        <w:tc>
          <w:tcPr>
            <w:tcW w:w="0" w:type="auto"/>
            <w:hideMark/>
          </w:tcPr>
          <w:p w14:paraId="05C03380"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Initial Investment</w:t>
            </w:r>
          </w:p>
        </w:tc>
        <w:tc>
          <w:tcPr>
            <w:tcW w:w="0" w:type="auto"/>
            <w:hideMark/>
          </w:tcPr>
          <w:p w14:paraId="39847018"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w:t>
            </w:r>
          </w:p>
        </w:tc>
        <w:tc>
          <w:tcPr>
            <w:tcW w:w="0" w:type="auto"/>
            <w:hideMark/>
          </w:tcPr>
          <w:p w14:paraId="28CD2435"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£50.00m</w:t>
            </w:r>
          </w:p>
        </w:tc>
      </w:tr>
      <w:tr w:rsidR="000A79FF" w:rsidRPr="00CA631E" w14:paraId="4DA1B755" w14:textId="77777777" w:rsidTr="000A79FF">
        <w:trPr>
          <w:trHeight w:val="261"/>
        </w:trPr>
        <w:tc>
          <w:tcPr>
            <w:tcW w:w="0" w:type="auto"/>
            <w:hideMark/>
          </w:tcPr>
          <w:p w14:paraId="5F265BBF"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Total Cash Inflows</w:t>
            </w:r>
          </w:p>
        </w:tc>
        <w:tc>
          <w:tcPr>
            <w:tcW w:w="0" w:type="auto"/>
            <w:hideMark/>
          </w:tcPr>
          <w:p w14:paraId="5D9A84DA"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55</w:t>
            </w:r>
          </w:p>
        </w:tc>
        <w:tc>
          <w:tcPr>
            <w:tcW w:w="0" w:type="auto"/>
            <w:hideMark/>
          </w:tcPr>
          <w:p w14:paraId="0BE79091"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£55.00m</w:t>
            </w:r>
          </w:p>
        </w:tc>
      </w:tr>
      <w:tr w:rsidR="000A79FF" w:rsidRPr="00CA631E" w14:paraId="3A15AEF6" w14:textId="77777777" w:rsidTr="000A79FF">
        <w:trPr>
          <w:trHeight w:val="250"/>
        </w:trPr>
        <w:tc>
          <w:tcPr>
            <w:tcW w:w="0" w:type="auto"/>
            <w:hideMark/>
          </w:tcPr>
          <w:p w14:paraId="50031B9C"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Payback Period (PBP)</w:t>
            </w:r>
          </w:p>
        </w:tc>
        <w:tc>
          <w:tcPr>
            <w:tcW w:w="0" w:type="auto"/>
            <w:hideMark/>
          </w:tcPr>
          <w:p w14:paraId="22470072"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4 + (6/11)</w:t>
            </w:r>
          </w:p>
        </w:tc>
        <w:tc>
          <w:tcPr>
            <w:tcW w:w="0" w:type="auto"/>
            <w:hideMark/>
          </w:tcPr>
          <w:p w14:paraId="18E8E7EA"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4.55 years</w:t>
            </w:r>
          </w:p>
        </w:tc>
      </w:tr>
      <w:tr w:rsidR="000A79FF" w:rsidRPr="00CA631E" w14:paraId="64C35317" w14:textId="77777777" w:rsidTr="000A79FF">
        <w:trPr>
          <w:trHeight w:val="250"/>
        </w:trPr>
        <w:tc>
          <w:tcPr>
            <w:tcW w:w="0" w:type="auto"/>
            <w:hideMark/>
          </w:tcPr>
          <w:p w14:paraId="6CE5DA9F"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Average Annual Profit</w:t>
            </w:r>
          </w:p>
        </w:tc>
        <w:tc>
          <w:tcPr>
            <w:tcW w:w="0" w:type="auto"/>
            <w:hideMark/>
          </w:tcPr>
          <w:p w14:paraId="4900FC00"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(55 − 50) ÷ 5</w:t>
            </w:r>
          </w:p>
        </w:tc>
        <w:tc>
          <w:tcPr>
            <w:tcW w:w="0" w:type="auto"/>
            <w:hideMark/>
          </w:tcPr>
          <w:p w14:paraId="45D057C1"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£1.00m</w:t>
            </w:r>
          </w:p>
        </w:tc>
      </w:tr>
      <w:tr w:rsidR="000A79FF" w:rsidRPr="00CA631E" w14:paraId="2E1CFEA3" w14:textId="77777777" w:rsidTr="000A79FF">
        <w:trPr>
          <w:trHeight w:val="250"/>
        </w:trPr>
        <w:tc>
          <w:tcPr>
            <w:tcW w:w="0" w:type="auto"/>
            <w:hideMark/>
          </w:tcPr>
          <w:p w14:paraId="34577A3D"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ARR</w:t>
            </w:r>
          </w:p>
        </w:tc>
        <w:tc>
          <w:tcPr>
            <w:tcW w:w="0" w:type="auto"/>
            <w:hideMark/>
          </w:tcPr>
          <w:p w14:paraId="1AF94AAF"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(1.00 ÷ 25) × 100</w:t>
            </w:r>
          </w:p>
        </w:tc>
        <w:tc>
          <w:tcPr>
            <w:tcW w:w="0" w:type="auto"/>
            <w:hideMark/>
          </w:tcPr>
          <w:p w14:paraId="68B2CADA"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4.00%</w:t>
            </w:r>
          </w:p>
        </w:tc>
      </w:tr>
      <w:tr w:rsidR="000A79FF" w:rsidRPr="00CA631E" w14:paraId="4C6A8D47" w14:textId="77777777" w:rsidTr="000A79FF">
        <w:trPr>
          <w:trHeight w:val="250"/>
        </w:trPr>
        <w:tc>
          <w:tcPr>
            <w:tcW w:w="0" w:type="auto"/>
            <w:hideMark/>
          </w:tcPr>
          <w:p w14:paraId="29618D35"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NPV @ 8%</w:t>
            </w:r>
          </w:p>
        </w:tc>
        <w:tc>
          <w:tcPr>
            <w:tcW w:w="0" w:type="auto"/>
            <w:hideMark/>
          </w:tcPr>
          <w:p w14:paraId="1E72E380"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PV of inflows − Initial Investment</w:t>
            </w:r>
          </w:p>
        </w:tc>
        <w:tc>
          <w:tcPr>
            <w:tcW w:w="0" w:type="auto"/>
            <w:hideMark/>
          </w:tcPr>
          <w:p w14:paraId="388E76A6"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−£6.08m</w:t>
            </w:r>
          </w:p>
        </w:tc>
      </w:tr>
      <w:tr w:rsidR="000A79FF" w:rsidRPr="00CA631E" w14:paraId="34976B67" w14:textId="77777777" w:rsidTr="000A79FF">
        <w:trPr>
          <w:trHeight w:val="261"/>
        </w:trPr>
        <w:tc>
          <w:tcPr>
            <w:tcW w:w="0" w:type="auto"/>
            <w:hideMark/>
          </w:tcPr>
          <w:p w14:paraId="2EBAC7DE"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Profitability Index (PI)</w:t>
            </w:r>
          </w:p>
        </w:tc>
        <w:tc>
          <w:tcPr>
            <w:tcW w:w="0" w:type="auto"/>
            <w:hideMark/>
          </w:tcPr>
          <w:p w14:paraId="4E9258C7"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43.92 ÷ 50</w:t>
            </w:r>
          </w:p>
        </w:tc>
        <w:tc>
          <w:tcPr>
            <w:tcW w:w="0" w:type="auto"/>
            <w:hideMark/>
          </w:tcPr>
          <w:p w14:paraId="5F64AEEC"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0.88</w:t>
            </w:r>
          </w:p>
        </w:tc>
      </w:tr>
      <w:tr w:rsidR="000A79FF" w:rsidRPr="00CA631E" w14:paraId="00B28303" w14:textId="77777777" w:rsidTr="000A79FF">
        <w:trPr>
          <w:trHeight w:val="250"/>
        </w:trPr>
        <w:tc>
          <w:tcPr>
            <w:tcW w:w="0" w:type="auto"/>
            <w:hideMark/>
          </w:tcPr>
          <w:p w14:paraId="300015D3"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lastRenderedPageBreak/>
              <w:t>IRR</w:t>
            </w:r>
          </w:p>
        </w:tc>
        <w:tc>
          <w:tcPr>
            <w:tcW w:w="0" w:type="auto"/>
            <w:hideMark/>
          </w:tcPr>
          <w:p w14:paraId="0E521D77"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Discount rate where NPV = 0</w:t>
            </w:r>
          </w:p>
        </w:tc>
        <w:tc>
          <w:tcPr>
            <w:tcW w:w="0" w:type="auto"/>
            <w:hideMark/>
          </w:tcPr>
          <w:p w14:paraId="7F412196"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3.26%</w:t>
            </w:r>
          </w:p>
        </w:tc>
      </w:tr>
    </w:tbl>
    <w:p w14:paraId="5B58C5F5" w14:textId="77777777" w:rsidR="000A79FF" w:rsidRPr="00CA631E" w:rsidRDefault="000A79FF" w:rsidP="000A79FF">
      <w:pPr>
        <w:spacing w:line="360" w:lineRule="auto"/>
        <w:rPr>
          <w:rFonts w:ascii="Arial" w:hAnsi="Arial" w:cs="Arial"/>
          <w:sz w:val="24"/>
          <w:szCs w:val="24"/>
        </w:rPr>
      </w:pPr>
    </w:p>
    <w:p w14:paraId="77AF26DC" w14:textId="77777777" w:rsidR="000A79FF" w:rsidRPr="00CA631E" w:rsidRDefault="000A79FF" w:rsidP="000A79FF">
      <w:pPr>
        <w:spacing w:line="360" w:lineRule="auto"/>
        <w:rPr>
          <w:rFonts w:ascii="Arial" w:hAnsi="Arial" w:cs="Arial"/>
          <w:b/>
          <w:sz w:val="24"/>
          <w:szCs w:val="24"/>
        </w:rPr>
      </w:pPr>
      <w:r w:rsidRPr="00CA631E">
        <w:rPr>
          <w:rFonts w:ascii="Arial" w:hAnsi="Arial" w:cs="Arial"/>
          <w:b/>
          <w:sz w:val="24"/>
          <w:szCs w:val="24"/>
        </w:rPr>
        <w:t>Project C</w:t>
      </w:r>
    </w:p>
    <w:tbl>
      <w:tblPr>
        <w:tblStyle w:val="TableGrid"/>
        <w:tblW w:w="9209" w:type="dxa"/>
        <w:tblLook w:val="04A0" w:firstRow="1" w:lastRow="0" w:firstColumn="1" w:lastColumn="0" w:noHBand="0" w:noVBand="1"/>
      </w:tblPr>
      <w:tblGrid>
        <w:gridCol w:w="2175"/>
        <w:gridCol w:w="5475"/>
        <w:gridCol w:w="1559"/>
      </w:tblGrid>
      <w:tr w:rsidR="000A79FF" w:rsidRPr="00CA631E" w14:paraId="452DF8B8" w14:textId="77777777" w:rsidTr="000A79FF">
        <w:tc>
          <w:tcPr>
            <w:tcW w:w="0" w:type="auto"/>
            <w:hideMark/>
          </w:tcPr>
          <w:p w14:paraId="1572CFF1" w14:textId="77777777" w:rsidR="000A79FF" w:rsidRPr="00CA631E" w:rsidRDefault="000A79FF" w:rsidP="000A79FF">
            <w:pPr>
              <w:spacing w:line="360" w:lineRule="auto"/>
              <w:jc w:val="center"/>
              <w:rPr>
                <w:rFonts w:ascii="Arial" w:hAnsi="Arial" w:cs="Arial"/>
                <w:b/>
                <w:bCs/>
                <w:sz w:val="24"/>
                <w:szCs w:val="24"/>
              </w:rPr>
            </w:pPr>
            <w:r w:rsidRPr="00CA631E">
              <w:rPr>
                <w:rStyle w:val="Strong"/>
                <w:rFonts w:ascii="Arial" w:hAnsi="Arial" w:cs="Arial"/>
                <w:sz w:val="24"/>
                <w:szCs w:val="24"/>
              </w:rPr>
              <w:t>Criteria</w:t>
            </w:r>
          </w:p>
        </w:tc>
        <w:tc>
          <w:tcPr>
            <w:tcW w:w="5475" w:type="dxa"/>
            <w:hideMark/>
          </w:tcPr>
          <w:p w14:paraId="70A01A81" w14:textId="77777777" w:rsidR="000A79FF" w:rsidRPr="00CA631E" w:rsidRDefault="000A79FF" w:rsidP="000A79FF">
            <w:pPr>
              <w:spacing w:line="360" w:lineRule="auto"/>
              <w:jc w:val="center"/>
              <w:rPr>
                <w:rFonts w:ascii="Arial" w:hAnsi="Arial" w:cs="Arial"/>
                <w:b/>
                <w:bCs/>
                <w:sz w:val="24"/>
                <w:szCs w:val="24"/>
              </w:rPr>
            </w:pPr>
            <w:r w:rsidRPr="00CA631E">
              <w:rPr>
                <w:rStyle w:val="Strong"/>
                <w:rFonts w:ascii="Arial" w:hAnsi="Arial" w:cs="Arial"/>
                <w:sz w:val="24"/>
                <w:szCs w:val="24"/>
              </w:rPr>
              <w:t>Calculation</w:t>
            </w:r>
          </w:p>
        </w:tc>
        <w:tc>
          <w:tcPr>
            <w:tcW w:w="1559" w:type="dxa"/>
            <w:hideMark/>
          </w:tcPr>
          <w:p w14:paraId="4925AB6B" w14:textId="77777777" w:rsidR="000A79FF" w:rsidRPr="00CA631E" w:rsidRDefault="000A79FF" w:rsidP="000A79FF">
            <w:pPr>
              <w:spacing w:line="360" w:lineRule="auto"/>
              <w:jc w:val="center"/>
              <w:rPr>
                <w:rFonts w:ascii="Arial" w:hAnsi="Arial" w:cs="Arial"/>
                <w:b/>
                <w:bCs/>
                <w:sz w:val="24"/>
                <w:szCs w:val="24"/>
              </w:rPr>
            </w:pPr>
            <w:r w:rsidRPr="00CA631E">
              <w:rPr>
                <w:rStyle w:val="Strong"/>
                <w:rFonts w:ascii="Arial" w:hAnsi="Arial" w:cs="Arial"/>
                <w:sz w:val="24"/>
                <w:szCs w:val="24"/>
              </w:rPr>
              <w:t>Result</w:t>
            </w:r>
          </w:p>
        </w:tc>
      </w:tr>
      <w:tr w:rsidR="000A79FF" w:rsidRPr="00CA631E" w14:paraId="23EEFA02" w14:textId="77777777" w:rsidTr="000A79FF">
        <w:tc>
          <w:tcPr>
            <w:tcW w:w="0" w:type="auto"/>
            <w:hideMark/>
          </w:tcPr>
          <w:p w14:paraId="0FAB8450"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Initial Investment</w:t>
            </w:r>
          </w:p>
        </w:tc>
        <w:tc>
          <w:tcPr>
            <w:tcW w:w="5475" w:type="dxa"/>
            <w:hideMark/>
          </w:tcPr>
          <w:p w14:paraId="41FF9FE5"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w:t>
            </w:r>
          </w:p>
        </w:tc>
        <w:tc>
          <w:tcPr>
            <w:tcW w:w="1559" w:type="dxa"/>
            <w:hideMark/>
          </w:tcPr>
          <w:p w14:paraId="06A5DBD4"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£50.00m</w:t>
            </w:r>
          </w:p>
        </w:tc>
      </w:tr>
      <w:tr w:rsidR="000A79FF" w:rsidRPr="00CA631E" w14:paraId="7825B025" w14:textId="77777777" w:rsidTr="000A79FF">
        <w:tc>
          <w:tcPr>
            <w:tcW w:w="0" w:type="auto"/>
            <w:hideMark/>
          </w:tcPr>
          <w:p w14:paraId="21F9D5BA"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Total Cash Inflows</w:t>
            </w:r>
          </w:p>
        </w:tc>
        <w:tc>
          <w:tcPr>
            <w:tcW w:w="5475" w:type="dxa"/>
            <w:hideMark/>
          </w:tcPr>
          <w:p w14:paraId="0889007D"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65</w:t>
            </w:r>
          </w:p>
        </w:tc>
        <w:tc>
          <w:tcPr>
            <w:tcW w:w="1559" w:type="dxa"/>
            <w:hideMark/>
          </w:tcPr>
          <w:p w14:paraId="0AE46C91"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£65.00m</w:t>
            </w:r>
          </w:p>
        </w:tc>
      </w:tr>
      <w:tr w:rsidR="000A79FF" w:rsidRPr="00CA631E" w14:paraId="4DBA0AD7" w14:textId="77777777" w:rsidTr="000A79FF">
        <w:tc>
          <w:tcPr>
            <w:tcW w:w="0" w:type="auto"/>
            <w:hideMark/>
          </w:tcPr>
          <w:p w14:paraId="58E3617E"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Payback Period (PBP)</w:t>
            </w:r>
          </w:p>
        </w:tc>
        <w:tc>
          <w:tcPr>
            <w:tcW w:w="5475" w:type="dxa"/>
            <w:hideMark/>
          </w:tcPr>
          <w:p w14:paraId="262007E6"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3 + (15/25)</w:t>
            </w:r>
          </w:p>
        </w:tc>
        <w:tc>
          <w:tcPr>
            <w:tcW w:w="1559" w:type="dxa"/>
            <w:hideMark/>
          </w:tcPr>
          <w:p w14:paraId="35DBD653"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3.60 years</w:t>
            </w:r>
          </w:p>
        </w:tc>
      </w:tr>
      <w:tr w:rsidR="000A79FF" w:rsidRPr="00CA631E" w14:paraId="390EDF08" w14:textId="77777777" w:rsidTr="000A79FF">
        <w:tc>
          <w:tcPr>
            <w:tcW w:w="0" w:type="auto"/>
            <w:hideMark/>
          </w:tcPr>
          <w:p w14:paraId="753EA807"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Average Annual Profit</w:t>
            </w:r>
          </w:p>
        </w:tc>
        <w:tc>
          <w:tcPr>
            <w:tcW w:w="5475" w:type="dxa"/>
            <w:hideMark/>
          </w:tcPr>
          <w:p w14:paraId="7FC11125"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(65 − 50) ÷ 5</w:t>
            </w:r>
          </w:p>
        </w:tc>
        <w:tc>
          <w:tcPr>
            <w:tcW w:w="1559" w:type="dxa"/>
            <w:hideMark/>
          </w:tcPr>
          <w:p w14:paraId="2CBBBB58"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£3.00m</w:t>
            </w:r>
          </w:p>
        </w:tc>
      </w:tr>
      <w:tr w:rsidR="000A79FF" w:rsidRPr="00CA631E" w14:paraId="3CE751C3" w14:textId="77777777" w:rsidTr="000A79FF">
        <w:tc>
          <w:tcPr>
            <w:tcW w:w="0" w:type="auto"/>
            <w:hideMark/>
          </w:tcPr>
          <w:p w14:paraId="0A8F1B5D"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ARR</w:t>
            </w:r>
          </w:p>
        </w:tc>
        <w:tc>
          <w:tcPr>
            <w:tcW w:w="5475" w:type="dxa"/>
            <w:hideMark/>
          </w:tcPr>
          <w:p w14:paraId="2F197004"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(3.00 ÷ 25) × 100</w:t>
            </w:r>
          </w:p>
        </w:tc>
        <w:tc>
          <w:tcPr>
            <w:tcW w:w="1559" w:type="dxa"/>
            <w:hideMark/>
          </w:tcPr>
          <w:p w14:paraId="7DEB09E3"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12.00%</w:t>
            </w:r>
          </w:p>
        </w:tc>
      </w:tr>
      <w:tr w:rsidR="000A79FF" w:rsidRPr="00CA631E" w14:paraId="49D26C5B" w14:textId="77777777" w:rsidTr="000A79FF">
        <w:tc>
          <w:tcPr>
            <w:tcW w:w="0" w:type="auto"/>
            <w:hideMark/>
          </w:tcPr>
          <w:p w14:paraId="113868E7"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NPV @ 8%</w:t>
            </w:r>
          </w:p>
        </w:tc>
        <w:tc>
          <w:tcPr>
            <w:tcW w:w="5475" w:type="dxa"/>
            <w:hideMark/>
          </w:tcPr>
          <w:p w14:paraId="3C1D2F33"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PV of inflows − Initial Investment</w:t>
            </w:r>
          </w:p>
        </w:tc>
        <w:tc>
          <w:tcPr>
            <w:tcW w:w="1559" w:type="dxa"/>
            <w:hideMark/>
          </w:tcPr>
          <w:p w14:paraId="46A883BB"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£0.86m</w:t>
            </w:r>
          </w:p>
        </w:tc>
      </w:tr>
      <w:tr w:rsidR="000A79FF" w:rsidRPr="00CA631E" w14:paraId="455C000E" w14:textId="77777777" w:rsidTr="000A79FF">
        <w:tc>
          <w:tcPr>
            <w:tcW w:w="0" w:type="auto"/>
            <w:hideMark/>
          </w:tcPr>
          <w:p w14:paraId="2893CD94"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Profitability Index (PI)</w:t>
            </w:r>
          </w:p>
        </w:tc>
        <w:tc>
          <w:tcPr>
            <w:tcW w:w="5475" w:type="dxa"/>
            <w:hideMark/>
          </w:tcPr>
          <w:p w14:paraId="49427D88"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50.86 ÷ 50</w:t>
            </w:r>
          </w:p>
        </w:tc>
        <w:tc>
          <w:tcPr>
            <w:tcW w:w="1559" w:type="dxa"/>
            <w:hideMark/>
          </w:tcPr>
          <w:p w14:paraId="16D6B149"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1.02</w:t>
            </w:r>
          </w:p>
        </w:tc>
      </w:tr>
      <w:tr w:rsidR="000A79FF" w:rsidRPr="00CA631E" w14:paraId="7A0980CA" w14:textId="77777777" w:rsidTr="000A79FF">
        <w:tc>
          <w:tcPr>
            <w:tcW w:w="0" w:type="auto"/>
            <w:hideMark/>
          </w:tcPr>
          <w:p w14:paraId="757AFE50"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IRR</w:t>
            </w:r>
          </w:p>
        </w:tc>
        <w:tc>
          <w:tcPr>
            <w:tcW w:w="5475" w:type="dxa"/>
            <w:hideMark/>
          </w:tcPr>
          <w:p w14:paraId="0A7B2C1E" w14:textId="77777777" w:rsidR="000A79FF" w:rsidRPr="00CA631E" w:rsidRDefault="000A79FF" w:rsidP="000A79FF">
            <w:pPr>
              <w:spacing w:line="360" w:lineRule="auto"/>
              <w:rPr>
                <w:rFonts w:ascii="Arial" w:hAnsi="Arial" w:cs="Arial"/>
                <w:sz w:val="24"/>
                <w:szCs w:val="24"/>
              </w:rPr>
            </w:pPr>
            <w:r w:rsidRPr="00CA631E">
              <w:rPr>
                <w:rFonts w:ascii="Arial" w:hAnsi="Arial" w:cs="Arial"/>
                <w:sz w:val="24"/>
                <w:szCs w:val="24"/>
              </w:rPr>
              <w:t>Discount rate where NPV = 0</w:t>
            </w:r>
          </w:p>
        </w:tc>
        <w:tc>
          <w:tcPr>
            <w:tcW w:w="1559" w:type="dxa"/>
            <w:hideMark/>
          </w:tcPr>
          <w:p w14:paraId="3258217D" w14:textId="77777777" w:rsidR="000A79FF" w:rsidRPr="00CA631E" w:rsidRDefault="000A79FF" w:rsidP="000A79FF">
            <w:pPr>
              <w:spacing w:line="360" w:lineRule="auto"/>
              <w:rPr>
                <w:rFonts w:ascii="Arial" w:hAnsi="Arial" w:cs="Arial"/>
                <w:sz w:val="24"/>
                <w:szCs w:val="24"/>
              </w:rPr>
            </w:pPr>
            <w:r w:rsidRPr="00CA631E">
              <w:rPr>
                <w:rStyle w:val="Strong"/>
                <w:rFonts w:ascii="Arial" w:hAnsi="Arial" w:cs="Arial"/>
                <w:sz w:val="24"/>
                <w:szCs w:val="24"/>
              </w:rPr>
              <w:t>8.59%</w:t>
            </w:r>
          </w:p>
        </w:tc>
      </w:tr>
    </w:tbl>
    <w:p w14:paraId="599EB10E" w14:textId="77777777" w:rsidR="000A79FF" w:rsidRPr="00CA631E" w:rsidRDefault="000A79FF" w:rsidP="000A79FF">
      <w:pPr>
        <w:spacing w:line="360" w:lineRule="auto"/>
        <w:rPr>
          <w:rFonts w:ascii="Arial" w:hAnsi="Arial" w:cs="Arial"/>
          <w:sz w:val="24"/>
          <w:szCs w:val="24"/>
        </w:rPr>
      </w:pPr>
    </w:p>
    <w:p w14:paraId="37FB40AD" w14:textId="77777777" w:rsidR="00C858E9" w:rsidRPr="00CA631E" w:rsidRDefault="00CA631E" w:rsidP="00CA631E">
      <w:pPr>
        <w:pStyle w:val="Heading2"/>
        <w:spacing w:line="360" w:lineRule="auto"/>
        <w:jc w:val="both"/>
        <w:rPr>
          <w:rFonts w:ascii="Arial" w:hAnsi="Arial" w:cs="Arial"/>
          <w:b/>
          <w:color w:val="auto"/>
          <w:sz w:val="24"/>
          <w:szCs w:val="24"/>
        </w:rPr>
      </w:pPr>
      <w:bookmarkStart w:id="81" w:name="_Toc236846854"/>
      <w:r w:rsidRPr="00CA631E">
        <w:rPr>
          <w:rFonts w:ascii="Arial" w:hAnsi="Arial" w:cs="Arial"/>
          <w:b/>
          <w:color w:val="auto"/>
          <w:sz w:val="24"/>
          <w:szCs w:val="24"/>
        </w:rPr>
        <w:t>c. Annual Reports</w:t>
      </w:r>
      <w:bookmarkEnd w:id="81"/>
    </w:p>
    <w:p w14:paraId="3CECF77A" w14:textId="77777777" w:rsidR="00CA631E" w:rsidRDefault="00CA631E" w:rsidP="000A79FF">
      <w:pPr>
        <w:spacing w:line="360" w:lineRule="auto"/>
        <w:rPr>
          <w:rFonts w:ascii="Arial" w:hAnsi="Arial" w:cs="Arial"/>
          <w:b/>
          <w:sz w:val="24"/>
          <w:szCs w:val="24"/>
        </w:rPr>
      </w:pPr>
      <w:r>
        <w:rPr>
          <w:rFonts w:ascii="Arial" w:hAnsi="Arial" w:cs="Arial"/>
          <w:b/>
          <w:sz w:val="24"/>
          <w:szCs w:val="24"/>
        </w:rPr>
        <w:t>2021</w:t>
      </w:r>
    </w:p>
    <w:p w14:paraId="69DED9DC" w14:textId="77777777" w:rsidR="00CA631E" w:rsidRDefault="00CA631E" w:rsidP="000A79FF">
      <w:pPr>
        <w:spacing w:line="360" w:lineRule="auto"/>
        <w:rPr>
          <w:rFonts w:ascii="Arial" w:hAnsi="Arial" w:cs="Arial"/>
          <w:b/>
          <w:sz w:val="24"/>
          <w:szCs w:val="24"/>
        </w:rPr>
      </w:pPr>
      <w:r w:rsidRPr="00CA631E">
        <w:rPr>
          <w:rFonts w:ascii="Arial" w:hAnsi="Arial" w:cs="Arial"/>
          <w:b/>
          <w:noProof/>
          <w:sz w:val="24"/>
          <w:szCs w:val="24"/>
        </w:rPr>
        <w:lastRenderedPageBreak/>
        <w:drawing>
          <wp:inline distT="0" distB="0" distL="0" distR="0" wp14:anchorId="124789BC" wp14:editId="3C4A50F6">
            <wp:extent cx="5731510" cy="475043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4750435"/>
                    </a:xfrm>
                    <a:prstGeom prst="rect">
                      <a:avLst/>
                    </a:prstGeom>
                  </pic:spPr>
                </pic:pic>
              </a:graphicData>
            </a:graphic>
          </wp:inline>
        </w:drawing>
      </w:r>
    </w:p>
    <w:p w14:paraId="2558C542" w14:textId="77777777" w:rsidR="00CA631E" w:rsidRDefault="00CA631E" w:rsidP="000A79FF">
      <w:pPr>
        <w:spacing w:line="360" w:lineRule="auto"/>
        <w:rPr>
          <w:rFonts w:ascii="Arial" w:hAnsi="Arial" w:cs="Arial"/>
          <w:b/>
          <w:sz w:val="24"/>
          <w:szCs w:val="24"/>
        </w:rPr>
      </w:pPr>
      <w:r w:rsidRPr="00CA631E">
        <w:rPr>
          <w:rFonts w:ascii="Arial" w:hAnsi="Arial" w:cs="Arial"/>
          <w:b/>
          <w:noProof/>
          <w:sz w:val="24"/>
          <w:szCs w:val="24"/>
        </w:rPr>
        <w:drawing>
          <wp:inline distT="0" distB="0" distL="0" distR="0" wp14:anchorId="7A45F1CA" wp14:editId="453002D5">
            <wp:extent cx="5731510" cy="2147570"/>
            <wp:effectExtent l="0" t="0" r="2540" b="50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2147570"/>
                    </a:xfrm>
                    <a:prstGeom prst="rect">
                      <a:avLst/>
                    </a:prstGeom>
                  </pic:spPr>
                </pic:pic>
              </a:graphicData>
            </a:graphic>
          </wp:inline>
        </w:drawing>
      </w:r>
    </w:p>
    <w:p w14:paraId="599443E0" w14:textId="77777777" w:rsidR="00CA631E" w:rsidRDefault="00CA631E" w:rsidP="000A79FF">
      <w:pPr>
        <w:spacing w:line="360" w:lineRule="auto"/>
        <w:rPr>
          <w:rFonts w:ascii="Arial" w:hAnsi="Arial" w:cs="Arial"/>
          <w:b/>
          <w:sz w:val="24"/>
          <w:szCs w:val="24"/>
        </w:rPr>
      </w:pPr>
      <w:r w:rsidRPr="00CA631E">
        <w:rPr>
          <w:rFonts w:ascii="Arial" w:hAnsi="Arial" w:cs="Arial"/>
          <w:b/>
          <w:noProof/>
          <w:sz w:val="24"/>
          <w:szCs w:val="24"/>
        </w:rPr>
        <w:lastRenderedPageBreak/>
        <w:drawing>
          <wp:inline distT="0" distB="0" distL="0" distR="0" wp14:anchorId="12BD76F1" wp14:editId="019E4816">
            <wp:extent cx="5731510" cy="3286760"/>
            <wp:effectExtent l="0" t="0" r="2540" b="889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3286760"/>
                    </a:xfrm>
                    <a:prstGeom prst="rect">
                      <a:avLst/>
                    </a:prstGeom>
                  </pic:spPr>
                </pic:pic>
              </a:graphicData>
            </a:graphic>
          </wp:inline>
        </w:drawing>
      </w:r>
    </w:p>
    <w:p w14:paraId="27FCCC7B" w14:textId="77777777" w:rsidR="00CA631E" w:rsidRDefault="00CA631E" w:rsidP="000A79FF">
      <w:pPr>
        <w:spacing w:line="360" w:lineRule="auto"/>
        <w:rPr>
          <w:rFonts w:ascii="Arial" w:hAnsi="Arial" w:cs="Arial"/>
          <w:b/>
          <w:sz w:val="24"/>
          <w:szCs w:val="24"/>
        </w:rPr>
      </w:pPr>
      <w:r w:rsidRPr="00CA631E">
        <w:rPr>
          <w:rFonts w:ascii="Arial" w:hAnsi="Arial" w:cs="Arial"/>
          <w:b/>
          <w:noProof/>
          <w:sz w:val="24"/>
          <w:szCs w:val="24"/>
        </w:rPr>
        <w:drawing>
          <wp:inline distT="0" distB="0" distL="0" distR="0" wp14:anchorId="1B0A5D85" wp14:editId="45A587A3">
            <wp:extent cx="5464013" cy="3109229"/>
            <wp:effectExtent l="0" t="0" r="381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464013" cy="3109229"/>
                    </a:xfrm>
                    <a:prstGeom prst="rect">
                      <a:avLst/>
                    </a:prstGeom>
                  </pic:spPr>
                </pic:pic>
              </a:graphicData>
            </a:graphic>
          </wp:inline>
        </w:drawing>
      </w:r>
    </w:p>
    <w:p w14:paraId="283D57F0" w14:textId="77777777" w:rsidR="00CA631E" w:rsidRDefault="00CA631E" w:rsidP="000A79FF">
      <w:pPr>
        <w:spacing w:line="360" w:lineRule="auto"/>
        <w:rPr>
          <w:rFonts w:ascii="Arial" w:hAnsi="Arial" w:cs="Arial"/>
          <w:b/>
          <w:sz w:val="24"/>
          <w:szCs w:val="24"/>
        </w:rPr>
      </w:pPr>
      <w:r>
        <w:rPr>
          <w:rFonts w:ascii="Arial" w:hAnsi="Arial" w:cs="Arial"/>
          <w:b/>
          <w:sz w:val="24"/>
          <w:szCs w:val="24"/>
        </w:rPr>
        <w:lastRenderedPageBreak/>
        <w:t>2022</w:t>
      </w:r>
      <w:r w:rsidRPr="00CA631E">
        <w:rPr>
          <w:rFonts w:ascii="Arial" w:hAnsi="Arial" w:cs="Arial"/>
          <w:b/>
          <w:noProof/>
          <w:sz w:val="24"/>
          <w:szCs w:val="24"/>
        </w:rPr>
        <w:drawing>
          <wp:inline distT="0" distB="0" distL="0" distR="0" wp14:anchorId="0ACB6DD7" wp14:editId="18F12576">
            <wp:extent cx="5731510" cy="509333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5093335"/>
                    </a:xfrm>
                    <a:prstGeom prst="rect">
                      <a:avLst/>
                    </a:prstGeom>
                  </pic:spPr>
                </pic:pic>
              </a:graphicData>
            </a:graphic>
          </wp:inline>
        </w:drawing>
      </w:r>
    </w:p>
    <w:p w14:paraId="54635014" w14:textId="77777777" w:rsidR="00CA631E" w:rsidRDefault="00CA631E" w:rsidP="000A79FF">
      <w:pPr>
        <w:spacing w:line="360" w:lineRule="auto"/>
        <w:rPr>
          <w:rFonts w:ascii="Arial" w:hAnsi="Arial" w:cs="Arial"/>
          <w:b/>
          <w:sz w:val="24"/>
          <w:szCs w:val="24"/>
        </w:rPr>
      </w:pPr>
      <w:r w:rsidRPr="00CA631E">
        <w:rPr>
          <w:rFonts w:ascii="Arial" w:hAnsi="Arial" w:cs="Arial"/>
          <w:b/>
          <w:noProof/>
          <w:sz w:val="24"/>
          <w:szCs w:val="24"/>
        </w:rPr>
        <w:lastRenderedPageBreak/>
        <w:drawing>
          <wp:inline distT="0" distB="0" distL="0" distR="0" wp14:anchorId="4108827A" wp14:editId="2ED76305">
            <wp:extent cx="5731510" cy="4144645"/>
            <wp:effectExtent l="0" t="0" r="2540" b="82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4144645"/>
                    </a:xfrm>
                    <a:prstGeom prst="rect">
                      <a:avLst/>
                    </a:prstGeom>
                  </pic:spPr>
                </pic:pic>
              </a:graphicData>
            </a:graphic>
          </wp:inline>
        </w:drawing>
      </w:r>
    </w:p>
    <w:p w14:paraId="0103EA75" w14:textId="77777777" w:rsidR="00CA631E" w:rsidRDefault="00CA631E" w:rsidP="000A79FF">
      <w:pPr>
        <w:spacing w:line="360" w:lineRule="auto"/>
        <w:rPr>
          <w:rFonts w:ascii="Arial" w:hAnsi="Arial" w:cs="Arial"/>
          <w:b/>
          <w:sz w:val="24"/>
          <w:szCs w:val="24"/>
        </w:rPr>
      </w:pPr>
      <w:r w:rsidRPr="00CA631E">
        <w:rPr>
          <w:rFonts w:ascii="Arial" w:hAnsi="Arial" w:cs="Arial"/>
          <w:b/>
          <w:noProof/>
          <w:sz w:val="24"/>
          <w:szCs w:val="24"/>
        </w:rPr>
        <w:drawing>
          <wp:inline distT="0" distB="0" distL="0" distR="0" wp14:anchorId="4087CED8" wp14:editId="48C92956">
            <wp:extent cx="5731510" cy="3249295"/>
            <wp:effectExtent l="0" t="0" r="2540" b="825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3249295"/>
                    </a:xfrm>
                    <a:prstGeom prst="rect">
                      <a:avLst/>
                    </a:prstGeom>
                  </pic:spPr>
                </pic:pic>
              </a:graphicData>
            </a:graphic>
          </wp:inline>
        </w:drawing>
      </w:r>
    </w:p>
    <w:p w14:paraId="0E464028" w14:textId="77777777" w:rsidR="00CA631E" w:rsidRDefault="00CA631E" w:rsidP="000A79FF">
      <w:pPr>
        <w:spacing w:line="360" w:lineRule="auto"/>
        <w:rPr>
          <w:rFonts w:ascii="Arial" w:hAnsi="Arial" w:cs="Arial"/>
          <w:b/>
          <w:sz w:val="24"/>
          <w:szCs w:val="24"/>
        </w:rPr>
      </w:pPr>
    </w:p>
    <w:p w14:paraId="3817F41B" w14:textId="77777777" w:rsidR="00CA631E" w:rsidRDefault="00CA631E" w:rsidP="000A79FF">
      <w:pPr>
        <w:spacing w:line="360" w:lineRule="auto"/>
        <w:rPr>
          <w:rFonts w:ascii="Arial" w:hAnsi="Arial" w:cs="Arial"/>
          <w:b/>
          <w:sz w:val="24"/>
          <w:szCs w:val="24"/>
        </w:rPr>
      </w:pPr>
      <w:r>
        <w:rPr>
          <w:rFonts w:ascii="Arial" w:hAnsi="Arial" w:cs="Arial"/>
          <w:b/>
          <w:sz w:val="24"/>
          <w:szCs w:val="24"/>
        </w:rPr>
        <w:t>2023</w:t>
      </w:r>
    </w:p>
    <w:p w14:paraId="09FC9048" w14:textId="77777777" w:rsidR="00CA631E" w:rsidRDefault="00CA631E" w:rsidP="000A79FF">
      <w:pPr>
        <w:spacing w:line="360" w:lineRule="auto"/>
        <w:rPr>
          <w:rFonts w:ascii="Arial" w:hAnsi="Arial" w:cs="Arial"/>
          <w:b/>
          <w:sz w:val="24"/>
          <w:szCs w:val="24"/>
        </w:rPr>
      </w:pPr>
      <w:r w:rsidRPr="00CA631E">
        <w:rPr>
          <w:rFonts w:ascii="Arial" w:hAnsi="Arial" w:cs="Arial"/>
          <w:b/>
          <w:noProof/>
          <w:sz w:val="24"/>
          <w:szCs w:val="24"/>
        </w:rPr>
        <w:lastRenderedPageBreak/>
        <w:drawing>
          <wp:inline distT="0" distB="0" distL="0" distR="0" wp14:anchorId="27080381" wp14:editId="089E2288">
            <wp:extent cx="5334462" cy="484674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334462" cy="4846740"/>
                    </a:xfrm>
                    <a:prstGeom prst="rect">
                      <a:avLst/>
                    </a:prstGeom>
                  </pic:spPr>
                </pic:pic>
              </a:graphicData>
            </a:graphic>
          </wp:inline>
        </w:drawing>
      </w:r>
    </w:p>
    <w:p w14:paraId="3937DB7F" w14:textId="77777777" w:rsidR="00CA631E" w:rsidRDefault="00CA631E" w:rsidP="000A79FF">
      <w:pPr>
        <w:spacing w:line="360" w:lineRule="auto"/>
        <w:rPr>
          <w:rFonts w:ascii="Arial" w:hAnsi="Arial" w:cs="Arial"/>
          <w:b/>
          <w:sz w:val="24"/>
          <w:szCs w:val="24"/>
        </w:rPr>
      </w:pPr>
      <w:r w:rsidRPr="00CA631E">
        <w:rPr>
          <w:rFonts w:ascii="Arial" w:hAnsi="Arial" w:cs="Arial"/>
          <w:b/>
          <w:noProof/>
          <w:sz w:val="24"/>
          <w:szCs w:val="24"/>
        </w:rPr>
        <w:drawing>
          <wp:inline distT="0" distB="0" distL="0" distR="0" wp14:anchorId="4C0A9B53" wp14:editId="1CD098BD">
            <wp:extent cx="5387807" cy="3642676"/>
            <wp:effectExtent l="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387807" cy="3642676"/>
                    </a:xfrm>
                    <a:prstGeom prst="rect">
                      <a:avLst/>
                    </a:prstGeom>
                  </pic:spPr>
                </pic:pic>
              </a:graphicData>
            </a:graphic>
          </wp:inline>
        </w:drawing>
      </w:r>
    </w:p>
    <w:p w14:paraId="2EEC5999" w14:textId="77777777" w:rsidR="00CA631E" w:rsidRDefault="00CA631E" w:rsidP="000A79FF">
      <w:pPr>
        <w:spacing w:line="360" w:lineRule="auto"/>
        <w:rPr>
          <w:rFonts w:ascii="Arial" w:hAnsi="Arial" w:cs="Arial"/>
          <w:b/>
          <w:sz w:val="24"/>
          <w:szCs w:val="24"/>
        </w:rPr>
      </w:pPr>
      <w:r w:rsidRPr="00CA631E">
        <w:rPr>
          <w:rFonts w:ascii="Arial" w:hAnsi="Arial" w:cs="Arial"/>
          <w:b/>
          <w:noProof/>
          <w:sz w:val="24"/>
          <w:szCs w:val="24"/>
        </w:rPr>
        <w:lastRenderedPageBreak/>
        <w:drawing>
          <wp:inline distT="0" distB="0" distL="0" distR="0" wp14:anchorId="426044A9" wp14:editId="10FDCEDB">
            <wp:extent cx="5418290" cy="3779848"/>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418290" cy="3779848"/>
                    </a:xfrm>
                    <a:prstGeom prst="rect">
                      <a:avLst/>
                    </a:prstGeom>
                  </pic:spPr>
                </pic:pic>
              </a:graphicData>
            </a:graphic>
          </wp:inline>
        </w:drawing>
      </w:r>
    </w:p>
    <w:p w14:paraId="3C3620D8" w14:textId="77777777" w:rsidR="00CA631E" w:rsidRDefault="00CA631E" w:rsidP="000A79FF">
      <w:pPr>
        <w:spacing w:line="360" w:lineRule="auto"/>
        <w:rPr>
          <w:rFonts w:ascii="Arial" w:hAnsi="Arial" w:cs="Arial"/>
          <w:b/>
          <w:sz w:val="24"/>
          <w:szCs w:val="24"/>
        </w:rPr>
      </w:pPr>
      <w:r>
        <w:rPr>
          <w:rFonts w:ascii="Arial" w:hAnsi="Arial" w:cs="Arial"/>
          <w:b/>
          <w:sz w:val="24"/>
          <w:szCs w:val="24"/>
        </w:rPr>
        <w:t>2024</w:t>
      </w:r>
    </w:p>
    <w:p w14:paraId="0396C548" w14:textId="77777777" w:rsidR="00CA631E" w:rsidRDefault="00CA631E" w:rsidP="00CA631E">
      <w:pPr>
        <w:spacing w:line="360" w:lineRule="auto"/>
        <w:jc w:val="center"/>
        <w:rPr>
          <w:rFonts w:ascii="Arial" w:hAnsi="Arial" w:cs="Arial"/>
          <w:b/>
          <w:sz w:val="24"/>
          <w:szCs w:val="24"/>
        </w:rPr>
      </w:pPr>
      <w:r w:rsidRPr="00CA631E">
        <w:rPr>
          <w:rFonts w:ascii="Arial" w:hAnsi="Arial" w:cs="Arial"/>
          <w:b/>
          <w:noProof/>
          <w:sz w:val="24"/>
          <w:szCs w:val="24"/>
        </w:rPr>
        <w:drawing>
          <wp:inline distT="0" distB="0" distL="0" distR="0" wp14:anchorId="0C455F90" wp14:editId="49DA2100">
            <wp:extent cx="4084674" cy="1531753"/>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4084674" cy="1531753"/>
                    </a:xfrm>
                    <a:prstGeom prst="rect">
                      <a:avLst/>
                    </a:prstGeom>
                  </pic:spPr>
                </pic:pic>
              </a:graphicData>
            </a:graphic>
          </wp:inline>
        </w:drawing>
      </w:r>
    </w:p>
    <w:p w14:paraId="4A1B0138" w14:textId="77777777" w:rsidR="00CA631E" w:rsidRDefault="00CA631E" w:rsidP="00CA631E">
      <w:pPr>
        <w:spacing w:line="360" w:lineRule="auto"/>
        <w:jc w:val="center"/>
        <w:rPr>
          <w:rFonts w:ascii="Arial" w:hAnsi="Arial" w:cs="Arial"/>
          <w:b/>
          <w:sz w:val="24"/>
          <w:szCs w:val="24"/>
        </w:rPr>
      </w:pPr>
      <w:r w:rsidRPr="00CA631E">
        <w:rPr>
          <w:rFonts w:ascii="Arial" w:hAnsi="Arial" w:cs="Arial"/>
          <w:b/>
          <w:noProof/>
          <w:sz w:val="24"/>
          <w:szCs w:val="24"/>
        </w:rPr>
        <w:drawing>
          <wp:inline distT="0" distB="0" distL="0" distR="0" wp14:anchorId="451E8F0B" wp14:editId="367F0E82">
            <wp:extent cx="4122777" cy="2530059"/>
            <wp:effectExtent l="0" t="0" r="0" b="381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4122777" cy="2530059"/>
                    </a:xfrm>
                    <a:prstGeom prst="rect">
                      <a:avLst/>
                    </a:prstGeom>
                  </pic:spPr>
                </pic:pic>
              </a:graphicData>
            </a:graphic>
          </wp:inline>
        </w:drawing>
      </w:r>
    </w:p>
    <w:p w14:paraId="090AA5AD" w14:textId="77777777" w:rsidR="00CA631E" w:rsidRDefault="00CA631E" w:rsidP="00CA631E">
      <w:pPr>
        <w:spacing w:line="360" w:lineRule="auto"/>
        <w:jc w:val="center"/>
        <w:rPr>
          <w:rFonts w:ascii="Arial" w:hAnsi="Arial" w:cs="Arial"/>
          <w:b/>
          <w:sz w:val="24"/>
          <w:szCs w:val="24"/>
        </w:rPr>
      </w:pPr>
      <w:r w:rsidRPr="00CA631E">
        <w:rPr>
          <w:rFonts w:ascii="Arial" w:hAnsi="Arial" w:cs="Arial"/>
          <w:b/>
          <w:noProof/>
          <w:sz w:val="24"/>
          <w:szCs w:val="24"/>
        </w:rPr>
        <w:lastRenderedPageBreak/>
        <w:drawing>
          <wp:inline distT="0" distB="0" distL="0" distR="0" wp14:anchorId="463F5A0C" wp14:editId="2F45EDAF">
            <wp:extent cx="4191363" cy="2385267"/>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4191363" cy="2385267"/>
                    </a:xfrm>
                    <a:prstGeom prst="rect">
                      <a:avLst/>
                    </a:prstGeom>
                  </pic:spPr>
                </pic:pic>
              </a:graphicData>
            </a:graphic>
          </wp:inline>
        </w:drawing>
      </w:r>
    </w:p>
    <w:p w14:paraId="788299A3" w14:textId="77777777" w:rsidR="00CA631E" w:rsidRDefault="00CA631E" w:rsidP="000A79FF">
      <w:pPr>
        <w:spacing w:line="360" w:lineRule="auto"/>
        <w:rPr>
          <w:rFonts w:ascii="Arial" w:hAnsi="Arial" w:cs="Arial"/>
          <w:b/>
          <w:sz w:val="24"/>
          <w:szCs w:val="24"/>
        </w:rPr>
      </w:pPr>
    </w:p>
    <w:p w14:paraId="454D0078" w14:textId="77777777" w:rsidR="00CA631E" w:rsidRDefault="00CA631E" w:rsidP="000A79FF">
      <w:pPr>
        <w:spacing w:line="360" w:lineRule="auto"/>
        <w:rPr>
          <w:rFonts w:ascii="Arial" w:hAnsi="Arial" w:cs="Arial"/>
          <w:b/>
          <w:sz w:val="24"/>
          <w:szCs w:val="24"/>
        </w:rPr>
      </w:pPr>
      <w:r>
        <w:rPr>
          <w:rFonts w:ascii="Arial" w:hAnsi="Arial" w:cs="Arial"/>
          <w:b/>
          <w:sz w:val="24"/>
          <w:szCs w:val="24"/>
        </w:rPr>
        <w:t>2025</w:t>
      </w:r>
    </w:p>
    <w:p w14:paraId="3617D7FB" w14:textId="77777777" w:rsidR="00CA631E" w:rsidRDefault="00CA631E" w:rsidP="000A79FF">
      <w:pPr>
        <w:spacing w:line="360" w:lineRule="auto"/>
        <w:rPr>
          <w:rFonts w:ascii="Arial" w:hAnsi="Arial" w:cs="Arial"/>
          <w:b/>
          <w:sz w:val="24"/>
          <w:szCs w:val="24"/>
        </w:rPr>
      </w:pPr>
      <w:r w:rsidRPr="00CA631E">
        <w:rPr>
          <w:rFonts w:ascii="Arial" w:hAnsi="Arial" w:cs="Arial"/>
          <w:b/>
          <w:noProof/>
          <w:sz w:val="24"/>
          <w:szCs w:val="24"/>
        </w:rPr>
        <w:lastRenderedPageBreak/>
        <w:drawing>
          <wp:inline distT="0" distB="0" distL="0" distR="0" wp14:anchorId="4E8C1BD8" wp14:editId="2E3DDF8E">
            <wp:extent cx="5731510" cy="589089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5890895"/>
                    </a:xfrm>
                    <a:prstGeom prst="rect">
                      <a:avLst/>
                    </a:prstGeom>
                  </pic:spPr>
                </pic:pic>
              </a:graphicData>
            </a:graphic>
          </wp:inline>
        </w:drawing>
      </w:r>
    </w:p>
    <w:p w14:paraId="4BC59099" w14:textId="77777777" w:rsidR="00CA631E" w:rsidRDefault="00CA631E" w:rsidP="000A79FF">
      <w:pPr>
        <w:spacing w:line="360" w:lineRule="auto"/>
        <w:rPr>
          <w:rFonts w:ascii="Arial" w:hAnsi="Arial" w:cs="Arial"/>
          <w:b/>
          <w:sz w:val="24"/>
          <w:szCs w:val="24"/>
        </w:rPr>
      </w:pPr>
      <w:r w:rsidRPr="00CA631E">
        <w:rPr>
          <w:rFonts w:ascii="Arial" w:hAnsi="Arial" w:cs="Arial"/>
          <w:b/>
          <w:noProof/>
          <w:sz w:val="24"/>
          <w:szCs w:val="24"/>
        </w:rPr>
        <w:lastRenderedPageBreak/>
        <w:drawing>
          <wp:inline distT="0" distB="0" distL="0" distR="0" wp14:anchorId="43395A8A" wp14:editId="43DD810A">
            <wp:extent cx="5731510" cy="3235960"/>
            <wp:effectExtent l="0" t="0" r="2540" b="254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3235960"/>
                    </a:xfrm>
                    <a:prstGeom prst="rect">
                      <a:avLst/>
                    </a:prstGeom>
                  </pic:spPr>
                </pic:pic>
              </a:graphicData>
            </a:graphic>
          </wp:inline>
        </w:drawing>
      </w:r>
    </w:p>
    <w:p w14:paraId="7549244E" w14:textId="77777777" w:rsidR="00CA631E" w:rsidRDefault="00CA631E" w:rsidP="000A79FF">
      <w:pPr>
        <w:spacing w:line="360" w:lineRule="auto"/>
        <w:rPr>
          <w:rFonts w:ascii="Arial" w:hAnsi="Arial" w:cs="Arial"/>
          <w:b/>
          <w:sz w:val="24"/>
          <w:szCs w:val="24"/>
        </w:rPr>
      </w:pPr>
      <w:r w:rsidRPr="00CA631E">
        <w:rPr>
          <w:rFonts w:ascii="Arial" w:hAnsi="Arial" w:cs="Arial"/>
          <w:b/>
          <w:noProof/>
          <w:sz w:val="24"/>
          <w:szCs w:val="24"/>
        </w:rPr>
        <w:lastRenderedPageBreak/>
        <w:drawing>
          <wp:inline distT="0" distB="0" distL="0" distR="0" wp14:anchorId="1F7BA360" wp14:editId="56ECB5CD">
            <wp:extent cx="4930567" cy="6157494"/>
            <wp:effectExtent l="0" t="0" r="381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4930567" cy="6157494"/>
                    </a:xfrm>
                    <a:prstGeom prst="rect">
                      <a:avLst/>
                    </a:prstGeom>
                  </pic:spPr>
                </pic:pic>
              </a:graphicData>
            </a:graphic>
          </wp:inline>
        </w:drawing>
      </w:r>
    </w:p>
    <w:p w14:paraId="1202C5AA" w14:textId="77777777" w:rsidR="00CA631E" w:rsidRDefault="00CA631E" w:rsidP="000A79FF">
      <w:pPr>
        <w:spacing w:line="360" w:lineRule="auto"/>
        <w:rPr>
          <w:rFonts w:ascii="Arial" w:hAnsi="Arial" w:cs="Arial"/>
          <w:b/>
          <w:sz w:val="24"/>
          <w:szCs w:val="24"/>
        </w:rPr>
      </w:pPr>
      <w:r w:rsidRPr="00CA631E">
        <w:rPr>
          <w:rFonts w:ascii="Arial" w:hAnsi="Arial" w:cs="Arial"/>
          <w:b/>
          <w:noProof/>
          <w:sz w:val="24"/>
          <w:szCs w:val="24"/>
        </w:rPr>
        <w:lastRenderedPageBreak/>
        <w:drawing>
          <wp:inline distT="0" distB="0" distL="0" distR="0" wp14:anchorId="7010EA14" wp14:editId="67854981">
            <wp:extent cx="4778154" cy="4740051"/>
            <wp:effectExtent l="0" t="0" r="3810"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4778154" cy="4740051"/>
                    </a:xfrm>
                    <a:prstGeom prst="rect">
                      <a:avLst/>
                    </a:prstGeom>
                  </pic:spPr>
                </pic:pic>
              </a:graphicData>
            </a:graphic>
          </wp:inline>
        </w:drawing>
      </w:r>
    </w:p>
    <w:p w14:paraId="0F65D205" w14:textId="77777777" w:rsidR="00CA631E" w:rsidRPr="00CA631E" w:rsidRDefault="00CA631E" w:rsidP="000A79FF">
      <w:pPr>
        <w:spacing w:line="360" w:lineRule="auto"/>
        <w:rPr>
          <w:rFonts w:ascii="Arial" w:hAnsi="Arial" w:cs="Arial"/>
          <w:b/>
          <w:sz w:val="24"/>
          <w:szCs w:val="24"/>
        </w:rPr>
      </w:pPr>
    </w:p>
    <w:sectPr w:rsidR="00CA631E" w:rsidRPr="00CA631E">
      <w:footerReference w:type="default" r:id="rId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6976A9" w14:textId="77777777" w:rsidR="00CD0BF9" w:rsidRDefault="00CD0BF9" w:rsidP="00997841">
      <w:pPr>
        <w:spacing w:after="0" w:line="240" w:lineRule="auto"/>
      </w:pPr>
      <w:r>
        <w:separator/>
      </w:r>
    </w:p>
  </w:endnote>
  <w:endnote w:type="continuationSeparator" w:id="0">
    <w:p w14:paraId="1AB83E7E" w14:textId="77777777" w:rsidR="00CD0BF9" w:rsidRDefault="00CD0BF9" w:rsidP="00997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4"/>
        <w:szCs w:val="24"/>
      </w:rPr>
      <w:id w:val="1146097537"/>
      <w:docPartObj>
        <w:docPartGallery w:val="Page Numbers (Bottom of Page)"/>
        <w:docPartUnique/>
      </w:docPartObj>
    </w:sdtPr>
    <w:sdtEndPr>
      <w:rPr>
        <w:noProof/>
      </w:rPr>
    </w:sdtEndPr>
    <w:sdtContent>
      <w:p w14:paraId="12C6BDCF" w14:textId="77777777" w:rsidR="00CA631E" w:rsidRPr="00997841" w:rsidRDefault="00CA631E">
        <w:pPr>
          <w:pStyle w:val="Footer"/>
          <w:jc w:val="right"/>
          <w:rPr>
            <w:rFonts w:ascii="Arial" w:hAnsi="Arial" w:cs="Arial"/>
            <w:sz w:val="24"/>
            <w:szCs w:val="24"/>
          </w:rPr>
        </w:pPr>
        <w:r w:rsidRPr="00997841">
          <w:rPr>
            <w:rFonts w:ascii="Arial" w:hAnsi="Arial" w:cs="Arial"/>
            <w:sz w:val="24"/>
            <w:szCs w:val="24"/>
          </w:rPr>
          <w:fldChar w:fldCharType="begin"/>
        </w:r>
        <w:r w:rsidRPr="00997841">
          <w:rPr>
            <w:rFonts w:ascii="Arial" w:hAnsi="Arial" w:cs="Arial"/>
            <w:sz w:val="24"/>
            <w:szCs w:val="24"/>
          </w:rPr>
          <w:instrText xml:space="preserve"> PAGE   \* MERGEFORMAT </w:instrText>
        </w:r>
        <w:r w:rsidRPr="00997841">
          <w:rPr>
            <w:rFonts w:ascii="Arial" w:hAnsi="Arial" w:cs="Arial"/>
            <w:sz w:val="24"/>
            <w:szCs w:val="24"/>
          </w:rPr>
          <w:fldChar w:fldCharType="separate"/>
        </w:r>
        <w:r w:rsidR="00B758C6">
          <w:rPr>
            <w:rFonts w:ascii="Arial" w:hAnsi="Arial" w:cs="Arial"/>
            <w:noProof/>
            <w:sz w:val="24"/>
            <w:szCs w:val="24"/>
          </w:rPr>
          <w:t>4</w:t>
        </w:r>
        <w:r w:rsidRPr="00997841">
          <w:rPr>
            <w:rFonts w:ascii="Arial" w:hAnsi="Arial" w:cs="Arial"/>
            <w:noProof/>
            <w:sz w:val="24"/>
            <w:szCs w:val="24"/>
          </w:rPr>
          <w:fldChar w:fldCharType="end"/>
        </w:r>
      </w:p>
    </w:sdtContent>
  </w:sdt>
  <w:p w14:paraId="6D6C6798" w14:textId="77777777" w:rsidR="00CA631E" w:rsidRPr="00997841" w:rsidRDefault="00CA631E">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832551" w14:textId="77777777" w:rsidR="00CD0BF9" w:rsidRDefault="00CD0BF9" w:rsidP="00997841">
      <w:pPr>
        <w:spacing w:after="0" w:line="240" w:lineRule="auto"/>
      </w:pPr>
      <w:r>
        <w:separator/>
      </w:r>
    </w:p>
  </w:footnote>
  <w:footnote w:type="continuationSeparator" w:id="0">
    <w:p w14:paraId="4CDE74F1" w14:textId="77777777" w:rsidR="00CD0BF9" w:rsidRDefault="00CD0BF9" w:rsidP="009978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105CD8"/>
    <w:multiLevelType w:val="hybridMultilevel"/>
    <w:tmpl w:val="753E51A6"/>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85763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50CB"/>
    <w:rsid w:val="00007F77"/>
    <w:rsid w:val="00032E05"/>
    <w:rsid w:val="0004573B"/>
    <w:rsid w:val="000819B0"/>
    <w:rsid w:val="000A79FF"/>
    <w:rsid w:val="000C4D9D"/>
    <w:rsid w:val="000D50CB"/>
    <w:rsid w:val="000F3C7B"/>
    <w:rsid w:val="001112B1"/>
    <w:rsid w:val="001524FC"/>
    <w:rsid w:val="001B271D"/>
    <w:rsid w:val="002038D6"/>
    <w:rsid w:val="00230A03"/>
    <w:rsid w:val="0024419D"/>
    <w:rsid w:val="00261B7E"/>
    <w:rsid w:val="002717BF"/>
    <w:rsid w:val="002A18CB"/>
    <w:rsid w:val="002A76F5"/>
    <w:rsid w:val="00312B59"/>
    <w:rsid w:val="00332AD2"/>
    <w:rsid w:val="003A5AFF"/>
    <w:rsid w:val="0047217B"/>
    <w:rsid w:val="00482C6B"/>
    <w:rsid w:val="004860BC"/>
    <w:rsid w:val="004E4C03"/>
    <w:rsid w:val="005533D7"/>
    <w:rsid w:val="0057019F"/>
    <w:rsid w:val="00575D20"/>
    <w:rsid w:val="005A0B8D"/>
    <w:rsid w:val="005B343F"/>
    <w:rsid w:val="005D2B4F"/>
    <w:rsid w:val="00626449"/>
    <w:rsid w:val="00660B73"/>
    <w:rsid w:val="00665912"/>
    <w:rsid w:val="00832C44"/>
    <w:rsid w:val="00850BF7"/>
    <w:rsid w:val="00852E02"/>
    <w:rsid w:val="00883EA6"/>
    <w:rsid w:val="008E25B5"/>
    <w:rsid w:val="00943F12"/>
    <w:rsid w:val="00954BE3"/>
    <w:rsid w:val="00981396"/>
    <w:rsid w:val="00997841"/>
    <w:rsid w:val="009D6B1C"/>
    <w:rsid w:val="00A36F68"/>
    <w:rsid w:val="00A4071B"/>
    <w:rsid w:val="00AE75B3"/>
    <w:rsid w:val="00AF34C0"/>
    <w:rsid w:val="00B33111"/>
    <w:rsid w:val="00B373E8"/>
    <w:rsid w:val="00B758C6"/>
    <w:rsid w:val="00BC7E61"/>
    <w:rsid w:val="00BF26A2"/>
    <w:rsid w:val="00C12C3B"/>
    <w:rsid w:val="00C82C3F"/>
    <w:rsid w:val="00C858E9"/>
    <w:rsid w:val="00CA3781"/>
    <w:rsid w:val="00CA631E"/>
    <w:rsid w:val="00CB4A78"/>
    <w:rsid w:val="00CD0BF9"/>
    <w:rsid w:val="00CD1EDA"/>
    <w:rsid w:val="00D15DE8"/>
    <w:rsid w:val="00D4441B"/>
    <w:rsid w:val="00DE32FC"/>
    <w:rsid w:val="00E01071"/>
    <w:rsid w:val="00E1716F"/>
    <w:rsid w:val="00E27284"/>
    <w:rsid w:val="00E437E1"/>
    <w:rsid w:val="00EA40FE"/>
    <w:rsid w:val="00ED59C5"/>
    <w:rsid w:val="00F21A85"/>
    <w:rsid w:val="00F5394B"/>
    <w:rsid w:val="00FE2B0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867D9"/>
  <w15:chartTrackingRefBased/>
  <w15:docId w15:val="{E8F190D2-CEA2-4E90-8CCD-43F819881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C7B"/>
    <w:rPr>
      <w:lang w:val="en-GB"/>
    </w:rPr>
  </w:style>
  <w:style w:type="paragraph" w:styleId="Heading1">
    <w:name w:val="heading 1"/>
    <w:basedOn w:val="Normal"/>
    <w:next w:val="Normal"/>
    <w:link w:val="Heading1Char"/>
    <w:uiPriority w:val="9"/>
    <w:qFormat/>
    <w:rsid w:val="003A5AF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A5AF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4573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50CB"/>
    <w:pPr>
      <w:ind w:left="720"/>
      <w:contextualSpacing/>
    </w:pPr>
  </w:style>
  <w:style w:type="character" w:customStyle="1" w:styleId="Heading1Char">
    <w:name w:val="Heading 1 Char"/>
    <w:basedOn w:val="DefaultParagraphFont"/>
    <w:link w:val="Heading1"/>
    <w:uiPriority w:val="9"/>
    <w:rsid w:val="003A5AFF"/>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3A5AFF"/>
    <w:rPr>
      <w:rFonts w:asciiTheme="majorHAnsi" w:eastAsiaTheme="majorEastAsia" w:hAnsiTheme="majorHAnsi" w:cstheme="majorBidi"/>
      <w:color w:val="2E74B5" w:themeColor="accent1" w:themeShade="BF"/>
      <w:sz w:val="26"/>
      <w:szCs w:val="26"/>
      <w:lang w:val="en-GB"/>
    </w:rPr>
  </w:style>
  <w:style w:type="character" w:styleId="Strong">
    <w:name w:val="Strong"/>
    <w:basedOn w:val="DefaultParagraphFont"/>
    <w:uiPriority w:val="22"/>
    <w:qFormat/>
    <w:rsid w:val="0004573B"/>
    <w:rPr>
      <w:b/>
      <w:bCs/>
    </w:rPr>
  </w:style>
  <w:style w:type="table" w:styleId="TableGrid">
    <w:name w:val="Table Grid"/>
    <w:basedOn w:val="TableNormal"/>
    <w:uiPriority w:val="39"/>
    <w:rsid w:val="000457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04573B"/>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04573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B373E8"/>
    <w:rPr>
      <w:color w:val="0000FF"/>
      <w:u w:val="single"/>
    </w:rPr>
  </w:style>
  <w:style w:type="paragraph" w:styleId="TOCHeading">
    <w:name w:val="TOC Heading"/>
    <w:basedOn w:val="Heading1"/>
    <w:next w:val="Normal"/>
    <w:uiPriority w:val="39"/>
    <w:unhideWhenUsed/>
    <w:qFormat/>
    <w:rsid w:val="000F3C7B"/>
    <w:pPr>
      <w:outlineLvl w:val="9"/>
    </w:pPr>
    <w:rPr>
      <w:lang w:val="en-US"/>
    </w:rPr>
  </w:style>
  <w:style w:type="paragraph" w:styleId="TOC1">
    <w:name w:val="toc 1"/>
    <w:basedOn w:val="Normal"/>
    <w:next w:val="Normal"/>
    <w:autoRedefine/>
    <w:uiPriority w:val="39"/>
    <w:unhideWhenUsed/>
    <w:rsid w:val="000F3C7B"/>
    <w:pPr>
      <w:spacing w:after="100"/>
    </w:pPr>
  </w:style>
  <w:style w:type="paragraph" w:styleId="TOC2">
    <w:name w:val="toc 2"/>
    <w:basedOn w:val="Normal"/>
    <w:next w:val="Normal"/>
    <w:autoRedefine/>
    <w:uiPriority w:val="39"/>
    <w:unhideWhenUsed/>
    <w:rsid w:val="000F3C7B"/>
    <w:pPr>
      <w:spacing w:after="100"/>
      <w:ind w:left="220"/>
    </w:pPr>
  </w:style>
  <w:style w:type="paragraph" w:styleId="Header">
    <w:name w:val="header"/>
    <w:basedOn w:val="Normal"/>
    <w:link w:val="HeaderChar"/>
    <w:uiPriority w:val="99"/>
    <w:unhideWhenUsed/>
    <w:rsid w:val="009978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841"/>
    <w:rPr>
      <w:lang w:val="en-GB"/>
    </w:rPr>
  </w:style>
  <w:style w:type="paragraph" w:styleId="Footer">
    <w:name w:val="footer"/>
    <w:basedOn w:val="Normal"/>
    <w:link w:val="FooterChar"/>
    <w:uiPriority w:val="99"/>
    <w:unhideWhenUsed/>
    <w:rsid w:val="009978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841"/>
    <w:rPr>
      <w:lang w:val="en-GB"/>
    </w:rPr>
  </w:style>
  <w:style w:type="paragraph" w:customStyle="1" w:styleId="pdq2pgselectionanchorcontainer">
    <w:name w:val="pdq2pg_selectionanchorcontainer"/>
    <w:basedOn w:val="Normal"/>
    <w:rsid w:val="00850BF7"/>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Emphasis">
    <w:name w:val="Emphasis"/>
    <w:basedOn w:val="DefaultParagraphFont"/>
    <w:uiPriority w:val="20"/>
    <w:qFormat/>
    <w:rsid w:val="00660B7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6660">
      <w:bodyDiv w:val="1"/>
      <w:marLeft w:val="0"/>
      <w:marRight w:val="0"/>
      <w:marTop w:val="0"/>
      <w:marBottom w:val="0"/>
      <w:divBdr>
        <w:top w:val="none" w:sz="0" w:space="0" w:color="auto"/>
        <w:left w:val="none" w:sz="0" w:space="0" w:color="auto"/>
        <w:bottom w:val="none" w:sz="0" w:space="0" w:color="auto"/>
        <w:right w:val="none" w:sz="0" w:space="0" w:color="auto"/>
      </w:divBdr>
    </w:div>
    <w:div w:id="24408047">
      <w:bodyDiv w:val="1"/>
      <w:marLeft w:val="0"/>
      <w:marRight w:val="0"/>
      <w:marTop w:val="0"/>
      <w:marBottom w:val="0"/>
      <w:divBdr>
        <w:top w:val="none" w:sz="0" w:space="0" w:color="auto"/>
        <w:left w:val="none" w:sz="0" w:space="0" w:color="auto"/>
        <w:bottom w:val="none" w:sz="0" w:space="0" w:color="auto"/>
        <w:right w:val="none" w:sz="0" w:space="0" w:color="auto"/>
      </w:divBdr>
    </w:div>
    <w:div w:id="30955921">
      <w:bodyDiv w:val="1"/>
      <w:marLeft w:val="0"/>
      <w:marRight w:val="0"/>
      <w:marTop w:val="0"/>
      <w:marBottom w:val="0"/>
      <w:divBdr>
        <w:top w:val="none" w:sz="0" w:space="0" w:color="auto"/>
        <w:left w:val="none" w:sz="0" w:space="0" w:color="auto"/>
        <w:bottom w:val="none" w:sz="0" w:space="0" w:color="auto"/>
        <w:right w:val="none" w:sz="0" w:space="0" w:color="auto"/>
      </w:divBdr>
    </w:div>
    <w:div w:id="31537850">
      <w:bodyDiv w:val="1"/>
      <w:marLeft w:val="0"/>
      <w:marRight w:val="0"/>
      <w:marTop w:val="0"/>
      <w:marBottom w:val="0"/>
      <w:divBdr>
        <w:top w:val="none" w:sz="0" w:space="0" w:color="auto"/>
        <w:left w:val="none" w:sz="0" w:space="0" w:color="auto"/>
        <w:bottom w:val="none" w:sz="0" w:space="0" w:color="auto"/>
        <w:right w:val="none" w:sz="0" w:space="0" w:color="auto"/>
      </w:divBdr>
    </w:div>
    <w:div w:id="48237371">
      <w:bodyDiv w:val="1"/>
      <w:marLeft w:val="0"/>
      <w:marRight w:val="0"/>
      <w:marTop w:val="0"/>
      <w:marBottom w:val="0"/>
      <w:divBdr>
        <w:top w:val="none" w:sz="0" w:space="0" w:color="auto"/>
        <w:left w:val="none" w:sz="0" w:space="0" w:color="auto"/>
        <w:bottom w:val="none" w:sz="0" w:space="0" w:color="auto"/>
        <w:right w:val="none" w:sz="0" w:space="0" w:color="auto"/>
      </w:divBdr>
      <w:divsChild>
        <w:div w:id="202791305">
          <w:marLeft w:val="0"/>
          <w:marRight w:val="0"/>
          <w:marTop w:val="0"/>
          <w:marBottom w:val="0"/>
          <w:divBdr>
            <w:top w:val="none" w:sz="0" w:space="0" w:color="auto"/>
            <w:left w:val="none" w:sz="0" w:space="0" w:color="auto"/>
            <w:bottom w:val="none" w:sz="0" w:space="0" w:color="auto"/>
            <w:right w:val="none" w:sz="0" w:space="0" w:color="auto"/>
          </w:divBdr>
          <w:divsChild>
            <w:div w:id="1920872178">
              <w:marLeft w:val="0"/>
              <w:marRight w:val="0"/>
              <w:marTop w:val="0"/>
              <w:marBottom w:val="0"/>
              <w:divBdr>
                <w:top w:val="none" w:sz="0" w:space="0" w:color="auto"/>
                <w:left w:val="none" w:sz="0" w:space="0" w:color="auto"/>
                <w:bottom w:val="none" w:sz="0" w:space="0" w:color="auto"/>
                <w:right w:val="none" w:sz="0" w:space="0" w:color="auto"/>
              </w:divBdr>
              <w:divsChild>
                <w:div w:id="181551128">
                  <w:marLeft w:val="0"/>
                  <w:marRight w:val="0"/>
                  <w:marTop w:val="0"/>
                  <w:marBottom w:val="0"/>
                  <w:divBdr>
                    <w:top w:val="none" w:sz="0" w:space="0" w:color="auto"/>
                    <w:left w:val="none" w:sz="0" w:space="0" w:color="auto"/>
                    <w:bottom w:val="none" w:sz="0" w:space="0" w:color="auto"/>
                    <w:right w:val="none" w:sz="0" w:space="0" w:color="auto"/>
                  </w:divBdr>
                  <w:divsChild>
                    <w:div w:id="112485540">
                      <w:marLeft w:val="0"/>
                      <w:marRight w:val="0"/>
                      <w:marTop w:val="0"/>
                      <w:marBottom w:val="0"/>
                      <w:divBdr>
                        <w:top w:val="none" w:sz="0" w:space="0" w:color="auto"/>
                        <w:left w:val="none" w:sz="0" w:space="0" w:color="auto"/>
                        <w:bottom w:val="none" w:sz="0" w:space="0" w:color="auto"/>
                        <w:right w:val="none" w:sz="0" w:space="0" w:color="auto"/>
                      </w:divBdr>
                      <w:divsChild>
                        <w:div w:id="1529219246">
                          <w:marLeft w:val="0"/>
                          <w:marRight w:val="0"/>
                          <w:marTop w:val="0"/>
                          <w:marBottom w:val="0"/>
                          <w:divBdr>
                            <w:top w:val="none" w:sz="0" w:space="0" w:color="auto"/>
                            <w:left w:val="none" w:sz="0" w:space="0" w:color="auto"/>
                            <w:bottom w:val="none" w:sz="0" w:space="0" w:color="auto"/>
                            <w:right w:val="none" w:sz="0" w:space="0" w:color="auto"/>
                          </w:divBdr>
                          <w:divsChild>
                            <w:div w:id="1051614393">
                              <w:marLeft w:val="0"/>
                              <w:marRight w:val="0"/>
                              <w:marTop w:val="0"/>
                              <w:marBottom w:val="0"/>
                              <w:divBdr>
                                <w:top w:val="none" w:sz="0" w:space="0" w:color="auto"/>
                                <w:left w:val="none" w:sz="0" w:space="0" w:color="auto"/>
                                <w:bottom w:val="none" w:sz="0" w:space="0" w:color="auto"/>
                                <w:right w:val="none" w:sz="0" w:space="0" w:color="auto"/>
                              </w:divBdr>
                              <w:divsChild>
                                <w:div w:id="213394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625971">
      <w:bodyDiv w:val="1"/>
      <w:marLeft w:val="0"/>
      <w:marRight w:val="0"/>
      <w:marTop w:val="0"/>
      <w:marBottom w:val="0"/>
      <w:divBdr>
        <w:top w:val="none" w:sz="0" w:space="0" w:color="auto"/>
        <w:left w:val="none" w:sz="0" w:space="0" w:color="auto"/>
        <w:bottom w:val="none" w:sz="0" w:space="0" w:color="auto"/>
        <w:right w:val="none" w:sz="0" w:space="0" w:color="auto"/>
      </w:divBdr>
    </w:div>
    <w:div w:id="143208055">
      <w:bodyDiv w:val="1"/>
      <w:marLeft w:val="0"/>
      <w:marRight w:val="0"/>
      <w:marTop w:val="0"/>
      <w:marBottom w:val="0"/>
      <w:divBdr>
        <w:top w:val="none" w:sz="0" w:space="0" w:color="auto"/>
        <w:left w:val="none" w:sz="0" w:space="0" w:color="auto"/>
        <w:bottom w:val="none" w:sz="0" w:space="0" w:color="auto"/>
        <w:right w:val="none" w:sz="0" w:space="0" w:color="auto"/>
      </w:divBdr>
    </w:div>
    <w:div w:id="180436813">
      <w:bodyDiv w:val="1"/>
      <w:marLeft w:val="0"/>
      <w:marRight w:val="0"/>
      <w:marTop w:val="0"/>
      <w:marBottom w:val="0"/>
      <w:divBdr>
        <w:top w:val="none" w:sz="0" w:space="0" w:color="auto"/>
        <w:left w:val="none" w:sz="0" w:space="0" w:color="auto"/>
        <w:bottom w:val="none" w:sz="0" w:space="0" w:color="auto"/>
        <w:right w:val="none" w:sz="0" w:space="0" w:color="auto"/>
      </w:divBdr>
      <w:divsChild>
        <w:div w:id="2073766291">
          <w:marLeft w:val="0"/>
          <w:marRight w:val="0"/>
          <w:marTop w:val="0"/>
          <w:marBottom w:val="0"/>
          <w:divBdr>
            <w:top w:val="none" w:sz="0" w:space="0" w:color="auto"/>
            <w:left w:val="none" w:sz="0" w:space="0" w:color="auto"/>
            <w:bottom w:val="none" w:sz="0" w:space="0" w:color="auto"/>
            <w:right w:val="none" w:sz="0" w:space="0" w:color="auto"/>
          </w:divBdr>
          <w:divsChild>
            <w:div w:id="1835532498">
              <w:marLeft w:val="0"/>
              <w:marRight w:val="0"/>
              <w:marTop w:val="0"/>
              <w:marBottom w:val="0"/>
              <w:divBdr>
                <w:top w:val="none" w:sz="0" w:space="0" w:color="auto"/>
                <w:left w:val="none" w:sz="0" w:space="0" w:color="auto"/>
                <w:bottom w:val="none" w:sz="0" w:space="0" w:color="auto"/>
                <w:right w:val="none" w:sz="0" w:space="0" w:color="auto"/>
              </w:divBdr>
              <w:divsChild>
                <w:div w:id="696583548">
                  <w:marLeft w:val="0"/>
                  <w:marRight w:val="0"/>
                  <w:marTop w:val="0"/>
                  <w:marBottom w:val="0"/>
                  <w:divBdr>
                    <w:top w:val="none" w:sz="0" w:space="0" w:color="auto"/>
                    <w:left w:val="none" w:sz="0" w:space="0" w:color="auto"/>
                    <w:bottom w:val="none" w:sz="0" w:space="0" w:color="auto"/>
                    <w:right w:val="none" w:sz="0" w:space="0" w:color="auto"/>
                  </w:divBdr>
                  <w:divsChild>
                    <w:div w:id="61148846">
                      <w:marLeft w:val="0"/>
                      <w:marRight w:val="0"/>
                      <w:marTop w:val="0"/>
                      <w:marBottom w:val="0"/>
                      <w:divBdr>
                        <w:top w:val="none" w:sz="0" w:space="0" w:color="auto"/>
                        <w:left w:val="none" w:sz="0" w:space="0" w:color="auto"/>
                        <w:bottom w:val="none" w:sz="0" w:space="0" w:color="auto"/>
                        <w:right w:val="none" w:sz="0" w:space="0" w:color="auto"/>
                      </w:divBdr>
                      <w:divsChild>
                        <w:div w:id="1957908339">
                          <w:marLeft w:val="0"/>
                          <w:marRight w:val="0"/>
                          <w:marTop w:val="0"/>
                          <w:marBottom w:val="0"/>
                          <w:divBdr>
                            <w:top w:val="none" w:sz="0" w:space="0" w:color="auto"/>
                            <w:left w:val="none" w:sz="0" w:space="0" w:color="auto"/>
                            <w:bottom w:val="none" w:sz="0" w:space="0" w:color="auto"/>
                            <w:right w:val="none" w:sz="0" w:space="0" w:color="auto"/>
                          </w:divBdr>
                          <w:divsChild>
                            <w:div w:id="314337203">
                              <w:marLeft w:val="0"/>
                              <w:marRight w:val="0"/>
                              <w:marTop w:val="0"/>
                              <w:marBottom w:val="0"/>
                              <w:divBdr>
                                <w:top w:val="none" w:sz="0" w:space="0" w:color="auto"/>
                                <w:left w:val="none" w:sz="0" w:space="0" w:color="auto"/>
                                <w:bottom w:val="none" w:sz="0" w:space="0" w:color="auto"/>
                                <w:right w:val="none" w:sz="0" w:space="0" w:color="auto"/>
                              </w:divBdr>
                              <w:divsChild>
                                <w:div w:id="472137356">
                                  <w:marLeft w:val="0"/>
                                  <w:marRight w:val="0"/>
                                  <w:marTop w:val="0"/>
                                  <w:marBottom w:val="0"/>
                                  <w:divBdr>
                                    <w:top w:val="none" w:sz="0" w:space="0" w:color="auto"/>
                                    <w:left w:val="none" w:sz="0" w:space="0" w:color="auto"/>
                                    <w:bottom w:val="none" w:sz="0" w:space="0" w:color="auto"/>
                                    <w:right w:val="none" w:sz="0" w:space="0" w:color="auto"/>
                                  </w:divBdr>
                                  <w:divsChild>
                                    <w:div w:id="189630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629507">
      <w:bodyDiv w:val="1"/>
      <w:marLeft w:val="0"/>
      <w:marRight w:val="0"/>
      <w:marTop w:val="0"/>
      <w:marBottom w:val="0"/>
      <w:divBdr>
        <w:top w:val="none" w:sz="0" w:space="0" w:color="auto"/>
        <w:left w:val="none" w:sz="0" w:space="0" w:color="auto"/>
        <w:bottom w:val="none" w:sz="0" w:space="0" w:color="auto"/>
        <w:right w:val="none" w:sz="0" w:space="0" w:color="auto"/>
      </w:divBdr>
    </w:div>
    <w:div w:id="213975303">
      <w:bodyDiv w:val="1"/>
      <w:marLeft w:val="0"/>
      <w:marRight w:val="0"/>
      <w:marTop w:val="0"/>
      <w:marBottom w:val="0"/>
      <w:divBdr>
        <w:top w:val="none" w:sz="0" w:space="0" w:color="auto"/>
        <w:left w:val="none" w:sz="0" w:space="0" w:color="auto"/>
        <w:bottom w:val="none" w:sz="0" w:space="0" w:color="auto"/>
        <w:right w:val="none" w:sz="0" w:space="0" w:color="auto"/>
      </w:divBdr>
    </w:div>
    <w:div w:id="268513238">
      <w:bodyDiv w:val="1"/>
      <w:marLeft w:val="0"/>
      <w:marRight w:val="0"/>
      <w:marTop w:val="0"/>
      <w:marBottom w:val="0"/>
      <w:divBdr>
        <w:top w:val="none" w:sz="0" w:space="0" w:color="auto"/>
        <w:left w:val="none" w:sz="0" w:space="0" w:color="auto"/>
        <w:bottom w:val="none" w:sz="0" w:space="0" w:color="auto"/>
        <w:right w:val="none" w:sz="0" w:space="0" w:color="auto"/>
      </w:divBdr>
    </w:div>
    <w:div w:id="302660029">
      <w:bodyDiv w:val="1"/>
      <w:marLeft w:val="0"/>
      <w:marRight w:val="0"/>
      <w:marTop w:val="0"/>
      <w:marBottom w:val="0"/>
      <w:divBdr>
        <w:top w:val="none" w:sz="0" w:space="0" w:color="auto"/>
        <w:left w:val="none" w:sz="0" w:space="0" w:color="auto"/>
        <w:bottom w:val="none" w:sz="0" w:space="0" w:color="auto"/>
        <w:right w:val="none" w:sz="0" w:space="0" w:color="auto"/>
      </w:divBdr>
      <w:divsChild>
        <w:div w:id="1682244689">
          <w:marLeft w:val="0"/>
          <w:marRight w:val="0"/>
          <w:marTop w:val="0"/>
          <w:marBottom w:val="0"/>
          <w:divBdr>
            <w:top w:val="none" w:sz="0" w:space="0" w:color="auto"/>
            <w:left w:val="none" w:sz="0" w:space="0" w:color="auto"/>
            <w:bottom w:val="none" w:sz="0" w:space="0" w:color="auto"/>
            <w:right w:val="none" w:sz="0" w:space="0" w:color="auto"/>
          </w:divBdr>
          <w:divsChild>
            <w:div w:id="2047440970">
              <w:marLeft w:val="0"/>
              <w:marRight w:val="0"/>
              <w:marTop w:val="0"/>
              <w:marBottom w:val="0"/>
              <w:divBdr>
                <w:top w:val="none" w:sz="0" w:space="0" w:color="auto"/>
                <w:left w:val="none" w:sz="0" w:space="0" w:color="auto"/>
                <w:bottom w:val="none" w:sz="0" w:space="0" w:color="auto"/>
                <w:right w:val="none" w:sz="0" w:space="0" w:color="auto"/>
              </w:divBdr>
              <w:divsChild>
                <w:div w:id="798839740">
                  <w:marLeft w:val="0"/>
                  <w:marRight w:val="0"/>
                  <w:marTop w:val="0"/>
                  <w:marBottom w:val="0"/>
                  <w:divBdr>
                    <w:top w:val="none" w:sz="0" w:space="0" w:color="auto"/>
                    <w:left w:val="none" w:sz="0" w:space="0" w:color="auto"/>
                    <w:bottom w:val="none" w:sz="0" w:space="0" w:color="auto"/>
                    <w:right w:val="none" w:sz="0" w:space="0" w:color="auto"/>
                  </w:divBdr>
                  <w:divsChild>
                    <w:div w:id="307172481">
                      <w:marLeft w:val="0"/>
                      <w:marRight w:val="0"/>
                      <w:marTop w:val="0"/>
                      <w:marBottom w:val="0"/>
                      <w:divBdr>
                        <w:top w:val="none" w:sz="0" w:space="0" w:color="auto"/>
                        <w:left w:val="none" w:sz="0" w:space="0" w:color="auto"/>
                        <w:bottom w:val="none" w:sz="0" w:space="0" w:color="auto"/>
                        <w:right w:val="none" w:sz="0" w:space="0" w:color="auto"/>
                      </w:divBdr>
                      <w:divsChild>
                        <w:div w:id="2099977215">
                          <w:marLeft w:val="0"/>
                          <w:marRight w:val="0"/>
                          <w:marTop w:val="0"/>
                          <w:marBottom w:val="0"/>
                          <w:divBdr>
                            <w:top w:val="none" w:sz="0" w:space="0" w:color="auto"/>
                            <w:left w:val="none" w:sz="0" w:space="0" w:color="auto"/>
                            <w:bottom w:val="none" w:sz="0" w:space="0" w:color="auto"/>
                            <w:right w:val="none" w:sz="0" w:space="0" w:color="auto"/>
                          </w:divBdr>
                          <w:divsChild>
                            <w:div w:id="2124231380">
                              <w:marLeft w:val="0"/>
                              <w:marRight w:val="0"/>
                              <w:marTop w:val="0"/>
                              <w:marBottom w:val="0"/>
                              <w:divBdr>
                                <w:top w:val="none" w:sz="0" w:space="0" w:color="auto"/>
                                <w:left w:val="none" w:sz="0" w:space="0" w:color="auto"/>
                                <w:bottom w:val="none" w:sz="0" w:space="0" w:color="auto"/>
                                <w:right w:val="none" w:sz="0" w:space="0" w:color="auto"/>
                              </w:divBdr>
                              <w:divsChild>
                                <w:div w:id="53968498">
                                  <w:marLeft w:val="0"/>
                                  <w:marRight w:val="0"/>
                                  <w:marTop w:val="0"/>
                                  <w:marBottom w:val="0"/>
                                  <w:divBdr>
                                    <w:top w:val="none" w:sz="0" w:space="0" w:color="auto"/>
                                    <w:left w:val="none" w:sz="0" w:space="0" w:color="auto"/>
                                    <w:bottom w:val="none" w:sz="0" w:space="0" w:color="auto"/>
                                    <w:right w:val="none" w:sz="0" w:space="0" w:color="auto"/>
                                  </w:divBdr>
                                  <w:divsChild>
                                    <w:div w:id="11672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8311335">
      <w:bodyDiv w:val="1"/>
      <w:marLeft w:val="0"/>
      <w:marRight w:val="0"/>
      <w:marTop w:val="0"/>
      <w:marBottom w:val="0"/>
      <w:divBdr>
        <w:top w:val="none" w:sz="0" w:space="0" w:color="auto"/>
        <w:left w:val="none" w:sz="0" w:space="0" w:color="auto"/>
        <w:bottom w:val="none" w:sz="0" w:space="0" w:color="auto"/>
        <w:right w:val="none" w:sz="0" w:space="0" w:color="auto"/>
      </w:divBdr>
    </w:div>
    <w:div w:id="383413762">
      <w:bodyDiv w:val="1"/>
      <w:marLeft w:val="0"/>
      <w:marRight w:val="0"/>
      <w:marTop w:val="0"/>
      <w:marBottom w:val="0"/>
      <w:divBdr>
        <w:top w:val="none" w:sz="0" w:space="0" w:color="auto"/>
        <w:left w:val="none" w:sz="0" w:space="0" w:color="auto"/>
        <w:bottom w:val="none" w:sz="0" w:space="0" w:color="auto"/>
        <w:right w:val="none" w:sz="0" w:space="0" w:color="auto"/>
      </w:divBdr>
      <w:divsChild>
        <w:div w:id="1528955681">
          <w:marLeft w:val="0"/>
          <w:marRight w:val="0"/>
          <w:marTop w:val="0"/>
          <w:marBottom w:val="0"/>
          <w:divBdr>
            <w:top w:val="none" w:sz="0" w:space="0" w:color="auto"/>
            <w:left w:val="none" w:sz="0" w:space="0" w:color="auto"/>
            <w:bottom w:val="none" w:sz="0" w:space="0" w:color="auto"/>
            <w:right w:val="none" w:sz="0" w:space="0" w:color="auto"/>
          </w:divBdr>
          <w:divsChild>
            <w:div w:id="854534773">
              <w:marLeft w:val="0"/>
              <w:marRight w:val="0"/>
              <w:marTop w:val="0"/>
              <w:marBottom w:val="0"/>
              <w:divBdr>
                <w:top w:val="none" w:sz="0" w:space="0" w:color="auto"/>
                <w:left w:val="none" w:sz="0" w:space="0" w:color="auto"/>
                <w:bottom w:val="none" w:sz="0" w:space="0" w:color="auto"/>
                <w:right w:val="none" w:sz="0" w:space="0" w:color="auto"/>
              </w:divBdr>
              <w:divsChild>
                <w:div w:id="36779263">
                  <w:marLeft w:val="0"/>
                  <w:marRight w:val="0"/>
                  <w:marTop w:val="0"/>
                  <w:marBottom w:val="0"/>
                  <w:divBdr>
                    <w:top w:val="none" w:sz="0" w:space="0" w:color="auto"/>
                    <w:left w:val="none" w:sz="0" w:space="0" w:color="auto"/>
                    <w:bottom w:val="none" w:sz="0" w:space="0" w:color="auto"/>
                    <w:right w:val="none" w:sz="0" w:space="0" w:color="auto"/>
                  </w:divBdr>
                  <w:divsChild>
                    <w:div w:id="107613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6243508">
      <w:bodyDiv w:val="1"/>
      <w:marLeft w:val="0"/>
      <w:marRight w:val="0"/>
      <w:marTop w:val="0"/>
      <w:marBottom w:val="0"/>
      <w:divBdr>
        <w:top w:val="none" w:sz="0" w:space="0" w:color="auto"/>
        <w:left w:val="none" w:sz="0" w:space="0" w:color="auto"/>
        <w:bottom w:val="none" w:sz="0" w:space="0" w:color="auto"/>
        <w:right w:val="none" w:sz="0" w:space="0" w:color="auto"/>
      </w:divBdr>
    </w:div>
    <w:div w:id="543711632">
      <w:bodyDiv w:val="1"/>
      <w:marLeft w:val="0"/>
      <w:marRight w:val="0"/>
      <w:marTop w:val="0"/>
      <w:marBottom w:val="0"/>
      <w:divBdr>
        <w:top w:val="none" w:sz="0" w:space="0" w:color="auto"/>
        <w:left w:val="none" w:sz="0" w:space="0" w:color="auto"/>
        <w:bottom w:val="none" w:sz="0" w:space="0" w:color="auto"/>
        <w:right w:val="none" w:sz="0" w:space="0" w:color="auto"/>
      </w:divBdr>
      <w:divsChild>
        <w:div w:id="1410882250">
          <w:marLeft w:val="0"/>
          <w:marRight w:val="0"/>
          <w:marTop w:val="0"/>
          <w:marBottom w:val="0"/>
          <w:divBdr>
            <w:top w:val="none" w:sz="0" w:space="0" w:color="auto"/>
            <w:left w:val="none" w:sz="0" w:space="0" w:color="auto"/>
            <w:bottom w:val="none" w:sz="0" w:space="0" w:color="auto"/>
            <w:right w:val="none" w:sz="0" w:space="0" w:color="auto"/>
          </w:divBdr>
          <w:divsChild>
            <w:div w:id="1296989488">
              <w:marLeft w:val="0"/>
              <w:marRight w:val="0"/>
              <w:marTop w:val="0"/>
              <w:marBottom w:val="0"/>
              <w:divBdr>
                <w:top w:val="none" w:sz="0" w:space="0" w:color="auto"/>
                <w:left w:val="none" w:sz="0" w:space="0" w:color="auto"/>
                <w:bottom w:val="none" w:sz="0" w:space="0" w:color="auto"/>
                <w:right w:val="none" w:sz="0" w:space="0" w:color="auto"/>
              </w:divBdr>
              <w:divsChild>
                <w:div w:id="1465268660">
                  <w:marLeft w:val="0"/>
                  <w:marRight w:val="0"/>
                  <w:marTop w:val="0"/>
                  <w:marBottom w:val="0"/>
                  <w:divBdr>
                    <w:top w:val="none" w:sz="0" w:space="0" w:color="auto"/>
                    <w:left w:val="none" w:sz="0" w:space="0" w:color="auto"/>
                    <w:bottom w:val="none" w:sz="0" w:space="0" w:color="auto"/>
                    <w:right w:val="none" w:sz="0" w:space="0" w:color="auto"/>
                  </w:divBdr>
                  <w:divsChild>
                    <w:div w:id="1437095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6549906">
      <w:bodyDiv w:val="1"/>
      <w:marLeft w:val="0"/>
      <w:marRight w:val="0"/>
      <w:marTop w:val="0"/>
      <w:marBottom w:val="0"/>
      <w:divBdr>
        <w:top w:val="none" w:sz="0" w:space="0" w:color="auto"/>
        <w:left w:val="none" w:sz="0" w:space="0" w:color="auto"/>
        <w:bottom w:val="none" w:sz="0" w:space="0" w:color="auto"/>
        <w:right w:val="none" w:sz="0" w:space="0" w:color="auto"/>
      </w:divBdr>
      <w:divsChild>
        <w:div w:id="1769884842">
          <w:marLeft w:val="0"/>
          <w:marRight w:val="0"/>
          <w:marTop w:val="0"/>
          <w:marBottom w:val="0"/>
          <w:divBdr>
            <w:top w:val="none" w:sz="0" w:space="0" w:color="auto"/>
            <w:left w:val="none" w:sz="0" w:space="0" w:color="auto"/>
            <w:bottom w:val="none" w:sz="0" w:space="0" w:color="auto"/>
            <w:right w:val="none" w:sz="0" w:space="0" w:color="auto"/>
          </w:divBdr>
          <w:divsChild>
            <w:div w:id="78966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246910">
      <w:bodyDiv w:val="1"/>
      <w:marLeft w:val="0"/>
      <w:marRight w:val="0"/>
      <w:marTop w:val="0"/>
      <w:marBottom w:val="0"/>
      <w:divBdr>
        <w:top w:val="none" w:sz="0" w:space="0" w:color="auto"/>
        <w:left w:val="none" w:sz="0" w:space="0" w:color="auto"/>
        <w:bottom w:val="none" w:sz="0" w:space="0" w:color="auto"/>
        <w:right w:val="none" w:sz="0" w:space="0" w:color="auto"/>
      </w:divBdr>
    </w:div>
    <w:div w:id="615524345">
      <w:bodyDiv w:val="1"/>
      <w:marLeft w:val="0"/>
      <w:marRight w:val="0"/>
      <w:marTop w:val="0"/>
      <w:marBottom w:val="0"/>
      <w:divBdr>
        <w:top w:val="none" w:sz="0" w:space="0" w:color="auto"/>
        <w:left w:val="none" w:sz="0" w:space="0" w:color="auto"/>
        <w:bottom w:val="none" w:sz="0" w:space="0" w:color="auto"/>
        <w:right w:val="none" w:sz="0" w:space="0" w:color="auto"/>
      </w:divBdr>
      <w:divsChild>
        <w:div w:id="286277757">
          <w:marLeft w:val="0"/>
          <w:marRight w:val="0"/>
          <w:marTop w:val="0"/>
          <w:marBottom w:val="0"/>
          <w:divBdr>
            <w:top w:val="none" w:sz="0" w:space="0" w:color="auto"/>
            <w:left w:val="none" w:sz="0" w:space="0" w:color="auto"/>
            <w:bottom w:val="none" w:sz="0" w:space="0" w:color="auto"/>
            <w:right w:val="none" w:sz="0" w:space="0" w:color="auto"/>
          </w:divBdr>
          <w:divsChild>
            <w:div w:id="301665822">
              <w:marLeft w:val="0"/>
              <w:marRight w:val="0"/>
              <w:marTop w:val="0"/>
              <w:marBottom w:val="0"/>
              <w:divBdr>
                <w:top w:val="none" w:sz="0" w:space="0" w:color="auto"/>
                <w:left w:val="none" w:sz="0" w:space="0" w:color="auto"/>
                <w:bottom w:val="none" w:sz="0" w:space="0" w:color="auto"/>
                <w:right w:val="none" w:sz="0" w:space="0" w:color="auto"/>
              </w:divBdr>
            </w:div>
          </w:divsChild>
        </w:div>
        <w:div w:id="842747144">
          <w:marLeft w:val="0"/>
          <w:marRight w:val="0"/>
          <w:marTop w:val="0"/>
          <w:marBottom w:val="0"/>
          <w:divBdr>
            <w:top w:val="none" w:sz="0" w:space="0" w:color="auto"/>
            <w:left w:val="none" w:sz="0" w:space="0" w:color="auto"/>
            <w:bottom w:val="none" w:sz="0" w:space="0" w:color="auto"/>
            <w:right w:val="none" w:sz="0" w:space="0" w:color="auto"/>
          </w:divBdr>
          <w:divsChild>
            <w:div w:id="2095004647">
              <w:marLeft w:val="0"/>
              <w:marRight w:val="0"/>
              <w:marTop w:val="0"/>
              <w:marBottom w:val="0"/>
              <w:divBdr>
                <w:top w:val="none" w:sz="0" w:space="0" w:color="auto"/>
                <w:left w:val="none" w:sz="0" w:space="0" w:color="auto"/>
                <w:bottom w:val="none" w:sz="0" w:space="0" w:color="auto"/>
                <w:right w:val="none" w:sz="0" w:space="0" w:color="auto"/>
              </w:divBdr>
            </w:div>
          </w:divsChild>
        </w:div>
        <w:div w:id="1421490947">
          <w:marLeft w:val="0"/>
          <w:marRight w:val="0"/>
          <w:marTop w:val="0"/>
          <w:marBottom w:val="0"/>
          <w:divBdr>
            <w:top w:val="none" w:sz="0" w:space="0" w:color="auto"/>
            <w:left w:val="none" w:sz="0" w:space="0" w:color="auto"/>
            <w:bottom w:val="none" w:sz="0" w:space="0" w:color="auto"/>
            <w:right w:val="none" w:sz="0" w:space="0" w:color="auto"/>
          </w:divBdr>
          <w:divsChild>
            <w:div w:id="1544513742">
              <w:marLeft w:val="0"/>
              <w:marRight w:val="0"/>
              <w:marTop w:val="0"/>
              <w:marBottom w:val="0"/>
              <w:divBdr>
                <w:top w:val="none" w:sz="0" w:space="0" w:color="auto"/>
                <w:left w:val="none" w:sz="0" w:space="0" w:color="auto"/>
                <w:bottom w:val="none" w:sz="0" w:space="0" w:color="auto"/>
                <w:right w:val="none" w:sz="0" w:space="0" w:color="auto"/>
              </w:divBdr>
            </w:div>
          </w:divsChild>
        </w:div>
        <w:div w:id="142507957">
          <w:marLeft w:val="0"/>
          <w:marRight w:val="0"/>
          <w:marTop w:val="0"/>
          <w:marBottom w:val="0"/>
          <w:divBdr>
            <w:top w:val="none" w:sz="0" w:space="0" w:color="auto"/>
            <w:left w:val="none" w:sz="0" w:space="0" w:color="auto"/>
            <w:bottom w:val="none" w:sz="0" w:space="0" w:color="auto"/>
            <w:right w:val="none" w:sz="0" w:space="0" w:color="auto"/>
          </w:divBdr>
          <w:divsChild>
            <w:div w:id="282270025">
              <w:marLeft w:val="0"/>
              <w:marRight w:val="0"/>
              <w:marTop w:val="0"/>
              <w:marBottom w:val="0"/>
              <w:divBdr>
                <w:top w:val="none" w:sz="0" w:space="0" w:color="auto"/>
                <w:left w:val="none" w:sz="0" w:space="0" w:color="auto"/>
                <w:bottom w:val="none" w:sz="0" w:space="0" w:color="auto"/>
                <w:right w:val="none" w:sz="0" w:space="0" w:color="auto"/>
              </w:divBdr>
            </w:div>
          </w:divsChild>
        </w:div>
        <w:div w:id="1667247044">
          <w:marLeft w:val="0"/>
          <w:marRight w:val="0"/>
          <w:marTop w:val="0"/>
          <w:marBottom w:val="0"/>
          <w:divBdr>
            <w:top w:val="none" w:sz="0" w:space="0" w:color="auto"/>
            <w:left w:val="none" w:sz="0" w:space="0" w:color="auto"/>
            <w:bottom w:val="none" w:sz="0" w:space="0" w:color="auto"/>
            <w:right w:val="none" w:sz="0" w:space="0" w:color="auto"/>
          </w:divBdr>
          <w:divsChild>
            <w:div w:id="1751542037">
              <w:marLeft w:val="0"/>
              <w:marRight w:val="0"/>
              <w:marTop w:val="0"/>
              <w:marBottom w:val="0"/>
              <w:divBdr>
                <w:top w:val="none" w:sz="0" w:space="0" w:color="auto"/>
                <w:left w:val="none" w:sz="0" w:space="0" w:color="auto"/>
                <w:bottom w:val="none" w:sz="0" w:space="0" w:color="auto"/>
                <w:right w:val="none" w:sz="0" w:space="0" w:color="auto"/>
              </w:divBdr>
            </w:div>
          </w:divsChild>
        </w:div>
        <w:div w:id="185753267">
          <w:marLeft w:val="0"/>
          <w:marRight w:val="0"/>
          <w:marTop w:val="0"/>
          <w:marBottom w:val="0"/>
          <w:divBdr>
            <w:top w:val="none" w:sz="0" w:space="0" w:color="auto"/>
            <w:left w:val="none" w:sz="0" w:space="0" w:color="auto"/>
            <w:bottom w:val="none" w:sz="0" w:space="0" w:color="auto"/>
            <w:right w:val="none" w:sz="0" w:space="0" w:color="auto"/>
          </w:divBdr>
          <w:divsChild>
            <w:div w:id="69373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023573">
      <w:bodyDiv w:val="1"/>
      <w:marLeft w:val="0"/>
      <w:marRight w:val="0"/>
      <w:marTop w:val="0"/>
      <w:marBottom w:val="0"/>
      <w:divBdr>
        <w:top w:val="none" w:sz="0" w:space="0" w:color="auto"/>
        <w:left w:val="none" w:sz="0" w:space="0" w:color="auto"/>
        <w:bottom w:val="none" w:sz="0" w:space="0" w:color="auto"/>
        <w:right w:val="none" w:sz="0" w:space="0" w:color="auto"/>
      </w:divBdr>
    </w:div>
    <w:div w:id="665861651">
      <w:bodyDiv w:val="1"/>
      <w:marLeft w:val="0"/>
      <w:marRight w:val="0"/>
      <w:marTop w:val="0"/>
      <w:marBottom w:val="0"/>
      <w:divBdr>
        <w:top w:val="none" w:sz="0" w:space="0" w:color="auto"/>
        <w:left w:val="none" w:sz="0" w:space="0" w:color="auto"/>
        <w:bottom w:val="none" w:sz="0" w:space="0" w:color="auto"/>
        <w:right w:val="none" w:sz="0" w:space="0" w:color="auto"/>
      </w:divBdr>
      <w:divsChild>
        <w:div w:id="1095514877">
          <w:marLeft w:val="0"/>
          <w:marRight w:val="0"/>
          <w:marTop w:val="0"/>
          <w:marBottom w:val="0"/>
          <w:divBdr>
            <w:top w:val="none" w:sz="0" w:space="0" w:color="auto"/>
            <w:left w:val="none" w:sz="0" w:space="0" w:color="auto"/>
            <w:bottom w:val="none" w:sz="0" w:space="0" w:color="auto"/>
            <w:right w:val="none" w:sz="0" w:space="0" w:color="auto"/>
          </w:divBdr>
          <w:divsChild>
            <w:div w:id="1468161296">
              <w:marLeft w:val="0"/>
              <w:marRight w:val="0"/>
              <w:marTop w:val="0"/>
              <w:marBottom w:val="0"/>
              <w:divBdr>
                <w:top w:val="none" w:sz="0" w:space="0" w:color="auto"/>
                <w:left w:val="none" w:sz="0" w:space="0" w:color="auto"/>
                <w:bottom w:val="none" w:sz="0" w:space="0" w:color="auto"/>
                <w:right w:val="none" w:sz="0" w:space="0" w:color="auto"/>
              </w:divBdr>
              <w:divsChild>
                <w:div w:id="646517286">
                  <w:marLeft w:val="0"/>
                  <w:marRight w:val="0"/>
                  <w:marTop w:val="0"/>
                  <w:marBottom w:val="0"/>
                  <w:divBdr>
                    <w:top w:val="none" w:sz="0" w:space="0" w:color="auto"/>
                    <w:left w:val="none" w:sz="0" w:space="0" w:color="auto"/>
                    <w:bottom w:val="none" w:sz="0" w:space="0" w:color="auto"/>
                    <w:right w:val="none" w:sz="0" w:space="0" w:color="auto"/>
                  </w:divBdr>
                  <w:divsChild>
                    <w:div w:id="662852405">
                      <w:marLeft w:val="0"/>
                      <w:marRight w:val="0"/>
                      <w:marTop w:val="0"/>
                      <w:marBottom w:val="0"/>
                      <w:divBdr>
                        <w:top w:val="none" w:sz="0" w:space="0" w:color="auto"/>
                        <w:left w:val="none" w:sz="0" w:space="0" w:color="auto"/>
                        <w:bottom w:val="none" w:sz="0" w:space="0" w:color="auto"/>
                        <w:right w:val="none" w:sz="0" w:space="0" w:color="auto"/>
                      </w:divBdr>
                      <w:divsChild>
                        <w:div w:id="1655405584">
                          <w:marLeft w:val="0"/>
                          <w:marRight w:val="0"/>
                          <w:marTop w:val="0"/>
                          <w:marBottom w:val="0"/>
                          <w:divBdr>
                            <w:top w:val="none" w:sz="0" w:space="0" w:color="auto"/>
                            <w:left w:val="none" w:sz="0" w:space="0" w:color="auto"/>
                            <w:bottom w:val="none" w:sz="0" w:space="0" w:color="auto"/>
                            <w:right w:val="none" w:sz="0" w:space="0" w:color="auto"/>
                          </w:divBdr>
                          <w:divsChild>
                            <w:div w:id="14815376">
                              <w:marLeft w:val="0"/>
                              <w:marRight w:val="0"/>
                              <w:marTop w:val="0"/>
                              <w:marBottom w:val="0"/>
                              <w:divBdr>
                                <w:top w:val="none" w:sz="0" w:space="0" w:color="auto"/>
                                <w:left w:val="none" w:sz="0" w:space="0" w:color="auto"/>
                                <w:bottom w:val="none" w:sz="0" w:space="0" w:color="auto"/>
                                <w:right w:val="none" w:sz="0" w:space="0" w:color="auto"/>
                              </w:divBdr>
                              <w:divsChild>
                                <w:div w:id="1519732371">
                                  <w:marLeft w:val="0"/>
                                  <w:marRight w:val="0"/>
                                  <w:marTop w:val="0"/>
                                  <w:marBottom w:val="0"/>
                                  <w:divBdr>
                                    <w:top w:val="none" w:sz="0" w:space="0" w:color="auto"/>
                                    <w:left w:val="none" w:sz="0" w:space="0" w:color="auto"/>
                                    <w:bottom w:val="none" w:sz="0" w:space="0" w:color="auto"/>
                                    <w:right w:val="none" w:sz="0" w:space="0" w:color="auto"/>
                                  </w:divBdr>
                                  <w:divsChild>
                                    <w:div w:id="1203055171">
                                      <w:marLeft w:val="0"/>
                                      <w:marRight w:val="0"/>
                                      <w:marTop w:val="0"/>
                                      <w:marBottom w:val="0"/>
                                      <w:divBdr>
                                        <w:top w:val="none" w:sz="0" w:space="0" w:color="auto"/>
                                        <w:left w:val="none" w:sz="0" w:space="0" w:color="auto"/>
                                        <w:bottom w:val="none" w:sz="0" w:space="0" w:color="auto"/>
                                        <w:right w:val="none" w:sz="0" w:space="0" w:color="auto"/>
                                      </w:divBdr>
                                      <w:divsChild>
                                        <w:div w:id="1992977641">
                                          <w:marLeft w:val="0"/>
                                          <w:marRight w:val="0"/>
                                          <w:marTop w:val="0"/>
                                          <w:marBottom w:val="0"/>
                                          <w:divBdr>
                                            <w:top w:val="none" w:sz="0" w:space="0" w:color="auto"/>
                                            <w:left w:val="none" w:sz="0" w:space="0" w:color="auto"/>
                                            <w:bottom w:val="none" w:sz="0" w:space="0" w:color="auto"/>
                                            <w:right w:val="none" w:sz="0" w:space="0" w:color="auto"/>
                                          </w:divBdr>
                                          <w:divsChild>
                                            <w:div w:id="147386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74265025">
      <w:bodyDiv w:val="1"/>
      <w:marLeft w:val="0"/>
      <w:marRight w:val="0"/>
      <w:marTop w:val="0"/>
      <w:marBottom w:val="0"/>
      <w:divBdr>
        <w:top w:val="none" w:sz="0" w:space="0" w:color="auto"/>
        <w:left w:val="none" w:sz="0" w:space="0" w:color="auto"/>
        <w:bottom w:val="none" w:sz="0" w:space="0" w:color="auto"/>
        <w:right w:val="none" w:sz="0" w:space="0" w:color="auto"/>
      </w:divBdr>
    </w:div>
    <w:div w:id="737555942">
      <w:bodyDiv w:val="1"/>
      <w:marLeft w:val="0"/>
      <w:marRight w:val="0"/>
      <w:marTop w:val="0"/>
      <w:marBottom w:val="0"/>
      <w:divBdr>
        <w:top w:val="none" w:sz="0" w:space="0" w:color="auto"/>
        <w:left w:val="none" w:sz="0" w:space="0" w:color="auto"/>
        <w:bottom w:val="none" w:sz="0" w:space="0" w:color="auto"/>
        <w:right w:val="none" w:sz="0" w:space="0" w:color="auto"/>
      </w:divBdr>
    </w:div>
    <w:div w:id="818503346">
      <w:bodyDiv w:val="1"/>
      <w:marLeft w:val="0"/>
      <w:marRight w:val="0"/>
      <w:marTop w:val="0"/>
      <w:marBottom w:val="0"/>
      <w:divBdr>
        <w:top w:val="none" w:sz="0" w:space="0" w:color="auto"/>
        <w:left w:val="none" w:sz="0" w:space="0" w:color="auto"/>
        <w:bottom w:val="none" w:sz="0" w:space="0" w:color="auto"/>
        <w:right w:val="none" w:sz="0" w:space="0" w:color="auto"/>
      </w:divBdr>
    </w:div>
    <w:div w:id="908416822">
      <w:bodyDiv w:val="1"/>
      <w:marLeft w:val="0"/>
      <w:marRight w:val="0"/>
      <w:marTop w:val="0"/>
      <w:marBottom w:val="0"/>
      <w:divBdr>
        <w:top w:val="none" w:sz="0" w:space="0" w:color="auto"/>
        <w:left w:val="none" w:sz="0" w:space="0" w:color="auto"/>
        <w:bottom w:val="none" w:sz="0" w:space="0" w:color="auto"/>
        <w:right w:val="none" w:sz="0" w:space="0" w:color="auto"/>
      </w:divBdr>
    </w:div>
    <w:div w:id="909584355">
      <w:bodyDiv w:val="1"/>
      <w:marLeft w:val="0"/>
      <w:marRight w:val="0"/>
      <w:marTop w:val="0"/>
      <w:marBottom w:val="0"/>
      <w:divBdr>
        <w:top w:val="none" w:sz="0" w:space="0" w:color="auto"/>
        <w:left w:val="none" w:sz="0" w:space="0" w:color="auto"/>
        <w:bottom w:val="none" w:sz="0" w:space="0" w:color="auto"/>
        <w:right w:val="none" w:sz="0" w:space="0" w:color="auto"/>
      </w:divBdr>
    </w:div>
    <w:div w:id="1014189444">
      <w:bodyDiv w:val="1"/>
      <w:marLeft w:val="0"/>
      <w:marRight w:val="0"/>
      <w:marTop w:val="0"/>
      <w:marBottom w:val="0"/>
      <w:divBdr>
        <w:top w:val="none" w:sz="0" w:space="0" w:color="auto"/>
        <w:left w:val="none" w:sz="0" w:space="0" w:color="auto"/>
        <w:bottom w:val="none" w:sz="0" w:space="0" w:color="auto"/>
        <w:right w:val="none" w:sz="0" w:space="0" w:color="auto"/>
      </w:divBdr>
      <w:divsChild>
        <w:div w:id="1345286213">
          <w:marLeft w:val="0"/>
          <w:marRight w:val="0"/>
          <w:marTop w:val="0"/>
          <w:marBottom w:val="0"/>
          <w:divBdr>
            <w:top w:val="none" w:sz="0" w:space="0" w:color="auto"/>
            <w:left w:val="none" w:sz="0" w:space="0" w:color="auto"/>
            <w:bottom w:val="none" w:sz="0" w:space="0" w:color="auto"/>
            <w:right w:val="none" w:sz="0" w:space="0" w:color="auto"/>
          </w:divBdr>
          <w:divsChild>
            <w:div w:id="1947998689">
              <w:marLeft w:val="0"/>
              <w:marRight w:val="0"/>
              <w:marTop w:val="0"/>
              <w:marBottom w:val="0"/>
              <w:divBdr>
                <w:top w:val="none" w:sz="0" w:space="0" w:color="auto"/>
                <w:left w:val="none" w:sz="0" w:space="0" w:color="auto"/>
                <w:bottom w:val="none" w:sz="0" w:space="0" w:color="auto"/>
                <w:right w:val="none" w:sz="0" w:space="0" w:color="auto"/>
              </w:divBdr>
              <w:divsChild>
                <w:div w:id="189875191">
                  <w:marLeft w:val="0"/>
                  <w:marRight w:val="0"/>
                  <w:marTop w:val="0"/>
                  <w:marBottom w:val="0"/>
                  <w:divBdr>
                    <w:top w:val="none" w:sz="0" w:space="0" w:color="auto"/>
                    <w:left w:val="none" w:sz="0" w:space="0" w:color="auto"/>
                    <w:bottom w:val="none" w:sz="0" w:space="0" w:color="auto"/>
                    <w:right w:val="none" w:sz="0" w:space="0" w:color="auto"/>
                  </w:divBdr>
                  <w:divsChild>
                    <w:div w:id="133640909">
                      <w:marLeft w:val="0"/>
                      <w:marRight w:val="0"/>
                      <w:marTop w:val="0"/>
                      <w:marBottom w:val="0"/>
                      <w:divBdr>
                        <w:top w:val="none" w:sz="0" w:space="0" w:color="auto"/>
                        <w:left w:val="none" w:sz="0" w:space="0" w:color="auto"/>
                        <w:bottom w:val="none" w:sz="0" w:space="0" w:color="auto"/>
                        <w:right w:val="none" w:sz="0" w:space="0" w:color="auto"/>
                      </w:divBdr>
                      <w:divsChild>
                        <w:div w:id="1065303451">
                          <w:marLeft w:val="0"/>
                          <w:marRight w:val="0"/>
                          <w:marTop w:val="0"/>
                          <w:marBottom w:val="0"/>
                          <w:divBdr>
                            <w:top w:val="none" w:sz="0" w:space="0" w:color="auto"/>
                            <w:left w:val="none" w:sz="0" w:space="0" w:color="auto"/>
                            <w:bottom w:val="none" w:sz="0" w:space="0" w:color="auto"/>
                            <w:right w:val="none" w:sz="0" w:space="0" w:color="auto"/>
                          </w:divBdr>
                          <w:divsChild>
                            <w:div w:id="455687287">
                              <w:marLeft w:val="0"/>
                              <w:marRight w:val="0"/>
                              <w:marTop w:val="0"/>
                              <w:marBottom w:val="0"/>
                              <w:divBdr>
                                <w:top w:val="none" w:sz="0" w:space="0" w:color="auto"/>
                                <w:left w:val="none" w:sz="0" w:space="0" w:color="auto"/>
                                <w:bottom w:val="none" w:sz="0" w:space="0" w:color="auto"/>
                                <w:right w:val="none" w:sz="0" w:space="0" w:color="auto"/>
                              </w:divBdr>
                              <w:divsChild>
                                <w:div w:id="1744258340">
                                  <w:marLeft w:val="0"/>
                                  <w:marRight w:val="0"/>
                                  <w:marTop w:val="0"/>
                                  <w:marBottom w:val="0"/>
                                  <w:divBdr>
                                    <w:top w:val="none" w:sz="0" w:space="0" w:color="auto"/>
                                    <w:left w:val="none" w:sz="0" w:space="0" w:color="auto"/>
                                    <w:bottom w:val="none" w:sz="0" w:space="0" w:color="auto"/>
                                    <w:right w:val="none" w:sz="0" w:space="0" w:color="auto"/>
                                  </w:divBdr>
                                  <w:divsChild>
                                    <w:div w:id="105312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0296525">
      <w:bodyDiv w:val="1"/>
      <w:marLeft w:val="0"/>
      <w:marRight w:val="0"/>
      <w:marTop w:val="0"/>
      <w:marBottom w:val="0"/>
      <w:divBdr>
        <w:top w:val="none" w:sz="0" w:space="0" w:color="auto"/>
        <w:left w:val="none" w:sz="0" w:space="0" w:color="auto"/>
        <w:bottom w:val="none" w:sz="0" w:space="0" w:color="auto"/>
        <w:right w:val="none" w:sz="0" w:space="0" w:color="auto"/>
      </w:divBdr>
    </w:div>
    <w:div w:id="1082336959">
      <w:bodyDiv w:val="1"/>
      <w:marLeft w:val="0"/>
      <w:marRight w:val="0"/>
      <w:marTop w:val="0"/>
      <w:marBottom w:val="0"/>
      <w:divBdr>
        <w:top w:val="none" w:sz="0" w:space="0" w:color="auto"/>
        <w:left w:val="none" w:sz="0" w:space="0" w:color="auto"/>
        <w:bottom w:val="none" w:sz="0" w:space="0" w:color="auto"/>
        <w:right w:val="none" w:sz="0" w:space="0" w:color="auto"/>
      </w:divBdr>
    </w:div>
    <w:div w:id="1100445015">
      <w:bodyDiv w:val="1"/>
      <w:marLeft w:val="0"/>
      <w:marRight w:val="0"/>
      <w:marTop w:val="0"/>
      <w:marBottom w:val="0"/>
      <w:divBdr>
        <w:top w:val="none" w:sz="0" w:space="0" w:color="auto"/>
        <w:left w:val="none" w:sz="0" w:space="0" w:color="auto"/>
        <w:bottom w:val="none" w:sz="0" w:space="0" w:color="auto"/>
        <w:right w:val="none" w:sz="0" w:space="0" w:color="auto"/>
      </w:divBdr>
    </w:div>
    <w:div w:id="1108310368">
      <w:bodyDiv w:val="1"/>
      <w:marLeft w:val="0"/>
      <w:marRight w:val="0"/>
      <w:marTop w:val="0"/>
      <w:marBottom w:val="0"/>
      <w:divBdr>
        <w:top w:val="none" w:sz="0" w:space="0" w:color="auto"/>
        <w:left w:val="none" w:sz="0" w:space="0" w:color="auto"/>
        <w:bottom w:val="none" w:sz="0" w:space="0" w:color="auto"/>
        <w:right w:val="none" w:sz="0" w:space="0" w:color="auto"/>
      </w:divBdr>
    </w:div>
    <w:div w:id="1133788615">
      <w:bodyDiv w:val="1"/>
      <w:marLeft w:val="0"/>
      <w:marRight w:val="0"/>
      <w:marTop w:val="0"/>
      <w:marBottom w:val="0"/>
      <w:divBdr>
        <w:top w:val="none" w:sz="0" w:space="0" w:color="auto"/>
        <w:left w:val="none" w:sz="0" w:space="0" w:color="auto"/>
        <w:bottom w:val="none" w:sz="0" w:space="0" w:color="auto"/>
        <w:right w:val="none" w:sz="0" w:space="0" w:color="auto"/>
      </w:divBdr>
      <w:divsChild>
        <w:div w:id="1356420353">
          <w:marLeft w:val="0"/>
          <w:marRight w:val="0"/>
          <w:marTop w:val="0"/>
          <w:marBottom w:val="0"/>
          <w:divBdr>
            <w:top w:val="none" w:sz="0" w:space="0" w:color="auto"/>
            <w:left w:val="none" w:sz="0" w:space="0" w:color="auto"/>
            <w:bottom w:val="none" w:sz="0" w:space="0" w:color="auto"/>
            <w:right w:val="none" w:sz="0" w:space="0" w:color="auto"/>
          </w:divBdr>
          <w:divsChild>
            <w:div w:id="1435325568">
              <w:marLeft w:val="0"/>
              <w:marRight w:val="0"/>
              <w:marTop w:val="0"/>
              <w:marBottom w:val="0"/>
              <w:divBdr>
                <w:top w:val="none" w:sz="0" w:space="0" w:color="auto"/>
                <w:left w:val="none" w:sz="0" w:space="0" w:color="auto"/>
                <w:bottom w:val="none" w:sz="0" w:space="0" w:color="auto"/>
                <w:right w:val="none" w:sz="0" w:space="0" w:color="auto"/>
              </w:divBdr>
            </w:div>
          </w:divsChild>
        </w:div>
        <w:div w:id="62532631">
          <w:marLeft w:val="0"/>
          <w:marRight w:val="0"/>
          <w:marTop w:val="0"/>
          <w:marBottom w:val="0"/>
          <w:divBdr>
            <w:top w:val="none" w:sz="0" w:space="0" w:color="auto"/>
            <w:left w:val="none" w:sz="0" w:space="0" w:color="auto"/>
            <w:bottom w:val="none" w:sz="0" w:space="0" w:color="auto"/>
            <w:right w:val="none" w:sz="0" w:space="0" w:color="auto"/>
          </w:divBdr>
          <w:divsChild>
            <w:div w:id="1903564631">
              <w:marLeft w:val="0"/>
              <w:marRight w:val="0"/>
              <w:marTop w:val="0"/>
              <w:marBottom w:val="0"/>
              <w:divBdr>
                <w:top w:val="none" w:sz="0" w:space="0" w:color="auto"/>
                <w:left w:val="none" w:sz="0" w:space="0" w:color="auto"/>
                <w:bottom w:val="none" w:sz="0" w:space="0" w:color="auto"/>
                <w:right w:val="none" w:sz="0" w:space="0" w:color="auto"/>
              </w:divBdr>
            </w:div>
          </w:divsChild>
        </w:div>
        <w:div w:id="213780206">
          <w:marLeft w:val="0"/>
          <w:marRight w:val="0"/>
          <w:marTop w:val="0"/>
          <w:marBottom w:val="0"/>
          <w:divBdr>
            <w:top w:val="none" w:sz="0" w:space="0" w:color="auto"/>
            <w:left w:val="none" w:sz="0" w:space="0" w:color="auto"/>
            <w:bottom w:val="none" w:sz="0" w:space="0" w:color="auto"/>
            <w:right w:val="none" w:sz="0" w:space="0" w:color="auto"/>
          </w:divBdr>
          <w:divsChild>
            <w:div w:id="1098912583">
              <w:marLeft w:val="0"/>
              <w:marRight w:val="0"/>
              <w:marTop w:val="0"/>
              <w:marBottom w:val="0"/>
              <w:divBdr>
                <w:top w:val="none" w:sz="0" w:space="0" w:color="auto"/>
                <w:left w:val="none" w:sz="0" w:space="0" w:color="auto"/>
                <w:bottom w:val="none" w:sz="0" w:space="0" w:color="auto"/>
                <w:right w:val="none" w:sz="0" w:space="0" w:color="auto"/>
              </w:divBdr>
            </w:div>
          </w:divsChild>
        </w:div>
        <w:div w:id="1581258016">
          <w:marLeft w:val="0"/>
          <w:marRight w:val="0"/>
          <w:marTop w:val="0"/>
          <w:marBottom w:val="0"/>
          <w:divBdr>
            <w:top w:val="none" w:sz="0" w:space="0" w:color="auto"/>
            <w:left w:val="none" w:sz="0" w:space="0" w:color="auto"/>
            <w:bottom w:val="none" w:sz="0" w:space="0" w:color="auto"/>
            <w:right w:val="none" w:sz="0" w:space="0" w:color="auto"/>
          </w:divBdr>
          <w:divsChild>
            <w:div w:id="356656863">
              <w:marLeft w:val="0"/>
              <w:marRight w:val="0"/>
              <w:marTop w:val="0"/>
              <w:marBottom w:val="0"/>
              <w:divBdr>
                <w:top w:val="none" w:sz="0" w:space="0" w:color="auto"/>
                <w:left w:val="none" w:sz="0" w:space="0" w:color="auto"/>
                <w:bottom w:val="none" w:sz="0" w:space="0" w:color="auto"/>
                <w:right w:val="none" w:sz="0" w:space="0" w:color="auto"/>
              </w:divBdr>
            </w:div>
          </w:divsChild>
        </w:div>
        <w:div w:id="588124140">
          <w:marLeft w:val="0"/>
          <w:marRight w:val="0"/>
          <w:marTop w:val="0"/>
          <w:marBottom w:val="0"/>
          <w:divBdr>
            <w:top w:val="none" w:sz="0" w:space="0" w:color="auto"/>
            <w:left w:val="none" w:sz="0" w:space="0" w:color="auto"/>
            <w:bottom w:val="none" w:sz="0" w:space="0" w:color="auto"/>
            <w:right w:val="none" w:sz="0" w:space="0" w:color="auto"/>
          </w:divBdr>
          <w:divsChild>
            <w:div w:id="463699727">
              <w:marLeft w:val="0"/>
              <w:marRight w:val="0"/>
              <w:marTop w:val="0"/>
              <w:marBottom w:val="0"/>
              <w:divBdr>
                <w:top w:val="none" w:sz="0" w:space="0" w:color="auto"/>
                <w:left w:val="none" w:sz="0" w:space="0" w:color="auto"/>
                <w:bottom w:val="none" w:sz="0" w:space="0" w:color="auto"/>
                <w:right w:val="none" w:sz="0" w:space="0" w:color="auto"/>
              </w:divBdr>
            </w:div>
          </w:divsChild>
        </w:div>
        <w:div w:id="1007174782">
          <w:marLeft w:val="0"/>
          <w:marRight w:val="0"/>
          <w:marTop w:val="0"/>
          <w:marBottom w:val="0"/>
          <w:divBdr>
            <w:top w:val="none" w:sz="0" w:space="0" w:color="auto"/>
            <w:left w:val="none" w:sz="0" w:space="0" w:color="auto"/>
            <w:bottom w:val="none" w:sz="0" w:space="0" w:color="auto"/>
            <w:right w:val="none" w:sz="0" w:space="0" w:color="auto"/>
          </w:divBdr>
          <w:divsChild>
            <w:div w:id="80204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300719">
      <w:bodyDiv w:val="1"/>
      <w:marLeft w:val="0"/>
      <w:marRight w:val="0"/>
      <w:marTop w:val="0"/>
      <w:marBottom w:val="0"/>
      <w:divBdr>
        <w:top w:val="none" w:sz="0" w:space="0" w:color="auto"/>
        <w:left w:val="none" w:sz="0" w:space="0" w:color="auto"/>
        <w:bottom w:val="none" w:sz="0" w:space="0" w:color="auto"/>
        <w:right w:val="none" w:sz="0" w:space="0" w:color="auto"/>
      </w:divBdr>
    </w:div>
    <w:div w:id="1201547592">
      <w:bodyDiv w:val="1"/>
      <w:marLeft w:val="0"/>
      <w:marRight w:val="0"/>
      <w:marTop w:val="0"/>
      <w:marBottom w:val="0"/>
      <w:divBdr>
        <w:top w:val="none" w:sz="0" w:space="0" w:color="auto"/>
        <w:left w:val="none" w:sz="0" w:space="0" w:color="auto"/>
        <w:bottom w:val="none" w:sz="0" w:space="0" w:color="auto"/>
        <w:right w:val="none" w:sz="0" w:space="0" w:color="auto"/>
      </w:divBdr>
    </w:div>
    <w:div w:id="1248617312">
      <w:bodyDiv w:val="1"/>
      <w:marLeft w:val="0"/>
      <w:marRight w:val="0"/>
      <w:marTop w:val="0"/>
      <w:marBottom w:val="0"/>
      <w:divBdr>
        <w:top w:val="none" w:sz="0" w:space="0" w:color="auto"/>
        <w:left w:val="none" w:sz="0" w:space="0" w:color="auto"/>
        <w:bottom w:val="none" w:sz="0" w:space="0" w:color="auto"/>
        <w:right w:val="none" w:sz="0" w:space="0" w:color="auto"/>
      </w:divBdr>
      <w:divsChild>
        <w:div w:id="2077581771">
          <w:marLeft w:val="0"/>
          <w:marRight w:val="0"/>
          <w:marTop w:val="0"/>
          <w:marBottom w:val="0"/>
          <w:divBdr>
            <w:top w:val="none" w:sz="0" w:space="0" w:color="auto"/>
            <w:left w:val="none" w:sz="0" w:space="0" w:color="auto"/>
            <w:bottom w:val="none" w:sz="0" w:space="0" w:color="auto"/>
            <w:right w:val="none" w:sz="0" w:space="0" w:color="auto"/>
          </w:divBdr>
          <w:divsChild>
            <w:div w:id="846216026">
              <w:marLeft w:val="0"/>
              <w:marRight w:val="0"/>
              <w:marTop w:val="0"/>
              <w:marBottom w:val="0"/>
              <w:divBdr>
                <w:top w:val="none" w:sz="0" w:space="0" w:color="auto"/>
                <w:left w:val="none" w:sz="0" w:space="0" w:color="auto"/>
                <w:bottom w:val="none" w:sz="0" w:space="0" w:color="auto"/>
                <w:right w:val="none" w:sz="0" w:space="0" w:color="auto"/>
              </w:divBdr>
              <w:divsChild>
                <w:div w:id="1652174576">
                  <w:marLeft w:val="0"/>
                  <w:marRight w:val="0"/>
                  <w:marTop w:val="0"/>
                  <w:marBottom w:val="0"/>
                  <w:divBdr>
                    <w:top w:val="none" w:sz="0" w:space="0" w:color="auto"/>
                    <w:left w:val="none" w:sz="0" w:space="0" w:color="auto"/>
                    <w:bottom w:val="none" w:sz="0" w:space="0" w:color="auto"/>
                    <w:right w:val="none" w:sz="0" w:space="0" w:color="auto"/>
                  </w:divBdr>
                  <w:divsChild>
                    <w:div w:id="1888251400">
                      <w:marLeft w:val="0"/>
                      <w:marRight w:val="0"/>
                      <w:marTop w:val="0"/>
                      <w:marBottom w:val="0"/>
                      <w:divBdr>
                        <w:top w:val="none" w:sz="0" w:space="0" w:color="auto"/>
                        <w:left w:val="none" w:sz="0" w:space="0" w:color="auto"/>
                        <w:bottom w:val="none" w:sz="0" w:space="0" w:color="auto"/>
                        <w:right w:val="none" w:sz="0" w:space="0" w:color="auto"/>
                      </w:divBdr>
                      <w:divsChild>
                        <w:div w:id="1055354337">
                          <w:marLeft w:val="0"/>
                          <w:marRight w:val="0"/>
                          <w:marTop w:val="0"/>
                          <w:marBottom w:val="0"/>
                          <w:divBdr>
                            <w:top w:val="none" w:sz="0" w:space="0" w:color="auto"/>
                            <w:left w:val="none" w:sz="0" w:space="0" w:color="auto"/>
                            <w:bottom w:val="none" w:sz="0" w:space="0" w:color="auto"/>
                            <w:right w:val="none" w:sz="0" w:space="0" w:color="auto"/>
                          </w:divBdr>
                          <w:divsChild>
                            <w:div w:id="1863129768">
                              <w:marLeft w:val="0"/>
                              <w:marRight w:val="0"/>
                              <w:marTop w:val="0"/>
                              <w:marBottom w:val="0"/>
                              <w:divBdr>
                                <w:top w:val="none" w:sz="0" w:space="0" w:color="auto"/>
                                <w:left w:val="none" w:sz="0" w:space="0" w:color="auto"/>
                                <w:bottom w:val="none" w:sz="0" w:space="0" w:color="auto"/>
                                <w:right w:val="none" w:sz="0" w:space="0" w:color="auto"/>
                              </w:divBdr>
                              <w:divsChild>
                                <w:div w:id="1866861872">
                                  <w:marLeft w:val="0"/>
                                  <w:marRight w:val="0"/>
                                  <w:marTop w:val="0"/>
                                  <w:marBottom w:val="0"/>
                                  <w:divBdr>
                                    <w:top w:val="none" w:sz="0" w:space="0" w:color="auto"/>
                                    <w:left w:val="none" w:sz="0" w:space="0" w:color="auto"/>
                                    <w:bottom w:val="none" w:sz="0" w:space="0" w:color="auto"/>
                                    <w:right w:val="none" w:sz="0" w:space="0" w:color="auto"/>
                                  </w:divBdr>
                                  <w:divsChild>
                                    <w:div w:id="1381595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0137788">
      <w:bodyDiv w:val="1"/>
      <w:marLeft w:val="0"/>
      <w:marRight w:val="0"/>
      <w:marTop w:val="0"/>
      <w:marBottom w:val="0"/>
      <w:divBdr>
        <w:top w:val="none" w:sz="0" w:space="0" w:color="auto"/>
        <w:left w:val="none" w:sz="0" w:space="0" w:color="auto"/>
        <w:bottom w:val="none" w:sz="0" w:space="0" w:color="auto"/>
        <w:right w:val="none" w:sz="0" w:space="0" w:color="auto"/>
      </w:divBdr>
      <w:divsChild>
        <w:div w:id="379523215">
          <w:marLeft w:val="0"/>
          <w:marRight w:val="0"/>
          <w:marTop w:val="0"/>
          <w:marBottom w:val="0"/>
          <w:divBdr>
            <w:top w:val="none" w:sz="0" w:space="0" w:color="auto"/>
            <w:left w:val="none" w:sz="0" w:space="0" w:color="auto"/>
            <w:bottom w:val="none" w:sz="0" w:space="0" w:color="auto"/>
            <w:right w:val="none" w:sz="0" w:space="0" w:color="auto"/>
          </w:divBdr>
          <w:divsChild>
            <w:div w:id="77219111">
              <w:marLeft w:val="0"/>
              <w:marRight w:val="0"/>
              <w:marTop w:val="0"/>
              <w:marBottom w:val="0"/>
              <w:divBdr>
                <w:top w:val="none" w:sz="0" w:space="0" w:color="auto"/>
                <w:left w:val="none" w:sz="0" w:space="0" w:color="auto"/>
                <w:bottom w:val="none" w:sz="0" w:space="0" w:color="auto"/>
                <w:right w:val="none" w:sz="0" w:space="0" w:color="auto"/>
              </w:divBdr>
              <w:divsChild>
                <w:div w:id="395393168">
                  <w:marLeft w:val="0"/>
                  <w:marRight w:val="0"/>
                  <w:marTop w:val="0"/>
                  <w:marBottom w:val="0"/>
                  <w:divBdr>
                    <w:top w:val="none" w:sz="0" w:space="0" w:color="auto"/>
                    <w:left w:val="none" w:sz="0" w:space="0" w:color="auto"/>
                    <w:bottom w:val="none" w:sz="0" w:space="0" w:color="auto"/>
                    <w:right w:val="none" w:sz="0" w:space="0" w:color="auto"/>
                  </w:divBdr>
                  <w:divsChild>
                    <w:div w:id="1218856979">
                      <w:marLeft w:val="0"/>
                      <w:marRight w:val="0"/>
                      <w:marTop w:val="0"/>
                      <w:marBottom w:val="0"/>
                      <w:divBdr>
                        <w:top w:val="none" w:sz="0" w:space="0" w:color="auto"/>
                        <w:left w:val="none" w:sz="0" w:space="0" w:color="auto"/>
                        <w:bottom w:val="none" w:sz="0" w:space="0" w:color="auto"/>
                        <w:right w:val="none" w:sz="0" w:space="0" w:color="auto"/>
                      </w:divBdr>
                      <w:divsChild>
                        <w:div w:id="1714648237">
                          <w:marLeft w:val="0"/>
                          <w:marRight w:val="0"/>
                          <w:marTop w:val="0"/>
                          <w:marBottom w:val="0"/>
                          <w:divBdr>
                            <w:top w:val="none" w:sz="0" w:space="0" w:color="auto"/>
                            <w:left w:val="none" w:sz="0" w:space="0" w:color="auto"/>
                            <w:bottom w:val="none" w:sz="0" w:space="0" w:color="auto"/>
                            <w:right w:val="none" w:sz="0" w:space="0" w:color="auto"/>
                          </w:divBdr>
                          <w:divsChild>
                            <w:div w:id="1521163108">
                              <w:marLeft w:val="0"/>
                              <w:marRight w:val="0"/>
                              <w:marTop w:val="0"/>
                              <w:marBottom w:val="0"/>
                              <w:divBdr>
                                <w:top w:val="none" w:sz="0" w:space="0" w:color="auto"/>
                                <w:left w:val="none" w:sz="0" w:space="0" w:color="auto"/>
                                <w:bottom w:val="none" w:sz="0" w:space="0" w:color="auto"/>
                                <w:right w:val="none" w:sz="0" w:space="0" w:color="auto"/>
                              </w:divBdr>
                              <w:divsChild>
                                <w:div w:id="1225484121">
                                  <w:marLeft w:val="0"/>
                                  <w:marRight w:val="0"/>
                                  <w:marTop w:val="0"/>
                                  <w:marBottom w:val="0"/>
                                  <w:divBdr>
                                    <w:top w:val="none" w:sz="0" w:space="0" w:color="auto"/>
                                    <w:left w:val="none" w:sz="0" w:space="0" w:color="auto"/>
                                    <w:bottom w:val="none" w:sz="0" w:space="0" w:color="auto"/>
                                    <w:right w:val="none" w:sz="0" w:space="0" w:color="auto"/>
                                  </w:divBdr>
                                  <w:divsChild>
                                    <w:div w:id="108226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8707933">
      <w:bodyDiv w:val="1"/>
      <w:marLeft w:val="0"/>
      <w:marRight w:val="0"/>
      <w:marTop w:val="0"/>
      <w:marBottom w:val="0"/>
      <w:divBdr>
        <w:top w:val="none" w:sz="0" w:space="0" w:color="auto"/>
        <w:left w:val="none" w:sz="0" w:space="0" w:color="auto"/>
        <w:bottom w:val="none" w:sz="0" w:space="0" w:color="auto"/>
        <w:right w:val="none" w:sz="0" w:space="0" w:color="auto"/>
      </w:divBdr>
    </w:div>
    <w:div w:id="1408959762">
      <w:bodyDiv w:val="1"/>
      <w:marLeft w:val="0"/>
      <w:marRight w:val="0"/>
      <w:marTop w:val="0"/>
      <w:marBottom w:val="0"/>
      <w:divBdr>
        <w:top w:val="none" w:sz="0" w:space="0" w:color="auto"/>
        <w:left w:val="none" w:sz="0" w:space="0" w:color="auto"/>
        <w:bottom w:val="none" w:sz="0" w:space="0" w:color="auto"/>
        <w:right w:val="none" w:sz="0" w:space="0" w:color="auto"/>
      </w:divBdr>
    </w:div>
    <w:div w:id="1523469876">
      <w:bodyDiv w:val="1"/>
      <w:marLeft w:val="0"/>
      <w:marRight w:val="0"/>
      <w:marTop w:val="0"/>
      <w:marBottom w:val="0"/>
      <w:divBdr>
        <w:top w:val="none" w:sz="0" w:space="0" w:color="auto"/>
        <w:left w:val="none" w:sz="0" w:space="0" w:color="auto"/>
        <w:bottom w:val="none" w:sz="0" w:space="0" w:color="auto"/>
        <w:right w:val="none" w:sz="0" w:space="0" w:color="auto"/>
      </w:divBdr>
    </w:div>
    <w:div w:id="1598053983">
      <w:bodyDiv w:val="1"/>
      <w:marLeft w:val="0"/>
      <w:marRight w:val="0"/>
      <w:marTop w:val="0"/>
      <w:marBottom w:val="0"/>
      <w:divBdr>
        <w:top w:val="none" w:sz="0" w:space="0" w:color="auto"/>
        <w:left w:val="none" w:sz="0" w:space="0" w:color="auto"/>
        <w:bottom w:val="none" w:sz="0" w:space="0" w:color="auto"/>
        <w:right w:val="none" w:sz="0" w:space="0" w:color="auto"/>
      </w:divBdr>
    </w:div>
    <w:div w:id="1649892974">
      <w:bodyDiv w:val="1"/>
      <w:marLeft w:val="0"/>
      <w:marRight w:val="0"/>
      <w:marTop w:val="0"/>
      <w:marBottom w:val="0"/>
      <w:divBdr>
        <w:top w:val="none" w:sz="0" w:space="0" w:color="auto"/>
        <w:left w:val="none" w:sz="0" w:space="0" w:color="auto"/>
        <w:bottom w:val="none" w:sz="0" w:space="0" w:color="auto"/>
        <w:right w:val="none" w:sz="0" w:space="0" w:color="auto"/>
      </w:divBdr>
    </w:div>
    <w:div w:id="1673491614">
      <w:bodyDiv w:val="1"/>
      <w:marLeft w:val="0"/>
      <w:marRight w:val="0"/>
      <w:marTop w:val="0"/>
      <w:marBottom w:val="0"/>
      <w:divBdr>
        <w:top w:val="none" w:sz="0" w:space="0" w:color="auto"/>
        <w:left w:val="none" w:sz="0" w:space="0" w:color="auto"/>
        <w:bottom w:val="none" w:sz="0" w:space="0" w:color="auto"/>
        <w:right w:val="none" w:sz="0" w:space="0" w:color="auto"/>
      </w:divBdr>
    </w:div>
    <w:div w:id="1709066787">
      <w:bodyDiv w:val="1"/>
      <w:marLeft w:val="0"/>
      <w:marRight w:val="0"/>
      <w:marTop w:val="0"/>
      <w:marBottom w:val="0"/>
      <w:divBdr>
        <w:top w:val="none" w:sz="0" w:space="0" w:color="auto"/>
        <w:left w:val="none" w:sz="0" w:space="0" w:color="auto"/>
        <w:bottom w:val="none" w:sz="0" w:space="0" w:color="auto"/>
        <w:right w:val="none" w:sz="0" w:space="0" w:color="auto"/>
      </w:divBdr>
    </w:div>
    <w:div w:id="1742874382">
      <w:bodyDiv w:val="1"/>
      <w:marLeft w:val="0"/>
      <w:marRight w:val="0"/>
      <w:marTop w:val="0"/>
      <w:marBottom w:val="0"/>
      <w:divBdr>
        <w:top w:val="none" w:sz="0" w:space="0" w:color="auto"/>
        <w:left w:val="none" w:sz="0" w:space="0" w:color="auto"/>
        <w:bottom w:val="none" w:sz="0" w:space="0" w:color="auto"/>
        <w:right w:val="none" w:sz="0" w:space="0" w:color="auto"/>
      </w:divBdr>
    </w:div>
    <w:div w:id="1755778012">
      <w:bodyDiv w:val="1"/>
      <w:marLeft w:val="0"/>
      <w:marRight w:val="0"/>
      <w:marTop w:val="0"/>
      <w:marBottom w:val="0"/>
      <w:divBdr>
        <w:top w:val="none" w:sz="0" w:space="0" w:color="auto"/>
        <w:left w:val="none" w:sz="0" w:space="0" w:color="auto"/>
        <w:bottom w:val="none" w:sz="0" w:space="0" w:color="auto"/>
        <w:right w:val="none" w:sz="0" w:space="0" w:color="auto"/>
      </w:divBdr>
    </w:div>
    <w:div w:id="1765497188">
      <w:bodyDiv w:val="1"/>
      <w:marLeft w:val="0"/>
      <w:marRight w:val="0"/>
      <w:marTop w:val="0"/>
      <w:marBottom w:val="0"/>
      <w:divBdr>
        <w:top w:val="none" w:sz="0" w:space="0" w:color="auto"/>
        <w:left w:val="none" w:sz="0" w:space="0" w:color="auto"/>
        <w:bottom w:val="none" w:sz="0" w:space="0" w:color="auto"/>
        <w:right w:val="none" w:sz="0" w:space="0" w:color="auto"/>
      </w:divBdr>
      <w:divsChild>
        <w:div w:id="1733427753">
          <w:marLeft w:val="0"/>
          <w:marRight w:val="0"/>
          <w:marTop w:val="0"/>
          <w:marBottom w:val="0"/>
          <w:divBdr>
            <w:top w:val="none" w:sz="0" w:space="0" w:color="auto"/>
            <w:left w:val="none" w:sz="0" w:space="0" w:color="auto"/>
            <w:bottom w:val="none" w:sz="0" w:space="0" w:color="auto"/>
            <w:right w:val="none" w:sz="0" w:space="0" w:color="auto"/>
          </w:divBdr>
          <w:divsChild>
            <w:div w:id="160975106">
              <w:marLeft w:val="0"/>
              <w:marRight w:val="0"/>
              <w:marTop w:val="0"/>
              <w:marBottom w:val="0"/>
              <w:divBdr>
                <w:top w:val="none" w:sz="0" w:space="0" w:color="auto"/>
                <w:left w:val="none" w:sz="0" w:space="0" w:color="auto"/>
                <w:bottom w:val="none" w:sz="0" w:space="0" w:color="auto"/>
                <w:right w:val="none" w:sz="0" w:space="0" w:color="auto"/>
              </w:divBdr>
              <w:divsChild>
                <w:div w:id="353195324">
                  <w:marLeft w:val="0"/>
                  <w:marRight w:val="0"/>
                  <w:marTop w:val="0"/>
                  <w:marBottom w:val="0"/>
                  <w:divBdr>
                    <w:top w:val="none" w:sz="0" w:space="0" w:color="auto"/>
                    <w:left w:val="none" w:sz="0" w:space="0" w:color="auto"/>
                    <w:bottom w:val="none" w:sz="0" w:space="0" w:color="auto"/>
                    <w:right w:val="none" w:sz="0" w:space="0" w:color="auto"/>
                  </w:divBdr>
                  <w:divsChild>
                    <w:div w:id="1995910898">
                      <w:marLeft w:val="0"/>
                      <w:marRight w:val="0"/>
                      <w:marTop w:val="0"/>
                      <w:marBottom w:val="0"/>
                      <w:divBdr>
                        <w:top w:val="none" w:sz="0" w:space="0" w:color="auto"/>
                        <w:left w:val="none" w:sz="0" w:space="0" w:color="auto"/>
                        <w:bottom w:val="none" w:sz="0" w:space="0" w:color="auto"/>
                        <w:right w:val="none" w:sz="0" w:space="0" w:color="auto"/>
                      </w:divBdr>
                      <w:divsChild>
                        <w:div w:id="919679486">
                          <w:marLeft w:val="0"/>
                          <w:marRight w:val="0"/>
                          <w:marTop w:val="0"/>
                          <w:marBottom w:val="0"/>
                          <w:divBdr>
                            <w:top w:val="none" w:sz="0" w:space="0" w:color="auto"/>
                            <w:left w:val="none" w:sz="0" w:space="0" w:color="auto"/>
                            <w:bottom w:val="none" w:sz="0" w:space="0" w:color="auto"/>
                            <w:right w:val="none" w:sz="0" w:space="0" w:color="auto"/>
                          </w:divBdr>
                          <w:divsChild>
                            <w:div w:id="1026952331">
                              <w:marLeft w:val="0"/>
                              <w:marRight w:val="0"/>
                              <w:marTop w:val="0"/>
                              <w:marBottom w:val="0"/>
                              <w:divBdr>
                                <w:top w:val="none" w:sz="0" w:space="0" w:color="auto"/>
                                <w:left w:val="none" w:sz="0" w:space="0" w:color="auto"/>
                                <w:bottom w:val="none" w:sz="0" w:space="0" w:color="auto"/>
                                <w:right w:val="none" w:sz="0" w:space="0" w:color="auto"/>
                              </w:divBdr>
                              <w:divsChild>
                                <w:div w:id="453522914">
                                  <w:marLeft w:val="0"/>
                                  <w:marRight w:val="0"/>
                                  <w:marTop w:val="0"/>
                                  <w:marBottom w:val="0"/>
                                  <w:divBdr>
                                    <w:top w:val="none" w:sz="0" w:space="0" w:color="auto"/>
                                    <w:left w:val="none" w:sz="0" w:space="0" w:color="auto"/>
                                    <w:bottom w:val="none" w:sz="0" w:space="0" w:color="auto"/>
                                    <w:right w:val="none" w:sz="0" w:space="0" w:color="auto"/>
                                  </w:divBdr>
                                  <w:divsChild>
                                    <w:div w:id="97251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4886414">
      <w:bodyDiv w:val="1"/>
      <w:marLeft w:val="0"/>
      <w:marRight w:val="0"/>
      <w:marTop w:val="0"/>
      <w:marBottom w:val="0"/>
      <w:divBdr>
        <w:top w:val="none" w:sz="0" w:space="0" w:color="auto"/>
        <w:left w:val="none" w:sz="0" w:space="0" w:color="auto"/>
        <w:bottom w:val="none" w:sz="0" w:space="0" w:color="auto"/>
        <w:right w:val="none" w:sz="0" w:space="0" w:color="auto"/>
      </w:divBdr>
    </w:div>
    <w:div w:id="1808859279">
      <w:bodyDiv w:val="1"/>
      <w:marLeft w:val="0"/>
      <w:marRight w:val="0"/>
      <w:marTop w:val="0"/>
      <w:marBottom w:val="0"/>
      <w:divBdr>
        <w:top w:val="none" w:sz="0" w:space="0" w:color="auto"/>
        <w:left w:val="none" w:sz="0" w:space="0" w:color="auto"/>
        <w:bottom w:val="none" w:sz="0" w:space="0" w:color="auto"/>
        <w:right w:val="none" w:sz="0" w:space="0" w:color="auto"/>
      </w:divBdr>
    </w:div>
    <w:div w:id="1836994568">
      <w:bodyDiv w:val="1"/>
      <w:marLeft w:val="0"/>
      <w:marRight w:val="0"/>
      <w:marTop w:val="0"/>
      <w:marBottom w:val="0"/>
      <w:divBdr>
        <w:top w:val="none" w:sz="0" w:space="0" w:color="auto"/>
        <w:left w:val="none" w:sz="0" w:space="0" w:color="auto"/>
        <w:bottom w:val="none" w:sz="0" w:space="0" w:color="auto"/>
        <w:right w:val="none" w:sz="0" w:space="0" w:color="auto"/>
      </w:divBdr>
    </w:div>
    <w:div w:id="1902472898">
      <w:bodyDiv w:val="1"/>
      <w:marLeft w:val="0"/>
      <w:marRight w:val="0"/>
      <w:marTop w:val="0"/>
      <w:marBottom w:val="0"/>
      <w:divBdr>
        <w:top w:val="none" w:sz="0" w:space="0" w:color="auto"/>
        <w:left w:val="none" w:sz="0" w:space="0" w:color="auto"/>
        <w:bottom w:val="none" w:sz="0" w:space="0" w:color="auto"/>
        <w:right w:val="none" w:sz="0" w:space="0" w:color="auto"/>
      </w:divBdr>
    </w:div>
    <w:div w:id="1919442516">
      <w:bodyDiv w:val="1"/>
      <w:marLeft w:val="0"/>
      <w:marRight w:val="0"/>
      <w:marTop w:val="0"/>
      <w:marBottom w:val="0"/>
      <w:divBdr>
        <w:top w:val="none" w:sz="0" w:space="0" w:color="auto"/>
        <w:left w:val="none" w:sz="0" w:space="0" w:color="auto"/>
        <w:bottom w:val="none" w:sz="0" w:space="0" w:color="auto"/>
        <w:right w:val="none" w:sz="0" w:space="0" w:color="auto"/>
      </w:divBdr>
    </w:div>
    <w:div w:id="1941259578">
      <w:bodyDiv w:val="1"/>
      <w:marLeft w:val="0"/>
      <w:marRight w:val="0"/>
      <w:marTop w:val="0"/>
      <w:marBottom w:val="0"/>
      <w:divBdr>
        <w:top w:val="none" w:sz="0" w:space="0" w:color="auto"/>
        <w:left w:val="none" w:sz="0" w:space="0" w:color="auto"/>
        <w:bottom w:val="none" w:sz="0" w:space="0" w:color="auto"/>
        <w:right w:val="none" w:sz="0" w:space="0" w:color="auto"/>
      </w:divBdr>
      <w:divsChild>
        <w:div w:id="1766341634">
          <w:marLeft w:val="0"/>
          <w:marRight w:val="0"/>
          <w:marTop w:val="0"/>
          <w:marBottom w:val="0"/>
          <w:divBdr>
            <w:top w:val="none" w:sz="0" w:space="0" w:color="auto"/>
            <w:left w:val="none" w:sz="0" w:space="0" w:color="auto"/>
            <w:bottom w:val="none" w:sz="0" w:space="0" w:color="auto"/>
            <w:right w:val="none" w:sz="0" w:space="0" w:color="auto"/>
          </w:divBdr>
          <w:divsChild>
            <w:div w:id="2143691915">
              <w:marLeft w:val="0"/>
              <w:marRight w:val="0"/>
              <w:marTop w:val="0"/>
              <w:marBottom w:val="0"/>
              <w:divBdr>
                <w:top w:val="none" w:sz="0" w:space="0" w:color="auto"/>
                <w:left w:val="none" w:sz="0" w:space="0" w:color="auto"/>
                <w:bottom w:val="none" w:sz="0" w:space="0" w:color="auto"/>
                <w:right w:val="none" w:sz="0" w:space="0" w:color="auto"/>
              </w:divBdr>
            </w:div>
          </w:divsChild>
        </w:div>
        <w:div w:id="1548493995">
          <w:marLeft w:val="0"/>
          <w:marRight w:val="0"/>
          <w:marTop w:val="0"/>
          <w:marBottom w:val="0"/>
          <w:divBdr>
            <w:top w:val="none" w:sz="0" w:space="0" w:color="auto"/>
            <w:left w:val="none" w:sz="0" w:space="0" w:color="auto"/>
            <w:bottom w:val="none" w:sz="0" w:space="0" w:color="auto"/>
            <w:right w:val="none" w:sz="0" w:space="0" w:color="auto"/>
          </w:divBdr>
          <w:divsChild>
            <w:div w:id="800852445">
              <w:marLeft w:val="0"/>
              <w:marRight w:val="0"/>
              <w:marTop w:val="0"/>
              <w:marBottom w:val="0"/>
              <w:divBdr>
                <w:top w:val="none" w:sz="0" w:space="0" w:color="auto"/>
                <w:left w:val="none" w:sz="0" w:space="0" w:color="auto"/>
                <w:bottom w:val="none" w:sz="0" w:space="0" w:color="auto"/>
                <w:right w:val="none" w:sz="0" w:space="0" w:color="auto"/>
              </w:divBdr>
            </w:div>
          </w:divsChild>
        </w:div>
        <w:div w:id="464665897">
          <w:marLeft w:val="0"/>
          <w:marRight w:val="0"/>
          <w:marTop w:val="0"/>
          <w:marBottom w:val="0"/>
          <w:divBdr>
            <w:top w:val="none" w:sz="0" w:space="0" w:color="auto"/>
            <w:left w:val="none" w:sz="0" w:space="0" w:color="auto"/>
            <w:bottom w:val="none" w:sz="0" w:space="0" w:color="auto"/>
            <w:right w:val="none" w:sz="0" w:space="0" w:color="auto"/>
          </w:divBdr>
          <w:divsChild>
            <w:div w:id="104394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0352398">
      <w:bodyDiv w:val="1"/>
      <w:marLeft w:val="0"/>
      <w:marRight w:val="0"/>
      <w:marTop w:val="0"/>
      <w:marBottom w:val="0"/>
      <w:divBdr>
        <w:top w:val="none" w:sz="0" w:space="0" w:color="auto"/>
        <w:left w:val="none" w:sz="0" w:space="0" w:color="auto"/>
        <w:bottom w:val="none" w:sz="0" w:space="0" w:color="auto"/>
        <w:right w:val="none" w:sz="0" w:space="0" w:color="auto"/>
      </w:divBdr>
    </w:div>
    <w:div w:id="2005935613">
      <w:bodyDiv w:val="1"/>
      <w:marLeft w:val="0"/>
      <w:marRight w:val="0"/>
      <w:marTop w:val="0"/>
      <w:marBottom w:val="0"/>
      <w:divBdr>
        <w:top w:val="none" w:sz="0" w:space="0" w:color="auto"/>
        <w:left w:val="none" w:sz="0" w:space="0" w:color="auto"/>
        <w:bottom w:val="none" w:sz="0" w:space="0" w:color="auto"/>
        <w:right w:val="none" w:sz="0" w:space="0" w:color="auto"/>
      </w:divBdr>
    </w:div>
    <w:div w:id="2028097922">
      <w:bodyDiv w:val="1"/>
      <w:marLeft w:val="0"/>
      <w:marRight w:val="0"/>
      <w:marTop w:val="0"/>
      <w:marBottom w:val="0"/>
      <w:divBdr>
        <w:top w:val="none" w:sz="0" w:space="0" w:color="auto"/>
        <w:left w:val="none" w:sz="0" w:space="0" w:color="auto"/>
        <w:bottom w:val="none" w:sz="0" w:space="0" w:color="auto"/>
        <w:right w:val="none" w:sz="0" w:space="0" w:color="auto"/>
      </w:divBdr>
    </w:div>
    <w:div w:id="2045206207">
      <w:bodyDiv w:val="1"/>
      <w:marLeft w:val="0"/>
      <w:marRight w:val="0"/>
      <w:marTop w:val="0"/>
      <w:marBottom w:val="0"/>
      <w:divBdr>
        <w:top w:val="none" w:sz="0" w:space="0" w:color="auto"/>
        <w:left w:val="none" w:sz="0" w:space="0" w:color="auto"/>
        <w:bottom w:val="none" w:sz="0" w:space="0" w:color="auto"/>
        <w:right w:val="none" w:sz="0" w:space="0" w:color="auto"/>
      </w:divBdr>
    </w:div>
    <w:div w:id="2117823749">
      <w:bodyDiv w:val="1"/>
      <w:marLeft w:val="0"/>
      <w:marRight w:val="0"/>
      <w:marTop w:val="0"/>
      <w:marBottom w:val="0"/>
      <w:divBdr>
        <w:top w:val="none" w:sz="0" w:space="0" w:color="auto"/>
        <w:left w:val="none" w:sz="0" w:space="0" w:color="auto"/>
        <w:bottom w:val="none" w:sz="0" w:space="0" w:color="auto"/>
        <w:right w:val="none" w:sz="0" w:space="0" w:color="auto"/>
      </w:divBdr>
    </w:div>
    <w:div w:id="2124112417">
      <w:bodyDiv w:val="1"/>
      <w:marLeft w:val="0"/>
      <w:marRight w:val="0"/>
      <w:marTop w:val="0"/>
      <w:marBottom w:val="0"/>
      <w:divBdr>
        <w:top w:val="none" w:sz="0" w:space="0" w:color="auto"/>
        <w:left w:val="none" w:sz="0" w:space="0" w:color="auto"/>
        <w:bottom w:val="none" w:sz="0" w:space="0" w:color="auto"/>
        <w:right w:val="none" w:sz="0" w:space="0" w:color="auto"/>
      </w:divBdr>
      <w:divsChild>
        <w:div w:id="412630958">
          <w:marLeft w:val="0"/>
          <w:marRight w:val="0"/>
          <w:marTop w:val="0"/>
          <w:marBottom w:val="0"/>
          <w:divBdr>
            <w:top w:val="none" w:sz="0" w:space="0" w:color="auto"/>
            <w:left w:val="none" w:sz="0" w:space="0" w:color="auto"/>
            <w:bottom w:val="none" w:sz="0" w:space="0" w:color="auto"/>
            <w:right w:val="none" w:sz="0" w:space="0" w:color="auto"/>
          </w:divBdr>
          <w:divsChild>
            <w:div w:id="85512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838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corporatefinanceinstitute.com" TargetMode="External"/><Relationship Id="rId47" Type="http://schemas.openxmlformats.org/officeDocument/2006/relationships/hyperlink" Target="https://www.greeneking.co.uk/our-company" TargetMode="External"/><Relationship Id="rId63" Type="http://schemas.openxmlformats.org/officeDocument/2006/relationships/hyperlink" Target="https://www.ons.gov.uk/economy/inflationandpriceindices" TargetMode="External"/><Relationship Id="rId68" Type="http://schemas.openxmlformats.org/officeDocument/2006/relationships/hyperlink" Target="https://www.visitbritain.org/research-insights" TargetMode="External"/><Relationship Id="rId84" Type="http://schemas.openxmlformats.org/officeDocument/2006/relationships/image" Target="media/image31.png"/><Relationship Id="rId89" Type="http://schemas.openxmlformats.org/officeDocument/2006/relationships/image" Target="media/image36.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bankofengland.co.uk/annual-report/annual-reports-2025?utm_source=chatgpt.com" TargetMode="External"/><Relationship Id="rId37" Type="http://schemas.openxmlformats.org/officeDocument/2006/relationships/hyperlink" Target="https://www.aicpa-cima.com" TargetMode="External"/><Relationship Id="rId53" Type="http://schemas.openxmlformats.org/officeDocument/2006/relationships/hyperlink" Target="https://www.gov.uk/government/publications/hmrc-annual-report-and-accounts-2024-to-2025" TargetMode="External"/><Relationship Id="rId58" Type="http://schemas.openxmlformats.org/officeDocument/2006/relationships/hyperlink" Target="https://www.icaew.com" TargetMode="External"/><Relationship Id="rId74" Type="http://schemas.openxmlformats.org/officeDocument/2006/relationships/chart" Target="charts/chart5.xml"/><Relationship Id="rId79" Type="http://schemas.openxmlformats.org/officeDocument/2006/relationships/image" Target="media/image26.png"/><Relationship Id="rId5" Type="http://schemas.openxmlformats.org/officeDocument/2006/relationships/webSettings" Target="webSettings.xml"/><Relationship Id="rId90" Type="http://schemas.openxmlformats.org/officeDocument/2006/relationships/image" Target="media/image37.png"/><Relationship Id="rId95" Type="http://schemas.openxmlformats.org/officeDocument/2006/relationships/theme" Target="theme/theme1.xm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www.frc.org.uk" TargetMode="External"/><Relationship Id="rId48" Type="http://schemas.openxmlformats.org/officeDocument/2006/relationships/hyperlink" Target="https://www.greeneking.co.uk" TargetMode="External"/><Relationship Id="rId64" Type="http://schemas.openxmlformats.org/officeDocument/2006/relationships/hyperlink" Target="https://sciencebasedtargets.org" TargetMode="External"/><Relationship Id="rId69" Type="http://schemas.openxmlformats.org/officeDocument/2006/relationships/hyperlink" Target="https://www.weforum.org/initiatives/ai-governance-alliance" TargetMode="External"/><Relationship Id="rId8" Type="http://schemas.openxmlformats.org/officeDocument/2006/relationships/image" Target="media/image1.png"/><Relationship Id="rId51" Type="http://schemas.openxmlformats.org/officeDocument/2006/relationships/hyperlink" Target="https://www.greeneking.co.uk" TargetMode="External"/><Relationship Id="rId72" Type="http://schemas.openxmlformats.org/officeDocument/2006/relationships/chart" Target="charts/chart3.xml"/><Relationship Id="rId80" Type="http://schemas.openxmlformats.org/officeDocument/2006/relationships/image" Target="media/image27.png"/><Relationship Id="rId85" Type="http://schemas.openxmlformats.org/officeDocument/2006/relationships/image" Target="media/image32.png"/><Relationship Id="rId93"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bankofengland.co.uk/monetary-policy" TargetMode="External"/><Relationship Id="rId38" Type="http://schemas.openxmlformats.org/officeDocument/2006/relationships/hyperlink" Target="https://find-and-update.company-information.service.gov.uk/company/00024511/filing-history?utm_source=chatgpt.com" TargetMode="External"/><Relationship Id="rId46" Type="http://schemas.openxmlformats.org/officeDocument/2006/relationships/hyperlink" Target="https://www.greeneking.co.uk" TargetMode="External"/><Relationship Id="rId59" Type="http://schemas.openxmlformats.org/officeDocument/2006/relationships/hyperlink" Target="https://www.londonstockexchange.com" TargetMode="External"/><Relationship Id="rId67" Type="http://schemas.openxmlformats.org/officeDocument/2006/relationships/hyperlink" Target="https://sdgs.un.org/goals" TargetMode="External"/><Relationship Id="rId20" Type="http://schemas.openxmlformats.org/officeDocument/2006/relationships/image" Target="media/image13.png"/><Relationship Id="rId41" Type="http://schemas.openxmlformats.org/officeDocument/2006/relationships/hyperlink" Target="https://www.gov.uk/government/publications/companies-house-annual-report-and-accounts-2025-to-2026" TargetMode="External"/><Relationship Id="rId54" Type="http://schemas.openxmlformats.org/officeDocument/2006/relationships/hyperlink" Target="https://www.gov.uk/government/organisations/hm-revenue-customs" TargetMode="External"/><Relationship Id="rId62" Type="http://schemas.openxmlformats.org/officeDocument/2006/relationships/hyperlink" Target="https://www.ons.gov.uk" TargetMode="External"/><Relationship Id="rId70" Type="http://schemas.openxmlformats.org/officeDocument/2006/relationships/chart" Target="charts/chart1.xml"/><Relationship Id="rId75" Type="http://schemas.openxmlformats.org/officeDocument/2006/relationships/chart" Target="charts/chart6.xml"/><Relationship Id="rId83" Type="http://schemas.openxmlformats.org/officeDocument/2006/relationships/image" Target="media/image30.png"/><Relationship Id="rId88" Type="http://schemas.openxmlformats.org/officeDocument/2006/relationships/image" Target="media/image35.png"/><Relationship Id="rId91" Type="http://schemas.openxmlformats.org/officeDocument/2006/relationships/image" Target="media/image3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cgastrategy.com" TargetMode="External"/><Relationship Id="rId49" Type="http://schemas.openxmlformats.org/officeDocument/2006/relationships/hyperlink" Target="https://www.greeneking.co.uk" TargetMode="External"/><Relationship Id="rId57" Type="http://schemas.openxmlformats.org/officeDocument/2006/relationships/hyperlink" Target="https://ico.org.uk" TargetMode="External"/><Relationship Id="rId10" Type="http://schemas.openxmlformats.org/officeDocument/2006/relationships/image" Target="media/image3.png"/><Relationship Id="rId31" Type="http://schemas.openxmlformats.org/officeDocument/2006/relationships/hyperlink" Target="https://www.bankofengland.co.uk/annual-report/2025?utm_source=chatgpt.com" TargetMode="External"/><Relationship Id="rId44" Type="http://schemas.openxmlformats.org/officeDocument/2006/relationships/hyperlink" Target="https://www.frc.org.uk/library/standards-codes-policy/corporate-governance/uk-corporate-governance-code" TargetMode="External"/><Relationship Id="rId52" Type="http://schemas.openxmlformats.org/officeDocument/2006/relationships/hyperlink" Target="https://www.greeneking.co.uk" TargetMode="External"/><Relationship Id="rId60" Type="http://schemas.openxmlformats.org/officeDocument/2006/relationships/hyperlink" Target="https://www.ncsc.gov.uk" TargetMode="External"/><Relationship Id="rId65" Type="http://schemas.openxmlformats.org/officeDocument/2006/relationships/hyperlink" Target="https://www.fsb-tcfd.org" TargetMode="External"/><Relationship Id="rId73" Type="http://schemas.openxmlformats.org/officeDocument/2006/relationships/chart" Target="charts/chart4.xml"/><Relationship Id="rId78" Type="http://schemas.openxmlformats.org/officeDocument/2006/relationships/image" Target="media/image25.png"/><Relationship Id="rId81" Type="http://schemas.openxmlformats.org/officeDocument/2006/relationships/image" Target="media/image28.png"/><Relationship Id="rId86" Type="http://schemas.openxmlformats.org/officeDocument/2006/relationships/image" Target="media/image33.png"/><Relationship Id="rId9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find-and-update.company-information.service.gov.uk" TargetMode="External"/><Relationship Id="rId34" Type="http://schemas.openxmlformats.org/officeDocument/2006/relationships/hyperlink" Target="https://beerandpub.com" TargetMode="External"/><Relationship Id="rId50" Type="http://schemas.openxmlformats.org/officeDocument/2006/relationships/hyperlink" Target="https://www.greeneking.co.uk" TargetMode="External"/><Relationship Id="rId55" Type="http://schemas.openxmlformats.org/officeDocument/2006/relationships/hyperlink" Target="https://www.ifrs.org/content/dam/ifrs/about-us/funding/2025/ifrs-foundation-annual-report-2025.pdf?utm_source=chatgpt.com" TargetMode="External"/><Relationship Id="rId76" Type="http://schemas.openxmlformats.org/officeDocument/2006/relationships/image" Target="media/image23.png"/><Relationship Id="rId7" Type="http://schemas.openxmlformats.org/officeDocument/2006/relationships/endnotes" Target="endnotes.xml"/><Relationship Id="rId71" Type="http://schemas.openxmlformats.org/officeDocument/2006/relationships/chart" Target="charts/chart2.xml"/><Relationship Id="rId92" Type="http://schemas.openxmlformats.org/officeDocument/2006/relationships/image" Target="media/image39.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www.gov.uk/government/organisations/companies-house" TargetMode="External"/><Relationship Id="rId45" Type="http://schemas.openxmlformats.org/officeDocument/2006/relationships/hyperlink" Target="https://www.globalreporting.org" TargetMode="External"/><Relationship Id="rId66" Type="http://schemas.openxmlformats.org/officeDocument/2006/relationships/hyperlink" Target="https://www.ukhospitality.org.uk" TargetMode="External"/><Relationship Id="rId87" Type="http://schemas.openxmlformats.org/officeDocument/2006/relationships/image" Target="media/image34.png"/><Relationship Id="rId61" Type="http://schemas.openxmlformats.org/officeDocument/2006/relationships/hyperlink" Target="https://oecd.ai/en/ai-principles" TargetMode="External"/><Relationship Id="rId82" Type="http://schemas.openxmlformats.org/officeDocument/2006/relationships/image" Target="media/image29.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accaglobal.com" TargetMode="External"/><Relationship Id="rId35" Type="http://schemas.openxmlformats.org/officeDocument/2006/relationships/hyperlink" Target="https://www.cdp.net" TargetMode="External"/><Relationship Id="rId56" Type="http://schemas.openxmlformats.org/officeDocument/2006/relationships/hyperlink" Target="https://www.ifrs.org/issued-standards" TargetMode="External"/><Relationship Id="rId77" Type="http://schemas.openxmlformats.org/officeDocument/2006/relationships/image" Target="media/image24.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Sheet2!$A$2:$B$2</c:f>
              <c:strCache>
                <c:ptCount val="2"/>
                <c:pt idx="0">
                  <c:v>Net Margin</c:v>
                </c:pt>
                <c:pt idx="1">
                  <c:v>C/A</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Sheet2!$C$1:$G$1</c:f>
              <c:numCache>
                <c:formatCode>General</c:formatCode>
                <c:ptCount val="5"/>
                <c:pt idx="0">
                  <c:v>2021</c:v>
                </c:pt>
                <c:pt idx="1">
                  <c:v>2022</c:v>
                </c:pt>
                <c:pt idx="2">
                  <c:v>2023</c:v>
                </c:pt>
                <c:pt idx="3">
                  <c:v>2024</c:v>
                </c:pt>
                <c:pt idx="4">
                  <c:v>2025</c:v>
                </c:pt>
              </c:numCache>
            </c:numRef>
          </c:cat>
          <c:val>
            <c:numRef>
              <c:f>Sheet2!$C$2:$G$2</c:f>
              <c:numCache>
                <c:formatCode>0.00%</c:formatCode>
                <c:ptCount val="5"/>
                <c:pt idx="0">
                  <c:v>-5.2499999999999998E-2</c:v>
                </c:pt>
                <c:pt idx="1">
                  <c:v>4.5199999999999997E-2</c:v>
                </c:pt>
                <c:pt idx="2">
                  <c:v>1.9E-2</c:v>
                </c:pt>
                <c:pt idx="3">
                  <c:v>-0.06</c:v>
                </c:pt>
                <c:pt idx="4">
                  <c:v>1.6299999999999999E-2</c:v>
                </c:pt>
              </c:numCache>
            </c:numRef>
          </c:val>
          <c:extLst>
            <c:ext xmlns:c16="http://schemas.microsoft.com/office/drawing/2014/chart" uri="{C3380CC4-5D6E-409C-BE32-E72D297353CC}">
              <c16:uniqueId val="{00000000-A070-4BD3-AB78-0F09439EB63C}"/>
            </c:ext>
          </c:extLst>
        </c:ser>
        <c:ser>
          <c:idx val="1"/>
          <c:order val="1"/>
          <c:tx>
            <c:strRef>
              <c:f>Sheet2!$A$3:$B$3</c:f>
              <c:strCache>
                <c:ptCount val="2"/>
                <c:pt idx="0">
                  <c:v>Return on Capital Employed (ROCE)</c:v>
                </c:pt>
                <c:pt idx="1">
                  <c:v>B/(D−E)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Sheet2!$C$1:$G$1</c:f>
              <c:numCache>
                <c:formatCode>General</c:formatCode>
                <c:ptCount val="5"/>
                <c:pt idx="0">
                  <c:v>2021</c:v>
                </c:pt>
                <c:pt idx="1">
                  <c:v>2022</c:v>
                </c:pt>
                <c:pt idx="2">
                  <c:v>2023</c:v>
                </c:pt>
                <c:pt idx="3">
                  <c:v>2024</c:v>
                </c:pt>
                <c:pt idx="4">
                  <c:v>2025</c:v>
                </c:pt>
              </c:numCache>
            </c:numRef>
          </c:cat>
          <c:val>
            <c:numRef>
              <c:f>Sheet2!$C$3:$G$3</c:f>
              <c:numCache>
                <c:formatCode>0.00%</c:formatCode>
                <c:ptCount val="5"/>
                <c:pt idx="0">
                  <c:v>1.7100000000000001E-2</c:v>
                </c:pt>
                <c:pt idx="1">
                  <c:v>6.3399999999999998E-2</c:v>
                </c:pt>
                <c:pt idx="2">
                  <c:v>4.2099999999999999E-2</c:v>
                </c:pt>
                <c:pt idx="3">
                  <c:v>-4.3E-3</c:v>
                </c:pt>
                <c:pt idx="4">
                  <c:v>5.74E-2</c:v>
                </c:pt>
              </c:numCache>
            </c:numRef>
          </c:val>
          <c:extLst>
            <c:ext xmlns:c16="http://schemas.microsoft.com/office/drawing/2014/chart" uri="{C3380CC4-5D6E-409C-BE32-E72D297353CC}">
              <c16:uniqueId val="{00000001-A070-4BD3-AB78-0F09439EB63C}"/>
            </c:ext>
          </c:extLst>
        </c:ser>
        <c:dLbls>
          <c:dLblPos val="outEnd"/>
          <c:showLegendKey val="0"/>
          <c:showVal val="1"/>
          <c:showCatName val="0"/>
          <c:showSerName val="0"/>
          <c:showPercent val="0"/>
          <c:showBubbleSize val="0"/>
        </c:dLbls>
        <c:gapWidth val="100"/>
        <c:overlap val="-24"/>
        <c:axId val="737524192"/>
        <c:axId val="737522560"/>
      </c:barChart>
      <c:catAx>
        <c:axId val="737524192"/>
        <c:scaling>
          <c:orientation val="minMax"/>
        </c:scaling>
        <c:delete val="0"/>
        <c:axPos val="b"/>
        <c:numFmt formatCode="General" sourceLinked="1"/>
        <c:majorTickMark val="none"/>
        <c:minorTickMark val="none"/>
        <c:tickLblPos val="low"/>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37522560"/>
        <c:crosses val="autoZero"/>
        <c:auto val="1"/>
        <c:lblAlgn val="ctr"/>
        <c:lblOffset val="100"/>
        <c:noMultiLvlLbl val="0"/>
      </c:catAx>
      <c:valAx>
        <c:axId val="737522560"/>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37524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Sheet3!$A$2:$B$2</c:f>
              <c:strCache>
                <c:ptCount val="2"/>
                <c:pt idx="0">
                  <c:v>Current Ratio</c:v>
                </c:pt>
                <c:pt idx="1">
                  <c:v>A/C</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Sheet3!$C$1:$G$1</c:f>
              <c:strCache>
                <c:ptCount val="5"/>
                <c:pt idx="0">
                  <c:v>2021 (£m)</c:v>
                </c:pt>
                <c:pt idx="1">
                  <c:v>2022 (£m)</c:v>
                </c:pt>
                <c:pt idx="2">
                  <c:v>2023 (£m)</c:v>
                </c:pt>
                <c:pt idx="3">
                  <c:v>2024 (£m)</c:v>
                </c:pt>
                <c:pt idx="4">
                  <c:v>2025 (£m)</c:v>
                </c:pt>
              </c:strCache>
            </c:strRef>
          </c:cat>
          <c:val>
            <c:numRef>
              <c:f>Sheet3!$C$2:$G$2</c:f>
              <c:numCache>
                <c:formatCode>General</c:formatCode>
                <c:ptCount val="5"/>
                <c:pt idx="0">
                  <c:v>0.41</c:v>
                </c:pt>
                <c:pt idx="1">
                  <c:v>0.48</c:v>
                </c:pt>
                <c:pt idx="2">
                  <c:v>0.51</c:v>
                </c:pt>
                <c:pt idx="3">
                  <c:v>0.53</c:v>
                </c:pt>
                <c:pt idx="4">
                  <c:v>0.68</c:v>
                </c:pt>
              </c:numCache>
            </c:numRef>
          </c:val>
          <c:extLst>
            <c:ext xmlns:c16="http://schemas.microsoft.com/office/drawing/2014/chart" uri="{C3380CC4-5D6E-409C-BE32-E72D297353CC}">
              <c16:uniqueId val="{00000000-53F0-4932-A9A0-5F1A72C252DE}"/>
            </c:ext>
          </c:extLst>
        </c:ser>
        <c:ser>
          <c:idx val="1"/>
          <c:order val="1"/>
          <c:tx>
            <c:strRef>
              <c:f>Sheet3!$A$3:$B$3</c:f>
              <c:strCache>
                <c:ptCount val="2"/>
                <c:pt idx="0">
                  <c:v>Quick Ratio</c:v>
                </c:pt>
                <c:pt idx="1">
                  <c:v>(A−B)/C</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Sheet3!$C$1:$G$1</c:f>
              <c:strCache>
                <c:ptCount val="5"/>
                <c:pt idx="0">
                  <c:v>2021 (£m)</c:v>
                </c:pt>
                <c:pt idx="1">
                  <c:v>2022 (£m)</c:v>
                </c:pt>
                <c:pt idx="2">
                  <c:v>2023 (£m)</c:v>
                </c:pt>
                <c:pt idx="3">
                  <c:v>2024 (£m)</c:v>
                </c:pt>
                <c:pt idx="4">
                  <c:v>2025 (£m)</c:v>
                </c:pt>
              </c:strCache>
            </c:strRef>
          </c:cat>
          <c:val>
            <c:numRef>
              <c:f>Sheet3!$C$3:$G$3</c:f>
              <c:numCache>
                <c:formatCode>General</c:formatCode>
                <c:ptCount val="5"/>
                <c:pt idx="0">
                  <c:v>0.28999999999999998</c:v>
                </c:pt>
                <c:pt idx="1">
                  <c:v>0.34</c:v>
                </c:pt>
                <c:pt idx="2">
                  <c:v>0.37</c:v>
                </c:pt>
                <c:pt idx="3">
                  <c:v>0.39</c:v>
                </c:pt>
                <c:pt idx="4">
                  <c:v>0.52</c:v>
                </c:pt>
              </c:numCache>
            </c:numRef>
          </c:val>
          <c:extLst>
            <c:ext xmlns:c16="http://schemas.microsoft.com/office/drawing/2014/chart" uri="{C3380CC4-5D6E-409C-BE32-E72D297353CC}">
              <c16:uniqueId val="{00000001-53F0-4932-A9A0-5F1A72C252DE}"/>
            </c:ext>
          </c:extLst>
        </c:ser>
        <c:dLbls>
          <c:dLblPos val="outEnd"/>
          <c:showLegendKey val="0"/>
          <c:showVal val="1"/>
          <c:showCatName val="0"/>
          <c:showSerName val="0"/>
          <c:showPercent val="0"/>
          <c:showBubbleSize val="0"/>
        </c:dLbls>
        <c:gapWidth val="100"/>
        <c:overlap val="-24"/>
        <c:axId val="737526912"/>
        <c:axId val="737523648"/>
      </c:barChart>
      <c:catAx>
        <c:axId val="737526912"/>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37523648"/>
        <c:crosses val="autoZero"/>
        <c:auto val="1"/>
        <c:lblAlgn val="ctr"/>
        <c:lblOffset val="100"/>
        <c:noMultiLvlLbl val="0"/>
      </c:catAx>
      <c:valAx>
        <c:axId val="737523648"/>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37526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Sheet4!$A$2:$B$2</c:f>
              <c:strCache>
                <c:ptCount val="2"/>
                <c:pt idx="0">
                  <c:v>Inventory Turnover Days</c:v>
                </c:pt>
                <c:pt idx="1">
                  <c:v>365(B/E)</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Sheet4!$C$1:$G$1</c:f>
              <c:numCache>
                <c:formatCode>General</c:formatCode>
                <c:ptCount val="5"/>
                <c:pt idx="0">
                  <c:v>2021</c:v>
                </c:pt>
                <c:pt idx="1">
                  <c:v>2022</c:v>
                </c:pt>
                <c:pt idx="2">
                  <c:v>2023</c:v>
                </c:pt>
                <c:pt idx="3">
                  <c:v>2024</c:v>
                </c:pt>
                <c:pt idx="4">
                  <c:v>2025</c:v>
                </c:pt>
              </c:numCache>
            </c:numRef>
          </c:cat>
          <c:val>
            <c:numRef>
              <c:f>Sheet4!$C$2:$G$2</c:f>
              <c:numCache>
                <c:formatCode>General</c:formatCode>
                <c:ptCount val="5"/>
                <c:pt idx="0">
                  <c:v>20</c:v>
                </c:pt>
                <c:pt idx="1">
                  <c:v>15</c:v>
                </c:pt>
                <c:pt idx="2">
                  <c:v>16</c:v>
                </c:pt>
                <c:pt idx="3">
                  <c:v>15</c:v>
                </c:pt>
                <c:pt idx="4">
                  <c:v>17</c:v>
                </c:pt>
              </c:numCache>
            </c:numRef>
          </c:val>
          <c:extLst>
            <c:ext xmlns:c16="http://schemas.microsoft.com/office/drawing/2014/chart" uri="{C3380CC4-5D6E-409C-BE32-E72D297353CC}">
              <c16:uniqueId val="{00000000-8738-4775-AC9E-0D353BB2E8F3}"/>
            </c:ext>
          </c:extLst>
        </c:ser>
        <c:ser>
          <c:idx val="1"/>
          <c:order val="1"/>
          <c:tx>
            <c:strRef>
              <c:f>Sheet4!$A$3:$B$3</c:f>
              <c:strCache>
                <c:ptCount val="2"/>
                <c:pt idx="0">
                  <c:v>Receivables Turnover Days</c:v>
                </c:pt>
                <c:pt idx="1">
                  <c:v>365(A/H)</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Sheet4!$C$1:$G$1</c:f>
              <c:numCache>
                <c:formatCode>General</c:formatCode>
                <c:ptCount val="5"/>
                <c:pt idx="0">
                  <c:v>2021</c:v>
                </c:pt>
                <c:pt idx="1">
                  <c:v>2022</c:v>
                </c:pt>
                <c:pt idx="2">
                  <c:v>2023</c:v>
                </c:pt>
                <c:pt idx="3">
                  <c:v>2024</c:v>
                </c:pt>
                <c:pt idx="4">
                  <c:v>2025</c:v>
                </c:pt>
              </c:numCache>
            </c:numRef>
          </c:cat>
          <c:val>
            <c:numRef>
              <c:f>Sheet4!$C$3:$G$3</c:f>
              <c:numCache>
                <c:formatCode>General</c:formatCode>
                <c:ptCount val="5"/>
                <c:pt idx="0">
                  <c:v>11</c:v>
                </c:pt>
                <c:pt idx="1">
                  <c:v>7</c:v>
                </c:pt>
                <c:pt idx="2">
                  <c:v>8</c:v>
                </c:pt>
                <c:pt idx="3">
                  <c:v>8</c:v>
                </c:pt>
                <c:pt idx="4">
                  <c:v>8</c:v>
                </c:pt>
              </c:numCache>
            </c:numRef>
          </c:val>
          <c:extLst>
            <c:ext xmlns:c16="http://schemas.microsoft.com/office/drawing/2014/chart" uri="{C3380CC4-5D6E-409C-BE32-E72D297353CC}">
              <c16:uniqueId val="{00000001-8738-4775-AC9E-0D353BB2E8F3}"/>
            </c:ext>
          </c:extLst>
        </c:ser>
        <c:ser>
          <c:idx val="2"/>
          <c:order val="2"/>
          <c:tx>
            <c:strRef>
              <c:f>Sheet4!$A$4:$B$4</c:f>
              <c:strCache>
                <c:ptCount val="2"/>
                <c:pt idx="0">
                  <c:v>Payables Turnover Days</c:v>
                </c:pt>
                <c:pt idx="1">
                  <c:v>365(B/K)</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Sheet4!$C$1:$G$1</c:f>
              <c:numCache>
                <c:formatCode>General</c:formatCode>
                <c:ptCount val="5"/>
                <c:pt idx="0">
                  <c:v>2021</c:v>
                </c:pt>
                <c:pt idx="1">
                  <c:v>2022</c:v>
                </c:pt>
                <c:pt idx="2">
                  <c:v>2023</c:v>
                </c:pt>
                <c:pt idx="3">
                  <c:v>2024</c:v>
                </c:pt>
                <c:pt idx="4">
                  <c:v>2025</c:v>
                </c:pt>
              </c:numCache>
            </c:numRef>
          </c:cat>
          <c:val>
            <c:numRef>
              <c:f>Sheet4!$C$4:$G$4</c:f>
              <c:numCache>
                <c:formatCode>General</c:formatCode>
                <c:ptCount val="5"/>
                <c:pt idx="0">
                  <c:v>93</c:v>
                </c:pt>
                <c:pt idx="1">
                  <c:v>65</c:v>
                </c:pt>
                <c:pt idx="2">
                  <c:v>60</c:v>
                </c:pt>
                <c:pt idx="3">
                  <c:v>56</c:v>
                </c:pt>
                <c:pt idx="4">
                  <c:v>62</c:v>
                </c:pt>
              </c:numCache>
            </c:numRef>
          </c:val>
          <c:extLst>
            <c:ext xmlns:c16="http://schemas.microsoft.com/office/drawing/2014/chart" uri="{C3380CC4-5D6E-409C-BE32-E72D297353CC}">
              <c16:uniqueId val="{00000002-8738-4775-AC9E-0D353BB2E8F3}"/>
            </c:ext>
          </c:extLst>
        </c:ser>
        <c:dLbls>
          <c:dLblPos val="outEnd"/>
          <c:showLegendKey val="0"/>
          <c:showVal val="1"/>
          <c:showCatName val="0"/>
          <c:showSerName val="0"/>
          <c:showPercent val="0"/>
          <c:showBubbleSize val="0"/>
        </c:dLbls>
        <c:gapWidth val="315"/>
        <c:overlap val="-40"/>
        <c:axId val="737525824"/>
        <c:axId val="737526368"/>
      </c:barChart>
      <c:catAx>
        <c:axId val="737525824"/>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37526368"/>
        <c:crosses val="autoZero"/>
        <c:auto val="1"/>
        <c:lblAlgn val="ctr"/>
        <c:lblOffset val="100"/>
        <c:noMultiLvlLbl val="0"/>
      </c:catAx>
      <c:valAx>
        <c:axId val="737526368"/>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3752582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Sheet5!$A$2:$B$2</c:f>
              <c:strCache>
                <c:ptCount val="2"/>
                <c:pt idx="0">
                  <c:v>Debt/Equity Ratio</c:v>
                </c:pt>
                <c:pt idx="1">
                  <c:v>A/B</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Sheet5!$C$1:$G$1</c:f>
              <c:strCache>
                <c:ptCount val="5"/>
                <c:pt idx="0">
                  <c:v>2021 (£m)</c:v>
                </c:pt>
                <c:pt idx="1">
                  <c:v>2022 (£m)</c:v>
                </c:pt>
                <c:pt idx="2">
                  <c:v>2023 (£m)</c:v>
                </c:pt>
                <c:pt idx="3">
                  <c:v>2024 (£m)</c:v>
                </c:pt>
                <c:pt idx="4">
                  <c:v>2025 (£m)</c:v>
                </c:pt>
              </c:strCache>
            </c:strRef>
          </c:cat>
          <c:val>
            <c:numRef>
              <c:f>Sheet5!$C$2:$G$2</c:f>
              <c:numCache>
                <c:formatCode>General</c:formatCode>
                <c:ptCount val="5"/>
                <c:pt idx="0">
                  <c:v>5.9</c:v>
                </c:pt>
                <c:pt idx="1">
                  <c:v>4.82</c:v>
                </c:pt>
                <c:pt idx="2">
                  <c:v>4.63</c:v>
                </c:pt>
                <c:pt idx="3">
                  <c:v>6.07</c:v>
                </c:pt>
                <c:pt idx="4">
                  <c:v>5.43</c:v>
                </c:pt>
              </c:numCache>
            </c:numRef>
          </c:val>
          <c:extLst>
            <c:ext xmlns:c16="http://schemas.microsoft.com/office/drawing/2014/chart" uri="{C3380CC4-5D6E-409C-BE32-E72D297353CC}">
              <c16:uniqueId val="{00000000-D0F2-48D9-A8FA-F826A2739434}"/>
            </c:ext>
          </c:extLst>
        </c:ser>
        <c:ser>
          <c:idx val="1"/>
          <c:order val="1"/>
          <c:tx>
            <c:strRef>
              <c:f>Sheet5!$A$3:$B$3</c:f>
              <c:strCache>
                <c:ptCount val="2"/>
                <c:pt idx="0">
                  <c:v>Interest Coverage Ratio</c:v>
                </c:pt>
                <c:pt idx="1">
                  <c:v>C/D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Sheet5!$C$1:$G$1</c:f>
              <c:strCache>
                <c:ptCount val="5"/>
                <c:pt idx="0">
                  <c:v>2021 (£m)</c:v>
                </c:pt>
                <c:pt idx="1">
                  <c:v>2022 (£m)</c:v>
                </c:pt>
                <c:pt idx="2">
                  <c:v>2023 (£m)</c:v>
                </c:pt>
                <c:pt idx="3">
                  <c:v>2024 (£m)</c:v>
                </c:pt>
                <c:pt idx="4">
                  <c:v>2025 (£m)</c:v>
                </c:pt>
              </c:strCache>
            </c:strRef>
          </c:cat>
          <c:val>
            <c:numRef>
              <c:f>Sheet5!$C$3:$G$3</c:f>
              <c:numCache>
                <c:formatCode>General</c:formatCode>
                <c:ptCount val="5"/>
                <c:pt idx="0">
                  <c:v>0.48</c:v>
                </c:pt>
                <c:pt idx="1">
                  <c:v>1.65</c:v>
                </c:pt>
                <c:pt idx="2">
                  <c:v>1.37</c:v>
                </c:pt>
                <c:pt idx="3">
                  <c:v>-0.13</c:v>
                </c:pt>
                <c:pt idx="4">
                  <c:v>1.83</c:v>
                </c:pt>
              </c:numCache>
            </c:numRef>
          </c:val>
          <c:extLst>
            <c:ext xmlns:c16="http://schemas.microsoft.com/office/drawing/2014/chart" uri="{C3380CC4-5D6E-409C-BE32-E72D297353CC}">
              <c16:uniqueId val="{00000001-D0F2-48D9-A8FA-F826A2739434}"/>
            </c:ext>
          </c:extLst>
        </c:ser>
        <c:dLbls>
          <c:dLblPos val="outEnd"/>
          <c:showLegendKey val="0"/>
          <c:showVal val="1"/>
          <c:showCatName val="0"/>
          <c:showSerName val="0"/>
          <c:showPercent val="0"/>
          <c:showBubbleSize val="0"/>
        </c:dLbls>
        <c:gapWidth val="267"/>
        <c:overlap val="-43"/>
        <c:axId val="737528544"/>
        <c:axId val="723961232"/>
      </c:barChart>
      <c:catAx>
        <c:axId val="73752854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low"/>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723961232"/>
        <c:crosses val="autoZero"/>
        <c:auto val="1"/>
        <c:lblAlgn val="ctr"/>
        <c:lblOffset val="100"/>
        <c:noMultiLvlLbl val="0"/>
      </c:catAx>
      <c:valAx>
        <c:axId val="72396123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737528544"/>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Sheet6!$A$2:$B$2</c:f>
              <c:strCache>
                <c:ptCount val="2"/>
                <c:pt idx="0">
                  <c:v>Price/Earnings Ratio</c:v>
                </c:pt>
                <c:pt idx="1">
                  <c:v>B/A</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Sheet6!$C$1:$G$1</c:f>
              <c:numCache>
                <c:formatCode>General</c:formatCode>
                <c:ptCount val="5"/>
                <c:pt idx="0">
                  <c:v>2021</c:v>
                </c:pt>
                <c:pt idx="1">
                  <c:v>2022</c:v>
                </c:pt>
                <c:pt idx="2">
                  <c:v>2023</c:v>
                </c:pt>
                <c:pt idx="3">
                  <c:v>2024</c:v>
                </c:pt>
                <c:pt idx="4">
                  <c:v>2025</c:v>
                </c:pt>
              </c:numCache>
            </c:numRef>
          </c:cat>
          <c:val>
            <c:numRef>
              <c:f>Sheet6!$C$2:$G$2</c:f>
              <c:numCache>
                <c:formatCode>General</c:formatCode>
                <c:ptCount val="5"/>
                <c:pt idx="0">
                  <c:v>-34.44</c:v>
                </c:pt>
                <c:pt idx="1">
                  <c:v>30.83</c:v>
                </c:pt>
                <c:pt idx="2">
                  <c:v>73.64</c:v>
                </c:pt>
                <c:pt idx="3">
                  <c:v>-19.43</c:v>
                </c:pt>
                <c:pt idx="4">
                  <c:v>94.44</c:v>
                </c:pt>
              </c:numCache>
            </c:numRef>
          </c:val>
          <c:extLst>
            <c:ext xmlns:c16="http://schemas.microsoft.com/office/drawing/2014/chart" uri="{C3380CC4-5D6E-409C-BE32-E72D297353CC}">
              <c16:uniqueId val="{00000000-080D-47CE-8B41-F2D9B5E9880F}"/>
            </c:ext>
          </c:extLst>
        </c:ser>
        <c:dLbls>
          <c:dLblPos val="outEnd"/>
          <c:showLegendKey val="0"/>
          <c:showVal val="1"/>
          <c:showCatName val="0"/>
          <c:showSerName val="0"/>
          <c:showPercent val="0"/>
          <c:showBubbleSize val="0"/>
        </c:dLbls>
        <c:gapWidth val="444"/>
        <c:overlap val="-90"/>
        <c:axId val="723961776"/>
        <c:axId val="723962864"/>
      </c:barChart>
      <c:catAx>
        <c:axId val="7239617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23962864"/>
        <c:crosses val="autoZero"/>
        <c:auto val="1"/>
        <c:lblAlgn val="ctr"/>
        <c:lblOffset val="100"/>
        <c:noMultiLvlLbl val="0"/>
      </c:catAx>
      <c:valAx>
        <c:axId val="723962864"/>
        <c:scaling>
          <c:orientation val="minMax"/>
        </c:scaling>
        <c:delete val="1"/>
        <c:axPos val="l"/>
        <c:numFmt formatCode="General" sourceLinked="1"/>
        <c:majorTickMark val="none"/>
        <c:minorTickMark val="none"/>
        <c:tickLblPos val="nextTo"/>
        <c:crossAx val="723961776"/>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Sheet7!$A$2:$B$2</c:f>
              <c:strCache>
                <c:ptCount val="2"/>
                <c:pt idx="0">
                  <c:v>Operating Cash Flow Ratio</c:v>
                </c:pt>
                <c:pt idx="1">
                  <c:v>A/C</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Sheet7!$C$1:$G$1</c:f>
              <c:strCache>
                <c:ptCount val="5"/>
                <c:pt idx="0">
                  <c:v>2021 (£m)</c:v>
                </c:pt>
                <c:pt idx="1">
                  <c:v>2022 (£m)</c:v>
                </c:pt>
                <c:pt idx="2">
                  <c:v>2023 (£m)</c:v>
                </c:pt>
                <c:pt idx="3">
                  <c:v>2024 (£m)</c:v>
                </c:pt>
                <c:pt idx="4">
                  <c:v>2025 (£m)</c:v>
                </c:pt>
              </c:strCache>
            </c:strRef>
          </c:cat>
          <c:val>
            <c:numRef>
              <c:f>Sheet7!$C$2:$G$2</c:f>
              <c:numCache>
                <c:formatCode>General</c:formatCode>
                <c:ptCount val="5"/>
                <c:pt idx="0">
                  <c:v>0.39</c:v>
                </c:pt>
                <c:pt idx="1">
                  <c:v>0.54</c:v>
                </c:pt>
                <c:pt idx="2">
                  <c:v>0.48</c:v>
                </c:pt>
                <c:pt idx="3">
                  <c:v>0.4</c:v>
                </c:pt>
                <c:pt idx="4">
                  <c:v>0.54</c:v>
                </c:pt>
              </c:numCache>
            </c:numRef>
          </c:val>
          <c:extLst>
            <c:ext xmlns:c16="http://schemas.microsoft.com/office/drawing/2014/chart" uri="{C3380CC4-5D6E-409C-BE32-E72D297353CC}">
              <c16:uniqueId val="{00000000-BFE4-41A4-B1FA-C23B93F28675}"/>
            </c:ext>
          </c:extLst>
        </c:ser>
        <c:ser>
          <c:idx val="1"/>
          <c:order val="1"/>
          <c:tx>
            <c:strRef>
              <c:f>Sheet7!$A$3:$B$3</c:f>
              <c:strCache>
                <c:ptCount val="2"/>
                <c:pt idx="0">
                  <c:v>Free Cash Flow to Capital Expenditure</c:v>
                </c:pt>
                <c:pt idx="1">
                  <c:v>D/B</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Sheet7!$C$1:$G$1</c:f>
              <c:strCache>
                <c:ptCount val="5"/>
                <c:pt idx="0">
                  <c:v>2021 (£m)</c:v>
                </c:pt>
                <c:pt idx="1">
                  <c:v>2022 (£m)</c:v>
                </c:pt>
                <c:pt idx="2">
                  <c:v>2023 (£m)</c:v>
                </c:pt>
                <c:pt idx="3">
                  <c:v>2024 (£m)</c:v>
                </c:pt>
                <c:pt idx="4">
                  <c:v>2025 (£m)</c:v>
                </c:pt>
              </c:strCache>
            </c:strRef>
          </c:cat>
          <c:val>
            <c:numRef>
              <c:f>Sheet7!$C$3:$G$3</c:f>
              <c:numCache>
                <c:formatCode>General</c:formatCode>
                <c:ptCount val="5"/>
                <c:pt idx="0">
                  <c:v>0.06</c:v>
                </c:pt>
                <c:pt idx="1">
                  <c:v>0.08</c:v>
                </c:pt>
                <c:pt idx="2">
                  <c:v>0.05</c:v>
                </c:pt>
                <c:pt idx="3">
                  <c:v>7.0000000000000007E-2</c:v>
                </c:pt>
                <c:pt idx="4">
                  <c:v>0.46</c:v>
                </c:pt>
              </c:numCache>
            </c:numRef>
          </c:val>
          <c:extLst>
            <c:ext xmlns:c16="http://schemas.microsoft.com/office/drawing/2014/chart" uri="{C3380CC4-5D6E-409C-BE32-E72D297353CC}">
              <c16:uniqueId val="{00000001-BFE4-41A4-B1FA-C23B93F28675}"/>
            </c:ext>
          </c:extLst>
        </c:ser>
        <c:dLbls>
          <c:dLblPos val="outEnd"/>
          <c:showLegendKey val="0"/>
          <c:showVal val="1"/>
          <c:showCatName val="0"/>
          <c:showSerName val="0"/>
          <c:showPercent val="0"/>
          <c:showBubbleSize val="0"/>
        </c:dLbls>
        <c:gapWidth val="100"/>
        <c:overlap val="-24"/>
        <c:axId val="723963952"/>
        <c:axId val="723966672"/>
      </c:barChart>
      <c:catAx>
        <c:axId val="72396395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23966672"/>
        <c:crosses val="autoZero"/>
        <c:auto val="1"/>
        <c:lblAlgn val="ctr"/>
        <c:lblOffset val="100"/>
        <c:noMultiLvlLbl val="0"/>
      </c:catAx>
      <c:valAx>
        <c:axId val="72396667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239639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5.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7F5204-F832-420B-A132-AE347F265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51</Pages>
  <Words>7461</Words>
  <Characters>42528</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Yash Pawar (2543471)</cp:lastModifiedBy>
  <cp:revision>20</cp:revision>
  <dcterms:created xsi:type="dcterms:W3CDTF">2026-07-16T09:37:00Z</dcterms:created>
  <dcterms:modified xsi:type="dcterms:W3CDTF">2026-08-09T13:39:00Z</dcterms:modified>
</cp:coreProperties>
</file>