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72440275"/>
        <w:docPartObj>
          <w:docPartGallery w:val="Cover Pages"/>
          <w:docPartUnique/>
        </w:docPartObj>
      </w:sdtPr>
      <w:sdtEndPr>
        <w:rPr>
          <w:rFonts w:eastAsiaTheme="minorEastAsia"/>
          <w:color w:val="4472C4" w:themeColor="accent1"/>
          <w:lang w:val="en-US"/>
        </w:rPr>
      </w:sdtEndPr>
      <w:sdtContent>
        <w:p w14:paraId="1BA8632E" w14:textId="47236B2B" w:rsidR="00657A6C" w:rsidRDefault="00657A6C">
          <w:r>
            <w:rPr>
              <w:noProof/>
            </w:rPr>
            <mc:AlternateContent>
              <mc:Choice Requires="wps">
                <w:drawing>
                  <wp:anchor distT="0" distB="0" distL="114300" distR="114300" simplePos="0" relativeHeight="251659264" behindDoc="1" locked="0" layoutInCell="1" allowOverlap="0" wp14:anchorId="25F18A9E" wp14:editId="3E5F9E0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57A6C" w14:paraId="2332150F" w14:textId="77777777">
                                  <w:trPr>
                                    <w:trHeight w:hRule="exact" w:val="9360"/>
                                  </w:trPr>
                                  <w:tc>
                                    <w:tcPr>
                                      <w:tcW w:w="5000" w:type="pct"/>
                                    </w:tcPr>
                                    <w:p w14:paraId="4D1B1644" w14:textId="77777777" w:rsidR="00657A6C" w:rsidRDefault="00657A6C">
                                      <w:r>
                                        <w:rPr>
                                          <w:noProof/>
                                        </w:rPr>
                                        <w:drawing>
                                          <wp:inline distT="0" distB="0" distL="0" distR="0" wp14:anchorId="5E0F37CF" wp14:editId="08DCDA1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657A6C" w14:paraId="522D502D" w14:textId="77777777">
                                  <w:trPr>
                                    <w:trHeight w:hRule="exact" w:val="4320"/>
                                  </w:trPr>
                                  <w:tc>
                                    <w:tcPr>
                                      <w:tcW w:w="5000" w:type="pct"/>
                                      <w:shd w:val="clear" w:color="auto" w:fill="4472C4" w:themeFill="accent1"/>
                                      <w:vAlign w:val="center"/>
                                    </w:tcPr>
                                    <w:p w14:paraId="535E9892" w14:textId="6CCDAAC4" w:rsidR="00657A6C" w:rsidRDefault="0036694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57A6C">
                                            <w:rPr>
                                              <w:rFonts w:asciiTheme="majorHAnsi" w:hAnsiTheme="majorHAnsi"/>
                                              <w:color w:val="FFFFFF" w:themeColor="background1"/>
                                              <w:sz w:val="96"/>
                                              <w:szCs w:val="96"/>
                                            </w:rPr>
                                            <w:t>Criminal Law.</w:t>
                                          </w:r>
                                        </w:sdtContent>
                                      </w:sdt>
                                    </w:p>
                                    <w:p w14:paraId="6F0FF4C0" w14:textId="67EA8074" w:rsidR="00657A6C" w:rsidRDefault="0036694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57A6C">
                                            <w:rPr>
                                              <w:color w:val="FFFFFF" w:themeColor="background1"/>
                                              <w:sz w:val="32"/>
                                              <w:szCs w:val="32"/>
                                            </w:rPr>
                                            <w:t xml:space="preserve">Is the </w:t>
                                          </w:r>
                                          <w:proofErr w:type="spellStart"/>
                                          <w:r w:rsidR="00657A6C">
                                            <w:rPr>
                                              <w:color w:val="FFFFFF" w:themeColor="background1"/>
                                              <w:sz w:val="32"/>
                                              <w:szCs w:val="32"/>
                                            </w:rPr>
                                            <w:t>defence</w:t>
                                          </w:r>
                                          <w:proofErr w:type="spellEnd"/>
                                          <w:r w:rsidR="00657A6C">
                                            <w:rPr>
                                              <w:color w:val="FFFFFF" w:themeColor="background1"/>
                                              <w:sz w:val="32"/>
                                              <w:szCs w:val="32"/>
                                            </w:rPr>
                                            <w:t xml:space="preserve"> of insanity fit for purpose, or in need of reform.</w:t>
                                          </w:r>
                                        </w:sdtContent>
                                      </w:sdt>
                                      <w:r w:rsidR="00657A6C">
                                        <w:rPr>
                                          <w:color w:val="FFFFFF" w:themeColor="background1"/>
                                          <w:sz w:val="32"/>
                                          <w:szCs w:val="32"/>
                                        </w:rPr>
                                        <w:t xml:space="preserve"> </w:t>
                                      </w:r>
                                    </w:p>
                                  </w:tc>
                                </w:tr>
                                <w:tr w:rsidR="00657A6C" w14:paraId="78A0AED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57A6C" w14:paraId="30B3E42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F69B3E0" w14:textId="6A80D83C" w:rsidR="00657A6C" w:rsidRDefault="00657A6C">
                                                <w:pPr>
                                                  <w:pStyle w:val="NoSpacing"/>
                                                  <w:ind w:left="144" w:right="144"/>
                                                  <w:jc w:val="center"/>
                                                  <w:rPr>
                                                    <w:color w:val="FFFFFF" w:themeColor="background1"/>
                                                  </w:rPr>
                                                </w:pPr>
                                                <w:r>
                                                  <w:rPr>
                                                    <w:color w:val="FFFFFF" w:themeColor="background1"/>
                                                  </w:rPr>
                                                  <w:t>Mel Jane Box (2003707)</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4-28T00:00:00Z">
                                                <w:dateFormat w:val="M/d/yy"/>
                                                <w:lid w:val="en-US"/>
                                                <w:storeMappedDataAs w:val="dateTime"/>
                                                <w:calendar w:val="gregorian"/>
                                              </w:date>
                                            </w:sdtPr>
                                            <w:sdtEndPr/>
                                            <w:sdtContent>
                                              <w:p w14:paraId="052676F0" w14:textId="7318D11E" w:rsidR="00657A6C" w:rsidRDefault="00657A6C">
                                                <w:pPr>
                                                  <w:pStyle w:val="NoSpacing"/>
                                                  <w:ind w:left="144" w:right="144"/>
                                                  <w:jc w:val="center"/>
                                                  <w:rPr>
                                                    <w:color w:val="FFFFFF" w:themeColor="background1"/>
                                                  </w:rPr>
                                                </w:pPr>
                                                <w:r>
                                                  <w:rPr>
                                                    <w:color w:val="FFFFFF" w:themeColor="background1"/>
                                                  </w:rPr>
                                                  <w:t>4/28/21</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FAD9182" w14:textId="5633A40D" w:rsidR="00657A6C" w:rsidRDefault="00657A6C" w:rsidP="00657A6C">
                                                <w:pPr>
                                                  <w:pStyle w:val="NoSpacing"/>
                                                  <w:spacing w:line="600" w:lineRule="auto"/>
                                                  <w:ind w:left="144" w:right="720"/>
                                                  <w:jc w:val="right"/>
                                                  <w:rPr>
                                                    <w:color w:val="FFFFFF" w:themeColor="background1"/>
                                                  </w:rPr>
                                                </w:pPr>
                                                <w:r w:rsidRPr="00657A6C">
                                                  <w:rPr>
                                                    <w:rFonts w:ascii="Arial" w:hAnsi="Arial" w:cs="Arial"/>
                                                    <w:color w:val="FFFFFF" w:themeColor="background1"/>
                                                    <w:sz w:val="24"/>
                                                    <w:szCs w:val="24"/>
                                                  </w:rPr>
                                                  <w:t>(BMLW4002).</w:t>
                                                </w:r>
                                              </w:p>
                                            </w:tc>
                                          </w:sdtContent>
                                        </w:sdt>
                                      </w:tr>
                                    </w:tbl>
                                    <w:p w14:paraId="00452B74" w14:textId="77777777" w:rsidR="00657A6C" w:rsidRDefault="00657A6C"/>
                                  </w:tc>
                                </w:tr>
                              </w:tbl>
                              <w:p w14:paraId="47608D08" w14:textId="77777777" w:rsidR="00657A6C" w:rsidRDefault="00657A6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5F18A9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57A6C" w14:paraId="2332150F" w14:textId="77777777">
                            <w:trPr>
                              <w:trHeight w:hRule="exact" w:val="9360"/>
                            </w:trPr>
                            <w:tc>
                              <w:tcPr>
                                <w:tcW w:w="5000" w:type="pct"/>
                              </w:tcPr>
                              <w:p w14:paraId="4D1B1644" w14:textId="77777777" w:rsidR="00657A6C" w:rsidRDefault="00657A6C">
                                <w:r>
                                  <w:rPr>
                                    <w:noProof/>
                                  </w:rPr>
                                  <w:drawing>
                                    <wp:inline distT="0" distB="0" distL="0" distR="0" wp14:anchorId="5E0F37CF" wp14:editId="08DCDA1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657A6C" w14:paraId="522D502D" w14:textId="77777777">
                            <w:trPr>
                              <w:trHeight w:hRule="exact" w:val="4320"/>
                            </w:trPr>
                            <w:tc>
                              <w:tcPr>
                                <w:tcW w:w="5000" w:type="pct"/>
                                <w:shd w:val="clear" w:color="auto" w:fill="4472C4" w:themeFill="accent1"/>
                                <w:vAlign w:val="center"/>
                              </w:tcPr>
                              <w:p w14:paraId="535E9892" w14:textId="6CCDAAC4" w:rsidR="00657A6C" w:rsidRDefault="0036694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57A6C">
                                      <w:rPr>
                                        <w:rFonts w:asciiTheme="majorHAnsi" w:hAnsiTheme="majorHAnsi"/>
                                        <w:color w:val="FFFFFF" w:themeColor="background1"/>
                                        <w:sz w:val="96"/>
                                        <w:szCs w:val="96"/>
                                      </w:rPr>
                                      <w:t>Criminal Law.</w:t>
                                    </w:r>
                                  </w:sdtContent>
                                </w:sdt>
                              </w:p>
                              <w:p w14:paraId="6F0FF4C0" w14:textId="67EA8074" w:rsidR="00657A6C" w:rsidRDefault="0036694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57A6C">
                                      <w:rPr>
                                        <w:color w:val="FFFFFF" w:themeColor="background1"/>
                                        <w:sz w:val="32"/>
                                        <w:szCs w:val="32"/>
                                      </w:rPr>
                                      <w:t xml:space="preserve">Is the </w:t>
                                    </w:r>
                                    <w:proofErr w:type="spellStart"/>
                                    <w:r w:rsidR="00657A6C">
                                      <w:rPr>
                                        <w:color w:val="FFFFFF" w:themeColor="background1"/>
                                        <w:sz w:val="32"/>
                                        <w:szCs w:val="32"/>
                                      </w:rPr>
                                      <w:t>defence</w:t>
                                    </w:r>
                                    <w:proofErr w:type="spellEnd"/>
                                    <w:r w:rsidR="00657A6C">
                                      <w:rPr>
                                        <w:color w:val="FFFFFF" w:themeColor="background1"/>
                                        <w:sz w:val="32"/>
                                        <w:szCs w:val="32"/>
                                      </w:rPr>
                                      <w:t xml:space="preserve"> of insanity fit for purpose, or in need of reform.</w:t>
                                    </w:r>
                                  </w:sdtContent>
                                </w:sdt>
                                <w:r w:rsidR="00657A6C">
                                  <w:rPr>
                                    <w:color w:val="FFFFFF" w:themeColor="background1"/>
                                    <w:sz w:val="32"/>
                                    <w:szCs w:val="32"/>
                                  </w:rPr>
                                  <w:t xml:space="preserve"> </w:t>
                                </w:r>
                              </w:p>
                            </w:tc>
                          </w:tr>
                          <w:tr w:rsidR="00657A6C" w14:paraId="78A0AED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57A6C" w14:paraId="30B3E42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F69B3E0" w14:textId="6A80D83C" w:rsidR="00657A6C" w:rsidRDefault="00657A6C">
                                          <w:pPr>
                                            <w:pStyle w:val="NoSpacing"/>
                                            <w:ind w:left="144" w:right="144"/>
                                            <w:jc w:val="center"/>
                                            <w:rPr>
                                              <w:color w:val="FFFFFF" w:themeColor="background1"/>
                                            </w:rPr>
                                          </w:pPr>
                                          <w:r>
                                            <w:rPr>
                                              <w:color w:val="FFFFFF" w:themeColor="background1"/>
                                            </w:rPr>
                                            <w:t>Mel Jane Box (2003707)</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4-28T00:00:00Z">
                                          <w:dateFormat w:val="M/d/yy"/>
                                          <w:lid w:val="en-US"/>
                                          <w:storeMappedDataAs w:val="dateTime"/>
                                          <w:calendar w:val="gregorian"/>
                                        </w:date>
                                      </w:sdtPr>
                                      <w:sdtEndPr/>
                                      <w:sdtContent>
                                        <w:p w14:paraId="052676F0" w14:textId="7318D11E" w:rsidR="00657A6C" w:rsidRDefault="00657A6C">
                                          <w:pPr>
                                            <w:pStyle w:val="NoSpacing"/>
                                            <w:ind w:left="144" w:right="144"/>
                                            <w:jc w:val="center"/>
                                            <w:rPr>
                                              <w:color w:val="FFFFFF" w:themeColor="background1"/>
                                            </w:rPr>
                                          </w:pPr>
                                          <w:r>
                                            <w:rPr>
                                              <w:color w:val="FFFFFF" w:themeColor="background1"/>
                                            </w:rPr>
                                            <w:t>4/28/21</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FAD9182" w14:textId="5633A40D" w:rsidR="00657A6C" w:rsidRDefault="00657A6C" w:rsidP="00657A6C">
                                          <w:pPr>
                                            <w:pStyle w:val="NoSpacing"/>
                                            <w:spacing w:line="600" w:lineRule="auto"/>
                                            <w:ind w:left="144" w:right="720"/>
                                            <w:jc w:val="right"/>
                                            <w:rPr>
                                              <w:color w:val="FFFFFF" w:themeColor="background1"/>
                                            </w:rPr>
                                          </w:pPr>
                                          <w:r w:rsidRPr="00657A6C">
                                            <w:rPr>
                                              <w:rFonts w:ascii="Arial" w:hAnsi="Arial" w:cs="Arial"/>
                                              <w:color w:val="FFFFFF" w:themeColor="background1"/>
                                              <w:sz w:val="24"/>
                                              <w:szCs w:val="24"/>
                                            </w:rPr>
                                            <w:t>(BMLW4002).</w:t>
                                          </w:r>
                                        </w:p>
                                      </w:tc>
                                    </w:sdtContent>
                                  </w:sdt>
                                </w:tr>
                              </w:tbl>
                              <w:p w14:paraId="00452B74" w14:textId="77777777" w:rsidR="00657A6C" w:rsidRDefault="00657A6C"/>
                            </w:tc>
                          </w:tr>
                        </w:tbl>
                        <w:p w14:paraId="47608D08" w14:textId="77777777" w:rsidR="00657A6C" w:rsidRDefault="00657A6C"/>
                      </w:txbxContent>
                    </v:textbox>
                    <w10:wrap anchorx="page" anchory="page"/>
                  </v:shape>
                </w:pict>
              </mc:Fallback>
            </mc:AlternateContent>
          </w:r>
        </w:p>
        <w:p w14:paraId="13983EFD" w14:textId="753D2E3A" w:rsidR="00657A6C" w:rsidRDefault="00657A6C">
          <w:pPr>
            <w:rPr>
              <w:rFonts w:eastAsiaTheme="minorEastAsia"/>
              <w:color w:val="4472C4" w:themeColor="accent1"/>
              <w:lang w:val="en-US"/>
            </w:rPr>
          </w:pPr>
          <w:r>
            <w:rPr>
              <w:rFonts w:eastAsiaTheme="minorEastAsia"/>
              <w:color w:val="4472C4" w:themeColor="accent1"/>
              <w:lang w:val="en-US"/>
            </w:rPr>
            <w:br w:type="page"/>
          </w:r>
        </w:p>
      </w:sdtContent>
    </w:sdt>
    <w:p w14:paraId="0DCEAEF8" w14:textId="3E33D099" w:rsidR="00657A6C" w:rsidRDefault="00657A6C">
      <w:pPr>
        <w:rPr>
          <w:rFonts w:ascii="Arial" w:hAnsi="Arial" w:cs="Arial"/>
          <w:sz w:val="24"/>
          <w:szCs w:val="24"/>
        </w:rPr>
      </w:pPr>
      <w:r>
        <w:rPr>
          <w:rFonts w:ascii="Arial" w:hAnsi="Arial" w:cs="Arial"/>
          <w:sz w:val="24"/>
          <w:szCs w:val="24"/>
        </w:rPr>
        <w:lastRenderedPageBreak/>
        <w:t>The primary purpose of this part of the assignment is to consider whether the defence of insanity is fit for purpose or is it in need of a reform.</w:t>
      </w:r>
    </w:p>
    <w:p w14:paraId="74BC9AB9" w14:textId="6AB60833" w:rsidR="00657A6C" w:rsidRDefault="00657A6C">
      <w:pPr>
        <w:rPr>
          <w:rFonts w:ascii="Arial" w:hAnsi="Arial" w:cs="Arial"/>
          <w:sz w:val="24"/>
          <w:szCs w:val="24"/>
        </w:rPr>
      </w:pPr>
      <w:r>
        <w:rPr>
          <w:rFonts w:ascii="Arial" w:hAnsi="Arial" w:cs="Arial"/>
          <w:sz w:val="24"/>
          <w:szCs w:val="24"/>
        </w:rPr>
        <w:t>The defence for insanity in England and Wales is taken from nineteenth century legal concepts, these have not been kept up to date with any other developments in psychiatry or medicine. The law on insanity has been reviewed and was recommended for a reform, but the defence on this has remained unchanged</w:t>
      </w:r>
      <w:r w:rsidR="001A0134">
        <w:rPr>
          <w:rFonts w:ascii="Arial" w:hAnsi="Arial" w:cs="Arial"/>
          <w:sz w:val="24"/>
          <w:szCs w:val="24"/>
        </w:rPr>
        <w:t xml:space="preserve"> so far. Any faults within the system will continue to persist until it has been changed.</w:t>
      </w:r>
    </w:p>
    <w:p w14:paraId="64658B9B" w14:textId="4662B32B" w:rsidR="001A0134" w:rsidRDefault="001A0134">
      <w:pPr>
        <w:rPr>
          <w:rFonts w:ascii="Arial" w:hAnsi="Arial" w:cs="Arial"/>
          <w:sz w:val="24"/>
          <w:szCs w:val="24"/>
        </w:rPr>
      </w:pPr>
      <w:r>
        <w:rPr>
          <w:rFonts w:ascii="Arial" w:hAnsi="Arial" w:cs="Arial"/>
          <w:sz w:val="24"/>
          <w:szCs w:val="24"/>
        </w:rPr>
        <w:t xml:space="preserve">It is now recognised that with greater difficulties the criminal justice system is facing more people with learning disabilities </w:t>
      </w:r>
      <w:proofErr w:type="gramStart"/>
      <w:r>
        <w:rPr>
          <w:rFonts w:ascii="Arial" w:hAnsi="Arial" w:cs="Arial"/>
          <w:sz w:val="24"/>
          <w:szCs w:val="24"/>
        </w:rPr>
        <w:t>and also</w:t>
      </w:r>
      <w:proofErr w:type="gramEnd"/>
      <w:r>
        <w:rPr>
          <w:rFonts w:ascii="Arial" w:hAnsi="Arial" w:cs="Arial"/>
          <w:sz w:val="24"/>
          <w:szCs w:val="24"/>
        </w:rPr>
        <w:t xml:space="preserve"> mental health issues. This would mean there is more need than ever for a reform.</w:t>
      </w:r>
    </w:p>
    <w:p w14:paraId="53804559" w14:textId="09B8CAC9" w:rsidR="001A0134" w:rsidRDefault="001A0134">
      <w:pPr>
        <w:rPr>
          <w:rFonts w:ascii="Arial" w:hAnsi="Arial" w:cs="Arial"/>
          <w:sz w:val="24"/>
          <w:szCs w:val="24"/>
        </w:rPr>
      </w:pPr>
      <w:r>
        <w:rPr>
          <w:rFonts w:ascii="Arial" w:hAnsi="Arial" w:cs="Arial"/>
          <w:sz w:val="24"/>
          <w:szCs w:val="24"/>
        </w:rPr>
        <w:t xml:space="preserve">Insanity and automatism are closely related so you </w:t>
      </w:r>
      <w:r w:rsidR="00CF0CD7">
        <w:rPr>
          <w:rFonts w:ascii="Arial" w:hAnsi="Arial" w:cs="Arial"/>
          <w:sz w:val="24"/>
          <w:szCs w:val="24"/>
        </w:rPr>
        <w:t>cannot</w:t>
      </w:r>
      <w:r>
        <w:rPr>
          <w:rFonts w:ascii="Arial" w:hAnsi="Arial" w:cs="Arial"/>
          <w:sz w:val="24"/>
          <w:szCs w:val="24"/>
        </w:rPr>
        <w:t xml:space="preserve"> reform one without the other. When examined, the law on insanity does have significant problems, but there is not much evidence to state that any defences cause significant difficulties within this practice. However, data does suggest that around thirty insanity cases every year are successful. There is no data on how often this plea is considered or how it is entered at a trial. There is also no data on the defence of automatism. (Ministry of Justice – Law Commission).</w:t>
      </w:r>
    </w:p>
    <w:p w14:paraId="2EB2C076" w14:textId="4BD87E39" w:rsidR="004B2D35" w:rsidRDefault="004B2D35">
      <w:pPr>
        <w:rPr>
          <w:rFonts w:ascii="Arial" w:hAnsi="Arial" w:cs="Arial"/>
          <w:sz w:val="24"/>
          <w:szCs w:val="24"/>
        </w:rPr>
      </w:pPr>
      <w:r>
        <w:rPr>
          <w:rFonts w:ascii="Arial" w:hAnsi="Arial" w:cs="Arial"/>
          <w:sz w:val="24"/>
          <w:szCs w:val="24"/>
        </w:rPr>
        <w:t xml:space="preserve">Under the M’ </w:t>
      </w:r>
      <w:proofErr w:type="spellStart"/>
      <w:r>
        <w:rPr>
          <w:rFonts w:ascii="Arial" w:hAnsi="Arial" w:cs="Arial"/>
          <w:sz w:val="24"/>
          <w:szCs w:val="24"/>
        </w:rPr>
        <w:t>Na</w:t>
      </w:r>
      <w:r w:rsidR="00CF0CD7">
        <w:rPr>
          <w:rFonts w:ascii="Arial" w:hAnsi="Arial" w:cs="Arial"/>
          <w:sz w:val="24"/>
          <w:szCs w:val="24"/>
        </w:rPr>
        <w:t>u</w:t>
      </w:r>
      <w:r>
        <w:rPr>
          <w:rFonts w:ascii="Arial" w:hAnsi="Arial" w:cs="Arial"/>
          <w:sz w:val="24"/>
          <w:szCs w:val="24"/>
        </w:rPr>
        <w:t>ghten</w:t>
      </w:r>
      <w:proofErr w:type="spellEnd"/>
      <w:r>
        <w:rPr>
          <w:rFonts w:ascii="Arial" w:hAnsi="Arial" w:cs="Arial"/>
          <w:sz w:val="24"/>
          <w:szCs w:val="24"/>
        </w:rPr>
        <w:t xml:space="preserve"> rule, a criminal defendant is not guilty by reason of insanity if, at the time of the criminal act, the defendant was so deranged that they did not know the nature or quality of their actions or, if they knew the nature and quality of their actions, they were so deranged that they did not know what they were doing was wrong.</w:t>
      </w:r>
    </w:p>
    <w:p w14:paraId="7F413C3E" w14:textId="4B6F291F" w:rsidR="004B2D35" w:rsidRDefault="004B2D35">
      <w:pPr>
        <w:rPr>
          <w:rFonts w:ascii="Arial" w:hAnsi="Arial" w:cs="Arial"/>
          <w:sz w:val="24"/>
          <w:szCs w:val="24"/>
        </w:rPr>
      </w:pPr>
      <w:r>
        <w:rPr>
          <w:rFonts w:ascii="Arial" w:hAnsi="Arial" w:cs="Arial"/>
          <w:sz w:val="24"/>
          <w:szCs w:val="24"/>
        </w:rPr>
        <w:t xml:space="preserve">It could be argued that the </w:t>
      </w:r>
      <w:proofErr w:type="spellStart"/>
      <w:r>
        <w:rPr>
          <w:rFonts w:ascii="Arial" w:hAnsi="Arial" w:cs="Arial"/>
          <w:sz w:val="24"/>
          <w:szCs w:val="24"/>
        </w:rPr>
        <w:t>M’Na</w:t>
      </w:r>
      <w:r w:rsidR="00CF0CD7">
        <w:rPr>
          <w:rFonts w:ascii="Arial" w:hAnsi="Arial" w:cs="Arial"/>
          <w:sz w:val="24"/>
          <w:szCs w:val="24"/>
        </w:rPr>
        <w:t>u</w:t>
      </w:r>
      <w:r>
        <w:rPr>
          <w:rFonts w:ascii="Arial" w:hAnsi="Arial" w:cs="Arial"/>
          <w:sz w:val="24"/>
          <w:szCs w:val="24"/>
        </w:rPr>
        <w:t>ghten</w:t>
      </w:r>
      <w:proofErr w:type="spellEnd"/>
      <w:r>
        <w:rPr>
          <w:rFonts w:ascii="Arial" w:hAnsi="Arial" w:cs="Arial"/>
          <w:sz w:val="24"/>
          <w:szCs w:val="24"/>
        </w:rPr>
        <w:t xml:space="preserve"> defence is cognitive, or rather it is unsatisfactory</w:t>
      </w:r>
      <w:r w:rsidR="006B3761">
        <w:rPr>
          <w:rFonts w:ascii="Arial" w:hAnsi="Arial" w:cs="Arial"/>
          <w:sz w:val="24"/>
          <w:szCs w:val="24"/>
        </w:rPr>
        <w:t xml:space="preserve"> because it is the wrong type of cognitive test. The not guilty by reasons of insanity (NGRI) defence is an excuse that defendants use whose acts </w:t>
      </w:r>
      <w:r w:rsidR="00CF0CD7">
        <w:rPr>
          <w:rFonts w:ascii="Arial" w:hAnsi="Arial" w:cs="Arial"/>
          <w:sz w:val="24"/>
          <w:szCs w:val="24"/>
        </w:rPr>
        <w:t>cannot</w:t>
      </w:r>
      <w:r w:rsidR="006B3761">
        <w:rPr>
          <w:rFonts w:ascii="Arial" w:hAnsi="Arial" w:cs="Arial"/>
          <w:sz w:val="24"/>
          <w:szCs w:val="24"/>
        </w:rPr>
        <w:t xml:space="preserve"> be attributed to them, because they are not competent or practical reasoners as they suffer </w:t>
      </w:r>
      <w:proofErr w:type="gramStart"/>
      <w:r w:rsidR="006B3761">
        <w:rPr>
          <w:rFonts w:ascii="Arial" w:hAnsi="Arial" w:cs="Arial"/>
          <w:sz w:val="24"/>
          <w:szCs w:val="24"/>
        </w:rPr>
        <w:t>a very unique</w:t>
      </w:r>
      <w:proofErr w:type="gramEnd"/>
      <w:r w:rsidR="006B3761">
        <w:rPr>
          <w:rFonts w:ascii="Arial" w:hAnsi="Arial" w:cs="Arial"/>
          <w:sz w:val="24"/>
          <w:szCs w:val="24"/>
        </w:rPr>
        <w:t xml:space="preserve"> type of impairment in their everyday reasoning. (</w:t>
      </w:r>
      <w:proofErr w:type="spellStart"/>
      <w:r w:rsidR="006B3761">
        <w:rPr>
          <w:rFonts w:ascii="Arial" w:hAnsi="Arial" w:cs="Arial"/>
          <w:sz w:val="24"/>
          <w:szCs w:val="24"/>
        </w:rPr>
        <w:t>Schopp</w:t>
      </w:r>
      <w:proofErr w:type="spellEnd"/>
      <w:r w:rsidR="006B3761">
        <w:rPr>
          <w:rFonts w:ascii="Arial" w:hAnsi="Arial" w:cs="Arial"/>
          <w:sz w:val="24"/>
          <w:szCs w:val="24"/>
        </w:rPr>
        <w:t xml:space="preserve"> 2008).</w:t>
      </w:r>
    </w:p>
    <w:p w14:paraId="302C9AFE" w14:textId="4987200A" w:rsidR="006B3761" w:rsidRDefault="006B3761">
      <w:pPr>
        <w:rPr>
          <w:rFonts w:ascii="Arial" w:hAnsi="Arial" w:cs="Arial"/>
          <w:sz w:val="24"/>
          <w:szCs w:val="24"/>
        </w:rPr>
      </w:pPr>
      <w:r>
        <w:rPr>
          <w:rFonts w:ascii="Arial" w:hAnsi="Arial" w:cs="Arial"/>
          <w:sz w:val="24"/>
          <w:szCs w:val="24"/>
        </w:rPr>
        <w:t xml:space="preserve">Burden of proof would lie with the prosecution, this would be were the prosecution try to prove any charges against the person(s) accused. This may lead to disproving any defence the accused could </w:t>
      </w:r>
      <w:r w:rsidR="00852ECD">
        <w:rPr>
          <w:rFonts w:ascii="Arial" w:hAnsi="Arial" w:cs="Arial"/>
          <w:sz w:val="24"/>
          <w:szCs w:val="24"/>
        </w:rPr>
        <w:t>say. (Allen 2007).</w:t>
      </w:r>
    </w:p>
    <w:p w14:paraId="5DB03D26" w14:textId="117CF665" w:rsidR="00D46638" w:rsidRDefault="00D46638">
      <w:pPr>
        <w:rPr>
          <w:rFonts w:ascii="Arial" w:hAnsi="Arial" w:cs="Arial"/>
          <w:sz w:val="24"/>
          <w:szCs w:val="24"/>
        </w:rPr>
      </w:pPr>
      <w:r>
        <w:rPr>
          <w:rFonts w:ascii="Arial" w:hAnsi="Arial" w:cs="Arial"/>
          <w:sz w:val="24"/>
          <w:szCs w:val="24"/>
        </w:rPr>
        <w:t>There is a difference between legally insane and medically insane. The question of insanity is decided as a matter of law according to the rules of interpretation, evidence plus procedure too.</w:t>
      </w:r>
      <w:r w:rsidR="00852ECD">
        <w:rPr>
          <w:rFonts w:ascii="Arial" w:hAnsi="Arial" w:cs="Arial"/>
          <w:sz w:val="24"/>
          <w:szCs w:val="24"/>
        </w:rPr>
        <w:t xml:space="preserve"> (Law.com).</w:t>
      </w:r>
    </w:p>
    <w:p w14:paraId="15AE7CE9" w14:textId="7E5FD3DA" w:rsidR="00450B42" w:rsidRDefault="00450B42">
      <w:pPr>
        <w:rPr>
          <w:rFonts w:ascii="Arial" w:hAnsi="Arial" w:cs="Arial"/>
          <w:sz w:val="24"/>
          <w:szCs w:val="24"/>
        </w:rPr>
      </w:pPr>
      <w:r>
        <w:rPr>
          <w:rFonts w:ascii="Arial" w:hAnsi="Arial" w:cs="Arial"/>
          <w:sz w:val="24"/>
          <w:szCs w:val="24"/>
        </w:rPr>
        <w:t>Over the years the jury have considered various states of mentality when having to deal with any questions about the disease of someone’s mind. R v Kemp (1957). (Laver LLB).</w:t>
      </w:r>
      <w:r w:rsidR="009F5CB3">
        <w:rPr>
          <w:rFonts w:ascii="Arial" w:hAnsi="Arial" w:cs="Arial"/>
          <w:sz w:val="24"/>
          <w:szCs w:val="24"/>
        </w:rPr>
        <w:t xml:space="preserve"> </w:t>
      </w:r>
    </w:p>
    <w:p w14:paraId="3D4F5A91" w14:textId="028970FE" w:rsidR="009F5CB3" w:rsidRDefault="009F5CB3">
      <w:pPr>
        <w:rPr>
          <w:rFonts w:ascii="Arial" w:hAnsi="Arial" w:cs="Arial"/>
          <w:sz w:val="24"/>
          <w:szCs w:val="24"/>
        </w:rPr>
      </w:pPr>
      <w:r>
        <w:rPr>
          <w:rFonts w:ascii="Arial" w:hAnsi="Arial" w:cs="Arial"/>
          <w:sz w:val="24"/>
          <w:szCs w:val="24"/>
        </w:rPr>
        <w:t xml:space="preserve">The assault or violent act of R V Kemp was to have taken place during the time they were unconscious which arose from arteriosclerosis. It was submitted that this had been done during a period of mental confusion, arising from a physical disease, not a mental disease. Defendant pleaded guilty after a ruling as to the meaning of a defect reason </w:t>
      </w:r>
      <w:r w:rsidR="00182AAE">
        <w:rPr>
          <w:rFonts w:ascii="Arial" w:hAnsi="Arial" w:cs="Arial"/>
          <w:sz w:val="24"/>
          <w:szCs w:val="24"/>
        </w:rPr>
        <w:t xml:space="preserve">from a disease of the mind. This is taken from the </w:t>
      </w:r>
      <w:proofErr w:type="spellStart"/>
      <w:r w:rsidR="00182AAE">
        <w:rPr>
          <w:rFonts w:ascii="Arial" w:hAnsi="Arial" w:cs="Arial"/>
          <w:sz w:val="24"/>
          <w:szCs w:val="24"/>
        </w:rPr>
        <w:t>M’Naughten</w:t>
      </w:r>
      <w:proofErr w:type="spellEnd"/>
      <w:r w:rsidR="00182AAE">
        <w:rPr>
          <w:rFonts w:ascii="Arial" w:hAnsi="Arial" w:cs="Arial"/>
          <w:sz w:val="24"/>
          <w:szCs w:val="24"/>
        </w:rPr>
        <w:t xml:space="preserve"> Rules.</w:t>
      </w:r>
    </w:p>
    <w:p w14:paraId="6DC074DF" w14:textId="58CFA3C8" w:rsidR="00CF0CD7" w:rsidRDefault="00CF0CD7">
      <w:pPr>
        <w:rPr>
          <w:rFonts w:ascii="Arial" w:hAnsi="Arial" w:cs="Arial"/>
          <w:sz w:val="24"/>
          <w:szCs w:val="24"/>
        </w:rPr>
      </w:pPr>
      <w:r>
        <w:rPr>
          <w:rFonts w:ascii="Arial" w:hAnsi="Arial" w:cs="Arial"/>
          <w:sz w:val="24"/>
          <w:szCs w:val="24"/>
        </w:rPr>
        <w:lastRenderedPageBreak/>
        <w:t>The problem with insanity and automatism defences have a lack of clarity as to the role of psychological dysfunction within exculpation and any criminal liability. Automatism is known as a form of the insanity defence, also a separate general defence and failure – of – proof defence which leads to either the voluntary act requirement or the culpability element. The history of insanity defence has an ongoing search for a greater formulation, but there has been little or no evidence to show any such progress over time. (</w:t>
      </w:r>
      <w:proofErr w:type="spellStart"/>
      <w:r>
        <w:rPr>
          <w:rFonts w:ascii="Arial" w:hAnsi="Arial" w:cs="Arial"/>
          <w:sz w:val="24"/>
          <w:szCs w:val="24"/>
        </w:rPr>
        <w:t>Schopp</w:t>
      </w:r>
      <w:proofErr w:type="spellEnd"/>
      <w:r>
        <w:rPr>
          <w:rFonts w:ascii="Arial" w:hAnsi="Arial" w:cs="Arial"/>
          <w:sz w:val="24"/>
          <w:szCs w:val="24"/>
        </w:rPr>
        <w:t xml:space="preserve"> 2008).</w:t>
      </w:r>
    </w:p>
    <w:p w14:paraId="30CB0A78" w14:textId="651BB757" w:rsidR="00CF0CD7" w:rsidRDefault="0079615C">
      <w:pPr>
        <w:rPr>
          <w:rFonts w:ascii="Arial" w:hAnsi="Arial" w:cs="Arial"/>
          <w:sz w:val="24"/>
          <w:szCs w:val="24"/>
        </w:rPr>
      </w:pPr>
      <w:r>
        <w:rPr>
          <w:rFonts w:ascii="Arial" w:hAnsi="Arial" w:cs="Arial"/>
          <w:sz w:val="24"/>
          <w:szCs w:val="24"/>
        </w:rPr>
        <w:t>Emma Sadler denies the manslaughter of her father by starting a fire in a cupboard under the stairs at their home in 2016. A jury of eight men and four women took less than twenty minutes to return the unanimous verdict of not guilty. Ms Sadler was reckless by putting the lives of others at danger. It was concluded that Ms Sadler had schizophrenia so would not have been aware of her actions. This led to Ms Sadler being detained in a psychiatric hospital for treatment under a s37 and an s41 of the Mental Health Act. (Liz Day 2017).</w:t>
      </w:r>
    </w:p>
    <w:p w14:paraId="73556DF4" w14:textId="45B5A4AE" w:rsidR="00794AB6" w:rsidRDefault="00794AB6">
      <w:pPr>
        <w:rPr>
          <w:rFonts w:ascii="Arial" w:hAnsi="Arial" w:cs="Arial"/>
          <w:sz w:val="24"/>
          <w:szCs w:val="24"/>
        </w:rPr>
      </w:pPr>
      <w:r>
        <w:rPr>
          <w:rFonts w:ascii="Arial" w:hAnsi="Arial" w:cs="Arial"/>
          <w:sz w:val="24"/>
          <w:szCs w:val="24"/>
        </w:rPr>
        <w:t>If the defendant satisfies the rules of insanity, then they are acquitted, and the verdict is due to insanity not guilty. The judge would then need to deliberate as to what order is appropriate to the defence’s case at the time. If this was before 199, if you were found guilty of reasons by insanity you had to indefinitely be detained in a hospital, unless the case involved murder. This is no longer the same procedure, as it is governed by a s5 Insanity and Unfitness to Plead Act 1991.</w:t>
      </w:r>
    </w:p>
    <w:p w14:paraId="647B768F" w14:textId="5BC8FFE3" w:rsidR="00794AB6" w:rsidRDefault="00794AB6">
      <w:pPr>
        <w:rPr>
          <w:rFonts w:ascii="Arial" w:hAnsi="Arial" w:cs="Arial"/>
          <w:sz w:val="24"/>
          <w:szCs w:val="24"/>
        </w:rPr>
      </w:pPr>
      <w:r>
        <w:rPr>
          <w:rFonts w:ascii="Arial" w:hAnsi="Arial" w:cs="Arial"/>
          <w:sz w:val="24"/>
          <w:szCs w:val="24"/>
        </w:rPr>
        <w:t>In the case of Bratty v Attorney – General for Northern Ireland (1961), the defendant was to strangle a young girl with her stockings</w:t>
      </w:r>
      <w:r w:rsidR="00A56211">
        <w:rPr>
          <w:rFonts w:ascii="Arial" w:hAnsi="Arial" w:cs="Arial"/>
          <w:sz w:val="24"/>
          <w:szCs w:val="24"/>
        </w:rPr>
        <w:t>, the defendant was to state that a blackness came over him and he did not know what he had done to the girl. He may have had epilepsy, but his defence for insanity was turned down and was convicted of murder. Defendant may have been acquitted of this if his epilepsy had prevented him from understanding his own actions.</w:t>
      </w:r>
      <w:r w:rsidR="00B14A9E">
        <w:rPr>
          <w:rFonts w:ascii="Arial" w:hAnsi="Arial" w:cs="Arial"/>
          <w:sz w:val="24"/>
          <w:szCs w:val="24"/>
        </w:rPr>
        <w:t xml:space="preserve"> (Child &amp; Ormerod 2017).</w:t>
      </w:r>
    </w:p>
    <w:p w14:paraId="21D12716" w14:textId="00AE07BD" w:rsidR="00A56211" w:rsidRDefault="00A56211">
      <w:pPr>
        <w:rPr>
          <w:rFonts w:ascii="Arial" w:hAnsi="Arial" w:cs="Arial"/>
          <w:sz w:val="24"/>
          <w:szCs w:val="24"/>
        </w:rPr>
      </w:pPr>
      <w:r>
        <w:rPr>
          <w:rFonts w:ascii="Arial" w:hAnsi="Arial" w:cs="Arial"/>
          <w:sz w:val="24"/>
          <w:szCs w:val="24"/>
        </w:rPr>
        <w:t>Most insanity cases would involve recognised medical illnesses, the main one being schizophrenia the role of the internal and external test has led to a rather large and unfortunate indefensible classifications. The one which stands out the most would be the case of Quick (1973)</w:t>
      </w:r>
      <w:r w:rsidR="00B14A9E">
        <w:rPr>
          <w:rFonts w:ascii="Arial" w:hAnsi="Arial" w:cs="Arial"/>
          <w:sz w:val="24"/>
          <w:szCs w:val="24"/>
        </w:rPr>
        <w:t xml:space="preserve"> where a nurse was convicted of causing (ABH) actual bodily harm to their patient. The nurse had not eaten after taken insulin to control his diabetes, this caused the blood sugars to drop too low (hypoglycaemia). This was ruled as a defence of insanity by the judge. The conviction was dropped due to an external cause which led to the involuntary act. (Martin 2009 – 2010).</w:t>
      </w:r>
    </w:p>
    <w:p w14:paraId="2F6B7CC2" w14:textId="499DE090" w:rsidR="00D363DA" w:rsidRDefault="00D363DA">
      <w:pPr>
        <w:rPr>
          <w:rFonts w:ascii="Arial" w:hAnsi="Arial" w:cs="Arial"/>
          <w:sz w:val="24"/>
          <w:szCs w:val="24"/>
        </w:rPr>
      </w:pPr>
    </w:p>
    <w:p w14:paraId="48BCE198" w14:textId="11276E52" w:rsidR="00D363DA" w:rsidRDefault="00D363DA">
      <w:pPr>
        <w:rPr>
          <w:rFonts w:ascii="Arial" w:hAnsi="Arial" w:cs="Arial"/>
          <w:sz w:val="24"/>
          <w:szCs w:val="24"/>
        </w:rPr>
      </w:pPr>
    </w:p>
    <w:p w14:paraId="30BFFB0F" w14:textId="500F3BED" w:rsidR="00D363DA" w:rsidRDefault="00D363DA">
      <w:pPr>
        <w:rPr>
          <w:rFonts w:ascii="Arial" w:hAnsi="Arial" w:cs="Arial"/>
          <w:sz w:val="24"/>
          <w:szCs w:val="24"/>
        </w:rPr>
      </w:pPr>
    </w:p>
    <w:p w14:paraId="737AC5E4" w14:textId="4806B104" w:rsidR="00D363DA" w:rsidRDefault="00D363DA">
      <w:pPr>
        <w:rPr>
          <w:rFonts w:ascii="Arial" w:hAnsi="Arial" w:cs="Arial"/>
          <w:sz w:val="24"/>
          <w:szCs w:val="24"/>
        </w:rPr>
      </w:pPr>
    </w:p>
    <w:p w14:paraId="43C1C397" w14:textId="7B794939" w:rsidR="00D363DA" w:rsidRDefault="00D363DA">
      <w:pPr>
        <w:rPr>
          <w:rFonts w:ascii="Arial" w:hAnsi="Arial" w:cs="Arial"/>
          <w:sz w:val="24"/>
          <w:szCs w:val="24"/>
        </w:rPr>
      </w:pPr>
    </w:p>
    <w:p w14:paraId="76FB19F2" w14:textId="1A1F5E10" w:rsidR="00D363DA" w:rsidRDefault="00D363DA">
      <w:pPr>
        <w:rPr>
          <w:rFonts w:ascii="Arial" w:hAnsi="Arial" w:cs="Arial"/>
          <w:sz w:val="24"/>
          <w:szCs w:val="24"/>
        </w:rPr>
      </w:pPr>
    </w:p>
    <w:p w14:paraId="733874EA" w14:textId="57EA3309" w:rsidR="00D363DA" w:rsidRDefault="00D363DA">
      <w:pPr>
        <w:rPr>
          <w:rFonts w:ascii="Arial" w:hAnsi="Arial" w:cs="Arial"/>
          <w:sz w:val="24"/>
          <w:szCs w:val="24"/>
        </w:rPr>
      </w:pPr>
    </w:p>
    <w:p w14:paraId="4EB4CE30" w14:textId="479EF148" w:rsidR="00D363DA" w:rsidRDefault="00D363DA">
      <w:pPr>
        <w:rPr>
          <w:rFonts w:ascii="Arial" w:hAnsi="Arial" w:cs="Arial"/>
          <w:sz w:val="24"/>
          <w:szCs w:val="24"/>
          <w:u w:val="single"/>
        </w:rPr>
      </w:pPr>
      <w:r w:rsidRPr="00D363DA">
        <w:rPr>
          <w:rFonts w:ascii="Arial" w:hAnsi="Arial" w:cs="Arial"/>
          <w:sz w:val="24"/>
          <w:szCs w:val="24"/>
          <w:u w:val="single"/>
        </w:rPr>
        <w:lastRenderedPageBreak/>
        <w:t>References – Part One.</w:t>
      </w:r>
    </w:p>
    <w:p w14:paraId="379B3365" w14:textId="6ABDA545" w:rsidR="00D363DA" w:rsidRPr="00D363DA" w:rsidRDefault="00D363DA">
      <w:pPr>
        <w:rPr>
          <w:rFonts w:ascii="Arial" w:hAnsi="Arial" w:cs="Arial"/>
          <w:sz w:val="24"/>
          <w:szCs w:val="24"/>
          <w:u w:val="single"/>
        </w:rPr>
      </w:pPr>
      <w:r w:rsidRPr="00D363DA">
        <w:rPr>
          <w:rFonts w:ascii="Arial" w:hAnsi="Arial" w:cs="Arial"/>
          <w:sz w:val="24"/>
          <w:szCs w:val="24"/>
          <w:u w:val="single"/>
        </w:rPr>
        <w:t>Books used.</w:t>
      </w:r>
    </w:p>
    <w:p w14:paraId="087A3AC9" w14:textId="1BF6614E" w:rsidR="00D363DA" w:rsidRDefault="00D363DA">
      <w:pPr>
        <w:rPr>
          <w:rFonts w:ascii="Arial" w:hAnsi="Arial" w:cs="Arial"/>
          <w:sz w:val="24"/>
          <w:szCs w:val="24"/>
        </w:rPr>
      </w:pPr>
      <w:r>
        <w:rPr>
          <w:rFonts w:ascii="Arial" w:hAnsi="Arial" w:cs="Arial"/>
          <w:sz w:val="24"/>
          <w:szCs w:val="24"/>
        </w:rPr>
        <w:t xml:space="preserve">Child. J, </w:t>
      </w:r>
      <w:proofErr w:type="spellStart"/>
      <w:r>
        <w:rPr>
          <w:rFonts w:ascii="Arial" w:hAnsi="Arial" w:cs="Arial"/>
          <w:sz w:val="24"/>
          <w:szCs w:val="24"/>
        </w:rPr>
        <w:t>Omerod</w:t>
      </w:r>
      <w:proofErr w:type="spellEnd"/>
      <w:r>
        <w:rPr>
          <w:rFonts w:ascii="Arial" w:hAnsi="Arial" w:cs="Arial"/>
          <w:sz w:val="24"/>
          <w:szCs w:val="24"/>
        </w:rPr>
        <w:t>. D</w:t>
      </w:r>
    </w:p>
    <w:p w14:paraId="55FFBCFC" w14:textId="70CCBF00" w:rsidR="00D363DA" w:rsidRDefault="00D363DA">
      <w:pPr>
        <w:rPr>
          <w:rFonts w:ascii="Arial" w:hAnsi="Arial" w:cs="Arial"/>
          <w:sz w:val="24"/>
          <w:szCs w:val="24"/>
        </w:rPr>
      </w:pPr>
      <w:r>
        <w:rPr>
          <w:rFonts w:ascii="Arial" w:hAnsi="Arial" w:cs="Arial"/>
          <w:sz w:val="24"/>
          <w:szCs w:val="24"/>
        </w:rPr>
        <w:t>(2017).</w:t>
      </w:r>
    </w:p>
    <w:p w14:paraId="79C84D65" w14:textId="3848CE88" w:rsidR="00D363DA" w:rsidRDefault="00D363DA">
      <w:pPr>
        <w:rPr>
          <w:rFonts w:ascii="Arial" w:hAnsi="Arial" w:cs="Arial"/>
          <w:sz w:val="24"/>
          <w:szCs w:val="24"/>
        </w:rPr>
      </w:pPr>
      <w:r>
        <w:rPr>
          <w:rFonts w:ascii="Arial" w:hAnsi="Arial" w:cs="Arial"/>
          <w:sz w:val="24"/>
          <w:szCs w:val="24"/>
        </w:rPr>
        <w:t>Essentials of Criminal Law.</w:t>
      </w:r>
    </w:p>
    <w:p w14:paraId="5C280B53" w14:textId="4180876A" w:rsidR="00D363DA" w:rsidRDefault="00D363DA">
      <w:pPr>
        <w:rPr>
          <w:rFonts w:ascii="Arial" w:hAnsi="Arial" w:cs="Arial"/>
          <w:sz w:val="24"/>
          <w:szCs w:val="24"/>
        </w:rPr>
      </w:pPr>
      <w:r>
        <w:rPr>
          <w:rFonts w:ascii="Arial" w:hAnsi="Arial" w:cs="Arial"/>
          <w:sz w:val="24"/>
          <w:szCs w:val="24"/>
        </w:rPr>
        <w:t>2</w:t>
      </w:r>
      <w:r w:rsidRPr="00D363DA">
        <w:rPr>
          <w:rFonts w:ascii="Arial" w:hAnsi="Arial" w:cs="Arial"/>
          <w:sz w:val="24"/>
          <w:szCs w:val="24"/>
          <w:vertAlign w:val="superscript"/>
        </w:rPr>
        <w:t>nd</w:t>
      </w:r>
      <w:r>
        <w:rPr>
          <w:rFonts w:ascii="Arial" w:hAnsi="Arial" w:cs="Arial"/>
          <w:sz w:val="24"/>
          <w:szCs w:val="24"/>
        </w:rPr>
        <w:t xml:space="preserve"> edition.</w:t>
      </w:r>
    </w:p>
    <w:p w14:paraId="7AD7D475" w14:textId="2941C3EA" w:rsidR="00D363DA" w:rsidRDefault="00D363DA">
      <w:pPr>
        <w:rPr>
          <w:rFonts w:ascii="Arial" w:hAnsi="Arial" w:cs="Arial"/>
          <w:sz w:val="24"/>
          <w:szCs w:val="24"/>
        </w:rPr>
      </w:pPr>
      <w:r>
        <w:rPr>
          <w:rFonts w:ascii="Arial" w:hAnsi="Arial" w:cs="Arial"/>
          <w:sz w:val="24"/>
          <w:szCs w:val="24"/>
        </w:rPr>
        <w:t>Oxford University Press – Oxford.</w:t>
      </w:r>
    </w:p>
    <w:p w14:paraId="5B05B99A" w14:textId="05AE41BC" w:rsidR="00D363DA" w:rsidRDefault="00D363DA">
      <w:pPr>
        <w:rPr>
          <w:rFonts w:ascii="Arial" w:hAnsi="Arial" w:cs="Arial"/>
          <w:sz w:val="24"/>
          <w:szCs w:val="24"/>
        </w:rPr>
      </w:pPr>
    </w:p>
    <w:p w14:paraId="091C7549" w14:textId="56D81B48" w:rsidR="00D363DA" w:rsidRDefault="00D363DA">
      <w:pPr>
        <w:rPr>
          <w:rFonts w:ascii="Arial" w:hAnsi="Arial" w:cs="Arial"/>
          <w:sz w:val="24"/>
          <w:szCs w:val="24"/>
        </w:rPr>
      </w:pPr>
      <w:r>
        <w:rPr>
          <w:rFonts w:ascii="Arial" w:hAnsi="Arial" w:cs="Arial"/>
          <w:sz w:val="24"/>
          <w:szCs w:val="24"/>
        </w:rPr>
        <w:t>Martin. J</w:t>
      </w:r>
    </w:p>
    <w:p w14:paraId="3B9B8876" w14:textId="08CB4910" w:rsidR="00D363DA" w:rsidRDefault="00D363DA">
      <w:pPr>
        <w:rPr>
          <w:rFonts w:ascii="Arial" w:hAnsi="Arial" w:cs="Arial"/>
          <w:sz w:val="24"/>
          <w:szCs w:val="24"/>
        </w:rPr>
      </w:pPr>
      <w:r>
        <w:rPr>
          <w:rFonts w:ascii="Arial" w:hAnsi="Arial" w:cs="Arial"/>
          <w:sz w:val="24"/>
          <w:szCs w:val="24"/>
        </w:rPr>
        <w:t>(2009 – 2010).</w:t>
      </w:r>
    </w:p>
    <w:p w14:paraId="79BEA421" w14:textId="38EF6B92" w:rsidR="00D363DA" w:rsidRDefault="00D363DA">
      <w:pPr>
        <w:rPr>
          <w:rFonts w:ascii="Arial" w:hAnsi="Arial" w:cs="Arial"/>
          <w:sz w:val="24"/>
          <w:szCs w:val="24"/>
        </w:rPr>
      </w:pPr>
      <w:r>
        <w:rPr>
          <w:rFonts w:ascii="Arial" w:hAnsi="Arial" w:cs="Arial"/>
          <w:sz w:val="24"/>
          <w:szCs w:val="24"/>
        </w:rPr>
        <w:t>The facts at your fingertips… Criminal Law.</w:t>
      </w:r>
    </w:p>
    <w:p w14:paraId="53FE9921" w14:textId="2A76A402" w:rsidR="00D363DA" w:rsidRDefault="00D363DA">
      <w:pPr>
        <w:rPr>
          <w:rFonts w:ascii="Arial" w:hAnsi="Arial" w:cs="Arial"/>
          <w:sz w:val="24"/>
          <w:szCs w:val="24"/>
        </w:rPr>
      </w:pPr>
      <w:r>
        <w:rPr>
          <w:rFonts w:ascii="Arial" w:hAnsi="Arial" w:cs="Arial"/>
          <w:sz w:val="24"/>
          <w:szCs w:val="24"/>
        </w:rPr>
        <w:t>Hodder Education.</w:t>
      </w:r>
    </w:p>
    <w:p w14:paraId="247EB6BF" w14:textId="2C3584F2" w:rsidR="00D363DA" w:rsidRDefault="00D363DA">
      <w:pPr>
        <w:rPr>
          <w:rFonts w:ascii="Arial" w:hAnsi="Arial" w:cs="Arial"/>
          <w:sz w:val="24"/>
          <w:szCs w:val="24"/>
        </w:rPr>
      </w:pPr>
    </w:p>
    <w:p w14:paraId="1C39FD4D" w14:textId="434CD6E4" w:rsidR="00D363DA" w:rsidRDefault="00D363DA">
      <w:pPr>
        <w:rPr>
          <w:rFonts w:ascii="Arial" w:hAnsi="Arial" w:cs="Arial"/>
          <w:sz w:val="24"/>
          <w:szCs w:val="24"/>
        </w:rPr>
      </w:pPr>
      <w:proofErr w:type="spellStart"/>
      <w:r>
        <w:rPr>
          <w:rFonts w:ascii="Arial" w:hAnsi="Arial" w:cs="Arial"/>
          <w:sz w:val="24"/>
          <w:szCs w:val="24"/>
        </w:rPr>
        <w:t>Schopp</w:t>
      </w:r>
      <w:proofErr w:type="spellEnd"/>
      <w:r>
        <w:rPr>
          <w:rFonts w:ascii="Arial" w:hAnsi="Arial" w:cs="Arial"/>
          <w:sz w:val="24"/>
          <w:szCs w:val="24"/>
        </w:rPr>
        <w:t>. R.F</w:t>
      </w:r>
    </w:p>
    <w:p w14:paraId="75DCC73C" w14:textId="7DCBFBC9" w:rsidR="007D3BF7" w:rsidRDefault="007D3BF7">
      <w:pPr>
        <w:rPr>
          <w:rFonts w:ascii="Arial" w:hAnsi="Arial" w:cs="Arial"/>
          <w:sz w:val="24"/>
          <w:szCs w:val="24"/>
        </w:rPr>
      </w:pPr>
      <w:r>
        <w:rPr>
          <w:rFonts w:ascii="Arial" w:hAnsi="Arial" w:cs="Arial"/>
          <w:sz w:val="24"/>
          <w:szCs w:val="24"/>
        </w:rPr>
        <w:t>(2008).</w:t>
      </w:r>
    </w:p>
    <w:p w14:paraId="15875019" w14:textId="5656CF17" w:rsidR="007D3BF7" w:rsidRDefault="007D3BF7">
      <w:pPr>
        <w:rPr>
          <w:rFonts w:ascii="Arial" w:hAnsi="Arial" w:cs="Arial"/>
          <w:sz w:val="24"/>
          <w:szCs w:val="24"/>
        </w:rPr>
      </w:pPr>
      <w:r>
        <w:rPr>
          <w:rFonts w:ascii="Arial" w:hAnsi="Arial" w:cs="Arial"/>
          <w:sz w:val="24"/>
          <w:szCs w:val="24"/>
        </w:rPr>
        <w:t>Automatism, Insanity, and the Psychology of Criminal Responsibility.</w:t>
      </w:r>
    </w:p>
    <w:p w14:paraId="4D90AB83" w14:textId="5B539C0A" w:rsidR="007D3BF7" w:rsidRDefault="007D3BF7">
      <w:pPr>
        <w:rPr>
          <w:rFonts w:ascii="Arial" w:hAnsi="Arial" w:cs="Arial"/>
          <w:sz w:val="24"/>
          <w:szCs w:val="24"/>
        </w:rPr>
      </w:pPr>
      <w:r>
        <w:rPr>
          <w:rFonts w:ascii="Arial" w:hAnsi="Arial" w:cs="Arial"/>
          <w:sz w:val="24"/>
          <w:szCs w:val="24"/>
        </w:rPr>
        <w:t>Cambridge University Press.</w:t>
      </w:r>
    </w:p>
    <w:p w14:paraId="3196210C" w14:textId="677E9509" w:rsidR="007D3BF7" w:rsidRDefault="007D3BF7">
      <w:pPr>
        <w:rPr>
          <w:rFonts w:ascii="Arial" w:hAnsi="Arial" w:cs="Arial"/>
          <w:sz w:val="24"/>
          <w:szCs w:val="24"/>
        </w:rPr>
      </w:pPr>
    </w:p>
    <w:p w14:paraId="7E2865A3" w14:textId="29A7161E" w:rsidR="007D3BF7" w:rsidRDefault="007D3BF7">
      <w:pPr>
        <w:rPr>
          <w:rFonts w:ascii="Arial" w:hAnsi="Arial" w:cs="Arial"/>
          <w:sz w:val="24"/>
          <w:szCs w:val="24"/>
        </w:rPr>
      </w:pPr>
      <w:r>
        <w:rPr>
          <w:rFonts w:ascii="Arial" w:hAnsi="Arial" w:cs="Arial"/>
          <w:sz w:val="24"/>
          <w:szCs w:val="24"/>
        </w:rPr>
        <w:t>Laver. N (LLB)</w:t>
      </w:r>
    </w:p>
    <w:p w14:paraId="0A084A87" w14:textId="16BEB7D0" w:rsidR="007D3BF7" w:rsidRDefault="007D3BF7">
      <w:pPr>
        <w:rPr>
          <w:rFonts w:ascii="Arial" w:hAnsi="Arial" w:cs="Arial"/>
          <w:sz w:val="24"/>
          <w:szCs w:val="24"/>
        </w:rPr>
      </w:pPr>
      <w:r>
        <w:rPr>
          <w:rFonts w:ascii="Arial" w:hAnsi="Arial" w:cs="Arial"/>
          <w:sz w:val="24"/>
          <w:szCs w:val="24"/>
        </w:rPr>
        <w:t>In Brief.co.uk. 28</w:t>
      </w:r>
      <w:r w:rsidRPr="007D3BF7">
        <w:rPr>
          <w:rFonts w:ascii="Arial" w:hAnsi="Arial" w:cs="Arial"/>
          <w:sz w:val="24"/>
          <w:szCs w:val="24"/>
          <w:vertAlign w:val="superscript"/>
        </w:rPr>
        <w:t>th</w:t>
      </w:r>
      <w:r>
        <w:rPr>
          <w:rFonts w:ascii="Arial" w:hAnsi="Arial" w:cs="Arial"/>
          <w:sz w:val="24"/>
          <w:szCs w:val="24"/>
        </w:rPr>
        <w:t xml:space="preserve"> April 2021.</w:t>
      </w:r>
    </w:p>
    <w:p w14:paraId="19B19D14" w14:textId="4DE3D5F7" w:rsidR="007D3BF7" w:rsidRDefault="007D3BF7">
      <w:pPr>
        <w:rPr>
          <w:rFonts w:ascii="Arial" w:hAnsi="Arial" w:cs="Arial"/>
          <w:sz w:val="24"/>
          <w:szCs w:val="24"/>
        </w:rPr>
      </w:pPr>
    </w:p>
    <w:p w14:paraId="38944C6F" w14:textId="2D9E5505" w:rsidR="007D3BF7" w:rsidRDefault="007D3BF7">
      <w:pPr>
        <w:rPr>
          <w:rFonts w:ascii="Arial" w:hAnsi="Arial" w:cs="Arial"/>
          <w:sz w:val="24"/>
          <w:szCs w:val="24"/>
        </w:rPr>
      </w:pPr>
      <w:r>
        <w:rPr>
          <w:rFonts w:ascii="Arial" w:hAnsi="Arial" w:cs="Arial"/>
          <w:sz w:val="24"/>
          <w:szCs w:val="24"/>
        </w:rPr>
        <w:t>Ministry of Justice – Law Commission.</w:t>
      </w:r>
    </w:p>
    <w:p w14:paraId="2E306BF9" w14:textId="10EF5660" w:rsidR="007D3BF7" w:rsidRDefault="00366947">
      <w:pPr>
        <w:rPr>
          <w:rFonts w:ascii="Arial" w:hAnsi="Arial" w:cs="Arial"/>
          <w:sz w:val="24"/>
          <w:szCs w:val="24"/>
        </w:rPr>
      </w:pPr>
      <w:hyperlink r:id="rId6" w:history="1">
        <w:r w:rsidR="00722E11" w:rsidRPr="00D934CC">
          <w:rPr>
            <w:rStyle w:val="Hyperlink"/>
            <w:rFonts w:ascii="Arial" w:hAnsi="Arial" w:cs="Arial"/>
            <w:sz w:val="24"/>
            <w:szCs w:val="24"/>
          </w:rPr>
          <w:t>https://consult.justice.gov.uk/law-commission/insanity-andautomatism/</w:t>
        </w:r>
      </w:hyperlink>
    </w:p>
    <w:p w14:paraId="1BF74E6D" w14:textId="517529EE" w:rsidR="00722E11" w:rsidRDefault="00722E11">
      <w:pPr>
        <w:rPr>
          <w:rFonts w:ascii="Arial" w:hAnsi="Arial" w:cs="Arial"/>
          <w:sz w:val="24"/>
          <w:szCs w:val="24"/>
        </w:rPr>
      </w:pPr>
      <w:r>
        <w:rPr>
          <w:rFonts w:ascii="Arial" w:hAnsi="Arial" w:cs="Arial"/>
          <w:sz w:val="24"/>
          <w:szCs w:val="24"/>
        </w:rPr>
        <w:t>27</w:t>
      </w:r>
      <w:r w:rsidRPr="00722E11">
        <w:rPr>
          <w:rFonts w:ascii="Arial" w:hAnsi="Arial" w:cs="Arial"/>
          <w:sz w:val="24"/>
          <w:szCs w:val="24"/>
          <w:vertAlign w:val="superscript"/>
        </w:rPr>
        <w:t>th</w:t>
      </w:r>
      <w:r>
        <w:rPr>
          <w:rFonts w:ascii="Arial" w:hAnsi="Arial" w:cs="Arial"/>
          <w:sz w:val="24"/>
          <w:szCs w:val="24"/>
        </w:rPr>
        <w:t xml:space="preserve"> April 2021.</w:t>
      </w:r>
    </w:p>
    <w:p w14:paraId="16D65F43" w14:textId="391151FA" w:rsidR="00722E11" w:rsidRDefault="00722E11">
      <w:pPr>
        <w:rPr>
          <w:rFonts w:ascii="Arial" w:hAnsi="Arial" w:cs="Arial"/>
          <w:sz w:val="24"/>
          <w:szCs w:val="24"/>
        </w:rPr>
      </w:pPr>
    </w:p>
    <w:p w14:paraId="6882A5FB" w14:textId="62563EA8" w:rsidR="00722E11" w:rsidRDefault="00366947">
      <w:pPr>
        <w:rPr>
          <w:rFonts w:ascii="Arial" w:hAnsi="Arial" w:cs="Arial"/>
          <w:sz w:val="24"/>
          <w:szCs w:val="24"/>
        </w:rPr>
      </w:pPr>
      <w:hyperlink r:id="rId7" w:history="1">
        <w:r w:rsidR="00722E11" w:rsidRPr="00D934CC">
          <w:rPr>
            <w:rStyle w:val="Hyperlink"/>
            <w:rFonts w:ascii="Arial" w:hAnsi="Arial" w:cs="Arial"/>
            <w:sz w:val="24"/>
            <w:szCs w:val="24"/>
          </w:rPr>
          <w:t>https://www.lawcom.gov.uk/project/insanity-and-automatism</w:t>
        </w:r>
      </w:hyperlink>
    </w:p>
    <w:p w14:paraId="4B1FC50D" w14:textId="214FA14A" w:rsidR="00722E11" w:rsidRDefault="00722E11">
      <w:pPr>
        <w:rPr>
          <w:rFonts w:ascii="Arial" w:hAnsi="Arial" w:cs="Arial"/>
          <w:sz w:val="24"/>
          <w:szCs w:val="24"/>
        </w:rPr>
      </w:pPr>
      <w:r>
        <w:rPr>
          <w:rFonts w:ascii="Arial" w:hAnsi="Arial" w:cs="Arial"/>
          <w:sz w:val="24"/>
          <w:szCs w:val="24"/>
        </w:rPr>
        <w:t>27</w:t>
      </w:r>
      <w:r w:rsidRPr="00722E11">
        <w:rPr>
          <w:rFonts w:ascii="Arial" w:hAnsi="Arial" w:cs="Arial"/>
          <w:sz w:val="24"/>
          <w:szCs w:val="24"/>
          <w:vertAlign w:val="superscript"/>
        </w:rPr>
        <w:t>th</w:t>
      </w:r>
      <w:r>
        <w:rPr>
          <w:rFonts w:ascii="Arial" w:hAnsi="Arial" w:cs="Arial"/>
          <w:sz w:val="24"/>
          <w:szCs w:val="24"/>
        </w:rPr>
        <w:t xml:space="preserve"> April 2021.</w:t>
      </w:r>
    </w:p>
    <w:p w14:paraId="06EB59A5" w14:textId="0DDAC68B" w:rsidR="00722E11" w:rsidRDefault="00722E11">
      <w:pPr>
        <w:rPr>
          <w:rFonts w:ascii="Arial" w:hAnsi="Arial" w:cs="Arial"/>
          <w:sz w:val="24"/>
          <w:szCs w:val="24"/>
        </w:rPr>
      </w:pPr>
    </w:p>
    <w:p w14:paraId="1CFF6D6F" w14:textId="4915ADDF" w:rsidR="00722E11" w:rsidRDefault="00366947">
      <w:pPr>
        <w:rPr>
          <w:rFonts w:ascii="Arial" w:hAnsi="Arial" w:cs="Arial"/>
          <w:sz w:val="24"/>
          <w:szCs w:val="24"/>
        </w:rPr>
      </w:pPr>
      <w:hyperlink r:id="rId8" w:history="1">
        <w:r w:rsidR="00722E11" w:rsidRPr="00D934CC">
          <w:rPr>
            <w:rStyle w:val="Hyperlink"/>
            <w:rFonts w:ascii="Arial" w:hAnsi="Arial" w:cs="Arial"/>
            <w:sz w:val="24"/>
            <w:szCs w:val="24"/>
          </w:rPr>
          <w:t>https://www.lawcom.gov.uk/app/uploads/2015/06/insanity_discussion.pdf</w:t>
        </w:r>
      </w:hyperlink>
    </w:p>
    <w:p w14:paraId="2457231B" w14:textId="169EE1F0" w:rsidR="00722E11" w:rsidRDefault="00722E11">
      <w:pPr>
        <w:rPr>
          <w:rFonts w:ascii="Arial" w:hAnsi="Arial" w:cs="Arial"/>
          <w:sz w:val="24"/>
          <w:szCs w:val="24"/>
        </w:rPr>
      </w:pPr>
      <w:r>
        <w:rPr>
          <w:rFonts w:ascii="Arial" w:hAnsi="Arial" w:cs="Arial"/>
          <w:sz w:val="24"/>
          <w:szCs w:val="24"/>
        </w:rPr>
        <w:t>27</w:t>
      </w:r>
      <w:r w:rsidRPr="00722E11">
        <w:rPr>
          <w:rFonts w:ascii="Arial" w:hAnsi="Arial" w:cs="Arial"/>
          <w:sz w:val="24"/>
          <w:szCs w:val="24"/>
          <w:vertAlign w:val="superscript"/>
        </w:rPr>
        <w:t>th</w:t>
      </w:r>
      <w:r>
        <w:rPr>
          <w:rFonts w:ascii="Arial" w:hAnsi="Arial" w:cs="Arial"/>
          <w:sz w:val="24"/>
          <w:szCs w:val="24"/>
        </w:rPr>
        <w:t xml:space="preserve"> April 2021.</w:t>
      </w:r>
    </w:p>
    <w:p w14:paraId="684E8482" w14:textId="56FC7E2B" w:rsidR="00722E11" w:rsidRDefault="00366947">
      <w:pPr>
        <w:rPr>
          <w:rFonts w:ascii="Arial" w:hAnsi="Arial" w:cs="Arial"/>
          <w:sz w:val="24"/>
          <w:szCs w:val="24"/>
        </w:rPr>
      </w:pPr>
      <w:hyperlink w:history="1">
        <w:r w:rsidR="00722E11" w:rsidRPr="00D934CC">
          <w:rPr>
            <w:rStyle w:val="Hyperlink"/>
            <w:rFonts w:ascii="Arial" w:hAnsi="Arial" w:cs="Arial"/>
            <w:sz w:val="24"/>
            <w:szCs w:val="24"/>
          </w:rPr>
          <w:t>https://law.jrank.org&gt;pages&gt;M-Na</w:t>
        </w:r>
      </w:hyperlink>
      <w:r w:rsidR="00722E11">
        <w:rPr>
          <w:rFonts w:ascii="Arial" w:hAnsi="Arial" w:cs="Arial"/>
          <w:sz w:val="24"/>
          <w:szCs w:val="24"/>
        </w:rPr>
        <w:t>...</w:t>
      </w:r>
    </w:p>
    <w:p w14:paraId="4F1660FE" w14:textId="47F18E9F" w:rsidR="00722E11" w:rsidRDefault="00722E11">
      <w:pPr>
        <w:rPr>
          <w:rFonts w:ascii="Arial" w:hAnsi="Arial" w:cs="Arial"/>
          <w:sz w:val="24"/>
          <w:szCs w:val="24"/>
        </w:rPr>
      </w:pPr>
      <w:r>
        <w:rPr>
          <w:rFonts w:ascii="Arial" w:hAnsi="Arial" w:cs="Arial"/>
          <w:sz w:val="24"/>
          <w:szCs w:val="24"/>
        </w:rPr>
        <w:t>27</w:t>
      </w:r>
      <w:r w:rsidRPr="00722E11">
        <w:rPr>
          <w:rFonts w:ascii="Arial" w:hAnsi="Arial" w:cs="Arial"/>
          <w:sz w:val="24"/>
          <w:szCs w:val="24"/>
          <w:vertAlign w:val="superscript"/>
        </w:rPr>
        <w:t>th</w:t>
      </w:r>
      <w:r>
        <w:rPr>
          <w:rFonts w:ascii="Arial" w:hAnsi="Arial" w:cs="Arial"/>
          <w:sz w:val="24"/>
          <w:szCs w:val="24"/>
        </w:rPr>
        <w:t xml:space="preserve"> April 2021.</w:t>
      </w:r>
    </w:p>
    <w:p w14:paraId="18F937D7" w14:textId="2BDFF0EC" w:rsidR="00722E11" w:rsidRDefault="00722E11">
      <w:pPr>
        <w:rPr>
          <w:rFonts w:ascii="Arial" w:hAnsi="Arial" w:cs="Arial"/>
          <w:sz w:val="24"/>
          <w:szCs w:val="24"/>
        </w:rPr>
      </w:pPr>
    </w:p>
    <w:p w14:paraId="492A61F4" w14:textId="3AEC9B14" w:rsidR="00722E11" w:rsidRDefault="00366947">
      <w:pPr>
        <w:rPr>
          <w:rFonts w:ascii="Arial" w:hAnsi="Arial" w:cs="Arial"/>
          <w:sz w:val="24"/>
          <w:szCs w:val="24"/>
        </w:rPr>
      </w:pPr>
      <w:hyperlink r:id="rId9" w:history="1">
        <w:r w:rsidR="00722E11" w:rsidRPr="00D934CC">
          <w:rPr>
            <w:rStyle w:val="Hyperlink"/>
            <w:rFonts w:ascii="Arial" w:hAnsi="Arial" w:cs="Arial"/>
            <w:sz w:val="24"/>
            <w:szCs w:val="24"/>
          </w:rPr>
          <w:t>https://swarb.co.uk/regina-vkemp-1957/</w:t>
        </w:r>
      </w:hyperlink>
    </w:p>
    <w:p w14:paraId="38C3F19A" w14:textId="4A751C70" w:rsidR="00722E11" w:rsidRDefault="00722E11">
      <w:pPr>
        <w:rPr>
          <w:rFonts w:ascii="Arial" w:hAnsi="Arial" w:cs="Arial"/>
          <w:sz w:val="24"/>
          <w:szCs w:val="24"/>
        </w:rPr>
      </w:pPr>
      <w:r>
        <w:rPr>
          <w:rFonts w:ascii="Arial" w:hAnsi="Arial" w:cs="Arial"/>
          <w:sz w:val="24"/>
          <w:szCs w:val="24"/>
        </w:rPr>
        <w:t>28</w:t>
      </w:r>
      <w:r w:rsidRPr="00722E11">
        <w:rPr>
          <w:rFonts w:ascii="Arial" w:hAnsi="Arial" w:cs="Arial"/>
          <w:sz w:val="24"/>
          <w:szCs w:val="24"/>
          <w:vertAlign w:val="superscript"/>
        </w:rPr>
        <w:t>th</w:t>
      </w:r>
      <w:r>
        <w:rPr>
          <w:rFonts w:ascii="Arial" w:hAnsi="Arial" w:cs="Arial"/>
          <w:sz w:val="24"/>
          <w:szCs w:val="24"/>
        </w:rPr>
        <w:t xml:space="preserve"> April 2021.</w:t>
      </w:r>
    </w:p>
    <w:p w14:paraId="09D0BEB9" w14:textId="2BC81857" w:rsidR="00722E11" w:rsidRDefault="00722E11">
      <w:pPr>
        <w:rPr>
          <w:rFonts w:ascii="Arial" w:hAnsi="Arial" w:cs="Arial"/>
          <w:sz w:val="24"/>
          <w:szCs w:val="24"/>
        </w:rPr>
      </w:pPr>
    </w:p>
    <w:p w14:paraId="3411D16F" w14:textId="2E78167F" w:rsidR="00722E11" w:rsidRDefault="00722E11">
      <w:pPr>
        <w:rPr>
          <w:rFonts w:ascii="Arial" w:hAnsi="Arial" w:cs="Arial"/>
          <w:sz w:val="24"/>
          <w:szCs w:val="24"/>
        </w:rPr>
      </w:pPr>
      <w:r>
        <w:rPr>
          <w:rFonts w:ascii="Arial" w:hAnsi="Arial" w:cs="Arial"/>
          <w:sz w:val="24"/>
          <w:szCs w:val="24"/>
        </w:rPr>
        <w:t>Day 2017</w:t>
      </w:r>
    </w:p>
    <w:p w14:paraId="168815E9" w14:textId="77777777" w:rsidR="00722E11" w:rsidRDefault="00722E11">
      <w:pPr>
        <w:rPr>
          <w:rFonts w:ascii="Arial" w:hAnsi="Arial" w:cs="Arial"/>
          <w:sz w:val="24"/>
          <w:szCs w:val="24"/>
        </w:rPr>
      </w:pPr>
      <w:r>
        <w:rPr>
          <w:rFonts w:ascii="Arial" w:hAnsi="Arial" w:cs="Arial"/>
          <w:sz w:val="24"/>
          <w:szCs w:val="24"/>
        </w:rPr>
        <w:t>Woman accused of manslaughter of father.</w:t>
      </w:r>
    </w:p>
    <w:p w14:paraId="1BFB2DDE" w14:textId="272F3534" w:rsidR="00722E11" w:rsidRDefault="00366947">
      <w:pPr>
        <w:rPr>
          <w:rFonts w:ascii="Arial" w:hAnsi="Arial" w:cs="Arial"/>
          <w:sz w:val="24"/>
          <w:szCs w:val="24"/>
        </w:rPr>
      </w:pPr>
      <w:hyperlink r:id="rId10" w:history="1">
        <w:r w:rsidR="00722E11" w:rsidRPr="00D934CC">
          <w:rPr>
            <w:rStyle w:val="Hyperlink"/>
            <w:rFonts w:ascii="Arial" w:hAnsi="Arial" w:cs="Arial"/>
            <w:sz w:val="24"/>
            <w:szCs w:val="24"/>
          </w:rPr>
          <w:t>https://www.walesonline.co.uk/news/wales-news/woman-accused-manslaughter-father-found</w:t>
        </w:r>
      </w:hyperlink>
      <w:r w:rsidR="00722E11">
        <w:rPr>
          <w:rFonts w:ascii="Arial" w:hAnsi="Arial" w:cs="Arial"/>
          <w:sz w:val="24"/>
          <w:szCs w:val="24"/>
        </w:rPr>
        <w:t>...</w:t>
      </w:r>
    </w:p>
    <w:p w14:paraId="5003BF62" w14:textId="0BC57A7C" w:rsidR="00722E11" w:rsidRDefault="00722E11">
      <w:pPr>
        <w:rPr>
          <w:rFonts w:ascii="Arial" w:hAnsi="Arial" w:cs="Arial"/>
          <w:sz w:val="24"/>
          <w:szCs w:val="24"/>
        </w:rPr>
      </w:pPr>
      <w:r>
        <w:rPr>
          <w:rFonts w:ascii="Arial" w:hAnsi="Arial" w:cs="Arial"/>
          <w:sz w:val="24"/>
          <w:szCs w:val="24"/>
        </w:rPr>
        <w:t>28</w:t>
      </w:r>
      <w:r w:rsidRPr="00722E11">
        <w:rPr>
          <w:rFonts w:ascii="Arial" w:hAnsi="Arial" w:cs="Arial"/>
          <w:sz w:val="24"/>
          <w:szCs w:val="24"/>
          <w:vertAlign w:val="superscript"/>
        </w:rPr>
        <w:t>th</w:t>
      </w:r>
      <w:r>
        <w:rPr>
          <w:rFonts w:ascii="Arial" w:hAnsi="Arial" w:cs="Arial"/>
          <w:sz w:val="24"/>
          <w:szCs w:val="24"/>
        </w:rPr>
        <w:t xml:space="preserve"> April 2021.  </w:t>
      </w:r>
    </w:p>
    <w:p w14:paraId="31F8A7C9" w14:textId="2B49A176" w:rsidR="00873C2E" w:rsidRDefault="00873C2E">
      <w:pPr>
        <w:rPr>
          <w:rFonts w:ascii="Arial" w:hAnsi="Arial" w:cs="Arial"/>
          <w:sz w:val="24"/>
          <w:szCs w:val="24"/>
        </w:rPr>
      </w:pPr>
    </w:p>
    <w:p w14:paraId="42C404BB" w14:textId="74F6641B" w:rsidR="00873C2E" w:rsidRDefault="00873C2E">
      <w:pPr>
        <w:rPr>
          <w:rFonts w:ascii="Arial" w:hAnsi="Arial" w:cs="Arial"/>
          <w:sz w:val="24"/>
          <w:szCs w:val="24"/>
        </w:rPr>
      </w:pPr>
    </w:p>
    <w:p w14:paraId="2B6B4869" w14:textId="4DC5AD80" w:rsidR="00873C2E" w:rsidRDefault="00873C2E">
      <w:pPr>
        <w:rPr>
          <w:rFonts w:ascii="Arial" w:hAnsi="Arial" w:cs="Arial"/>
          <w:sz w:val="24"/>
          <w:szCs w:val="24"/>
        </w:rPr>
      </w:pPr>
    </w:p>
    <w:p w14:paraId="339DDAAC" w14:textId="49DAC3C9" w:rsidR="00873C2E" w:rsidRDefault="00873C2E">
      <w:pPr>
        <w:rPr>
          <w:rFonts w:ascii="Arial" w:hAnsi="Arial" w:cs="Arial"/>
          <w:sz w:val="24"/>
          <w:szCs w:val="24"/>
        </w:rPr>
      </w:pPr>
    </w:p>
    <w:p w14:paraId="6895E4E9" w14:textId="597BB840" w:rsidR="00873C2E" w:rsidRDefault="00873C2E">
      <w:pPr>
        <w:rPr>
          <w:rFonts w:ascii="Arial" w:hAnsi="Arial" w:cs="Arial"/>
          <w:sz w:val="24"/>
          <w:szCs w:val="24"/>
        </w:rPr>
      </w:pPr>
    </w:p>
    <w:p w14:paraId="7A5867E2" w14:textId="2C9633E0" w:rsidR="00873C2E" w:rsidRDefault="00873C2E">
      <w:pPr>
        <w:rPr>
          <w:rFonts w:ascii="Arial" w:hAnsi="Arial" w:cs="Arial"/>
          <w:sz w:val="24"/>
          <w:szCs w:val="24"/>
        </w:rPr>
      </w:pPr>
    </w:p>
    <w:p w14:paraId="1950EC13" w14:textId="507D4442" w:rsidR="00873C2E" w:rsidRDefault="00873C2E">
      <w:pPr>
        <w:rPr>
          <w:rFonts w:ascii="Arial" w:hAnsi="Arial" w:cs="Arial"/>
          <w:sz w:val="24"/>
          <w:szCs w:val="24"/>
        </w:rPr>
      </w:pPr>
    </w:p>
    <w:p w14:paraId="70B06A05" w14:textId="3AE03E0C" w:rsidR="00873C2E" w:rsidRDefault="00873C2E">
      <w:pPr>
        <w:rPr>
          <w:rFonts w:ascii="Arial" w:hAnsi="Arial" w:cs="Arial"/>
          <w:sz w:val="24"/>
          <w:szCs w:val="24"/>
        </w:rPr>
      </w:pPr>
    </w:p>
    <w:p w14:paraId="47B9327E" w14:textId="26D2E756" w:rsidR="00873C2E" w:rsidRDefault="00873C2E">
      <w:pPr>
        <w:rPr>
          <w:rFonts w:ascii="Arial" w:hAnsi="Arial" w:cs="Arial"/>
          <w:sz w:val="24"/>
          <w:szCs w:val="24"/>
        </w:rPr>
      </w:pPr>
    </w:p>
    <w:p w14:paraId="0401A6BD" w14:textId="4E6641A1" w:rsidR="00873C2E" w:rsidRDefault="00873C2E">
      <w:pPr>
        <w:rPr>
          <w:rFonts w:ascii="Arial" w:hAnsi="Arial" w:cs="Arial"/>
          <w:sz w:val="24"/>
          <w:szCs w:val="24"/>
        </w:rPr>
      </w:pPr>
    </w:p>
    <w:p w14:paraId="43F09455" w14:textId="7F77485B" w:rsidR="00873C2E" w:rsidRDefault="00873C2E">
      <w:pPr>
        <w:rPr>
          <w:rFonts w:ascii="Arial" w:hAnsi="Arial" w:cs="Arial"/>
          <w:sz w:val="24"/>
          <w:szCs w:val="24"/>
        </w:rPr>
      </w:pPr>
    </w:p>
    <w:p w14:paraId="1E1FD634" w14:textId="46694834" w:rsidR="00873C2E" w:rsidRDefault="00873C2E">
      <w:pPr>
        <w:rPr>
          <w:rFonts w:ascii="Arial" w:hAnsi="Arial" w:cs="Arial"/>
          <w:sz w:val="24"/>
          <w:szCs w:val="24"/>
        </w:rPr>
      </w:pPr>
    </w:p>
    <w:p w14:paraId="5003DF63" w14:textId="3F9DB367" w:rsidR="00873C2E" w:rsidRDefault="00873C2E">
      <w:pPr>
        <w:rPr>
          <w:rFonts w:ascii="Arial" w:hAnsi="Arial" w:cs="Arial"/>
          <w:sz w:val="24"/>
          <w:szCs w:val="24"/>
        </w:rPr>
      </w:pPr>
    </w:p>
    <w:p w14:paraId="1FF8597A" w14:textId="158D55BF" w:rsidR="00873C2E" w:rsidRDefault="00873C2E">
      <w:pPr>
        <w:rPr>
          <w:rFonts w:ascii="Arial" w:hAnsi="Arial" w:cs="Arial"/>
          <w:sz w:val="24"/>
          <w:szCs w:val="24"/>
        </w:rPr>
      </w:pPr>
    </w:p>
    <w:p w14:paraId="6A1F2B3E" w14:textId="48CAE5D4" w:rsidR="00873C2E" w:rsidRDefault="00873C2E">
      <w:pPr>
        <w:rPr>
          <w:rFonts w:ascii="Arial" w:hAnsi="Arial" w:cs="Arial"/>
          <w:sz w:val="24"/>
          <w:szCs w:val="24"/>
        </w:rPr>
      </w:pPr>
    </w:p>
    <w:p w14:paraId="2ADFDCF8" w14:textId="692CDF99" w:rsidR="00873C2E" w:rsidRDefault="00873C2E">
      <w:pPr>
        <w:rPr>
          <w:rFonts w:ascii="Arial" w:hAnsi="Arial" w:cs="Arial"/>
          <w:sz w:val="24"/>
          <w:szCs w:val="24"/>
        </w:rPr>
      </w:pPr>
    </w:p>
    <w:p w14:paraId="798AD1B0" w14:textId="5D9B365C" w:rsidR="00873C2E" w:rsidRDefault="00873C2E">
      <w:pPr>
        <w:rPr>
          <w:rFonts w:ascii="Arial" w:hAnsi="Arial" w:cs="Arial"/>
          <w:sz w:val="24"/>
          <w:szCs w:val="24"/>
        </w:rPr>
      </w:pPr>
    </w:p>
    <w:p w14:paraId="26815724" w14:textId="4AF8D340" w:rsidR="00873C2E" w:rsidRDefault="00873C2E">
      <w:pPr>
        <w:rPr>
          <w:rFonts w:ascii="Arial" w:hAnsi="Arial" w:cs="Arial"/>
          <w:sz w:val="24"/>
          <w:szCs w:val="24"/>
        </w:rPr>
      </w:pPr>
    </w:p>
    <w:p w14:paraId="46CD098E" w14:textId="42F4551E" w:rsidR="00873C2E" w:rsidRDefault="00873C2E">
      <w:pPr>
        <w:rPr>
          <w:rFonts w:ascii="Arial" w:hAnsi="Arial" w:cs="Arial"/>
          <w:sz w:val="24"/>
          <w:szCs w:val="24"/>
        </w:rPr>
      </w:pPr>
    </w:p>
    <w:p w14:paraId="32723325" w14:textId="6220E4B6" w:rsidR="00873C2E" w:rsidRDefault="00873C2E">
      <w:pPr>
        <w:rPr>
          <w:rFonts w:ascii="Arial" w:hAnsi="Arial" w:cs="Arial"/>
          <w:sz w:val="24"/>
          <w:szCs w:val="24"/>
        </w:rPr>
      </w:pPr>
    </w:p>
    <w:p w14:paraId="22F304E4" w14:textId="197B6E02" w:rsidR="00873C2E" w:rsidRDefault="00873C2E">
      <w:pPr>
        <w:rPr>
          <w:rFonts w:ascii="Arial" w:hAnsi="Arial" w:cs="Arial"/>
          <w:sz w:val="24"/>
          <w:szCs w:val="24"/>
        </w:rPr>
      </w:pPr>
      <w:r>
        <w:rPr>
          <w:rFonts w:ascii="Arial" w:hAnsi="Arial" w:cs="Arial"/>
          <w:sz w:val="24"/>
          <w:szCs w:val="24"/>
        </w:rPr>
        <w:lastRenderedPageBreak/>
        <w:t xml:space="preserve">Ali had caused the death of the doorman Lee, but before this can be established you would need to prove the actus reus and </w:t>
      </w:r>
      <w:proofErr w:type="spellStart"/>
      <w:r>
        <w:rPr>
          <w:rFonts w:ascii="Arial" w:hAnsi="Arial" w:cs="Arial"/>
          <w:sz w:val="24"/>
          <w:szCs w:val="24"/>
        </w:rPr>
        <w:t>mens</w:t>
      </w:r>
      <w:proofErr w:type="spellEnd"/>
      <w:r>
        <w:rPr>
          <w:rFonts w:ascii="Arial" w:hAnsi="Arial" w:cs="Arial"/>
          <w:sz w:val="24"/>
          <w:szCs w:val="24"/>
        </w:rPr>
        <w:t xml:space="preserve"> rea for the case.</w:t>
      </w:r>
    </w:p>
    <w:p w14:paraId="2F37FC1F" w14:textId="0F03EF9D" w:rsidR="00873C2E" w:rsidRDefault="00873C2E">
      <w:pPr>
        <w:rPr>
          <w:rFonts w:ascii="Arial" w:hAnsi="Arial" w:cs="Arial"/>
          <w:sz w:val="24"/>
          <w:szCs w:val="24"/>
        </w:rPr>
      </w:pPr>
      <w:r>
        <w:rPr>
          <w:rFonts w:ascii="Arial" w:hAnsi="Arial" w:cs="Arial"/>
          <w:sz w:val="24"/>
          <w:szCs w:val="24"/>
        </w:rPr>
        <w:t>The actus reus is the act of committing an offence which Ali did by punching Lee with so much force he fell to the floor and was unconscious. Ali and his friends left the crime scene before the police arrived.</w:t>
      </w:r>
    </w:p>
    <w:p w14:paraId="250C233E" w14:textId="5B87BB4C" w:rsidR="00873C2E" w:rsidRDefault="00873C2E">
      <w:pPr>
        <w:rPr>
          <w:rFonts w:ascii="Arial" w:hAnsi="Arial" w:cs="Arial"/>
          <w:sz w:val="24"/>
          <w:szCs w:val="24"/>
        </w:rPr>
      </w:pPr>
      <w:r>
        <w:rPr>
          <w:rFonts w:ascii="Arial" w:hAnsi="Arial" w:cs="Arial"/>
          <w:sz w:val="24"/>
          <w:szCs w:val="24"/>
        </w:rPr>
        <w:t>R V Roberts of 1972 was an assault occasioning actual bodily harm. This is where a foreseeable act by a victim does not break the chain of causation. If the victims conduct was something that could be reasonably foreseen. The chain of causation is only broken if the actions were not reasonably foreseen.</w:t>
      </w:r>
    </w:p>
    <w:p w14:paraId="01293C7D" w14:textId="4EC0B9C4" w:rsidR="00873C2E" w:rsidRDefault="00873C2E">
      <w:pPr>
        <w:rPr>
          <w:rFonts w:ascii="Arial" w:hAnsi="Arial" w:cs="Arial"/>
          <w:sz w:val="24"/>
          <w:szCs w:val="24"/>
        </w:rPr>
      </w:pPr>
      <w:r>
        <w:rPr>
          <w:rFonts w:ascii="Arial" w:hAnsi="Arial" w:cs="Arial"/>
          <w:sz w:val="24"/>
          <w:szCs w:val="24"/>
        </w:rPr>
        <w:t>For this it is usually common to leave the conduct element out/ unspecified. This can be the case when seeking an offence to try to criminalise a certain result, no matter how it was caused by the defendant. The actus reus for murder may include any conducts which can cause the unlawful death of a person</w:t>
      </w:r>
      <w:r w:rsidR="007344E5">
        <w:rPr>
          <w:rFonts w:ascii="Arial" w:hAnsi="Arial" w:cs="Arial"/>
          <w:sz w:val="24"/>
          <w:szCs w:val="24"/>
        </w:rPr>
        <w:t>. This would not matter as to how it was performed, hitting, pushing, stabbing, or shooting. The element of conduct would still be essential to proving the liability of the defendant. This is the element that can link the defendant to the death of the victim, but the defendant’s method of killing has been unspecified within the offence.</w:t>
      </w:r>
    </w:p>
    <w:p w14:paraId="52A37C21" w14:textId="421D0EE1" w:rsidR="007344E5" w:rsidRDefault="007344E5">
      <w:pPr>
        <w:rPr>
          <w:rFonts w:ascii="Arial" w:hAnsi="Arial" w:cs="Arial"/>
          <w:sz w:val="24"/>
          <w:szCs w:val="24"/>
        </w:rPr>
      </w:pPr>
      <w:r>
        <w:rPr>
          <w:rFonts w:ascii="Arial" w:hAnsi="Arial" w:cs="Arial"/>
          <w:sz w:val="24"/>
          <w:szCs w:val="24"/>
        </w:rPr>
        <w:t>Ireland V Burstow case of 1997</w:t>
      </w:r>
      <w:r w:rsidR="001D27B1">
        <w:rPr>
          <w:rFonts w:ascii="Arial" w:hAnsi="Arial" w:cs="Arial"/>
          <w:sz w:val="24"/>
          <w:szCs w:val="24"/>
        </w:rPr>
        <w:t xml:space="preserve"> this is where the defendant, for three months made silent telephone calls to three women. The calls were made during the night which also involved some heavy breathing too. This caused his victims to suffer from psychiatric illnesses.</w:t>
      </w:r>
    </w:p>
    <w:p w14:paraId="6FD0A3AE" w14:textId="6500DF6C" w:rsidR="001D27B1" w:rsidRDefault="001D27B1">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mens</w:t>
      </w:r>
      <w:proofErr w:type="spellEnd"/>
      <w:r>
        <w:rPr>
          <w:rFonts w:ascii="Arial" w:hAnsi="Arial" w:cs="Arial"/>
          <w:sz w:val="24"/>
          <w:szCs w:val="24"/>
        </w:rPr>
        <w:t xml:space="preserve"> rea has also been established as this was Ali’s intent. Establishing the </w:t>
      </w:r>
      <w:proofErr w:type="spellStart"/>
      <w:r>
        <w:rPr>
          <w:rFonts w:ascii="Arial" w:hAnsi="Arial" w:cs="Arial"/>
          <w:sz w:val="24"/>
          <w:szCs w:val="24"/>
        </w:rPr>
        <w:t>mens</w:t>
      </w:r>
      <w:proofErr w:type="spellEnd"/>
      <w:r>
        <w:rPr>
          <w:rFonts w:ascii="Arial" w:hAnsi="Arial" w:cs="Arial"/>
          <w:sz w:val="24"/>
          <w:szCs w:val="24"/>
        </w:rPr>
        <w:t xml:space="preserve"> rea of an offender is necessary to prove guilt in a criminal trial. The prosecution typically must prove beyond all reasonable doubt that the defendant committed the offence with a culpable state of mind.</w:t>
      </w:r>
    </w:p>
    <w:p w14:paraId="6D88264C" w14:textId="58FF24F6" w:rsidR="001D27B1" w:rsidRDefault="001D27B1">
      <w:pPr>
        <w:rPr>
          <w:rFonts w:ascii="Arial" w:hAnsi="Arial" w:cs="Arial"/>
          <w:sz w:val="24"/>
          <w:szCs w:val="24"/>
        </w:rPr>
      </w:pPr>
      <w:r>
        <w:rPr>
          <w:rFonts w:ascii="Arial" w:hAnsi="Arial" w:cs="Arial"/>
          <w:sz w:val="24"/>
          <w:szCs w:val="24"/>
        </w:rPr>
        <w:t>The case of Maloney “Golden Rule</w:t>
      </w:r>
      <w:r w:rsidR="00E639CA">
        <w:rPr>
          <w:rFonts w:ascii="Arial" w:hAnsi="Arial" w:cs="Arial"/>
          <w:sz w:val="24"/>
          <w:szCs w:val="24"/>
        </w:rPr>
        <w:t>”, (</w:t>
      </w:r>
      <w:r>
        <w:rPr>
          <w:rFonts w:ascii="Arial" w:hAnsi="Arial" w:cs="Arial"/>
          <w:sz w:val="24"/>
          <w:szCs w:val="24"/>
        </w:rPr>
        <w:t>1985</w:t>
      </w:r>
      <w:r w:rsidR="00E639CA">
        <w:rPr>
          <w:rFonts w:ascii="Arial" w:hAnsi="Arial" w:cs="Arial"/>
          <w:sz w:val="24"/>
          <w:szCs w:val="24"/>
        </w:rPr>
        <w:t>). Defendant</w:t>
      </w:r>
      <w:r>
        <w:rPr>
          <w:rFonts w:ascii="Arial" w:hAnsi="Arial" w:cs="Arial"/>
          <w:sz w:val="24"/>
          <w:szCs w:val="24"/>
        </w:rPr>
        <w:t xml:space="preserve"> in this case had shot his stepfather by claiming either of them could load and fire a gun faster than the other. Defendant did not aim the gun </w:t>
      </w:r>
      <w:r w:rsidR="00E639CA">
        <w:rPr>
          <w:rFonts w:ascii="Arial" w:hAnsi="Arial" w:cs="Arial"/>
          <w:sz w:val="24"/>
          <w:szCs w:val="24"/>
        </w:rPr>
        <w:t xml:space="preserve">but pulled the trigger at his stepfather. The foresight to this is evidence of intention. Lord Bridge was to say in his opinion that an element on the issue of intention in murder, or any other crime of intent belongs not to the substantive law, but to law of evidence. A section 8 was discussed of the 1967 Act of Criminal Justice. This was a natural result. There was an omission of the word probable held in the case of Hancock and </w:t>
      </w:r>
      <w:proofErr w:type="spellStart"/>
      <w:r w:rsidR="00E639CA">
        <w:rPr>
          <w:rFonts w:ascii="Arial" w:hAnsi="Arial" w:cs="Arial"/>
          <w:sz w:val="24"/>
          <w:szCs w:val="24"/>
        </w:rPr>
        <w:t>Shankland</w:t>
      </w:r>
      <w:proofErr w:type="spellEnd"/>
      <w:r w:rsidR="00E639CA">
        <w:rPr>
          <w:rFonts w:ascii="Arial" w:hAnsi="Arial" w:cs="Arial"/>
          <w:sz w:val="24"/>
          <w:szCs w:val="24"/>
        </w:rPr>
        <w:t xml:space="preserve"> of 1996. In this case the defendants were miners on strike, so to stop another miner going to work a concreate slab was pushed from a bridge onto the road. This in turn hit the taxi, killing the driver. The Moloney guidelines were used to direct the jury and defendants were convicted of murder. The Court of Appeal quashed their convictions</w:t>
      </w:r>
      <w:r w:rsidR="00047EA9">
        <w:rPr>
          <w:rFonts w:ascii="Arial" w:hAnsi="Arial" w:cs="Arial"/>
          <w:sz w:val="24"/>
          <w:szCs w:val="24"/>
        </w:rPr>
        <w:t xml:space="preserve"> as the Moloney guidelines omitted the word probable. Probability is important in cases like these to decide if the consequence was intended.</w:t>
      </w:r>
    </w:p>
    <w:p w14:paraId="4F39E6EE" w14:textId="213779F4" w:rsidR="00DF3D3D" w:rsidRDefault="00DF3D3D">
      <w:pPr>
        <w:rPr>
          <w:rFonts w:ascii="Arial" w:hAnsi="Arial" w:cs="Arial"/>
          <w:sz w:val="24"/>
          <w:szCs w:val="24"/>
        </w:rPr>
      </w:pPr>
      <w:r>
        <w:rPr>
          <w:rFonts w:ascii="Arial" w:hAnsi="Arial" w:cs="Arial"/>
          <w:sz w:val="24"/>
          <w:szCs w:val="24"/>
        </w:rPr>
        <w:t xml:space="preserve">Ali is liable for both the deaths of Lee (the doorman) </w:t>
      </w:r>
      <w:proofErr w:type="gramStart"/>
      <w:r>
        <w:rPr>
          <w:rFonts w:ascii="Arial" w:hAnsi="Arial" w:cs="Arial"/>
          <w:sz w:val="24"/>
          <w:szCs w:val="24"/>
        </w:rPr>
        <w:t>and also</w:t>
      </w:r>
      <w:proofErr w:type="gramEnd"/>
      <w:r>
        <w:rPr>
          <w:rFonts w:ascii="Arial" w:hAnsi="Arial" w:cs="Arial"/>
          <w:sz w:val="24"/>
          <w:szCs w:val="24"/>
        </w:rPr>
        <w:t xml:space="preserve"> Colin.</w:t>
      </w:r>
    </w:p>
    <w:p w14:paraId="684E59B5" w14:textId="5BEC94E9" w:rsidR="00DF3D3D" w:rsidRDefault="00DF3D3D">
      <w:pPr>
        <w:rPr>
          <w:rFonts w:ascii="Arial" w:hAnsi="Arial" w:cs="Arial"/>
          <w:sz w:val="24"/>
          <w:szCs w:val="24"/>
        </w:rPr>
      </w:pPr>
      <w:r>
        <w:rPr>
          <w:rFonts w:ascii="Arial" w:hAnsi="Arial" w:cs="Arial"/>
          <w:sz w:val="24"/>
          <w:szCs w:val="24"/>
        </w:rPr>
        <w:t xml:space="preserve">The case of B (a minor) 2000, defendant was a fifteen-year-old boy who asks a thirteen-year-old girl for oral sex. Defendant thought she was over the age of </w:t>
      </w:r>
      <w:r>
        <w:rPr>
          <w:rFonts w:ascii="Arial" w:hAnsi="Arial" w:cs="Arial"/>
          <w:sz w:val="24"/>
          <w:szCs w:val="24"/>
        </w:rPr>
        <w:lastRenderedPageBreak/>
        <w:t>fourteen. The defendant was charged with inciting a minor under the age of fourteen under section 1 (1) of the indecency with Children’s Act of 1960.</w:t>
      </w:r>
    </w:p>
    <w:p w14:paraId="1E199CFB" w14:textId="1F6ABC56" w:rsidR="00DF3D3D" w:rsidRDefault="00DF3D3D">
      <w:pPr>
        <w:rPr>
          <w:rFonts w:ascii="Arial" w:hAnsi="Arial" w:cs="Arial"/>
          <w:sz w:val="24"/>
          <w:szCs w:val="24"/>
        </w:rPr>
      </w:pPr>
      <w:r>
        <w:rPr>
          <w:rFonts w:ascii="Arial" w:hAnsi="Arial" w:cs="Arial"/>
          <w:sz w:val="24"/>
          <w:szCs w:val="24"/>
        </w:rPr>
        <w:t xml:space="preserve">The courts </w:t>
      </w:r>
      <w:proofErr w:type="gramStart"/>
      <w:r>
        <w:rPr>
          <w:rFonts w:ascii="Arial" w:hAnsi="Arial" w:cs="Arial"/>
          <w:sz w:val="24"/>
          <w:szCs w:val="24"/>
        </w:rPr>
        <w:t>have to</w:t>
      </w:r>
      <w:proofErr w:type="gramEnd"/>
      <w:r>
        <w:rPr>
          <w:rFonts w:ascii="Arial" w:hAnsi="Arial" w:cs="Arial"/>
          <w:sz w:val="24"/>
          <w:szCs w:val="24"/>
        </w:rPr>
        <w:t xml:space="preserve"> have a starting point, this would be the presumption of </w:t>
      </w:r>
      <w:proofErr w:type="spellStart"/>
      <w:r>
        <w:rPr>
          <w:rFonts w:ascii="Arial" w:hAnsi="Arial" w:cs="Arial"/>
          <w:sz w:val="24"/>
          <w:szCs w:val="24"/>
        </w:rPr>
        <w:t>mens</w:t>
      </w:r>
      <w:proofErr w:type="spellEnd"/>
      <w:r>
        <w:rPr>
          <w:rFonts w:ascii="Arial" w:hAnsi="Arial" w:cs="Arial"/>
          <w:sz w:val="24"/>
          <w:szCs w:val="24"/>
        </w:rPr>
        <w:t xml:space="preserve"> rea being intended. The same can also be applied in the Sweet V Parsley case of 196</w:t>
      </w:r>
      <w:r w:rsidR="006D5512">
        <w:rPr>
          <w:rFonts w:ascii="Arial" w:hAnsi="Arial" w:cs="Arial"/>
          <w:sz w:val="24"/>
          <w:szCs w:val="24"/>
        </w:rPr>
        <w:t xml:space="preserve">9. It was to identify any major elements that need to be considered when deciding if the offence is of strict liability. For this you need a lack of words of intention, the presumption </w:t>
      </w:r>
      <w:proofErr w:type="gramStart"/>
      <w:r w:rsidR="006D5512">
        <w:rPr>
          <w:rFonts w:ascii="Arial" w:hAnsi="Arial" w:cs="Arial"/>
          <w:sz w:val="24"/>
          <w:szCs w:val="24"/>
        </w:rPr>
        <w:t>has to</w:t>
      </w:r>
      <w:proofErr w:type="gramEnd"/>
      <w:r w:rsidR="006D5512">
        <w:rPr>
          <w:rFonts w:ascii="Arial" w:hAnsi="Arial" w:cs="Arial"/>
          <w:sz w:val="24"/>
          <w:szCs w:val="24"/>
        </w:rPr>
        <w:t xml:space="preserve"> be navigated by any forms of implication. There needs to be a severity of punishment and a purpose of its section with any evident problems. </w:t>
      </w:r>
      <w:proofErr w:type="gramStart"/>
      <w:r w:rsidR="006D5512">
        <w:rPr>
          <w:rFonts w:ascii="Arial" w:hAnsi="Arial" w:cs="Arial"/>
          <w:sz w:val="24"/>
          <w:szCs w:val="24"/>
        </w:rPr>
        <w:t xml:space="preserve">And </w:t>
      </w:r>
      <w:r w:rsidR="00AC7B2B">
        <w:rPr>
          <w:rFonts w:ascii="Arial" w:hAnsi="Arial" w:cs="Arial"/>
          <w:sz w:val="24"/>
          <w:szCs w:val="24"/>
        </w:rPr>
        <w:t>also</w:t>
      </w:r>
      <w:proofErr w:type="gramEnd"/>
      <w:r w:rsidR="00AC7B2B">
        <w:rPr>
          <w:rFonts w:ascii="Arial" w:hAnsi="Arial" w:cs="Arial"/>
          <w:sz w:val="24"/>
          <w:szCs w:val="24"/>
        </w:rPr>
        <w:t>,</w:t>
      </w:r>
      <w:r w:rsidR="006D5512">
        <w:rPr>
          <w:rFonts w:ascii="Arial" w:hAnsi="Arial" w:cs="Arial"/>
          <w:sz w:val="24"/>
          <w:szCs w:val="24"/>
        </w:rPr>
        <w:t xml:space="preserve"> how effective strict liability can be.</w:t>
      </w:r>
    </w:p>
    <w:p w14:paraId="560AB396" w14:textId="5AB4465D" w:rsidR="00447D33" w:rsidRDefault="00447D33">
      <w:pPr>
        <w:rPr>
          <w:rFonts w:ascii="Arial" w:hAnsi="Arial" w:cs="Arial"/>
          <w:sz w:val="24"/>
          <w:szCs w:val="24"/>
        </w:rPr>
      </w:pPr>
      <w:r>
        <w:rPr>
          <w:rFonts w:ascii="Arial" w:hAnsi="Arial" w:cs="Arial"/>
          <w:sz w:val="24"/>
          <w:szCs w:val="24"/>
        </w:rPr>
        <w:t>The Nedrick case of 1986</w:t>
      </w:r>
      <w:r w:rsidR="00AC7B2B">
        <w:rPr>
          <w:rFonts w:ascii="Arial" w:hAnsi="Arial" w:cs="Arial"/>
          <w:sz w:val="24"/>
          <w:szCs w:val="24"/>
        </w:rPr>
        <w:t xml:space="preserve"> defendant has a grudge against a woman, so he poured paraffin through her letterbox and set it on fire. Doing this killed a young child. The defendant as convicted with murder, but the courts decided otherwise and stated that it was manslaughter. The courts </w:t>
      </w:r>
      <w:proofErr w:type="gramStart"/>
      <w:r w:rsidR="00AC7B2B">
        <w:rPr>
          <w:rFonts w:ascii="Arial" w:hAnsi="Arial" w:cs="Arial"/>
          <w:sz w:val="24"/>
          <w:szCs w:val="24"/>
        </w:rPr>
        <w:t>have to</w:t>
      </w:r>
      <w:proofErr w:type="gramEnd"/>
      <w:r w:rsidR="00AC7B2B">
        <w:rPr>
          <w:rFonts w:ascii="Arial" w:hAnsi="Arial" w:cs="Arial"/>
          <w:sz w:val="24"/>
          <w:szCs w:val="24"/>
        </w:rPr>
        <w:t xml:space="preserve"> ask themselves two questions. Question one is how probable was consequence which came from the defendant’s act, and secondly did the defendant foresee his consequence?</w:t>
      </w:r>
    </w:p>
    <w:p w14:paraId="50FC3A05" w14:textId="59C3BB94" w:rsidR="00AC7B2B" w:rsidRDefault="00AC7B2B">
      <w:pPr>
        <w:rPr>
          <w:rFonts w:ascii="Arial" w:hAnsi="Arial" w:cs="Arial"/>
          <w:sz w:val="24"/>
          <w:szCs w:val="24"/>
        </w:rPr>
      </w:pPr>
      <w:r>
        <w:rPr>
          <w:rFonts w:ascii="Arial" w:hAnsi="Arial" w:cs="Arial"/>
          <w:sz w:val="24"/>
          <w:szCs w:val="24"/>
        </w:rPr>
        <w:t xml:space="preserve">Any consequences </w:t>
      </w:r>
      <w:proofErr w:type="gramStart"/>
      <w:r>
        <w:rPr>
          <w:rFonts w:ascii="Arial" w:hAnsi="Arial" w:cs="Arial"/>
          <w:sz w:val="24"/>
          <w:szCs w:val="24"/>
        </w:rPr>
        <w:t>have to</w:t>
      </w:r>
      <w:proofErr w:type="gramEnd"/>
      <w:r>
        <w:rPr>
          <w:rFonts w:ascii="Arial" w:hAnsi="Arial" w:cs="Arial"/>
          <w:sz w:val="24"/>
          <w:szCs w:val="24"/>
        </w:rPr>
        <w:t xml:space="preserve"> be</w:t>
      </w:r>
      <w:r w:rsidR="00AC1EED">
        <w:rPr>
          <w:rFonts w:ascii="Arial" w:hAnsi="Arial" w:cs="Arial"/>
          <w:sz w:val="24"/>
          <w:szCs w:val="24"/>
        </w:rPr>
        <w:t xml:space="preserve"> a certainty and the defendant must also have realised that for the evidence on which to infer that the defendant had the right intentions.</w:t>
      </w:r>
    </w:p>
    <w:p w14:paraId="45001387" w14:textId="4F411DA2" w:rsidR="00AC1EED" w:rsidRPr="00D363DA" w:rsidRDefault="00AC1EED">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Woollin</w:t>
      </w:r>
      <w:proofErr w:type="spellEnd"/>
      <w:r>
        <w:rPr>
          <w:rFonts w:ascii="Arial" w:hAnsi="Arial" w:cs="Arial"/>
          <w:sz w:val="24"/>
          <w:szCs w:val="24"/>
        </w:rPr>
        <w:t xml:space="preserve"> case of 1998 is where a three-month-old child was thrown against his pram, the child hit his head on something hard, fractured its skull and died. The two questions which were asked in the Nedrick case were not very helpful in the </w:t>
      </w:r>
      <w:proofErr w:type="spellStart"/>
      <w:r>
        <w:rPr>
          <w:rFonts w:ascii="Arial" w:hAnsi="Arial" w:cs="Arial"/>
          <w:sz w:val="24"/>
          <w:szCs w:val="24"/>
        </w:rPr>
        <w:t>Woollin</w:t>
      </w:r>
      <w:proofErr w:type="spellEnd"/>
      <w:r>
        <w:rPr>
          <w:rFonts w:ascii="Arial" w:hAnsi="Arial" w:cs="Arial"/>
          <w:sz w:val="24"/>
          <w:szCs w:val="24"/>
        </w:rPr>
        <w:t xml:space="preserve"> case. Instead of the word </w:t>
      </w:r>
      <w:r w:rsidR="00E864B5">
        <w:rPr>
          <w:rFonts w:ascii="Arial" w:hAnsi="Arial" w:cs="Arial"/>
          <w:sz w:val="24"/>
          <w:szCs w:val="24"/>
        </w:rPr>
        <w:t>infer, find should have been used. The word infer was used in the Nedrick case as it is a section 8 of the Criminal Justice Act of 1967.</w:t>
      </w:r>
    </w:p>
    <w:p w14:paraId="294B6A91" w14:textId="2F88E449" w:rsidR="00D363DA" w:rsidRDefault="00D363DA">
      <w:pPr>
        <w:rPr>
          <w:rFonts w:ascii="Arial" w:hAnsi="Arial" w:cs="Arial"/>
          <w:sz w:val="24"/>
          <w:szCs w:val="24"/>
        </w:rPr>
      </w:pPr>
    </w:p>
    <w:p w14:paraId="31AA8F86" w14:textId="5FF829E9" w:rsidR="00366947" w:rsidRDefault="00366947">
      <w:pPr>
        <w:rPr>
          <w:rFonts w:ascii="Arial" w:hAnsi="Arial" w:cs="Arial"/>
          <w:sz w:val="24"/>
          <w:szCs w:val="24"/>
        </w:rPr>
      </w:pPr>
      <w:r>
        <w:rPr>
          <w:rFonts w:ascii="Arial" w:hAnsi="Arial" w:cs="Arial"/>
          <w:sz w:val="24"/>
          <w:szCs w:val="24"/>
        </w:rPr>
        <w:t>Martin. J</w:t>
      </w:r>
    </w:p>
    <w:p w14:paraId="6F4B6270" w14:textId="0504F599" w:rsidR="00366947" w:rsidRDefault="00366947">
      <w:pPr>
        <w:rPr>
          <w:rFonts w:ascii="Arial" w:hAnsi="Arial" w:cs="Arial"/>
          <w:sz w:val="24"/>
          <w:szCs w:val="24"/>
        </w:rPr>
      </w:pPr>
      <w:r>
        <w:rPr>
          <w:rFonts w:ascii="Arial" w:hAnsi="Arial" w:cs="Arial"/>
          <w:sz w:val="24"/>
          <w:szCs w:val="24"/>
        </w:rPr>
        <w:t>(2009 – 2010).</w:t>
      </w:r>
    </w:p>
    <w:p w14:paraId="2A4EABBA" w14:textId="100E46BE" w:rsidR="00366947" w:rsidRDefault="00366947">
      <w:pPr>
        <w:rPr>
          <w:rFonts w:ascii="Arial" w:hAnsi="Arial" w:cs="Arial"/>
          <w:sz w:val="24"/>
          <w:szCs w:val="24"/>
        </w:rPr>
      </w:pPr>
      <w:r>
        <w:rPr>
          <w:rFonts w:ascii="Arial" w:hAnsi="Arial" w:cs="Arial"/>
          <w:sz w:val="24"/>
          <w:szCs w:val="24"/>
        </w:rPr>
        <w:t>The facts at your fingertips…</w:t>
      </w:r>
    </w:p>
    <w:p w14:paraId="0EBCA2BF" w14:textId="09E505DC" w:rsidR="00366947" w:rsidRDefault="00366947">
      <w:pPr>
        <w:rPr>
          <w:rFonts w:ascii="Arial" w:hAnsi="Arial" w:cs="Arial"/>
          <w:sz w:val="24"/>
          <w:szCs w:val="24"/>
        </w:rPr>
      </w:pPr>
      <w:r>
        <w:rPr>
          <w:rFonts w:ascii="Arial" w:hAnsi="Arial" w:cs="Arial"/>
          <w:sz w:val="24"/>
          <w:szCs w:val="24"/>
        </w:rPr>
        <w:t>Criminal Law.</w:t>
      </w:r>
    </w:p>
    <w:p w14:paraId="321E73EF" w14:textId="3E31BD2B" w:rsidR="00366947" w:rsidRDefault="00366947">
      <w:pPr>
        <w:rPr>
          <w:rFonts w:ascii="Arial" w:hAnsi="Arial" w:cs="Arial"/>
          <w:sz w:val="24"/>
          <w:szCs w:val="24"/>
        </w:rPr>
      </w:pPr>
      <w:r>
        <w:rPr>
          <w:rFonts w:ascii="Arial" w:hAnsi="Arial" w:cs="Arial"/>
          <w:sz w:val="24"/>
          <w:szCs w:val="24"/>
        </w:rPr>
        <w:t>Hodder Education.</w:t>
      </w:r>
    </w:p>
    <w:p w14:paraId="1532E507" w14:textId="2145A2A7" w:rsidR="00366947" w:rsidRPr="00D363DA" w:rsidRDefault="00366947">
      <w:pPr>
        <w:rPr>
          <w:rFonts w:ascii="Arial" w:hAnsi="Arial" w:cs="Arial"/>
          <w:sz w:val="24"/>
          <w:szCs w:val="24"/>
        </w:rPr>
      </w:pPr>
      <w:r>
        <w:rPr>
          <w:rFonts w:ascii="Arial" w:hAnsi="Arial" w:cs="Arial"/>
          <w:sz w:val="24"/>
          <w:szCs w:val="24"/>
        </w:rPr>
        <w:t>Accessed 4</w:t>
      </w:r>
      <w:r w:rsidRPr="00366947">
        <w:rPr>
          <w:rFonts w:ascii="Arial" w:hAnsi="Arial" w:cs="Arial"/>
          <w:sz w:val="24"/>
          <w:szCs w:val="24"/>
          <w:vertAlign w:val="superscript"/>
        </w:rPr>
        <w:t>th</w:t>
      </w:r>
      <w:r>
        <w:rPr>
          <w:rFonts w:ascii="Arial" w:hAnsi="Arial" w:cs="Arial"/>
          <w:sz w:val="24"/>
          <w:szCs w:val="24"/>
        </w:rPr>
        <w:t xml:space="preserve"> May 2021.</w:t>
      </w:r>
    </w:p>
    <w:sectPr w:rsidR="00366947" w:rsidRPr="00D363DA" w:rsidSect="00657A6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A6C"/>
    <w:rsid w:val="00047EA9"/>
    <w:rsid w:val="00182AAE"/>
    <w:rsid w:val="001A0134"/>
    <w:rsid w:val="001D27B1"/>
    <w:rsid w:val="00366947"/>
    <w:rsid w:val="00447D33"/>
    <w:rsid w:val="00450B42"/>
    <w:rsid w:val="004B2D35"/>
    <w:rsid w:val="00657A6C"/>
    <w:rsid w:val="006B3761"/>
    <w:rsid w:val="006D5512"/>
    <w:rsid w:val="00722E11"/>
    <w:rsid w:val="007344E5"/>
    <w:rsid w:val="00794AB6"/>
    <w:rsid w:val="0079615C"/>
    <w:rsid w:val="007D3BF7"/>
    <w:rsid w:val="00852ECD"/>
    <w:rsid w:val="00873C2E"/>
    <w:rsid w:val="009F5CB3"/>
    <w:rsid w:val="00A56211"/>
    <w:rsid w:val="00AC1EED"/>
    <w:rsid w:val="00AC7B2B"/>
    <w:rsid w:val="00B14A9E"/>
    <w:rsid w:val="00CF0CD7"/>
    <w:rsid w:val="00D363DA"/>
    <w:rsid w:val="00D46638"/>
    <w:rsid w:val="00DF3D3D"/>
    <w:rsid w:val="00E639CA"/>
    <w:rsid w:val="00E8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412FA"/>
  <w15:chartTrackingRefBased/>
  <w15:docId w15:val="{1A4155C9-78BF-438D-A1D9-A842CC803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7A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7A6C"/>
    <w:rPr>
      <w:rFonts w:eastAsiaTheme="minorEastAsia"/>
      <w:lang w:val="en-US"/>
    </w:rPr>
  </w:style>
  <w:style w:type="character" w:styleId="Hyperlink">
    <w:name w:val="Hyperlink"/>
    <w:basedOn w:val="DefaultParagraphFont"/>
    <w:uiPriority w:val="99"/>
    <w:unhideWhenUsed/>
    <w:rsid w:val="00722E11"/>
    <w:rPr>
      <w:color w:val="0563C1" w:themeColor="hyperlink"/>
      <w:u w:val="single"/>
    </w:rPr>
  </w:style>
  <w:style w:type="character" w:styleId="UnresolvedMention">
    <w:name w:val="Unresolved Mention"/>
    <w:basedOn w:val="DefaultParagraphFont"/>
    <w:uiPriority w:val="99"/>
    <w:semiHidden/>
    <w:unhideWhenUsed/>
    <w:rsid w:val="00722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m.gov.uk/app/uploads/2015/06/insanity_discussion.pdf" TargetMode="External"/><Relationship Id="rId3" Type="http://schemas.openxmlformats.org/officeDocument/2006/relationships/settings" Target="settings.xml"/><Relationship Id="rId7" Type="http://schemas.openxmlformats.org/officeDocument/2006/relationships/hyperlink" Target="https://www.lawcom.gov.uk/project/insanity-and-automatis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nsult.justice.gov.uk/law-commission/insanity-andautomatism/"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walesonline.co.uk/news/wales-news/woman-accused-manslaughter-father-found" TargetMode="External"/><Relationship Id="rId4" Type="http://schemas.openxmlformats.org/officeDocument/2006/relationships/webSettings" Target="webSettings.xml"/><Relationship Id="rId9" Type="http://schemas.openxmlformats.org/officeDocument/2006/relationships/hyperlink" Target="https://swarb.co.uk/regina-vkemp-1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2021-04-28T00:00:00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Criminal Law.</vt:lpstr>
    </vt:vector>
  </TitlesOfParts>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Is the defence of insanity fit for purpose, or in need of reform.</dc:subject>
  <dc:creator>Mel Jane Box (2003707)</dc:creator>
  <cp:keywords/>
  <dc:description/>
  <cp:lastModifiedBy>Mel Jane Box (2003707)</cp:lastModifiedBy>
  <cp:revision>2</cp:revision>
  <dcterms:created xsi:type="dcterms:W3CDTF">2021-05-04T19:14:00Z</dcterms:created>
  <dcterms:modified xsi:type="dcterms:W3CDTF">2021-05-04T19:14:00Z</dcterms:modified>
  <cp:category>(BMLW4002).</cp:category>
</cp:coreProperties>
</file>