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2B5B76" w14:textId="52A3543A" w:rsidR="00204934" w:rsidRDefault="00BB76F1">
      <w:r>
        <w:rPr>
          <w:noProof/>
        </w:rPr>
        <w:drawing>
          <wp:inline distT="0" distB="0" distL="0" distR="0" wp14:anchorId="5EE318CC" wp14:editId="730A65E0">
            <wp:extent cx="2959100" cy="1212850"/>
            <wp:effectExtent l="0" t="0" r="0" b="0"/>
            <wp:docPr id="170297446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59100" cy="1212850"/>
                    </a:xfrm>
                    <a:prstGeom prst="rect">
                      <a:avLst/>
                    </a:prstGeom>
                    <a:noFill/>
                    <a:ln>
                      <a:noFill/>
                    </a:ln>
                  </pic:spPr>
                </pic:pic>
              </a:graphicData>
            </a:graphic>
          </wp:inline>
        </w:drawing>
      </w:r>
    </w:p>
    <w:p w14:paraId="149C69FB" w14:textId="77777777" w:rsidR="00BB76F1" w:rsidRDefault="00BB76F1"/>
    <w:p w14:paraId="72E0AF8A" w14:textId="77777777" w:rsidR="00BB76F1" w:rsidRDefault="00BB76F1"/>
    <w:p w14:paraId="6A75E88C" w14:textId="77777777" w:rsidR="00802C81" w:rsidRDefault="00802C81" w:rsidP="00BB76F1">
      <w:pPr>
        <w:spacing w:line="360" w:lineRule="auto"/>
        <w:rPr>
          <w:rFonts w:ascii="Arial" w:hAnsi="Arial" w:cs="Arial"/>
          <w:b/>
          <w:bCs/>
          <w:sz w:val="32"/>
          <w:szCs w:val="32"/>
          <w:lang w:val="en-GB"/>
        </w:rPr>
      </w:pPr>
    </w:p>
    <w:p w14:paraId="3782882A" w14:textId="77777777" w:rsidR="00802C81" w:rsidRDefault="00802C81" w:rsidP="00BB76F1">
      <w:pPr>
        <w:spacing w:line="360" w:lineRule="auto"/>
        <w:rPr>
          <w:rFonts w:ascii="Arial" w:hAnsi="Arial" w:cs="Arial"/>
          <w:b/>
          <w:bCs/>
          <w:sz w:val="32"/>
          <w:szCs w:val="32"/>
          <w:lang w:val="en-GB"/>
        </w:rPr>
      </w:pPr>
    </w:p>
    <w:p w14:paraId="33D2507B" w14:textId="77777777" w:rsidR="00802C81" w:rsidRDefault="00802C81" w:rsidP="00BB76F1">
      <w:pPr>
        <w:spacing w:line="360" w:lineRule="auto"/>
        <w:rPr>
          <w:rFonts w:ascii="Arial" w:hAnsi="Arial" w:cs="Arial"/>
          <w:b/>
          <w:bCs/>
          <w:sz w:val="32"/>
          <w:szCs w:val="32"/>
          <w:lang w:val="en-GB"/>
        </w:rPr>
      </w:pPr>
    </w:p>
    <w:p w14:paraId="62E67A0F" w14:textId="25AE8934" w:rsidR="00BB76F1" w:rsidRPr="00802C81" w:rsidRDefault="00BB76F1" w:rsidP="00BB76F1">
      <w:pPr>
        <w:spacing w:line="360" w:lineRule="auto"/>
        <w:rPr>
          <w:rFonts w:ascii="Arial" w:hAnsi="Arial" w:cs="Arial"/>
          <w:sz w:val="32"/>
          <w:szCs w:val="32"/>
          <w:lang w:val="en-GB"/>
        </w:rPr>
      </w:pPr>
      <w:r w:rsidRPr="00802C81">
        <w:rPr>
          <w:rFonts w:ascii="Arial" w:hAnsi="Arial" w:cs="Arial"/>
          <w:b/>
          <w:bCs/>
          <w:sz w:val="32"/>
          <w:szCs w:val="32"/>
          <w:lang w:val="en-GB"/>
        </w:rPr>
        <w:t xml:space="preserve">Student name: </w:t>
      </w:r>
      <w:r w:rsidRPr="00802C81">
        <w:rPr>
          <w:rFonts w:ascii="Arial" w:hAnsi="Arial" w:cs="Arial"/>
          <w:sz w:val="32"/>
          <w:szCs w:val="32"/>
          <w:lang w:val="en-GB"/>
        </w:rPr>
        <w:t>Mihaela Achim</w:t>
      </w:r>
    </w:p>
    <w:p w14:paraId="3EE56CF0" w14:textId="77777777" w:rsidR="00BB76F1" w:rsidRPr="00802C81" w:rsidRDefault="00BB76F1" w:rsidP="00BB76F1">
      <w:pPr>
        <w:spacing w:line="360" w:lineRule="auto"/>
        <w:rPr>
          <w:rFonts w:ascii="Arial" w:hAnsi="Arial" w:cs="Arial"/>
          <w:sz w:val="32"/>
          <w:szCs w:val="32"/>
          <w:lang w:val="en-GB"/>
        </w:rPr>
      </w:pPr>
      <w:r w:rsidRPr="00802C81">
        <w:rPr>
          <w:rFonts w:ascii="Arial" w:hAnsi="Arial" w:cs="Arial"/>
          <w:b/>
          <w:bCs/>
          <w:sz w:val="32"/>
          <w:szCs w:val="32"/>
          <w:lang w:val="en-GB"/>
        </w:rPr>
        <w:t xml:space="preserve">Student ID: </w:t>
      </w:r>
      <w:r w:rsidRPr="00802C81">
        <w:rPr>
          <w:rFonts w:ascii="Arial" w:hAnsi="Arial" w:cs="Arial"/>
          <w:sz w:val="32"/>
          <w:szCs w:val="32"/>
          <w:lang w:val="en-GB"/>
        </w:rPr>
        <w:t>2435447</w:t>
      </w:r>
    </w:p>
    <w:p w14:paraId="029104B7" w14:textId="2DE1A527" w:rsidR="00BB76F1" w:rsidRPr="00802C81" w:rsidRDefault="00BB76F1" w:rsidP="00BB76F1">
      <w:pPr>
        <w:spacing w:line="360" w:lineRule="auto"/>
        <w:rPr>
          <w:rFonts w:ascii="Arial" w:hAnsi="Arial" w:cs="Arial"/>
          <w:b/>
          <w:bCs/>
          <w:sz w:val="32"/>
          <w:szCs w:val="32"/>
          <w:lang w:val="en-GB"/>
        </w:rPr>
      </w:pPr>
      <w:r w:rsidRPr="00802C81">
        <w:rPr>
          <w:rFonts w:ascii="Arial" w:hAnsi="Arial" w:cs="Arial"/>
          <w:b/>
          <w:bCs/>
          <w:sz w:val="32"/>
          <w:szCs w:val="32"/>
          <w:lang w:val="en-GB"/>
        </w:rPr>
        <w:t xml:space="preserve">Module name: </w:t>
      </w:r>
      <w:r w:rsidR="00802C81" w:rsidRPr="00802C81">
        <w:rPr>
          <w:rFonts w:ascii="Arial" w:hAnsi="Arial" w:cs="Arial"/>
          <w:sz w:val="32"/>
          <w:szCs w:val="32"/>
          <w:lang w:val="en-GB"/>
        </w:rPr>
        <w:t>Psychology in Health and Social Care</w:t>
      </w:r>
    </w:p>
    <w:p w14:paraId="106E8593" w14:textId="06FE7CCB" w:rsidR="00BB76F1" w:rsidRPr="00802C81" w:rsidRDefault="00BB76F1" w:rsidP="00BB76F1">
      <w:pPr>
        <w:spacing w:line="360" w:lineRule="auto"/>
        <w:rPr>
          <w:rFonts w:ascii="Arial" w:hAnsi="Arial" w:cs="Arial"/>
          <w:b/>
          <w:bCs/>
          <w:sz w:val="32"/>
          <w:szCs w:val="32"/>
        </w:rPr>
      </w:pPr>
      <w:r w:rsidRPr="00802C81">
        <w:rPr>
          <w:rFonts w:ascii="Arial" w:hAnsi="Arial" w:cs="Arial"/>
          <w:b/>
          <w:bCs/>
          <w:sz w:val="32"/>
          <w:szCs w:val="32"/>
          <w:lang w:val="en-GB"/>
        </w:rPr>
        <w:t xml:space="preserve">Module code: </w:t>
      </w:r>
      <w:r w:rsidR="00802C81" w:rsidRPr="00802C81">
        <w:rPr>
          <w:rFonts w:ascii="Arial" w:hAnsi="Arial" w:cs="Arial"/>
          <w:sz w:val="32"/>
          <w:szCs w:val="32"/>
        </w:rPr>
        <w:t>LCHS4010</w:t>
      </w:r>
    </w:p>
    <w:p w14:paraId="1A44F7E3" w14:textId="336D279C" w:rsidR="00BB76F1" w:rsidRPr="00802C81" w:rsidRDefault="00BB76F1" w:rsidP="00BB76F1">
      <w:pPr>
        <w:rPr>
          <w:rFonts w:ascii="Arial" w:hAnsi="Arial" w:cs="Arial"/>
          <w:sz w:val="32"/>
          <w:szCs w:val="32"/>
          <w:lang w:val="en-GB"/>
        </w:rPr>
      </w:pPr>
      <w:r w:rsidRPr="00802C81">
        <w:rPr>
          <w:rFonts w:ascii="Arial" w:hAnsi="Arial" w:cs="Arial"/>
          <w:b/>
          <w:bCs/>
          <w:sz w:val="32"/>
          <w:szCs w:val="32"/>
          <w:lang w:val="en-GB"/>
        </w:rPr>
        <w:t xml:space="preserve">Lector name:  </w:t>
      </w:r>
      <w:r w:rsidR="00802C81" w:rsidRPr="00802C81">
        <w:rPr>
          <w:rFonts w:ascii="Arial" w:hAnsi="Arial" w:cs="Arial"/>
          <w:sz w:val="32"/>
          <w:szCs w:val="32"/>
          <w:lang w:val="en-GB"/>
        </w:rPr>
        <w:t>Farah Wiita</w:t>
      </w:r>
    </w:p>
    <w:p w14:paraId="35BADB09" w14:textId="77777777" w:rsidR="00BB76F1" w:rsidRPr="00802C81" w:rsidRDefault="00BB76F1" w:rsidP="00BB76F1">
      <w:pPr>
        <w:rPr>
          <w:rFonts w:ascii="Arial" w:hAnsi="Arial" w:cs="Arial"/>
          <w:b/>
          <w:bCs/>
          <w:sz w:val="32"/>
          <w:szCs w:val="32"/>
          <w:lang w:val="en-GB"/>
        </w:rPr>
      </w:pPr>
    </w:p>
    <w:p w14:paraId="110B768C" w14:textId="77777777" w:rsidR="00BB76F1" w:rsidRDefault="00BB76F1" w:rsidP="00BB76F1">
      <w:pPr>
        <w:rPr>
          <w:rFonts w:ascii="Arial" w:hAnsi="Arial" w:cs="Arial"/>
          <w:b/>
          <w:bCs/>
          <w:sz w:val="28"/>
          <w:szCs w:val="28"/>
          <w:lang w:val="en-GB"/>
        </w:rPr>
      </w:pPr>
    </w:p>
    <w:p w14:paraId="5B300F6B" w14:textId="77777777" w:rsidR="00BB76F1" w:rsidRDefault="00BB76F1" w:rsidP="00BB76F1">
      <w:pPr>
        <w:rPr>
          <w:rFonts w:ascii="Arial" w:hAnsi="Arial" w:cs="Arial"/>
          <w:b/>
          <w:bCs/>
          <w:sz w:val="28"/>
          <w:szCs w:val="28"/>
          <w:lang w:val="en-GB"/>
        </w:rPr>
      </w:pPr>
    </w:p>
    <w:p w14:paraId="03F82DAC" w14:textId="77777777" w:rsidR="00BB76F1" w:rsidRDefault="00BB76F1" w:rsidP="00BB76F1">
      <w:pPr>
        <w:rPr>
          <w:rFonts w:ascii="Arial" w:hAnsi="Arial" w:cs="Arial"/>
          <w:b/>
          <w:bCs/>
          <w:sz w:val="28"/>
          <w:szCs w:val="28"/>
          <w:lang w:val="en-GB"/>
        </w:rPr>
      </w:pPr>
    </w:p>
    <w:p w14:paraId="16C60998" w14:textId="77777777" w:rsidR="00BB76F1" w:rsidRDefault="00BB76F1" w:rsidP="00BB76F1">
      <w:pPr>
        <w:rPr>
          <w:rFonts w:ascii="Arial" w:hAnsi="Arial" w:cs="Arial"/>
          <w:b/>
          <w:bCs/>
          <w:sz w:val="28"/>
          <w:szCs w:val="28"/>
          <w:lang w:val="en-GB"/>
        </w:rPr>
      </w:pPr>
    </w:p>
    <w:p w14:paraId="0C877074" w14:textId="77777777" w:rsidR="00BB76F1" w:rsidRDefault="00BB76F1" w:rsidP="00BB76F1">
      <w:pPr>
        <w:rPr>
          <w:rFonts w:ascii="Arial" w:hAnsi="Arial" w:cs="Arial"/>
          <w:b/>
          <w:bCs/>
          <w:sz w:val="28"/>
          <w:szCs w:val="28"/>
          <w:lang w:val="en-GB"/>
        </w:rPr>
      </w:pPr>
    </w:p>
    <w:p w14:paraId="1FE0072A" w14:textId="77777777" w:rsidR="00BB76F1" w:rsidRDefault="00BB76F1" w:rsidP="00685C6E">
      <w:pPr>
        <w:pStyle w:val="Heading1"/>
        <w:rPr>
          <w:lang w:val="en-GB"/>
        </w:rPr>
      </w:pPr>
    </w:p>
    <w:p w14:paraId="2C6FA2E1" w14:textId="40633A87" w:rsidR="00685C6E" w:rsidRPr="00685C6E" w:rsidRDefault="00685C6E" w:rsidP="00685C6E">
      <w:pPr>
        <w:pStyle w:val="Heading1"/>
        <w:spacing w:line="360" w:lineRule="auto"/>
        <w:rPr>
          <w:lang w:val="en-GB"/>
        </w:rPr>
      </w:pPr>
      <w:r w:rsidRPr="00685C6E">
        <w:rPr>
          <w:lang w:val="en-GB"/>
        </w:rPr>
        <w:t xml:space="preserve">Part A: Bibliography </w:t>
      </w:r>
    </w:p>
    <w:p w14:paraId="16F6E2F2" w14:textId="54326593" w:rsidR="00BB76F1" w:rsidRPr="009D2420" w:rsidRDefault="00BB76F1" w:rsidP="00685C6E">
      <w:pPr>
        <w:spacing w:line="360" w:lineRule="auto"/>
        <w:rPr>
          <w:rFonts w:ascii="Arial" w:hAnsi="Arial" w:cs="Arial"/>
          <w:b/>
          <w:bCs/>
          <w:sz w:val="22"/>
          <w:szCs w:val="22"/>
          <w:lang w:val="en-GB"/>
        </w:rPr>
      </w:pPr>
      <w:r w:rsidRPr="009D2420">
        <w:rPr>
          <w:rFonts w:ascii="Arial" w:hAnsi="Arial" w:cs="Arial"/>
          <w:b/>
          <w:bCs/>
          <w:sz w:val="22"/>
          <w:szCs w:val="22"/>
          <w:lang w:val="en-GB"/>
        </w:rPr>
        <w:t>THEORY 1 Erik Erikson – Psychosocial Development</w:t>
      </w:r>
    </w:p>
    <w:p w14:paraId="186D1E21" w14:textId="77777777" w:rsidR="00BB76F1" w:rsidRPr="009D2420" w:rsidRDefault="00BB76F1" w:rsidP="00685C6E">
      <w:pPr>
        <w:spacing w:line="360" w:lineRule="auto"/>
        <w:rPr>
          <w:rFonts w:ascii="Arial" w:hAnsi="Arial" w:cs="Arial"/>
          <w:b/>
          <w:bCs/>
          <w:sz w:val="22"/>
          <w:szCs w:val="22"/>
          <w:lang w:val="en-GB"/>
        </w:rPr>
      </w:pPr>
      <w:r w:rsidRPr="009D2420">
        <w:rPr>
          <w:rFonts w:ascii="Arial" w:hAnsi="Arial" w:cs="Arial"/>
          <w:b/>
          <w:bCs/>
          <w:sz w:val="22"/>
          <w:szCs w:val="22"/>
          <w:lang w:val="en-GB"/>
        </w:rPr>
        <w:t>Source 1</w:t>
      </w:r>
    </w:p>
    <w:p w14:paraId="2D29A504" w14:textId="77777777" w:rsidR="00BB76F1" w:rsidRPr="009D2420" w:rsidRDefault="00BB76F1" w:rsidP="00685C6E">
      <w:pPr>
        <w:spacing w:line="360" w:lineRule="auto"/>
        <w:rPr>
          <w:rFonts w:ascii="Arial" w:hAnsi="Arial" w:cs="Arial"/>
          <w:sz w:val="22"/>
          <w:szCs w:val="22"/>
          <w:lang w:val="en-GB"/>
        </w:rPr>
      </w:pPr>
      <w:r w:rsidRPr="009D2420">
        <w:rPr>
          <w:rStyle w:val="TitleChar"/>
          <w:lang w:val="en-GB"/>
        </w:rPr>
        <w:t>Reference (Harvard style):</w:t>
      </w:r>
      <w:r w:rsidRPr="009D2420">
        <w:rPr>
          <w:rStyle w:val="TitleChar"/>
          <w:lang w:val="en-GB"/>
        </w:rPr>
        <w:br/>
      </w:r>
      <w:r w:rsidRPr="009D2420">
        <w:rPr>
          <w:rFonts w:ascii="Arial" w:hAnsi="Arial" w:cs="Arial"/>
          <w:sz w:val="22"/>
          <w:szCs w:val="22"/>
          <w:lang w:val="en-GB"/>
        </w:rPr>
        <w:t xml:space="preserve">Malone, J.C., Liu, S.R., Vaillant, G.E., Rentz, D.M. and Waldinger, R.J. (2016) Midlife </w:t>
      </w:r>
      <w:proofErr w:type="spellStart"/>
      <w:r w:rsidRPr="009D2420">
        <w:rPr>
          <w:rFonts w:ascii="Arial" w:hAnsi="Arial" w:cs="Arial"/>
          <w:sz w:val="22"/>
          <w:szCs w:val="22"/>
          <w:lang w:val="en-GB"/>
        </w:rPr>
        <w:t>Eriksonian</w:t>
      </w:r>
      <w:proofErr w:type="spellEnd"/>
      <w:r w:rsidRPr="009D2420">
        <w:rPr>
          <w:rFonts w:ascii="Arial" w:hAnsi="Arial" w:cs="Arial"/>
          <w:sz w:val="22"/>
          <w:szCs w:val="22"/>
          <w:lang w:val="en-GB"/>
        </w:rPr>
        <w:t xml:space="preserve"> psychosocial development: Setting the stage for late-life cognitive and emotional health. Developmental Psychology, 52(3), p. 496.</w:t>
      </w:r>
    </w:p>
    <w:p w14:paraId="64E50FA2" w14:textId="6C409BA1" w:rsidR="00BB76F1" w:rsidRPr="00BB76F1" w:rsidRDefault="00BB76F1" w:rsidP="00685C6E">
      <w:pPr>
        <w:spacing w:line="360" w:lineRule="auto"/>
        <w:rPr>
          <w:rFonts w:ascii="Arial" w:hAnsi="Arial" w:cs="Arial"/>
          <w:sz w:val="22"/>
          <w:szCs w:val="22"/>
          <w:lang w:val="en-GB"/>
        </w:rPr>
      </w:pPr>
      <w:r w:rsidRPr="00BB76F1">
        <w:rPr>
          <w:rStyle w:val="TitleChar"/>
          <w:lang w:val="en-GB"/>
        </w:rPr>
        <w:t>Summary:</w:t>
      </w:r>
      <w:r w:rsidRPr="00BB76F1">
        <w:rPr>
          <w:rStyle w:val="TitleChar"/>
          <w:lang w:val="en-GB"/>
        </w:rPr>
        <w:br/>
      </w:r>
      <w:r w:rsidR="00823BC5" w:rsidRPr="0034317A">
        <w:rPr>
          <w:rFonts w:ascii="Arial" w:hAnsi="Arial" w:cs="Arial"/>
          <w:sz w:val="22"/>
          <w:szCs w:val="22"/>
          <w:lang w:val="en-GB"/>
        </w:rPr>
        <w:t>This study explores Erikson’s psychosocial theory, focusing on how midlife development influences later cognitive and emotional wellbeing. The authors argue that successfully managing psychosocial challenges such as identity and generativity is linked to better mental health in older adulthood. Ageing is presented as a continuous life-course process rather than a stage limited to later life. Erikson’s model of eight stages highlights how earlier experiences shape emotional resilience, identity, and relationships in old age (Malone et al., 2016). This suggests that development across the lifespan plays a key role in shaping wellbeing outcomes in later life.</w:t>
      </w:r>
    </w:p>
    <w:p w14:paraId="135D54F0" w14:textId="18838002" w:rsidR="00BB76F1" w:rsidRPr="00685C6E" w:rsidRDefault="00BB76F1" w:rsidP="00685C6E">
      <w:pPr>
        <w:spacing w:line="360" w:lineRule="auto"/>
        <w:rPr>
          <w:rFonts w:ascii="Arial" w:hAnsi="Arial" w:cs="Arial"/>
          <w:sz w:val="22"/>
          <w:szCs w:val="22"/>
          <w:lang w:val="en-GB"/>
        </w:rPr>
      </w:pPr>
      <w:r w:rsidRPr="00685C6E">
        <w:rPr>
          <w:rStyle w:val="TitleChar"/>
          <w:lang w:val="en-GB"/>
        </w:rPr>
        <w:t>Critical comment:</w:t>
      </w:r>
      <w:r w:rsidRPr="00685C6E">
        <w:rPr>
          <w:rStyle w:val="TitleChar"/>
          <w:lang w:val="en-GB"/>
        </w:rPr>
        <w:br/>
      </w:r>
      <w:r w:rsidR="00823BC5" w:rsidRPr="0034317A">
        <w:rPr>
          <w:rFonts w:ascii="Arial" w:hAnsi="Arial" w:cs="Arial"/>
          <w:sz w:val="22"/>
          <w:szCs w:val="22"/>
          <w:lang w:val="en-GB"/>
        </w:rPr>
        <w:t>This source is relevant to health and social care as it supports a holistic approach that considers an individual’s life history. It highlights the importance of early and midlife experiences in shaping later wellbeing, which can inform assessment and care planning. This is particularly important in settings such as residential care, where understanding a person’s background can improve communication and emotional support. However, it pays limited attention to wider structural factors such as inequality or cultural differences that may also influence ageing outcomes.</w:t>
      </w:r>
    </w:p>
    <w:p w14:paraId="0EC55B3A" w14:textId="77777777" w:rsidR="00BB76F1" w:rsidRPr="009D2420" w:rsidRDefault="00BB76F1" w:rsidP="00685C6E">
      <w:pPr>
        <w:spacing w:line="360" w:lineRule="auto"/>
        <w:rPr>
          <w:rFonts w:ascii="Arial" w:hAnsi="Arial" w:cs="Arial"/>
          <w:b/>
          <w:bCs/>
          <w:sz w:val="22"/>
          <w:szCs w:val="22"/>
          <w:lang w:val="en-GB"/>
        </w:rPr>
      </w:pPr>
      <w:r w:rsidRPr="009D2420">
        <w:rPr>
          <w:rFonts w:ascii="Arial" w:hAnsi="Arial" w:cs="Arial"/>
          <w:b/>
          <w:bCs/>
          <w:sz w:val="22"/>
          <w:szCs w:val="22"/>
          <w:lang w:val="en-GB"/>
        </w:rPr>
        <w:t>Source 2:</w:t>
      </w:r>
    </w:p>
    <w:p w14:paraId="44496995" w14:textId="77777777" w:rsidR="00BB76F1" w:rsidRPr="00685C6E" w:rsidRDefault="00BB76F1" w:rsidP="00685C6E">
      <w:pPr>
        <w:spacing w:line="360" w:lineRule="auto"/>
        <w:rPr>
          <w:rFonts w:ascii="Arial" w:hAnsi="Arial" w:cs="Arial"/>
          <w:b/>
          <w:bCs/>
          <w:sz w:val="22"/>
          <w:szCs w:val="22"/>
          <w:lang w:val="en-GB"/>
        </w:rPr>
      </w:pPr>
      <w:r w:rsidRPr="009D2420">
        <w:rPr>
          <w:rStyle w:val="TitleChar"/>
          <w:lang w:val="en-GB"/>
        </w:rPr>
        <w:t>Reference (Harvard style):</w:t>
      </w:r>
      <w:r w:rsidRPr="009D2420">
        <w:rPr>
          <w:rFonts w:ascii="Arial" w:hAnsi="Arial" w:cs="Arial"/>
          <w:sz w:val="22"/>
          <w:szCs w:val="22"/>
          <w:lang w:val="en-GB"/>
        </w:rPr>
        <w:br/>
        <w:t xml:space="preserve">Lane, T.D. and Munday, C.C. (2020) Ego integrity versus despair. In: </w:t>
      </w:r>
      <w:proofErr w:type="spellStart"/>
      <w:r w:rsidRPr="009D2420">
        <w:rPr>
          <w:rFonts w:ascii="Arial" w:hAnsi="Arial" w:cs="Arial"/>
          <w:sz w:val="22"/>
          <w:szCs w:val="22"/>
          <w:lang w:val="en-GB"/>
        </w:rPr>
        <w:t>Encyclopedia</w:t>
      </w:r>
      <w:proofErr w:type="spellEnd"/>
      <w:r w:rsidRPr="009D2420">
        <w:rPr>
          <w:rFonts w:ascii="Arial" w:hAnsi="Arial" w:cs="Arial"/>
          <w:sz w:val="22"/>
          <w:szCs w:val="22"/>
          <w:lang w:val="en-GB"/>
        </w:rPr>
        <w:t xml:space="preserve"> of Personality and Individual Differences. Springer.</w:t>
      </w:r>
      <w:r w:rsidRPr="00685C6E">
        <w:rPr>
          <w:rFonts w:ascii="Arial" w:hAnsi="Arial" w:cs="Arial"/>
          <w:sz w:val="22"/>
          <w:szCs w:val="22"/>
          <w:lang w:val="en-GB"/>
        </w:rPr>
        <w:t xml:space="preserve"> https://doi.org/10.1007/978-3-319-24612-3_582</w:t>
      </w:r>
    </w:p>
    <w:p w14:paraId="5467F5AF" w14:textId="77777777" w:rsidR="00823BC5" w:rsidRPr="00685C6E" w:rsidRDefault="00BB76F1" w:rsidP="00685C6E">
      <w:pPr>
        <w:spacing w:line="360" w:lineRule="auto"/>
        <w:rPr>
          <w:rFonts w:ascii="Arial" w:hAnsi="Arial" w:cs="Arial"/>
          <w:sz w:val="22"/>
          <w:szCs w:val="22"/>
          <w:lang w:val="en-GB"/>
        </w:rPr>
      </w:pPr>
      <w:r w:rsidRPr="00BB76F1">
        <w:rPr>
          <w:rStyle w:val="TitleChar"/>
          <w:lang w:val="en-GB"/>
        </w:rPr>
        <w:lastRenderedPageBreak/>
        <w:t>Summary:</w:t>
      </w:r>
      <w:r w:rsidRPr="00BB76F1">
        <w:rPr>
          <w:rFonts w:ascii="Arial" w:hAnsi="Arial" w:cs="Arial"/>
          <w:b/>
          <w:bCs/>
          <w:sz w:val="22"/>
          <w:szCs w:val="22"/>
          <w:lang w:val="en-GB"/>
        </w:rPr>
        <w:br/>
      </w:r>
      <w:r w:rsidR="00823BC5" w:rsidRPr="0034317A">
        <w:rPr>
          <w:rFonts w:ascii="Arial" w:hAnsi="Arial" w:cs="Arial"/>
          <w:sz w:val="22"/>
          <w:szCs w:val="22"/>
          <w:lang w:val="en-GB"/>
        </w:rPr>
        <w:t>This source explains Erikson’s final stage, ego integrity versus despair, where older adults reflect on their lives. Ego integrity is associated with acceptance, meaning, and emotional stability, while despair involves regret and dissatisfaction (Lane and Munday, 2020). The stage is shaped by earlier development, meaning past experiences influence how individuals evaluate their lives in old age. This highlights the importance of psychological reflection in maintaining emotional wellbeing during later life.</w:t>
      </w:r>
    </w:p>
    <w:p w14:paraId="7B1C30F5" w14:textId="76EBF020" w:rsidR="00BB76F1" w:rsidRPr="00685C6E" w:rsidRDefault="00BB76F1" w:rsidP="00685C6E">
      <w:pPr>
        <w:spacing w:line="360" w:lineRule="auto"/>
        <w:rPr>
          <w:rFonts w:ascii="Arial" w:hAnsi="Arial" w:cs="Arial"/>
          <w:sz w:val="22"/>
          <w:szCs w:val="22"/>
          <w:lang w:val="en-GB"/>
        </w:rPr>
      </w:pPr>
      <w:r w:rsidRPr="00685C6E">
        <w:rPr>
          <w:rFonts w:ascii="Arial" w:hAnsi="Arial" w:cs="Arial"/>
          <w:b/>
          <w:bCs/>
          <w:sz w:val="22"/>
          <w:szCs w:val="22"/>
          <w:lang w:val="en-GB"/>
        </w:rPr>
        <w:br/>
      </w:r>
      <w:r w:rsidR="00823BC5" w:rsidRPr="0034317A">
        <w:rPr>
          <w:rStyle w:val="TitleChar"/>
          <w:lang w:val="en-GB"/>
        </w:rPr>
        <w:t>Critical comment:</w:t>
      </w:r>
      <w:r w:rsidR="00823BC5" w:rsidRPr="0034317A">
        <w:rPr>
          <w:rFonts w:ascii="Arial" w:hAnsi="Arial" w:cs="Arial"/>
          <w:sz w:val="22"/>
          <w:szCs w:val="22"/>
          <w:lang w:val="en-GB"/>
        </w:rPr>
        <w:br/>
        <w:t>This article is useful in explaining emotional wellbeing in later life and supports person-centred care approaches such as life review. It can help professionals understand how older adults process their experiences and cope with ageing. In practice, this can support interventions that promote dignity and emotional stability. However, it is largely descriptive and lacks strong empirical evidence, which limits its depth and application in evidence-based practice.</w:t>
      </w:r>
    </w:p>
    <w:p w14:paraId="65CB53CF" w14:textId="77777777" w:rsidR="00BB76F1" w:rsidRPr="009D2420" w:rsidRDefault="00BB76F1" w:rsidP="00685C6E">
      <w:pPr>
        <w:spacing w:line="360" w:lineRule="auto"/>
        <w:rPr>
          <w:rFonts w:ascii="Arial" w:hAnsi="Arial" w:cs="Arial"/>
          <w:b/>
          <w:bCs/>
          <w:sz w:val="22"/>
          <w:szCs w:val="22"/>
          <w:lang w:val="en-GB"/>
        </w:rPr>
      </w:pPr>
      <w:r w:rsidRPr="009D2420">
        <w:rPr>
          <w:rFonts w:ascii="Arial" w:hAnsi="Arial" w:cs="Arial"/>
          <w:b/>
          <w:bCs/>
          <w:sz w:val="22"/>
          <w:szCs w:val="22"/>
          <w:lang w:val="en-GB"/>
        </w:rPr>
        <w:t>THEORY 2: Bandura – Social Cognitive Theory</w:t>
      </w:r>
    </w:p>
    <w:p w14:paraId="445B0FA1" w14:textId="77777777" w:rsidR="00BB76F1" w:rsidRPr="009D2420" w:rsidRDefault="00BB76F1" w:rsidP="00685C6E">
      <w:pPr>
        <w:spacing w:line="360" w:lineRule="auto"/>
        <w:rPr>
          <w:rFonts w:ascii="Arial" w:hAnsi="Arial" w:cs="Arial"/>
          <w:b/>
          <w:bCs/>
          <w:sz w:val="22"/>
          <w:szCs w:val="22"/>
          <w:lang w:val="en-GB"/>
        </w:rPr>
      </w:pPr>
      <w:r w:rsidRPr="009D2420">
        <w:rPr>
          <w:rFonts w:ascii="Arial" w:hAnsi="Arial" w:cs="Arial"/>
          <w:b/>
          <w:bCs/>
          <w:sz w:val="22"/>
          <w:szCs w:val="22"/>
          <w:lang w:val="en-GB"/>
        </w:rPr>
        <w:t>Source 3</w:t>
      </w:r>
    </w:p>
    <w:p w14:paraId="4443C22D" w14:textId="77777777" w:rsidR="00BB76F1" w:rsidRPr="009D2420" w:rsidRDefault="00BB76F1" w:rsidP="00685C6E">
      <w:pPr>
        <w:spacing w:line="360" w:lineRule="auto"/>
        <w:rPr>
          <w:rFonts w:ascii="Arial" w:hAnsi="Arial" w:cs="Arial"/>
          <w:sz w:val="22"/>
          <w:szCs w:val="22"/>
          <w:lang w:val="en-GB"/>
        </w:rPr>
      </w:pPr>
      <w:r w:rsidRPr="009D2420">
        <w:rPr>
          <w:rStyle w:val="TitleChar"/>
          <w:lang w:val="en-GB"/>
        </w:rPr>
        <w:t>Reference (Harvard style):</w:t>
      </w:r>
      <w:r w:rsidRPr="009D2420">
        <w:rPr>
          <w:rFonts w:ascii="Arial" w:hAnsi="Arial" w:cs="Arial"/>
          <w:sz w:val="22"/>
          <w:szCs w:val="22"/>
          <w:lang w:val="en-GB"/>
        </w:rPr>
        <w:br/>
        <w:t>O’Rourke, N. (2002) A social cognitive model of well-being among older adults. Constructivism in the Human Sciences, 7(1–2), pp. 65–79.</w:t>
      </w:r>
    </w:p>
    <w:p w14:paraId="67080433" w14:textId="54603EC8" w:rsidR="00BB76F1" w:rsidRPr="00BB76F1" w:rsidRDefault="00BB76F1" w:rsidP="00685C6E">
      <w:pPr>
        <w:spacing w:line="360" w:lineRule="auto"/>
        <w:rPr>
          <w:rFonts w:ascii="Arial" w:hAnsi="Arial" w:cs="Arial"/>
          <w:sz w:val="22"/>
          <w:szCs w:val="22"/>
          <w:lang w:val="en-GB"/>
        </w:rPr>
      </w:pPr>
      <w:r w:rsidRPr="00BB76F1">
        <w:rPr>
          <w:rStyle w:val="TitleChar"/>
          <w:lang w:val="en-GB"/>
        </w:rPr>
        <w:t>Summary:</w:t>
      </w:r>
      <w:r w:rsidRPr="00BB76F1">
        <w:rPr>
          <w:rFonts w:ascii="Arial" w:hAnsi="Arial" w:cs="Arial"/>
          <w:b/>
          <w:bCs/>
          <w:sz w:val="22"/>
          <w:szCs w:val="22"/>
          <w:lang w:val="en-GB"/>
        </w:rPr>
        <w:br/>
      </w:r>
      <w:r w:rsidR="00823BC5" w:rsidRPr="0034317A">
        <w:rPr>
          <w:rFonts w:ascii="Arial" w:hAnsi="Arial" w:cs="Arial"/>
          <w:sz w:val="22"/>
          <w:szCs w:val="22"/>
          <w:lang w:val="en-GB"/>
        </w:rPr>
        <w:t>This article applies Bandura’s social cognitive theory to wellbeing in older adults, focusing on self-efficacy. It suggests that individuals with higher confidence in managing daily life experience greater independence and life satisfaction. The study highlights how behaviour, cognition, and environment interact to influence outcomes (O’Rourke, 2002). It also shows the importance of learning and adaptation when facing age-related changes. This suggests that maintaining confidence is essential for promoting independence in later life.</w:t>
      </w:r>
    </w:p>
    <w:p w14:paraId="5C57DBD5" w14:textId="3DE897D4" w:rsidR="00BB76F1" w:rsidRPr="00685C6E" w:rsidRDefault="00BB76F1" w:rsidP="00685C6E">
      <w:pPr>
        <w:spacing w:line="360" w:lineRule="auto"/>
        <w:rPr>
          <w:rFonts w:ascii="Arial" w:hAnsi="Arial" w:cs="Arial"/>
          <w:sz w:val="22"/>
          <w:szCs w:val="22"/>
          <w:lang w:val="en-GB"/>
        </w:rPr>
      </w:pPr>
      <w:r w:rsidRPr="00685C6E">
        <w:rPr>
          <w:rStyle w:val="TitleChar"/>
          <w:lang w:val="en-GB"/>
        </w:rPr>
        <w:t>Critical comment:</w:t>
      </w:r>
      <w:r w:rsidRPr="00685C6E">
        <w:rPr>
          <w:rFonts w:ascii="Arial" w:hAnsi="Arial" w:cs="Arial"/>
          <w:b/>
          <w:bCs/>
          <w:sz w:val="22"/>
          <w:szCs w:val="22"/>
          <w:lang w:val="en-GB"/>
        </w:rPr>
        <w:br/>
      </w:r>
      <w:r w:rsidR="00823BC5" w:rsidRPr="0034317A">
        <w:rPr>
          <w:rFonts w:ascii="Arial" w:hAnsi="Arial" w:cs="Arial"/>
          <w:sz w:val="22"/>
          <w:szCs w:val="22"/>
          <w:lang w:val="en-GB"/>
        </w:rPr>
        <w:t xml:space="preserve">This theory is highly relevant in health and social care, particularly in promoting independence through rehabilitation and community-based interventions. It supports strategies that build confidence and encourage active participation in daily activities. For example, it can be applied in programmes that help older adults regain skills after </w:t>
      </w:r>
      <w:r w:rsidR="00823BC5" w:rsidRPr="0034317A">
        <w:rPr>
          <w:rFonts w:ascii="Arial" w:hAnsi="Arial" w:cs="Arial"/>
          <w:sz w:val="22"/>
          <w:szCs w:val="22"/>
          <w:lang w:val="en-GB"/>
        </w:rPr>
        <w:lastRenderedPageBreak/>
        <w:t>illness or injury. However, it places strong emphasis on individual responsibility and may overlook external barriers such as illness, poverty, or limited access to services, which can also affect outcomes.</w:t>
      </w:r>
    </w:p>
    <w:p w14:paraId="2D276A96" w14:textId="77777777" w:rsidR="00BB76F1" w:rsidRPr="009D2420" w:rsidRDefault="00BB76F1" w:rsidP="00685C6E">
      <w:pPr>
        <w:spacing w:line="360" w:lineRule="auto"/>
        <w:rPr>
          <w:rFonts w:ascii="Arial" w:hAnsi="Arial" w:cs="Arial"/>
          <w:b/>
          <w:bCs/>
          <w:sz w:val="22"/>
          <w:szCs w:val="22"/>
          <w:lang w:val="en-GB"/>
        </w:rPr>
      </w:pPr>
      <w:r w:rsidRPr="009D2420">
        <w:rPr>
          <w:rFonts w:ascii="Arial" w:hAnsi="Arial" w:cs="Arial"/>
          <w:b/>
          <w:bCs/>
          <w:sz w:val="22"/>
          <w:szCs w:val="22"/>
          <w:lang w:val="en-GB"/>
        </w:rPr>
        <w:t>Source 4</w:t>
      </w:r>
    </w:p>
    <w:p w14:paraId="7F76F4A6" w14:textId="5C30C4B9" w:rsidR="00BB76F1" w:rsidRPr="00685C6E" w:rsidRDefault="00BB76F1" w:rsidP="00685C6E">
      <w:pPr>
        <w:spacing w:line="360" w:lineRule="auto"/>
        <w:rPr>
          <w:rFonts w:ascii="Arial" w:hAnsi="Arial" w:cs="Arial"/>
          <w:sz w:val="22"/>
          <w:szCs w:val="22"/>
          <w:lang w:val="en-GB"/>
        </w:rPr>
      </w:pPr>
      <w:r w:rsidRPr="009D2420">
        <w:rPr>
          <w:rStyle w:val="TitleChar"/>
          <w:lang w:val="en-GB"/>
        </w:rPr>
        <w:t>Reference (Harvard style):</w:t>
      </w:r>
      <w:r w:rsidRPr="009D2420">
        <w:rPr>
          <w:rStyle w:val="TitleChar"/>
          <w:lang w:val="en-GB"/>
        </w:rPr>
        <w:br/>
      </w:r>
      <w:r w:rsidRPr="009D2420">
        <w:rPr>
          <w:rFonts w:ascii="Arial" w:hAnsi="Arial" w:cs="Arial"/>
          <w:sz w:val="22"/>
          <w:szCs w:val="22"/>
          <w:lang w:val="en-GB"/>
        </w:rPr>
        <w:t>Olsen, C.F., Telenius, E.W., Engedal, K. and Bergland, A. (2015) Increased self-efficacy: the experience of high-intensity exercise of nursing home residents with dementia – a qualitative study. BMC Health Services Research, 15(1), p. 379.</w:t>
      </w:r>
    </w:p>
    <w:p w14:paraId="22EEA27F" w14:textId="0C687565" w:rsidR="00823BC5" w:rsidRPr="00685C6E" w:rsidRDefault="00BB76F1" w:rsidP="00685C6E">
      <w:pPr>
        <w:spacing w:line="360" w:lineRule="auto"/>
        <w:rPr>
          <w:rFonts w:ascii="Arial" w:hAnsi="Arial" w:cs="Arial"/>
          <w:sz w:val="22"/>
          <w:szCs w:val="22"/>
          <w:lang w:val="en-GB"/>
        </w:rPr>
      </w:pPr>
      <w:r w:rsidRPr="00685C6E">
        <w:rPr>
          <w:rStyle w:val="TitleChar"/>
          <w:lang w:val="en-GB"/>
        </w:rPr>
        <w:t>Summary:</w:t>
      </w:r>
      <w:r w:rsidRPr="00685C6E">
        <w:rPr>
          <w:rStyle w:val="TitleChar"/>
          <w:lang w:val="en-GB"/>
        </w:rPr>
        <w:br/>
      </w:r>
      <w:r w:rsidR="00823BC5" w:rsidRPr="0034317A">
        <w:rPr>
          <w:rFonts w:ascii="Arial" w:hAnsi="Arial" w:cs="Arial"/>
          <w:sz w:val="22"/>
          <w:szCs w:val="22"/>
          <w:lang w:val="en-GB"/>
        </w:rPr>
        <w:t>This qualitative study examines how high-intensity exercise influences self-efficacy in nursing home residents with dementia. Findings show that structured physical activity improves confidence, motivation, and perceived ability to perform daily tasks. The study demonstrates that supportive environments and encouragement from staff and peers enhance engagement and wellbeing, aligning with Bandura’s theory (Olsen et al., 2015). This highlights the importance of social support in improving psychological outcomes.</w:t>
      </w:r>
    </w:p>
    <w:p w14:paraId="2D83176E" w14:textId="6C86876E" w:rsidR="00BB76F1" w:rsidRDefault="00BB76F1" w:rsidP="00685C6E">
      <w:pPr>
        <w:spacing w:line="360" w:lineRule="auto"/>
        <w:rPr>
          <w:rFonts w:ascii="Arial" w:hAnsi="Arial" w:cs="Arial"/>
          <w:sz w:val="22"/>
          <w:szCs w:val="22"/>
          <w:lang w:val="en-GB"/>
        </w:rPr>
      </w:pPr>
      <w:r w:rsidRPr="00BB76F1">
        <w:rPr>
          <w:rStyle w:val="TitleChar"/>
          <w:lang w:val="en-GB"/>
        </w:rPr>
        <w:t>Critical comment:</w:t>
      </w:r>
      <w:r w:rsidRPr="00BB76F1">
        <w:rPr>
          <w:rStyle w:val="TitleChar"/>
          <w:lang w:val="en-GB"/>
        </w:rPr>
        <w:br/>
      </w:r>
      <w:r w:rsidR="00823BC5" w:rsidRPr="0034317A">
        <w:rPr>
          <w:rFonts w:ascii="Arial" w:hAnsi="Arial" w:cs="Arial"/>
          <w:sz w:val="22"/>
          <w:szCs w:val="22"/>
          <w:lang w:val="en-GB"/>
        </w:rPr>
        <w:t>This article provides practical evidence of how interventions can improve wellbeing in care settings. It highlights the importance of structured support and encouragement in promoting self-efficacy among older adults. This is especially relevant in nursing homes, where residents may experience reduced independence. However, the findings are based on a specific group, limiting generalisability, and focus mainly on physical activity rather than wider psychological or social interventions.</w:t>
      </w:r>
    </w:p>
    <w:p w14:paraId="4676ECA9" w14:textId="77777777" w:rsidR="00685C6E" w:rsidRDefault="00685C6E" w:rsidP="00BB76F1">
      <w:pPr>
        <w:rPr>
          <w:rFonts w:ascii="Arial" w:hAnsi="Arial" w:cs="Arial"/>
          <w:sz w:val="22"/>
          <w:szCs w:val="22"/>
          <w:lang w:val="en-GB"/>
        </w:rPr>
      </w:pPr>
    </w:p>
    <w:p w14:paraId="3A5C04D6" w14:textId="080E3DDA" w:rsidR="00E21875" w:rsidRPr="00A07524" w:rsidRDefault="00DF572B" w:rsidP="00A07524">
      <w:pPr>
        <w:pStyle w:val="Heading1"/>
        <w:rPr>
          <w:lang w:val="en-GB"/>
        </w:rPr>
      </w:pPr>
      <w:r w:rsidRPr="00A07524">
        <w:rPr>
          <w:lang w:val="en-GB"/>
        </w:rPr>
        <w:t xml:space="preserve">Part B: </w:t>
      </w:r>
      <w:r w:rsidR="00A07524" w:rsidRPr="00056A86">
        <w:rPr>
          <w:lang w:val="en-GB"/>
        </w:rPr>
        <w:t>Short Report – Bandura’s Social Cognitive Theory in Residential Care</w:t>
      </w:r>
    </w:p>
    <w:p w14:paraId="5DA84AE8" w14:textId="77777777" w:rsidR="00823BC5" w:rsidRDefault="00823BC5" w:rsidP="00BB76F1">
      <w:pPr>
        <w:rPr>
          <w:lang w:val="en-GB"/>
        </w:rPr>
      </w:pPr>
    </w:p>
    <w:p w14:paraId="741E9869" w14:textId="77777777" w:rsidR="00A07524" w:rsidRPr="00056A86" w:rsidRDefault="00A07524" w:rsidP="00A07524">
      <w:pPr>
        <w:pStyle w:val="Title"/>
        <w:rPr>
          <w:lang w:val="en-GB"/>
        </w:rPr>
      </w:pPr>
      <w:r w:rsidRPr="00056A86">
        <w:rPr>
          <w:lang w:val="en-GB"/>
        </w:rPr>
        <w:t>Introduction to the theory</w:t>
      </w:r>
    </w:p>
    <w:p w14:paraId="75F73F3E" w14:textId="77777777" w:rsidR="00A07524" w:rsidRPr="00056A86" w:rsidRDefault="00A07524" w:rsidP="00A07524">
      <w:pPr>
        <w:rPr>
          <w:rFonts w:ascii="Arial" w:hAnsi="Arial" w:cs="Arial"/>
          <w:sz w:val="22"/>
          <w:szCs w:val="22"/>
          <w:lang w:val="en-GB"/>
        </w:rPr>
      </w:pPr>
      <w:r w:rsidRPr="00056A86">
        <w:rPr>
          <w:rFonts w:ascii="Arial" w:hAnsi="Arial" w:cs="Arial"/>
          <w:sz w:val="22"/>
          <w:szCs w:val="22"/>
          <w:lang w:val="en-GB"/>
        </w:rPr>
        <w:t>Bandura’s Social Cognitive Theory explains that human behaviour is influenced by the interaction between personal factors, behaviour, and the environment. A key concept is self-efficacy, which refers to a person’s belief in their ability to complete tasks and manage situations successfully. The theory also explains that people can learn by observing others, known as observational learning (Bandura, 1977).</w:t>
      </w:r>
    </w:p>
    <w:p w14:paraId="29422D21" w14:textId="77777777" w:rsidR="00A07524" w:rsidRPr="00056A86" w:rsidRDefault="00A07524" w:rsidP="00A07524">
      <w:pPr>
        <w:rPr>
          <w:rFonts w:ascii="Arial" w:hAnsi="Arial" w:cs="Arial"/>
          <w:sz w:val="22"/>
          <w:szCs w:val="22"/>
          <w:lang w:val="en-GB"/>
        </w:rPr>
      </w:pPr>
      <w:r w:rsidRPr="00056A86">
        <w:rPr>
          <w:rFonts w:ascii="Arial" w:hAnsi="Arial" w:cs="Arial"/>
          <w:sz w:val="22"/>
          <w:szCs w:val="22"/>
          <w:lang w:val="en-GB"/>
        </w:rPr>
        <w:lastRenderedPageBreak/>
        <w:t>This theory is relevant in older adult care because many residents may experience loss of confidence due to illness, ageing, bereavement, or reduced independence. These changes can negatively affect psychological wellbeing and may lead to withdrawal from social activities or reduced motivation. Therefore, improving self-efficacy is important to help older adults maintain independence, emotional stability, and a sense of purpose in daily life. It also supports a more person-centred approach to care, where emotional needs are considered as well as physical needs.</w:t>
      </w:r>
    </w:p>
    <w:p w14:paraId="3705B824" w14:textId="77777777" w:rsidR="00A07524" w:rsidRPr="00056A86" w:rsidRDefault="00A07524" w:rsidP="00A07524">
      <w:pPr>
        <w:pStyle w:val="Title"/>
        <w:rPr>
          <w:lang w:val="en-GB"/>
        </w:rPr>
      </w:pPr>
      <w:r w:rsidRPr="00056A86">
        <w:rPr>
          <w:lang w:val="en-GB"/>
        </w:rPr>
        <w:t>Application to psychological wellbeing in residential care</w:t>
      </w:r>
    </w:p>
    <w:p w14:paraId="71760B13" w14:textId="77777777" w:rsidR="00A07524" w:rsidRPr="00056A86" w:rsidRDefault="00A07524" w:rsidP="00A07524">
      <w:pPr>
        <w:rPr>
          <w:rFonts w:ascii="Arial" w:hAnsi="Arial" w:cs="Arial"/>
          <w:sz w:val="22"/>
          <w:szCs w:val="22"/>
          <w:lang w:val="en-GB"/>
        </w:rPr>
      </w:pPr>
      <w:r w:rsidRPr="00056A86">
        <w:rPr>
          <w:rFonts w:ascii="Arial" w:hAnsi="Arial" w:cs="Arial"/>
          <w:sz w:val="22"/>
          <w:szCs w:val="22"/>
          <w:lang w:val="en-GB"/>
        </w:rPr>
        <w:t>In residential care settings, Bandura’s theory can improve psychological wellbeing by helping residents feel more confident and independent. Care staff play an important role in creating a supportive environment where residents are encouraged to participate rather than become passive.</w:t>
      </w:r>
    </w:p>
    <w:p w14:paraId="5893DB7A" w14:textId="77777777" w:rsidR="00A07524" w:rsidRPr="00056A86" w:rsidRDefault="00A07524" w:rsidP="00A07524">
      <w:pPr>
        <w:rPr>
          <w:rFonts w:ascii="Arial" w:hAnsi="Arial" w:cs="Arial"/>
          <w:sz w:val="22"/>
          <w:szCs w:val="22"/>
          <w:lang w:val="en-GB"/>
        </w:rPr>
      </w:pPr>
      <w:r w:rsidRPr="00056A86">
        <w:rPr>
          <w:rFonts w:ascii="Arial" w:hAnsi="Arial" w:cs="Arial"/>
          <w:sz w:val="22"/>
          <w:szCs w:val="22"/>
          <w:lang w:val="en-GB"/>
        </w:rPr>
        <w:t>A useful method is small step learning, where tasks are broken into simple stages. This approach is helpful for older adults who may feel overwhelmed by complex activities. When residents complete small steps, their confidence increases, strengthening self-efficacy over time. Staff encouragement, patience, and positive feedback are essential because they help reduce fear of failure and increase motivation. This can also improve trust between residents and staff, which is important in care environments.</w:t>
      </w:r>
    </w:p>
    <w:p w14:paraId="338E7774" w14:textId="5E85D9D5" w:rsidR="00A07524" w:rsidRPr="00A07524" w:rsidRDefault="00A07524" w:rsidP="00A07524">
      <w:pPr>
        <w:rPr>
          <w:rFonts w:ascii="Arial" w:hAnsi="Arial" w:cs="Arial"/>
          <w:sz w:val="22"/>
          <w:szCs w:val="22"/>
          <w:lang w:val="en-GB"/>
        </w:rPr>
      </w:pPr>
      <w:r w:rsidRPr="00056A86">
        <w:rPr>
          <w:rFonts w:ascii="Arial" w:hAnsi="Arial" w:cs="Arial"/>
          <w:sz w:val="22"/>
          <w:szCs w:val="22"/>
          <w:lang w:val="en-GB"/>
        </w:rPr>
        <w:t>Observational learning is also effective in care homes. When residents see others taking part in activities such as exercise or social events, they may feel more motivated to try themselves. This can improve emotional wellbeing, reduce loneliness, and increase social interaction within the care environment. It also helps create a more inclusive atmosphere where residents feel part of a community.</w:t>
      </w:r>
    </w:p>
    <w:p w14:paraId="6019EB87" w14:textId="77777777" w:rsidR="00A07524" w:rsidRPr="00056A86" w:rsidRDefault="00A07524" w:rsidP="00A07524">
      <w:pPr>
        <w:pStyle w:val="Title"/>
        <w:rPr>
          <w:lang w:val="en-GB"/>
        </w:rPr>
      </w:pPr>
      <w:r w:rsidRPr="00056A86">
        <w:rPr>
          <w:lang w:val="en-GB"/>
        </w:rPr>
        <w:t>Example scenario</w:t>
      </w:r>
    </w:p>
    <w:p w14:paraId="6D14456E" w14:textId="77777777" w:rsidR="00A07524" w:rsidRPr="00056A86" w:rsidRDefault="00A07524" w:rsidP="00A07524">
      <w:pPr>
        <w:rPr>
          <w:rFonts w:ascii="Arial" w:hAnsi="Arial" w:cs="Arial"/>
          <w:sz w:val="22"/>
          <w:szCs w:val="22"/>
          <w:lang w:val="en-GB"/>
        </w:rPr>
      </w:pPr>
      <w:r w:rsidRPr="00056A86">
        <w:rPr>
          <w:rFonts w:ascii="Arial" w:hAnsi="Arial" w:cs="Arial"/>
          <w:sz w:val="22"/>
          <w:szCs w:val="22"/>
          <w:lang w:val="en-GB"/>
        </w:rPr>
        <w:t>Mrs Margaret, an 87-year-old woman living in a care home, recently moved in after having a fall. Since then, she has lost confidence in her physical abilities and avoids group activities because she is afraid of falling again and feeling embarrassed.</w:t>
      </w:r>
    </w:p>
    <w:p w14:paraId="3DB87C28" w14:textId="77777777" w:rsidR="00A07524" w:rsidRPr="00056A86" w:rsidRDefault="00A07524" w:rsidP="00A07524">
      <w:pPr>
        <w:rPr>
          <w:rFonts w:ascii="Arial" w:hAnsi="Arial" w:cs="Arial"/>
          <w:sz w:val="22"/>
          <w:szCs w:val="22"/>
          <w:lang w:val="en-GB"/>
        </w:rPr>
      </w:pPr>
      <w:r w:rsidRPr="00056A86">
        <w:rPr>
          <w:rFonts w:ascii="Arial" w:hAnsi="Arial" w:cs="Arial"/>
          <w:sz w:val="22"/>
          <w:szCs w:val="22"/>
          <w:lang w:val="en-GB"/>
        </w:rPr>
        <w:t>Care staff support her using Bandura’s Social Cognitive Theory in a gradual way. At first, Margaret is encouraged to observe other residents taking part in a seated exercise class. Although she feels nervous, watching others participate safely reduces her anxiety and helps her feel more familiar with the environment.</w:t>
      </w:r>
    </w:p>
    <w:p w14:paraId="697FD349" w14:textId="77777777" w:rsidR="00A07524" w:rsidRPr="00056A86" w:rsidRDefault="00A07524" w:rsidP="00A07524">
      <w:pPr>
        <w:rPr>
          <w:rFonts w:ascii="Arial" w:hAnsi="Arial" w:cs="Arial"/>
          <w:sz w:val="22"/>
          <w:szCs w:val="22"/>
          <w:lang w:val="en-GB"/>
        </w:rPr>
      </w:pPr>
      <w:r w:rsidRPr="00056A86">
        <w:rPr>
          <w:rFonts w:ascii="Arial" w:hAnsi="Arial" w:cs="Arial"/>
          <w:sz w:val="22"/>
          <w:szCs w:val="22"/>
          <w:lang w:val="en-GB"/>
        </w:rPr>
        <w:t>After several sessions, staff gently encourage her to join simple seated movements. She is supported step by step and receives positive reinforcement for her effort. This helps her feel capable and more confident in her abilities, even if she is not fully independent yet.</w:t>
      </w:r>
    </w:p>
    <w:p w14:paraId="1013DA4F" w14:textId="1DBD6275" w:rsidR="00A07524" w:rsidRPr="00A07524" w:rsidRDefault="00A07524" w:rsidP="00A07524">
      <w:pPr>
        <w:rPr>
          <w:rFonts w:ascii="Arial" w:hAnsi="Arial" w:cs="Arial"/>
          <w:sz w:val="22"/>
          <w:szCs w:val="22"/>
          <w:lang w:val="en-GB"/>
        </w:rPr>
      </w:pPr>
      <w:r w:rsidRPr="00056A86">
        <w:rPr>
          <w:rFonts w:ascii="Arial" w:hAnsi="Arial" w:cs="Arial"/>
          <w:sz w:val="22"/>
          <w:szCs w:val="22"/>
          <w:lang w:val="en-GB"/>
        </w:rPr>
        <w:t>Over time, Margaret becomes more confident and begins to take part in the full exercise class. She also starts joining social activities such as group conversations and games. As a result, her mood improves, she feels more independent, and she develops a stronger sense of belonging.</w:t>
      </w:r>
    </w:p>
    <w:p w14:paraId="3E290BA2" w14:textId="77777777" w:rsidR="00A07524" w:rsidRPr="00056A86" w:rsidRDefault="00A07524" w:rsidP="00A07524">
      <w:pPr>
        <w:pStyle w:val="Title"/>
        <w:rPr>
          <w:lang w:val="en-GB"/>
        </w:rPr>
      </w:pPr>
      <w:r w:rsidRPr="00056A86">
        <w:rPr>
          <w:lang w:val="en-GB"/>
        </w:rPr>
        <w:t>Challenge in applying the theory</w:t>
      </w:r>
    </w:p>
    <w:p w14:paraId="5E6B23A6" w14:textId="77777777" w:rsidR="00A07524" w:rsidRPr="00056A86" w:rsidRDefault="00A07524" w:rsidP="00A07524">
      <w:pPr>
        <w:rPr>
          <w:rFonts w:ascii="Arial" w:hAnsi="Arial" w:cs="Arial"/>
          <w:sz w:val="22"/>
          <w:szCs w:val="22"/>
          <w:lang w:val="en-GB"/>
        </w:rPr>
      </w:pPr>
      <w:r w:rsidRPr="00056A86">
        <w:rPr>
          <w:rFonts w:ascii="Arial" w:hAnsi="Arial" w:cs="Arial"/>
          <w:sz w:val="22"/>
          <w:szCs w:val="22"/>
          <w:lang w:val="en-GB"/>
        </w:rPr>
        <w:lastRenderedPageBreak/>
        <w:t>One challenge in residential care is that some residents may have physical limitations or cognitive impairments such as dementia. These conditions can reduce their ability to participate in activities or benefit from observational learning.</w:t>
      </w:r>
    </w:p>
    <w:p w14:paraId="4F4379D6" w14:textId="77777777" w:rsidR="00A07524" w:rsidRPr="00056A86" w:rsidRDefault="00A07524" w:rsidP="00A07524">
      <w:pPr>
        <w:rPr>
          <w:rFonts w:ascii="Arial" w:hAnsi="Arial" w:cs="Arial"/>
          <w:sz w:val="22"/>
          <w:szCs w:val="22"/>
          <w:lang w:val="en-GB"/>
        </w:rPr>
      </w:pPr>
      <w:r w:rsidRPr="00056A86">
        <w:rPr>
          <w:rFonts w:ascii="Arial" w:hAnsi="Arial" w:cs="Arial"/>
          <w:sz w:val="22"/>
          <w:szCs w:val="22"/>
          <w:lang w:val="en-GB"/>
        </w:rPr>
        <w:t>In addition, some residents may experience low self-esteem or fear of failure due to health decline or previous negative experiences. This can lead to reduced motivation, withdrawal from social interaction, and less engagement in daily activities. As a result, it can be difficult for staff to apply the theory consistently across all residents, especially in homes with different levels of dependency and care needs.</w:t>
      </w:r>
    </w:p>
    <w:p w14:paraId="2CFD3B86" w14:textId="77777777" w:rsidR="00A07524" w:rsidRPr="00056A86" w:rsidRDefault="00A07524" w:rsidP="00A07524">
      <w:pPr>
        <w:pStyle w:val="Title"/>
        <w:rPr>
          <w:lang w:val="en-GB"/>
        </w:rPr>
      </w:pPr>
      <w:r w:rsidRPr="00056A86">
        <w:rPr>
          <w:lang w:val="en-GB"/>
        </w:rPr>
        <w:t>Evidence-based solution</w:t>
      </w:r>
    </w:p>
    <w:p w14:paraId="09E1453F" w14:textId="77777777" w:rsidR="00A07524" w:rsidRPr="00056A86" w:rsidRDefault="00A07524" w:rsidP="00A07524">
      <w:pPr>
        <w:rPr>
          <w:rFonts w:ascii="Arial" w:hAnsi="Arial" w:cs="Arial"/>
          <w:sz w:val="22"/>
          <w:szCs w:val="22"/>
          <w:lang w:val="en-GB"/>
        </w:rPr>
      </w:pPr>
      <w:r w:rsidRPr="00056A86">
        <w:rPr>
          <w:rFonts w:ascii="Arial" w:hAnsi="Arial" w:cs="Arial"/>
          <w:sz w:val="22"/>
          <w:szCs w:val="22"/>
          <w:lang w:val="en-GB"/>
        </w:rPr>
        <w:t>A useful evidence-based solution is the use of adapted activity programmes tailored to individual needs. Research shows that supervised exercise in nursing homes can improve self-efficacy, motivation, and participation in daily activities, even among residents with dementia (Olsen et al., 2015).</w:t>
      </w:r>
    </w:p>
    <w:p w14:paraId="222A32E4" w14:textId="77777777" w:rsidR="00A07524" w:rsidRPr="00056A86" w:rsidRDefault="00A07524" w:rsidP="00A07524">
      <w:pPr>
        <w:rPr>
          <w:rFonts w:ascii="Arial" w:hAnsi="Arial" w:cs="Arial"/>
          <w:sz w:val="22"/>
          <w:szCs w:val="22"/>
          <w:lang w:val="en-GB"/>
        </w:rPr>
      </w:pPr>
      <w:r w:rsidRPr="00056A86">
        <w:rPr>
          <w:rFonts w:ascii="Arial" w:hAnsi="Arial" w:cs="Arial"/>
          <w:sz w:val="22"/>
          <w:szCs w:val="22"/>
          <w:lang w:val="en-GB"/>
        </w:rPr>
        <w:t xml:space="preserve">This shows that improvement is still possible when activities are simple, structured, and supported by staff. Gradual progression is </w:t>
      </w:r>
      <w:proofErr w:type="gramStart"/>
      <w:r w:rsidRPr="00056A86">
        <w:rPr>
          <w:rFonts w:ascii="Arial" w:hAnsi="Arial" w:cs="Arial"/>
          <w:sz w:val="22"/>
          <w:szCs w:val="22"/>
          <w:lang w:val="en-GB"/>
        </w:rPr>
        <w:t>important</w:t>
      </w:r>
      <w:proofErr w:type="gramEnd"/>
      <w:r w:rsidRPr="00056A86">
        <w:rPr>
          <w:rFonts w:ascii="Arial" w:hAnsi="Arial" w:cs="Arial"/>
          <w:sz w:val="22"/>
          <w:szCs w:val="22"/>
          <w:lang w:val="en-GB"/>
        </w:rPr>
        <w:t xml:space="preserve"> so residents do not feel overwhelmed or discouraged. Consistent encouragement and positive reinforcement also help build long-term confidence.</w:t>
      </w:r>
    </w:p>
    <w:p w14:paraId="47EF26B9" w14:textId="77777777" w:rsidR="00A07524" w:rsidRPr="00056A86" w:rsidRDefault="00A07524" w:rsidP="00A07524">
      <w:pPr>
        <w:rPr>
          <w:rFonts w:ascii="Arial" w:hAnsi="Arial" w:cs="Arial"/>
          <w:sz w:val="22"/>
          <w:szCs w:val="22"/>
          <w:lang w:val="en-GB"/>
        </w:rPr>
      </w:pPr>
      <w:r w:rsidRPr="00056A86">
        <w:rPr>
          <w:rFonts w:ascii="Arial" w:hAnsi="Arial" w:cs="Arial"/>
          <w:sz w:val="22"/>
          <w:szCs w:val="22"/>
          <w:lang w:val="en-GB"/>
        </w:rPr>
        <w:t>Care homes can also improve outcomes by using person-centred care approaches, ensuring activities match each resident’s abilities, preferences, and emotional needs. This makes participation more meaningful and increases engagement.</w:t>
      </w:r>
    </w:p>
    <w:p w14:paraId="44F2093B" w14:textId="77777777" w:rsidR="00A07524" w:rsidRPr="00056A86" w:rsidRDefault="00A07524" w:rsidP="00A07524">
      <w:pPr>
        <w:pStyle w:val="Title"/>
        <w:rPr>
          <w:lang w:val="en-GB"/>
        </w:rPr>
      </w:pPr>
      <w:r w:rsidRPr="00056A86">
        <w:rPr>
          <w:lang w:val="en-GB"/>
        </w:rPr>
        <w:t>Conclusion</w:t>
      </w:r>
    </w:p>
    <w:p w14:paraId="1458F693" w14:textId="77777777" w:rsidR="00A07524" w:rsidRPr="00056A86" w:rsidRDefault="00A07524" w:rsidP="00A07524">
      <w:pPr>
        <w:rPr>
          <w:rFonts w:ascii="Arial" w:hAnsi="Arial" w:cs="Arial"/>
          <w:sz w:val="22"/>
          <w:szCs w:val="22"/>
          <w:lang w:val="en-GB"/>
        </w:rPr>
      </w:pPr>
      <w:r w:rsidRPr="00056A86">
        <w:rPr>
          <w:rFonts w:ascii="Arial" w:hAnsi="Arial" w:cs="Arial"/>
          <w:sz w:val="22"/>
          <w:szCs w:val="22"/>
          <w:lang w:val="en-GB"/>
        </w:rPr>
        <w:t>Bandura’s Social Cognitive Theory is effective in residential care because it supports psychological wellbeing through self-efficacy, observational learning, and positive reinforcement. By applying this theory, care staff can help older adults feel more confident, independent, and motivated. Even with challenges such as illness or disability, adapted and supportive programmes can improve quality of life and help residents maintain dignity, purpose, and social connection in later life.</w:t>
      </w:r>
    </w:p>
    <w:p w14:paraId="2D8ACE8A" w14:textId="77777777" w:rsidR="001F48C7" w:rsidRDefault="001F48C7" w:rsidP="00A07524">
      <w:pPr>
        <w:pStyle w:val="Title"/>
        <w:rPr>
          <w:lang w:val="en-GB"/>
        </w:rPr>
      </w:pPr>
    </w:p>
    <w:p w14:paraId="5A68D3B4" w14:textId="37D97C85" w:rsidR="00823BC5" w:rsidRDefault="00823BC5" w:rsidP="00A07524">
      <w:pPr>
        <w:pStyle w:val="Title"/>
        <w:rPr>
          <w:lang w:val="en-GB"/>
        </w:rPr>
      </w:pPr>
      <w:r>
        <w:rPr>
          <w:lang w:val="en-GB"/>
        </w:rPr>
        <w:t>Referen</w:t>
      </w:r>
      <w:r w:rsidR="00A07524">
        <w:rPr>
          <w:lang w:val="en-GB"/>
        </w:rPr>
        <w:t>ce</w:t>
      </w:r>
      <w:r>
        <w:rPr>
          <w:lang w:val="en-GB"/>
        </w:rPr>
        <w:t xml:space="preserve"> List </w:t>
      </w:r>
    </w:p>
    <w:p w14:paraId="07EB31B5" w14:textId="1AB040FE" w:rsidR="00823BC5" w:rsidRPr="001F48C7" w:rsidRDefault="00823BC5" w:rsidP="001F48C7">
      <w:pPr>
        <w:spacing w:line="360" w:lineRule="auto"/>
        <w:rPr>
          <w:rFonts w:ascii="Arial" w:hAnsi="Arial" w:cs="Arial"/>
          <w:sz w:val="22"/>
          <w:szCs w:val="22"/>
          <w:lang w:val="en-GB"/>
        </w:rPr>
      </w:pPr>
      <w:r w:rsidRPr="001F48C7">
        <w:rPr>
          <w:rFonts w:ascii="Arial" w:hAnsi="Arial" w:cs="Arial"/>
          <w:sz w:val="22"/>
          <w:szCs w:val="22"/>
          <w:lang w:val="en-GB"/>
        </w:rPr>
        <w:t xml:space="preserve">Olsen, C.F., Telenius, E.W., Engedal, K. and Bergland, A. (2015) </w:t>
      </w:r>
      <w:r w:rsidRPr="001F48C7">
        <w:rPr>
          <w:rFonts w:ascii="Arial" w:hAnsi="Arial" w:cs="Arial"/>
          <w:i/>
          <w:iCs/>
          <w:sz w:val="22"/>
          <w:szCs w:val="22"/>
          <w:lang w:val="en-GB"/>
        </w:rPr>
        <w:t>Increased self-efficacy: the experience of high-intensity exercise of nursing home residents with dementia – a qualitative study</w:t>
      </w:r>
      <w:r w:rsidRPr="001F48C7">
        <w:rPr>
          <w:rFonts w:ascii="Arial" w:hAnsi="Arial" w:cs="Arial"/>
          <w:sz w:val="22"/>
          <w:szCs w:val="22"/>
          <w:lang w:val="en-GB"/>
        </w:rPr>
        <w:t xml:space="preserve">. BMC Health Services Research, 15(379). Available at: </w:t>
      </w:r>
      <w:hyperlink r:id="rId7" w:history="1">
        <w:r w:rsidRPr="001F48C7">
          <w:rPr>
            <w:rStyle w:val="Hyperlink"/>
            <w:rFonts w:ascii="Arial" w:hAnsi="Arial" w:cs="Arial"/>
            <w:sz w:val="22"/>
            <w:szCs w:val="22"/>
            <w:lang w:val="en-GB"/>
          </w:rPr>
          <w:t>https://link.springer.com/content/pdf/10.1186/s12913-015-1041-7.pdf</w:t>
        </w:r>
      </w:hyperlink>
      <w:r w:rsidRPr="001F48C7">
        <w:rPr>
          <w:rFonts w:ascii="Arial" w:hAnsi="Arial" w:cs="Arial"/>
          <w:sz w:val="22"/>
          <w:szCs w:val="22"/>
          <w:lang w:val="en-GB"/>
        </w:rPr>
        <w:t xml:space="preserve"> (Accessed: 17 April 2026).</w:t>
      </w:r>
    </w:p>
    <w:p w14:paraId="26206F1E" w14:textId="4553AB4A" w:rsidR="00685C6E" w:rsidRPr="001F48C7" w:rsidRDefault="00823BC5" w:rsidP="001F48C7">
      <w:pPr>
        <w:spacing w:line="360" w:lineRule="auto"/>
        <w:rPr>
          <w:rFonts w:ascii="Arial" w:hAnsi="Arial" w:cs="Arial"/>
          <w:sz w:val="22"/>
          <w:szCs w:val="22"/>
          <w:lang w:val="en-GB"/>
        </w:rPr>
      </w:pPr>
      <w:r w:rsidRPr="001F48C7">
        <w:rPr>
          <w:rFonts w:ascii="Arial" w:hAnsi="Arial" w:cs="Arial"/>
          <w:sz w:val="22"/>
          <w:szCs w:val="22"/>
          <w:lang w:val="en-GB"/>
        </w:rPr>
        <w:t xml:space="preserve">O’Rourke, N. (2002) </w:t>
      </w:r>
      <w:r w:rsidRPr="001F48C7">
        <w:rPr>
          <w:rFonts w:ascii="Arial" w:hAnsi="Arial" w:cs="Arial"/>
          <w:i/>
          <w:iCs/>
          <w:sz w:val="22"/>
          <w:szCs w:val="22"/>
          <w:lang w:val="en-GB"/>
        </w:rPr>
        <w:t>A social cognitive model of well-being among older adults</w:t>
      </w:r>
      <w:r w:rsidRPr="001F48C7">
        <w:rPr>
          <w:rFonts w:ascii="Arial" w:hAnsi="Arial" w:cs="Arial"/>
          <w:sz w:val="22"/>
          <w:szCs w:val="22"/>
          <w:lang w:val="en-GB"/>
        </w:rPr>
        <w:t xml:space="preserve">. Constructivism in the Human Sciences, 7(1–2), pp. 65–79. Available at: </w:t>
      </w:r>
      <w:hyperlink r:id="rId8" w:history="1">
        <w:r w:rsidRPr="001F48C7">
          <w:rPr>
            <w:rStyle w:val="Hyperlink"/>
            <w:rFonts w:ascii="Arial" w:hAnsi="Arial" w:cs="Arial"/>
            <w:sz w:val="22"/>
            <w:szCs w:val="22"/>
            <w:lang w:val="en-GB"/>
          </w:rPr>
          <w:t>https://www.researchgate.net/profile/Norm-Orourke/publication/235425658_A_social_cognitive_model_of_well-</w:t>
        </w:r>
        <w:r w:rsidRPr="001F48C7">
          <w:rPr>
            <w:rStyle w:val="Hyperlink"/>
            <w:rFonts w:ascii="Arial" w:hAnsi="Arial" w:cs="Arial"/>
            <w:sz w:val="22"/>
            <w:szCs w:val="22"/>
            <w:lang w:val="en-GB"/>
          </w:rPr>
          <w:lastRenderedPageBreak/>
          <w:t>being_among_older_adults/links/0046353bdb298cf30c000000/A-social-cognitive-model-of-well-being-among-older-adults.pdf</w:t>
        </w:r>
      </w:hyperlink>
      <w:r w:rsidRPr="001F48C7">
        <w:rPr>
          <w:rFonts w:ascii="Arial" w:hAnsi="Arial" w:cs="Arial"/>
          <w:sz w:val="22"/>
          <w:szCs w:val="22"/>
          <w:lang w:val="en-GB"/>
        </w:rPr>
        <w:t xml:space="preserve"> (Accessed: 17 April 2026).</w:t>
      </w:r>
    </w:p>
    <w:p w14:paraId="3DC014BB" w14:textId="282BBC99" w:rsidR="00685C6E" w:rsidRPr="001F48C7" w:rsidRDefault="00685C6E" w:rsidP="001F48C7">
      <w:pPr>
        <w:spacing w:line="360" w:lineRule="auto"/>
        <w:rPr>
          <w:rFonts w:ascii="Arial" w:hAnsi="Arial" w:cs="Arial"/>
          <w:sz w:val="22"/>
          <w:szCs w:val="22"/>
          <w:lang w:val="en-GB"/>
        </w:rPr>
      </w:pPr>
      <w:r w:rsidRPr="001F48C7">
        <w:rPr>
          <w:rFonts w:ascii="Arial" w:hAnsi="Arial" w:cs="Arial"/>
          <w:sz w:val="22"/>
          <w:szCs w:val="22"/>
          <w:lang w:val="en-GB"/>
        </w:rPr>
        <w:t xml:space="preserve">Lane, T.D. and Munday, C.C. (2020) </w:t>
      </w:r>
      <w:r w:rsidRPr="001F48C7">
        <w:rPr>
          <w:rFonts w:ascii="Arial" w:hAnsi="Arial" w:cs="Arial"/>
          <w:i/>
          <w:iCs/>
          <w:sz w:val="22"/>
          <w:szCs w:val="22"/>
          <w:lang w:val="en-GB"/>
        </w:rPr>
        <w:t>Ego integrity versus despair</w:t>
      </w:r>
      <w:r w:rsidRPr="001F48C7">
        <w:rPr>
          <w:rFonts w:ascii="Arial" w:hAnsi="Arial" w:cs="Arial"/>
          <w:sz w:val="22"/>
          <w:szCs w:val="22"/>
          <w:lang w:val="en-GB"/>
        </w:rPr>
        <w:t xml:space="preserve">. In: </w:t>
      </w:r>
      <w:proofErr w:type="spellStart"/>
      <w:r w:rsidRPr="001F48C7">
        <w:rPr>
          <w:rFonts w:ascii="Arial" w:hAnsi="Arial" w:cs="Arial"/>
          <w:sz w:val="22"/>
          <w:szCs w:val="22"/>
          <w:lang w:val="en-GB"/>
        </w:rPr>
        <w:t>Encyclopedia</w:t>
      </w:r>
      <w:proofErr w:type="spellEnd"/>
      <w:r w:rsidRPr="001F48C7">
        <w:rPr>
          <w:rFonts w:ascii="Arial" w:hAnsi="Arial" w:cs="Arial"/>
          <w:sz w:val="22"/>
          <w:szCs w:val="22"/>
          <w:lang w:val="en-GB"/>
        </w:rPr>
        <w:t xml:space="preserve"> of Personality and Individual Differences. Springer. Available at: </w:t>
      </w:r>
      <w:hyperlink r:id="rId9" w:history="1">
        <w:r w:rsidRPr="001F48C7">
          <w:rPr>
            <w:rStyle w:val="Hyperlink"/>
            <w:rFonts w:ascii="Arial" w:hAnsi="Arial" w:cs="Arial"/>
            <w:sz w:val="22"/>
            <w:szCs w:val="22"/>
            <w:lang w:val="en-GB"/>
          </w:rPr>
          <w:t>https://pmc.ncbi.nlm.nih.gov/articles/PMC5398200/pdf/nihms852901.pdf</w:t>
        </w:r>
      </w:hyperlink>
      <w:r w:rsidRPr="001F48C7">
        <w:rPr>
          <w:rFonts w:ascii="Arial" w:hAnsi="Arial" w:cs="Arial"/>
          <w:sz w:val="22"/>
          <w:szCs w:val="22"/>
          <w:lang w:val="en-GB"/>
        </w:rPr>
        <w:t xml:space="preserve"> (Accessed: 17 April 2026).</w:t>
      </w:r>
    </w:p>
    <w:p w14:paraId="492BF625" w14:textId="65811C6E" w:rsidR="00685C6E" w:rsidRPr="001F48C7" w:rsidRDefault="00685C6E" w:rsidP="001F48C7">
      <w:pPr>
        <w:spacing w:line="360" w:lineRule="auto"/>
        <w:rPr>
          <w:rFonts w:ascii="Arial" w:hAnsi="Arial" w:cs="Arial"/>
          <w:sz w:val="22"/>
          <w:szCs w:val="22"/>
          <w:lang w:val="en-GB"/>
        </w:rPr>
      </w:pPr>
      <w:r w:rsidRPr="001F48C7">
        <w:rPr>
          <w:rFonts w:ascii="Arial" w:hAnsi="Arial" w:cs="Arial"/>
          <w:sz w:val="22"/>
          <w:szCs w:val="22"/>
          <w:lang w:val="en-GB"/>
        </w:rPr>
        <w:t xml:space="preserve">Clifford, T.D. and Munday, C.C. (2017) </w:t>
      </w:r>
      <w:r w:rsidRPr="001F48C7">
        <w:rPr>
          <w:rFonts w:ascii="Arial" w:hAnsi="Arial" w:cs="Arial"/>
          <w:i/>
          <w:iCs/>
          <w:sz w:val="22"/>
          <w:szCs w:val="22"/>
          <w:lang w:val="en-GB"/>
        </w:rPr>
        <w:t>Ego integrity versus despair</w:t>
      </w:r>
      <w:r w:rsidRPr="001F48C7">
        <w:rPr>
          <w:rFonts w:ascii="Arial" w:hAnsi="Arial" w:cs="Arial"/>
          <w:sz w:val="22"/>
          <w:szCs w:val="22"/>
          <w:lang w:val="en-GB"/>
        </w:rPr>
        <w:t xml:space="preserve">. In: Zeigler-Hill, V. and Shackelford, T.K. (eds.) </w:t>
      </w:r>
      <w:proofErr w:type="spellStart"/>
      <w:r w:rsidRPr="001F48C7">
        <w:rPr>
          <w:rFonts w:ascii="Arial" w:hAnsi="Arial" w:cs="Arial"/>
          <w:i/>
          <w:iCs/>
          <w:sz w:val="22"/>
          <w:szCs w:val="22"/>
          <w:lang w:val="en-GB"/>
        </w:rPr>
        <w:t>Encyclopedia</w:t>
      </w:r>
      <w:proofErr w:type="spellEnd"/>
      <w:r w:rsidRPr="001F48C7">
        <w:rPr>
          <w:rFonts w:ascii="Arial" w:hAnsi="Arial" w:cs="Arial"/>
          <w:i/>
          <w:iCs/>
          <w:sz w:val="22"/>
          <w:szCs w:val="22"/>
          <w:lang w:val="en-GB"/>
        </w:rPr>
        <w:t xml:space="preserve"> of Personality and Individual Differences</w:t>
      </w:r>
      <w:r w:rsidRPr="001F48C7">
        <w:rPr>
          <w:rFonts w:ascii="Arial" w:hAnsi="Arial" w:cs="Arial"/>
          <w:sz w:val="22"/>
          <w:szCs w:val="22"/>
          <w:lang w:val="en-GB"/>
        </w:rPr>
        <w:t xml:space="preserve">. Springer. Available at: </w:t>
      </w:r>
      <w:hyperlink r:id="rId10" w:history="1">
        <w:r w:rsidRPr="001F48C7">
          <w:rPr>
            <w:rStyle w:val="Hyperlink"/>
            <w:rFonts w:ascii="Arial" w:hAnsi="Arial" w:cs="Arial"/>
            <w:sz w:val="22"/>
            <w:szCs w:val="22"/>
            <w:lang w:val="en-GB"/>
          </w:rPr>
          <w:t>https://www.researchgate.net/profile/Thiera-Clifford/publication/318132097_Ego_Integrity_Versus_Despair/links/5e492266299bf1cdb92e9a8c/Ego-Integrity-Versus-Despair.pdf</w:t>
        </w:r>
      </w:hyperlink>
      <w:r w:rsidRPr="001F48C7">
        <w:rPr>
          <w:rFonts w:ascii="Arial" w:hAnsi="Arial" w:cs="Arial"/>
          <w:sz w:val="22"/>
          <w:szCs w:val="22"/>
          <w:lang w:val="en-GB"/>
        </w:rPr>
        <w:t xml:space="preserve"> (Accessed: 17 April 2026). </w:t>
      </w:r>
      <w:r w:rsidR="001F48C7" w:rsidRPr="001F48C7">
        <w:rPr>
          <w:rFonts w:ascii="Arial" w:hAnsi="Arial" w:cs="Arial"/>
          <w:sz w:val="22"/>
          <w:szCs w:val="22"/>
          <w:lang w:val="en-GB"/>
        </w:rPr>
        <w:t xml:space="preserve"> </w:t>
      </w:r>
    </w:p>
    <w:p w14:paraId="38487DF7" w14:textId="055C87A9" w:rsidR="001F48C7" w:rsidRPr="001F48C7" w:rsidRDefault="001F48C7" w:rsidP="001F48C7">
      <w:pPr>
        <w:spacing w:line="360" w:lineRule="auto"/>
        <w:rPr>
          <w:rFonts w:ascii="Arial" w:hAnsi="Arial" w:cs="Arial"/>
          <w:sz w:val="22"/>
          <w:szCs w:val="22"/>
          <w:lang w:val="en-GB"/>
        </w:rPr>
      </w:pPr>
      <w:r w:rsidRPr="001F48C7">
        <w:rPr>
          <w:rFonts w:ascii="Arial" w:hAnsi="Arial" w:cs="Arial"/>
          <w:sz w:val="22"/>
          <w:szCs w:val="22"/>
          <w:lang w:val="en-GB"/>
        </w:rPr>
        <w:t xml:space="preserve">Bandura, A. (1977) </w:t>
      </w:r>
      <w:r w:rsidRPr="001F48C7">
        <w:rPr>
          <w:rFonts w:ascii="Arial" w:hAnsi="Arial" w:cs="Arial"/>
          <w:i/>
          <w:iCs/>
          <w:sz w:val="22"/>
          <w:szCs w:val="22"/>
          <w:lang w:val="en-GB"/>
        </w:rPr>
        <w:t>Self-efficacy: Toward a unifying theory of behavioural change</w:t>
      </w:r>
      <w:r w:rsidRPr="001F48C7">
        <w:rPr>
          <w:rFonts w:ascii="Arial" w:hAnsi="Arial" w:cs="Arial"/>
          <w:sz w:val="22"/>
          <w:szCs w:val="22"/>
          <w:lang w:val="en-GB"/>
        </w:rPr>
        <w:t xml:space="preserve">. Psychological Review, 84(2), pp. 191–215. Available at: </w:t>
      </w:r>
      <w:hyperlink r:id="rId11" w:history="1">
        <w:r w:rsidRPr="001F48C7">
          <w:rPr>
            <w:rStyle w:val="Hyperlink"/>
            <w:rFonts w:ascii="Arial" w:hAnsi="Arial" w:cs="Arial"/>
            <w:sz w:val="22"/>
            <w:szCs w:val="22"/>
            <w:lang w:val="en-GB"/>
          </w:rPr>
          <w:t>https://psycnet.apa.org/doiLanding?doi=10.1037%2F0033-295X.84.2.191</w:t>
        </w:r>
      </w:hyperlink>
      <w:r w:rsidRPr="001F48C7">
        <w:rPr>
          <w:rFonts w:ascii="Arial" w:hAnsi="Arial" w:cs="Arial"/>
          <w:sz w:val="22"/>
          <w:szCs w:val="22"/>
          <w:lang w:val="en-GB"/>
        </w:rPr>
        <w:t xml:space="preserve"> (Accessed: 18 April 2026).  </w:t>
      </w:r>
    </w:p>
    <w:p w14:paraId="2F9A5D10" w14:textId="58BA3478" w:rsidR="001F48C7" w:rsidRPr="001F48C7" w:rsidRDefault="001F48C7" w:rsidP="001F48C7">
      <w:pPr>
        <w:spacing w:line="360" w:lineRule="auto"/>
        <w:rPr>
          <w:lang w:val="en-GB"/>
        </w:rPr>
      </w:pPr>
      <w:r w:rsidRPr="001F48C7">
        <w:rPr>
          <w:rFonts w:ascii="Arial" w:hAnsi="Arial" w:cs="Arial"/>
          <w:sz w:val="22"/>
          <w:szCs w:val="22"/>
          <w:lang w:val="en-GB"/>
        </w:rPr>
        <w:t xml:space="preserve">Bandura, A. (1997) </w:t>
      </w:r>
      <w:r w:rsidRPr="001F48C7">
        <w:rPr>
          <w:rFonts w:ascii="Arial" w:hAnsi="Arial" w:cs="Arial"/>
          <w:i/>
          <w:iCs/>
          <w:sz w:val="22"/>
          <w:szCs w:val="22"/>
          <w:lang w:val="en-GB"/>
        </w:rPr>
        <w:t>Self-efficacy: The exercise of control</w:t>
      </w:r>
      <w:r w:rsidRPr="001F48C7">
        <w:rPr>
          <w:rFonts w:ascii="Arial" w:hAnsi="Arial" w:cs="Arial"/>
          <w:sz w:val="22"/>
          <w:szCs w:val="22"/>
          <w:lang w:val="en-GB"/>
        </w:rPr>
        <w:t xml:space="preserve">. New York: W.H. Freeman. Available at: </w:t>
      </w:r>
      <w:hyperlink r:id="rId12" w:history="1">
        <w:r w:rsidRPr="001F48C7">
          <w:rPr>
            <w:rStyle w:val="Hyperlink"/>
            <w:rFonts w:ascii="Arial" w:hAnsi="Arial" w:cs="Arial"/>
            <w:sz w:val="22"/>
            <w:szCs w:val="22"/>
            <w:lang w:val="en-GB"/>
          </w:rPr>
          <w:t>https://www.awakenedlearning.com/wp-content/uploads/2019/11/Bandura-Self-Efficacy-social-cognitive-Health-Model.pdf</w:t>
        </w:r>
      </w:hyperlink>
      <w:r w:rsidRPr="001F48C7">
        <w:rPr>
          <w:rFonts w:ascii="Arial" w:hAnsi="Arial" w:cs="Arial"/>
          <w:sz w:val="22"/>
          <w:szCs w:val="22"/>
          <w:lang w:val="en-GB"/>
        </w:rPr>
        <w:t xml:space="preserve"> (Accessed: 18 April 2026).</w:t>
      </w:r>
      <w:r>
        <w:rPr>
          <w:lang w:val="en-GB"/>
        </w:rPr>
        <w:t xml:space="preserve">  </w:t>
      </w:r>
    </w:p>
    <w:p w14:paraId="5AE00D6F" w14:textId="4FF0FCAA" w:rsidR="001F48C7" w:rsidRDefault="001F48C7" w:rsidP="00685C6E">
      <w:pPr>
        <w:rPr>
          <w:lang w:val="en-GB"/>
        </w:rPr>
      </w:pPr>
    </w:p>
    <w:p w14:paraId="6B17771C" w14:textId="77777777" w:rsidR="001F48C7" w:rsidRPr="001F48C7" w:rsidRDefault="001F48C7" w:rsidP="00685C6E">
      <w:pPr>
        <w:rPr>
          <w:lang w:val="en-GB"/>
        </w:rPr>
      </w:pPr>
    </w:p>
    <w:p w14:paraId="5C83F3B5" w14:textId="77777777" w:rsidR="00685C6E" w:rsidRPr="00685C6E" w:rsidRDefault="00685C6E" w:rsidP="00685C6E">
      <w:pPr>
        <w:rPr>
          <w:lang w:val="en-GB"/>
        </w:rPr>
      </w:pPr>
    </w:p>
    <w:p w14:paraId="59EC3FE7" w14:textId="368EBC3D" w:rsidR="00685C6E" w:rsidRPr="00685C6E" w:rsidRDefault="00685C6E" w:rsidP="00685C6E">
      <w:pPr>
        <w:rPr>
          <w:lang w:val="en-GB"/>
        </w:rPr>
      </w:pPr>
    </w:p>
    <w:p w14:paraId="47AD71ED" w14:textId="0CE80C8D" w:rsidR="00685C6E" w:rsidRPr="00685C6E" w:rsidRDefault="00685C6E" w:rsidP="00823BC5">
      <w:pPr>
        <w:rPr>
          <w:lang w:val="en-GB"/>
        </w:rPr>
      </w:pPr>
    </w:p>
    <w:p w14:paraId="1981914F" w14:textId="62B07C43" w:rsidR="00823BC5" w:rsidRPr="00823BC5" w:rsidRDefault="00823BC5" w:rsidP="00823BC5">
      <w:pPr>
        <w:rPr>
          <w:lang w:val="en-GB"/>
        </w:rPr>
      </w:pPr>
    </w:p>
    <w:p w14:paraId="593FB1DF" w14:textId="64DEA22D" w:rsidR="00823BC5" w:rsidRPr="00823BC5" w:rsidRDefault="00823BC5" w:rsidP="00BB76F1">
      <w:pPr>
        <w:rPr>
          <w:b/>
          <w:bCs/>
          <w:lang w:val="en-GB"/>
        </w:rPr>
      </w:pPr>
    </w:p>
    <w:sectPr w:rsidR="00823BC5" w:rsidRPr="00823BC5">
      <w:footerReference w:type="default" r:id="rId13"/>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8B1EEC" w14:textId="77777777" w:rsidR="003025DA" w:rsidRDefault="003025DA" w:rsidP="00802C81">
      <w:pPr>
        <w:spacing w:after="0" w:line="240" w:lineRule="auto"/>
      </w:pPr>
      <w:r>
        <w:separator/>
      </w:r>
    </w:p>
  </w:endnote>
  <w:endnote w:type="continuationSeparator" w:id="0">
    <w:p w14:paraId="589F4B33" w14:textId="77777777" w:rsidR="003025DA" w:rsidRDefault="003025DA" w:rsidP="00802C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7130057"/>
      <w:docPartObj>
        <w:docPartGallery w:val="Page Numbers (Bottom of Page)"/>
        <w:docPartUnique/>
      </w:docPartObj>
    </w:sdtPr>
    <w:sdtContent>
      <w:p w14:paraId="6E6D4D70" w14:textId="77777777" w:rsidR="00802C81" w:rsidRDefault="00802C81">
        <w:pPr>
          <w:pStyle w:val="Footer"/>
          <w:jc w:val="right"/>
        </w:pPr>
      </w:p>
      <w:p w14:paraId="5931B13D" w14:textId="77777777" w:rsidR="00802C81" w:rsidRDefault="00802C81">
        <w:pPr>
          <w:pStyle w:val="Footer"/>
          <w:jc w:val="right"/>
        </w:pPr>
      </w:p>
      <w:p w14:paraId="1FB5666D" w14:textId="6E76A8AC" w:rsidR="00802C81" w:rsidRDefault="00802C81">
        <w:pPr>
          <w:pStyle w:val="Footer"/>
          <w:jc w:val="right"/>
        </w:pPr>
        <w:r>
          <w:fldChar w:fldCharType="begin"/>
        </w:r>
        <w:r>
          <w:instrText>PAGE   \* MERGEFORMAT</w:instrText>
        </w:r>
        <w:r>
          <w:fldChar w:fldCharType="separate"/>
        </w:r>
        <w:r>
          <w:t>2</w:t>
        </w:r>
        <w:r>
          <w:fldChar w:fldCharType="end"/>
        </w:r>
      </w:p>
    </w:sdtContent>
  </w:sdt>
  <w:p w14:paraId="5B06A0F9" w14:textId="77777777" w:rsidR="00802C81" w:rsidRDefault="00802C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478751" w14:textId="77777777" w:rsidR="003025DA" w:rsidRDefault="003025DA" w:rsidP="00802C81">
      <w:pPr>
        <w:spacing w:after="0" w:line="240" w:lineRule="auto"/>
      </w:pPr>
      <w:r>
        <w:separator/>
      </w:r>
    </w:p>
  </w:footnote>
  <w:footnote w:type="continuationSeparator" w:id="0">
    <w:p w14:paraId="14C30564" w14:textId="77777777" w:rsidR="003025DA" w:rsidRDefault="003025DA" w:rsidP="00802C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6F1"/>
    <w:rsid w:val="000E5E2D"/>
    <w:rsid w:val="00185696"/>
    <w:rsid w:val="001F48C7"/>
    <w:rsid w:val="00204934"/>
    <w:rsid w:val="00297009"/>
    <w:rsid w:val="003025DA"/>
    <w:rsid w:val="004903F0"/>
    <w:rsid w:val="00525AC1"/>
    <w:rsid w:val="00685C6E"/>
    <w:rsid w:val="00802C81"/>
    <w:rsid w:val="00823BC5"/>
    <w:rsid w:val="00A07524"/>
    <w:rsid w:val="00BB76F1"/>
    <w:rsid w:val="00DF572B"/>
    <w:rsid w:val="00E21875"/>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FE16F"/>
  <w15:chartTrackingRefBased/>
  <w15:docId w15:val="{BBFCCD37-02E2-44BD-921A-AC5E1C5F7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s-E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572B"/>
    <w:pPr>
      <w:keepNext/>
      <w:keepLines/>
      <w:spacing w:before="360" w:after="80"/>
      <w:outlineLvl w:val="0"/>
    </w:pPr>
    <w:rPr>
      <w:rFonts w:ascii="Arial" w:eastAsiaTheme="majorEastAsia" w:hAnsi="Arial" w:cstheme="majorBidi"/>
      <w:color w:val="4C94D8" w:themeColor="text2" w:themeTint="80"/>
      <w:szCs w:val="40"/>
    </w:rPr>
  </w:style>
  <w:style w:type="paragraph" w:styleId="Heading2">
    <w:name w:val="heading 2"/>
    <w:basedOn w:val="Normal"/>
    <w:next w:val="Normal"/>
    <w:link w:val="Heading2Char"/>
    <w:uiPriority w:val="9"/>
    <w:semiHidden/>
    <w:unhideWhenUsed/>
    <w:qFormat/>
    <w:rsid w:val="00BB76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76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76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76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76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76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76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76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72B"/>
    <w:rPr>
      <w:rFonts w:ascii="Arial" w:eastAsiaTheme="majorEastAsia" w:hAnsi="Arial" w:cstheme="majorBidi"/>
      <w:color w:val="4C94D8" w:themeColor="text2" w:themeTint="80"/>
      <w:szCs w:val="40"/>
    </w:rPr>
  </w:style>
  <w:style w:type="character" w:customStyle="1" w:styleId="Heading2Char">
    <w:name w:val="Heading 2 Char"/>
    <w:basedOn w:val="DefaultParagraphFont"/>
    <w:link w:val="Heading2"/>
    <w:uiPriority w:val="9"/>
    <w:semiHidden/>
    <w:rsid w:val="00BB76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76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76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76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76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76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76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76F1"/>
    <w:rPr>
      <w:rFonts w:eastAsiaTheme="majorEastAsia" w:cstheme="majorBidi"/>
      <w:color w:val="272727" w:themeColor="text1" w:themeTint="D8"/>
    </w:rPr>
  </w:style>
  <w:style w:type="paragraph" w:styleId="Title">
    <w:name w:val="Title"/>
    <w:basedOn w:val="Normal"/>
    <w:next w:val="Normal"/>
    <w:link w:val="TitleChar"/>
    <w:uiPriority w:val="10"/>
    <w:qFormat/>
    <w:rsid w:val="00685C6E"/>
    <w:pPr>
      <w:spacing w:after="80" w:line="240" w:lineRule="auto"/>
      <w:contextualSpacing/>
    </w:pPr>
    <w:rPr>
      <w:rFonts w:ascii="Arial" w:eastAsiaTheme="majorEastAsia" w:hAnsi="Arial" w:cstheme="majorBidi"/>
      <w:b/>
      <w:color w:val="215E99" w:themeColor="text2" w:themeTint="BF"/>
      <w:spacing w:val="-10"/>
      <w:kern w:val="28"/>
      <w:sz w:val="22"/>
      <w:szCs w:val="56"/>
    </w:rPr>
  </w:style>
  <w:style w:type="character" w:customStyle="1" w:styleId="TitleChar">
    <w:name w:val="Title Char"/>
    <w:basedOn w:val="DefaultParagraphFont"/>
    <w:link w:val="Title"/>
    <w:uiPriority w:val="10"/>
    <w:rsid w:val="00685C6E"/>
    <w:rPr>
      <w:rFonts w:ascii="Arial" w:eastAsiaTheme="majorEastAsia" w:hAnsi="Arial" w:cstheme="majorBidi"/>
      <w:b/>
      <w:color w:val="215E99" w:themeColor="text2" w:themeTint="BF"/>
      <w:spacing w:val="-10"/>
      <w:kern w:val="28"/>
      <w:sz w:val="22"/>
      <w:szCs w:val="56"/>
    </w:rPr>
  </w:style>
  <w:style w:type="paragraph" w:styleId="Subtitle">
    <w:name w:val="Subtitle"/>
    <w:basedOn w:val="Normal"/>
    <w:next w:val="Normal"/>
    <w:link w:val="SubtitleChar"/>
    <w:uiPriority w:val="11"/>
    <w:qFormat/>
    <w:rsid w:val="00BB76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76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76F1"/>
    <w:pPr>
      <w:spacing w:before="160"/>
      <w:jc w:val="center"/>
    </w:pPr>
    <w:rPr>
      <w:i/>
      <w:iCs/>
      <w:color w:val="404040" w:themeColor="text1" w:themeTint="BF"/>
    </w:rPr>
  </w:style>
  <w:style w:type="character" w:customStyle="1" w:styleId="QuoteChar">
    <w:name w:val="Quote Char"/>
    <w:basedOn w:val="DefaultParagraphFont"/>
    <w:link w:val="Quote"/>
    <w:uiPriority w:val="29"/>
    <w:rsid w:val="00BB76F1"/>
    <w:rPr>
      <w:i/>
      <w:iCs/>
      <w:color w:val="404040" w:themeColor="text1" w:themeTint="BF"/>
    </w:rPr>
  </w:style>
  <w:style w:type="paragraph" w:styleId="ListParagraph">
    <w:name w:val="List Paragraph"/>
    <w:basedOn w:val="Normal"/>
    <w:uiPriority w:val="34"/>
    <w:qFormat/>
    <w:rsid w:val="00BB76F1"/>
    <w:pPr>
      <w:ind w:left="720"/>
      <w:contextualSpacing/>
    </w:pPr>
  </w:style>
  <w:style w:type="character" w:styleId="IntenseEmphasis">
    <w:name w:val="Intense Emphasis"/>
    <w:basedOn w:val="DefaultParagraphFont"/>
    <w:uiPriority w:val="21"/>
    <w:qFormat/>
    <w:rsid w:val="00BB76F1"/>
    <w:rPr>
      <w:i/>
      <w:iCs/>
      <w:color w:val="0F4761" w:themeColor="accent1" w:themeShade="BF"/>
    </w:rPr>
  </w:style>
  <w:style w:type="paragraph" w:styleId="IntenseQuote">
    <w:name w:val="Intense Quote"/>
    <w:basedOn w:val="Normal"/>
    <w:next w:val="Normal"/>
    <w:link w:val="IntenseQuoteChar"/>
    <w:uiPriority w:val="30"/>
    <w:qFormat/>
    <w:rsid w:val="00BB76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76F1"/>
    <w:rPr>
      <w:i/>
      <w:iCs/>
      <w:color w:val="0F4761" w:themeColor="accent1" w:themeShade="BF"/>
    </w:rPr>
  </w:style>
  <w:style w:type="character" w:styleId="IntenseReference">
    <w:name w:val="Intense Reference"/>
    <w:basedOn w:val="DefaultParagraphFont"/>
    <w:uiPriority w:val="32"/>
    <w:qFormat/>
    <w:rsid w:val="00BB76F1"/>
    <w:rPr>
      <w:b/>
      <w:bCs/>
      <w:smallCaps/>
      <w:color w:val="0F4761" w:themeColor="accent1" w:themeShade="BF"/>
      <w:spacing w:val="5"/>
    </w:rPr>
  </w:style>
  <w:style w:type="character" w:styleId="Hyperlink">
    <w:name w:val="Hyperlink"/>
    <w:basedOn w:val="DefaultParagraphFont"/>
    <w:uiPriority w:val="99"/>
    <w:unhideWhenUsed/>
    <w:rsid w:val="00823BC5"/>
    <w:rPr>
      <w:color w:val="467886" w:themeColor="hyperlink"/>
      <w:u w:val="single"/>
    </w:rPr>
  </w:style>
  <w:style w:type="character" w:styleId="UnresolvedMention">
    <w:name w:val="Unresolved Mention"/>
    <w:basedOn w:val="DefaultParagraphFont"/>
    <w:uiPriority w:val="99"/>
    <w:semiHidden/>
    <w:unhideWhenUsed/>
    <w:rsid w:val="001F48C7"/>
    <w:rPr>
      <w:color w:val="605E5C"/>
      <w:shd w:val="clear" w:color="auto" w:fill="E1DFDD"/>
    </w:rPr>
  </w:style>
  <w:style w:type="paragraph" w:styleId="Header">
    <w:name w:val="header"/>
    <w:basedOn w:val="Normal"/>
    <w:link w:val="HeaderChar"/>
    <w:uiPriority w:val="99"/>
    <w:unhideWhenUsed/>
    <w:rsid w:val="00802C81"/>
    <w:pPr>
      <w:tabs>
        <w:tab w:val="center" w:pos="4252"/>
        <w:tab w:val="right" w:pos="8504"/>
      </w:tabs>
      <w:spacing w:after="0" w:line="240" w:lineRule="auto"/>
    </w:pPr>
  </w:style>
  <w:style w:type="character" w:customStyle="1" w:styleId="HeaderChar">
    <w:name w:val="Header Char"/>
    <w:basedOn w:val="DefaultParagraphFont"/>
    <w:link w:val="Header"/>
    <w:uiPriority w:val="99"/>
    <w:rsid w:val="00802C81"/>
  </w:style>
  <w:style w:type="paragraph" w:styleId="Footer">
    <w:name w:val="footer"/>
    <w:basedOn w:val="Normal"/>
    <w:link w:val="FooterChar"/>
    <w:uiPriority w:val="99"/>
    <w:unhideWhenUsed/>
    <w:rsid w:val="00802C81"/>
    <w:pPr>
      <w:tabs>
        <w:tab w:val="center" w:pos="4252"/>
        <w:tab w:val="right" w:pos="8504"/>
      </w:tabs>
      <w:spacing w:after="0" w:line="240" w:lineRule="auto"/>
    </w:pPr>
  </w:style>
  <w:style w:type="character" w:customStyle="1" w:styleId="FooterChar">
    <w:name w:val="Footer Char"/>
    <w:basedOn w:val="DefaultParagraphFont"/>
    <w:link w:val="Footer"/>
    <w:uiPriority w:val="99"/>
    <w:rsid w:val="00802C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Norm-Orourke/publication/235425658_A_social_cognitive_model_of_well-being_among_older_adults/links/0046353bdb298cf30c000000/A-social-cognitive-model-of-well-being-among-older-adults.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link.springer.com/content/pdf/10.1186/s12913-015-1041-7.pdf" TargetMode="External"/><Relationship Id="rId12" Type="http://schemas.openxmlformats.org/officeDocument/2006/relationships/hyperlink" Target="https://www.awakenedlearning.com/wp-content/uploads/2019/11/Bandura-Self-Efficacy-social-cognitive-Health-Model.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psycnet.apa.org/doiLanding?doi=10.1037%2F0033-295X.84.2.191"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researchgate.net/profile/Thiera-Clifford/publication/318132097_Ego_Integrity_Versus_Despair/links/5e492266299bf1cdb92e9a8c/Ego-Integrity-Versus-Despair.pdf" TargetMode="External"/><Relationship Id="rId4" Type="http://schemas.openxmlformats.org/officeDocument/2006/relationships/footnotes" Target="footnotes.xml"/><Relationship Id="rId9" Type="http://schemas.openxmlformats.org/officeDocument/2006/relationships/hyperlink" Target="https://pmc.ncbi.nlm.nih.gov/articles/PMC5398200/pdf/nihms852901.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2128</Words>
  <Characters>11705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Mihaela-Nina Achim (2435447)</dc:creator>
  <cp:keywords/>
  <dc:description/>
  <cp:lastModifiedBy>Mihaela-Nina Achim (2435447)</cp:lastModifiedBy>
  <cp:revision>2</cp:revision>
  <dcterms:created xsi:type="dcterms:W3CDTF">2026-04-20T00:31:00Z</dcterms:created>
  <dcterms:modified xsi:type="dcterms:W3CDTF">2026-04-20T00:31:00Z</dcterms:modified>
</cp:coreProperties>
</file>