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693E0" w14:textId="77777777" w:rsidR="006D5B19" w:rsidRDefault="006D5B19" w:rsidP="004110DC">
      <w:pPr>
        <w:pStyle w:val="Title"/>
        <w:jc w:val="center"/>
        <w:rPr>
          <w:rFonts w:eastAsia="Times New Roman"/>
        </w:rPr>
      </w:pPr>
    </w:p>
    <w:p w14:paraId="713044F5" w14:textId="77777777" w:rsidR="006D5B19" w:rsidRDefault="006D5B19" w:rsidP="004110DC">
      <w:pPr>
        <w:pStyle w:val="Title"/>
        <w:jc w:val="center"/>
        <w:rPr>
          <w:rFonts w:eastAsia="Times New Roman"/>
        </w:rPr>
      </w:pPr>
    </w:p>
    <w:p w14:paraId="19426F32" w14:textId="77777777" w:rsidR="006D5B19" w:rsidRDefault="006D5B19" w:rsidP="004110DC">
      <w:pPr>
        <w:pStyle w:val="Title"/>
        <w:jc w:val="center"/>
        <w:rPr>
          <w:rFonts w:eastAsia="Times New Roman"/>
        </w:rPr>
      </w:pPr>
    </w:p>
    <w:p w14:paraId="239830D9" w14:textId="39EAC366" w:rsidR="006D5B19" w:rsidRDefault="002D2272" w:rsidP="004110DC">
      <w:pPr>
        <w:pStyle w:val="Title"/>
        <w:jc w:val="center"/>
        <w:rPr>
          <w:rFonts w:eastAsia="Times New Roman"/>
        </w:rPr>
      </w:pPr>
      <w:r>
        <w:rPr>
          <w:noProof/>
        </w:rPr>
        <w:drawing>
          <wp:inline distT="0" distB="0" distL="0" distR="0" wp14:anchorId="4CBF1A81" wp14:editId="3CBBEEC5">
            <wp:extent cx="5081905" cy="1679944"/>
            <wp:effectExtent l="0" t="0" r="4445" b="0"/>
            <wp:docPr id="1" name="Picture 1"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98504" cy="1685431"/>
                    </a:xfrm>
                    <a:prstGeom prst="rect">
                      <a:avLst/>
                    </a:prstGeom>
                    <a:noFill/>
                    <a:ln>
                      <a:noFill/>
                    </a:ln>
                  </pic:spPr>
                </pic:pic>
              </a:graphicData>
            </a:graphic>
          </wp:inline>
        </w:drawing>
      </w:r>
    </w:p>
    <w:p w14:paraId="3790EB1E" w14:textId="24B08983" w:rsidR="004110DC" w:rsidRPr="004110DC" w:rsidRDefault="004110DC" w:rsidP="004110DC">
      <w:pPr>
        <w:pStyle w:val="Title"/>
        <w:jc w:val="center"/>
        <w:rPr>
          <w:rFonts w:eastAsia="Times New Roman"/>
        </w:rPr>
      </w:pPr>
      <w:r>
        <w:rPr>
          <w:rFonts w:eastAsia="Times New Roman"/>
        </w:rPr>
        <w:t xml:space="preserve">Tittle:  </w:t>
      </w:r>
      <w:r w:rsidRPr="004110DC">
        <w:rPr>
          <w:rFonts w:eastAsia="Times New Roman"/>
        </w:rPr>
        <w:t>STRATEGIC CFO CHALLENGE: TURNAROUND STRATEGY FOR GENERAL ELECTRONICS</w:t>
      </w:r>
    </w:p>
    <w:p w14:paraId="5FAC36DB" w14:textId="2096A889" w:rsidR="00072BC0" w:rsidRPr="00E479AF" w:rsidRDefault="004110DC" w:rsidP="00E479AF">
      <w:pPr>
        <w:jc w:val="center"/>
        <w:rPr>
          <w:sz w:val="36"/>
          <w:szCs w:val="36"/>
        </w:rPr>
      </w:pPr>
      <w:r w:rsidRPr="00E479AF">
        <w:rPr>
          <w:sz w:val="36"/>
          <w:szCs w:val="36"/>
        </w:rPr>
        <w:t>Module: Financial Management (LCMB7002)</w:t>
      </w:r>
    </w:p>
    <w:p w14:paraId="4ECC4FFC" w14:textId="77FDDD92" w:rsidR="006D5B19" w:rsidRPr="00E479AF" w:rsidRDefault="006D5B19" w:rsidP="00E479AF">
      <w:pPr>
        <w:jc w:val="center"/>
        <w:rPr>
          <w:sz w:val="36"/>
          <w:szCs w:val="36"/>
        </w:rPr>
      </w:pPr>
      <w:r w:rsidRPr="00E479AF">
        <w:rPr>
          <w:sz w:val="36"/>
          <w:szCs w:val="36"/>
        </w:rPr>
        <w:t>Submitted By:</w:t>
      </w:r>
    </w:p>
    <w:p w14:paraId="67416124" w14:textId="22237726" w:rsidR="006D5B19" w:rsidRPr="00E479AF" w:rsidRDefault="006D5B19" w:rsidP="00E479AF">
      <w:pPr>
        <w:jc w:val="center"/>
        <w:rPr>
          <w:rFonts w:ascii="Arial" w:eastAsia="Times New Roman" w:hAnsi="Arial" w:cs="Arial"/>
          <w:b/>
          <w:bCs/>
          <w:kern w:val="36"/>
          <w:sz w:val="56"/>
          <w:szCs w:val="56"/>
        </w:rPr>
      </w:pPr>
      <w:r w:rsidRPr="00E479AF">
        <w:rPr>
          <w:sz w:val="36"/>
          <w:szCs w:val="36"/>
        </w:rPr>
        <w:t>ID:</w:t>
      </w:r>
    </w:p>
    <w:p w14:paraId="6E8FC8B7" w14:textId="77777777" w:rsidR="006D5B19" w:rsidRDefault="006D5B19" w:rsidP="00C31C59">
      <w:pPr>
        <w:pStyle w:val="Heading2"/>
      </w:pPr>
    </w:p>
    <w:p w14:paraId="26648F95" w14:textId="77777777" w:rsidR="006D5B19" w:rsidRDefault="006D5B19" w:rsidP="00C31C59">
      <w:pPr>
        <w:pStyle w:val="Heading2"/>
      </w:pPr>
    </w:p>
    <w:p w14:paraId="3FA52481" w14:textId="77777777" w:rsidR="006D5B19" w:rsidRDefault="006D5B19" w:rsidP="00C31C59">
      <w:pPr>
        <w:pStyle w:val="Heading2"/>
      </w:pPr>
    </w:p>
    <w:p w14:paraId="7BECD071" w14:textId="67823929" w:rsidR="006D5B19" w:rsidRDefault="006D5B19" w:rsidP="00C31C59">
      <w:pPr>
        <w:pStyle w:val="Heading2"/>
      </w:pPr>
    </w:p>
    <w:p w14:paraId="09D7D023" w14:textId="77777777" w:rsidR="00E479AF" w:rsidRDefault="00E479AF" w:rsidP="00C31C59">
      <w:pPr>
        <w:pStyle w:val="Heading2"/>
      </w:pPr>
    </w:p>
    <w:p w14:paraId="35B99759" w14:textId="77777777" w:rsidR="006D5B19" w:rsidRDefault="006D5B19" w:rsidP="00C31C59">
      <w:pPr>
        <w:pStyle w:val="Heading2"/>
      </w:pPr>
    </w:p>
    <w:sdt>
      <w:sdtPr>
        <w:rPr>
          <w:rFonts w:asciiTheme="minorHAnsi" w:eastAsiaTheme="minorHAnsi" w:hAnsiTheme="minorHAnsi" w:cstheme="minorBidi"/>
          <w:color w:val="auto"/>
          <w:sz w:val="22"/>
          <w:szCs w:val="22"/>
        </w:rPr>
        <w:id w:val="-1350939990"/>
        <w:docPartObj>
          <w:docPartGallery w:val="Table of Contents"/>
          <w:docPartUnique/>
        </w:docPartObj>
      </w:sdtPr>
      <w:sdtEndPr>
        <w:rPr>
          <w:b/>
          <w:bCs/>
          <w:noProof/>
        </w:rPr>
      </w:sdtEndPr>
      <w:sdtContent>
        <w:p w14:paraId="1B942CE7" w14:textId="283B8E1E" w:rsidR="002D2272" w:rsidRDefault="002D2272">
          <w:pPr>
            <w:pStyle w:val="TOCHeading"/>
          </w:pPr>
          <w:r>
            <w:t>Table of Contents</w:t>
          </w:r>
        </w:p>
        <w:p w14:paraId="0EF83B87" w14:textId="73CEC843" w:rsidR="00C22C45" w:rsidRPr="00C22C45" w:rsidRDefault="002D2272">
          <w:pPr>
            <w:pStyle w:val="TOC2"/>
            <w:tabs>
              <w:tab w:val="right" w:leader="dot" w:pos="9350"/>
            </w:tabs>
            <w:rPr>
              <w:rFonts w:ascii="Arial" w:eastAsiaTheme="minorEastAsia" w:hAnsi="Arial" w:cs="Arial"/>
              <w:noProof/>
            </w:rPr>
          </w:pPr>
          <w:r w:rsidRPr="00C22C45">
            <w:rPr>
              <w:rFonts w:ascii="Arial" w:hAnsi="Arial" w:cs="Arial"/>
            </w:rPr>
            <w:fldChar w:fldCharType="begin"/>
          </w:r>
          <w:r w:rsidRPr="00C22C45">
            <w:rPr>
              <w:rFonts w:ascii="Arial" w:hAnsi="Arial" w:cs="Arial"/>
            </w:rPr>
            <w:instrText xml:space="preserve"> TOC \o "1-3" \h \z \u </w:instrText>
          </w:r>
          <w:r w:rsidRPr="00C22C45">
            <w:rPr>
              <w:rFonts w:ascii="Arial" w:hAnsi="Arial" w:cs="Arial"/>
            </w:rPr>
            <w:fldChar w:fldCharType="separate"/>
          </w:r>
          <w:hyperlink w:anchor="_Toc217322926" w:history="1">
            <w:r w:rsidR="00C22C45" w:rsidRPr="00C22C45">
              <w:rPr>
                <w:rStyle w:val="Hyperlink"/>
                <w:rFonts w:ascii="Arial" w:hAnsi="Arial" w:cs="Arial"/>
                <w:noProof/>
              </w:rPr>
              <w:t>1.0 INTRODUCTION</w:t>
            </w:r>
            <w:r w:rsidR="00C22C45" w:rsidRPr="00C22C45">
              <w:rPr>
                <w:rFonts w:ascii="Arial" w:hAnsi="Arial" w:cs="Arial"/>
                <w:noProof/>
                <w:webHidden/>
              </w:rPr>
              <w:tab/>
            </w:r>
            <w:r w:rsidR="00C22C45" w:rsidRPr="00C22C45">
              <w:rPr>
                <w:rFonts w:ascii="Arial" w:hAnsi="Arial" w:cs="Arial"/>
                <w:noProof/>
                <w:webHidden/>
              </w:rPr>
              <w:fldChar w:fldCharType="begin"/>
            </w:r>
            <w:r w:rsidR="00C22C45" w:rsidRPr="00C22C45">
              <w:rPr>
                <w:rFonts w:ascii="Arial" w:hAnsi="Arial" w:cs="Arial"/>
                <w:noProof/>
                <w:webHidden/>
              </w:rPr>
              <w:instrText xml:space="preserve"> PAGEREF _Toc217322926 \h </w:instrText>
            </w:r>
            <w:r w:rsidR="00C22C45" w:rsidRPr="00C22C45">
              <w:rPr>
                <w:rFonts w:ascii="Arial" w:hAnsi="Arial" w:cs="Arial"/>
                <w:noProof/>
                <w:webHidden/>
              </w:rPr>
            </w:r>
            <w:r w:rsidR="00C22C45" w:rsidRPr="00C22C45">
              <w:rPr>
                <w:rFonts w:ascii="Arial" w:hAnsi="Arial" w:cs="Arial"/>
                <w:noProof/>
                <w:webHidden/>
              </w:rPr>
              <w:fldChar w:fldCharType="separate"/>
            </w:r>
            <w:r w:rsidR="00C22C45" w:rsidRPr="00C22C45">
              <w:rPr>
                <w:rFonts w:ascii="Arial" w:hAnsi="Arial" w:cs="Arial"/>
                <w:noProof/>
                <w:webHidden/>
              </w:rPr>
              <w:t>3</w:t>
            </w:r>
            <w:r w:rsidR="00C22C45" w:rsidRPr="00C22C45">
              <w:rPr>
                <w:rFonts w:ascii="Arial" w:hAnsi="Arial" w:cs="Arial"/>
                <w:noProof/>
                <w:webHidden/>
              </w:rPr>
              <w:fldChar w:fldCharType="end"/>
            </w:r>
          </w:hyperlink>
        </w:p>
        <w:p w14:paraId="64105427" w14:textId="6CD4F5A5" w:rsidR="00C22C45" w:rsidRPr="00C22C45" w:rsidRDefault="00C22C45">
          <w:pPr>
            <w:pStyle w:val="TOC2"/>
            <w:tabs>
              <w:tab w:val="right" w:leader="dot" w:pos="9350"/>
            </w:tabs>
            <w:rPr>
              <w:rFonts w:ascii="Arial" w:eastAsiaTheme="minorEastAsia" w:hAnsi="Arial" w:cs="Arial"/>
              <w:noProof/>
            </w:rPr>
          </w:pPr>
          <w:hyperlink w:anchor="_Toc217322927" w:history="1">
            <w:r w:rsidRPr="00C22C45">
              <w:rPr>
                <w:rStyle w:val="Hyperlink"/>
                <w:rFonts w:ascii="Arial" w:hAnsi="Arial" w:cs="Arial"/>
                <w:noProof/>
              </w:rPr>
              <w:t>2.0 FINANCIAL DATA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_Toc217322927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3</w:t>
            </w:r>
            <w:r w:rsidRPr="00C22C45">
              <w:rPr>
                <w:rFonts w:ascii="Arial" w:hAnsi="Arial" w:cs="Arial"/>
                <w:noProof/>
                <w:webHidden/>
              </w:rPr>
              <w:fldChar w:fldCharType="end"/>
            </w:r>
          </w:hyperlink>
        </w:p>
        <w:p w14:paraId="61793927" w14:textId="7D548FA9" w:rsidR="00C22C45" w:rsidRPr="00C22C45" w:rsidRDefault="00C22C45">
          <w:pPr>
            <w:pStyle w:val="TOC3"/>
            <w:tabs>
              <w:tab w:val="right" w:leader="dot" w:pos="9350"/>
            </w:tabs>
            <w:rPr>
              <w:rFonts w:ascii="Arial" w:eastAsiaTheme="minorEastAsia" w:hAnsi="Arial" w:cs="Arial"/>
              <w:noProof/>
            </w:rPr>
          </w:pPr>
          <w:hyperlink w:anchor="_Toc217322928" w:history="1">
            <w:r w:rsidRPr="00C22C45">
              <w:rPr>
                <w:rStyle w:val="Hyperlink"/>
                <w:rFonts w:ascii="Arial" w:hAnsi="Arial" w:cs="Arial"/>
                <w:noProof/>
              </w:rPr>
              <w:t>2.1 Profitability Ratio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_Toc217322928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3</w:t>
            </w:r>
            <w:r w:rsidRPr="00C22C45">
              <w:rPr>
                <w:rFonts w:ascii="Arial" w:hAnsi="Arial" w:cs="Arial"/>
                <w:noProof/>
                <w:webHidden/>
              </w:rPr>
              <w:fldChar w:fldCharType="end"/>
            </w:r>
          </w:hyperlink>
        </w:p>
        <w:p w14:paraId="029276F9" w14:textId="44EADC0A" w:rsidR="00C22C45" w:rsidRPr="00C22C45" w:rsidRDefault="00C22C45">
          <w:pPr>
            <w:pStyle w:val="TOC3"/>
            <w:tabs>
              <w:tab w:val="right" w:leader="dot" w:pos="9350"/>
            </w:tabs>
            <w:rPr>
              <w:rFonts w:ascii="Arial" w:eastAsiaTheme="minorEastAsia" w:hAnsi="Arial" w:cs="Arial"/>
              <w:noProof/>
            </w:rPr>
          </w:pPr>
          <w:hyperlink w:anchor="_Toc217322929" w:history="1">
            <w:r w:rsidRPr="00C22C45">
              <w:rPr>
                <w:rStyle w:val="Hyperlink"/>
                <w:rFonts w:ascii="Arial" w:hAnsi="Arial" w:cs="Arial"/>
                <w:noProof/>
              </w:rPr>
              <w:t>2.2 Liquidity Ratio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_Toc217322929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4</w:t>
            </w:r>
            <w:r w:rsidRPr="00C22C45">
              <w:rPr>
                <w:rFonts w:ascii="Arial" w:hAnsi="Arial" w:cs="Arial"/>
                <w:noProof/>
                <w:webHidden/>
              </w:rPr>
              <w:fldChar w:fldCharType="end"/>
            </w:r>
          </w:hyperlink>
        </w:p>
        <w:p w14:paraId="47EACDDA" w14:textId="45164A6A" w:rsidR="00C22C45" w:rsidRPr="00C22C45" w:rsidRDefault="00C22C45">
          <w:pPr>
            <w:pStyle w:val="TOC3"/>
            <w:tabs>
              <w:tab w:val="right" w:leader="dot" w:pos="9350"/>
            </w:tabs>
            <w:rPr>
              <w:rFonts w:ascii="Arial" w:eastAsiaTheme="minorEastAsia" w:hAnsi="Arial" w:cs="Arial"/>
              <w:noProof/>
            </w:rPr>
          </w:pPr>
          <w:hyperlink w:anchor="_Toc217322930" w:history="1">
            <w:r w:rsidRPr="00C22C45">
              <w:rPr>
                <w:rStyle w:val="Hyperlink"/>
                <w:rFonts w:ascii="Arial" w:hAnsi="Arial" w:cs="Arial"/>
                <w:noProof/>
              </w:rPr>
              <w:t>2.3 Efficiency Ratio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_Toc217322930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5</w:t>
            </w:r>
            <w:r w:rsidRPr="00C22C45">
              <w:rPr>
                <w:rFonts w:ascii="Arial" w:hAnsi="Arial" w:cs="Arial"/>
                <w:noProof/>
                <w:webHidden/>
              </w:rPr>
              <w:fldChar w:fldCharType="end"/>
            </w:r>
          </w:hyperlink>
        </w:p>
        <w:p w14:paraId="15E80229" w14:textId="546B534C" w:rsidR="00C22C45" w:rsidRPr="00C22C45" w:rsidRDefault="00C22C45">
          <w:pPr>
            <w:pStyle w:val="TOC3"/>
            <w:tabs>
              <w:tab w:val="right" w:leader="dot" w:pos="9350"/>
            </w:tabs>
            <w:rPr>
              <w:rFonts w:ascii="Arial" w:eastAsiaTheme="minorEastAsia" w:hAnsi="Arial" w:cs="Arial"/>
              <w:noProof/>
            </w:rPr>
          </w:pPr>
          <w:hyperlink w:anchor="_Toc217322931" w:history="1">
            <w:r w:rsidRPr="00C22C45">
              <w:rPr>
                <w:rStyle w:val="Hyperlink"/>
                <w:rFonts w:ascii="Arial" w:hAnsi="Arial" w:cs="Arial"/>
                <w:noProof/>
              </w:rPr>
              <w:t>2.4 Leverage and Solvency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_Toc217322931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7</w:t>
            </w:r>
            <w:r w:rsidRPr="00C22C45">
              <w:rPr>
                <w:rFonts w:ascii="Arial" w:hAnsi="Arial" w:cs="Arial"/>
                <w:noProof/>
                <w:webHidden/>
              </w:rPr>
              <w:fldChar w:fldCharType="end"/>
            </w:r>
          </w:hyperlink>
        </w:p>
        <w:p w14:paraId="00A7A0D6" w14:textId="6C768DD7" w:rsidR="00C22C45" w:rsidRPr="00C22C45" w:rsidRDefault="00C22C45">
          <w:pPr>
            <w:pStyle w:val="TOC3"/>
            <w:tabs>
              <w:tab w:val="right" w:leader="dot" w:pos="9350"/>
            </w:tabs>
            <w:rPr>
              <w:rFonts w:ascii="Arial" w:eastAsiaTheme="minorEastAsia" w:hAnsi="Arial" w:cs="Arial"/>
              <w:noProof/>
            </w:rPr>
          </w:pPr>
          <w:hyperlink w:anchor="_Toc217322932" w:history="1">
            <w:r w:rsidRPr="00C22C45">
              <w:rPr>
                <w:rStyle w:val="Hyperlink"/>
                <w:rFonts w:ascii="Arial" w:hAnsi="Arial" w:cs="Arial"/>
                <w:noProof/>
              </w:rPr>
              <w:t>2.5 Corporate Failure Prediction: Altman Z-Score</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_Toc217322932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8</w:t>
            </w:r>
            <w:r w:rsidRPr="00C22C45">
              <w:rPr>
                <w:rFonts w:ascii="Arial" w:hAnsi="Arial" w:cs="Arial"/>
                <w:noProof/>
                <w:webHidden/>
              </w:rPr>
              <w:fldChar w:fldCharType="end"/>
            </w:r>
          </w:hyperlink>
        </w:p>
        <w:p w14:paraId="39D1DF39" w14:textId="7AB0CCCE" w:rsidR="00C22C45" w:rsidRPr="00C22C45" w:rsidRDefault="00C22C45">
          <w:pPr>
            <w:pStyle w:val="TOC2"/>
            <w:tabs>
              <w:tab w:val="right" w:leader="dot" w:pos="9350"/>
            </w:tabs>
            <w:rPr>
              <w:rFonts w:ascii="Arial" w:eastAsiaTheme="minorEastAsia" w:hAnsi="Arial" w:cs="Arial"/>
              <w:noProof/>
            </w:rPr>
          </w:pPr>
          <w:hyperlink w:anchor="_Toc217322933" w:history="1">
            <w:r w:rsidRPr="00C22C45">
              <w:rPr>
                <w:rStyle w:val="Hyperlink"/>
                <w:rFonts w:ascii="Arial" w:hAnsi="Arial" w:cs="Arial"/>
                <w:noProof/>
              </w:rPr>
              <w:t>3.0 WORKING CAPITAL MANAGEMENT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_Toc217322933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8</w:t>
            </w:r>
            <w:r w:rsidRPr="00C22C45">
              <w:rPr>
                <w:rFonts w:ascii="Arial" w:hAnsi="Arial" w:cs="Arial"/>
                <w:noProof/>
                <w:webHidden/>
              </w:rPr>
              <w:fldChar w:fldCharType="end"/>
            </w:r>
          </w:hyperlink>
        </w:p>
        <w:p w14:paraId="436D715D" w14:textId="3DB26839" w:rsidR="00C22C45" w:rsidRPr="00C22C45" w:rsidRDefault="00C22C45">
          <w:pPr>
            <w:pStyle w:val="TOC3"/>
            <w:tabs>
              <w:tab w:val="right" w:leader="dot" w:pos="9350"/>
            </w:tabs>
            <w:rPr>
              <w:rFonts w:ascii="Arial" w:eastAsiaTheme="minorEastAsia" w:hAnsi="Arial" w:cs="Arial"/>
              <w:noProof/>
            </w:rPr>
          </w:pPr>
          <w:hyperlink w:anchor="_Toc217322934" w:history="1">
            <w:r w:rsidRPr="00C22C45">
              <w:rPr>
                <w:rStyle w:val="Hyperlink"/>
                <w:rFonts w:ascii="Arial" w:hAnsi="Arial" w:cs="Arial"/>
                <w:noProof/>
              </w:rPr>
              <w:t>3.1 Cash Operating Cycle and Working Capital Implications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_Toc217322934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8</w:t>
            </w:r>
            <w:r w:rsidRPr="00C22C45">
              <w:rPr>
                <w:rFonts w:ascii="Arial" w:hAnsi="Arial" w:cs="Arial"/>
                <w:noProof/>
                <w:webHidden/>
              </w:rPr>
              <w:fldChar w:fldCharType="end"/>
            </w:r>
          </w:hyperlink>
        </w:p>
        <w:p w14:paraId="58A2D20D" w14:textId="4FE630F4" w:rsidR="00C22C45" w:rsidRPr="00C22C45" w:rsidRDefault="00C22C45">
          <w:pPr>
            <w:pStyle w:val="TOC3"/>
            <w:tabs>
              <w:tab w:val="right" w:leader="dot" w:pos="9350"/>
            </w:tabs>
            <w:rPr>
              <w:rFonts w:ascii="Arial" w:eastAsiaTheme="minorEastAsia" w:hAnsi="Arial" w:cs="Arial"/>
              <w:noProof/>
            </w:rPr>
          </w:pPr>
          <w:hyperlink w:anchor="_Toc217322935" w:history="1">
            <w:r w:rsidRPr="00C22C45">
              <w:rPr>
                <w:rStyle w:val="Hyperlink"/>
                <w:rFonts w:ascii="Arial" w:hAnsi="Arial" w:cs="Arial"/>
                <w:noProof/>
              </w:rPr>
              <w:t>3.2 Component Analysis and Optimization Strategies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_Toc217322935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9</w:t>
            </w:r>
            <w:r w:rsidRPr="00C22C45">
              <w:rPr>
                <w:rFonts w:ascii="Arial" w:hAnsi="Arial" w:cs="Arial"/>
                <w:noProof/>
                <w:webHidden/>
              </w:rPr>
              <w:fldChar w:fldCharType="end"/>
            </w:r>
          </w:hyperlink>
        </w:p>
        <w:p w14:paraId="796131AF" w14:textId="16125F14" w:rsidR="00C22C45" w:rsidRPr="00C22C45" w:rsidRDefault="00C22C45">
          <w:pPr>
            <w:pStyle w:val="TOC3"/>
            <w:tabs>
              <w:tab w:val="right" w:leader="dot" w:pos="9350"/>
            </w:tabs>
            <w:rPr>
              <w:rFonts w:ascii="Arial" w:eastAsiaTheme="minorEastAsia" w:hAnsi="Arial" w:cs="Arial"/>
              <w:noProof/>
            </w:rPr>
          </w:pPr>
          <w:hyperlink w:anchor="_Toc217322936" w:history="1">
            <w:r w:rsidRPr="00C22C45">
              <w:rPr>
                <w:rStyle w:val="Hyperlink"/>
                <w:rFonts w:ascii="Arial" w:hAnsi="Arial" w:cs="Arial"/>
                <w:noProof/>
              </w:rPr>
              <w:t>3.3 Integrated Working Capital Optimization Model</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_Toc217322936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10</w:t>
            </w:r>
            <w:r w:rsidRPr="00C22C45">
              <w:rPr>
                <w:rFonts w:ascii="Arial" w:hAnsi="Arial" w:cs="Arial"/>
                <w:noProof/>
                <w:webHidden/>
              </w:rPr>
              <w:fldChar w:fldCharType="end"/>
            </w:r>
          </w:hyperlink>
        </w:p>
        <w:p w14:paraId="20BBF52C" w14:textId="5EB479AA" w:rsidR="00C22C45" w:rsidRPr="00C22C45" w:rsidRDefault="00C22C45">
          <w:pPr>
            <w:pStyle w:val="TOC2"/>
            <w:tabs>
              <w:tab w:val="right" w:leader="dot" w:pos="9350"/>
            </w:tabs>
            <w:rPr>
              <w:rFonts w:ascii="Arial" w:eastAsiaTheme="minorEastAsia" w:hAnsi="Arial" w:cs="Arial"/>
              <w:noProof/>
            </w:rPr>
          </w:pPr>
          <w:hyperlink w:anchor="_Toc217322937" w:history="1">
            <w:r w:rsidRPr="00C22C45">
              <w:rPr>
                <w:rStyle w:val="Hyperlink"/>
                <w:rFonts w:ascii="Arial" w:hAnsi="Arial" w:cs="Arial"/>
                <w:noProof/>
              </w:rPr>
              <w:t>4.0 STRATEGIC FINANCIAL RESTRUCTURING PLAN</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_Toc217322937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11</w:t>
            </w:r>
            <w:r w:rsidRPr="00C22C45">
              <w:rPr>
                <w:rFonts w:ascii="Arial" w:hAnsi="Arial" w:cs="Arial"/>
                <w:noProof/>
                <w:webHidden/>
              </w:rPr>
              <w:fldChar w:fldCharType="end"/>
            </w:r>
          </w:hyperlink>
        </w:p>
        <w:p w14:paraId="65B9505B" w14:textId="3DB11AA1" w:rsidR="00C22C45" w:rsidRPr="00C22C45" w:rsidRDefault="00C22C45">
          <w:pPr>
            <w:pStyle w:val="TOC3"/>
            <w:tabs>
              <w:tab w:val="right" w:leader="dot" w:pos="9350"/>
            </w:tabs>
            <w:rPr>
              <w:rFonts w:ascii="Arial" w:eastAsiaTheme="minorEastAsia" w:hAnsi="Arial" w:cs="Arial"/>
              <w:noProof/>
            </w:rPr>
          </w:pPr>
          <w:hyperlink w:anchor="_Toc217322938" w:history="1">
            <w:r w:rsidRPr="00C22C45">
              <w:rPr>
                <w:rStyle w:val="Hyperlink"/>
                <w:rFonts w:ascii="Arial" w:hAnsi="Arial" w:cs="Arial"/>
                <w:noProof/>
              </w:rPr>
              <w:t>4.1 Restructuring Imperatives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_Toc217322938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11</w:t>
            </w:r>
            <w:r w:rsidRPr="00C22C45">
              <w:rPr>
                <w:rFonts w:ascii="Arial" w:hAnsi="Arial" w:cs="Arial"/>
                <w:noProof/>
                <w:webHidden/>
              </w:rPr>
              <w:fldChar w:fldCharType="end"/>
            </w:r>
          </w:hyperlink>
        </w:p>
        <w:p w14:paraId="114C95D1" w14:textId="64ECD0D1" w:rsidR="00C22C45" w:rsidRPr="00C22C45" w:rsidRDefault="00C22C45">
          <w:pPr>
            <w:pStyle w:val="TOC3"/>
            <w:tabs>
              <w:tab w:val="right" w:leader="dot" w:pos="9350"/>
            </w:tabs>
            <w:rPr>
              <w:rFonts w:ascii="Arial" w:eastAsiaTheme="minorEastAsia" w:hAnsi="Arial" w:cs="Arial"/>
              <w:noProof/>
            </w:rPr>
          </w:pPr>
          <w:hyperlink w:anchor="_Toc217322939" w:history="1">
            <w:r w:rsidRPr="00C22C45">
              <w:rPr>
                <w:rStyle w:val="Hyperlink"/>
                <w:rFonts w:ascii="Arial" w:hAnsi="Arial" w:cs="Arial"/>
                <w:noProof/>
              </w:rPr>
              <w:t>4.2 Asset Rationalisation and Divestiture Strategy</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_Toc217322939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11</w:t>
            </w:r>
            <w:r w:rsidRPr="00C22C45">
              <w:rPr>
                <w:rFonts w:ascii="Arial" w:hAnsi="Arial" w:cs="Arial"/>
                <w:noProof/>
                <w:webHidden/>
              </w:rPr>
              <w:fldChar w:fldCharType="end"/>
            </w:r>
          </w:hyperlink>
        </w:p>
        <w:p w14:paraId="421C35D6" w14:textId="6752C3D4" w:rsidR="00C22C45" w:rsidRPr="00C22C45" w:rsidRDefault="00C22C45">
          <w:pPr>
            <w:pStyle w:val="TOC3"/>
            <w:tabs>
              <w:tab w:val="right" w:leader="dot" w:pos="9350"/>
            </w:tabs>
            <w:rPr>
              <w:rFonts w:ascii="Arial" w:eastAsiaTheme="minorEastAsia" w:hAnsi="Arial" w:cs="Arial"/>
              <w:noProof/>
            </w:rPr>
          </w:pPr>
          <w:hyperlink w:anchor="_Toc217322940" w:history="1">
            <w:r w:rsidRPr="00C22C45">
              <w:rPr>
                <w:rStyle w:val="Hyperlink"/>
                <w:rFonts w:ascii="Arial" w:hAnsi="Arial" w:cs="Arial"/>
                <w:noProof/>
              </w:rPr>
              <w:t>4.3 Merger and Acquisition–Led Value Restoration</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_Toc217322940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13</w:t>
            </w:r>
            <w:r w:rsidRPr="00C22C45">
              <w:rPr>
                <w:rFonts w:ascii="Arial" w:hAnsi="Arial" w:cs="Arial"/>
                <w:noProof/>
                <w:webHidden/>
              </w:rPr>
              <w:fldChar w:fldCharType="end"/>
            </w:r>
          </w:hyperlink>
        </w:p>
        <w:p w14:paraId="4F4A3473" w14:textId="1EFD3B3D" w:rsidR="00C22C45" w:rsidRPr="00C22C45" w:rsidRDefault="00C22C45">
          <w:pPr>
            <w:pStyle w:val="TOC3"/>
            <w:tabs>
              <w:tab w:val="right" w:leader="dot" w:pos="9350"/>
            </w:tabs>
            <w:rPr>
              <w:rFonts w:ascii="Arial" w:eastAsiaTheme="minorEastAsia" w:hAnsi="Arial" w:cs="Arial"/>
              <w:noProof/>
            </w:rPr>
          </w:pPr>
          <w:hyperlink w:anchor="_Toc217322941" w:history="1">
            <w:r w:rsidRPr="00C22C45">
              <w:rPr>
                <w:rStyle w:val="Hyperlink"/>
                <w:rFonts w:ascii="Arial" w:hAnsi="Arial" w:cs="Arial"/>
                <w:noProof/>
              </w:rPr>
              <w:t>4.4 Equity Recapitalisation and Financial Stability</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_Toc217322941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14</w:t>
            </w:r>
            <w:r w:rsidRPr="00C22C45">
              <w:rPr>
                <w:rFonts w:ascii="Arial" w:hAnsi="Arial" w:cs="Arial"/>
                <w:noProof/>
                <w:webHidden/>
              </w:rPr>
              <w:fldChar w:fldCharType="end"/>
            </w:r>
          </w:hyperlink>
        </w:p>
        <w:p w14:paraId="6CCAF438" w14:textId="6F8F7F8A" w:rsidR="00C22C45" w:rsidRPr="00C22C45" w:rsidRDefault="00C22C45">
          <w:pPr>
            <w:pStyle w:val="TOC3"/>
            <w:tabs>
              <w:tab w:val="right" w:leader="dot" w:pos="9350"/>
            </w:tabs>
            <w:rPr>
              <w:rFonts w:ascii="Arial" w:eastAsiaTheme="minorEastAsia" w:hAnsi="Arial" w:cs="Arial"/>
              <w:noProof/>
            </w:rPr>
          </w:pPr>
          <w:hyperlink w:anchor="_Toc217322942" w:history="1">
            <w:r w:rsidRPr="00C22C45">
              <w:rPr>
                <w:rStyle w:val="Hyperlink"/>
                <w:rFonts w:ascii="Arial" w:hAnsi="Arial" w:cs="Arial"/>
                <w:noProof/>
              </w:rPr>
              <w:t>4.5 International Financial and Ethical Considerations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_Toc217322942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15</w:t>
            </w:r>
            <w:r w:rsidRPr="00C22C45">
              <w:rPr>
                <w:rFonts w:ascii="Arial" w:hAnsi="Arial" w:cs="Arial"/>
                <w:noProof/>
                <w:webHidden/>
              </w:rPr>
              <w:fldChar w:fldCharType="end"/>
            </w:r>
          </w:hyperlink>
        </w:p>
        <w:p w14:paraId="4107FD62" w14:textId="6B170667" w:rsidR="00C22C45" w:rsidRPr="00C22C45" w:rsidRDefault="00C22C45">
          <w:pPr>
            <w:pStyle w:val="TOC3"/>
            <w:tabs>
              <w:tab w:val="right" w:leader="dot" w:pos="9350"/>
            </w:tabs>
            <w:rPr>
              <w:rFonts w:ascii="Arial" w:eastAsiaTheme="minorEastAsia" w:hAnsi="Arial" w:cs="Arial"/>
              <w:noProof/>
            </w:rPr>
          </w:pPr>
          <w:hyperlink w:anchor="_Toc217322943" w:history="1">
            <w:r w:rsidRPr="00C22C45">
              <w:rPr>
                <w:rStyle w:val="Hyperlink"/>
                <w:rFonts w:ascii="Arial" w:hAnsi="Arial" w:cs="Arial"/>
                <w:noProof/>
              </w:rPr>
              <w:t>4.6 Strategic Restructuring Recommendation</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_Toc217322943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16</w:t>
            </w:r>
            <w:r w:rsidRPr="00C22C45">
              <w:rPr>
                <w:rFonts w:ascii="Arial" w:hAnsi="Arial" w:cs="Arial"/>
                <w:noProof/>
                <w:webHidden/>
              </w:rPr>
              <w:fldChar w:fldCharType="end"/>
            </w:r>
          </w:hyperlink>
        </w:p>
        <w:p w14:paraId="6A9067F3" w14:textId="7AF11A1D" w:rsidR="00C22C45" w:rsidRPr="00C22C45" w:rsidRDefault="00C22C45">
          <w:pPr>
            <w:pStyle w:val="TOC2"/>
            <w:tabs>
              <w:tab w:val="right" w:leader="dot" w:pos="9350"/>
            </w:tabs>
            <w:rPr>
              <w:rFonts w:ascii="Arial" w:eastAsiaTheme="minorEastAsia" w:hAnsi="Arial" w:cs="Arial"/>
              <w:noProof/>
            </w:rPr>
          </w:pPr>
          <w:hyperlink w:anchor="_Toc217322944" w:history="1">
            <w:r w:rsidRPr="00C22C45">
              <w:rPr>
                <w:rStyle w:val="Hyperlink"/>
                <w:rFonts w:ascii="Arial" w:hAnsi="Arial" w:cs="Arial"/>
                <w:noProof/>
              </w:rPr>
              <w:t>5.0 INVESTMENT APPRAISAL AND CAPITAL BUDGETING</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_Toc217322944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16</w:t>
            </w:r>
            <w:r w:rsidRPr="00C22C45">
              <w:rPr>
                <w:rFonts w:ascii="Arial" w:hAnsi="Arial" w:cs="Arial"/>
                <w:noProof/>
                <w:webHidden/>
              </w:rPr>
              <w:fldChar w:fldCharType="end"/>
            </w:r>
          </w:hyperlink>
        </w:p>
        <w:p w14:paraId="40F0BCD4" w14:textId="58FEEA06" w:rsidR="00C22C45" w:rsidRPr="00C22C45" w:rsidRDefault="00C22C45">
          <w:pPr>
            <w:pStyle w:val="TOC3"/>
            <w:tabs>
              <w:tab w:val="right" w:leader="dot" w:pos="9350"/>
            </w:tabs>
            <w:rPr>
              <w:rFonts w:ascii="Arial" w:eastAsiaTheme="minorEastAsia" w:hAnsi="Arial" w:cs="Arial"/>
              <w:noProof/>
            </w:rPr>
          </w:pPr>
          <w:hyperlink w:anchor="_Toc217322945" w:history="1">
            <w:r w:rsidRPr="00C22C45">
              <w:rPr>
                <w:rStyle w:val="Hyperlink"/>
                <w:rFonts w:ascii="Arial" w:hAnsi="Arial" w:cs="Arial"/>
                <w:noProof/>
              </w:rPr>
              <w:t>5.1 Capital Budgeting Framework</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_Toc217322945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16</w:t>
            </w:r>
            <w:r w:rsidRPr="00C22C45">
              <w:rPr>
                <w:rFonts w:ascii="Arial" w:hAnsi="Arial" w:cs="Arial"/>
                <w:noProof/>
                <w:webHidden/>
              </w:rPr>
              <w:fldChar w:fldCharType="end"/>
            </w:r>
          </w:hyperlink>
        </w:p>
        <w:p w14:paraId="6E88EBE7" w14:textId="691C57B2" w:rsidR="00C22C45" w:rsidRPr="00C22C45" w:rsidRDefault="00C22C45">
          <w:pPr>
            <w:pStyle w:val="TOC3"/>
            <w:tabs>
              <w:tab w:val="right" w:leader="dot" w:pos="9350"/>
            </w:tabs>
            <w:rPr>
              <w:rFonts w:ascii="Arial" w:eastAsiaTheme="minorEastAsia" w:hAnsi="Arial" w:cs="Arial"/>
              <w:noProof/>
            </w:rPr>
          </w:pPr>
          <w:hyperlink w:anchor="_Toc217322946" w:history="1">
            <w:r w:rsidRPr="00C22C45">
              <w:rPr>
                <w:rStyle w:val="Hyperlink"/>
                <w:rFonts w:ascii="Arial" w:hAnsi="Arial" w:cs="Arial"/>
                <w:noProof/>
              </w:rPr>
              <w:t>5.2 Project Cash Flow Data and Payback Period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_Toc217322946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17</w:t>
            </w:r>
            <w:r w:rsidRPr="00C22C45">
              <w:rPr>
                <w:rFonts w:ascii="Arial" w:hAnsi="Arial" w:cs="Arial"/>
                <w:noProof/>
                <w:webHidden/>
              </w:rPr>
              <w:fldChar w:fldCharType="end"/>
            </w:r>
          </w:hyperlink>
        </w:p>
        <w:p w14:paraId="15CEE36C" w14:textId="0FE38DB6" w:rsidR="00C22C45" w:rsidRPr="00C22C45" w:rsidRDefault="00C22C45">
          <w:pPr>
            <w:pStyle w:val="TOC3"/>
            <w:tabs>
              <w:tab w:val="right" w:leader="dot" w:pos="9350"/>
            </w:tabs>
            <w:rPr>
              <w:rFonts w:ascii="Arial" w:eastAsiaTheme="minorEastAsia" w:hAnsi="Arial" w:cs="Arial"/>
              <w:noProof/>
            </w:rPr>
          </w:pPr>
          <w:hyperlink w:anchor="_Toc217322947" w:history="1">
            <w:r w:rsidRPr="00C22C45">
              <w:rPr>
                <w:rStyle w:val="Hyperlink"/>
                <w:rFonts w:ascii="Arial" w:hAnsi="Arial" w:cs="Arial"/>
                <w:noProof/>
              </w:rPr>
              <w:t>5.3 Accounting Rate of Return (ARR)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_Toc217322947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18</w:t>
            </w:r>
            <w:r w:rsidRPr="00C22C45">
              <w:rPr>
                <w:rFonts w:ascii="Arial" w:hAnsi="Arial" w:cs="Arial"/>
                <w:noProof/>
                <w:webHidden/>
              </w:rPr>
              <w:fldChar w:fldCharType="end"/>
            </w:r>
          </w:hyperlink>
        </w:p>
        <w:p w14:paraId="3CF76C4B" w14:textId="751D1191" w:rsidR="00C22C45" w:rsidRPr="00C22C45" w:rsidRDefault="00C22C45">
          <w:pPr>
            <w:pStyle w:val="TOC3"/>
            <w:tabs>
              <w:tab w:val="right" w:leader="dot" w:pos="9350"/>
            </w:tabs>
            <w:rPr>
              <w:rFonts w:ascii="Arial" w:eastAsiaTheme="minorEastAsia" w:hAnsi="Arial" w:cs="Arial"/>
              <w:noProof/>
            </w:rPr>
          </w:pPr>
          <w:hyperlink w:anchor="_Toc217322948" w:history="1">
            <w:r w:rsidRPr="00C22C45">
              <w:rPr>
                <w:rStyle w:val="Hyperlink"/>
                <w:rFonts w:ascii="Arial" w:hAnsi="Arial" w:cs="Arial"/>
                <w:noProof/>
              </w:rPr>
              <w:t>5.4 Net Present Value (NPV)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_Toc217322948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19</w:t>
            </w:r>
            <w:r w:rsidRPr="00C22C45">
              <w:rPr>
                <w:rFonts w:ascii="Arial" w:hAnsi="Arial" w:cs="Arial"/>
                <w:noProof/>
                <w:webHidden/>
              </w:rPr>
              <w:fldChar w:fldCharType="end"/>
            </w:r>
          </w:hyperlink>
        </w:p>
        <w:p w14:paraId="7B024CB7" w14:textId="5885F32B" w:rsidR="00C22C45" w:rsidRPr="00C22C45" w:rsidRDefault="00C22C45">
          <w:pPr>
            <w:pStyle w:val="TOC3"/>
            <w:tabs>
              <w:tab w:val="right" w:leader="dot" w:pos="9350"/>
            </w:tabs>
            <w:rPr>
              <w:rFonts w:ascii="Arial" w:eastAsiaTheme="minorEastAsia" w:hAnsi="Arial" w:cs="Arial"/>
              <w:noProof/>
            </w:rPr>
          </w:pPr>
          <w:hyperlink w:anchor="_Toc217322949" w:history="1">
            <w:r w:rsidRPr="00C22C45">
              <w:rPr>
                <w:rStyle w:val="Hyperlink"/>
                <w:rFonts w:ascii="Arial" w:hAnsi="Arial" w:cs="Arial"/>
                <w:noProof/>
              </w:rPr>
              <w:t>5.5 Profitability Index (PI)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_Toc217322949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20</w:t>
            </w:r>
            <w:r w:rsidRPr="00C22C45">
              <w:rPr>
                <w:rFonts w:ascii="Arial" w:hAnsi="Arial" w:cs="Arial"/>
                <w:noProof/>
                <w:webHidden/>
              </w:rPr>
              <w:fldChar w:fldCharType="end"/>
            </w:r>
          </w:hyperlink>
        </w:p>
        <w:p w14:paraId="2245EFA9" w14:textId="1CA4D874" w:rsidR="00C22C45" w:rsidRPr="00C22C45" w:rsidRDefault="00C22C45">
          <w:pPr>
            <w:pStyle w:val="TOC3"/>
            <w:tabs>
              <w:tab w:val="right" w:leader="dot" w:pos="9350"/>
            </w:tabs>
            <w:rPr>
              <w:rFonts w:ascii="Arial" w:eastAsiaTheme="minorEastAsia" w:hAnsi="Arial" w:cs="Arial"/>
              <w:noProof/>
            </w:rPr>
          </w:pPr>
          <w:hyperlink w:anchor="_Toc217322950" w:history="1">
            <w:r w:rsidRPr="00C22C45">
              <w:rPr>
                <w:rStyle w:val="Hyperlink"/>
                <w:rFonts w:ascii="Arial" w:hAnsi="Arial" w:cs="Arial"/>
                <w:noProof/>
              </w:rPr>
              <w:t>5.6 Internal Rate of Return (IRR) Analysis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_Toc217322950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20</w:t>
            </w:r>
            <w:r w:rsidRPr="00C22C45">
              <w:rPr>
                <w:rFonts w:ascii="Arial" w:hAnsi="Arial" w:cs="Arial"/>
                <w:noProof/>
                <w:webHidden/>
              </w:rPr>
              <w:fldChar w:fldCharType="end"/>
            </w:r>
          </w:hyperlink>
        </w:p>
        <w:p w14:paraId="7007DE83" w14:textId="3C053004" w:rsidR="00C22C45" w:rsidRPr="00C22C45" w:rsidRDefault="00C22C45">
          <w:pPr>
            <w:pStyle w:val="TOC3"/>
            <w:tabs>
              <w:tab w:val="right" w:leader="dot" w:pos="9350"/>
            </w:tabs>
            <w:rPr>
              <w:rFonts w:ascii="Arial" w:eastAsiaTheme="minorEastAsia" w:hAnsi="Arial" w:cs="Arial"/>
              <w:noProof/>
            </w:rPr>
          </w:pPr>
          <w:hyperlink w:anchor="_Toc217322951" w:history="1">
            <w:r w:rsidRPr="00C22C45">
              <w:rPr>
                <w:rStyle w:val="Hyperlink"/>
                <w:rFonts w:ascii="Arial" w:hAnsi="Arial" w:cs="Arial"/>
                <w:noProof/>
              </w:rPr>
              <w:t>5.7 Integrated Analysis and Capital Rationing Decision</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_Toc217322951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21</w:t>
            </w:r>
            <w:r w:rsidRPr="00C22C45">
              <w:rPr>
                <w:rFonts w:ascii="Arial" w:hAnsi="Arial" w:cs="Arial"/>
                <w:noProof/>
                <w:webHidden/>
              </w:rPr>
              <w:fldChar w:fldCharType="end"/>
            </w:r>
          </w:hyperlink>
        </w:p>
        <w:p w14:paraId="78F049AA" w14:textId="1F0E493F" w:rsidR="00C22C45" w:rsidRPr="00C22C45" w:rsidRDefault="00C22C45">
          <w:pPr>
            <w:pStyle w:val="TOC2"/>
            <w:tabs>
              <w:tab w:val="right" w:leader="dot" w:pos="9350"/>
            </w:tabs>
            <w:rPr>
              <w:rFonts w:ascii="Arial" w:eastAsiaTheme="minorEastAsia" w:hAnsi="Arial" w:cs="Arial"/>
              <w:noProof/>
            </w:rPr>
          </w:pPr>
          <w:hyperlink w:anchor="_Toc217322952" w:history="1">
            <w:r w:rsidRPr="00C22C45">
              <w:rPr>
                <w:rStyle w:val="Hyperlink"/>
                <w:rFonts w:ascii="Arial" w:hAnsi="Arial" w:cs="Arial"/>
                <w:noProof/>
              </w:rPr>
              <w:t>6.0 CONCLUSION</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_Toc217322952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22</w:t>
            </w:r>
            <w:r w:rsidRPr="00C22C45">
              <w:rPr>
                <w:rFonts w:ascii="Arial" w:hAnsi="Arial" w:cs="Arial"/>
                <w:noProof/>
                <w:webHidden/>
              </w:rPr>
              <w:fldChar w:fldCharType="end"/>
            </w:r>
          </w:hyperlink>
        </w:p>
        <w:p w14:paraId="3546E530" w14:textId="149998E3" w:rsidR="00C22C45" w:rsidRPr="00C22C45" w:rsidRDefault="00C22C45">
          <w:pPr>
            <w:pStyle w:val="TOC2"/>
            <w:tabs>
              <w:tab w:val="right" w:leader="dot" w:pos="9350"/>
            </w:tabs>
            <w:rPr>
              <w:rFonts w:ascii="Arial" w:eastAsiaTheme="minorEastAsia" w:hAnsi="Arial" w:cs="Arial"/>
              <w:noProof/>
            </w:rPr>
          </w:pPr>
          <w:hyperlink w:anchor="_Toc217322953" w:history="1">
            <w:r w:rsidRPr="00C22C45">
              <w:rPr>
                <w:rStyle w:val="Hyperlink"/>
                <w:rFonts w:ascii="Arial" w:hAnsi="Arial" w:cs="Arial"/>
                <w:noProof/>
              </w:rPr>
              <w:t>REFERENCES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_Toc217322953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22</w:t>
            </w:r>
            <w:r w:rsidRPr="00C22C45">
              <w:rPr>
                <w:rFonts w:ascii="Arial" w:hAnsi="Arial" w:cs="Arial"/>
                <w:noProof/>
                <w:webHidden/>
              </w:rPr>
              <w:fldChar w:fldCharType="end"/>
            </w:r>
          </w:hyperlink>
        </w:p>
        <w:p w14:paraId="7BD32199" w14:textId="6CED18C1" w:rsidR="00C22C45" w:rsidRPr="00C22C45" w:rsidRDefault="00C22C45">
          <w:pPr>
            <w:pStyle w:val="TOC2"/>
            <w:tabs>
              <w:tab w:val="right" w:leader="dot" w:pos="9350"/>
            </w:tabs>
            <w:rPr>
              <w:rFonts w:ascii="Arial" w:eastAsiaTheme="minorEastAsia" w:hAnsi="Arial" w:cs="Arial"/>
              <w:noProof/>
            </w:rPr>
          </w:pPr>
          <w:hyperlink w:anchor="_Toc217322954" w:history="1">
            <w:r w:rsidRPr="00C22C45">
              <w:rPr>
                <w:rStyle w:val="Hyperlink"/>
                <w:rFonts w:ascii="Arial" w:hAnsi="Arial" w:cs="Arial"/>
                <w:noProof/>
              </w:rPr>
              <w:t>APPENDICES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_Toc217322954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25</w:t>
            </w:r>
            <w:r w:rsidRPr="00C22C45">
              <w:rPr>
                <w:rFonts w:ascii="Arial" w:hAnsi="Arial" w:cs="Arial"/>
                <w:noProof/>
                <w:webHidden/>
              </w:rPr>
              <w:fldChar w:fldCharType="end"/>
            </w:r>
          </w:hyperlink>
        </w:p>
        <w:p w14:paraId="6DBCEF81" w14:textId="71105291" w:rsidR="00C22C45" w:rsidRPr="00C22C45" w:rsidRDefault="00C22C45">
          <w:pPr>
            <w:pStyle w:val="TOC3"/>
            <w:tabs>
              <w:tab w:val="right" w:leader="dot" w:pos="9350"/>
            </w:tabs>
            <w:rPr>
              <w:rFonts w:ascii="Arial" w:eastAsiaTheme="minorEastAsia" w:hAnsi="Arial" w:cs="Arial"/>
              <w:noProof/>
            </w:rPr>
          </w:pPr>
          <w:hyperlink w:anchor="_Toc217322955" w:history="1">
            <w:r w:rsidRPr="00C22C45">
              <w:rPr>
                <w:rStyle w:val="Hyperlink"/>
                <w:rFonts w:ascii="Arial" w:hAnsi="Arial" w:cs="Arial"/>
                <w:noProof/>
              </w:rPr>
              <w:t>APPENDIX A: DETAILED RATIO CALCULATIONS</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_Toc217322955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25</w:t>
            </w:r>
            <w:r w:rsidRPr="00C22C45">
              <w:rPr>
                <w:rFonts w:ascii="Arial" w:hAnsi="Arial" w:cs="Arial"/>
                <w:noProof/>
                <w:webHidden/>
              </w:rPr>
              <w:fldChar w:fldCharType="end"/>
            </w:r>
          </w:hyperlink>
        </w:p>
        <w:p w14:paraId="043D0AB3" w14:textId="39E64C97" w:rsidR="00C22C45" w:rsidRPr="00C22C45" w:rsidRDefault="00C22C45">
          <w:pPr>
            <w:pStyle w:val="TOC3"/>
            <w:tabs>
              <w:tab w:val="right" w:leader="dot" w:pos="9350"/>
            </w:tabs>
            <w:rPr>
              <w:rFonts w:ascii="Arial" w:eastAsiaTheme="minorEastAsia" w:hAnsi="Arial" w:cs="Arial"/>
              <w:noProof/>
            </w:rPr>
          </w:pPr>
          <w:hyperlink w:anchor="_Toc217322956" w:history="1">
            <w:r w:rsidRPr="00C22C45">
              <w:rPr>
                <w:rStyle w:val="Hyperlink"/>
                <w:rFonts w:ascii="Arial" w:hAnsi="Arial" w:cs="Arial"/>
                <w:noProof/>
              </w:rPr>
              <w:t>APPENDIX B: INVESTMENT APPRAISAL</w:t>
            </w:r>
            <w:r w:rsidRPr="00C22C45">
              <w:rPr>
                <w:rFonts w:ascii="Arial" w:hAnsi="Arial" w:cs="Arial"/>
                <w:noProof/>
                <w:webHidden/>
              </w:rPr>
              <w:tab/>
            </w:r>
            <w:r w:rsidRPr="00C22C45">
              <w:rPr>
                <w:rFonts w:ascii="Arial" w:hAnsi="Arial" w:cs="Arial"/>
                <w:noProof/>
                <w:webHidden/>
              </w:rPr>
              <w:fldChar w:fldCharType="begin"/>
            </w:r>
            <w:r w:rsidRPr="00C22C45">
              <w:rPr>
                <w:rFonts w:ascii="Arial" w:hAnsi="Arial" w:cs="Arial"/>
                <w:noProof/>
                <w:webHidden/>
              </w:rPr>
              <w:instrText xml:space="preserve"> PAGEREF _Toc217322956 \h </w:instrText>
            </w:r>
            <w:r w:rsidRPr="00C22C45">
              <w:rPr>
                <w:rFonts w:ascii="Arial" w:hAnsi="Arial" w:cs="Arial"/>
                <w:noProof/>
                <w:webHidden/>
              </w:rPr>
            </w:r>
            <w:r w:rsidRPr="00C22C45">
              <w:rPr>
                <w:rFonts w:ascii="Arial" w:hAnsi="Arial" w:cs="Arial"/>
                <w:noProof/>
                <w:webHidden/>
              </w:rPr>
              <w:fldChar w:fldCharType="separate"/>
            </w:r>
            <w:r w:rsidRPr="00C22C45">
              <w:rPr>
                <w:rFonts w:ascii="Arial" w:hAnsi="Arial" w:cs="Arial"/>
                <w:noProof/>
                <w:webHidden/>
              </w:rPr>
              <w:t>26</w:t>
            </w:r>
            <w:r w:rsidRPr="00C22C45">
              <w:rPr>
                <w:rFonts w:ascii="Arial" w:hAnsi="Arial" w:cs="Arial"/>
                <w:noProof/>
                <w:webHidden/>
              </w:rPr>
              <w:fldChar w:fldCharType="end"/>
            </w:r>
          </w:hyperlink>
        </w:p>
        <w:p w14:paraId="35B14490" w14:textId="34D0189F" w:rsidR="006D5B19" w:rsidRDefault="002D2272" w:rsidP="002D2272">
          <w:r w:rsidRPr="00C22C45">
            <w:rPr>
              <w:rFonts w:ascii="Arial" w:hAnsi="Arial" w:cs="Arial"/>
              <w:b/>
              <w:bCs/>
              <w:noProof/>
            </w:rPr>
            <w:fldChar w:fldCharType="end"/>
          </w:r>
        </w:p>
      </w:sdtContent>
    </w:sdt>
    <w:p w14:paraId="1934D574" w14:textId="77777777" w:rsidR="000956C4" w:rsidRPr="0030453B" w:rsidRDefault="000956C4" w:rsidP="000956C4">
      <w:pPr>
        <w:pStyle w:val="Heading2"/>
      </w:pPr>
      <w:bookmarkStart w:id="0" w:name="_Toc217322926"/>
      <w:r w:rsidRPr="0030453B">
        <w:lastRenderedPageBreak/>
        <w:t>1.0 INTRODUCTION</w:t>
      </w:r>
      <w:bookmarkEnd w:id="0"/>
    </w:p>
    <w:p w14:paraId="1AED86F4" w14:textId="751EC963" w:rsidR="000956C4" w:rsidRDefault="000956C4" w:rsidP="000956C4">
      <w:pPr>
        <w:spacing w:before="100" w:beforeAutospacing="1" w:after="100" w:afterAutospacing="1" w:line="276" w:lineRule="auto"/>
        <w:jc w:val="both"/>
        <w:rPr>
          <w:rFonts w:ascii="Arial" w:eastAsia="Times New Roman" w:hAnsi="Arial" w:cs="Arial"/>
          <w:sz w:val="24"/>
          <w:szCs w:val="24"/>
        </w:rPr>
      </w:pPr>
      <w:r w:rsidRPr="00A96693">
        <w:rPr>
          <w:rFonts w:ascii="Arial" w:eastAsia="Times New Roman" w:hAnsi="Arial" w:cs="Arial"/>
          <w:sz w:val="24"/>
          <w:szCs w:val="24"/>
        </w:rPr>
        <w:t>General Electronics, operating in the highly competitive consumer electronics industry with rapid technological cycles and narrow margins, has experienced significant financial deterioration between 2020 and 2024, necessitating urgent intervention to prevent insolvency. This report, prepared in the capacity of Chief Financial Officer, presents a comprehensive financial evaluation incorporating ratio analysis, corporate failure prediction models, and working capital optimization techniques. Additionally, investment opportunities are assessed under capital rationing using discounted cash flow methodologies. The analysis synthesizes five years of consolidated financial statements, applying contemporary financial management principles to identify operational inefficiencies, quantify financial distress, and develop evidence-based, actionable turnaround strategies for sustainable recovery.</w:t>
      </w:r>
    </w:p>
    <w:p w14:paraId="3920BE96" w14:textId="4BF96275" w:rsidR="00FC5051" w:rsidRPr="00FC5051" w:rsidRDefault="00FC5051" w:rsidP="00FC5051">
      <w:pPr>
        <w:pStyle w:val="Heading2"/>
      </w:pPr>
      <w:bookmarkStart w:id="1" w:name="_Toc217322927"/>
      <w:r w:rsidRPr="0030453B">
        <w:t xml:space="preserve">2.0 FINANCIAL </w:t>
      </w:r>
      <w:r w:rsidR="00C22C45">
        <w:t>DATA ANALYSIS</w:t>
      </w:r>
      <w:bookmarkEnd w:id="1"/>
    </w:p>
    <w:p w14:paraId="67816704" w14:textId="77777777" w:rsidR="00B21412" w:rsidRPr="0030453B" w:rsidRDefault="00B21412" w:rsidP="0030453B">
      <w:pPr>
        <w:pStyle w:val="Heading3"/>
      </w:pPr>
      <w:bookmarkStart w:id="2" w:name="_Toc217322928"/>
      <w:r w:rsidRPr="0030453B">
        <w:t>2.1 Profitability Ratio Analysis</w:t>
      </w:r>
      <w:bookmarkEnd w:id="2"/>
    </w:p>
    <w:p w14:paraId="70521DCE"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Profitability ratios assess management’s effectiveness in generating earnings from sales, assets, and shareholders’ equity, thereby reflecting the firm’s overall financial sustainability. An evaluation of General Electronics’ profitability over the period 2020–2024 reveals a pronounced and persistent deterioration, indicating fundamental operational and strategic weaknesses that require immediate corrective action.</w:t>
      </w:r>
    </w:p>
    <w:p w14:paraId="194E560F"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The gross profit margin, calculated as</w:t>
      </w:r>
    </w:p>
    <w:p w14:paraId="6D48386A" w14:textId="7FA2E78E" w:rsidR="00BD7EFB" w:rsidRPr="0030453B" w:rsidRDefault="00BD7EFB"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Gross Profit Margin</w:t>
      </w:r>
      <w:r w:rsidR="00F56F41" w:rsidRPr="0030453B">
        <w:rPr>
          <w:rFonts w:ascii="Arial" w:eastAsia="Times New Roman" w:hAnsi="Arial" w:cs="Arial"/>
          <w:sz w:val="24"/>
          <w:szCs w:val="24"/>
        </w:rPr>
        <w:t>= (</w:t>
      </w:r>
      <w:r w:rsidRPr="0030453B">
        <w:rPr>
          <w:rFonts w:ascii="Arial" w:eastAsia="Times New Roman" w:hAnsi="Arial" w:cs="Arial"/>
          <w:sz w:val="24"/>
          <w:szCs w:val="24"/>
        </w:rPr>
        <w:t>Gross Profit</w:t>
      </w:r>
      <w:r w:rsidR="00F56F41" w:rsidRPr="0030453B">
        <w:rPr>
          <w:rFonts w:ascii="Arial" w:eastAsia="Times New Roman" w:hAnsi="Arial" w:cs="Arial"/>
          <w:sz w:val="24"/>
          <w:szCs w:val="24"/>
        </w:rPr>
        <w:t>/</w:t>
      </w:r>
      <w:r w:rsidRPr="0030453B">
        <w:rPr>
          <w:rFonts w:ascii="Arial" w:eastAsia="Times New Roman" w:hAnsi="Arial" w:cs="Arial"/>
          <w:sz w:val="24"/>
          <w:szCs w:val="24"/>
        </w:rPr>
        <w:t>Net </w:t>
      </w:r>
      <w:r w:rsidR="00F56F41" w:rsidRPr="0030453B">
        <w:rPr>
          <w:rFonts w:ascii="Arial" w:eastAsia="Times New Roman" w:hAnsi="Arial" w:cs="Arial"/>
          <w:sz w:val="24"/>
          <w:szCs w:val="24"/>
        </w:rPr>
        <w:t>Sales) ×</w:t>
      </w:r>
      <w:r w:rsidRPr="0030453B">
        <w:rPr>
          <w:rFonts w:ascii="Arial" w:eastAsia="Times New Roman" w:hAnsi="Arial" w:cs="Arial"/>
          <w:sz w:val="24"/>
          <w:szCs w:val="24"/>
        </w:rPr>
        <w:t xml:space="preserve">100 </w:t>
      </w:r>
    </w:p>
    <w:p w14:paraId="06A938D7"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remained relatively stable at approximately 28% between 2020 and 2022, suggesting effective control over production costs during this period. However, the margin declined sharply to 23.20% in 2023, </w:t>
      </w:r>
      <w:proofErr w:type="spellStart"/>
      <w:r w:rsidRPr="0030453B">
        <w:rPr>
          <w:rFonts w:ascii="Arial" w:eastAsia="Times New Roman" w:hAnsi="Arial" w:cs="Arial"/>
          <w:sz w:val="24"/>
          <w:szCs w:val="24"/>
        </w:rPr>
        <w:t>signalling</w:t>
      </w:r>
      <w:proofErr w:type="spellEnd"/>
      <w:r w:rsidRPr="0030453B">
        <w:rPr>
          <w:rFonts w:ascii="Arial" w:eastAsia="Times New Roman" w:hAnsi="Arial" w:cs="Arial"/>
          <w:sz w:val="24"/>
          <w:szCs w:val="24"/>
        </w:rPr>
        <w:t xml:space="preserve"> either significant production inefficiencies or aggressive price discounting in response to competitive pressures. Although a recovery to 28.87% was observed in 2024 following cost restructuring initiatives, the margin continues to lag behind industry benchmarks of 32–35%, indicating that structural inefficiencies persist within the firm’s operating model (Brigham and Ehrhardt, 2020).</w:t>
      </w:r>
    </w:p>
    <w:p w14:paraId="24F64D2D"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More critically, overall profitability deteriorated substantially, as reflected in the net profit margin, defined as</w:t>
      </w:r>
    </w:p>
    <w:p w14:paraId="17FB6C40" w14:textId="4883CFBD" w:rsidR="00BD7EFB" w:rsidRPr="0030453B" w:rsidRDefault="00BD7EFB"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Net Profit Margin</w:t>
      </w:r>
      <w:r w:rsidR="00F56F41"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F56F41" w:rsidRPr="0030453B">
        <w:rPr>
          <w:rFonts w:ascii="Arial" w:eastAsia="Times New Roman" w:hAnsi="Arial" w:cs="Arial"/>
          <w:sz w:val="24"/>
          <w:szCs w:val="24"/>
        </w:rPr>
        <w:t xml:space="preserve"> </w:t>
      </w:r>
      <w:r w:rsidRPr="0030453B">
        <w:rPr>
          <w:rFonts w:ascii="Arial" w:eastAsia="Times New Roman" w:hAnsi="Arial" w:cs="Arial"/>
          <w:sz w:val="24"/>
          <w:szCs w:val="24"/>
        </w:rPr>
        <w:t>(Net Income</w:t>
      </w:r>
      <w:r w:rsidR="00F56F41" w:rsidRPr="0030453B">
        <w:rPr>
          <w:rFonts w:ascii="Arial" w:eastAsia="Times New Roman" w:hAnsi="Arial" w:cs="Arial"/>
          <w:sz w:val="24"/>
          <w:szCs w:val="24"/>
        </w:rPr>
        <w:t xml:space="preserve">/ </w:t>
      </w:r>
      <w:r w:rsidRPr="0030453B">
        <w:rPr>
          <w:rFonts w:ascii="Arial" w:eastAsia="Times New Roman" w:hAnsi="Arial" w:cs="Arial"/>
          <w:sz w:val="24"/>
          <w:szCs w:val="24"/>
        </w:rPr>
        <w:t>Net </w:t>
      </w:r>
      <w:r w:rsidR="00F56F41" w:rsidRPr="0030453B">
        <w:rPr>
          <w:rFonts w:ascii="Arial" w:eastAsia="Times New Roman" w:hAnsi="Arial" w:cs="Arial"/>
          <w:sz w:val="24"/>
          <w:szCs w:val="24"/>
        </w:rPr>
        <w:t>Sales) ×</w:t>
      </w:r>
      <w:r w:rsidRPr="0030453B">
        <w:rPr>
          <w:rFonts w:ascii="Arial" w:eastAsia="Times New Roman" w:hAnsi="Arial" w:cs="Arial"/>
          <w:sz w:val="24"/>
          <w:szCs w:val="24"/>
        </w:rPr>
        <w:t>100</w:t>
      </w:r>
      <w:r w:rsidR="00F56F41"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 </w:t>
      </w:r>
    </w:p>
    <w:p w14:paraId="23748FDE" w14:textId="1DBC5B4B"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lastRenderedPageBreak/>
        <w:t xml:space="preserve">which fell from 6.28% in 2020 to severe losses in 2023 and 2024. The exceptionally negative margin of -23.36% in 2023 reflects escalating operating expenses and significant impairment charges, including goodwill write-offs. Damodaran (2021) argues that sustained negative margins of this magnitude are commonly associated with covenant breaches and declining creditworthiness, thereby accelerating financial distress. </w:t>
      </w:r>
    </w:p>
    <w:p w14:paraId="49C00F77"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The decline in profitability is further reinforced by returns on assets and equity. Return on assets, measured as</w:t>
      </w:r>
    </w:p>
    <w:p w14:paraId="681E1D92" w14:textId="06A47421" w:rsidR="00BD7EFB" w:rsidRPr="0030453B" w:rsidRDefault="00BD7EFB"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ROA</w:t>
      </w:r>
      <w:r w:rsidR="00F12651"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F12651" w:rsidRPr="0030453B">
        <w:rPr>
          <w:rFonts w:ascii="Arial" w:eastAsia="Times New Roman" w:hAnsi="Arial" w:cs="Arial"/>
          <w:sz w:val="24"/>
          <w:szCs w:val="24"/>
        </w:rPr>
        <w:t xml:space="preserve"> </w:t>
      </w:r>
      <w:r w:rsidRPr="0030453B">
        <w:rPr>
          <w:rFonts w:ascii="Arial" w:eastAsia="Times New Roman" w:hAnsi="Arial" w:cs="Arial"/>
          <w:sz w:val="24"/>
          <w:szCs w:val="24"/>
        </w:rPr>
        <w:t>(Net Income</w:t>
      </w:r>
      <w:r w:rsidR="00F56F41" w:rsidRPr="0030453B">
        <w:rPr>
          <w:rFonts w:ascii="Arial" w:eastAsia="Times New Roman" w:hAnsi="Arial" w:cs="Arial"/>
          <w:sz w:val="24"/>
          <w:szCs w:val="24"/>
        </w:rPr>
        <w:t xml:space="preserve">/ </w:t>
      </w:r>
      <w:r w:rsidRPr="0030453B">
        <w:rPr>
          <w:rFonts w:ascii="Arial" w:eastAsia="Times New Roman" w:hAnsi="Arial" w:cs="Arial"/>
          <w:sz w:val="24"/>
          <w:szCs w:val="24"/>
        </w:rPr>
        <w:t>Total Assets)</w:t>
      </w:r>
      <w:r w:rsidR="00F12651"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F12651"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100 </w:t>
      </w:r>
    </w:p>
    <w:p w14:paraId="666165F8"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fell from 7.56% in 2020 to deeply negative levels by 2023, demonstrating that the firm’s asset base is no longer generating adequate returns. While asset turnover improved marginally in recent years, this efficiency gain was overshadowed by the collapse in profit margins. Similarly, return on equity, calculated as</w:t>
      </w:r>
    </w:p>
    <w:p w14:paraId="4191C591" w14:textId="56BE95B2" w:rsidR="00BD7EFB" w:rsidRPr="0030453B" w:rsidRDefault="00BD7EFB"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ROE=</w:t>
      </w:r>
      <w:r w:rsidR="00F12651" w:rsidRPr="0030453B">
        <w:rPr>
          <w:rFonts w:ascii="Arial" w:eastAsia="Times New Roman" w:hAnsi="Arial" w:cs="Arial"/>
          <w:sz w:val="24"/>
          <w:szCs w:val="24"/>
        </w:rPr>
        <w:t xml:space="preserve"> </w:t>
      </w:r>
      <w:r w:rsidRPr="0030453B">
        <w:rPr>
          <w:rFonts w:ascii="Arial" w:eastAsia="Times New Roman" w:hAnsi="Arial" w:cs="Arial"/>
          <w:sz w:val="24"/>
          <w:szCs w:val="24"/>
        </w:rPr>
        <w:t>(Net Income</w:t>
      </w:r>
      <w:r w:rsidR="00F56F41" w:rsidRPr="0030453B">
        <w:rPr>
          <w:rFonts w:ascii="Arial" w:eastAsia="Times New Roman" w:hAnsi="Arial" w:cs="Arial"/>
          <w:sz w:val="24"/>
          <w:szCs w:val="24"/>
        </w:rPr>
        <w:t xml:space="preserve">/ </w:t>
      </w:r>
      <w:r w:rsidRPr="0030453B">
        <w:rPr>
          <w:rFonts w:ascii="Arial" w:eastAsia="Times New Roman" w:hAnsi="Arial" w:cs="Arial"/>
          <w:sz w:val="24"/>
          <w:szCs w:val="24"/>
        </w:rPr>
        <w:t>Shareholders’ Equity)</w:t>
      </w:r>
      <w:r w:rsidR="00F12651"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×100 </w:t>
      </w:r>
    </w:p>
    <w:p w14:paraId="105529CA" w14:textId="77777777" w:rsidR="00BD7EFB" w:rsidRPr="0030453B" w:rsidRDefault="00BD7EFB"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declined sharply as cumulative losses eroded equity and increased financial leverage. This amplified shareholder losses and heightened financial risk, underscoring the urgent need for operational restructuring and capital structure realignment.</w:t>
      </w:r>
    </w:p>
    <w:p w14:paraId="1566CD09" w14:textId="77777777" w:rsidR="00A87404" w:rsidRPr="00161377" w:rsidRDefault="00A87404" w:rsidP="00161377">
      <w:pPr>
        <w:spacing w:line="276" w:lineRule="auto"/>
        <w:jc w:val="both"/>
        <w:rPr>
          <w:rFonts w:ascii="Arial" w:hAnsi="Arial" w:cs="Arial"/>
          <w:sz w:val="24"/>
          <w:szCs w:val="24"/>
        </w:rPr>
      </w:pPr>
      <w:r w:rsidRPr="00161377">
        <w:rPr>
          <w:rFonts w:ascii="Arial" w:hAnsi="Arial" w:cs="Arial"/>
          <w:sz w:val="24"/>
          <w:szCs w:val="24"/>
        </w:rPr>
        <w:t>Table 2.1: Key Profitability Ratios of General Electronics (2020–2024)</w:t>
      </w:r>
    </w:p>
    <w:tbl>
      <w:tblPr>
        <w:tblStyle w:val="TableGrid"/>
        <w:tblW w:w="0" w:type="auto"/>
        <w:jc w:val="center"/>
        <w:tblLook w:val="04A0" w:firstRow="1" w:lastRow="0" w:firstColumn="1" w:lastColumn="0" w:noHBand="0" w:noVBand="1"/>
      </w:tblPr>
      <w:tblGrid>
        <w:gridCol w:w="750"/>
        <w:gridCol w:w="2724"/>
        <w:gridCol w:w="2457"/>
        <w:gridCol w:w="1176"/>
        <w:gridCol w:w="1176"/>
      </w:tblGrid>
      <w:tr w:rsidR="00A87404" w:rsidRPr="00C22C45" w14:paraId="23BF1675" w14:textId="77777777" w:rsidTr="00841345">
        <w:trPr>
          <w:jc w:val="center"/>
        </w:trPr>
        <w:tc>
          <w:tcPr>
            <w:tcW w:w="0" w:type="auto"/>
            <w:hideMark/>
          </w:tcPr>
          <w:p w14:paraId="23D4860C"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Year</w:t>
            </w:r>
          </w:p>
        </w:tc>
        <w:tc>
          <w:tcPr>
            <w:tcW w:w="0" w:type="auto"/>
            <w:hideMark/>
          </w:tcPr>
          <w:p w14:paraId="2B27418B"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Gross Profit Margin (%)</w:t>
            </w:r>
          </w:p>
        </w:tc>
        <w:tc>
          <w:tcPr>
            <w:tcW w:w="0" w:type="auto"/>
            <w:hideMark/>
          </w:tcPr>
          <w:p w14:paraId="1C0A3A67"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Net Profit Margin (%)</w:t>
            </w:r>
          </w:p>
        </w:tc>
        <w:tc>
          <w:tcPr>
            <w:tcW w:w="0" w:type="auto"/>
            <w:hideMark/>
          </w:tcPr>
          <w:p w14:paraId="4F6F5124"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ROA (%)</w:t>
            </w:r>
          </w:p>
        </w:tc>
        <w:tc>
          <w:tcPr>
            <w:tcW w:w="0" w:type="auto"/>
            <w:hideMark/>
          </w:tcPr>
          <w:p w14:paraId="7C88B61B"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ROE (%)</w:t>
            </w:r>
          </w:p>
        </w:tc>
      </w:tr>
      <w:tr w:rsidR="00A87404" w:rsidRPr="00C22C45" w14:paraId="51DF48BD" w14:textId="77777777" w:rsidTr="00841345">
        <w:trPr>
          <w:jc w:val="center"/>
        </w:trPr>
        <w:tc>
          <w:tcPr>
            <w:tcW w:w="0" w:type="auto"/>
            <w:hideMark/>
          </w:tcPr>
          <w:p w14:paraId="74CD48AA"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2020</w:t>
            </w:r>
          </w:p>
        </w:tc>
        <w:tc>
          <w:tcPr>
            <w:tcW w:w="0" w:type="auto"/>
            <w:hideMark/>
          </w:tcPr>
          <w:p w14:paraId="02698A83"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28.68</w:t>
            </w:r>
          </w:p>
        </w:tc>
        <w:tc>
          <w:tcPr>
            <w:tcW w:w="0" w:type="auto"/>
            <w:hideMark/>
          </w:tcPr>
          <w:p w14:paraId="25F374AB"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6.28</w:t>
            </w:r>
          </w:p>
        </w:tc>
        <w:tc>
          <w:tcPr>
            <w:tcW w:w="0" w:type="auto"/>
            <w:hideMark/>
          </w:tcPr>
          <w:p w14:paraId="07CF9CFE"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7.56</w:t>
            </w:r>
          </w:p>
        </w:tc>
        <w:tc>
          <w:tcPr>
            <w:tcW w:w="0" w:type="auto"/>
            <w:hideMark/>
          </w:tcPr>
          <w:p w14:paraId="42C670B9"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12.31</w:t>
            </w:r>
          </w:p>
        </w:tc>
      </w:tr>
      <w:tr w:rsidR="00A87404" w:rsidRPr="00C22C45" w14:paraId="72121A3F" w14:textId="77777777" w:rsidTr="00841345">
        <w:trPr>
          <w:jc w:val="center"/>
        </w:trPr>
        <w:tc>
          <w:tcPr>
            <w:tcW w:w="0" w:type="auto"/>
            <w:hideMark/>
          </w:tcPr>
          <w:p w14:paraId="7DF66B33"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2021</w:t>
            </w:r>
          </w:p>
        </w:tc>
        <w:tc>
          <w:tcPr>
            <w:tcW w:w="0" w:type="auto"/>
            <w:hideMark/>
          </w:tcPr>
          <w:p w14:paraId="717B7CFC"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28.76</w:t>
            </w:r>
          </w:p>
        </w:tc>
        <w:tc>
          <w:tcPr>
            <w:tcW w:w="0" w:type="auto"/>
            <w:hideMark/>
          </w:tcPr>
          <w:p w14:paraId="2976BA52"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0.88</w:t>
            </w:r>
          </w:p>
        </w:tc>
        <w:tc>
          <w:tcPr>
            <w:tcW w:w="0" w:type="auto"/>
            <w:hideMark/>
          </w:tcPr>
          <w:p w14:paraId="4AD6AF7C"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1.04</w:t>
            </w:r>
          </w:p>
        </w:tc>
        <w:tc>
          <w:tcPr>
            <w:tcW w:w="0" w:type="auto"/>
            <w:hideMark/>
          </w:tcPr>
          <w:p w14:paraId="2916FDC4"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1.92</w:t>
            </w:r>
          </w:p>
        </w:tc>
      </w:tr>
      <w:tr w:rsidR="00A87404" w:rsidRPr="00C22C45" w14:paraId="0BCEC9DE" w14:textId="77777777" w:rsidTr="00841345">
        <w:trPr>
          <w:jc w:val="center"/>
        </w:trPr>
        <w:tc>
          <w:tcPr>
            <w:tcW w:w="0" w:type="auto"/>
            <w:hideMark/>
          </w:tcPr>
          <w:p w14:paraId="3B85DF1E"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2022</w:t>
            </w:r>
          </w:p>
        </w:tc>
        <w:tc>
          <w:tcPr>
            <w:tcW w:w="0" w:type="auto"/>
            <w:hideMark/>
          </w:tcPr>
          <w:p w14:paraId="19CD6209"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28.06</w:t>
            </w:r>
          </w:p>
        </w:tc>
        <w:tc>
          <w:tcPr>
            <w:tcW w:w="0" w:type="auto"/>
            <w:hideMark/>
          </w:tcPr>
          <w:p w14:paraId="7736A877"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0.07</w:t>
            </w:r>
          </w:p>
        </w:tc>
        <w:tc>
          <w:tcPr>
            <w:tcW w:w="0" w:type="auto"/>
            <w:hideMark/>
          </w:tcPr>
          <w:p w14:paraId="06E9DC16"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0.08</w:t>
            </w:r>
          </w:p>
        </w:tc>
        <w:tc>
          <w:tcPr>
            <w:tcW w:w="0" w:type="auto"/>
            <w:hideMark/>
          </w:tcPr>
          <w:p w14:paraId="54ACFF66"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0.15</w:t>
            </w:r>
          </w:p>
        </w:tc>
      </w:tr>
      <w:tr w:rsidR="00A87404" w:rsidRPr="00C22C45" w14:paraId="1B1333DF" w14:textId="77777777" w:rsidTr="00841345">
        <w:trPr>
          <w:jc w:val="center"/>
        </w:trPr>
        <w:tc>
          <w:tcPr>
            <w:tcW w:w="0" w:type="auto"/>
            <w:hideMark/>
          </w:tcPr>
          <w:p w14:paraId="17230D03"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2023</w:t>
            </w:r>
          </w:p>
        </w:tc>
        <w:tc>
          <w:tcPr>
            <w:tcW w:w="0" w:type="auto"/>
            <w:hideMark/>
          </w:tcPr>
          <w:p w14:paraId="36B6EAE1"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23.20</w:t>
            </w:r>
          </w:p>
        </w:tc>
        <w:tc>
          <w:tcPr>
            <w:tcW w:w="0" w:type="auto"/>
            <w:hideMark/>
          </w:tcPr>
          <w:p w14:paraId="225D9BD2"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-23.36</w:t>
            </w:r>
          </w:p>
        </w:tc>
        <w:tc>
          <w:tcPr>
            <w:tcW w:w="0" w:type="auto"/>
            <w:hideMark/>
          </w:tcPr>
          <w:p w14:paraId="7C2F9835"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-27.60</w:t>
            </w:r>
          </w:p>
        </w:tc>
        <w:tc>
          <w:tcPr>
            <w:tcW w:w="0" w:type="auto"/>
            <w:hideMark/>
          </w:tcPr>
          <w:p w14:paraId="48EF300D"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-54.90</w:t>
            </w:r>
          </w:p>
        </w:tc>
      </w:tr>
      <w:tr w:rsidR="00A87404" w:rsidRPr="00C22C45" w14:paraId="6351E064" w14:textId="77777777" w:rsidTr="00841345">
        <w:trPr>
          <w:jc w:val="center"/>
        </w:trPr>
        <w:tc>
          <w:tcPr>
            <w:tcW w:w="0" w:type="auto"/>
            <w:hideMark/>
          </w:tcPr>
          <w:p w14:paraId="4AB9C0FC"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2024</w:t>
            </w:r>
          </w:p>
        </w:tc>
        <w:tc>
          <w:tcPr>
            <w:tcW w:w="0" w:type="auto"/>
            <w:hideMark/>
          </w:tcPr>
          <w:p w14:paraId="532D6E9E"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28.87</w:t>
            </w:r>
          </w:p>
        </w:tc>
        <w:tc>
          <w:tcPr>
            <w:tcW w:w="0" w:type="auto"/>
            <w:hideMark/>
          </w:tcPr>
          <w:p w14:paraId="10F992E5"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-6.09</w:t>
            </w:r>
          </w:p>
        </w:tc>
        <w:tc>
          <w:tcPr>
            <w:tcW w:w="0" w:type="auto"/>
            <w:hideMark/>
          </w:tcPr>
          <w:p w14:paraId="51851975"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-7.43</w:t>
            </w:r>
          </w:p>
        </w:tc>
        <w:tc>
          <w:tcPr>
            <w:tcW w:w="0" w:type="auto"/>
            <w:hideMark/>
          </w:tcPr>
          <w:p w14:paraId="7A2E752B" w14:textId="77777777" w:rsidR="00A87404" w:rsidRPr="00C22C45" w:rsidRDefault="00A87404" w:rsidP="00DE2C7B">
            <w:pPr>
              <w:spacing w:line="276" w:lineRule="auto"/>
              <w:jc w:val="both"/>
              <w:rPr>
                <w:rFonts w:ascii="Arial" w:eastAsia="Times New Roman" w:hAnsi="Arial" w:cs="Arial"/>
                <w:sz w:val="24"/>
                <w:szCs w:val="24"/>
              </w:rPr>
            </w:pPr>
            <w:r w:rsidRPr="00C22C45">
              <w:rPr>
                <w:rFonts w:ascii="Arial" w:eastAsia="Times New Roman" w:hAnsi="Arial" w:cs="Arial"/>
                <w:sz w:val="24"/>
                <w:szCs w:val="24"/>
              </w:rPr>
              <w:t>-15.70</w:t>
            </w:r>
          </w:p>
        </w:tc>
      </w:tr>
    </w:tbl>
    <w:p w14:paraId="33C62F74" w14:textId="77777777" w:rsidR="00B21412" w:rsidRPr="0030453B" w:rsidRDefault="00B21412" w:rsidP="0030453B">
      <w:pPr>
        <w:pStyle w:val="Heading3"/>
      </w:pPr>
      <w:bookmarkStart w:id="3" w:name="_Toc217322929"/>
      <w:r w:rsidRPr="0030453B">
        <w:t>2.2 Liquidity Ratio Analysis</w:t>
      </w:r>
      <w:bookmarkEnd w:id="3"/>
    </w:p>
    <w:p w14:paraId="1B9BA1C4" w14:textId="77777777"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Liquidity ratios evaluate a firm’s capacity to meet short-term obligations as they fall due, a critical concern for </w:t>
      </w:r>
      <w:proofErr w:type="spellStart"/>
      <w:r w:rsidRPr="0030453B">
        <w:rPr>
          <w:rFonts w:ascii="Arial" w:eastAsia="Times New Roman" w:hAnsi="Arial" w:cs="Arial"/>
          <w:sz w:val="24"/>
          <w:szCs w:val="24"/>
        </w:rPr>
        <w:t>organisations</w:t>
      </w:r>
      <w:proofErr w:type="spellEnd"/>
      <w:r w:rsidRPr="0030453B">
        <w:rPr>
          <w:rFonts w:ascii="Arial" w:eastAsia="Times New Roman" w:hAnsi="Arial" w:cs="Arial"/>
          <w:sz w:val="24"/>
          <w:szCs w:val="24"/>
        </w:rPr>
        <w:t xml:space="preserve"> experiencing financial distress. The current ratio, expressed as</w:t>
      </w:r>
    </w:p>
    <w:p w14:paraId="3C999ED1" w14:textId="270CD01D"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Current Ratio=Current Assets</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Current Liabilities </w:t>
      </w:r>
    </w:p>
    <w:p w14:paraId="6C6E7DC2" w14:textId="4E529AA3" w:rsidR="003849DF" w:rsidRPr="0030453B" w:rsidRDefault="00A550A8" w:rsidP="00DE2C7B">
      <w:pPr>
        <w:spacing w:before="100" w:beforeAutospacing="1" w:after="100" w:afterAutospacing="1" w:line="276" w:lineRule="auto"/>
        <w:jc w:val="both"/>
        <w:rPr>
          <w:rFonts w:ascii="Arial" w:eastAsia="Times New Roman" w:hAnsi="Arial" w:cs="Arial"/>
          <w:sz w:val="24"/>
          <w:szCs w:val="24"/>
        </w:rPr>
      </w:pPr>
      <w:proofErr w:type="gramStart"/>
      <w:r>
        <w:rPr>
          <w:rFonts w:ascii="Arial" w:eastAsia="Times New Roman" w:hAnsi="Arial" w:cs="Arial"/>
          <w:sz w:val="24"/>
          <w:szCs w:val="24"/>
        </w:rPr>
        <w:t xml:space="preserve">The  </w:t>
      </w:r>
      <w:r w:rsidR="003849DF" w:rsidRPr="0030453B">
        <w:rPr>
          <w:rFonts w:ascii="Arial" w:eastAsia="Times New Roman" w:hAnsi="Arial" w:cs="Arial"/>
          <w:sz w:val="24"/>
          <w:szCs w:val="24"/>
        </w:rPr>
        <w:t>declined</w:t>
      </w:r>
      <w:proofErr w:type="gramEnd"/>
      <w:r w:rsidR="003849DF" w:rsidRPr="0030453B">
        <w:rPr>
          <w:rFonts w:ascii="Arial" w:eastAsia="Times New Roman" w:hAnsi="Arial" w:cs="Arial"/>
          <w:sz w:val="24"/>
          <w:szCs w:val="24"/>
        </w:rPr>
        <w:t xml:space="preserve"> steadily from 1.82 in 2020 to 1.53 in 2024. Although this level remains marginally within the conventional benchmark range of 1.5–2.0, the downward trend is concerning, particularly given the substantial contraction in current assets over the period. </w:t>
      </w:r>
      <w:r w:rsidR="003849DF" w:rsidRPr="0030453B">
        <w:rPr>
          <w:rFonts w:ascii="Arial" w:eastAsia="Times New Roman" w:hAnsi="Arial" w:cs="Arial"/>
          <w:sz w:val="24"/>
          <w:szCs w:val="24"/>
        </w:rPr>
        <w:lastRenderedPageBreak/>
        <w:t>This decline indicates that the firm has relied increasingly on asset liquidation to meet short-term liabilities amid falling revenues. Watson and Head (2019) argue that a weakening current ratio during periods of revenue contraction signals deteriorating liquidity buffers and heightened exposure to short-term cash flow shocks, thereby increasing the firm’s vulnerability to operational disruptions.</w:t>
      </w:r>
    </w:p>
    <w:p w14:paraId="65DB6067" w14:textId="77777777"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A more conservative assessment is provided by the quick ratio, calculated as</w:t>
      </w:r>
    </w:p>
    <w:p w14:paraId="2C0E4309" w14:textId="30CDD2D0"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Quick Ratio=</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Current Assets−Inventories</w:t>
      </w:r>
      <w:r w:rsidR="00C37564"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Current Liabilities </w:t>
      </w:r>
    </w:p>
    <w:p w14:paraId="3A2E6E29" w14:textId="77777777"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which deteriorated below the critical threshold of 1.0 during 2021–2022 before recovering marginally to 1.03 in 2024. This improvement was largely driven by aggressive inventory reductions rather than enhanced cash generation, suggesting defensive rather than sustainable liquidity management. The most severe weakness is evident in the cash ratio, defined as</w:t>
      </w:r>
    </w:p>
    <w:p w14:paraId="2244F616" w14:textId="29345CFD"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Cash Ratio</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Cash and Cash Equivalents</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Current Liabilities </w:t>
      </w:r>
    </w:p>
    <w:p w14:paraId="6680717A" w14:textId="43EF6DBB" w:rsidR="003849DF" w:rsidRPr="0030453B" w:rsidRDefault="003849DF"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which declined sharply from 0.32 in 2020 to 0.17 in 2024. This indicates that immediately available cash covers less than one-fifth of short-term obligations. Ross et al. (2022) </w:t>
      </w:r>
      <w:r w:rsidR="00841345" w:rsidRPr="0030453B">
        <w:rPr>
          <w:rFonts w:ascii="Arial" w:eastAsia="Times New Roman" w:hAnsi="Arial" w:cs="Arial"/>
          <w:sz w:val="24"/>
          <w:szCs w:val="24"/>
        </w:rPr>
        <w:t>identifies</w:t>
      </w:r>
      <w:r w:rsidRPr="0030453B">
        <w:rPr>
          <w:rFonts w:ascii="Arial" w:eastAsia="Times New Roman" w:hAnsi="Arial" w:cs="Arial"/>
          <w:sz w:val="24"/>
          <w:szCs w:val="24"/>
        </w:rPr>
        <w:t xml:space="preserve"> cash ratios below 0.20 as strong indicators of financial distress, often preceding liquidity crises. Overall, the liquidity analysis reveals a fragile short-term financial position, underscoring the urgent need for working capital reform and external liquidity support.</w:t>
      </w:r>
    </w:p>
    <w:p w14:paraId="4E61D730" w14:textId="65DD17FA" w:rsidR="00A74D5A" w:rsidRPr="0030453B" w:rsidRDefault="00B21412" w:rsidP="0030453B">
      <w:pPr>
        <w:pStyle w:val="Heading3"/>
      </w:pPr>
      <w:bookmarkStart w:id="4" w:name="_Toc217322930"/>
      <w:r w:rsidRPr="0030453B">
        <w:t>2.3 Efficiency Ratio Analysis</w:t>
      </w:r>
      <w:bookmarkEnd w:id="4"/>
    </w:p>
    <w:p w14:paraId="49D15F55"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Efficiency ratios evaluate management’s effectiveness in </w:t>
      </w:r>
      <w:proofErr w:type="spellStart"/>
      <w:r w:rsidRPr="0030453B">
        <w:rPr>
          <w:rFonts w:ascii="Arial" w:eastAsia="Times New Roman" w:hAnsi="Arial" w:cs="Arial"/>
          <w:sz w:val="24"/>
          <w:szCs w:val="24"/>
        </w:rPr>
        <w:t>utilising</w:t>
      </w:r>
      <w:proofErr w:type="spellEnd"/>
      <w:r w:rsidRPr="0030453B">
        <w:rPr>
          <w:rFonts w:ascii="Arial" w:eastAsia="Times New Roman" w:hAnsi="Arial" w:cs="Arial"/>
          <w:sz w:val="24"/>
          <w:szCs w:val="24"/>
        </w:rPr>
        <w:t xml:space="preserve"> assets and managing core working capital components, particularly inventory, receivables, payables, and total assets. For General Electronics, efficiency performance deteriorated markedly over the period 2020–2024, reflecting weakening operational discipline and increasing working capital strain.</w:t>
      </w:r>
    </w:p>
    <w:p w14:paraId="0043197F"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Inventory management efficiency declined substantially during the period. Inventory turnover, calculated as</w:t>
      </w:r>
    </w:p>
    <w:p w14:paraId="2935D9E8" w14:textId="30C6DD27" w:rsidR="00A74D5A" w:rsidRPr="0030453B" w:rsidRDefault="00A74D5A"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Inventory Turnover</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Cost of Sales</w:t>
      </w:r>
      <w:r w:rsidR="00C37564"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Average Inventory </w:t>
      </w:r>
    </w:p>
    <w:p w14:paraId="11F558AD"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fell from 3.74 times in 2020 to a low of 2.83 times in 2023, increasing days inventory outstanding, defined as</w:t>
      </w:r>
    </w:p>
    <w:p w14:paraId="0C5799FA" w14:textId="412A742B" w:rsidR="00A74D5A" w:rsidRPr="0030453B" w:rsidRDefault="00A74D5A"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DIO=365</w:t>
      </w:r>
      <w:r w:rsidR="00C37564"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Inventory Turnover </w:t>
      </w:r>
    </w:p>
    <w:p w14:paraId="17BAB6FB"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lastRenderedPageBreak/>
        <w:t>from 98 to 129 days. This prolonged holding period significantly elevates obsolescence risk in the fast-moving consumer electronics sector. Although inventory turnover improved to 3.35 times in 2024, this recovery was primarily driven by inventory liquidation rather than demand growth, as revenues continued to decline. Gaur and Kesavan (2018) suggest that efficient electronics manufacturers typically maintain turnover above six times annually, indicating that the firm operates at roughly half of optimal inventory efficiency.</w:t>
      </w:r>
    </w:p>
    <w:p w14:paraId="710A86A2"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Receivables management also weakened considerably. </w:t>
      </w:r>
      <w:proofErr w:type="gramStart"/>
      <w:r w:rsidRPr="0030453B">
        <w:rPr>
          <w:rFonts w:ascii="Arial" w:eastAsia="Times New Roman" w:hAnsi="Arial" w:cs="Arial"/>
          <w:sz w:val="24"/>
          <w:szCs w:val="24"/>
        </w:rPr>
        <w:t>Receivables</w:t>
      </w:r>
      <w:proofErr w:type="gramEnd"/>
      <w:r w:rsidRPr="0030453B">
        <w:rPr>
          <w:rFonts w:ascii="Arial" w:eastAsia="Times New Roman" w:hAnsi="Arial" w:cs="Arial"/>
          <w:sz w:val="24"/>
          <w:szCs w:val="24"/>
        </w:rPr>
        <w:t xml:space="preserve"> turnover, expressed as</w:t>
      </w:r>
    </w:p>
    <w:p w14:paraId="3BDBF1AF" w14:textId="232EDBF3" w:rsidR="00A74D5A" w:rsidRPr="0030453B" w:rsidRDefault="00A74D5A"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Receivables Turnover</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Net Sales</w:t>
      </w:r>
      <w:r w:rsidR="00C37564"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Average Accounts Receivable </w:t>
      </w:r>
    </w:p>
    <w:p w14:paraId="7FD391B9"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declined steadily, causing days sales outstanding</w:t>
      </w:r>
    </w:p>
    <w:p w14:paraId="728A6D86" w14:textId="48DE1828" w:rsidR="00A74D5A" w:rsidRPr="0030453B" w:rsidRDefault="00A74D5A"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DSO=</w:t>
      </w:r>
      <w:r w:rsidR="00805858" w:rsidRPr="0030453B">
        <w:rPr>
          <w:rFonts w:ascii="Arial" w:eastAsia="Times New Roman" w:hAnsi="Arial" w:cs="Arial"/>
          <w:sz w:val="24"/>
          <w:szCs w:val="24"/>
        </w:rPr>
        <w:t xml:space="preserve"> </w:t>
      </w:r>
      <w:r w:rsidRPr="0030453B">
        <w:rPr>
          <w:rFonts w:ascii="Arial" w:eastAsia="Times New Roman" w:hAnsi="Arial" w:cs="Arial"/>
          <w:sz w:val="24"/>
          <w:szCs w:val="24"/>
        </w:rPr>
        <w:t>365</w:t>
      </w:r>
      <w:r w:rsidR="00805858"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Receivables Turnover​ </w:t>
      </w:r>
    </w:p>
    <w:p w14:paraId="4398AFAE"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to increase from 75 days in 2020 to 105 days in 2024. This 40% deterioration suggests relaxed credit policies aimed at stimulating sales volumes, a strategy that failed to prevent revenue contraction while increasing bad debt risk and working capital requirements.</w:t>
      </w:r>
    </w:p>
    <w:p w14:paraId="539885BE"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Conversely, days payables outstanding, calculated as</w:t>
      </w:r>
    </w:p>
    <w:p w14:paraId="1D4FBA91" w14:textId="709D2E06" w:rsidR="00A74D5A" w:rsidRPr="0030453B" w:rsidRDefault="00A74D5A"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DPO</w:t>
      </w:r>
      <w:r w:rsidR="00805858"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805858" w:rsidRPr="0030453B">
        <w:rPr>
          <w:rFonts w:ascii="Arial" w:eastAsia="Times New Roman" w:hAnsi="Arial" w:cs="Arial"/>
          <w:sz w:val="24"/>
          <w:szCs w:val="24"/>
        </w:rPr>
        <w:t xml:space="preserve"> </w:t>
      </w:r>
      <w:r w:rsidRPr="0030453B">
        <w:rPr>
          <w:rFonts w:ascii="Arial" w:eastAsia="Times New Roman" w:hAnsi="Arial" w:cs="Arial"/>
          <w:sz w:val="24"/>
          <w:szCs w:val="24"/>
        </w:rPr>
        <w:t>365</w:t>
      </w:r>
      <w:r w:rsidR="00805858"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Payables Turnover </w:t>
      </w:r>
    </w:p>
    <w:p w14:paraId="16B51FC6" w14:textId="77777777"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extended from 66 to 84 days, indicating delayed supplier payments driven by liquidity pressures rather than strategic </w:t>
      </w:r>
      <w:proofErr w:type="spellStart"/>
      <w:r w:rsidRPr="0030453B">
        <w:rPr>
          <w:rFonts w:ascii="Arial" w:eastAsia="Times New Roman" w:hAnsi="Arial" w:cs="Arial"/>
          <w:sz w:val="24"/>
          <w:szCs w:val="24"/>
        </w:rPr>
        <w:t>optimisation</w:t>
      </w:r>
      <w:proofErr w:type="spellEnd"/>
      <w:r w:rsidRPr="0030453B">
        <w:rPr>
          <w:rFonts w:ascii="Arial" w:eastAsia="Times New Roman" w:hAnsi="Arial" w:cs="Arial"/>
          <w:sz w:val="24"/>
          <w:szCs w:val="24"/>
        </w:rPr>
        <w:t>. While this temporarily preserves cash, excessive delays risk supplier relationship deterioration. Asset turnover, defined as</w:t>
      </w:r>
    </w:p>
    <w:p w14:paraId="3D90B344" w14:textId="3D157D09" w:rsidR="00A74D5A" w:rsidRPr="0030453B" w:rsidRDefault="00A74D5A"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Asset Turnover</w:t>
      </w:r>
      <w:r w:rsidR="00805858"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805858" w:rsidRPr="0030453B">
        <w:rPr>
          <w:rFonts w:ascii="Arial" w:eastAsia="Times New Roman" w:hAnsi="Arial" w:cs="Arial"/>
          <w:sz w:val="24"/>
          <w:szCs w:val="24"/>
        </w:rPr>
        <w:t xml:space="preserve"> </w:t>
      </w:r>
      <w:r w:rsidRPr="0030453B">
        <w:rPr>
          <w:rFonts w:ascii="Arial" w:eastAsia="Times New Roman" w:hAnsi="Arial" w:cs="Arial"/>
          <w:sz w:val="24"/>
          <w:szCs w:val="24"/>
        </w:rPr>
        <w:t>Net Sales</w:t>
      </w:r>
      <w:r w:rsidR="00805858"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Average Total Assets </w:t>
      </w:r>
    </w:p>
    <w:p w14:paraId="13C5E9EF" w14:textId="52AE3AC1" w:rsidR="00A74D5A" w:rsidRPr="0030453B" w:rsidRDefault="00A74D5A"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declined sharply in 2023 before recovering in 2024 due mainly to asset base reduction rather than improved revenue generation, underscoring defensive efficiency gains rather than sustainable operational improvement.</w:t>
      </w:r>
    </w:p>
    <w:p w14:paraId="2AAC2568" w14:textId="5AC42E42" w:rsidR="00A74D5A" w:rsidRPr="00161377" w:rsidRDefault="00A74D5A" w:rsidP="00161377">
      <w:pPr>
        <w:spacing w:line="276" w:lineRule="auto"/>
        <w:jc w:val="both"/>
        <w:rPr>
          <w:rFonts w:ascii="Arial" w:hAnsi="Arial" w:cs="Arial"/>
          <w:sz w:val="24"/>
          <w:szCs w:val="24"/>
        </w:rPr>
      </w:pPr>
      <w:r w:rsidRPr="00161377">
        <w:rPr>
          <w:rFonts w:ascii="Arial" w:hAnsi="Arial" w:cs="Arial"/>
          <w:sz w:val="24"/>
          <w:szCs w:val="24"/>
        </w:rPr>
        <w:t>Table 2</w:t>
      </w:r>
      <w:r w:rsidR="00841345" w:rsidRPr="00161377">
        <w:rPr>
          <w:rFonts w:ascii="Arial" w:hAnsi="Arial" w:cs="Arial"/>
          <w:sz w:val="24"/>
          <w:szCs w:val="24"/>
        </w:rPr>
        <w:t>.2</w:t>
      </w:r>
      <w:r w:rsidRPr="00161377">
        <w:rPr>
          <w:rFonts w:ascii="Arial" w:hAnsi="Arial" w:cs="Arial"/>
          <w:sz w:val="24"/>
          <w:szCs w:val="24"/>
        </w:rPr>
        <w:t>: Summary of Efficiency Ratios (2020–2024)</w:t>
      </w:r>
    </w:p>
    <w:tbl>
      <w:tblPr>
        <w:tblStyle w:val="TableGrid"/>
        <w:tblW w:w="0" w:type="auto"/>
        <w:jc w:val="center"/>
        <w:tblLook w:val="04A0" w:firstRow="1" w:lastRow="0" w:firstColumn="1" w:lastColumn="0" w:noHBand="0" w:noVBand="1"/>
      </w:tblPr>
      <w:tblGrid>
        <w:gridCol w:w="750"/>
        <w:gridCol w:w="2231"/>
        <w:gridCol w:w="1416"/>
        <w:gridCol w:w="1510"/>
        <w:gridCol w:w="1510"/>
        <w:gridCol w:w="1844"/>
      </w:tblGrid>
      <w:tr w:rsidR="00A74D5A" w:rsidRPr="00C31C59" w14:paraId="3724F377" w14:textId="77777777" w:rsidTr="00841345">
        <w:trPr>
          <w:jc w:val="center"/>
        </w:trPr>
        <w:tc>
          <w:tcPr>
            <w:tcW w:w="0" w:type="auto"/>
            <w:hideMark/>
          </w:tcPr>
          <w:p w14:paraId="2923C75F"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Year</w:t>
            </w:r>
          </w:p>
        </w:tc>
        <w:tc>
          <w:tcPr>
            <w:tcW w:w="0" w:type="auto"/>
            <w:hideMark/>
          </w:tcPr>
          <w:p w14:paraId="5CA45104"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Inventory Turnover</w:t>
            </w:r>
          </w:p>
        </w:tc>
        <w:tc>
          <w:tcPr>
            <w:tcW w:w="0" w:type="auto"/>
            <w:hideMark/>
          </w:tcPr>
          <w:p w14:paraId="26C4E790"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DIO (Days)</w:t>
            </w:r>
          </w:p>
        </w:tc>
        <w:tc>
          <w:tcPr>
            <w:tcW w:w="0" w:type="auto"/>
            <w:hideMark/>
          </w:tcPr>
          <w:p w14:paraId="6AF4425F"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DSO (Days)</w:t>
            </w:r>
          </w:p>
        </w:tc>
        <w:tc>
          <w:tcPr>
            <w:tcW w:w="0" w:type="auto"/>
            <w:hideMark/>
          </w:tcPr>
          <w:p w14:paraId="37A32628"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DPO (Days)</w:t>
            </w:r>
          </w:p>
        </w:tc>
        <w:tc>
          <w:tcPr>
            <w:tcW w:w="0" w:type="auto"/>
            <w:hideMark/>
          </w:tcPr>
          <w:p w14:paraId="08FB98E3"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Asset Turnover</w:t>
            </w:r>
          </w:p>
        </w:tc>
      </w:tr>
      <w:tr w:rsidR="00A74D5A" w:rsidRPr="00C31C59" w14:paraId="7BF0CE57" w14:textId="77777777" w:rsidTr="00841345">
        <w:trPr>
          <w:jc w:val="center"/>
        </w:trPr>
        <w:tc>
          <w:tcPr>
            <w:tcW w:w="0" w:type="auto"/>
            <w:hideMark/>
          </w:tcPr>
          <w:p w14:paraId="1F9CDC26"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2020</w:t>
            </w:r>
          </w:p>
        </w:tc>
        <w:tc>
          <w:tcPr>
            <w:tcW w:w="0" w:type="auto"/>
            <w:hideMark/>
          </w:tcPr>
          <w:p w14:paraId="5FB64EF5"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3.74</w:t>
            </w:r>
          </w:p>
        </w:tc>
        <w:tc>
          <w:tcPr>
            <w:tcW w:w="0" w:type="auto"/>
            <w:hideMark/>
          </w:tcPr>
          <w:p w14:paraId="6FFFECD6"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98</w:t>
            </w:r>
          </w:p>
        </w:tc>
        <w:tc>
          <w:tcPr>
            <w:tcW w:w="0" w:type="auto"/>
            <w:hideMark/>
          </w:tcPr>
          <w:p w14:paraId="482DB3CB"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75</w:t>
            </w:r>
          </w:p>
        </w:tc>
        <w:tc>
          <w:tcPr>
            <w:tcW w:w="0" w:type="auto"/>
            <w:hideMark/>
          </w:tcPr>
          <w:p w14:paraId="1C575BDF"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66</w:t>
            </w:r>
          </w:p>
        </w:tc>
        <w:tc>
          <w:tcPr>
            <w:tcW w:w="0" w:type="auto"/>
            <w:hideMark/>
          </w:tcPr>
          <w:p w14:paraId="5E6C4DC8"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1.22</w:t>
            </w:r>
          </w:p>
        </w:tc>
      </w:tr>
      <w:tr w:rsidR="00A74D5A" w:rsidRPr="00C31C59" w14:paraId="0E50BAE8" w14:textId="77777777" w:rsidTr="00841345">
        <w:trPr>
          <w:jc w:val="center"/>
        </w:trPr>
        <w:tc>
          <w:tcPr>
            <w:tcW w:w="0" w:type="auto"/>
            <w:hideMark/>
          </w:tcPr>
          <w:p w14:paraId="6028D3E4"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2021</w:t>
            </w:r>
          </w:p>
        </w:tc>
        <w:tc>
          <w:tcPr>
            <w:tcW w:w="0" w:type="auto"/>
            <w:hideMark/>
          </w:tcPr>
          <w:p w14:paraId="1955CE70"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3.36</w:t>
            </w:r>
          </w:p>
        </w:tc>
        <w:tc>
          <w:tcPr>
            <w:tcW w:w="0" w:type="auto"/>
            <w:hideMark/>
          </w:tcPr>
          <w:p w14:paraId="0BDD54CA"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109</w:t>
            </w:r>
          </w:p>
        </w:tc>
        <w:tc>
          <w:tcPr>
            <w:tcW w:w="0" w:type="auto"/>
            <w:hideMark/>
          </w:tcPr>
          <w:p w14:paraId="450A8267"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78</w:t>
            </w:r>
          </w:p>
        </w:tc>
        <w:tc>
          <w:tcPr>
            <w:tcW w:w="0" w:type="auto"/>
            <w:hideMark/>
          </w:tcPr>
          <w:p w14:paraId="3F398C06"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75</w:t>
            </w:r>
          </w:p>
        </w:tc>
        <w:tc>
          <w:tcPr>
            <w:tcW w:w="0" w:type="auto"/>
            <w:hideMark/>
          </w:tcPr>
          <w:p w14:paraId="1DBD9D85"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1.18</w:t>
            </w:r>
          </w:p>
        </w:tc>
      </w:tr>
      <w:tr w:rsidR="00A74D5A" w:rsidRPr="00C31C59" w14:paraId="5DED0F86" w14:textId="77777777" w:rsidTr="00841345">
        <w:trPr>
          <w:jc w:val="center"/>
        </w:trPr>
        <w:tc>
          <w:tcPr>
            <w:tcW w:w="0" w:type="auto"/>
            <w:hideMark/>
          </w:tcPr>
          <w:p w14:paraId="4A1F039D"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2022</w:t>
            </w:r>
          </w:p>
        </w:tc>
        <w:tc>
          <w:tcPr>
            <w:tcW w:w="0" w:type="auto"/>
            <w:hideMark/>
          </w:tcPr>
          <w:p w14:paraId="22DA73C1"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2.84</w:t>
            </w:r>
          </w:p>
        </w:tc>
        <w:tc>
          <w:tcPr>
            <w:tcW w:w="0" w:type="auto"/>
            <w:hideMark/>
          </w:tcPr>
          <w:p w14:paraId="31978529"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128</w:t>
            </w:r>
          </w:p>
        </w:tc>
        <w:tc>
          <w:tcPr>
            <w:tcW w:w="0" w:type="auto"/>
            <w:hideMark/>
          </w:tcPr>
          <w:p w14:paraId="1CDC4BC4"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81</w:t>
            </w:r>
          </w:p>
        </w:tc>
        <w:tc>
          <w:tcPr>
            <w:tcW w:w="0" w:type="auto"/>
            <w:hideMark/>
          </w:tcPr>
          <w:p w14:paraId="4A5357D3"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77</w:t>
            </w:r>
          </w:p>
        </w:tc>
        <w:tc>
          <w:tcPr>
            <w:tcW w:w="0" w:type="auto"/>
            <w:hideMark/>
          </w:tcPr>
          <w:p w14:paraId="7A5D0746"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1.07</w:t>
            </w:r>
          </w:p>
        </w:tc>
      </w:tr>
      <w:tr w:rsidR="00A74D5A" w:rsidRPr="00C31C59" w14:paraId="6BC2C5EC" w14:textId="77777777" w:rsidTr="00841345">
        <w:trPr>
          <w:jc w:val="center"/>
        </w:trPr>
        <w:tc>
          <w:tcPr>
            <w:tcW w:w="0" w:type="auto"/>
            <w:hideMark/>
          </w:tcPr>
          <w:p w14:paraId="6A7974B3"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2023</w:t>
            </w:r>
          </w:p>
        </w:tc>
        <w:tc>
          <w:tcPr>
            <w:tcW w:w="0" w:type="auto"/>
            <w:hideMark/>
          </w:tcPr>
          <w:p w14:paraId="507EDBE1"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2.83</w:t>
            </w:r>
          </w:p>
        </w:tc>
        <w:tc>
          <w:tcPr>
            <w:tcW w:w="0" w:type="auto"/>
            <w:hideMark/>
          </w:tcPr>
          <w:p w14:paraId="2DC63350"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129</w:t>
            </w:r>
          </w:p>
        </w:tc>
        <w:tc>
          <w:tcPr>
            <w:tcW w:w="0" w:type="auto"/>
            <w:hideMark/>
          </w:tcPr>
          <w:p w14:paraId="27AB3F1C"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98</w:t>
            </w:r>
          </w:p>
        </w:tc>
        <w:tc>
          <w:tcPr>
            <w:tcW w:w="0" w:type="auto"/>
            <w:hideMark/>
          </w:tcPr>
          <w:p w14:paraId="6FA0CDBD"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73</w:t>
            </w:r>
          </w:p>
        </w:tc>
        <w:tc>
          <w:tcPr>
            <w:tcW w:w="0" w:type="auto"/>
            <w:hideMark/>
          </w:tcPr>
          <w:p w14:paraId="0701D130"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0.98</w:t>
            </w:r>
          </w:p>
        </w:tc>
      </w:tr>
      <w:tr w:rsidR="00A74D5A" w:rsidRPr="00C31C59" w14:paraId="65B30DB7" w14:textId="77777777" w:rsidTr="00841345">
        <w:trPr>
          <w:jc w:val="center"/>
        </w:trPr>
        <w:tc>
          <w:tcPr>
            <w:tcW w:w="0" w:type="auto"/>
            <w:hideMark/>
          </w:tcPr>
          <w:p w14:paraId="2A2FE460"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lastRenderedPageBreak/>
              <w:t>2024</w:t>
            </w:r>
          </w:p>
        </w:tc>
        <w:tc>
          <w:tcPr>
            <w:tcW w:w="0" w:type="auto"/>
            <w:hideMark/>
          </w:tcPr>
          <w:p w14:paraId="0A58F13F"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3.35</w:t>
            </w:r>
          </w:p>
        </w:tc>
        <w:tc>
          <w:tcPr>
            <w:tcW w:w="0" w:type="auto"/>
            <w:hideMark/>
          </w:tcPr>
          <w:p w14:paraId="112BC479"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109</w:t>
            </w:r>
          </w:p>
        </w:tc>
        <w:tc>
          <w:tcPr>
            <w:tcW w:w="0" w:type="auto"/>
            <w:hideMark/>
          </w:tcPr>
          <w:p w14:paraId="571D0D7A"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105</w:t>
            </w:r>
          </w:p>
        </w:tc>
        <w:tc>
          <w:tcPr>
            <w:tcW w:w="0" w:type="auto"/>
            <w:hideMark/>
          </w:tcPr>
          <w:p w14:paraId="109AF204"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84</w:t>
            </w:r>
          </w:p>
        </w:tc>
        <w:tc>
          <w:tcPr>
            <w:tcW w:w="0" w:type="auto"/>
            <w:hideMark/>
          </w:tcPr>
          <w:p w14:paraId="23433E20" w14:textId="77777777" w:rsidR="00A74D5A" w:rsidRPr="00C31C59" w:rsidRDefault="00A74D5A"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1.16</w:t>
            </w:r>
          </w:p>
        </w:tc>
      </w:tr>
    </w:tbl>
    <w:p w14:paraId="33AC64F4" w14:textId="77777777" w:rsidR="00B21412" w:rsidRPr="0030453B" w:rsidRDefault="00B21412" w:rsidP="0030453B">
      <w:pPr>
        <w:pStyle w:val="Heading3"/>
      </w:pPr>
      <w:bookmarkStart w:id="5" w:name="_Toc217322931"/>
      <w:r w:rsidRPr="0030453B">
        <w:t>2.4 Leverage and Solvency Analysis</w:t>
      </w:r>
      <w:bookmarkEnd w:id="5"/>
    </w:p>
    <w:p w14:paraId="7BC9F2CD" w14:textId="77777777" w:rsidR="00B43ED0" w:rsidRPr="0030453B" w:rsidRDefault="00B43ED0"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Leverage and solvency ratios evaluate the firm’s long-term financial stability and its capacity to service debt obligations. General Electronics exhibits a progressively weakening capital structure over the period 2020–2024, driven primarily by equity erosion rather than absolute debt accumulation. Financial leverage, measured by the debt-to-equity ratio</w:t>
      </w:r>
    </w:p>
    <w:p w14:paraId="0D74903F" w14:textId="030707A3" w:rsidR="00B43ED0" w:rsidRPr="0030453B" w:rsidRDefault="00B43ED0"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Debt-to-Equity Ratio</w:t>
      </w:r>
      <w:r w:rsidR="005F4F04"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5F4F04" w:rsidRPr="0030453B">
        <w:rPr>
          <w:rFonts w:ascii="Arial" w:eastAsia="Times New Roman" w:hAnsi="Arial" w:cs="Arial"/>
          <w:sz w:val="24"/>
          <w:szCs w:val="24"/>
        </w:rPr>
        <w:t xml:space="preserve"> </w:t>
      </w:r>
      <w:r w:rsidRPr="0030453B">
        <w:rPr>
          <w:rFonts w:ascii="Arial" w:eastAsia="Times New Roman" w:hAnsi="Arial" w:cs="Arial"/>
          <w:sz w:val="24"/>
          <w:szCs w:val="24"/>
        </w:rPr>
        <w:t>Total Liabilities</w:t>
      </w:r>
      <w:r w:rsidR="005F4F04"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Shareholders’ Equity </w:t>
      </w:r>
    </w:p>
    <w:p w14:paraId="4BCE7868" w14:textId="77777777" w:rsidR="00B43ED0" w:rsidRPr="0030453B" w:rsidRDefault="00B43ED0"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increased sharply from 0.63 in 2020 to 1.11 in 2024. Although total liabilities declined after 2022, shareholders’ equity contracted more rapidly due to sustained losses, resulting in rising leverage. This indicates heightened financial risk, as a greater proportion of the firm’s assets is financed through debt. The debt ratio, defined as</w:t>
      </w:r>
    </w:p>
    <w:p w14:paraId="4AEE1E79" w14:textId="79CAD838" w:rsidR="00B43ED0" w:rsidRPr="0030453B" w:rsidRDefault="00B43ED0"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Debt Ratio</w:t>
      </w:r>
      <w:r w:rsidR="005F4F04"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5F4F04" w:rsidRPr="0030453B">
        <w:rPr>
          <w:rFonts w:ascii="Arial" w:eastAsia="Times New Roman" w:hAnsi="Arial" w:cs="Arial"/>
          <w:sz w:val="24"/>
          <w:szCs w:val="24"/>
        </w:rPr>
        <w:t xml:space="preserve"> </w:t>
      </w:r>
      <w:r w:rsidRPr="0030453B">
        <w:rPr>
          <w:rFonts w:ascii="Arial" w:eastAsia="Times New Roman" w:hAnsi="Arial" w:cs="Arial"/>
          <w:sz w:val="24"/>
          <w:szCs w:val="24"/>
        </w:rPr>
        <w:t>Total Liabilities</w:t>
      </w:r>
      <w:r w:rsidR="005F4F04"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Total Assets </w:t>
      </w:r>
    </w:p>
    <w:p w14:paraId="2C13E8FE" w14:textId="77777777" w:rsidR="00B43ED0" w:rsidRPr="0030453B" w:rsidRDefault="00B43ED0"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also increased to 52.7% in 2024, reinforcing concerns regarding solvency in a volatile and cyclical industry context (Damodaran, 2021).</w:t>
      </w:r>
    </w:p>
    <w:p w14:paraId="12DE145E" w14:textId="77777777" w:rsidR="00B43ED0" w:rsidRPr="0030453B" w:rsidRDefault="00B43ED0"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Debt service capacity deteriorated even more severely. The interest coverage ratio, calculated as</w:t>
      </w:r>
    </w:p>
    <w:p w14:paraId="6CC0278C" w14:textId="029244A4" w:rsidR="00B43ED0" w:rsidRPr="0030453B" w:rsidRDefault="00B43ED0"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Interest Coverage</w:t>
      </w:r>
      <w:r w:rsidR="005F4F04"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5F4F04" w:rsidRPr="0030453B">
        <w:rPr>
          <w:rFonts w:ascii="Arial" w:eastAsia="Times New Roman" w:hAnsi="Arial" w:cs="Arial"/>
          <w:sz w:val="24"/>
          <w:szCs w:val="24"/>
        </w:rPr>
        <w:t xml:space="preserve"> </w:t>
      </w:r>
      <w:r w:rsidRPr="0030453B">
        <w:rPr>
          <w:rFonts w:ascii="Arial" w:eastAsia="Times New Roman" w:hAnsi="Arial" w:cs="Arial"/>
          <w:sz w:val="24"/>
          <w:szCs w:val="24"/>
        </w:rPr>
        <w:t>Operating Income</w:t>
      </w:r>
      <w:r w:rsidR="005F4F04" w:rsidRPr="0030453B">
        <w:rPr>
          <w:rFonts w:ascii="Arial" w:eastAsia="Times New Roman" w:hAnsi="Arial" w:cs="Arial"/>
          <w:sz w:val="24"/>
          <w:szCs w:val="24"/>
        </w:rPr>
        <w:t xml:space="preserve"> / </w:t>
      </w:r>
      <w:r w:rsidRPr="0030453B">
        <w:rPr>
          <w:rFonts w:ascii="Arial" w:eastAsia="Times New Roman" w:hAnsi="Arial" w:cs="Arial"/>
          <w:sz w:val="24"/>
          <w:szCs w:val="24"/>
        </w:rPr>
        <w:t xml:space="preserve">Interest Expense </w:t>
      </w:r>
    </w:p>
    <w:p w14:paraId="58397DAB" w14:textId="1F4432F0" w:rsidR="00B43ED0" w:rsidRPr="0030453B" w:rsidRDefault="00B43ED0"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collapsed from strong positive levels in 2020–2021 to deeply negative values in 2023 and 2024. Negative coverage indicates that operating losses were insufficient to meet interest obligations, forcing reliance on cash reserves or external financing. Brigham and Ehrhardt (2020) identify negative interest coverage as a critical distress indicator, often preceding default without immediate restructuring. Overall, the leverage and solvency analysis </w:t>
      </w:r>
      <w:proofErr w:type="gramStart"/>
      <w:r w:rsidRPr="0030453B">
        <w:rPr>
          <w:rFonts w:ascii="Arial" w:eastAsia="Times New Roman" w:hAnsi="Arial" w:cs="Arial"/>
          <w:sz w:val="24"/>
          <w:szCs w:val="24"/>
        </w:rPr>
        <w:t>highlights</w:t>
      </w:r>
      <w:proofErr w:type="gramEnd"/>
      <w:r w:rsidRPr="0030453B">
        <w:rPr>
          <w:rFonts w:ascii="Arial" w:eastAsia="Times New Roman" w:hAnsi="Arial" w:cs="Arial"/>
          <w:sz w:val="24"/>
          <w:szCs w:val="24"/>
        </w:rPr>
        <w:t xml:space="preserve"> an unsustainable capital structure requiring urgent debt restructuring or equity infusion to restore financial stability.</w:t>
      </w:r>
    </w:p>
    <w:p w14:paraId="3096E5E2" w14:textId="7A31A153" w:rsidR="00B43ED0" w:rsidRPr="00161377" w:rsidRDefault="00B43ED0" w:rsidP="00161377">
      <w:pPr>
        <w:spacing w:line="276" w:lineRule="auto"/>
        <w:jc w:val="both"/>
        <w:rPr>
          <w:rFonts w:ascii="Arial" w:hAnsi="Arial" w:cs="Arial"/>
          <w:sz w:val="24"/>
          <w:szCs w:val="24"/>
        </w:rPr>
      </w:pPr>
      <w:r w:rsidRPr="00161377">
        <w:rPr>
          <w:rFonts w:ascii="Arial" w:hAnsi="Arial" w:cs="Arial"/>
          <w:sz w:val="24"/>
          <w:szCs w:val="24"/>
        </w:rPr>
        <w:t>Table 2.</w:t>
      </w:r>
      <w:r w:rsidR="00841345" w:rsidRPr="00161377">
        <w:rPr>
          <w:rFonts w:ascii="Arial" w:hAnsi="Arial" w:cs="Arial"/>
          <w:sz w:val="24"/>
          <w:szCs w:val="24"/>
        </w:rPr>
        <w:t>3</w:t>
      </w:r>
      <w:r w:rsidRPr="00161377">
        <w:rPr>
          <w:rFonts w:ascii="Arial" w:hAnsi="Arial" w:cs="Arial"/>
          <w:sz w:val="24"/>
          <w:szCs w:val="24"/>
        </w:rPr>
        <w:t>: Leverage and Solvency Indicators (2020–2024)</w:t>
      </w:r>
    </w:p>
    <w:tbl>
      <w:tblPr>
        <w:tblStyle w:val="TableGrid"/>
        <w:tblW w:w="0" w:type="auto"/>
        <w:jc w:val="center"/>
        <w:tblLook w:val="04A0" w:firstRow="1" w:lastRow="0" w:firstColumn="1" w:lastColumn="0" w:noHBand="0" w:noVBand="1"/>
      </w:tblPr>
      <w:tblGrid>
        <w:gridCol w:w="750"/>
        <w:gridCol w:w="2377"/>
        <w:gridCol w:w="1790"/>
        <w:gridCol w:w="2491"/>
      </w:tblGrid>
      <w:tr w:rsidR="00B43ED0" w:rsidRPr="00C31C59" w14:paraId="6880EC19" w14:textId="77777777" w:rsidTr="00841345">
        <w:trPr>
          <w:jc w:val="center"/>
        </w:trPr>
        <w:tc>
          <w:tcPr>
            <w:tcW w:w="0" w:type="auto"/>
            <w:hideMark/>
          </w:tcPr>
          <w:p w14:paraId="27FDE3FF"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Year</w:t>
            </w:r>
          </w:p>
        </w:tc>
        <w:tc>
          <w:tcPr>
            <w:tcW w:w="0" w:type="auto"/>
            <w:hideMark/>
          </w:tcPr>
          <w:p w14:paraId="52207FC2"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Debt-to-Equity Ratio</w:t>
            </w:r>
          </w:p>
        </w:tc>
        <w:tc>
          <w:tcPr>
            <w:tcW w:w="0" w:type="auto"/>
            <w:hideMark/>
          </w:tcPr>
          <w:p w14:paraId="43D21250"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Debt Ratio (%)</w:t>
            </w:r>
          </w:p>
        </w:tc>
        <w:tc>
          <w:tcPr>
            <w:tcW w:w="0" w:type="auto"/>
            <w:hideMark/>
          </w:tcPr>
          <w:p w14:paraId="6D1562EC"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Interest Coverage (×)</w:t>
            </w:r>
          </w:p>
        </w:tc>
      </w:tr>
      <w:tr w:rsidR="00B43ED0" w:rsidRPr="00C31C59" w14:paraId="1F794A59" w14:textId="77777777" w:rsidTr="00841345">
        <w:trPr>
          <w:jc w:val="center"/>
        </w:trPr>
        <w:tc>
          <w:tcPr>
            <w:tcW w:w="0" w:type="auto"/>
            <w:hideMark/>
          </w:tcPr>
          <w:p w14:paraId="34EE585E"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2020</w:t>
            </w:r>
          </w:p>
        </w:tc>
        <w:tc>
          <w:tcPr>
            <w:tcW w:w="0" w:type="auto"/>
            <w:hideMark/>
          </w:tcPr>
          <w:p w14:paraId="36C0ED75"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0.63</w:t>
            </w:r>
          </w:p>
        </w:tc>
        <w:tc>
          <w:tcPr>
            <w:tcW w:w="0" w:type="auto"/>
            <w:hideMark/>
          </w:tcPr>
          <w:p w14:paraId="22627D25"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38.6</w:t>
            </w:r>
          </w:p>
        </w:tc>
        <w:tc>
          <w:tcPr>
            <w:tcW w:w="0" w:type="auto"/>
            <w:hideMark/>
          </w:tcPr>
          <w:p w14:paraId="3767AD8A"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26.21</w:t>
            </w:r>
          </w:p>
        </w:tc>
      </w:tr>
      <w:tr w:rsidR="00B43ED0" w:rsidRPr="00C31C59" w14:paraId="5D8CA9DA" w14:textId="77777777" w:rsidTr="00841345">
        <w:trPr>
          <w:jc w:val="center"/>
        </w:trPr>
        <w:tc>
          <w:tcPr>
            <w:tcW w:w="0" w:type="auto"/>
            <w:hideMark/>
          </w:tcPr>
          <w:p w14:paraId="0B25E930"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2021</w:t>
            </w:r>
          </w:p>
        </w:tc>
        <w:tc>
          <w:tcPr>
            <w:tcW w:w="0" w:type="auto"/>
            <w:hideMark/>
          </w:tcPr>
          <w:p w14:paraId="486F9A66"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0.85</w:t>
            </w:r>
          </w:p>
        </w:tc>
        <w:tc>
          <w:tcPr>
            <w:tcW w:w="0" w:type="auto"/>
            <w:hideMark/>
          </w:tcPr>
          <w:p w14:paraId="7C830B39"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45.9</w:t>
            </w:r>
          </w:p>
        </w:tc>
        <w:tc>
          <w:tcPr>
            <w:tcW w:w="0" w:type="auto"/>
            <w:hideMark/>
          </w:tcPr>
          <w:p w14:paraId="4A52978C"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41.09</w:t>
            </w:r>
          </w:p>
        </w:tc>
      </w:tr>
      <w:tr w:rsidR="00B43ED0" w:rsidRPr="00C31C59" w14:paraId="076A18E9" w14:textId="77777777" w:rsidTr="00841345">
        <w:trPr>
          <w:jc w:val="center"/>
        </w:trPr>
        <w:tc>
          <w:tcPr>
            <w:tcW w:w="0" w:type="auto"/>
            <w:hideMark/>
          </w:tcPr>
          <w:p w14:paraId="785D01C9"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2022</w:t>
            </w:r>
          </w:p>
        </w:tc>
        <w:tc>
          <w:tcPr>
            <w:tcW w:w="0" w:type="auto"/>
            <w:hideMark/>
          </w:tcPr>
          <w:p w14:paraId="231A63F2"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0.88</w:t>
            </w:r>
          </w:p>
        </w:tc>
        <w:tc>
          <w:tcPr>
            <w:tcW w:w="0" w:type="auto"/>
            <w:hideMark/>
          </w:tcPr>
          <w:p w14:paraId="4679125B"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46.8</w:t>
            </w:r>
          </w:p>
        </w:tc>
        <w:tc>
          <w:tcPr>
            <w:tcW w:w="0" w:type="auto"/>
            <w:hideMark/>
          </w:tcPr>
          <w:p w14:paraId="2DC205ED"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6.61</w:t>
            </w:r>
          </w:p>
        </w:tc>
      </w:tr>
      <w:tr w:rsidR="00B43ED0" w:rsidRPr="00C31C59" w14:paraId="66D0D2B2" w14:textId="77777777" w:rsidTr="00841345">
        <w:trPr>
          <w:jc w:val="center"/>
        </w:trPr>
        <w:tc>
          <w:tcPr>
            <w:tcW w:w="0" w:type="auto"/>
            <w:hideMark/>
          </w:tcPr>
          <w:p w14:paraId="0C4A64E2"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2023</w:t>
            </w:r>
          </w:p>
        </w:tc>
        <w:tc>
          <w:tcPr>
            <w:tcW w:w="0" w:type="auto"/>
            <w:hideMark/>
          </w:tcPr>
          <w:p w14:paraId="1D0CFB75"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0.99</w:t>
            </w:r>
          </w:p>
        </w:tc>
        <w:tc>
          <w:tcPr>
            <w:tcW w:w="0" w:type="auto"/>
            <w:hideMark/>
          </w:tcPr>
          <w:p w14:paraId="16178AAD"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49.7</w:t>
            </w:r>
          </w:p>
        </w:tc>
        <w:tc>
          <w:tcPr>
            <w:tcW w:w="0" w:type="auto"/>
            <w:hideMark/>
          </w:tcPr>
          <w:p w14:paraId="202FDA27"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-19.69</w:t>
            </w:r>
          </w:p>
        </w:tc>
      </w:tr>
      <w:tr w:rsidR="00B43ED0" w:rsidRPr="00C31C59" w14:paraId="77D5D71E" w14:textId="77777777" w:rsidTr="00841345">
        <w:trPr>
          <w:jc w:val="center"/>
        </w:trPr>
        <w:tc>
          <w:tcPr>
            <w:tcW w:w="0" w:type="auto"/>
            <w:hideMark/>
          </w:tcPr>
          <w:p w14:paraId="742FF045"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lastRenderedPageBreak/>
              <w:t>2024</w:t>
            </w:r>
          </w:p>
        </w:tc>
        <w:tc>
          <w:tcPr>
            <w:tcW w:w="0" w:type="auto"/>
            <w:hideMark/>
          </w:tcPr>
          <w:p w14:paraId="6E217FB3"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1.11</w:t>
            </w:r>
          </w:p>
        </w:tc>
        <w:tc>
          <w:tcPr>
            <w:tcW w:w="0" w:type="auto"/>
            <w:hideMark/>
          </w:tcPr>
          <w:p w14:paraId="162CE0F4"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52.7</w:t>
            </w:r>
          </w:p>
        </w:tc>
        <w:tc>
          <w:tcPr>
            <w:tcW w:w="0" w:type="auto"/>
            <w:hideMark/>
          </w:tcPr>
          <w:p w14:paraId="52BEABE8" w14:textId="77777777" w:rsidR="00B43ED0" w:rsidRPr="00C31C59" w:rsidRDefault="00B43ED0"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-4.55</w:t>
            </w:r>
          </w:p>
        </w:tc>
      </w:tr>
    </w:tbl>
    <w:p w14:paraId="50253DDB" w14:textId="77777777" w:rsidR="00B21412" w:rsidRPr="0030453B" w:rsidRDefault="00B21412" w:rsidP="0030453B">
      <w:pPr>
        <w:pStyle w:val="Heading3"/>
      </w:pPr>
      <w:bookmarkStart w:id="6" w:name="_Toc217322932"/>
      <w:r w:rsidRPr="0030453B">
        <w:t>2.5 Corporate Failure Prediction: Altman Z-Score</w:t>
      </w:r>
      <w:bookmarkEnd w:id="6"/>
    </w:p>
    <w:p w14:paraId="5E84FB21" w14:textId="77777777" w:rsidR="005D5658" w:rsidRPr="0030453B" w:rsidRDefault="005D5658"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The Altman Z-Score model evaluates bankruptcy risk using a weighted combination of liquidity, profitability, solvency, and efficiency indicators (Altman, 1968). For manufacturing firms, the model is defined as:</w:t>
      </w:r>
    </w:p>
    <w:p w14:paraId="2EA31AE6" w14:textId="61C4D9CB" w:rsidR="005D5658" w:rsidRPr="0030453B" w:rsidRDefault="00F6575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Z=1.2</m:t>
          </m:r>
          <m:sSub>
            <m:sSubPr>
              <m:ctrlPr>
                <w:rPr>
                  <w:rFonts w:ascii="Cambria Math" w:eastAsia="Times New Roman" w:hAnsi="Cambria Math" w:cs="Arial"/>
                  <w:i/>
                  <w:sz w:val="24"/>
                  <w:szCs w:val="24"/>
                </w:rPr>
              </m:ctrlPr>
            </m:sSubPr>
            <m:e>
              <m:r>
                <w:rPr>
                  <w:rFonts w:ascii="Cambria Math" w:eastAsia="Times New Roman" w:hAnsi="Cambria Math" w:cs="Arial"/>
                  <w:sz w:val="24"/>
                  <w:szCs w:val="24"/>
                </w:rPr>
                <m:t>X</m:t>
              </m:r>
            </m:e>
            <m:sub>
              <m:r>
                <w:rPr>
                  <w:rFonts w:ascii="Cambria Math" w:eastAsia="Times New Roman" w:hAnsi="Cambria Math" w:cs="Arial"/>
                  <w:sz w:val="24"/>
                  <w:szCs w:val="24"/>
                </w:rPr>
                <m:t>1</m:t>
              </m:r>
            </m:sub>
          </m:sSub>
          <m:r>
            <w:rPr>
              <w:rFonts w:ascii="Cambria Math" w:eastAsia="Times New Roman" w:hAnsi="Cambria Math" w:cs="Arial"/>
              <w:sz w:val="24"/>
              <w:szCs w:val="24"/>
            </w:rPr>
            <m:t>​+1.4</m:t>
          </m:r>
          <m:sSub>
            <m:sSubPr>
              <m:ctrlPr>
                <w:rPr>
                  <w:rFonts w:ascii="Cambria Math" w:eastAsia="Times New Roman" w:hAnsi="Cambria Math" w:cs="Arial"/>
                  <w:i/>
                  <w:sz w:val="24"/>
                  <w:szCs w:val="24"/>
                </w:rPr>
              </m:ctrlPr>
            </m:sSubPr>
            <m:e>
              <m:r>
                <w:rPr>
                  <w:rFonts w:ascii="Cambria Math" w:eastAsia="Times New Roman" w:hAnsi="Cambria Math" w:cs="Arial"/>
                  <w:sz w:val="24"/>
                  <w:szCs w:val="24"/>
                </w:rPr>
                <m:t>X</m:t>
              </m:r>
            </m:e>
            <m:sub>
              <m:r>
                <w:rPr>
                  <w:rFonts w:ascii="Cambria Math" w:eastAsia="Times New Roman" w:hAnsi="Cambria Math" w:cs="Arial"/>
                  <w:sz w:val="24"/>
                  <w:szCs w:val="24"/>
                </w:rPr>
                <m:t>2</m:t>
              </m:r>
            </m:sub>
          </m:sSub>
          <m:r>
            <w:rPr>
              <w:rFonts w:ascii="Cambria Math" w:eastAsia="Times New Roman" w:hAnsi="Cambria Math" w:cs="Arial"/>
              <w:sz w:val="24"/>
              <w:szCs w:val="24"/>
            </w:rPr>
            <m:t>​+3.3</m:t>
          </m:r>
          <m:sSub>
            <m:sSubPr>
              <m:ctrlPr>
                <w:rPr>
                  <w:rFonts w:ascii="Cambria Math" w:eastAsia="Times New Roman" w:hAnsi="Cambria Math" w:cs="Arial"/>
                  <w:i/>
                  <w:sz w:val="24"/>
                  <w:szCs w:val="24"/>
                </w:rPr>
              </m:ctrlPr>
            </m:sSubPr>
            <m:e>
              <m:r>
                <w:rPr>
                  <w:rFonts w:ascii="Cambria Math" w:eastAsia="Times New Roman" w:hAnsi="Cambria Math" w:cs="Arial"/>
                  <w:sz w:val="24"/>
                  <w:szCs w:val="24"/>
                </w:rPr>
                <m:t>X</m:t>
              </m:r>
            </m:e>
            <m:sub>
              <m:r>
                <w:rPr>
                  <w:rFonts w:ascii="Cambria Math" w:eastAsia="Times New Roman" w:hAnsi="Cambria Math" w:cs="Arial"/>
                  <w:sz w:val="24"/>
                  <w:szCs w:val="24"/>
                </w:rPr>
                <m:t>3</m:t>
              </m:r>
            </m:sub>
          </m:sSub>
          <m:r>
            <w:rPr>
              <w:rFonts w:ascii="Cambria Math" w:eastAsia="Times New Roman" w:hAnsi="Cambria Math" w:cs="Arial"/>
              <w:sz w:val="24"/>
              <w:szCs w:val="24"/>
            </w:rPr>
            <m:t>​+0.6</m:t>
          </m:r>
          <m:sSub>
            <m:sSubPr>
              <m:ctrlPr>
                <w:rPr>
                  <w:rFonts w:ascii="Cambria Math" w:eastAsia="Times New Roman" w:hAnsi="Cambria Math" w:cs="Arial"/>
                  <w:i/>
                  <w:sz w:val="24"/>
                  <w:szCs w:val="24"/>
                </w:rPr>
              </m:ctrlPr>
            </m:sSubPr>
            <m:e>
              <m:r>
                <w:rPr>
                  <w:rFonts w:ascii="Cambria Math" w:eastAsia="Times New Roman" w:hAnsi="Cambria Math" w:cs="Arial"/>
                  <w:sz w:val="24"/>
                  <w:szCs w:val="24"/>
                </w:rPr>
                <m:t>X</m:t>
              </m:r>
            </m:e>
            <m:sub>
              <m:r>
                <w:rPr>
                  <w:rFonts w:ascii="Cambria Math" w:eastAsia="Times New Roman" w:hAnsi="Cambria Math" w:cs="Arial"/>
                  <w:sz w:val="24"/>
                  <w:szCs w:val="24"/>
                </w:rPr>
                <m:t>4</m:t>
              </m:r>
            </m:sub>
          </m:sSub>
          <m:r>
            <w:rPr>
              <w:rFonts w:ascii="Cambria Math" w:eastAsia="Times New Roman" w:hAnsi="Cambria Math" w:cs="Arial"/>
              <w:sz w:val="24"/>
              <w:szCs w:val="24"/>
            </w:rPr>
            <m:t>​+1.0</m:t>
          </m:r>
          <m:sSub>
            <m:sSubPr>
              <m:ctrlPr>
                <w:rPr>
                  <w:rFonts w:ascii="Cambria Math" w:eastAsia="Times New Roman" w:hAnsi="Cambria Math" w:cs="Arial"/>
                  <w:i/>
                  <w:sz w:val="24"/>
                  <w:szCs w:val="24"/>
                </w:rPr>
              </m:ctrlPr>
            </m:sSubPr>
            <m:e>
              <m:r>
                <w:rPr>
                  <w:rFonts w:ascii="Cambria Math" w:eastAsia="Times New Roman" w:hAnsi="Cambria Math" w:cs="Arial"/>
                  <w:sz w:val="24"/>
                  <w:szCs w:val="24"/>
                </w:rPr>
                <m:t>X</m:t>
              </m:r>
            </m:e>
            <m:sub>
              <m:r>
                <w:rPr>
                  <w:rFonts w:ascii="Cambria Math" w:eastAsia="Times New Roman" w:hAnsi="Cambria Math" w:cs="Arial"/>
                  <w:sz w:val="24"/>
                  <w:szCs w:val="24"/>
                </w:rPr>
                <m:t>5</m:t>
              </m:r>
            </m:sub>
          </m:sSub>
          <m:r>
            <w:rPr>
              <w:rFonts w:ascii="Cambria Math" w:eastAsia="Times New Roman" w:hAnsi="Cambria Math" w:cs="Arial"/>
              <w:sz w:val="24"/>
              <w:szCs w:val="24"/>
            </w:rPr>
            <m:t xml:space="preserve">​ </m:t>
          </m:r>
        </m:oMath>
      </m:oMathPara>
    </w:p>
    <w:p w14:paraId="58D78CD2" w14:textId="07B40D59" w:rsidR="00BA54A2" w:rsidRPr="00C31C59" w:rsidRDefault="00BA54A2" w:rsidP="00DE2C7B">
      <w:pPr>
        <w:spacing w:before="100" w:beforeAutospacing="1" w:after="100" w:afterAutospacing="1" w:line="276" w:lineRule="auto"/>
        <w:jc w:val="both"/>
        <w:rPr>
          <w:rFonts w:ascii="Arial" w:eastAsia="Times New Roman" w:hAnsi="Arial" w:cs="Arial"/>
          <w:sz w:val="24"/>
          <w:szCs w:val="24"/>
        </w:rPr>
      </w:pPr>
      <w:r w:rsidRPr="00C31C59">
        <w:rPr>
          <w:rFonts w:ascii="Arial" w:eastAsia="Times New Roman" w:hAnsi="Arial" w:cs="Arial"/>
          <w:sz w:val="24"/>
          <w:szCs w:val="24"/>
        </w:rPr>
        <w:t>Table 2.</w:t>
      </w:r>
      <w:r w:rsidR="00A62B5E" w:rsidRPr="00C31C59">
        <w:rPr>
          <w:rFonts w:ascii="Arial" w:eastAsia="Times New Roman" w:hAnsi="Arial" w:cs="Arial"/>
          <w:sz w:val="24"/>
          <w:szCs w:val="24"/>
        </w:rPr>
        <w:t>4</w:t>
      </w:r>
      <w:r w:rsidRPr="00C31C59">
        <w:rPr>
          <w:rFonts w:ascii="Arial" w:eastAsia="Times New Roman" w:hAnsi="Arial" w:cs="Arial"/>
          <w:sz w:val="24"/>
          <w:szCs w:val="24"/>
        </w:rPr>
        <w:t>: Altman Z-Score Calculation for General Electronics (2024)</w:t>
      </w:r>
    </w:p>
    <w:tbl>
      <w:tblPr>
        <w:tblStyle w:val="TableGrid"/>
        <w:tblW w:w="0" w:type="auto"/>
        <w:tblLook w:val="04A0" w:firstRow="1" w:lastRow="0" w:firstColumn="1" w:lastColumn="0" w:noHBand="0" w:noVBand="1"/>
      </w:tblPr>
      <w:tblGrid>
        <w:gridCol w:w="1457"/>
        <w:gridCol w:w="1278"/>
        <w:gridCol w:w="2987"/>
        <w:gridCol w:w="883"/>
        <w:gridCol w:w="963"/>
        <w:gridCol w:w="1782"/>
      </w:tblGrid>
      <w:tr w:rsidR="00BA54A2" w:rsidRPr="00C31C59" w14:paraId="65416AF8" w14:textId="77777777" w:rsidTr="00F65756">
        <w:tc>
          <w:tcPr>
            <w:tcW w:w="0" w:type="auto"/>
            <w:hideMark/>
          </w:tcPr>
          <w:p w14:paraId="604236BE"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Component</w:t>
            </w:r>
          </w:p>
        </w:tc>
        <w:tc>
          <w:tcPr>
            <w:tcW w:w="0" w:type="auto"/>
            <w:hideMark/>
          </w:tcPr>
          <w:p w14:paraId="673B0AC9"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Formula</w:t>
            </w:r>
          </w:p>
        </w:tc>
        <w:tc>
          <w:tcPr>
            <w:tcW w:w="0" w:type="auto"/>
            <w:hideMark/>
          </w:tcPr>
          <w:p w14:paraId="5F19B335"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Calculation</w:t>
            </w:r>
          </w:p>
        </w:tc>
        <w:tc>
          <w:tcPr>
            <w:tcW w:w="0" w:type="auto"/>
            <w:hideMark/>
          </w:tcPr>
          <w:p w14:paraId="77FCF18F"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Value</w:t>
            </w:r>
          </w:p>
        </w:tc>
        <w:tc>
          <w:tcPr>
            <w:tcW w:w="0" w:type="auto"/>
            <w:hideMark/>
          </w:tcPr>
          <w:p w14:paraId="3DCBFE13"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Weight</w:t>
            </w:r>
          </w:p>
        </w:tc>
        <w:tc>
          <w:tcPr>
            <w:tcW w:w="0" w:type="auto"/>
            <w:hideMark/>
          </w:tcPr>
          <w:p w14:paraId="55DEF3F2"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Weighted Score</w:t>
            </w:r>
          </w:p>
        </w:tc>
      </w:tr>
      <w:tr w:rsidR="00BA54A2" w:rsidRPr="00C31C59" w14:paraId="75FA10DA" w14:textId="77777777" w:rsidTr="00F65756">
        <w:tc>
          <w:tcPr>
            <w:tcW w:w="0" w:type="auto"/>
            <w:hideMark/>
          </w:tcPr>
          <w:p w14:paraId="19B1A70E"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X</w:t>
            </w:r>
            <w:r w:rsidRPr="00C31C59">
              <w:rPr>
                <w:rFonts w:ascii="Cambria Math" w:eastAsia="Times New Roman" w:hAnsi="Cambria Math" w:cs="Cambria Math"/>
                <w:sz w:val="24"/>
                <w:szCs w:val="24"/>
              </w:rPr>
              <w:t>₁</w:t>
            </w:r>
          </w:p>
        </w:tc>
        <w:tc>
          <w:tcPr>
            <w:tcW w:w="0" w:type="auto"/>
            <w:hideMark/>
          </w:tcPr>
          <w:p w14:paraId="4F627A55"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WC / TA</w:t>
            </w:r>
          </w:p>
        </w:tc>
        <w:tc>
          <w:tcPr>
            <w:tcW w:w="0" w:type="auto"/>
            <w:hideMark/>
          </w:tcPr>
          <w:p w14:paraId="0FFBFC34"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(242,494 - 158,291) / 323,354</w:t>
            </w:r>
          </w:p>
        </w:tc>
        <w:tc>
          <w:tcPr>
            <w:tcW w:w="0" w:type="auto"/>
            <w:hideMark/>
          </w:tcPr>
          <w:p w14:paraId="51070AE4"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0.260</w:t>
            </w:r>
          </w:p>
        </w:tc>
        <w:tc>
          <w:tcPr>
            <w:tcW w:w="0" w:type="auto"/>
            <w:hideMark/>
          </w:tcPr>
          <w:p w14:paraId="1639A8EB"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1.2</w:t>
            </w:r>
          </w:p>
        </w:tc>
        <w:tc>
          <w:tcPr>
            <w:tcW w:w="0" w:type="auto"/>
            <w:hideMark/>
          </w:tcPr>
          <w:p w14:paraId="3D11FBEA"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0.312</w:t>
            </w:r>
          </w:p>
        </w:tc>
      </w:tr>
      <w:tr w:rsidR="00BA54A2" w:rsidRPr="00C31C59" w14:paraId="3940C48C" w14:textId="77777777" w:rsidTr="00F65756">
        <w:tc>
          <w:tcPr>
            <w:tcW w:w="0" w:type="auto"/>
            <w:hideMark/>
          </w:tcPr>
          <w:p w14:paraId="15657B07"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X</w:t>
            </w:r>
            <w:r w:rsidRPr="00C31C59">
              <w:rPr>
                <w:rFonts w:ascii="Cambria Math" w:eastAsia="Times New Roman" w:hAnsi="Cambria Math" w:cs="Cambria Math"/>
                <w:sz w:val="24"/>
                <w:szCs w:val="24"/>
              </w:rPr>
              <w:t>₂</w:t>
            </w:r>
          </w:p>
        </w:tc>
        <w:tc>
          <w:tcPr>
            <w:tcW w:w="0" w:type="auto"/>
            <w:hideMark/>
          </w:tcPr>
          <w:p w14:paraId="712D6A85"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RE / TA</w:t>
            </w:r>
          </w:p>
        </w:tc>
        <w:tc>
          <w:tcPr>
            <w:tcW w:w="0" w:type="auto"/>
            <w:hideMark/>
          </w:tcPr>
          <w:p w14:paraId="765C6C3F"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208,431 / 323,354</w:t>
            </w:r>
          </w:p>
        </w:tc>
        <w:tc>
          <w:tcPr>
            <w:tcW w:w="0" w:type="auto"/>
            <w:hideMark/>
          </w:tcPr>
          <w:p w14:paraId="52B19782"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0.645</w:t>
            </w:r>
          </w:p>
        </w:tc>
        <w:tc>
          <w:tcPr>
            <w:tcW w:w="0" w:type="auto"/>
            <w:hideMark/>
          </w:tcPr>
          <w:p w14:paraId="020E425A"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1.4</w:t>
            </w:r>
          </w:p>
        </w:tc>
        <w:tc>
          <w:tcPr>
            <w:tcW w:w="0" w:type="auto"/>
            <w:hideMark/>
          </w:tcPr>
          <w:p w14:paraId="78142E4A"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0.903</w:t>
            </w:r>
          </w:p>
        </w:tc>
      </w:tr>
      <w:tr w:rsidR="00BA54A2" w:rsidRPr="00C31C59" w14:paraId="3B04F27D" w14:textId="77777777" w:rsidTr="00F65756">
        <w:tc>
          <w:tcPr>
            <w:tcW w:w="0" w:type="auto"/>
            <w:hideMark/>
          </w:tcPr>
          <w:p w14:paraId="04C0FC6A"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X</w:t>
            </w:r>
            <w:r w:rsidRPr="00C31C59">
              <w:rPr>
                <w:rFonts w:ascii="Cambria Math" w:eastAsia="Times New Roman" w:hAnsi="Cambria Math" w:cs="Cambria Math"/>
                <w:sz w:val="24"/>
                <w:szCs w:val="24"/>
              </w:rPr>
              <w:t>₃</w:t>
            </w:r>
          </w:p>
        </w:tc>
        <w:tc>
          <w:tcPr>
            <w:tcW w:w="0" w:type="auto"/>
            <w:hideMark/>
          </w:tcPr>
          <w:p w14:paraId="7AA021E8"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EBIT / TA</w:t>
            </w:r>
          </w:p>
        </w:tc>
        <w:tc>
          <w:tcPr>
            <w:tcW w:w="0" w:type="auto"/>
            <w:hideMark/>
          </w:tcPr>
          <w:p w14:paraId="6C41B258"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(15,297) / 323,354</w:t>
            </w:r>
          </w:p>
        </w:tc>
        <w:tc>
          <w:tcPr>
            <w:tcW w:w="0" w:type="auto"/>
            <w:hideMark/>
          </w:tcPr>
          <w:p w14:paraId="2F63DDEB"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-0.047</w:t>
            </w:r>
          </w:p>
        </w:tc>
        <w:tc>
          <w:tcPr>
            <w:tcW w:w="0" w:type="auto"/>
            <w:hideMark/>
          </w:tcPr>
          <w:p w14:paraId="25455544"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3.3</w:t>
            </w:r>
          </w:p>
        </w:tc>
        <w:tc>
          <w:tcPr>
            <w:tcW w:w="0" w:type="auto"/>
            <w:hideMark/>
          </w:tcPr>
          <w:p w14:paraId="6FE4E3D2"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-0.156</w:t>
            </w:r>
          </w:p>
        </w:tc>
      </w:tr>
      <w:tr w:rsidR="00BA54A2" w:rsidRPr="00C31C59" w14:paraId="59C779D2" w14:textId="77777777" w:rsidTr="00F65756">
        <w:tc>
          <w:tcPr>
            <w:tcW w:w="0" w:type="auto"/>
            <w:hideMark/>
          </w:tcPr>
          <w:p w14:paraId="47D78159"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X</w:t>
            </w:r>
            <w:r w:rsidRPr="00C31C59">
              <w:rPr>
                <w:rFonts w:ascii="Cambria Math" w:eastAsia="Times New Roman" w:hAnsi="Cambria Math" w:cs="Cambria Math"/>
                <w:sz w:val="24"/>
                <w:szCs w:val="24"/>
              </w:rPr>
              <w:t>₄</w:t>
            </w:r>
          </w:p>
        </w:tc>
        <w:tc>
          <w:tcPr>
            <w:tcW w:w="0" w:type="auto"/>
            <w:hideMark/>
          </w:tcPr>
          <w:p w14:paraId="318A084D"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MVE / TL</w:t>
            </w:r>
          </w:p>
        </w:tc>
        <w:tc>
          <w:tcPr>
            <w:tcW w:w="0" w:type="auto"/>
            <w:hideMark/>
          </w:tcPr>
          <w:p w14:paraId="176D4B11"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153,105 / 170,249*</w:t>
            </w:r>
          </w:p>
        </w:tc>
        <w:tc>
          <w:tcPr>
            <w:tcW w:w="0" w:type="auto"/>
            <w:hideMark/>
          </w:tcPr>
          <w:p w14:paraId="56E57D87"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0.899</w:t>
            </w:r>
          </w:p>
        </w:tc>
        <w:tc>
          <w:tcPr>
            <w:tcW w:w="0" w:type="auto"/>
            <w:hideMark/>
          </w:tcPr>
          <w:p w14:paraId="3D0D8048"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0.6</w:t>
            </w:r>
          </w:p>
        </w:tc>
        <w:tc>
          <w:tcPr>
            <w:tcW w:w="0" w:type="auto"/>
            <w:hideMark/>
          </w:tcPr>
          <w:p w14:paraId="49FF14A2"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0.539</w:t>
            </w:r>
          </w:p>
        </w:tc>
      </w:tr>
      <w:tr w:rsidR="00BA54A2" w:rsidRPr="00C31C59" w14:paraId="20228B3E" w14:textId="77777777" w:rsidTr="00F65756">
        <w:tc>
          <w:tcPr>
            <w:tcW w:w="0" w:type="auto"/>
            <w:hideMark/>
          </w:tcPr>
          <w:p w14:paraId="54994780"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X</w:t>
            </w:r>
            <w:r w:rsidRPr="00C31C59">
              <w:rPr>
                <w:rFonts w:ascii="Cambria Math" w:eastAsia="Times New Roman" w:hAnsi="Cambria Math" w:cs="Cambria Math"/>
                <w:sz w:val="24"/>
                <w:szCs w:val="24"/>
              </w:rPr>
              <w:t>₅</w:t>
            </w:r>
          </w:p>
        </w:tc>
        <w:tc>
          <w:tcPr>
            <w:tcW w:w="0" w:type="auto"/>
            <w:hideMark/>
          </w:tcPr>
          <w:p w14:paraId="1758EE04"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Sales / TA</w:t>
            </w:r>
          </w:p>
        </w:tc>
        <w:tc>
          <w:tcPr>
            <w:tcW w:w="0" w:type="auto"/>
            <w:hideMark/>
          </w:tcPr>
          <w:p w14:paraId="49AFD43D"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394,879 / 323,354</w:t>
            </w:r>
          </w:p>
        </w:tc>
        <w:tc>
          <w:tcPr>
            <w:tcW w:w="0" w:type="auto"/>
            <w:hideMark/>
          </w:tcPr>
          <w:p w14:paraId="796DF841"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1.221</w:t>
            </w:r>
          </w:p>
        </w:tc>
        <w:tc>
          <w:tcPr>
            <w:tcW w:w="0" w:type="auto"/>
            <w:hideMark/>
          </w:tcPr>
          <w:p w14:paraId="0AD9DC7D"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1.0</w:t>
            </w:r>
          </w:p>
        </w:tc>
        <w:tc>
          <w:tcPr>
            <w:tcW w:w="0" w:type="auto"/>
            <w:hideMark/>
          </w:tcPr>
          <w:p w14:paraId="62EC5916" w14:textId="77777777" w:rsidR="00BA54A2" w:rsidRPr="00C31C59" w:rsidRDefault="00BA54A2"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1.221</w:t>
            </w:r>
          </w:p>
        </w:tc>
      </w:tr>
    </w:tbl>
    <w:p w14:paraId="1178D0B6" w14:textId="77777777" w:rsidR="00B21412" w:rsidRPr="0030453B" w:rsidRDefault="00B21412" w:rsidP="00161377">
      <w:pPr>
        <w:pStyle w:val="Heading2"/>
      </w:pPr>
      <w:bookmarkStart w:id="7" w:name="_Toc217322933"/>
      <w:r w:rsidRPr="0030453B">
        <w:t>3.0 WORKING CAPITAL MANAGEMENT ANALYSIS</w:t>
      </w:r>
      <w:bookmarkEnd w:id="7"/>
    </w:p>
    <w:p w14:paraId="6A58460D" w14:textId="07A61294" w:rsidR="00D45936" w:rsidRPr="0030453B" w:rsidRDefault="00D45936" w:rsidP="00161377">
      <w:pPr>
        <w:pStyle w:val="Heading3"/>
      </w:pPr>
      <w:bookmarkStart w:id="8" w:name="_Toc217322934"/>
      <w:r w:rsidRPr="0030453B">
        <w:t>3.1 Cash Operating Cycle and Working Capital Implications</w:t>
      </w:r>
      <w:bookmarkEnd w:id="8"/>
    </w:p>
    <w:p w14:paraId="57845A55" w14:textId="77777777" w:rsidR="00D45936" w:rsidRPr="00161377" w:rsidRDefault="00D45936" w:rsidP="00DE2C7B">
      <w:pPr>
        <w:spacing w:before="100" w:beforeAutospacing="1" w:after="100" w:afterAutospacing="1" w:line="276" w:lineRule="auto"/>
        <w:jc w:val="both"/>
        <w:rPr>
          <w:rFonts w:ascii="Arial" w:eastAsia="Times New Roman" w:hAnsi="Arial" w:cs="Arial"/>
          <w:sz w:val="24"/>
          <w:szCs w:val="24"/>
        </w:rPr>
      </w:pPr>
      <w:r w:rsidRPr="00161377">
        <w:rPr>
          <w:rFonts w:ascii="Arial" w:eastAsia="Times New Roman" w:hAnsi="Arial" w:cs="Arial"/>
          <w:sz w:val="24"/>
          <w:szCs w:val="24"/>
        </w:rPr>
        <w:t>Working capital management involves the efficient coordination of current assets and current liabilities to ensure sufficient liquidity for operational continuity while minimizing financing costs. A central analytical framework within working capital analysis is the Cash Operating Cycle (COC), also referred to as the Cash Conversion Cycle, which measures the time lag between cash payments for inventory and cash receipts from customers. The cash operating cycle is defined as:</w:t>
      </w:r>
    </w:p>
    <w:p w14:paraId="0B8A4127" w14:textId="64369740" w:rsidR="00D45936" w:rsidRPr="0030453B" w:rsidRDefault="00D45936"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Cash Operating Cycle</w:t>
      </w:r>
      <w:r w:rsidR="007B699C"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7B699C" w:rsidRPr="0030453B">
        <w:rPr>
          <w:rFonts w:ascii="Arial" w:eastAsia="Times New Roman" w:hAnsi="Arial" w:cs="Arial"/>
          <w:sz w:val="24"/>
          <w:szCs w:val="24"/>
        </w:rPr>
        <w:t xml:space="preserve"> </w:t>
      </w:r>
      <w:r w:rsidRPr="0030453B">
        <w:rPr>
          <w:rFonts w:ascii="Arial" w:eastAsia="Times New Roman" w:hAnsi="Arial" w:cs="Arial"/>
          <w:sz w:val="24"/>
          <w:szCs w:val="24"/>
        </w:rPr>
        <w:t>DIO</w:t>
      </w:r>
      <w:r w:rsidR="007B699C" w:rsidRPr="0030453B">
        <w:rPr>
          <w:rFonts w:ascii="Arial" w:eastAsia="Times New Roman" w:hAnsi="Arial" w:cs="Arial"/>
          <w:sz w:val="24"/>
          <w:szCs w:val="24"/>
        </w:rPr>
        <w:t xml:space="preserve"> </w:t>
      </w:r>
      <w:r w:rsidRPr="0030453B">
        <w:rPr>
          <w:rFonts w:ascii="Arial" w:eastAsia="Times New Roman" w:hAnsi="Arial" w:cs="Arial"/>
          <w:sz w:val="24"/>
          <w:szCs w:val="24"/>
        </w:rPr>
        <w:t>+</w:t>
      </w:r>
      <w:r w:rsidR="007B699C" w:rsidRPr="0030453B">
        <w:rPr>
          <w:rFonts w:ascii="Arial" w:eastAsia="Times New Roman" w:hAnsi="Arial" w:cs="Arial"/>
          <w:sz w:val="24"/>
          <w:szCs w:val="24"/>
        </w:rPr>
        <w:t xml:space="preserve"> </w:t>
      </w:r>
      <w:r w:rsidRPr="0030453B">
        <w:rPr>
          <w:rFonts w:ascii="Arial" w:eastAsia="Times New Roman" w:hAnsi="Arial" w:cs="Arial"/>
          <w:sz w:val="24"/>
          <w:szCs w:val="24"/>
        </w:rPr>
        <w:t>DSO</w:t>
      </w:r>
      <w:r w:rsidR="00A62B5E" w:rsidRPr="0030453B">
        <w:rPr>
          <w:rFonts w:ascii="Arial" w:eastAsia="Times New Roman" w:hAnsi="Arial" w:cs="Arial"/>
          <w:sz w:val="24"/>
          <w:szCs w:val="24"/>
        </w:rPr>
        <w:t>− DPO</w:t>
      </w:r>
      <w:r w:rsidRPr="0030453B">
        <w:rPr>
          <w:rFonts w:ascii="Arial" w:eastAsia="Times New Roman" w:hAnsi="Arial" w:cs="Arial"/>
          <w:sz w:val="24"/>
          <w:szCs w:val="24"/>
        </w:rPr>
        <w:t xml:space="preserve"> </w:t>
      </w:r>
    </w:p>
    <w:p w14:paraId="51F23994" w14:textId="77777777" w:rsidR="00D45936" w:rsidRPr="0030453B" w:rsidRDefault="00D45936"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where Days Inventory Outstanding (DIO) reflects inventory holding efficiency, Days Sales Outstanding (DSO) captures receivables collection performance, and Days Payables Outstanding (DPO) represents supplier payment practices. A shorter cycle indicates superior working capital efficiency and reduced reliance on external financing, while an extended cycle signals liquidity strain and elevated financing requirements.</w:t>
      </w:r>
    </w:p>
    <w:p w14:paraId="5497B662" w14:textId="77777777" w:rsidR="00D45936" w:rsidRPr="003736AC" w:rsidRDefault="00D45936"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lastRenderedPageBreak/>
        <w:t xml:space="preserve">For General Electronics, the cash operating cycle deteriorated markedly over the review period, expanding from 107 days in 2020 to a peak of 154 days in 2023. This 44% increase reflects prolonged inventory holding periods and worsening receivables collection efficiency, only partially offset by extended payment terms to suppliers. Although the cycle improved to 130 days in 2024, this level remains substantially above industry benchmarks. Shin and Soenen (2020) suggest that consumer electronics manufacturers typically target cash operating cycles of 60–75 days to minimize </w:t>
      </w:r>
      <w:r w:rsidRPr="003736AC">
        <w:rPr>
          <w:rFonts w:ascii="Arial" w:eastAsia="Times New Roman" w:hAnsi="Arial" w:cs="Arial"/>
          <w:sz w:val="24"/>
          <w:szCs w:val="24"/>
        </w:rPr>
        <w:t>obsolescence risk and financing costs, underscoring the firm’s continued inefficiency.</w:t>
      </w:r>
    </w:p>
    <w:p w14:paraId="5B3CC2B7" w14:textId="77777777" w:rsidR="00D45936" w:rsidRPr="003736AC" w:rsidRDefault="00D45936" w:rsidP="00DE2C7B">
      <w:pPr>
        <w:spacing w:before="100" w:beforeAutospacing="1" w:after="100" w:afterAutospacing="1" w:line="276" w:lineRule="auto"/>
        <w:jc w:val="both"/>
        <w:rPr>
          <w:rFonts w:ascii="Arial" w:eastAsia="Times New Roman" w:hAnsi="Arial" w:cs="Arial"/>
          <w:sz w:val="24"/>
          <w:szCs w:val="24"/>
        </w:rPr>
      </w:pPr>
      <w:r w:rsidRPr="003736AC">
        <w:rPr>
          <w:rFonts w:ascii="Arial" w:eastAsia="Times New Roman" w:hAnsi="Arial" w:cs="Arial"/>
          <w:sz w:val="24"/>
          <w:szCs w:val="24"/>
        </w:rPr>
        <w:t>The financial implications of this extended cycle can be quantified through the Working Capital Investment requirement, expressed as:</w:t>
      </w:r>
    </w:p>
    <w:p w14:paraId="4506BCA6" w14:textId="4F3B6F60" w:rsidR="00D45936" w:rsidRPr="0030453B" w:rsidRDefault="00D45936" w:rsidP="00DE2C7B">
      <w:pPr>
        <w:spacing w:after="0" w:line="276" w:lineRule="auto"/>
        <w:jc w:val="both"/>
        <w:rPr>
          <w:rFonts w:ascii="Arial" w:eastAsia="Times New Roman" w:hAnsi="Arial" w:cs="Arial"/>
          <w:sz w:val="24"/>
          <w:szCs w:val="24"/>
        </w:rPr>
      </w:pPr>
      <w:r w:rsidRPr="0030453B">
        <w:rPr>
          <w:rFonts w:ascii="Arial" w:eastAsia="Times New Roman" w:hAnsi="Arial" w:cs="Arial"/>
          <w:sz w:val="24"/>
          <w:szCs w:val="24"/>
        </w:rPr>
        <w:t>Working Capital Investment</w:t>
      </w:r>
      <w:r w:rsidR="00C31C59">
        <w:rPr>
          <w:rFonts w:ascii="Arial" w:eastAsia="Times New Roman" w:hAnsi="Arial" w:cs="Arial"/>
          <w:sz w:val="24"/>
          <w:szCs w:val="24"/>
        </w:rPr>
        <w:t xml:space="preserve"> </w:t>
      </w:r>
      <w:r w:rsidRPr="0030453B">
        <w:rPr>
          <w:rFonts w:ascii="Arial" w:eastAsia="Times New Roman" w:hAnsi="Arial" w:cs="Arial"/>
          <w:sz w:val="24"/>
          <w:szCs w:val="24"/>
        </w:rPr>
        <w:t>=</w:t>
      </w:r>
      <w:r w:rsidR="00C31C59">
        <w:rPr>
          <w:rFonts w:ascii="Arial" w:eastAsia="Times New Roman" w:hAnsi="Arial" w:cs="Arial"/>
          <w:sz w:val="24"/>
          <w:szCs w:val="24"/>
        </w:rPr>
        <w:t xml:space="preserve"> </w:t>
      </w:r>
      <w:r w:rsidRPr="0030453B">
        <w:rPr>
          <w:rFonts w:ascii="Arial" w:eastAsia="Times New Roman" w:hAnsi="Arial" w:cs="Arial"/>
          <w:sz w:val="24"/>
          <w:szCs w:val="24"/>
        </w:rPr>
        <w:t>(Cash Operating Cycle</w:t>
      </w:r>
      <w:r w:rsidR="007B699C" w:rsidRPr="0030453B">
        <w:rPr>
          <w:rFonts w:ascii="Arial" w:eastAsia="Times New Roman" w:hAnsi="Arial" w:cs="Arial"/>
          <w:sz w:val="24"/>
          <w:szCs w:val="24"/>
        </w:rPr>
        <w:t>/</w:t>
      </w:r>
      <w:r w:rsidR="00C31C59">
        <w:rPr>
          <w:rFonts w:ascii="Arial" w:eastAsia="Times New Roman" w:hAnsi="Arial" w:cs="Arial"/>
          <w:sz w:val="24"/>
          <w:szCs w:val="24"/>
        </w:rPr>
        <w:t xml:space="preserve"> </w:t>
      </w:r>
      <w:r w:rsidRPr="0030453B">
        <w:rPr>
          <w:rFonts w:ascii="Arial" w:eastAsia="Times New Roman" w:hAnsi="Arial" w:cs="Arial"/>
          <w:sz w:val="24"/>
          <w:szCs w:val="24"/>
        </w:rPr>
        <w:t>365)</w:t>
      </w:r>
      <w:r w:rsidR="00C31C59">
        <w:rPr>
          <w:rFonts w:ascii="Arial" w:eastAsia="Times New Roman" w:hAnsi="Arial" w:cs="Arial"/>
          <w:sz w:val="24"/>
          <w:szCs w:val="24"/>
        </w:rPr>
        <w:t xml:space="preserve"> </w:t>
      </w:r>
      <w:r w:rsidRPr="0030453B">
        <w:rPr>
          <w:rFonts w:ascii="Arial" w:eastAsia="Times New Roman" w:hAnsi="Arial" w:cs="Arial"/>
          <w:sz w:val="24"/>
          <w:szCs w:val="24"/>
        </w:rPr>
        <w:t>×</w:t>
      </w:r>
      <w:r w:rsidR="007B699C" w:rsidRPr="0030453B">
        <w:rPr>
          <w:rFonts w:ascii="Arial" w:eastAsia="Times New Roman" w:hAnsi="Arial" w:cs="Arial"/>
          <w:sz w:val="24"/>
          <w:szCs w:val="24"/>
        </w:rPr>
        <w:t xml:space="preserve"> </w:t>
      </w:r>
      <w:r w:rsidRPr="0030453B">
        <w:rPr>
          <w:rFonts w:ascii="Arial" w:eastAsia="Times New Roman" w:hAnsi="Arial" w:cs="Arial"/>
          <w:sz w:val="24"/>
          <w:szCs w:val="24"/>
        </w:rPr>
        <w:t xml:space="preserve">Annual Operating Cash  </w:t>
      </w:r>
    </w:p>
    <w:p w14:paraId="5A9558A4" w14:textId="77607193" w:rsidR="00D45936" w:rsidRPr="0030453B" w:rsidRDefault="00D45936"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Applying 2024 cost levels, General Electronics is required to maintain approximately £146 billion in working capital to support its 130-day operating cycle. Each additional day in the cycle immobilizes roughly £1.12 billion in cash. Consequently, reducing the cycle to a target of 75 days would release approximately £61.8 billion in liquidity. Consistent with Deloof (2019), such reductions are associated with improved profitability through lower interest expenses and enhanced operational efficiency, highlighting cash cycle optimization as a critical lever for financial recovery.</w:t>
      </w:r>
    </w:p>
    <w:p w14:paraId="555863BC" w14:textId="6C941D2E" w:rsidR="00B21412" w:rsidRPr="0030453B" w:rsidRDefault="00B21412" w:rsidP="00161377">
      <w:pPr>
        <w:pStyle w:val="Heading3"/>
      </w:pPr>
      <w:bookmarkStart w:id="9" w:name="_Toc217322935"/>
      <w:r w:rsidRPr="0030453B">
        <w:t>3.</w:t>
      </w:r>
      <w:r w:rsidR="00A62B5E" w:rsidRPr="0030453B">
        <w:t>2</w:t>
      </w:r>
      <w:r w:rsidRPr="0030453B">
        <w:t xml:space="preserve"> Component Analysis and Optimization Strategies</w:t>
      </w:r>
      <w:bookmarkEnd w:id="9"/>
    </w:p>
    <w:p w14:paraId="3AB134AD" w14:textId="77777777" w:rsidR="00BA06E0" w:rsidRPr="00902119" w:rsidRDefault="00BA06E0" w:rsidP="00DE2C7B">
      <w:pPr>
        <w:pStyle w:val="NormalWeb"/>
        <w:spacing w:line="276" w:lineRule="auto"/>
        <w:jc w:val="both"/>
        <w:rPr>
          <w:rFonts w:ascii="Arial" w:hAnsi="Arial" w:cs="Arial"/>
        </w:rPr>
      </w:pPr>
      <w:r w:rsidRPr="00902119">
        <w:rPr>
          <w:rFonts w:ascii="Arial" w:hAnsi="Arial" w:cs="Arial"/>
        </w:rPr>
        <w:t xml:space="preserve">An effective reduction of the cash operating cycle requires targeted </w:t>
      </w:r>
      <w:proofErr w:type="spellStart"/>
      <w:r w:rsidRPr="00902119">
        <w:rPr>
          <w:rFonts w:ascii="Arial" w:hAnsi="Arial" w:cs="Arial"/>
        </w:rPr>
        <w:t>optimisation</w:t>
      </w:r>
      <w:proofErr w:type="spellEnd"/>
      <w:r w:rsidRPr="00902119">
        <w:rPr>
          <w:rFonts w:ascii="Arial" w:hAnsi="Arial" w:cs="Arial"/>
        </w:rPr>
        <w:t xml:space="preserve"> of its primary components, particularly </w:t>
      </w:r>
      <w:r w:rsidRPr="00902119">
        <w:rPr>
          <w:rStyle w:val="Strong"/>
          <w:rFonts w:ascii="Arial" w:hAnsi="Arial" w:cs="Arial"/>
          <w:b w:val="0"/>
          <w:bCs w:val="0"/>
        </w:rPr>
        <w:t>inventory management</w:t>
      </w:r>
      <w:r w:rsidRPr="00902119">
        <w:rPr>
          <w:rFonts w:ascii="Arial" w:hAnsi="Arial" w:cs="Arial"/>
          <w:b/>
          <w:bCs/>
        </w:rPr>
        <w:t xml:space="preserve"> </w:t>
      </w:r>
      <w:r w:rsidRPr="00C31C59">
        <w:rPr>
          <w:rFonts w:ascii="Arial" w:hAnsi="Arial" w:cs="Arial"/>
        </w:rPr>
        <w:t>and</w:t>
      </w:r>
      <w:r w:rsidRPr="00902119">
        <w:rPr>
          <w:rFonts w:ascii="Arial" w:hAnsi="Arial" w:cs="Arial"/>
          <w:b/>
          <w:bCs/>
        </w:rPr>
        <w:t xml:space="preserve"> </w:t>
      </w:r>
      <w:r w:rsidRPr="00902119">
        <w:rPr>
          <w:rStyle w:val="Strong"/>
          <w:rFonts w:ascii="Arial" w:hAnsi="Arial" w:cs="Arial"/>
          <w:b w:val="0"/>
          <w:bCs w:val="0"/>
        </w:rPr>
        <w:t>accounts receivable control</w:t>
      </w:r>
      <w:r w:rsidRPr="00902119">
        <w:rPr>
          <w:rFonts w:ascii="Arial" w:hAnsi="Arial" w:cs="Arial"/>
          <w:b/>
          <w:bCs/>
        </w:rPr>
        <w:t xml:space="preserve">, </w:t>
      </w:r>
      <w:r w:rsidRPr="00902119">
        <w:rPr>
          <w:rFonts w:ascii="Arial" w:hAnsi="Arial" w:cs="Arial"/>
        </w:rPr>
        <w:t>which represent the largest sources of inefficiency for General Electronics.</w:t>
      </w:r>
    </w:p>
    <w:p w14:paraId="3B3EA18C" w14:textId="77777777" w:rsidR="00BA06E0" w:rsidRPr="00A91A2E" w:rsidRDefault="00BA06E0" w:rsidP="00A91A2E">
      <w:pPr>
        <w:spacing w:line="276" w:lineRule="auto"/>
        <w:jc w:val="both"/>
        <w:rPr>
          <w:rFonts w:ascii="Arial" w:hAnsi="Arial" w:cs="Arial"/>
          <w:sz w:val="24"/>
          <w:szCs w:val="24"/>
          <w:u w:val="single"/>
        </w:rPr>
      </w:pPr>
      <w:r w:rsidRPr="00A91A2E">
        <w:rPr>
          <w:rFonts w:ascii="Arial" w:hAnsi="Arial" w:cs="Arial"/>
          <w:sz w:val="24"/>
          <w:szCs w:val="24"/>
          <w:u w:val="single"/>
        </w:rPr>
        <w:t xml:space="preserve">Inventory Management </w:t>
      </w:r>
      <w:proofErr w:type="spellStart"/>
      <w:r w:rsidRPr="00A91A2E">
        <w:rPr>
          <w:rFonts w:ascii="Arial" w:hAnsi="Arial" w:cs="Arial"/>
          <w:sz w:val="24"/>
          <w:szCs w:val="24"/>
          <w:u w:val="single"/>
        </w:rPr>
        <w:t>Optimisation</w:t>
      </w:r>
      <w:proofErr w:type="spellEnd"/>
    </w:p>
    <w:p w14:paraId="6CC84362" w14:textId="77777777" w:rsidR="00BA06E0" w:rsidRPr="0030453B" w:rsidRDefault="00BA06E0" w:rsidP="00DE2C7B">
      <w:pPr>
        <w:pStyle w:val="NormalWeb"/>
        <w:spacing w:line="276" w:lineRule="auto"/>
        <w:jc w:val="both"/>
        <w:rPr>
          <w:rFonts w:ascii="Arial" w:hAnsi="Arial" w:cs="Arial"/>
        </w:rPr>
      </w:pPr>
      <w:r w:rsidRPr="0030453B">
        <w:rPr>
          <w:rFonts w:ascii="Arial" w:hAnsi="Arial" w:cs="Arial"/>
        </w:rPr>
        <w:t xml:space="preserve">Inventory inefficiency constitutes the most significant constraint on working capital performance. The firm’s </w:t>
      </w:r>
      <w:r w:rsidRPr="003736AC">
        <w:rPr>
          <w:rStyle w:val="Strong"/>
          <w:rFonts w:ascii="Arial" w:hAnsi="Arial" w:cs="Arial"/>
          <w:b w:val="0"/>
          <w:bCs w:val="0"/>
        </w:rPr>
        <w:t>Days Inventory Outstanding (DIO)</w:t>
      </w:r>
      <w:r w:rsidRPr="003736AC">
        <w:rPr>
          <w:rFonts w:ascii="Arial" w:hAnsi="Arial" w:cs="Arial"/>
          <w:b/>
          <w:bCs/>
        </w:rPr>
        <w:t xml:space="preserve"> </w:t>
      </w:r>
      <w:r w:rsidRPr="003736AC">
        <w:rPr>
          <w:rFonts w:ascii="Arial" w:hAnsi="Arial" w:cs="Arial"/>
        </w:rPr>
        <w:t>remains</w:t>
      </w:r>
      <w:r w:rsidRPr="0030453B">
        <w:rPr>
          <w:rFonts w:ascii="Arial" w:hAnsi="Arial" w:cs="Arial"/>
        </w:rPr>
        <w:t xml:space="preserve"> substantially above industry norms, indicating excessive capital lock-up and heightened obsolescence risk in a technologically dynamic sector. Elevated inventory investment reduces liquidity and increases carrying and write-down costs.</w:t>
      </w:r>
    </w:p>
    <w:p w14:paraId="59CE0A66" w14:textId="77777777" w:rsidR="00BA06E0" w:rsidRPr="0030453B" w:rsidRDefault="00BA06E0" w:rsidP="00DE2C7B">
      <w:pPr>
        <w:pStyle w:val="NormalWeb"/>
        <w:spacing w:line="276" w:lineRule="auto"/>
        <w:jc w:val="both"/>
        <w:rPr>
          <w:rFonts w:ascii="Arial" w:hAnsi="Arial" w:cs="Arial"/>
        </w:rPr>
      </w:pPr>
      <w:r w:rsidRPr="0030453B">
        <w:rPr>
          <w:rFonts w:ascii="Arial" w:hAnsi="Arial" w:cs="Arial"/>
        </w:rPr>
        <w:t xml:space="preserve">Key </w:t>
      </w:r>
      <w:proofErr w:type="spellStart"/>
      <w:r w:rsidRPr="0030453B">
        <w:rPr>
          <w:rFonts w:ascii="Arial" w:hAnsi="Arial" w:cs="Arial"/>
        </w:rPr>
        <w:t>optimisation</w:t>
      </w:r>
      <w:proofErr w:type="spellEnd"/>
      <w:r w:rsidRPr="0030453B">
        <w:rPr>
          <w:rFonts w:ascii="Arial" w:hAnsi="Arial" w:cs="Arial"/>
        </w:rPr>
        <w:t xml:space="preserve"> strategies include:</w:t>
      </w:r>
    </w:p>
    <w:p w14:paraId="5071D860" w14:textId="77777777" w:rsidR="00BA06E0" w:rsidRPr="003736AC" w:rsidRDefault="00BA06E0" w:rsidP="00DD727A">
      <w:pPr>
        <w:pStyle w:val="NormalWeb"/>
        <w:numPr>
          <w:ilvl w:val="0"/>
          <w:numId w:val="1"/>
        </w:numPr>
        <w:spacing w:line="276" w:lineRule="auto"/>
        <w:jc w:val="both"/>
        <w:rPr>
          <w:rFonts w:ascii="Arial" w:hAnsi="Arial" w:cs="Arial"/>
        </w:rPr>
      </w:pPr>
      <w:r w:rsidRPr="00902119">
        <w:rPr>
          <w:rStyle w:val="Strong"/>
          <w:rFonts w:ascii="Arial" w:hAnsi="Arial" w:cs="Arial"/>
          <w:b w:val="0"/>
          <w:bCs w:val="0"/>
        </w:rPr>
        <w:t>Just-In-Time (JIT) systems</w:t>
      </w:r>
      <w:r w:rsidRPr="00902119">
        <w:rPr>
          <w:rFonts w:ascii="Arial" w:hAnsi="Arial" w:cs="Arial"/>
          <w:b/>
          <w:bCs/>
        </w:rPr>
        <w:t>,</w:t>
      </w:r>
      <w:r w:rsidRPr="003736AC">
        <w:rPr>
          <w:rFonts w:ascii="Arial" w:hAnsi="Arial" w:cs="Arial"/>
        </w:rPr>
        <w:t xml:space="preserve"> which align production with real-time demand, reducing safety stock and work-in-process inventory. Empirical evidence suggests JIT adoption can reduce inventory days by 40–60% (Monden, 2018).</w:t>
      </w:r>
    </w:p>
    <w:p w14:paraId="3A86B53D" w14:textId="77777777" w:rsidR="00BA06E0" w:rsidRPr="003736AC" w:rsidRDefault="00BA06E0" w:rsidP="00DD727A">
      <w:pPr>
        <w:pStyle w:val="NormalWeb"/>
        <w:numPr>
          <w:ilvl w:val="0"/>
          <w:numId w:val="1"/>
        </w:numPr>
        <w:spacing w:line="276" w:lineRule="auto"/>
        <w:jc w:val="both"/>
        <w:rPr>
          <w:rFonts w:ascii="Arial" w:hAnsi="Arial" w:cs="Arial"/>
        </w:rPr>
      </w:pPr>
      <w:r w:rsidRPr="003736AC">
        <w:rPr>
          <w:rStyle w:val="Strong"/>
          <w:rFonts w:ascii="Arial" w:hAnsi="Arial" w:cs="Arial"/>
          <w:b w:val="0"/>
          <w:bCs w:val="0"/>
        </w:rPr>
        <w:lastRenderedPageBreak/>
        <w:t>Vendor-Managed Inventory (VMI)</w:t>
      </w:r>
      <w:r w:rsidRPr="003736AC">
        <w:rPr>
          <w:rFonts w:ascii="Arial" w:hAnsi="Arial" w:cs="Arial"/>
        </w:rPr>
        <w:t xml:space="preserve"> arrangements, transferring inventory holding responsibility upstream to suppliers, improving coordination and lowering on-balance-sheet inventory (Waller et al., 2019).</w:t>
      </w:r>
    </w:p>
    <w:p w14:paraId="5CE3C13F" w14:textId="77777777" w:rsidR="00BA06E0" w:rsidRPr="003736AC" w:rsidRDefault="00BA06E0" w:rsidP="00DD727A">
      <w:pPr>
        <w:pStyle w:val="NormalWeb"/>
        <w:numPr>
          <w:ilvl w:val="0"/>
          <w:numId w:val="1"/>
        </w:numPr>
        <w:spacing w:line="276" w:lineRule="auto"/>
        <w:jc w:val="both"/>
        <w:rPr>
          <w:rFonts w:ascii="Arial" w:hAnsi="Arial" w:cs="Arial"/>
        </w:rPr>
      </w:pPr>
      <w:r w:rsidRPr="003736AC">
        <w:rPr>
          <w:rStyle w:val="Strong"/>
          <w:rFonts w:ascii="Arial" w:hAnsi="Arial" w:cs="Arial"/>
          <w:b w:val="0"/>
          <w:bCs w:val="0"/>
        </w:rPr>
        <w:t>Obsolete inventory liquidation</w:t>
      </w:r>
      <w:r w:rsidRPr="003736AC">
        <w:rPr>
          <w:rFonts w:ascii="Arial" w:hAnsi="Arial" w:cs="Arial"/>
          <w:b/>
          <w:bCs/>
        </w:rPr>
        <w:t>,</w:t>
      </w:r>
      <w:r w:rsidRPr="003736AC">
        <w:rPr>
          <w:rFonts w:ascii="Arial" w:hAnsi="Arial" w:cs="Arial"/>
        </w:rPr>
        <w:t xml:space="preserve"> </w:t>
      </w:r>
      <w:proofErr w:type="spellStart"/>
      <w:r w:rsidRPr="003736AC">
        <w:rPr>
          <w:rFonts w:ascii="Arial" w:hAnsi="Arial" w:cs="Arial"/>
        </w:rPr>
        <w:t>prioritising</w:t>
      </w:r>
      <w:proofErr w:type="spellEnd"/>
      <w:r w:rsidRPr="003736AC">
        <w:rPr>
          <w:rFonts w:ascii="Arial" w:hAnsi="Arial" w:cs="Arial"/>
        </w:rPr>
        <w:t xml:space="preserve"> immediate cash recovery over book-value preservation, particularly for slow-moving electronic components prone to rapid technological depreciation (Gaur and Kesavan, 2018).</w:t>
      </w:r>
    </w:p>
    <w:p w14:paraId="287970CB" w14:textId="77777777" w:rsidR="00BA06E0" w:rsidRPr="003736AC" w:rsidRDefault="00BA06E0" w:rsidP="00DD727A">
      <w:pPr>
        <w:pStyle w:val="NormalWeb"/>
        <w:numPr>
          <w:ilvl w:val="0"/>
          <w:numId w:val="1"/>
        </w:numPr>
        <w:spacing w:line="276" w:lineRule="auto"/>
        <w:jc w:val="both"/>
        <w:rPr>
          <w:rFonts w:ascii="Arial" w:hAnsi="Arial" w:cs="Arial"/>
        </w:rPr>
      </w:pPr>
      <w:r w:rsidRPr="003736AC">
        <w:rPr>
          <w:rStyle w:val="Strong"/>
          <w:rFonts w:ascii="Arial" w:hAnsi="Arial" w:cs="Arial"/>
          <w:b w:val="0"/>
          <w:bCs w:val="0"/>
        </w:rPr>
        <w:t>Advanced demand forecasting</w:t>
      </w:r>
      <w:r w:rsidRPr="003736AC">
        <w:rPr>
          <w:rFonts w:ascii="Arial" w:hAnsi="Arial" w:cs="Arial"/>
          <w:b/>
          <w:bCs/>
        </w:rPr>
        <w:t>,</w:t>
      </w:r>
      <w:r w:rsidRPr="003736AC">
        <w:rPr>
          <w:rFonts w:ascii="Arial" w:hAnsi="Arial" w:cs="Arial"/>
        </w:rPr>
        <w:t xml:space="preserve"> leveraging predictive analytics to improve forecast accuracy and reduce precautionary stock levels (</w:t>
      </w:r>
      <w:proofErr w:type="spellStart"/>
      <w:r w:rsidRPr="003736AC">
        <w:rPr>
          <w:rFonts w:ascii="Arial" w:hAnsi="Arial" w:cs="Arial"/>
        </w:rPr>
        <w:t>Syntetos</w:t>
      </w:r>
      <w:proofErr w:type="spellEnd"/>
      <w:r w:rsidRPr="003736AC">
        <w:rPr>
          <w:rFonts w:ascii="Arial" w:hAnsi="Arial" w:cs="Arial"/>
        </w:rPr>
        <w:t xml:space="preserve"> et al., 2020).</w:t>
      </w:r>
    </w:p>
    <w:p w14:paraId="63C95CAE" w14:textId="77777777" w:rsidR="00BA06E0" w:rsidRPr="00A91A2E" w:rsidRDefault="00BA06E0" w:rsidP="00A91A2E">
      <w:pPr>
        <w:jc w:val="both"/>
        <w:rPr>
          <w:rFonts w:ascii="Arial" w:hAnsi="Arial" w:cs="Arial"/>
          <w:sz w:val="24"/>
          <w:szCs w:val="24"/>
          <w:u w:val="single"/>
        </w:rPr>
      </w:pPr>
      <w:r w:rsidRPr="00A91A2E">
        <w:rPr>
          <w:rFonts w:ascii="Arial" w:hAnsi="Arial" w:cs="Arial"/>
          <w:sz w:val="24"/>
          <w:szCs w:val="24"/>
          <w:u w:val="single"/>
        </w:rPr>
        <w:t>Accounts Receivable Management</w:t>
      </w:r>
    </w:p>
    <w:p w14:paraId="2D54E1D2" w14:textId="77777777" w:rsidR="005876B2" w:rsidRPr="005876B2" w:rsidRDefault="005876B2" w:rsidP="00DE2C7B">
      <w:pPr>
        <w:spacing w:before="100" w:beforeAutospacing="1" w:after="100" w:afterAutospacing="1" w:line="276" w:lineRule="auto"/>
        <w:jc w:val="both"/>
        <w:rPr>
          <w:rFonts w:ascii="Arial" w:eastAsia="Times New Roman" w:hAnsi="Arial" w:cs="Arial"/>
          <w:sz w:val="24"/>
          <w:szCs w:val="24"/>
        </w:rPr>
      </w:pPr>
      <w:r w:rsidRPr="005876B2">
        <w:rPr>
          <w:rFonts w:ascii="Arial" w:eastAsia="Times New Roman" w:hAnsi="Arial" w:cs="Arial"/>
          <w:sz w:val="24"/>
          <w:szCs w:val="24"/>
        </w:rPr>
        <w:t>The deterioration in Days Sales Outstanding (DSO) reflects weakened credit discipline and increased exposure to liquidity risk. Excess receivables investment constrains cash availability and elevates default probability.</w:t>
      </w:r>
    </w:p>
    <w:p w14:paraId="66C5F373" w14:textId="77777777" w:rsidR="00A62B5E" w:rsidRPr="0030453B" w:rsidRDefault="005876B2" w:rsidP="00A62B5E">
      <w:pPr>
        <w:spacing w:before="100" w:beforeAutospacing="1" w:after="100" w:afterAutospacing="1" w:line="276" w:lineRule="auto"/>
        <w:jc w:val="both"/>
        <w:rPr>
          <w:rFonts w:ascii="Arial" w:eastAsia="Times New Roman" w:hAnsi="Arial" w:cs="Arial"/>
          <w:sz w:val="24"/>
          <w:szCs w:val="24"/>
        </w:rPr>
      </w:pPr>
      <w:r w:rsidRPr="005876B2">
        <w:rPr>
          <w:rFonts w:ascii="Arial" w:eastAsia="Times New Roman" w:hAnsi="Arial" w:cs="Arial"/>
          <w:sz w:val="24"/>
          <w:szCs w:val="24"/>
        </w:rPr>
        <w:t xml:space="preserve">Key receivables </w:t>
      </w:r>
      <w:proofErr w:type="spellStart"/>
      <w:r w:rsidRPr="005876B2">
        <w:rPr>
          <w:rFonts w:ascii="Arial" w:eastAsia="Times New Roman" w:hAnsi="Arial" w:cs="Arial"/>
          <w:sz w:val="24"/>
          <w:szCs w:val="24"/>
        </w:rPr>
        <w:t>optimisation</w:t>
      </w:r>
      <w:proofErr w:type="spellEnd"/>
      <w:r w:rsidRPr="005876B2">
        <w:rPr>
          <w:rFonts w:ascii="Arial" w:eastAsia="Times New Roman" w:hAnsi="Arial" w:cs="Arial"/>
          <w:sz w:val="24"/>
          <w:szCs w:val="24"/>
        </w:rPr>
        <w:t xml:space="preserve"> measures include:</w:t>
      </w:r>
    </w:p>
    <w:p w14:paraId="43945E34" w14:textId="77777777" w:rsidR="00A62B5E" w:rsidRPr="0030453B" w:rsidRDefault="005876B2" w:rsidP="00DD727A">
      <w:pPr>
        <w:pStyle w:val="ListParagraph"/>
        <w:numPr>
          <w:ilvl w:val="0"/>
          <w:numId w:val="14"/>
        </w:num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Credit policy tightening, implementing risk-based customer segmentation to balance sales retention with payment discipline (Petersen and Rajan, 2019; According to Wilson, 2018).</w:t>
      </w:r>
    </w:p>
    <w:p w14:paraId="6B46A42E" w14:textId="77777777" w:rsidR="00A62B5E" w:rsidRPr="0030453B" w:rsidRDefault="005876B2" w:rsidP="00DD727A">
      <w:pPr>
        <w:pStyle w:val="ListParagraph"/>
        <w:numPr>
          <w:ilvl w:val="0"/>
          <w:numId w:val="14"/>
        </w:num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Early payment incentives, encouraging accelerated collections from price-sensitive customers despite the implied financing cost (Wuttke et al., 2019).</w:t>
      </w:r>
    </w:p>
    <w:p w14:paraId="187DA8F1" w14:textId="77777777" w:rsidR="00A62B5E" w:rsidRPr="0030453B" w:rsidRDefault="005876B2" w:rsidP="00DD727A">
      <w:pPr>
        <w:pStyle w:val="ListParagraph"/>
        <w:numPr>
          <w:ilvl w:val="0"/>
          <w:numId w:val="14"/>
        </w:num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Digital invoicing and automated collections, reducing administrative delays and processing inefficiencies (Koch, 2020).</w:t>
      </w:r>
    </w:p>
    <w:p w14:paraId="2C68101B" w14:textId="08AAB8BC" w:rsidR="005876B2" w:rsidRPr="0030453B" w:rsidRDefault="005876B2" w:rsidP="00DD727A">
      <w:pPr>
        <w:pStyle w:val="ListParagraph"/>
        <w:numPr>
          <w:ilvl w:val="0"/>
          <w:numId w:val="14"/>
        </w:num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Selective factoring, converting receivables into immediate cash while transferring credit risk in high-risk customer segments.</w:t>
      </w:r>
    </w:p>
    <w:p w14:paraId="2F3E94FB" w14:textId="77777777" w:rsidR="005876B2" w:rsidRPr="005876B2" w:rsidRDefault="005876B2" w:rsidP="00DE2C7B">
      <w:pPr>
        <w:spacing w:before="100" w:beforeAutospacing="1" w:after="100" w:afterAutospacing="1" w:line="276" w:lineRule="auto"/>
        <w:jc w:val="both"/>
        <w:rPr>
          <w:rFonts w:ascii="Arial" w:eastAsia="Times New Roman" w:hAnsi="Arial" w:cs="Arial"/>
          <w:sz w:val="24"/>
          <w:szCs w:val="24"/>
        </w:rPr>
      </w:pPr>
      <w:r w:rsidRPr="005876B2">
        <w:rPr>
          <w:rFonts w:ascii="Arial" w:eastAsia="Times New Roman" w:hAnsi="Arial" w:cs="Arial"/>
          <w:sz w:val="24"/>
          <w:szCs w:val="24"/>
        </w:rPr>
        <w:t>Recommended target: Reduce DSO to approximately 70 days within 12 months.</w:t>
      </w:r>
    </w:p>
    <w:p w14:paraId="5D2EF958" w14:textId="2E1DEFB5" w:rsidR="002F4C49" w:rsidRPr="0030453B" w:rsidRDefault="00B21412" w:rsidP="00161377">
      <w:pPr>
        <w:pStyle w:val="Heading3"/>
      </w:pPr>
      <w:bookmarkStart w:id="10" w:name="_Toc217322936"/>
      <w:r w:rsidRPr="0030453B">
        <w:t>3.</w:t>
      </w:r>
      <w:r w:rsidR="00161377">
        <w:t>3</w:t>
      </w:r>
      <w:r w:rsidRPr="0030453B">
        <w:t xml:space="preserve"> Integrated Working Capital Optimization Model</w:t>
      </w:r>
      <w:bookmarkEnd w:id="10"/>
    </w:p>
    <w:p w14:paraId="56422EAF" w14:textId="16BBBCD2" w:rsidR="002F4C49" w:rsidRPr="003736AC" w:rsidRDefault="002F4C49" w:rsidP="00DE2C7B">
      <w:pPr>
        <w:spacing w:before="100" w:beforeAutospacing="1" w:after="100" w:afterAutospacing="1" w:line="276" w:lineRule="auto"/>
        <w:jc w:val="both"/>
        <w:rPr>
          <w:rFonts w:ascii="Arial" w:eastAsia="Times New Roman" w:hAnsi="Arial" w:cs="Arial"/>
          <w:sz w:val="24"/>
          <w:szCs w:val="24"/>
        </w:rPr>
      </w:pPr>
      <w:r w:rsidRPr="003736AC">
        <w:rPr>
          <w:rFonts w:ascii="Arial" w:eastAsia="Times New Roman" w:hAnsi="Arial" w:cs="Arial"/>
          <w:sz w:val="24"/>
          <w:szCs w:val="24"/>
        </w:rPr>
        <w:t xml:space="preserve">The effectiveness of working capital </w:t>
      </w:r>
      <w:proofErr w:type="spellStart"/>
      <w:r w:rsidRPr="003736AC">
        <w:rPr>
          <w:rFonts w:ascii="Arial" w:eastAsia="Times New Roman" w:hAnsi="Arial" w:cs="Arial"/>
          <w:sz w:val="24"/>
          <w:szCs w:val="24"/>
        </w:rPr>
        <w:t>optimisation</w:t>
      </w:r>
      <w:proofErr w:type="spellEnd"/>
      <w:r w:rsidRPr="003736AC">
        <w:rPr>
          <w:rFonts w:ascii="Arial" w:eastAsia="Times New Roman" w:hAnsi="Arial" w:cs="Arial"/>
          <w:sz w:val="24"/>
          <w:szCs w:val="24"/>
        </w:rPr>
        <w:t xml:space="preserve"> is closely linked to the firm’s financing maturity structure, as both determine short-term liquidity and long-term solvency. For General Electronics, the projected reduction of the cash operating cycle from 130 days to 40 days is expected to release approximately £44.7 billion in internal cash over an 18–</w:t>
      </w:r>
      <w:proofErr w:type="gramStart"/>
      <w:r w:rsidRPr="003736AC">
        <w:rPr>
          <w:rFonts w:ascii="Arial" w:eastAsia="Times New Roman" w:hAnsi="Arial" w:cs="Arial"/>
          <w:sz w:val="24"/>
          <w:szCs w:val="24"/>
        </w:rPr>
        <w:t>24 month</w:t>
      </w:r>
      <w:proofErr w:type="gramEnd"/>
      <w:r w:rsidRPr="003736AC">
        <w:rPr>
          <w:rFonts w:ascii="Arial" w:eastAsia="Times New Roman" w:hAnsi="Arial" w:cs="Arial"/>
          <w:sz w:val="24"/>
          <w:szCs w:val="24"/>
        </w:rPr>
        <w:t xml:space="preserve"> period. </w:t>
      </w:r>
    </w:p>
    <w:p w14:paraId="4405DE65" w14:textId="3B478C4C" w:rsidR="002F4C49" w:rsidRPr="003736AC" w:rsidRDefault="002F4C49" w:rsidP="00DE2C7B">
      <w:pPr>
        <w:spacing w:before="100" w:beforeAutospacing="1" w:after="100" w:afterAutospacing="1" w:line="276" w:lineRule="auto"/>
        <w:jc w:val="both"/>
        <w:rPr>
          <w:rFonts w:ascii="Arial" w:eastAsia="Times New Roman" w:hAnsi="Arial" w:cs="Arial"/>
          <w:sz w:val="24"/>
          <w:szCs w:val="24"/>
        </w:rPr>
      </w:pPr>
      <w:r w:rsidRPr="003736AC">
        <w:rPr>
          <w:rFonts w:ascii="Arial" w:eastAsia="Times New Roman" w:hAnsi="Arial" w:cs="Arial"/>
          <w:sz w:val="24"/>
          <w:szCs w:val="24"/>
        </w:rPr>
        <w:t xml:space="preserve">Despite this improvement, the firm remains exposed to significant liquidity risk due to its reliance on short-term lines of credit, with £37.0 billion outstanding in 2024. Short-term financing plays an important role in addressing immediate cash flow mismatches but </w:t>
      </w:r>
      <w:r w:rsidRPr="003736AC">
        <w:rPr>
          <w:rFonts w:ascii="Arial" w:eastAsia="Times New Roman" w:hAnsi="Arial" w:cs="Arial"/>
          <w:sz w:val="24"/>
          <w:szCs w:val="24"/>
        </w:rPr>
        <w:lastRenderedPageBreak/>
        <w:t xml:space="preserve">exposes the firm to refinancing risk, interest rate volatility, and covenant pressure during periods of financial distress. </w:t>
      </w:r>
    </w:p>
    <w:p w14:paraId="303194F8" w14:textId="69583135" w:rsidR="002F4C49" w:rsidRPr="00A91A2E" w:rsidRDefault="002F4C49" w:rsidP="00A91A2E">
      <w:pPr>
        <w:spacing w:line="276" w:lineRule="auto"/>
        <w:rPr>
          <w:rFonts w:ascii="Arial" w:hAnsi="Arial" w:cs="Arial"/>
          <w:sz w:val="24"/>
          <w:szCs w:val="24"/>
        </w:rPr>
      </w:pPr>
      <w:r w:rsidRPr="00A91A2E">
        <w:rPr>
          <w:rFonts w:ascii="Arial" w:hAnsi="Arial" w:cs="Arial"/>
          <w:sz w:val="24"/>
          <w:szCs w:val="24"/>
        </w:rPr>
        <w:t>Table 3.</w:t>
      </w:r>
      <w:r w:rsidR="00C31C59">
        <w:rPr>
          <w:rFonts w:ascii="Arial" w:hAnsi="Arial" w:cs="Arial"/>
          <w:sz w:val="24"/>
          <w:szCs w:val="24"/>
        </w:rPr>
        <w:t>1</w:t>
      </w:r>
      <w:r w:rsidRPr="00A91A2E">
        <w:rPr>
          <w:rFonts w:ascii="Arial" w:hAnsi="Arial" w:cs="Arial"/>
          <w:sz w:val="24"/>
          <w:szCs w:val="24"/>
        </w:rPr>
        <w:t>: Short-Term versus Long-Term Financing within Cash Flow Recovery</w:t>
      </w:r>
    </w:p>
    <w:tbl>
      <w:tblPr>
        <w:tblStyle w:val="TableGrid"/>
        <w:tblW w:w="0" w:type="auto"/>
        <w:jc w:val="center"/>
        <w:tblLook w:val="04A0" w:firstRow="1" w:lastRow="0" w:firstColumn="1" w:lastColumn="0" w:noHBand="0" w:noVBand="1"/>
      </w:tblPr>
      <w:tblGrid>
        <w:gridCol w:w="1750"/>
        <w:gridCol w:w="3605"/>
        <w:gridCol w:w="3818"/>
      </w:tblGrid>
      <w:tr w:rsidR="002F4C49" w:rsidRPr="00C31C59" w14:paraId="168671F2" w14:textId="77777777" w:rsidTr="00C31C59">
        <w:trPr>
          <w:jc w:val="center"/>
        </w:trPr>
        <w:tc>
          <w:tcPr>
            <w:tcW w:w="0" w:type="auto"/>
            <w:hideMark/>
          </w:tcPr>
          <w:p w14:paraId="792CC47C"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Dimension</w:t>
            </w:r>
          </w:p>
        </w:tc>
        <w:tc>
          <w:tcPr>
            <w:tcW w:w="0" w:type="auto"/>
            <w:hideMark/>
          </w:tcPr>
          <w:p w14:paraId="457AB372"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Short-Term Financing</w:t>
            </w:r>
          </w:p>
        </w:tc>
        <w:tc>
          <w:tcPr>
            <w:tcW w:w="0" w:type="auto"/>
            <w:hideMark/>
          </w:tcPr>
          <w:p w14:paraId="0F42F38F"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Long-Term Financing</w:t>
            </w:r>
          </w:p>
        </w:tc>
      </w:tr>
      <w:tr w:rsidR="002F4C49" w:rsidRPr="00C31C59" w14:paraId="5DFE429F" w14:textId="77777777" w:rsidTr="00C31C59">
        <w:trPr>
          <w:jc w:val="center"/>
        </w:trPr>
        <w:tc>
          <w:tcPr>
            <w:tcW w:w="0" w:type="auto"/>
            <w:hideMark/>
          </w:tcPr>
          <w:p w14:paraId="3ECDFED8"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Cash flow role</w:t>
            </w:r>
          </w:p>
        </w:tc>
        <w:tc>
          <w:tcPr>
            <w:tcW w:w="0" w:type="auto"/>
            <w:hideMark/>
          </w:tcPr>
          <w:p w14:paraId="7FB68B91"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Covers immediate liquidity gaps</w:t>
            </w:r>
          </w:p>
        </w:tc>
        <w:tc>
          <w:tcPr>
            <w:tcW w:w="0" w:type="auto"/>
            <w:hideMark/>
          </w:tcPr>
          <w:p w14:paraId="1915377C"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Supports structural recovery</w:t>
            </w:r>
          </w:p>
        </w:tc>
      </w:tr>
      <w:tr w:rsidR="002F4C49" w:rsidRPr="00C31C59" w14:paraId="1E4D208B" w14:textId="77777777" w:rsidTr="00C31C59">
        <w:trPr>
          <w:jc w:val="center"/>
        </w:trPr>
        <w:tc>
          <w:tcPr>
            <w:tcW w:w="0" w:type="auto"/>
            <w:hideMark/>
          </w:tcPr>
          <w:p w14:paraId="7E4EBEE6"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Typical cost</w:t>
            </w:r>
          </w:p>
        </w:tc>
        <w:tc>
          <w:tcPr>
            <w:tcW w:w="0" w:type="auto"/>
            <w:hideMark/>
          </w:tcPr>
          <w:p w14:paraId="2DFE8866"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Lower initial rates (~7.3%)</w:t>
            </w:r>
          </w:p>
        </w:tc>
        <w:tc>
          <w:tcPr>
            <w:tcW w:w="0" w:type="auto"/>
            <w:hideMark/>
          </w:tcPr>
          <w:p w14:paraId="18C37ADD"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Higher rates (9–11%)</w:t>
            </w:r>
          </w:p>
        </w:tc>
      </w:tr>
      <w:tr w:rsidR="002F4C49" w:rsidRPr="00C31C59" w14:paraId="6B8DC907" w14:textId="77777777" w:rsidTr="00C31C59">
        <w:trPr>
          <w:jc w:val="center"/>
        </w:trPr>
        <w:tc>
          <w:tcPr>
            <w:tcW w:w="0" w:type="auto"/>
            <w:hideMark/>
          </w:tcPr>
          <w:p w14:paraId="0FE62713"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Risk profile</w:t>
            </w:r>
          </w:p>
        </w:tc>
        <w:tc>
          <w:tcPr>
            <w:tcW w:w="0" w:type="auto"/>
            <w:hideMark/>
          </w:tcPr>
          <w:p w14:paraId="0B75CEAF"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High refinancing and rate risk</w:t>
            </w:r>
          </w:p>
        </w:tc>
        <w:tc>
          <w:tcPr>
            <w:tcW w:w="0" w:type="auto"/>
            <w:hideMark/>
          </w:tcPr>
          <w:p w14:paraId="4186CDB1"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Lower refinancing risk</w:t>
            </w:r>
          </w:p>
        </w:tc>
      </w:tr>
      <w:tr w:rsidR="002F4C49" w:rsidRPr="00C31C59" w14:paraId="75319AA4" w14:textId="77777777" w:rsidTr="00C31C59">
        <w:trPr>
          <w:jc w:val="center"/>
        </w:trPr>
        <w:tc>
          <w:tcPr>
            <w:tcW w:w="0" w:type="auto"/>
            <w:hideMark/>
          </w:tcPr>
          <w:p w14:paraId="3966078E"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Flexibility</w:t>
            </w:r>
          </w:p>
        </w:tc>
        <w:tc>
          <w:tcPr>
            <w:tcW w:w="0" w:type="auto"/>
            <w:hideMark/>
          </w:tcPr>
          <w:p w14:paraId="1A3CAFB9"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High</w:t>
            </w:r>
          </w:p>
        </w:tc>
        <w:tc>
          <w:tcPr>
            <w:tcW w:w="0" w:type="auto"/>
            <w:hideMark/>
          </w:tcPr>
          <w:p w14:paraId="252E1D95"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Moderate</w:t>
            </w:r>
          </w:p>
        </w:tc>
      </w:tr>
      <w:tr w:rsidR="002F4C49" w:rsidRPr="00C31C59" w14:paraId="200A75B0" w14:textId="77777777" w:rsidTr="00C31C59">
        <w:trPr>
          <w:jc w:val="center"/>
        </w:trPr>
        <w:tc>
          <w:tcPr>
            <w:tcW w:w="0" w:type="auto"/>
            <w:hideMark/>
          </w:tcPr>
          <w:p w14:paraId="0B068AA8"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Optimal timing</w:t>
            </w:r>
          </w:p>
        </w:tc>
        <w:tc>
          <w:tcPr>
            <w:tcW w:w="0" w:type="auto"/>
            <w:hideMark/>
          </w:tcPr>
          <w:p w14:paraId="1501F2ED"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Early turnaround phase</w:t>
            </w:r>
          </w:p>
        </w:tc>
        <w:tc>
          <w:tcPr>
            <w:tcW w:w="0" w:type="auto"/>
            <w:hideMark/>
          </w:tcPr>
          <w:p w14:paraId="06D121CD" w14:textId="77777777" w:rsidR="002F4C49" w:rsidRPr="00C31C59" w:rsidRDefault="002F4C49" w:rsidP="00DE2C7B">
            <w:pPr>
              <w:spacing w:line="276" w:lineRule="auto"/>
              <w:jc w:val="both"/>
              <w:rPr>
                <w:rFonts w:ascii="Arial" w:eastAsia="Times New Roman" w:hAnsi="Arial" w:cs="Arial"/>
                <w:sz w:val="24"/>
                <w:szCs w:val="24"/>
              </w:rPr>
            </w:pPr>
            <w:r w:rsidRPr="00C31C59">
              <w:rPr>
                <w:rFonts w:ascii="Arial" w:eastAsia="Times New Roman" w:hAnsi="Arial" w:cs="Arial"/>
                <w:sz w:val="24"/>
                <w:szCs w:val="24"/>
              </w:rPr>
              <w:t xml:space="preserve">Medium- to long-term </w:t>
            </w:r>
            <w:proofErr w:type="spellStart"/>
            <w:r w:rsidRPr="00C31C59">
              <w:rPr>
                <w:rFonts w:ascii="Arial" w:eastAsia="Times New Roman" w:hAnsi="Arial" w:cs="Arial"/>
                <w:sz w:val="24"/>
                <w:szCs w:val="24"/>
              </w:rPr>
              <w:t>stabilisation</w:t>
            </w:r>
            <w:proofErr w:type="spellEnd"/>
          </w:p>
        </w:tc>
      </w:tr>
    </w:tbl>
    <w:p w14:paraId="6FF299C4" w14:textId="3AB5269C" w:rsidR="002F4C49" w:rsidRPr="0030453B" w:rsidRDefault="002F4C49" w:rsidP="00DE2C7B">
      <w:pPr>
        <w:spacing w:before="100" w:beforeAutospacing="1" w:after="100" w:afterAutospacing="1" w:line="276" w:lineRule="auto"/>
        <w:jc w:val="both"/>
        <w:rPr>
          <w:rFonts w:ascii="Arial" w:eastAsia="Times New Roman" w:hAnsi="Arial" w:cs="Arial"/>
          <w:sz w:val="24"/>
          <w:szCs w:val="24"/>
        </w:rPr>
      </w:pPr>
      <w:r w:rsidRPr="0030453B">
        <w:rPr>
          <w:rFonts w:ascii="Arial" w:eastAsia="Times New Roman" w:hAnsi="Arial" w:cs="Arial"/>
          <w:sz w:val="24"/>
          <w:szCs w:val="24"/>
        </w:rPr>
        <w:t xml:space="preserve">From a cash flow alignment perspective, short-term credit is most appropriate during the initial phase of working capital </w:t>
      </w:r>
      <w:proofErr w:type="spellStart"/>
      <w:r w:rsidRPr="0030453B">
        <w:rPr>
          <w:rFonts w:ascii="Arial" w:eastAsia="Times New Roman" w:hAnsi="Arial" w:cs="Arial"/>
          <w:sz w:val="24"/>
          <w:szCs w:val="24"/>
        </w:rPr>
        <w:t>optimisation</w:t>
      </w:r>
      <w:proofErr w:type="spellEnd"/>
      <w:r w:rsidRPr="0030453B">
        <w:rPr>
          <w:rFonts w:ascii="Arial" w:eastAsia="Times New Roman" w:hAnsi="Arial" w:cs="Arial"/>
          <w:sz w:val="24"/>
          <w:szCs w:val="24"/>
        </w:rPr>
        <w:t xml:space="preserve">, when cash releases are uncertain. As internal liquidity improves through inventory and receivables </w:t>
      </w:r>
      <w:proofErr w:type="spellStart"/>
      <w:r w:rsidRPr="0030453B">
        <w:rPr>
          <w:rFonts w:ascii="Arial" w:eastAsia="Times New Roman" w:hAnsi="Arial" w:cs="Arial"/>
          <w:sz w:val="24"/>
          <w:szCs w:val="24"/>
        </w:rPr>
        <w:t>optimisation</w:t>
      </w:r>
      <w:proofErr w:type="spellEnd"/>
      <w:r w:rsidRPr="0030453B">
        <w:rPr>
          <w:rFonts w:ascii="Arial" w:eastAsia="Times New Roman" w:hAnsi="Arial" w:cs="Arial"/>
          <w:sz w:val="24"/>
          <w:szCs w:val="24"/>
        </w:rPr>
        <w:t>, refinancing into longer-maturity instruments becomes optimal. Brigham and Ehrhardt (2020) argue that distressed firms with excessive short-term debt face elevated default risk, while Diamond (2019) highlights maturity mismatch as a primary driver of financial instability. Accordingly, a phased shift toward longer-term financing enhances liquidity resilience and supports sustainable recovery.</w:t>
      </w:r>
    </w:p>
    <w:p w14:paraId="389B5C50" w14:textId="5B1E0FD7" w:rsidR="00040F1C" w:rsidRPr="0030453B" w:rsidRDefault="00B21412" w:rsidP="00A91A2E">
      <w:pPr>
        <w:pStyle w:val="Heading2"/>
      </w:pPr>
      <w:bookmarkStart w:id="11" w:name="_Toc217322937"/>
      <w:r w:rsidRPr="0030453B">
        <w:t>4.0 STRATEGIC FINANCIAL RESTRUCTURING PLAN</w:t>
      </w:r>
      <w:bookmarkEnd w:id="11"/>
    </w:p>
    <w:p w14:paraId="6923992D" w14:textId="77777777" w:rsidR="00A52C66" w:rsidRPr="0030453B" w:rsidRDefault="00040F1C" w:rsidP="003736AC">
      <w:pPr>
        <w:pStyle w:val="Heading3"/>
      </w:pPr>
      <w:bookmarkStart w:id="12" w:name="_Toc217322938"/>
      <w:r w:rsidRPr="00040F1C">
        <w:t>4.1 Restructuring Imperatives</w:t>
      </w:r>
      <w:bookmarkEnd w:id="12"/>
    </w:p>
    <w:p w14:paraId="16780782" w14:textId="4EF6B250"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The financial analysis documented in Sections 2 and 3 reveals that General Electronics requires comprehensive restructuring beyond working capital optimization. The company faces four interconnected challenges demanding integrated solutions: (1) sustained operating losses requiring cost structure transformation; (2) overleveraged balance sheet threatening solvency; (3) asset base misalignment with current revenue scale; and (4) equity capital erosion limiting financial flexibility. </w:t>
      </w:r>
    </w:p>
    <w:p w14:paraId="15C4BF53" w14:textId="0CA990FD" w:rsidR="00040F1C" w:rsidRPr="00040F1C" w:rsidRDefault="00040F1C" w:rsidP="00902119">
      <w:pPr>
        <w:pStyle w:val="Heading3"/>
      </w:pPr>
      <w:bookmarkStart w:id="13" w:name="_Toc217322939"/>
      <w:r w:rsidRPr="00040F1C">
        <w:t>4.</w:t>
      </w:r>
      <w:r w:rsidR="003736AC">
        <w:t>2</w:t>
      </w:r>
      <w:r w:rsidRPr="00040F1C">
        <w:t xml:space="preserve"> Asset </w:t>
      </w:r>
      <w:proofErr w:type="spellStart"/>
      <w:r w:rsidRPr="00040F1C">
        <w:t>Rationalisation</w:t>
      </w:r>
      <w:proofErr w:type="spellEnd"/>
      <w:r w:rsidRPr="00040F1C">
        <w:t xml:space="preserve"> and Divestiture Strategy</w:t>
      </w:r>
      <w:bookmarkEnd w:id="13"/>
    </w:p>
    <w:p w14:paraId="5F8DB9CE" w14:textId="10A35C1D" w:rsidR="00A52C66" w:rsidRPr="0030453B" w:rsidRDefault="00040F1C" w:rsidP="00902119">
      <w:pPr>
        <w:pStyle w:val="Heading4"/>
      </w:pPr>
      <w:r w:rsidRPr="00040F1C">
        <w:t>4.</w:t>
      </w:r>
      <w:r w:rsidR="003736AC">
        <w:t>2</w:t>
      </w:r>
      <w:r w:rsidRPr="00040F1C">
        <w:t>.1 Financial Rationale for Divestiture</w:t>
      </w:r>
    </w:p>
    <w:p w14:paraId="37EC965D" w14:textId="595651D2"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Divestiture constitutes a core component of financial restructuring, enabling firms to unlock liquidity, improve asset productivity, and refocus on profitable core activities. General </w:t>
      </w:r>
      <w:proofErr w:type="gramStart"/>
      <w:r w:rsidRPr="00040F1C">
        <w:rPr>
          <w:rFonts w:ascii="Arial" w:eastAsia="Times New Roman" w:hAnsi="Arial" w:cs="Arial"/>
          <w:sz w:val="24"/>
          <w:szCs w:val="24"/>
        </w:rPr>
        <w:t>Electronics’</w:t>
      </w:r>
      <w:proofErr w:type="gramEnd"/>
      <w:r w:rsidRPr="00040F1C">
        <w:rPr>
          <w:rFonts w:ascii="Arial" w:eastAsia="Times New Roman" w:hAnsi="Arial" w:cs="Arial"/>
          <w:sz w:val="24"/>
          <w:szCs w:val="24"/>
        </w:rPr>
        <w:t xml:space="preserve"> consolidated financial position reveals a mismatch between asset base and revenue-generating capacity, evidenced by declining revenues and deteriorating profitability. Total assets stood at £323.4 billion in 2024, while revenues declined by 36% from £614.7 billion (2020) to £394.9 billion (2024). </w:t>
      </w:r>
    </w:p>
    <w:p w14:paraId="0A514501"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lastRenderedPageBreak/>
        <w:t>Asset efficiency is evaluated through asset turnover. Assuming a conservative industry target of 1.5×, the optimal asset base consistent with current revenue is calculated as:</w:t>
      </w:r>
    </w:p>
    <w:p w14:paraId="6F1CB1EF" w14:textId="77777777" w:rsidR="009B5E8A" w:rsidRPr="0030453B" w:rsidRDefault="009B5E8A" w:rsidP="00DE2C7B">
      <w:pPr>
        <w:spacing w:line="276" w:lineRule="auto"/>
        <w:jc w:val="both"/>
        <w:rPr>
          <w:rFonts w:ascii="Arial" w:eastAsia="Times New Roman" w:hAnsi="Arial" w:cs="Arial"/>
          <w:sz w:val="24"/>
          <w:szCs w:val="24"/>
        </w:rPr>
      </w:pPr>
      <m:oMathPara>
        <m:oMath>
          <m:r>
            <w:rPr>
              <w:rStyle w:val="katex-mathml"/>
              <w:rFonts w:ascii="Cambria Math" w:hAnsi="Cambria Math" w:cs="Arial"/>
              <w:sz w:val="24"/>
              <w:szCs w:val="24"/>
            </w:rPr>
            <m:t>Optimal Asset Base=</m:t>
          </m:r>
          <m:f>
            <m:fPr>
              <m:ctrlPr>
                <w:rPr>
                  <w:rStyle w:val="katex-mathml"/>
                  <w:rFonts w:ascii="Cambria Math" w:hAnsi="Cambria Math" w:cs="Arial"/>
                  <w:i/>
                  <w:sz w:val="24"/>
                  <w:szCs w:val="24"/>
                </w:rPr>
              </m:ctrlPr>
            </m:fPr>
            <m:num>
              <m:r>
                <w:rPr>
                  <w:rStyle w:val="katex-mathml"/>
                  <w:rFonts w:ascii="Cambria Math" w:hAnsi="Cambria Math" w:cs="Arial"/>
                  <w:sz w:val="24"/>
                  <w:szCs w:val="24"/>
                </w:rPr>
                <m:t>Revenue</m:t>
              </m:r>
            </m:num>
            <m:den>
              <m:r>
                <w:rPr>
                  <w:rStyle w:val="katex-mathml"/>
                  <w:rFonts w:ascii="Cambria Math" w:hAnsi="Cambria Math" w:cs="Arial"/>
                  <w:sz w:val="24"/>
                  <w:szCs w:val="24"/>
                </w:rPr>
                <m:t>Target Asset Turnover</m:t>
              </m:r>
            </m:den>
          </m:f>
          <m:r>
            <w:rPr>
              <w:rStyle w:val="vlist-s"/>
              <w:rFonts w:ascii="Cambria Math" w:hAnsi="Cambria Math" w:cs="Arial"/>
              <w:sz w:val="24"/>
              <w:szCs w:val="24"/>
            </w:rPr>
            <m:t>​</m:t>
          </m:r>
          <m:r>
            <w:rPr>
              <w:rFonts w:ascii="Cambria Math" w:hAnsi="Cambria Math" w:cs="Arial"/>
              <w:sz w:val="24"/>
              <w:szCs w:val="24"/>
            </w:rPr>
            <m:t xml:space="preserve"> </m:t>
          </m:r>
        </m:oMath>
      </m:oMathPara>
    </w:p>
    <w:p w14:paraId="3AE3103E" w14:textId="77777777" w:rsidR="009B5E8A" w:rsidRPr="0030453B" w:rsidRDefault="009B5E8A" w:rsidP="00DE2C7B">
      <w:pPr>
        <w:spacing w:line="276" w:lineRule="auto"/>
        <w:jc w:val="both"/>
        <w:rPr>
          <w:rStyle w:val="katex-mathml"/>
          <w:rFonts w:ascii="Arial" w:eastAsia="Times New Roman" w:hAnsi="Arial" w:cs="Arial"/>
          <w:sz w:val="24"/>
          <w:szCs w:val="24"/>
        </w:rPr>
      </w:pPr>
      <m:oMathPara>
        <m:oMath>
          <m:r>
            <w:rPr>
              <w:rStyle w:val="katex-mathml"/>
              <w:rFonts w:ascii="Cambria Math" w:hAnsi="Cambria Math" w:cs="Arial"/>
              <w:sz w:val="24"/>
              <w:szCs w:val="24"/>
            </w:rPr>
            <m:t>=</m:t>
          </m:r>
          <m:f>
            <m:fPr>
              <m:ctrlPr>
                <w:rPr>
                  <w:rStyle w:val="katex-mathml"/>
                  <w:rFonts w:ascii="Cambria Math" w:hAnsi="Cambria Math" w:cs="Arial"/>
                  <w:i/>
                  <w:sz w:val="24"/>
                  <w:szCs w:val="24"/>
                </w:rPr>
              </m:ctrlPr>
            </m:fPr>
            <m:num>
              <m:r>
                <w:rPr>
                  <w:rStyle w:val="katex-mathml"/>
                  <w:rFonts w:ascii="Cambria Math" w:hAnsi="Cambria Math" w:cs="Arial"/>
                  <w:sz w:val="24"/>
                  <w:szCs w:val="24"/>
                </w:rPr>
                <m:t>£394,879m</m:t>
              </m:r>
            </m:num>
            <m:den>
              <m:r>
                <w:rPr>
                  <w:rStyle w:val="katex-mathml"/>
                  <w:rFonts w:ascii="Cambria Math" w:hAnsi="Cambria Math" w:cs="Arial"/>
                  <w:sz w:val="24"/>
                  <w:szCs w:val="24"/>
                </w:rPr>
                <m:t>1.5</m:t>
              </m:r>
            </m:den>
          </m:f>
          <m:r>
            <w:rPr>
              <w:rStyle w:val="katex-mathml"/>
              <w:rFonts w:ascii="Cambria Math" w:hAnsi="Cambria Math" w:cs="Arial"/>
              <w:sz w:val="24"/>
              <w:szCs w:val="24"/>
            </w:rPr>
            <m:t>1.5</m:t>
          </m:r>
        </m:oMath>
      </m:oMathPara>
    </w:p>
    <w:p w14:paraId="5C66CEE9" w14:textId="645FA4E8" w:rsidR="009B5E8A" w:rsidRPr="00040F1C" w:rsidRDefault="009B5E8A"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=£263,253m</m:t>
          </m:r>
        </m:oMath>
      </m:oMathPara>
    </w:p>
    <w:p w14:paraId="6E466F53"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Given the current asset base of £323,354m, excess assets are estimated as:</w:t>
      </w:r>
    </w:p>
    <w:p w14:paraId="0F93B044" w14:textId="4EEA9029" w:rsidR="009B5E8A" w:rsidRPr="00040F1C" w:rsidRDefault="009B5E8A"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Excess Assets=£323,354m-£263,253m=£60,101m</m:t>
          </m:r>
          <m:r>
            <w:rPr>
              <w:rFonts w:ascii="Cambria Math" w:hAnsi="Cambria Math" w:cs="Arial"/>
              <w:sz w:val="24"/>
              <w:szCs w:val="24"/>
            </w:rPr>
            <m:t xml:space="preserve"> </m:t>
          </m:r>
        </m:oMath>
      </m:oMathPara>
    </w:p>
    <w:p w14:paraId="1C89763A"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This excess capital provides a quantitative benchmark for divestiture planning.</w:t>
      </w:r>
    </w:p>
    <w:p w14:paraId="70C78D67" w14:textId="77777777" w:rsidR="009B5E8A" w:rsidRPr="0030453B" w:rsidRDefault="00040F1C" w:rsidP="00902119">
      <w:pPr>
        <w:pStyle w:val="Heading4"/>
      </w:pPr>
      <w:r w:rsidRPr="00040F1C">
        <w:t>4.1.2 Divestiture Categories and Valuation</w:t>
      </w:r>
    </w:p>
    <w:p w14:paraId="6089520E" w14:textId="321F1D33" w:rsid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The divestiture </w:t>
      </w:r>
      <w:proofErr w:type="spellStart"/>
      <w:r w:rsidRPr="00040F1C">
        <w:rPr>
          <w:rFonts w:ascii="Arial" w:eastAsia="Times New Roman" w:hAnsi="Arial" w:cs="Arial"/>
          <w:sz w:val="24"/>
          <w:szCs w:val="24"/>
        </w:rPr>
        <w:t>programme</w:t>
      </w:r>
      <w:proofErr w:type="spellEnd"/>
      <w:r w:rsidRPr="00040F1C">
        <w:rPr>
          <w:rFonts w:ascii="Arial" w:eastAsia="Times New Roman" w:hAnsi="Arial" w:cs="Arial"/>
          <w:sz w:val="24"/>
          <w:szCs w:val="24"/>
        </w:rPr>
        <w:t xml:space="preserve"> is structured across three financially justified categories based on asset liquidity, valuation certainty, and operational impact.</w:t>
      </w:r>
    </w:p>
    <w:p w14:paraId="6EAFEE90" w14:textId="145C6F22" w:rsidR="00521423" w:rsidRPr="00521423" w:rsidRDefault="00521423" w:rsidP="00DE2C7B">
      <w:pPr>
        <w:spacing w:before="100" w:beforeAutospacing="1" w:after="100" w:afterAutospacing="1" w:line="276" w:lineRule="auto"/>
        <w:jc w:val="both"/>
        <w:rPr>
          <w:rFonts w:ascii="Arial" w:eastAsia="Times New Roman" w:hAnsi="Arial" w:cs="Arial"/>
          <w:sz w:val="24"/>
          <w:szCs w:val="24"/>
        </w:rPr>
      </w:pPr>
      <w:r w:rsidRPr="00521423">
        <w:rPr>
          <w:rFonts w:ascii="Arial" w:eastAsia="Times New Roman" w:hAnsi="Arial" w:cs="Arial"/>
          <w:sz w:val="24"/>
          <w:szCs w:val="24"/>
        </w:rPr>
        <w:t>Table 4.1: Divestiture Proceeds by Asset Category</w:t>
      </w:r>
    </w:p>
    <w:tbl>
      <w:tblPr>
        <w:tblStyle w:val="TableGrid"/>
        <w:tblW w:w="0" w:type="auto"/>
        <w:jc w:val="center"/>
        <w:tblLook w:val="04A0" w:firstRow="1" w:lastRow="0" w:firstColumn="1" w:lastColumn="0" w:noHBand="0" w:noVBand="1"/>
      </w:tblPr>
      <w:tblGrid>
        <w:gridCol w:w="2973"/>
        <w:gridCol w:w="1577"/>
        <w:gridCol w:w="1740"/>
        <w:gridCol w:w="1567"/>
        <w:gridCol w:w="1493"/>
      </w:tblGrid>
      <w:tr w:rsidR="00040F1C" w:rsidRPr="00040F1C" w14:paraId="47CFA7E4" w14:textId="77777777" w:rsidTr="009B5E8A">
        <w:trPr>
          <w:jc w:val="center"/>
        </w:trPr>
        <w:tc>
          <w:tcPr>
            <w:tcW w:w="0" w:type="auto"/>
            <w:hideMark/>
          </w:tcPr>
          <w:p w14:paraId="0F1DCBC4"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Divestiture Source</w:t>
            </w:r>
          </w:p>
        </w:tc>
        <w:tc>
          <w:tcPr>
            <w:tcW w:w="0" w:type="auto"/>
            <w:hideMark/>
          </w:tcPr>
          <w:p w14:paraId="051EC82B"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Asset Base (£m)</w:t>
            </w:r>
          </w:p>
        </w:tc>
        <w:tc>
          <w:tcPr>
            <w:tcW w:w="0" w:type="auto"/>
            <w:hideMark/>
          </w:tcPr>
          <w:p w14:paraId="08F1C250"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Assumption</w:t>
            </w:r>
          </w:p>
        </w:tc>
        <w:tc>
          <w:tcPr>
            <w:tcW w:w="0" w:type="auto"/>
            <w:hideMark/>
          </w:tcPr>
          <w:p w14:paraId="3DB81C61"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Proceeds (£m)</w:t>
            </w:r>
          </w:p>
        </w:tc>
        <w:tc>
          <w:tcPr>
            <w:tcW w:w="0" w:type="auto"/>
            <w:hideMark/>
          </w:tcPr>
          <w:p w14:paraId="5B257A3F"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Timeline</w:t>
            </w:r>
          </w:p>
        </w:tc>
      </w:tr>
      <w:tr w:rsidR="00040F1C" w:rsidRPr="00040F1C" w14:paraId="26264D6D" w14:textId="77777777" w:rsidTr="009B5E8A">
        <w:trPr>
          <w:jc w:val="center"/>
        </w:trPr>
        <w:tc>
          <w:tcPr>
            <w:tcW w:w="0" w:type="auto"/>
            <w:hideMark/>
          </w:tcPr>
          <w:p w14:paraId="0468A9FA"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Underperforming business units</w:t>
            </w:r>
          </w:p>
        </w:tc>
        <w:tc>
          <w:tcPr>
            <w:tcW w:w="0" w:type="auto"/>
            <w:hideMark/>
          </w:tcPr>
          <w:p w14:paraId="3E4D8E9F"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45,000</w:t>
            </w:r>
          </w:p>
        </w:tc>
        <w:tc>
          <w:tcPr>
            <w:tcW w:w="0" w:type="auto"/>
            <w:hideMark/>
          </w:tcPr>
          <w:p w14:paraId="40654972"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0.8× book value</w:t>
            </w:r>
          </w:p>
        </w:tc>
        <w:tc>
          <w:tcPr>
            <w:tcW w:w="0" w:type="auto"/>
            <w:hideMark/>
          </w:tcPr>
          <w:p w14:paraId="08BF7289"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36,000</w:t>
            </w:r>
          </w:p>
        </w:tc>
        <w:tc>
          <w:tcPr>
            <w:tcW w:w="0" w:type="auto"/>
            <w:hideMark/>
          </w:tcPr>
          <w:p w14:paraId="33999643"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12–18 months</w:t>
            </w:r>
          </w:p>
        </w:tc>
      </w:tr>
      <w:tr w:rsidR="00040F1C" w:rsidRPr="00040F1C" w14:paraId="00107DD9" w14:textId="77777777" w:rsidTr="009B5E8A">
        <w:trPr>
          <w:jc w:val="center"/>
        </w:trPr>
        <w:tc>
          <w:tcPr>
            <w:tcW w:w="0" w:type="auto"/>
            <w:hideMark/>
          </w:tcPr>
          <w:p w14:paraId="26751435"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Sale–leaseback of PP&amp;E</w:t>
            </w:r>
          </w:p>
        </w:tc>
        <w:tc>
          <w:tcPr>
            <w:tcW w:w="0" w:type="auto"/>
            <w:hideMark/>
          </w:tcPr>
          <w:p w14:paraId="74950546"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34,207</w:t>
            </w:r>
          </w:p>
        </w:tc>
        <w:tc>
          <w:tcPr>
            <w:tcW w:w="0" w:type="auto"/>
            <w:hideMark/>
          </w:tcPr>
          <w:p w14:paraId="13F84E56"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60% × 1.2×</w:t>
            </w:r>
          </w:p>
        </w:tc>
        <w:tc>
          <w:tcPr>
            <w:tcW w:w="0" w:type="auto"/>
            <w:hideMark/>
          </w:tcPr>
          <w:p w14:paraId="37E1EF1E"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24,628</w:t>
            </w:r>
          </w:p>
        </w:tc>
        <w:tc>
          <w:tcPr>
            <w:tcW w:w="0" w:type="auto"/>
            <w:hideMark/>
          </w:tcPr>
          <w:p w14:paraId="719F1C60"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6–12 months</w:t>
            </w:r>
          </w:p>
        </w:tc>
      </w:tr>
      <w:tr w:rsidR="00040F1C" w:rsidRPr="00040F1C" w14:paraId="78595F0F" w14:textId="77777777" w:rsidTr="009B5E8A">
        <w:trPr>
          <w:jc w:val="center"/>
        </w:trPr>
        <w:tc>
          <w:tcPr>
            <w:tcW w:w="0" w:type="auto"/>
            <w:hideMark/>
          </w:tcPr>
          <w:p w14:paraId="13B8A1C3"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IP </w:t>
            </w:r>
            <w:proofErr w:type="spellStart"/>
            <w:r w:rsidRPr="00040F1C">
              <w:rPr>
                <w:rFonts w:ascii="Arial" w:eastAsia="Times New Roman" w:hAnsi="Arial" w:cs="Arial"/>
                <w:sz w:val="24"/>
                <w:szCs w:val="24"/>
              </w:rPr>
              <w:t>monetisation</w:t>
            </w:r>
            <w:proofErr w:type="spellEnd"/>
          </w:p>
        </w:tc>
        <w:tc>
          <w:tcPr>
            <w:tcW w:w="0" w:type="auto"/>
            <w:hideMark/>
          </w:tcPr>
          <w:p w14:paraId="2D226499"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24,038</w:t>
            </w:r>
          </w:p>
        </w:tc>
        <w:tc>
          <w:tcPr>
            <w:tcW w:w="0" w:type="auto"/>
            <w:hideMark/>
          </w:tcPr>
          <w:p w14:paraId="1B7A0FE7"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30% × 0.7×</w:t>
            </w:r>
          </w:p>
        </w:tc>
        <w:tc>
          <w:tcPr>
            <w:tcW w:w="0" w:type="auto"/>
            <w:hideMark/>
          </w:tcPr>
          <w:p w14:paraId="34C0DBC6"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5,048</w:t>
            </w:r>
          </w:p>
        </w:tc>
        <w:tc>
          <w:tcPr>
            <w:tcW w:w="0" w:type="auto"/>
            <w:hideMark/>
          </w:tcPr>
          <w:p w14:paraId="65BC0003" w14:textId="77777777" w:rsidR="00040F1C" w:rsidRPr="00040F1C" w:rsidRDefault="00040F1C" w:rsidP="00DE2C7B">
            <w:pPr>
              <w:spacing w:line="276" w:lineRule="auto"/>
              <w:jc w:val="both"/>
              <w:rPr>
                <w:rFonts w:ascii="Arial" w:eastAsia="Times New Roman" w:hAnsi="Arial" w:cs="Arial"/>
                <w:sz w:val="24"/>
                <w:szCs w:val="24"/>
              </w:rPr>
            </w:pPr>
            <w:r w:rsidRPr="00040F1C">
              <w:rPr>
                <w:rFonts w:ascii="Arial" w:eastAsia="Times New Roman" w:hAnsi="Arial" w:cs="Arial"/>
                <w:sz w:val="24"/>
                <w:szCs w:val="24"/>
              </w:rPr>
              <w:t>3–6 months</w:t>
            </w:r>
          </w:p>
        </w:tc>
      </w:tr>
    </w:tbl>
    <w:p w14:paraId="17A0B8D7"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Underperforming business units failing to achieve an 8% ROA or generating negative EBIT are assumed to represent £45bn in assets. Applying a conservative 0.8× book value multiple yields £36bn in proceeds, consistent with distressed asset pricing literature. Real estate and PP&amp;E divestiture through sale-leaseback converts illiquid fixed assets into immediate cash while preserving operational access. Assuming 60% eligibility and 1.2× market valuation generates £24.6bn. Intellectual property </w:t>
      </w:r>
      <w:proofErr w:type="spellStart"/>
      <w:r w:rsidRPr="00040F1C">
        <w:rPr>
          <w:rFonts w:ascii="Arial" w:eastAsia="Times New Roman" w:hAnsi="Arial" w:cs="Arial"/>
          <w:sz w:val="24"/>
          <w:szCs w:val="24"/>
        </w:rPr>
        <w:t>monetisation</w:t>
      </w:r>
      <w:proofErr w:type="spellEnd"/>
      <w:r w:rsidRPr="00040F1C">
        <w:rPr>
          <w:rFonts w:ascii="Arial" w:eastAsia="Times New Roman" w:hAnsi="Arial" w:cs="Arial"/>
          <w:sz w:val="24"/>
          <w:szCs w:val="24"/>
        </w:rPr>
        <w:t xml:space="preserve">, limited to non-strategic patents and </w:t>
      </w:r>
      <w:proofErr w:type="spellStart"/>
      <w:r w:rsidRPr="00040F1C">
        <w:rPr>
          <w:rFonts w:ascii="Arial" w:eastAsia="Times New Roman" w:hAnsi="Arial" w:cs="Arial"/>
          <w:sz w:val="24"/>
          <w:szCs w:val="24"/>
        </w:rPr>
        <w:t>licences</w:t>
      </w:r>
      <w:proofErr w:type="spellEnd"/>
      <w:r w:rsidRPr="00040F1C">
        <w:rPr>
          <w:rFonts w:ascii="Arial" w:eastAsia="Times New Roman" w:hAnsi="Arial" w:cs="Arial"/>
          <w:sz w:val="24"/>
          <w:szCs w:val="24"/>
        </w:rPr>
        <w:t xml:space="preserve">, contributes £5.0bn under conservative valuation assumptions. The total </w:t>
      </w:r>
      <w:proofErr w:type="spellStart"/>
      <w:r w:rsidRPr="00040F1C">
        <w:rPr>
          <w:rFonts w:ascii="Arial" w:eastAsia="Times New Roman" w:hAnsi="Arial" w:cs="Arial"/>
          <w:sz w:val="24"/>
          <w:szCs w:val="24"/>
        </w:rPr>
        <w:t>programme</w:t>
      </w:r>
      <w:proofErr w:type="spellEnd"/>
      <w:r w:rsidRPr="00040F1C">
        <w:rPr>
          <w:rFonts w:ascii="Arial" w:eastAsia="Times New Roman" w:hAnsi="Arial" w:cs="Arial"/>
          <w:sz w:val="24"/>
          <w:szCs w:val="24"/>
        </w:rPr>
        <w:t xml:space="preserve"> generates £65.7bn, exceeding the identified excess asset base and creating balance-sheet flexibility.</w:t>
      </w:r>
    </w:p>
    <w:p w14:paraId="09CB1AB2" w14:textId="77777777" w:rsidR="0060017F" w:rsidRPr="0030453B" w:rsidRDefault="00040F1C" w:rsidP="00902119">
      <w:pPr>
        <w:pStyle w:val="Heading4"/>
      </w:pPr>
      <w:r w:rsidRPr="00040F1C">
        <w:t>4.1.3 Impact on Capital Structure</w:t>
      </w:r>
    </w:p>
    <w:p w14:paraId="0BDFC349" w14:textId="7A257374"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lastRenderedPageBreak/>
        <w:t>Assuming 60% of divestiture proceeds are allocated to debt reduction, the post-divestiture balance sheet adjusts as follows:</w:t>
      </w:r>
    </w:p>
    <w:p w14:paraId="56DC9CAF" w14:textId="174CDE04" w:rsidR="0060017F" w:rsidRPr="0030453B" w:rsidRDefault="00815DF2" w:rsidP="00DE2C7B">
      <w:pPr>
        <w:spacing w:after="0" w:line="276" w:lineRule="auto"/>
        <w:jc w:val="both"/>
        <w:rPr>
          <w:rFonts w:ascii="Cambria Math" w:eastAsia="Times New Roman" w:hAnsi="Cambria Math" w:cs="Arial"/>
          <w:sz w:val="24"/>
          <w:szCs w:val="24"/>
          <w:oMath/>
        </w:rPr>
      </w:pPr>
      <m:oMathPara>
        <m:oMath>
          <m:r>
            <w:rPr>
              <w:rFonts w:ascii="Cambria Math" w:eastAsia="Times New Roman" w:hAnsi="Cambria Math" w:cs="Arial"/>
              <w:sz w:val="24"/>
              <w:szCs w:val="24"/>
            </w:rPr>
            <m:t>Debt Retired=£65,676m×0.60=£39,406m</m:t>
          </m:r>
        </m:oMath>
      </m:oMathPara>
    </w:p>
    <w:p w14:paraId="3C9CCA82" w14:textId="19AF368B" w:rsidR="0060017F" w:rsidRPr="0030453B" w:rsidRDefault="00815DF2" w:rsidP="00DE2C7B">
      <w:pPr>
        <w:spacing w:after="0" w:line="276" w:lineRule="auto"/>
        <w:jc w:val="both"/>
        <w:rPr>
          <w:rFonts w:ascii="Cambria Math" w:eastAsia="Times New Roman" w:hAnsi="Cambria Math" w:cs="Arial"/>
          <w:sz w:val="24"/>
          <w:szCs w:val="24"/>
          <w:oMath/>
        </w:rPr>
      </w:pPr>
      <m:oMathPara>
        <m:oMath>
          <m:r>
            <w:rPr>
              <w:rFonts w:ascii="Cambria Math" w:eastAsia="Times New Roman" w:hAnsi="Cambria Math" w:cs="Arial"/>
              <w:sz w:val="24"/>
              <w:szCs w:val="24"/>
            </w:rPr>
            <m:t>Post-Divestiture Debt=£170,249m-£39,406m=£130,843m</m:t>
          </m:r>
        </m:oMath>
      </m:oMathPara>
    </w:p>
    <w:p w14:paraId="4D8F7C8B" w14:textId="0F6F3110" w:rsidR="0060017F" w:rsidRPr="0030453B" w:rsidRDefault="00815DF2" w:rsidP="00DE2C7B">
      <w:pPr>
        <w:spacing w:after="0" w:line="276" w:lineRule="auto"/>
        <w:jc w:val="both"/>
        <w:rPr>
          <w:rFonts w:ascii="Cambria Math" w:eastAsia="Times New Roman" w:hAnsi="Cambria Math" w:cs="Arial"/>
          <w:sz w:val="24"/>
          <w:szCs w:val="24"/>
          <w:oMath/>
        </w:rPr>
      </w:pPr>
      <m:oMathPara>
        <m:oMath>
          <m:r>
            <w:rPr>
              <w:rFonts w:ascii="Cambria Math" w:eastAsia="Times New Roman" w:hAnsi="Cambria Math" w:cs="Arial"/>
              <w:sz w:val="24"/>
              <w:szCs w:val="24"/>
            </w:rPr>
            <m:t>Post-Divestiture Assets=£323,354m-£60,101m+£65,676m=£328,929m</m:t>
          </m:r>
        </m:oMath>
      </m:oMathPara>
    </w:p>
    <w:p w14:paraId="0A3710A3" w14:textId="6B08B317" w:rsidR="00815DF2" w:rsidRPr="0030453B" w:rsidRDefault="00815DF2" w:rsidP="00DE2C7B">
      <w:pPr>
        <w:spacing w:after="0" w:line="276" w:lineRule="auto"/>
        <w:jc w:val="both"/>
        <w:rPr>
          <w:rFonts w:ascii="Cambria Math" w:eastAsia="Times New Roman" w:hAnsi="Cambria Math" w:cs="Arial"/>
          <w:sz w:val="24"/>
          <w:szCs w:val="24"/>
          <w:oMath/>
        </w:rPr>
      </w:pPr>
      <m:oMathPara>
        <m:oMath>
          <m:r>
            <w:rPr>
              <w:rFonts w:ascii="Cambria Math" w:eastAsia="Times New Roman" w:hAnsi="Cambria Math" w:cs="Arial"/>
              <w:sz w:val="24"/>
              <w:szCs w:val="24"/>
            </w:rPr>
            <m:t>Debt-to-Asset Ratio=</m:t>
          </m:r>
          <m:f>
            <m:fPr>
              <m:ctrlPr>
                <w:rPr>
                  <w:rFonts w:ascii="Cambria Math" w:eastAsia="Times New Roman" w:hAnsi="Cambria Math" w:cs="Arial"/>
                  <w:i/>
                  <w:sz w:val="24"/>
                  <w:szCs w:val="24"/>
                </w:rPr>
              </m:ctrlPr>
            </m:fPr>
            <m:num>
              <m:r>
                <w:rPr>
                  <w:rFonts w:ascii="Cambria Math" w:eastAsia="Times New Roman" w:hAnsi="Cambria Math" w:cs="Arial"/>
                  <w:sz w:val="24"/>
                  <w:szCs w:val="24"/>
                </w:rPr>
                <m:t>£130,843m</m:t>
              </m:r>
            </m:num>
            <m:den>
              <m:r>
                <w:rPr>
                  <w:rFonts w:ascii="Cambria Math" w:eastAsia="Times New Roman" w:hAnsi="Cambria Math" w:cs="Arial"/>
                  <w:sz w:val="24"/>
                  <w:szCs w:val="24"/>
                </w:rPr>
                <m:t>£328,929m</m:t>
              </m:r>
            </m:den>
          </m:f>
          <m:r>
            <w:rPr>
              <w:rFonts w:ascii="Cambria Math" w:eastAsia="Times New Roman" w:hAnsi="Cambria Math" w:cs="Arial"/>
              <w:sz w:val="24"/>
              <w:szCs w:val="24"/>
            </w:rPr>
            <m:t>=39.8%</m:t>
          </m:r>
        </m:oMath>
      </m:oMathPara>
    </w:p>
    <w:p w14:paraId="77FB764C"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This represents a substantial improvement from the current 52.7%, materially reducing financial risk. Annual interest savings are estimated as:</w:t>
      </w:r>
    </w:p>
    <w:p w14:paraId="04F634B4" w14:textId="5114EA43" w:rsidR="00040F1C" w:rsidRPr="00040F1C" w:rsidRDefault="00635467"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 xml:space="preserve"> Interest Savings=£39,406m×10%=£3,941m </m:t>
          </m:r>
        </m:oMath>
      </m:oMathPara>
    </w:p>
    <w:p w14:paraId="745090DD"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After accounting for incremental lease costs (£2.0bn), net annual cash flow improves by £1.9bn, strengthening operating sustainability.</w:t>
      </w:r>
    </w:p>
    <w:p w14:paraId="51D26652" w14:textId="7CDB5879" w:rsidR="00040F1C" w:rsidRPr="00040F1C" w:rsidRDefault="00040F1C" w:rsidP="00902119">
      <w:pPr>
        <w:pStyle w:val="Heading3"/>
      </w:pPr>
      <w:bookmarkStart w:id="14" w:name="_Toc217322940"/>
      <w:r w:rsidRPr="00040F1C">
        <w:t>4.</w:t>
      </w:r>
      <w:r w:rsidR="00902119">
        <w:t>3</w:t>
      </w:r>
      <w:r w:rsidRPr="00040F1C">
        <w:t xml:space="preserve"> Merger and Acquisition–Led Value Restoration</w:t>
      </w:r>
      <w:bookmarkEnd w:id="14"/>
    </w:p>
    <w:p w14:paraId="071E73B2" w14:textId="321D6568" w:rsidR="00635467" w:rsidRPr="0030453B" w:rsidRDefault="00040F1C" w:rsidP="00CD2D45">
      <w:pPr>
        <w:pStyle w:val="Heading4"/>
      </w:pPr>
      <w:r w:rsidRPr="00040F1C">
        <w:t>4.</w:t>
      </w:r>
      <w:r w:rsidR="00902119">
        <w:t>3</w:t>
      </w:r>
      <w:r w:rsidRPr="00040F1C">
        <w:t>.1 Strategic Valuation of M&amp;A Options</w:t>
      </w:r>
    </w:p>
    <w:p w14:paraId="0FAC3155" w14:textId="61D36D8C"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Given persistent operating losses, merger or acquisition presents an alternative route to value recovery. The firm’s depressed valuation reflects market distress rather than asset obsolescence. Equity valuation based on a 25% market-to-book ratio implies:</w:t>
      </w:r>
    </w:p>
    <w:p w14:paraId="15CE1DAF" w14:textId="77777777" w:rsidR="00635467" w:rsidRPr="0030453B" w:rsidRDefault="00635467"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Market Capitalisation=£153,105m×0.25=£38,276m</m:t>
          </m:r>
        </m:oMath>
      </m:oMathPara>
    </w:p>
    <w:p w14:paraId="37B0B9B9" w14:textId="1382A3AF" w:rsidR="00040F1C" w:rsidRPr="00040F1C" w:rsidRDefault="00040F1C" w:rsidP="00DE2C7B">
      <w:pPr>
        <w:spacing w:after="0" w:line="276" w:lineRule="auto"/>
        <w:jc w:val="both"/>
        <w:rPr>
          <w:rFonts w:ascii="Arial" w:eastAsia="Times New Roman" w:hAnsi="Arial" w:cs="Arial"/>
          <w:sz w:val="24"/>
          <w:szCs w:val="24"/>
        </w:rPr>
      </w:pPr>
      <w:r w:rsidRPr="00040F1C">
        <w:rPr>
          <w:rFonts w:ascii="Arial" w:eastAsia="Times New Roman" w:hAnsi="Arial" w:cs="Arial"/>
          <w:sz w:val="24"/>
          <w:szCs w:val="24"/>
        </w:rPr>
        <w:t>Applying a 30% acquisition premium:</w:t>
      </w:r>
    </w:p>
    <w:p w14:paraId="11D1BAF0" w14:textId="29817A1D" w:rsidR="00040F1C" w:rsidRPr="00040F1C" w:rsidRDefault="00635467"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 xml:space="preserve">Acquisition Price=£38,276m×1.30=£49,759m  </m:t>
          </m:r>
        </m:oMath>
      </m:oMathPara>
    </w:p>
    <w:p w14:paraId="35FD3CAA"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Cost synergies in the technology sector typically range between 15–25% of operating expenses. Using a mid-point assumption:</w:t>
      </w:r>
    </w:p>
    <w:p w14:paraId="2C76829E" w14:textId="51EFA8E3" w:rsidR="00635467" w:rsidRPr="0030453B" w:rsidRDefault="00635467" w:rsidP="00DE2C7B">
      <w:pPr>
        <w:spacing w:after="0" w:line="276" w:lineRule="auto"/>
        <w:jc w:val="both"/>
        <w:rPr>
          <w:rFonts w:ascii="Cambria Math" w:eastAsia="Times New Roman" w:hAnsi="Cambria Math" w:cs="Arial"/>
          <w:sz w:val="24"/>
          <w:szCs w:val="24"/>
          <w:oMath/>
        </w:rPr>
      </w:pPr>
      <m:oMathPara>
        <m:oMath>
          <m:r>
            <w:rPr>
              <w:rFonts w:ascii="Cambria Math" w:eastAsia="Times New Roman" w:hAnsi="Cambria Math" w:cs="Arial"/>
              <w:sz w:val="24"/>
              <w:szCs w:val="24"/>
            </w:rPr>
            <m:t>Annual Synergies=£129,291m×0.20=£25,858m</m:t>
          </m:r>
        </m:oMath>
      </m:oMathPara>
    </w:p>
    <w:p w14:paraId="43F0266F" w14:textId="0FAF2BB1" w:rsidR="00635467" w:rsidRPr="0030453B" w:rsidRDefault="00635467" w:rsidP="00DE2C7B">
      <w:pPr>
        <w:spacing w:after="0" w:line="276" w:lineRule="auto"/>
        <w:jc w:val="both"/>
        <w:rPr>
          <w:rFonts w:ascii="Cambria Math" w:eastAsia="Times New Roman" w:hAnsi="Cambria Math" w:cs="Arial"/>
          <w:sz w:val="24"/>
          <w:szCs w:val="24"/>
          <w:oMath/>
        </w:rPr>
      </w:pPr>
      <m:oMathPara>
        <m:oMath>
          <m:r>
            <w:rPr>
              <w:rFonts w:ascii="Cambria Math" w:eastAsia="Times New Roman" w:hAnsi="Cambria Math" w:cs="Arial"/>
              <w:sz w:val="24"/>
              <w:szCs w:val="24"/>
            </w:rPr>
            <m:t>PV of Synergies=</m:t>
          </m:r>
          <m:f>
            <m:fPr>
              <m:ctrlPr>
                <w:rPr>
                  <w:rFonts w:ascii="Cambria Math" w:eastAsia="Times New Roman" w:hAnsi="Cambria Math" w:cs="Arial"/>
                  <w:i/>
                  <w:sz w:val="24"/>
                  <w:szCs w:val="24"/>
                </w:rPr>
              </m:ctrlPr>
            </m:fPr>
            <m:num>
              <m:r>
                <w:rPr>
                  <w:rFonts w:ascii="Cambria Math" w:eastAsia="Times New Roman" w:hAnsi="Cambria Math" w:cs="Arial"/>
                  <w:sz w:val="24"/>
                  <w:szCs w:val="24"/>
                </w:rPr>
                <m:t>£25,858m</m:t>
              </m:r>
            </m:num>
            <m:den>
              <m:r>
                <w:rPr>
                  <w:rFonts w:ascii="Cambria Math" w:eastAsia="Times New Roman" w:hAnsi="Cambria Math" w:cs="Arial"/>
                  <w:sz w:val="24"/>
                  <w:szCs w:val="24"/>
                </w:rPr>
                <m:t>0.10</m:t>
              </m:r>
            </m:den>
          </m:f>
          <m:r>
            <w:rPr>
              <w:rFonts w:ascii="Cambria Math" w:eastAsia="Times New Roman" w:hAnsi="Cambria Math" w:cs="Arial"/>
              <w:sz w:val="24"/>
              <w:szCs w:val="24"/>
            </w:rPr>
            <m:t>=£258,580m</m:t>
          </m:r>
        </m:oMath>
      </m:oMathPara>
    </w:p>
    <w:p w14:paraId="4448B05A"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The implied net value to the acquirer is therefore strongly positive, justifying transaction feasibility despite current losses (Gaughan, 2020).</w:t>
      </w:r>
    </w:p>
    <w:p w14:paraId="7E972CEA" w14:textId="06FA00D4" w:rsidR="00635467" w:rsidRPr="0030453B" w:rsidRDefault="00040F1C" w:rsidP="00902119">
      <w:pPr>
        <w:pStyle w:val="Heading4"/>
      </w:pPr>
      <w:r w:rsidRPr="00040F1C">
        <w:t>4.</w:t>
      </w:r>
      <w:r w:rsidR="00902119">
        <w:t>3</w:t>
      </w:r>
      <w:r w:rsidRPr="00040F1C">
        <w:t>.2 Pro Forma Operating Improvement</w:t>
      </w:r>
    </w:p>
    <w:p w14:paraId="33A23AEC" w14:textId="186F3D81"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lastRenderedPageBreak/>
        <w:t>Divesting structurally unprofitable segments materially improves operating margins. Removing three divisions generating £80bn revenue and £9.2bn operating losses yields:</w:t>
      </w:r>
    </w:p>
    <w:p w14:paraId="63015FD5" w14:textId="77777777" w:rsidR="00735C45" w:rsidRPr="0030453B" w:rsidRDefault="00735C45"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Pro Forma Operating Income=-£15,297m+£9,200m=-£6,097m</m:t>
          </m:r>
        </m:oMath>
      </m:oMathPara>
    </w:p>
    <w:p w14:paraId="43442F18" w14:textId="77777777" w:rsidR="00735C45" w:rsidRPr="0030453B" w:rsidRDefault="00735C45"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Pro Forma Revenue=£394,879m-£80,000m=£314,879m</m:t>
          </m:r>
        </m:oMath>
      </m:oMathPara>
    </w:p>
    <w:p w14:paraId="4ED50ABA" w14:textId="32E1829C" w:rsidR="00735C45" w:rsidRPr="0030453B" w:rsidRDefault="00735C45"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Pro Forma Operating Margin=</m:t>
          </m:r>
          <m:f>
            <m:fPr>
              <m:ctrlPr>
                <w:rPr>
                  <w:rFonts w:ascii="Cambria Math" w:eastAsia="Times New Roman" w:hAnsi="Cambria Math" w:cs="Arial"/>
                  <w:i/>
                  <w:sz w:val="24"/>
                  <w:szCs w:val="24"/>
                </w:rPr>
              </m:ctrlPr>
            </m:fPr>
            <m:num>
              <m:r>
                <w:rPr>
                  <w:rFonts w:ascii="Cambria Math" w:eastAsia="Times New Roman" w:hAnsi="Cambria Math" w:cs="Arial"/>
                  <w:sz w:val="24"/>
                  <w:szCs w:val="24"/>
                </w:rPr>
                <m:t>-£6,097m</m:t>
              </m:r>
            </m:num>
            <m:den>
              <m:r>
                <w:rPr>
                  <w:rFonts w:ascii="Cambria Math" w:eastAsia="Times New Roman" w:hAnsi="Cambria Math" w:cs="Arial"/>
                  <w:sz w:val="24"/>
                  <w:szCs w:val="24"/>
                </w:rPr>
                <m:t>£314,879m</m:t>
              </m:r>
            </m:den>
          </m:f>
          <m:r>
            <w:rPr>
              <w:rFonts w:ascii="Cambria Math" w:eastAsia="Times New Roman" w:hAnsi="Cambria Math" w:cs="Arial"/>
              <w:sz w:val="24"/>
              <w:szCs w:val="24"/>
            </w:rPr>
            <m:t>=-1.94%</m:t>
          </m:r>
        </m:oMath>
      </m:oMathPara>
    </w:p>
    <w:p w14:paraId="36E5F663"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Although still negative, the margin improvement establishes a credible base for post-merger operational synergies and margin </w:t>
      </w:r>
      <w:proofErr w:type="spellStart"/>
      <w:r w:rsidRPr="00040F1C">
        <w:rPr>
          <w:rFonts w:ascii="Arial" w:eastAsia="Times New Roman" w:hAnsi="Arial" w:cs="Arial"/>
          <w:sz w:val="24"/>
          <w:szCs w:val="24"/>
        </w:rPr>
        <w:t>normalisation</w:t>
      </w:r>
      <w:proofErr w:type="spellEnd"/>
      <w:r w:rsidRPr="00040F1C">
        <w:rPr>
          <w:rFonts w:ascii="Arial" w:eastAsia="Times New Roman" w:hAnsi="Arial" w:cs="Arial"/>
          <w:sz w:val="24"/>
          <w:szCs w:val="24"/>
        </w:rPr>
        <w:t xml:space="preserve"> (Berger and Ofek, 2019).</w:t>
      </w:r>
    </w:p>
    <w:p w14:paraId="5B20A34B" w14:textId="77777777" w:rsidR="00902119" w:rsidRDefault="00040F1C" w:rsidP="00902119">
      <w:pPr>
        <w:pStyle w:val="Heading4"/>
      </w:pPr>
      <w:r w:rsidRPr="00040F1C">
        <w:t>4.2.3 Asset-Based Valuation Floor</w:t>
      </w:r>
    </w:p>
    <w:p w14:paraId="2F2A1500" w14:textId="0F0538C7" w:rsidR="00040F1C" w:rsidRPr="00040F1C" w:rsidRDefault="00CD2D45" w:rsidP="00DE2C7B">
      <w:pPr>
        <w:spacing w:before="100" w:beforeAutospacing="1" w:after="100" w:afterAutospacing="1" w:line="276" w:lineRule="auto"/>
        <w:jc w:val="both"/>
        <w:rPr>
          <w:rFonts w:ascii="Arial" w:eastAsia="Times New Roman" w:hAnsi="Arial" w:cs="Arial"/>
          <w:sz w:val="24"/>
          <w:szCs w:val="24"/>
        </w:rPr>
      </w:pPr>
      <w:r>
        <w:rPr>
          <w:rFonts w:ascii="Arial" w:eastAsia="Times New Roman" w:hAnsi="Arial" w:cs="Arial"/>
          <w:sz w:val="24"/>
          <w:szCs w:val="24"/>
        </w:rPr>
        <w:t xml:space="preserve">Table 4.2: </w:t>
      </w:r>
      <w:r w:rsidR="00040F1C" w:rsidRPr="00040F1C">
        <w:rPr>
          <w:rFonts w:ascii="Arial" w:eastAsia="Times New Roman" w:hAnsi="Arial" w:cs="Arial"/>
          <w:sz w:val="24"/>
          <w:szCs w:val="24"/>
        </w:rPr>
        <w:t>Adjusted book valuation provides a downside protection benchmark.</w:t>
      </w:r>
    </w:p>
    <w:tbl>
      <w:tblPr>
        <w:tblStyle w:val="TableGrid"/>
        <w:tblW w:w="0" w:type="auto"/>
        <w:jc w:val="center"/>
        <w:tblLook w:val="04A0" w:firstRow="1" w:lastRow="0" w:firstColumn="1" w:lastColumn="0" w:noHBand="0" w:noVBand="1"/>
      </w:tblPr>
      <w:tblGrid>
        <w:gridCol w:w="3671"/>
        <w:gridCol w:w="1497"/>
      </w:tblGrid>
      <w:tr w:rsidR="00040F1C" w:rsidRPr="002919F4" w14:paraId="6230842A" w14:textId="77777777" w:rsidTr="002919F4">
        <w:trPr>
          <w:jc w:val="center"/>
        </w:trPr>
        <w:tc>
          <w:tcPr>
            <w:tcW w:w="0" w:type="auto"/>
            <w:hideMark/>
          </w:tcPr>
          <w:p w14:paraId="7C745D17"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Adjustment</w:t>
            </w:r>
          </w:p>
        </w:tc>
        <w:tc>
          <w:tcPr>
            <w:tcW w:w="0" w:type="auto"/>
            <w:hideMark/>
          </w:tcPr>
          <w:p w14:paraId="17242F1F"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Impact (£m)</w:t>
            </w:r>
          </w:p>
        </w:tc>
      </w:tr>
      <w:tr w:rsidR="00040F1C" w:rsidRPr="002919F4" w14:paraId="71402077" w14:textId="77777777" w:rsidTr="002919F4">
        <w:trPr>
          <w:jc w:val="center"/>
        </w:trPr>
        <w:tc>
          <w:tcPr>
            <w:tcW w:w="0" w:type="auto"/>
            <w:hideMark/>
          </w:tcPr>
          <w:p w14:paraId="7A4B192B"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Inventory markdown (15%)</w:t>
            </w:r>
          </w:p>
        </w:tc>
        <w:tc>
          <w:tcPr>
            <w:tcW w:w="0" w:type="auto"/>
            <w:hideMark/>
          </w:tcPr>
          <w:p w14:paraId="2E1185A0"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(11,903)</w:t>
            </w:r>
          </w:p>
        </w:tc>
      </w:tr>
      <w:tr w:rsidR="00040F1C" w:rsidRPr="002919F4" w14:paraId="6F06DFFF" w14:textId="77777777" w:rsidTr="002919F4">
        <w:trPr>
          <w:jc w:val="center"/>
        </w:trPr>
        <w:tc>
          <w:tcPr>
            <w:tcW w:w="0" w:type="auto"/>
            <w:hideMark/>
          </w:tcPr>
          <w:p w14:paraId="442A7129"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PP&amp;E market impairment (10%)</w:t>
            </w:r>
          </w:p>
        </w:tc>
        <w:tc>
          <w:tcPr>
            <w:tcW w:w="0" w:type="auto"/>
            <w:hideMark/>
          </w:tcPr>
          <w:p w14:paraId="2B441C85"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(3,421)</w:t>
            </w:r>
          </w:p>
        </w:tc>
      </w:tr>
      <w:tr w:rsidR="00040F1C" w:rsidRPr="002919F4" w14:paraId="15D9D9C9" w14:textId="77777777" w:rsidTr="002919F4">
        <w:trPr>
          <w:jc w:val="center"/>
        </w:trPr>
        <w:tc>
          <w:tcPr>
            <w:tcW w:w="0" w:type="auto"/>
            <w:hideMark/>
          </w:tcPr>
          <w:p w14:paraId="75CC36FD"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Deferred tax asset haircut (50%)</w:t>
            </w:r>
          </w:p>
        </w:tc>
        <w:tc>
          <w:tcPr>
            <w:tcW w:w="0" w:type="auto"/>
            <w:hideMark/>
          </w:tcPr>
          <w:p w14:paraId="366683C4"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(3,213)</w:t>
            </w:r>
          </w:p>
        </w:tc>
      </w:tr>
      <w:tr w:rsidR="00040F1C" w:rsidRPr="002919F4" w14:paraId="17C89E2D" w14:textId="77777777" w:rsidTr="002919F4">
        <w:trPr>
          <w:jc w:val="center"/>
        </w:trPr>
        <w:tc>
          <w:tcPr>
            <w:tcW w:w="0" w:type="auto"/>
            <w:hideMark/>
          </w:tcPr>
          <w:p w14:paraId="6184B6DB"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Total adjustments</w:t>
            </w:r>
          </w:p>
        </w:tc>
        <w:tc>
          <w:tcPr>
            <w:tcW w:w="0" w:type="auto"/>
            <w:hideMark/>
          </w:tcPr>
          <w:p w14:paraId="3B67CA4C" w14:textId="77777777" w:rsidR="00040F1C" w:rsidRPr="002919F4" w:rsidRDefault="00040F1C" w:rsidP="00DE2C7B">
            <w:pPr>
              <w:spacing w:line="276" w:lineRule="auto"/>
              <w:jc w:val="both"/>
              <w:rPr>
                <w:rFonts w:ascii="Arial" w:eastAsia="Times New Roman" w:hAnsi="Arial" w:cs="Arial"/>
                <w:sz w:val="24"/>
                <w:szCs w:val="24"/>
              </w:rPr>
            </w:pPr>
            <w:r w:rsidRPr="002919F4">
              <w:rPr>
                <w:rFonts w:ascii="Arial" w:eastAsia="Times New Roman" w:hAnsi="Arial" w:cs="Arial"/>
                <w:sz w:val="24"/>
                <w:szCs w:val="24"/>
              </w:rPr>
              <w:t>(18,537)</w:t>
            </w:r>
          </w:p>
        </w:tc>
      </w:tr>
    </w:tbl>
    <w:p w14:paraId="30222BD5" w14:textId="363E2BA4" w:rsidR="00857F56" w:rsidRPr="0030453B" w:rsidRDefault="00857F5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Adjusted Equity Value=£153,105m-£18,537m=£134,568m</m:t>
          </m:r>
        </m:oMath>
      </m:oMathPara>
    </w:p>
    <w:p w14:paraId="03319D08" w14:textId="565FD800"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At this level, General Electronics trades at an EV/Revenue multiple of 0.70×, materially below sector norms (1.5–2.5), reinforcing restructuring upside potential.</w:t>
      </w:r>
    </w:p>
    <w:p w14:paraId="2161DD67" w14:textId="647BD071" w:rsidR="00040F1C" w:rsidRPr="00040F1C" w:rsidRDefault="00040F1C" w:rsidP="00902119">
      <w:pPr>
        <w:pStyle w:val="Heading3"/>
      </w:pPr>
      <w:bookmarkStart w:id="15" w:name="_Toc217322941"/>
      <w:r w:rsidRPr="00040F1C">
        <w:t>4.</w:t>
      </w:r>
      <w:r w:rsidR="00902119">
        <w:t>4</w:t>
      </w:r>
      <w:r w:rsidRPr="00040F1C">
        <w:t xml:space="preserve"> Equity </w:t>
      </w:r>
      <w:proofErr w:type="spellStart"/>
      <w:r w:rsidRPr="00040F1C">
        <w:t>Recapitalisation</w:t>
      </w:r>
      <w:proofErr w:type="spellEnd"/>
      <w:r w:rsidRPr="00040F1C">
        <w:t xml:space="preserve"> and Financial Stability</w:t>
      </w:r>
      <w:bookmarkEnd w:id="15"/>
    </w:p>
    <w:p w14:paraId="257F5BDD" w14:textId="61B2CF41" w:rsidR="00857F56" w:rsidRPr="0030453B" w:rsidRDefault="00040F1C" w:rsidP="00CD2D45">
      <w:pPr>
        <w:pStyle w:val="Heading4"/>
      </w:pPr>
      <w:r w:rsidRPr="00040F1C">
        <w:t>4.</w:t>
      </w:r>
      <w:r w:rsidR="00902119">
        <w:t>4</w:t>
      </w:r>
      <w:r w:rsidRPr="00040F1C">
        <w:t xml:space="preserve">.1 </w:t>
      </w:r>
      <w:r w:rsidRPr="00CD2D45">
        <w:t>Rights</w:t>
      </w:r>
      <w:r w:rsidRPr="00040F1C">
        <w:t xml:space="preserve"> Issue Mechanics</w:t>
      </w:r>
    </w:p>
    <w:p w14:paraId="42777350" w14:textId="21F3E2B6" w:rsidR="00040F1C" w:rsidRPr="00040F1C" w:rsidRDefault="00040F1C" w:rsidP="00DE2C7B">
      <w:pPr>
        <w:spacing w:before="100" w:beforeAutospacing="1" w:after="100" w:afterAutospacing="1" w:line="276" w:lineRule="auto"/>
        <w:jc w:val="both"/>
        <w:rPr>
          <w:rFonts w:ascii="Arial" w:eastAsia="Times New Roman" w:hAnsi="Arial" w:cs="Arial"/>
          <w:b/>
          <w:bCs/>
          <w:sz w:val="24"/>
          <w:szCs w:val="24"/>
        </w:rPr>
      </w:pPr>
      <w:r w:rsidRPr="00040F1C">
        <w:rPr>
          <w:rFonts w:ascii="Arial" w:eastAsia="Times New Roman" w:hAnsi="Arial" w:cs="Arial"/>
          <w:sz w:val="24"/>
          <w:szCs w:val="24"/>
        </w:rPr>
        <w:t>A rights issue provides capital without fixed repayment obligations. Targeting £50bn at a discounted price of £2.50 per share, the issue size is:</w:t>
      </w:r>
    </w:p>
    <w:p w14:paraId="242335C7" w14:textId="50F36262" w:rsidR="00A82313" w:rsidRPr="0030453B" w:rsidRDefault="00857F5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New Shares Issued=</m:t>
          </m:r>
          <m:f>
            <m:fPr>
              <m:ctrlPr>
                <w:rPr>
                  <w:rFonts w:ascii="Cambria Math" w:eastAsia="Times New Roman" w:hAnsi="Cambria Math" w:cs="Arial"/>
                  <w:i/>
                  <w:sz w:val="24"/>
                  <w:szCs w:val="24"/>
                </w:rPr>
              </m:ctrlPr>
            </m:fPr>
            <m:num>
              <m:r>
                <w:rPr>
                  <w:rFonts w:ascii="Cambria Math" w:eastAsia="Times New Roman" w:hAnsi="Cambria Math" w:cs="Arial"/>
                  <w:sz w:val="24"/>
                  <w:szCs w:val="24"/>
                </w:rPr>
                <m:t>£50,000m</m:t>
              </m:r>
            </m:num>
            <m:den>
              <m:r>
                <w:rPr>
                  <w:rFonts w:ascii="Cambria Math" w:eastAsia="Times New Roman" w:hAnsi="Cambria Math" w:cs="Arial"/>
                  <w:sz w:val="24"/>
                  <w:szCs w:val="24"/>
                </w:rPr>
                <m:t>£2.50</m:t>
              </m:r>
            </m:den>
          </m:f>
          <m:r>
            <w:rPr>
              <w:rFonts w:ascii="Cambria Math" w:eastAsia="Times New Roman" w:hAnsi="Cambria Math" w:cs="Arial"/>
              <w:sz w:val="24"/>
              <w:szCs w:val="24"/>
            </w:rPr>
            <m:t>=20,000m</m:t>
          </m:r>
        </m:oMath>
      </m:oMathPara>
    </w:p>
    <w:p w14:paraId="76E31789" w14:textId="25A1C499" w:rsidR="00A82313" w:rsidRPr="0030453B" w:rsidRDefault="00857F5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Rights Ratio=</m:t>
          </m:r>
          <m:f>
            <m:fPr>
              <m:ctrlPr>
                <w:rPr>
                  <w:rFonts w:ascii="Cambria Math" w:eastAsia="Times New Roman" w:hAnsi="Cambria Math" w:cs="Arial"/>
                  <w:i/>
                  <w:sz w:val="24"/>
                  <w:szCs w:val="24"/>
                </w:rPr>
              </m:ctrlPr>
            </m:fPr>
            <m:num>
              <m:r>
                <w:rPr>
                  <w:rFonts w:ascii="Cambria Math" w:eastAsia="Times New Roman" w:hAnsi="Cambria Math" w:cs="Arial"/>
                  <w:sz w:val="24"/>
                  <w:szCs w:val="24"/>
                </w:rPr>
                <m:t>20,000</m:t>
              </m:r>
            </m:num>
            <m:den>
              <m:r>
                <w:rPr>
                  <w:rFonts w:ascii="Cambria Math" w:eastAsia="Times New Roman" w:hAnsi="Cambria Math" w:cs="Arial"/>
                  <w:sz w:val="24"/>
                  <w:szCs w:val="24"/>
                </w:rPr>
                <m:t>12,959</m:t>
              </m:r>
            </m:den>
          </m:f>
          <m:r>
            <w:rPr>
              <w:rFonts w:ascii="Cambria Math" w:eastAsia="Times New Roman" w:hAnsi="Cambria Math" w:cs="Arial"/>
              <w:sz w:val="24"/>
              <w:szCs w:val="24"/>
            </w:rPr>
            <m:t xml:space="preserve"> =1.54</m:t>
          </m:r>
        </m:oMath>
      </m:oMathPara>
    </w:p>
    <w:p w14:paraId="6D92B0F0" w14:textId="2135308E" w:rsidR="00A82313" w:rsidRPr="0030453B" w:rsidRDefault="00857F5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TERP=</m:t>
          </m:r>
          <m:f>
            <m:fPr>
              <m:ctrlPr>
                <w:rPr>
                  <w:rFonts w:ascii="Cambria Math" w:eastAsia="Times New Roman" w:hAnsi="Cambria Math" w:cs="Arial"/>
                  <w:i/>
                  <w:sz w:val="24"/>
                  <w:szCs w:val="24"/>
                </w:rPr>
              </m:ctrlPr>
            </m:fPr>
            <m:num>
              <m:d>
                <m:dPr>
                  <m:ctrlPr>
                    <w:rPr>
                      <w:rFonts w:ascii="Cambria Math" w:eastAsia="Times New Roman" w:hAnsi="Cambria Math" w:cs="Arial"/>
                      <w:i/>
                      <w:sz w:val="24"/>
                      <w:szCs w:val="24"/>
                    </w:rPr>
                  </m:ctrlPr>
                </m:dPr>
                <m:e>
                  <m:r>
                    <w:rPr>
                      <w:rFonts w:ascii="Cambria Math" w:eastAsia="Times New Roman" w:hAnsi="Cambria Math" w:cs="Arial"/>
                      <w:sz w:val="24"/>
                      <w:szCs w:val="24"/>
                    </w:rPr>
                    <m:t>12,959m×£3.00</m:t>
                  </m:r>
                </m:e>
              </m:d>
              <m:r>
                <w:rPr>
                  <w:rFonts w:ascii="Cambria Math" w:eastAsia="Times New Roman" w:hAnsi="Cambria Math" w:cs="Arial"/>
                  <w:sz w:val="24"/>
                  <w:szCs w:val="24"/>
                </w:rPr>
                <m:t>+</m:t>
              </m:r>
              <m:d>
                <m:dPr>
                  <m:ctrlPr>
                    <w:rPr>
                      <w:rFonts w:ascii="Cambria Math" w:eastAsia="Times New Roman" w:hAnsi="Cambria Math" w:cs="Arial"/>
                      <w:i/>
                      <w:sz w:val="24"/>
                      <w:szCs w:val="24"/>
                    </w:rPr>
                  </m:ctrlPr>
                </m:dPr>
                <m:e>
                  <m:r>
                    <w:rPr>
                      <w:rFonts w:ascii="Cambria Math" w:eastAsia="Times New Roman" w:hAnsi="Cambria Math" w:cs="Arial"/>
                      <w:sz w:val="24"/>
                      <w:szCs w:val="24"/>
                    </w:rPr>
                    <m:t>20,000m×£2.50</m:t>
                  </m:r>
                </m:e>
              </m:d>
            </m:num>
            <m:den>
              <m:r>
                <w:rPr>
                  <w:rFonts w:ascii="Cambria Math" w:eastAsia="Times New Roman" w:hAnsi="Cambria Math" w:cs="Arial"/>
                  <w:sz w:val="24"/>
                  <w:szCs w:val="24"/>
                </w:rPr>
                <m:t>32,959m</m:t>
              </m:r>
            </m:den>
          </m:f>
          <m:r>
            <w:rPr>
              <w:rFonts w:ascii="Cambria Math" w:eastAsia="Times New Roman" w:hAnsi="Cambria Math" w:cs="Arial"/>
              <w:sz w:val="24"/>
              <w:szCs w:val="24"/>
            </w:rPr>
            <m:t>=£2.69</m:t>
          </m:r>
        </m:oMath>
      </m:oMathPara>
    </w:p>
    <w:p w14:paraId="51C8C025"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Participating shareholders preserve ownership, while non-participants face dilution of 60.7%, </w:t>
      </w:r>
      <w:proofErr w:type="spellStart"/>
      <w:r w:rsidRPr="00040F1C">
        <w:rPr>
          <w:rFonts w:ascii="Arial" w:eastAsia="Times New Roman" w:hAnsi="Arial" w:cs="Arial"/>
          <w:sz w:val="24"/>
          <w:szCs w:val="24"/>
        </w:rPr>
        <w:t>incentivising</w:t>
      </w:r>
      <w:proofErr w:type="spellEnd"/>
      <w:r w:rsidRPr="00040F1C">
        <w:rPr>
          <w:rFonts w:ascii="Arial" w:eastAsia="Times New Roman" w:hAnsi="Arial" w:cs="Arial"/>
          <w:sz w:val="24"/>
          <w:szCs w:val="24"/>
        </w:rPr>
        <w:t xml:space="preserve"> uptake.</w:t>
      </w:r>
    </w:p>
    <w:p w14:paraId="1D803FA8" w14:textId="11A143F9" w:rsidR="00040F1C" w:rsidRPr="00040F1C" w:rsidRDefault="00040F1C" w:rsidP="00CD2D45">
      <w:pPr>
        <w:pStyle w:val="Heading4"/>
      </w:pPr>
      <w:r w:rsidRPr="00040F1C">
        <w:lastRenderedPageBreak/>
        <w:t>4.</w:t>
      </w:r>
      <w:r w:rsidR="00CD2D45">
        <w:t>4</w:t>
      </w:r>
      <w:r w:rsidRPr="00040F1C">
        <w:t>.2 Post-</w:t>
      </w:r>
      <w:proofErr w:type="spellStart"/>
      <w:r w:rsidRPr="00040F1C">
        <w:t>Recapitalisation</w:t>
      </w:r>
      <w:proofErr w:type="spellEnd"/>
      <w:r w:rsidRPr="00040F1C">
        <w:t xml:space="preserve"> Balance Sheet Effects</w:t>
      </w:r>
    </w:p>
    <w:p w14:paraId="2775FF92" w14:textId="77777777" w:rsidR="00F8050E" w:rsidRPr="0030453B" w:rsidRDefault="00F8050E"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Post-Issue Equity=£153,105m+£50,000m=£203,105m</m:t>
          </m:r>
        </m:oMath>
      </m:oMathPara>
    </w:p>
    <w:p w14:paraId="009E6AEC" w14:textId="182BAA0F" w:rsidR="00F8050E" w:rsidRPr="0030453B" w:rsidRDefault="00F8050E"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Debt-to-Equity=</m:t>
          </m:r>
          <m:f>
            <m:fPr>
              <m:ctrlPr>
                <w:rPr>
                  <w:rFonts w:ascii="Cambria Math" w:eastAsia="Times New Roman" w:hAnsi="Cambria Math" w:cs="Arial"/>
                  <w:i/>
                  <w:sz w:val="24"/>
                  <w:szCs w:val="24"/>
                </w:rPr>
              </m:ctrlPr>
            </m:fPr>
            <m:num>
              <m:r>
                <w:rPr>
                  <w:rFonts w:ascii="Cambria Math" w:eastAsia="Times New Roman" w:hAnsi="Cambria Math" w:cs="Arial"/>
                  <w:sz w:val="24"/>
                  <w:szCs w:val="24"/>
                </w:rPr>
                <m:t>£170,249m</m:t>
              </m:r>
            </m:num>
            <m:den>
              <m:r>
                <w:rPr>
                  <w:rFonts w:ascii="Cambria Math" w:eastAsia="Times New Roman" w:hAnsi="Cambria Math" w:cs="Arial"/>
                  <w:sz w:val="24"/>
                  <w:szCs w:val="24"/>
                </w:rPr>
                <m:t>£203,105m</m:t>
              </m:r>
            </m:den>
          </m:f>
          <m:r>
            <w:rPr>
              <w:rFonts w:ascii="Cambria Math" w:eastAsia="Times New Roman" w:hAnsi="Cambria Math" w:cs="Arial"/>
              <w:sz w:val="24"/>
              <w:szCs w:val="24"/>
            </w:rPr>
            <m:t>=0.84</m:t>
          </m:r>
        </m:oMath>
      </m:oMathPara>
    </w:p>
    <w:p w14:paraId="740DF1F5" w14:textId="77777777" w:rsidR="00F8050E" w:rsidRPr="0030453B" w:rsidRDefault="00F8050E"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Interest Savings=£30,000m×9.5%=£2,850m</m:t>
          </m:r>
        </m:oMath>
      </m:oMathPara>
    </w:p>
    <w:p w14:paraId="748193EA"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Even under conservative assumptions of continued operating losses, the </w:t>
      </w:r>
      <w:proofErr w:type="spellStart"/>
      <w:r w:rsidRPr="00040F1C">
        <w:rPr>
          <w:rFonts w:ascii="Arial" w:eastAsia="Times New Roman" w:hAnsi="Arial" w:cs="Arial"/>
          <w:sz w:val="24"/>
          <w:szCs w:val="24"/>
        </w:rPr>
        <w:t>recapitalisation</w:t>
      </w:r>
      <w:proofErr w:type="spellEnd"/>
      <w:r w:rsidRPr="00040F1C">
        <w:rPr>
          <w:rFonts w:ascii="Arial" w:eastAsia="Times New Roman" w:hAnsi="Arial" w:cs="Arial"/>
          <w:sz w:val="24"/>
          <w:szCs w:val="24"/>
        </w:rPr>
        <w:t xml:space="preserve"> meaningfully improves solvency metrics and liquidity resilience.</w:t>
      </w:r>
    </w:p>
    <w:p w14:paraId="2A147D62" w14:textId="77777777" w:rsidR="00040F1C" w:rsidRPr="00040F1C" w:rsidRDefault="00040F1C" w:rsidP="00902119">
      <w:pPr>
        <w:pStyle w:val="Heading3"/>
      </w:pPr>
      <w:bookmarkStart w:id="16" w:name="_Toc217322942"/>
      <w:r w:rsidRPr="00040F1C">
        <w:t>4.5 International Financial and Ethical Considerations</w:t>
      </w:r>
      <w:bookmarkEnd w:id="16"/>
    </w:p>
    <w:p w14:paraId="01B1439C" w14:textId="77777777" w:rsidR="00F8050E" w:rsidRPr="00902119" w:rsidRDefault="00040F1C" w:rsidP="00DE2C7B">
      <w:pPr>
        <w:spacing w:before="100" w:beforeAutospacing="1" w:after="100" w:afterAutospacing="1" w:line="276" w:lineRule="auto"/>
        <w:jc w:val="both"/>
        <w:rPr>
          <w:rFonts w:ascii="Arial" w:eastAsia="Times New Roman" w:hAnsi="Arial" w:cs="Arial"/>
          <w:sz w:val="24"/>
          <w:szCs w:val="24"/>
          <w:u w:val="single"/>
        </w:rPr>
      </w:pPr>
      <w:r w:rsidRPr="00040F1C">
        <w:rPr>
          <w:rFonts w:ascii="Arial" w:eastAsia="Times New Roman" w:hAnsi="Arial" w:cs="Arial"/>
          <w:sz w:val="24"/>
          <w:szCs w:val="24"/>
          <w:u w:val="single"/>
        </w:rPr>
        <w:t>Cross-Border Taxation and Value Preservation</w:t>
      </w:r>
    </w:p>
    <w:p w14:paraId="6F1AD85D" w14:textId="37097A9A"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The divestiture of international subsidiaries and cross-border restructuring transactions exposes General Electronics to transfer pricing risk and repatriation taxation. Under OECD arm’s-length principles, improper valuation of overseas disposals may trigger post-transaction tax reassessments. For a representative £15 billion foreign subsidiary sale, potential exposure is quantified as:</w:t>
      </w:r>
    </w:p>
    <w:p w14:paraId="73EB57BA" w14:textId="3D276450" w:rsidR="00040F1C" w:rsidRPr="00040F1C" w:rsidRDefault="00F8050E"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 xml:space="preserve">Tax Adjustment Risk=£15,000m×15%=£2,250m </m:t>
          </m:r>
        </m:oMath>
      </m:oMathPara>
    </w:p>
    <w:p w14:paraId="269162CC"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Repatriation of accumulated foreign earnings further affects restructuring liquidity. Assuming £10 billion of retained overseas profits and an average withholding tax rate of 10%, the direct cash leakage is:</w:t>
      </w:r>
    </w:p>
    <w:p w14:paraId="3287F910" w14:textId="73431E63" w:rsidR="00040F1C" w:rsidRPr="00040F1C" w:rsidRDefault="00F8050E"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Repatriation Tax=£10,000m×10%=£1,000m</m:t>
          </m:r>
        </m:oMath>
      </m:oMathPara>
    </w:p>
    <w:p w14:paraId="256AA332" w14:textId="77777777"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Conversely, General Electronics’ cumulative losses of £122.3 billion generate substantial tax loss carryforwards, representing a critical value buffer during restructuring. At a 25% corporate tax rate, the deferred tax asset is estimated as:</w:t>
      </w:r>
    </w:p>
    <w:p w14:paraId="07037A7A" w14:textId="4C31B1E7" w:rsidR="00040F1C" w:rsidRPr="00040F1C" w:rsidRDefault="00A52C6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 xml:space="preserve">NOL Value=£122,267m×25%=£30,567m </m:t>
          </m:r>
        </m:oMath>
      </m:oMathPara>
    </w:p>
    <w:p w14:paraId="6BEFF9DE" w14:textId="77777777" w:rsidR="00A52C66" w:rsidRPr="00902119" w:rsidRDefault="00040F1C" w:rsidP="00DE2C7B">
      <w:pPr>
        <w:spacing w:before="100" w:beforeAutospacing="1" w:after="100" w:afterAutospacing="1" w:line="276" w:lineRule="auto"/>
        <w:jc w:val="both"/>
        <w:rPr>
          <w:rFonts w:ascii="Arial" w:eastAsia="Times New Roman" w:hAnsi="Arial" w:cs="Arial"/>
          <w:sz w:val="24"/>
          <w:szCs w:val="24"/>
          <w:u w:val="single"/>
        </w:rPr>
      </w:pPr>
      <w:r w:rsidRPr="00040F1C">
        <w:rPr>
          <w:rFonts w:ascii="Arial" w:eastAsia="Times New Roman" w:hAnsi="Arial" w:cs="Arial"/>
          <w:sz w:val="24"/>
          <w:szCs w:val="24"/>
          <w:u w:val="single"/>
        </w:rPr>
        <w:t>Currency Risk and Cash Flow Stability</w:t>
      </w:r>
    </w:p>
    <w:p w14:paraId="2B7E4E79" w14:textId="0B5DB19B" w:rsidR="00040F1C" w:rsidRPr="00040F1C"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Foreign exchange volatility poses an additional threat to restructuring cash flows. In 2024 alone, adverse currency movements reduced cash balances by £2.6 billion, equivalent to 16% of net cash decline (FX impact in 2024). Revenue exposure analysis indicates that a 1% movement in major trading currencies alters annual revenues by approximately £1.8 billion. A financially optimal hedging framework balances cost with protection. Under a </w:t>
      </w:r>
      <w:r w:rsidRPr="00040F1C">
        <w:rPr>
          <w:rFonts w:ascii="Arial" w:eastAsia="Times New Roman" w:hAnsi="Arial" w:cs="Arial"/>
          <w:sz w:val="24"/>
          <w:szCs w:val="24"/>
        </w:rPr>
        <w:lastRenderedPageBreak/>
        <w:t>mixed approach</w:t>
      </w:r>
      <w:r w:rsidR="00902119">
        <w:rPr>
          <w:rFonts w:ascii="Arial" w:eastAsia="Times New Roman" w:hAnsi="Arial" w:cs="Arial"/>
          <w:sz w:val="24"/>
          <w:szCs w:val="24"/>
        </w:rPr>
        <w:t xml:space="preserve"> </w:t>
      </w:r>
      <w:r w:rsidRPr="00040F1C">
        <w:rPr>
          <w:rFonts w:ascii="Arial" w:eastAsia="Times New Roman" w:hAnsi="Arial" w:cs="Arial"/>
          <w:sz w:val="24"/>
          <w:szCs w:val="24"/>
        </w:rPr>
        <w:t>forward contracts on 50% of foreign revenues (£71 billion) and currency options on 25% (£35.5 billion)</w:t>
      </w:r>
      <w:r w:rsidR="00A52C66" w:rsidRPr="0030453B">
        <w:rPr>
          <w:rFonts w:ascii="Arial" w:eastAsia="Times New Roman" w:hAnsi="Arial" w:cs="Arial"/>
          <w:sz w:val="24"/>
          <w:szCs w:val="24"/>
        </w:rPr>
        <w:t xml:space="preserve"> </w:t>
      </w:r>
      <w:r w:rsidRPr="00040F1C">
        <w:rPr>
          <w:rFonts w:ascii="Arial" w:eastAsia="Times New Roman" w:hAnsi="Arial" w:cs="Arial"/>
          <w:sz w:val="24"/>
          <w:szCs w:val="24"/>
        </w:rPr>
        <w:t>the annual hedging cost is calculated as:</w:t>
      </w:r>
    </w:p>
    <w:p w14:paraId="27953B9E" w14:textId="32C88712" w:rsidR="00040F1C" w:rsidRPr="00040F1C" w:rsidRDefault="00A52C66" w:rsidP="00DE2C7B">
      <w:pPr>
        <w:spacing w:after="0" w:line="276" w:lineRule="auto"/>
        <w:jc w:val="both"/>
        <w:rPr>
          <w:rFonts w:ascii="Arial" w:eastAsia="Times New Roman" w:hAnsi="Arial" w:cs="Arial"/>
          <w:sz w:val="24"/>
          <w:szCs w:val="24"/>
        </w:rPr>
      </w:pPr>
      <m:oMathPara>
        <m:oMath>
          <m:r>
            <w:rPr>
              <w:rFonts w:ascii="Cambria Math" w:eastAsia="Times New Roman" w:hAnsi="Cambria Math" w:cs="Arial"/>
              <w:sz w:val="24"/>
              <w:szCs w:val="24"/>
            </w:rPr>
            <m:t>Hedging Cost=</m:t>
          </m:r>
          <m:d>
            <m:dPr>
              <m:ctrlPr>
                <w:rPr>
                  <w:rFonts w:ascii="Cambria Math" w:eastAsia="Times New Roman" w:hAnsi="Cambria Math" w:cs="Arial"/>
                  <w:i/>
                  <w:sz w:val="24"/>
                  <w:szCs w:val="24"/>
                </w:rPr>
              </m:ctrlPr>
            </m:dPr>
            <m:e>
              <m:r>
                <w:rPr>
                  <w:rFonts w:ascii="Cambria Math" w:eastAsia="Times New Roman" w:hAnsi="Cambria Math" w:cs="Arial"/>
                  <w:sz w:val="24"/>
                  <w:szCs w:val="24"/>
                </w:rPr>
                <m:t>£71,000m×0.35%</m:t>
              </m:r>
            </m:e>
          </m:d>
          <m:r>
            <w:rPr>
              <w:rFonts w:ascii="Cambria Math" w:eastAsia="Times New Roman" w:hAnsi="Cambria Math" w:cs="Arial"/>
              <w:sz w:val="24"/>
              <w:szCs w:val="24"/>
            </w:rPr>
            <m:t>+</m:t>
          </m:r>
          <m:d>
            <m:dPr>
              <m:ctrlPr>
                <w:rPr>
                  <w:rFonts w:ascii="Cambria Math" w:eastAsia="Times New Roman" w:hAnsi="Cambria Math" w:cs="Arial"/>
                  <w:i/>
                  <w:sz w:val="24"/>
                  <w:szCs w:val="24"/>
                </w:rPr>
              </m:ctrlPr>
            </m:dPr>
            <m:e>
              <m:r>
                <w:rPr>
                  <w:rFonts w:ascii="Cambria Math" w:eastAsia="Times New Roman" w:hAnsi="Cambria Math" w:cs="Arial"/>
                  <w:sz w:val="24"/>
                  <w:szCs w:val="24"/>
                </w:rPr>
                <m:t>£35,500m×2.0%</m:t>
              </m:r>
            </m:e>
          </m:d>
          <m:r>
            <w:rPr>
              <w:rFonts w:ascii="Cambria Math" w:eastAsia="Times New Roman" w:hAnsi="Cambria Math" w:cs="Arial"/>
              <w:sz w:val="24"/>
              <w:szCs w:val="24"/>
            </w:rPr>
            <m:t>=£958.5m</m:t>
          </m:r>
        </m:oMath>
      </m:oMathPara>
    </w:p>
    <w:p w14:paraId="6B39B117" w14:textId="51F28A44" w:rsidR="00040F1C" w:rsidRPr="0030453B" w:rsidRDefault="00040F1C" w:rsidP="00DE2C7B">
      <w:pPr>
        <w:spacing w:before="100" w:beforeAutospacing="1" w:after="100" w:afterAutospacing="1" w:line="276" w:lineRule="auto"/>
        <w:jc w:val="both"/>
        <w:rPr>
          <w:rFonts w:ascii="Arial" w:eastAsia="Times New Roman" w:hAnsi="Arial" w:cs="Arial"/>
          <w:sz w:val="24"/>
          <w:szCs w:val="24"/>
        </w:rPr>
      </w:pPr>
      <w:r w:rsidRPr="00040F1C">
        <w:rPr>
          <w:rFonts w:ascii="Arial" w:eastAsia="Times New Roman" w:hAnsi="Arial" w:cs="Arial"/>
          <w:sz w:val="24"/>
          <w:szCs w:val="24"/>
        </w:rPr>
        <w:t xml:space="preserve">Although significant, this cost represents less than 0.25% of revenues and provides essential predictability during financial restructuring. Combined with natural hedging through geographic cost alignment, currency risk mitigation </w:t>
      </w:r>
      <w:proofErr w:type="spellStart"/>
      <w:r w:rsidRPr="00040F1C">
        <w:rPr>
          <w:rFonts w:ascii="Arial" w:eastAsia="Times New Roman" w:hAnsi="Arial" w:cs="Arial"/>
          <w:sz w:val="24"/>
          <w:szCs w:val="24"/>
        </w:rPr>
        <w:t>stabilises</w:t>
      </w:r>
      <w:proofErr w:type="spellEnd"/>
      <w:r w:rsidRPr="00040F1C">
        <w:rPr>
          <w:rFonts w:ascii="Arial" w:eastAsia="Times New Roman" w:hAnsi="Arial" w:cs="Arial"/>
          <w:sz w:val="24"/>
          <w:szCs w:val="24"/>
        </w:rPr>
        <w:t xml:space="preserve"> operating cash flows and protects restructuring value.</w:t>
      </w:r>
    </w:p>
    <w:p w14:paraId="48398B7B" w14:textId="77777777" w:rsidR="00B743F1" w:rsidRPr="00B743F1" w:rsidRDefault="00B743F1" w:rsidP="00902119">
      <w:pPr>
        <w:pStyle w:val="Heading3"/>
      </w:pPr>
      <w:bookmarkStart w:id="17" w:name="_Toc217322943"/>
      <w:r w:rsidRPr="00B743F1">
        <w:t>4.6 Strategic Restructuring Recommendation</w:t>
      </w:r>
      <w:bookmarkEnd w:id="17"/>
    </w:p>
    <w:p w14:paraId="62A8C460" w14:textId="77777777" w:rsidR="00B743F1" w:rsidRPr="00B743F1" w:rsidRDefault="00B743F1" w:rsidP="00DE2C7B">
      <w:p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Based on comprehensive analysis, the optimal restructuring strategy combines elements from multiple alternatives:</w:t>
      </w:r>
    </w:p>
    <w:p w14:paraId="7F8276C8" w14:textId="77777777" w:rsidR="00B743F1" w:rsidRPr="00B743F1" w:rsidRDefault="00B743F1" w:rsidP="00DE2C7B">
      <w:p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Phase 1: Immediate Stabilization (Months 1-6)</w:t>
      </w:r>
    </w:p>
    <w:p w14:paraId="4B13C3AD" w14:textId="77777777" w:rsidR="00B743F1" w:rsidRPr="00B743F1" w:rsidRDefault="00B743F1" w:rsidP="00DD727A">
      <w:pPr>
        <w:numPr>
          <w:ilvl w:val="0"/>
          <w:numId w:val="2"/>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Rights issue raising £50 billion equity capital</w:t>
      </w:r>
    </w:p>
    <w:p w14:paraId="5046A8C7" w14:textId="77777777" w:rsidR="00B743F1" w:rsidRPr="00B743F1" w:rsidRDefault="00B743F1" w:rsidP="00DD727A">
      <w:pPr>
        <w:numPr>
          <w:ilvl w:val="0"/>
          <w:numId w:val="2"/>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Debt retirement of £30 billion targeting highest-cost obligations</w:t>
      </w:r>
    </w:p>
    <w:p w14:paraId="41C5A778" w14:textId="77777777" w:rsidR="00B743F1" w:rsidRPr="00B743F1" w:rsidRDefault="00B743F1" w:rsidP="00DD727A">
      <w:pPr>
        <w:numPr>
          <w:ilvl w:val="0"/>
          <w:numId w:val="2"/>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Implementation of working capital optimization quick wins</w:t>
      </w:r>
    </w:p>
    <w:p w14:paraId="56B683E1" w14:textId="77777777" w:rsidR="00B743F1" w:rsidRPr="00B743F1" w:rsidRDefault="00B743F1" w:rsidP="00DE2C7B">
      <w:p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Phase 2: Asset Rationalization (Months 6-18)</w:t>
      </w:r>
    </w:p>
    <w:p w14:paraId="32EE2E0C" w14:textId="77777777" w:rsidR="00B743F1" w:rsidRPr="00B743F1" w:rsidRDefault="00B743F1" w:rsidP="00DD727A">
      <w:pPr>
        <w:numPr>
          <w:ilvl w:val="0"/>
          <w:numId w:val="3"/>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Sale-leaseback transactions generating £24.6 billion</w:t>
      </w:r>
    </w:p>
    <w:p w14:paraId="76695DFE" w14:textId="77777777" w:rsidR="00B743F1" w:rsidRPr="00B743F1" w:rsidRDefault="00B743F1" w:rsidP="00DD727A">
      <w:pPr>
        <w:numPr>
          <w:ilvl w:val="0"/>
          <w:numId w:val="3"/>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Non-core business unit divestiture realizing £36.0 billion</w:t>
      </w:r>
    </w:p>
    <w:p w14:paraId="4347DF18" w14:textId="77777777" w:rsidR="00B743F1" w:rsidRPr="00B743F1" w:rsidRDefault="00B743F1" w:rsidP="00DD727A">
      <w:pPr>
        <w:numPr>
          <w:ilvl w:val="0"/>
          <w:numId w:val="3"/>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IP monetization producing £5.0 billion</w:t>
      </w:r>
    </w:p>
    <w:p w14:paraId="37468572" w14:textId="77777777" w:rsidR="00B743F1" w:rsidRPr="00B743F1" w:rsidRDefault="00B743F1" w:rsidP="00DD727A">
      <w:pPr>
        <w:numPr>
          <w:ilvl w:val="0"/>
          <w:numId w:val="3"/>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Total proceeds: £65.6 billion</w:t>
      </w:r>
    </w:p>
    <w:p w14:paraId="277A2535" w14:textId="77777777" w:rsidR="00B743F1" w:rsidRPr="00B743F1" w:rsidRDefault="00B743F1" w:rsidP="00DE2C7B">
      <w:p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Phase 3: Strategic Repositioning (Months 18-36)</w:t>
      </w:r>
    </w:p>
    <w:p w14:paraId="13F21DFA" w14:textId="77777777" w:rsidR="00B743F1" w:rsidRPr="00B743F1" w:rsidRDefault="00B743F1" w:rsidP="00DD727A">
      <w:pPr>
        <w:numPr>
          <w:ilvl w:val="0"/>
          <w:numId w:val="4"/>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M&amp;A evaluation for strategic combination</w:t>
      </w:r>
    </w:p>
    <w:p w14:paraId="4A74AA61" w14:textId="77777777" w:rsidR="00B743F1" w:rsidRPr="00B743F1" w:rsidRDefault="00B743F1" w:rsidP="00DD727A">
      <w:pPr>
        <w:numPr>
          <w:ilvl w:val="0"/>
          <w:numId w:val="4"/>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Market share consolidation in core segments</w:t>
      </w:r>
    </w:p>
    <w:p w14:paraId="78B92BAB" w14:textId="77777777" w:rsidR="00B743F1" w:rsidRPr="00B743F1" w:rsidRDefault="00B743F1" w:rsidP="00DD727A">
      <w:pPr>
        <w:numPr>
          <w:ilvl w:val="0"/>
          <w:numId w:val="4"/>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Technology platform modernization</w:t>
      </w:r>
    </w:p>
    <w:p w14:paraId="72CD368E" w14:textId="77777777" w:rsidR="00B743F1" w:rsidRPr="00B743F1" w:rsidRDefault="00B743F1" w:rsidP="00DD727A">
      <w:pPr>
        <w:numPr>
          <w:ilvl w:val="0"/>
          <w:numId w:val="4"/>
        </w:numPr>
        <w:spacing w:before="100" w:beforeAutospacing="1" w:after="100" w:afterAutospacing="1" w:line="276" w:lineRule="auto"/>
        <w:jc w:val="both"/>
        <w:rPr>
          <w:rFonts w:ascii="Arial" w:eastAsia="Times New Roman" w:hAnsi="Arial" w:cs="Arial"/>
          <w:sz w:val="24"/>
          <w:szCs w:val="24"/>
        </w:rPr>
      </w:pPr>
      <w:r w:rsidRPr="00B743F1">
        <w:rPr>
          <w:rFonts w:ascii="Arial" w:eastAsia="Times New Roman" w:hAnsi="Arial" w:cs="Arial"/>
          <w:sz w:val="24"/>
          <w:szCs w:val="24"/>
        </w:rPr>
        <w:t>International expansion in growth markets</w:t>
      </w:r>
    </w:p>
    <w:p w14:paraId="6797C374" w14:textId="61BA7BE5" w:rsidR="00242C26" w:rsidRPr="0030453B" w:rsidRDefault="00C8013C" w:rsidP="00902119">
      <w:pPr>
        <w:pStyle w:val="Heading2"/>
      </w:pPr>
      <w:bookmarkStart w:id="18" w:name="_Toc217322944"/>
      <w:r w:rsidRPr="0030453B">
        <w:t>5.0 INVESTMENT APPRAISAL AND CAPITAL BUDGETING</w:t>
      </w:r>
      <w:bookmarkEnd w:id="18"/>
    </w:p>
    <w:p w14:paraId="602826FD" w14:textId="77777777" w:rsidR="00242C26" w:rsidRPr="0030453B" w:rsidRDefault="00242C26" w:rsidP="00902119">
      <w:pPr>
        <w:pStyle w:val="Heading3"/>
      </w:pPr>
      <w:bookmarkStart w:id="19" w:name="_Toc217322945"/>
      <w:r w:rsidRPr="0030453B">
        <w:t xml:space="preserve">5.1 Capital </w:t>
      </w:r>
      <w:r w:rsidRPr="00902119">
        <w:t>Budgeting</w:t>
      </w:r>
      <w:r w:rsidRPr="0030453B">
        <w:t xml:space="preserve"> Framework</w:t>
      </w:r>
      <w:bookmarkEnd w:id="19"/>
    </w:p>
    <w:p w14:paraId="7F6CADEB" w14:textId="77777777" w:rsidR="00242C26" w:rsidRPr="0030453B" w:rsidRDefault="00242C26" w:rsidP="00DE2C7B">
      <w:pPr>
        <w:pStyle w:val="NormalWeb"/>
        <w:spacing w:line="276" w:lineRule="auto"/>
        <w:jc w:val="both"/>
        <w:rPr>
          <w:rFonts w:ascii="Arial" w:hAnsi="Arial" w:cs="Arial"/>
        </w:rPr>
      </w:pPr>
      <w:r w:rsidRPr="0030453B">
        <w:rPr>
          <w:rFonts w:ascii="Arial" w:hAnsi="Arial" w:cs="Arial"/>
        </w:rPr>
        <w:lastRenderedPageBreak/>
        <w:t>Capital budgeting represents a systematic evaluation of long-term investment opportunities, aimed at maximizing shareholder value and ensuring efficient allocation of scarce financial resources. For General Electronics, capital allocation decisions occur in a context of severe financial distress, constrained liquidity, and limited access to external capital markets. Under such conditions, the firm must rigorously evaluate potential projects not only on expected profitability but also on risk, cash flow timing, and strategic alignment with corporate turnaround objectives (Harris &amp; El-</w:t>
      </w:r>
      <w:proofErr w:type="spellStart"/>
      <w:r w:rsidRPr="0030453B">
        <w:rPr>
          <w:rFonts w:ascii="Arial" w:hAnsi="Arial" w:cs="Arial"/>
        </w:rPr>
        <w:t>Massri</w:t>
      </w:r>
      <w:proofErr w:type="spellEnd"/>
      <w:r w:rsidRPr="0030453B">
        <w:rPr>
          <w:rFonts w:ascii="Arial" w:hAnsi="Arial" w:cs="Arial"/>
        </w:rPr>
        <w:t>, 2011; Götze et al., 2015).</w:t>
      </w:r>
    </w:p>
    <w:p w14:paraId="075913CD" w14:textId="2EBF466B" w:rsidR="00242C26" w:rsidRPr="0030453B" w:rsidRDefault="00242C26" w:rsidP="00DE2C7B">
      <w:pPr>
        <w:pStyle w:val="NormalWeb"/>
        <w:spacing w:line="276" w:lineRule="auto"/>
        <w:jc w:val="both"/>
        <w:rPr>
          <w:rFonts w:ascii="Arial" w:hAnsi="Arial" w:cs="Arial"/>
        </w:rPr>
      </w:pPr>
      <w:r w:rsidRPr="0030453B">
        <w:rPr>
          <w:rFonts w:ascii="Arial" w:hAnsi="Arial" w:cs="Arial"/>
        </w:rPr>
        <w:t xml:space="preserve">The current analysis examines three mutually exclusive investment </w:t>
      </w:r>
      <w:proofErr w:type="spellStart"/>
      <w:r w:rsidRPr="0030453B">
        <w:rPr>
          <w:rFonts w:ascii="Arial" w:hAnsi="Arial" w:cs="Arial"/>
        </w:rPr>
        <w:t>projectsProject</w:t>
      </w:r>
      <w:proofErr w:type="spellEnd"/>
      <w:r w:rsidRPr="0030453B">
        <w:rPr>
          <w:rFonts w:ascii="Arial" w:hAnsi="Arial" w:cs="Arial"/>
        </w:rPr>
        <w:t xml:space="preserve"> A, Project B, and Project </w:t>
      </w:r>
      <w:proofErr w:type="spellStart"/>
      <w:r w:rsidRPr="0030453B">
        <w:rPr>
          <w:rFonts w:ascii="Arial" w:hAnsi="Arial" w:cs="Arial"/>
        </w:rPr>
        <w:t>Cusing</w:t>
      </w:r>
      <w:proofErr w:type="spellEnd"/>
      <w:r w:rsidRPr="0030453B">
        <w:rPr>
          <w:rFonts w:ascii="Arial" w:hAnsi="Arial" w:cs="Arial"/>
        </w:rPr>
        <w:t xml:space="preserve"> five complementary evaluation techniques: Payback Period (PBP), Accounting Rate of Return (ARR), Net Present Value (NPV), Profitability Index (PI), and Internal Rate of Return (IRR). Each method provides a distinct perspective: PBP emphasizes liquidity and recovery speed, ARR assesses profitability from an accounting perspective, while NPV and PI focus on value creation using discounted cash flows, and IRR offers an intuitive rate of return comparable to the firm’s cost of capital (Abor, 2016). Given the company’s £60 million capital rationing limit, this multi-criteria approach enables prioritization of projects that maximize shareholder value, maintain liquidity, and align strategically with the turnaround plan.</w:t>
      </w:r>
    </w:p>
    <w:p w14:paraId="7F5943A9" w14:textId="77777777" w:rsidR="00242C26" w:rsidRPr="0030453B" w:rsidRDefault="00242C26" w:rsidP="00902119">
      <w:pPr>
        <w:pStyle w:val="Heading3"/>
      </w:pPr>
      <w:bookmarkStart w:id="20" w:name="_Toc217322946"/>
      <w:r w:rsidRPr="0030453B">
        <w:t xml:space="preserve">5.2 Project </w:t>
      </w:r>
      <w:r w:rsidRPr="00902119">
        <w:t>Cash</w:t>
      </w:r>
      <w:r w:rsidRPr="0030453B">
        <w:t xml:space="preserve"> Flow Data and Payback Period Analysis</w:t>
      </w:r>
      <w:bookmarkEnd w:id="20"/>
    </w:p>
    <w:p w14:paraId="1E85A056" w14:textId="77777777" w:rsidR="00242C26" w:rsidRPr="00902119" w:rsidRDefault="00242C26" w:rsidP="00DE2C7B">
      <w:pPr>
        <w:pStyle w:val="NormalWeb"/>
        <w:spacing w:line="276" w:lineRule="auto"/>
        <w:jc w:val="both"/>
        <w:rPr>
          <w:rFonts w:ascii="Arial" w:hAnsi="Arial" w:cs="Arial"/>
        </w:rPr>
      </w:pPr>
      <w:r w:rsidRPr="00902119">
        <w:rPr>
          <w:rFonts w:ascii="Arial" w:hAnsi="Arial" w:cs="Arial"/>
        </w:rPr>
        <w:t xml:space="preserve">The initial screening employs the </w:t>
      </w:r>
      <w:r w:rsidRPr="00902119">
        <w:rPr>
          <w:rStyle w:val="Strong"/>
          <w:rFonts w:ascii="Arial" w:hAnsi="Arial" w:cs="Arial"/>
          <w:b w:val="0"/>
          <w:bCs w:val="0"/>
        </w:rPr>
        <w:t>Payback Period (PBP)</w:t>
      </w:r>
      <w:r w:rsidRPr="00902119">
        <w:rPr>
          <w:rFonts w:ascii="Arial" w:hAnsi="Arial" w:cs="Arial"/>
        </w:rPr>
        <w:t xml:space="preserve"> to assess the time required to recover invested capital. This method is particularly relevant under financial distress, where liquidity constraints necessitate rapid recovery of funds. Although PBP does not account for the time value of money or cash flows beyond the recovery period, it provides a simple, intuitive measure of risk exposure and investment flexibility (Harris &amp; El-</w:t>
      </w:r>
      <w:proofErr w:type="spellStart"/>
      <w:r w:rsidRPr="00902119">
        <w:rPr>
          <w:rFonts w:ascii="Arial" w:hAnsi="Arial" w:cs="Arial"/>
        </w:rPr>
        <w:t>Massri</w:t>
      </w:r>
      <w:proofErr w:type="spellEnd"/>
      <w:r w:rsidRPr="00902119">
        <w:rPr>
          <w:rFonts w:ascii="Arial" w:hAnsi="Arial" w:cs="Arial"/>
        </w:rPr>
        <w:t>, 2011).</w:t>
      </w:r>
    </w:p>
    <w:p w14:paraId="0764B320" w14:textId="0378CD51" w:rsidR="00242C26" w:rsidRPr="0030453B" w:rsidRDefault="00924A97" w:rsidP="00DE2C7B">
      <w:pPr>
        <w:pStyle w:val="NormalWeb"/>
        <w:spacing w:line="276" w:lineRule="auto"/>
        <w:jc w:val="both"/>
        <w:rPr>
          <w:rFonts w:ascii="Arial" w:hAnsi="Arial" w:cs="Arial"/>
        </w:rPr>
      </w:pPr>
      <w:r>
        <w:rPr>
          <w:rFonts w:ascii="Arial" w:hAnsi="Arial" w:cs="Arial"/>
        </w:rPr>
        <w:t>Table 5.1: T</w:t>
      </w:r>
      <w:r w:rsidR="00242C26" w:rsidRPr="0030453B">
        <w:rPr>
          <w:rFonts w:ascii="Arial" w:hAnsi="Arial" w:cs="Arial"/>
        </w:rPr>
        <w:t>hree projects substantial upfront capital:</w:t>
      </w:r>
    </w:p>
    <w:tbl>
      <w:tblPr>
        <w:tblStyle w:val="TableGrid"/>
        <w:tblW w:w="0" w:type="auto"/>
        <w:jc w:val="center"/>
        <w:tblLook w:val="04A0" w:firstRow="1" w:lastRow="0" w:firstColumn="1" w:lastColumn="0" w:noHBand="0" w:noVBand="1"/>
      </w:tblPr>
      <w:tblGrid>
        <w:gridCol w:w="963"/>
        <w:gridCol w:w="1693"/>
        <w:gridCol w:w="1087"/>
        <w:gridCol w:w="1087"/>
        <w:gridCol w:w="1087"/>
        <w:gridCol w:w="1087"/>
        <w:gridCol w:w="1087"/>
        <w:gridCol w:w="1259"/>
      </w:tblGrid>
      <w:tr w:rsidR="00242C26" w:rsidRPr="00924A97" w14:paraId="3CECEDFF" w14:textId="77777777" w:rsidTr="00924A97">
        <w:trPr>
          <w:jc w:val="center"/>
        </w:trPr>
        <w:tc>
          <w:tcPr>
            <w:tcW w:w="0" w:type="auto"/>
            <w:hideMark/>
          </w:tcPr>
          <w:p w14:paraId="3D3888B9"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Project</w:t>
            </w:r>
          </w:p>
        </w:tc>
        <w:tc>
          <w:tcPr>
            <w:tcW w:w="0" w:type="auto"/>
            <w:hideMark/>
          </w:tcPr>
          <w:p w14:paraId="3CE20097"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Initial Investment (£m)</w:t>
            </w:r>
          </w:p>
        </w:tc>
        <w:tc>
          <w:tcPr>
            <w:tcW w:w="0" w:type="auto"/>
            <w:hideMark/>
          </w:tcPr>
          <w:p w14:paraId="453D8376"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Year 1 (£m)</w:t>
            </w:r>
          </w:p>
        </w:tc>
        <w:tc>
          <w:tcPr>
            <w:tcW w:w="0" w:type="auto"/>
            <w:hideMark/>
          </w:tcPr>
          <w:p w14:paraId="63E92134"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Year 2 (£m)</w:t>
            </w:r>
          </w:p>
        </w:tc>
        <w:tc>
          <w:tcPr>
            <w:tcW w:w="0" w:type="auto"/>
            <w:hideMark/>
          </w:tcPr>
          <w:p w14:paraId="01ABB1D8"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Year 3 (£m)</w:t>
            </w:r>
          </w:p>
        </w:tc>
        <w:tc>
          <w:tcPr>
            <w:tcW w:w="0" w:type="auto"/>
            <w:hideMark/>
          </w:tcPr>
          <w:p w14:paraId="32D258CD"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Year 4 (£m)</w:t>
            </w:r>
          </w:p>
        </w:tc>
        <w:tc>
          <w:tcPr>
            <w:tcW w:w="0" w:type="auto"/>
            <w:hideMark/>
          </w:tcPr>
          <w:p w14:paraId="4AA58631"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Year 5 (£m)</w:t>
            </w:r>
          </w:p>
        </w:tc>
        <w:tc>
          <w:tcPr>
            <w:tcW w:w="0" w:type="auto"/>
            <w:hideMark/>
          </w:tcPr>
          <w:p w14:paraId="4B19EEDA"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Total Inflows (£m)</w:t>
            </w:r>
          </w:p>
        </w:tc>
      </w:tr>
      <w:tr w:rsidR="00242C26" w:rsidRPr="00924A97" w14:paraId="5659819C" w14:textId="77777777" w:rsidTr="00924A97">
        <w:trPr>
          <w:jc w:val="center"/>
        </w:trPr>
        <w:tc>
          <w:tcPr>
            <w:tcW w:w="0" w:type="auto"/>
            <w:hideMark/>
          </w:tcPr>
          <w:p w14:paraId="68733071"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A</w:t>
            </w:r>
          </w:p>
        </w:tc>
        <w:tc>
          <w:tcPr>
            <w:tcW w:w="0" w:type="auto"/>
            <w:hideMark/>
          </w:tcPr>
          <w:p w14:paraId="261652F7"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40,000</w:t>
            </w:r>
          </w:p>
        </w:tc>
        <w:tc>
          <w:tcPr>
            <w:tcW w:w="0" w:type="auto"/>
            <w:hideMark/>
          </w:tcPr>
          <w:p w14:paraId="4179A77F"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10,000</w:t>
            </w:r>
          </w:p>
        </w:tc>
        <w:tc>
          <w:tcPr>
            <w:tcW w:w="0" w:type="auto"/>
            <w:hideMark/>
          </w:tcPr>
          <w:p w14:paraId="731B7DD6"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12,000</w:t>
            </w:r>
          </w:p>
        </w:tc>
        <w:tc>
          <w:tcPr>
            <w:tcW w:w="0" w:type="auto"/>
            <w:hideMark/>
          </w:tcPr>
          <w:p w14:paraId="00B77E9F"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14,000</w:t>
            </w:r>
          </w:p>
        </w:tc>
        <w:tc>
          <w:tcPr>
            <w:tcW w:w="0" w:type="auto"/>
            <w:hideMark/>
          </w:tcPr>
          <w:p w14:paraId="1A814140"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10,000</w:t>
            </w:r>
          </w:p>
        </w:tc>
        <w:tc>
          <w:tcPr>
            <w:tcW w:w="0" w:type="auto"/>
            <w:hideMark/>
          </w:tcPr>
          <w:p w14:paraId="6BB10386"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8,000</w:t>
            </w:r>
          </w:p>
        </w:tc>
        <w:tc>
          <w:tcPr>
            <w:tcW w:w="0" w:type="auto"/>
            <w:hideMark/>
          </w:tcPr>
          <w:p w14:paraId="00E117C5"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54,000</w:t>
            </w:r>
          </w:p>
        </w:tc>
      </w:tr>
      <w:tr w:rsidR="00242C26" w:rsidRPr="00924A97" w14:paraId="0F09453E" w14:textId="77777777" w:rsidTr="00924A97">
        <w:trPr>
          <w:jc w:val="center"/>
        </w:trPr>
        <w:tc>
          <w:tcPr>
            <w:tcW w:w="0" w:type="auto"/>
            <w:hideMark/>
          </w:tcPr>
          <w:p w14:paraId="42CE1B7C"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B</w:t>
            </w:r>
          </w:p>
        </w:tc>
        <w:tc>
          <w:tcPr>
            <w:tcW w:w="0" w:type="auto"/>
            <w:hideMark/>
          </w:tcPr>
          <w:p w14:paraId="780132DE"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30,000</w:t>
            </w:r>
          </w:p>
        </w:tc>
        <w:tc>
          <w:tcPr>
            <w:tcW w:w="0" w:type="auto"/>
            <w:hideMark/>
          </w:tcPr>
          <w:p w14:paraId="61097225"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6,000</w:t>
            </w:r>
          </w:p>
        </w:tc>
        <w:tc>
          <w:tcPr>
            <w:tcW w:w="0" w:type="auto"/>
            <w:hideMark/>
          </w:tcPr>
          <w:p w14:paraId="426CED40"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6,000</w:t>
            </w:r>
          </w:p>
        </w:tc>
        <w:tc>
          <w:tcPr>
            <w:tcW w:w="0" w:type="auto"/>
            <w:hideMark/>
          </w:tcPr>
          <w:p w14:paraId="67D69B18"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6,000</w:t>
            </w:r>
          </w:p>
        </w:tc>
        <w:tc>
          <w:tcPr>
            <w:tcW w:w="0" w:type="auto"/>
            <w:hideMark/>
          </w:tcPr>
          <w:p w14:paraId="2F08E8AC"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6,000</w:t>
            </w:r>
          </w:p>
        </w:tc>
        <w:tc>
          <w:tcPr>
            <w:tcW w:w="0" w:type="auto"/>
            <w:hideMark/>
          </w:tcPr>
          <w:p w14:paraId="03D2D91E"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6,000</w:t>
            </w:r>
          </w:p>
        </w:tc>
        <w:tc>
          <w:tcPr>
            <w:tcW w:w="0" w:type="auto"/>
            <w:hideMark/>
          </w:tcPr>
          <w:p w14:paraId="4AE00414"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30,000</w:t>
            </w:r>
          </w:p>
        </w:tc>
      </w:tr>
      <w:tr w:rsidR="00242C26" w:rsidRPr="00924A97" w14:paraId="7DB324F0" w14:textId="77777777" w:rsidTr="00924A97">
        <w:trPr>
          <w:jc w:val="center"/>
        </w:trPr>
        <w:tc>
          <w:tcPr>
            <w:tcW w:w="0" w:type="auto"/>
            <w:hideMark/>
          </w:tcPr>
          <w:p w14:paraId="71B2040F"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C</w:t>
            </w:r>
          </w:p>
        </w:tc>
        <w:tc>
          <w:tcPr>
            <w:tcW w:w="0" w:type="auto"/>
            <w:hideMark/>
          </w:tcPr>
          <w:p w14:paraId="5552978D"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50,000</w:t>
            </w:r>
          </w:p>
        </w:tc>
        <w:tc>
          <w:tcPr>
            <w:tcW w:w="0" w:type="auto"/>
            <w:hideMark/>
          </w:tcPr>
          <w:p w14:paraId="5C8CEFD6"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5,000</w:t>
            </w:r>
          </w:p>
        </w:tc>
        <w:tc>
          <w:tcPr>
            <w:tcW w:w="0" w:type="auto"/>
            <w:hideMark/>
          </w:tcPr>
          <w:p w14:paraId="25D9C900"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10,000</w:t>
            </w:r>
          </w:p>
        </w:tc>
        <w:tc>
          <w:tcPr>
            <w:tcW w:w="0" w:type="auto"/>
            <w:hideMark/>
          </w:tcPr>
          <w:p w14:paraId="2F00B9D3"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20,000</w:t>
            </w:r>
          </w:p>
        </w:tc>
        <w:tc>
          <w:tcPr>
            <w:tcW w:w="0" w:type="auto"/>
            <w:hideMark/>
          </w:tcPr>
          <w:p w14:paraId="49E5AFAA"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25,000</w:t>
            </w:r>
          </w:p>
        </w:tc>
        <w:tc>
          <w:tcPr>
            <w:tcW w:w="0" w:type="auto"/>
            <w:hideMark/>
          </w:tcPr>
          <w:p w14:paraId="0B90E8B3"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15,000</w:t>
            </w:r>
          </w:p>
        </w:tc>
        <w:tc>
          <w:tcPr>
            <w:tcW w:w="0" w:type="auto"/>
            <w:hideMark/>
          </w:tcPr>
          <w:p w14:paraId="513BC9A2" w14:textId="77777777" w:rsidR="00242C26" w:rsidRPr="00924A97" w:rsidRDefault="00242C26" w:rsidP="00DE2C7B">
            <w:pPr>
              <w:spacing w:line="276" w:lineRule="auto"/>
              <w:jc w:val="both"/>
              <w:rPr>
                <w:rFonts w:ascii="Arial" w:hAnsi="Arial" w:cs="Arial"/>
                <w:sz w:val="24"/>
                <w:szCs w:val="24"/>
              </w:rPr>
            </w:pPr>
            <w:r w:rsidRPr="00924A97">
              <w:rPr>
                <w:rFonts w:ascii="Arial" w:hAnsi="Arial" w:cs="Arial"/>
                <w:sz w:val="24"/>
                <w:szCs w:val="24"/>
              </w:rPr>
              <w:t>75,000</w:t>
            </w:r>
          </w:p>
        </w:tc>
      </w:tr>
    </w:tbl>
    <w:p w14:paraId="5C9D0A44" w14:textId="77777777" w:rsidR="00242C26" w:rsidRPr="0030453B" w:rsidRDefault="00242C26" w:rsidP="00DE2C7B">
      <w:pPr>
        <w:pStyle w:val="NormalWeb"/>
        <w:spacing w:line="276" w:lineRule="auto"/>
        <w:jc w:val="both"/>
        <w:rPr>
          <w:rFonts w:ascii="Arial" w:hAnsi="Arial" w:cs="Arial"/>
        </w:rPr>
      </w:pPr>
      <w:r w:rsidRPr="0030453B">
        <w:rPr>
          <w:rFonts w:ascii="Arial" w:hAnsi="Arial" w:cs="Arial"/>
        </w:rPr>
        <w:t>The payback formula for non-uniform cash flows is:</w:t>
      </w:r>
    </w:p>
    <w:p w14:paraId="0F9FAEF1" w14:textId="77777777" w:rsidR="00242C26" w:rsidRPr="0030453B" w:rsidRDefault="00242C26"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w:lastRenderedPageBreak/>
            <m:t>PBP=Year before full recovery+</m:t>
          </m:r>
          <m:f>
            <m:fPr>
              <m:ctrlPr>
                <w:rPr>
                  <w:rStyle w:val="katex-mathml"/>
                  <w:rFonts w:ascii="Cambria Math" w:hAnsi="Cambria Math" w:cs="Arial"/>
                  <w:i/>
                  <w:sz w:val="24"/>
                  <w:szCs w:val="24"/>
                </w:rPr>
              </m:ctrlPr>
            </m:fPr>
            <m:num>
              <m:r>
                <w:rPr>
                  <w:rStyle w:val="katex-mathml"/>
                  <w:rFonts w:ascii="Cambria Math" w:hAnsi="Cambria Math" w:cs="Arial"/>
                  <w:sz w:val="24"/>
                  <w:szCs w:val="24"/>
                </w:rPr>
                <m:t xml:space="preserve">Unrecovered investment </m:t>
              </m:r>
            </m:num>
            <m:den>
              <m:r>
                <w:rPr>
                  <w:rStyle w:val="katex-mathml"/>
                  <w:rFonts w:ascii="Cambria Math" w:hAnsi="Cambria Math" w:cs="Arial"/>
                  <w:sz w:val="24"/>
                  <w:szCs w:val="24"/>
                </w:rPr>
                <m:t>Cash flow in recovery year</m:t>
              </m:r>
            </m:den>
          </m:f>
        </m:oMath>
      </m:oMathPara>
    </w:p>
    <w:p w14:paraId="7C071E07" w14:textId="77777777" w:rsidR="00242C26" w:rsidRPr="00902119" w:rsidRDefault="00242C26" w:rsidP="00DE2C7B">
      <w:pPr>
        <w:pStyle w:val="NormalWeb"/>
        <w:spacing w:line="276" w:lineRule="auto"/>
        <w:jc w:val="both"/>
        <w:rPr>
          <w:rFonts w:ascii="Arial" w:hAnsi="Arial" w:cs="Arial"/>
        </w:rPr>
      </w:pPr>
      <w:r w:rsidRPr="00902119">
        <w:rPr>
          <w:rStyle w:val="Strong"/>
          <w:rFonts w:ascii="Arial" w:hAnsi="Arial" w:cs="Arial"/>
          <w:b w:val="0"/>
          <w:bCs w:val="0"/>
        </w:rPr>
        <w:t>Project-specific calculations:</w:t>
      </w:r>
    </w:p>
    <w:p w14:paraId="3817E183" w14:textId="77777777" w:rsidR="00242C26" w:rsidRPr="00902119" w:rsidRDefault="00242C26" w:rsidP="00DD727A">
      <w:pPr>
        <w:pStyle w:val="NormalWeb"/>
        <w:numPr>
          <w:ilvl w:val="0"/>
          <w:numId w:val="7"/>
        </w:numPr>
        <w:spacing w:line="276" w:lineRule="auto"/>
        <w:jc w:val="both"/>
        <w:rPr>
          <w:rFonts w:ascii="Arial" w:hAnsi="Arial" w:cs="Arial"/>
        </w:rPr>
      </w:pPr>
      <w:r w:rsidRPr="00902119">
        <w:rPr>
          <w:rStyle w:val="Strong"/>
          <w:rFonts w:ascii="Arial" w:hAnsi="Arial" w:cs="Arial"/>
          <w:b w:val="0"/>
          <w:bCs w:val="0"/>
        </w:rPr>
        <w:t>Project A:</w:t>
      </w:r>
      <w:r w:rsidRPr="00902119">
        <w:rPr>
          <w:rFonts w:ascii="Arial" w:hAnsi="Arial" w:cs="Arial"/>
        </w:rPr>
        <w:t xml:space="preserve"> Recovery occurs during Year 4. Cumulative cash flow prior to Year 4 = £40,000m – £36,000m recovered = £4,000m unrecovered.</w:t>
      </w:r>
    </w:p>
    <w:p w14:paraId="073338E2" w14:textId="24B29828" w:rsidR="00242C26" w:rsidRPr="00902119" w:rsidRDefault="00902119"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PBP=3+</m:t>
          </m:r>
          <m:f>
            <m:fPr>
              <m:ctrlPr>
                <w:rPr>
                  <w:rStyle w:val="katex-mathml"/>
                  <w:rFonts w:ascii="Cambria Math" w:hAnsi="Cambria Math" w:cs="Arial"/>
                  <w:i/>
                  <w:sz w:val="24"/>
                  <w:szCs w:val="24"/>
                </w:rPr>
              </m:ctrlPr>
            </m:fPr>
            <m:num>
              <m:r>
                <w:rPr>
                  <w:rStyle w:val="katex-mathml"/>
                  <w:rFonts w:ascii="Cambria Math" w:hAnsi="Cambria Math" w:cs="Arial"/>
                  <w:sz w:val="24"/>
                  <w:szCs w:val="24"/>
                </w:rPr>
                <m:t>4,000</m:t>
              </m:r>
            </m:num>
            <m:den>
              <m:r>
                <w:rPr>
                  <w:rStyle w:val="katex-mathml"/>
                  <w:rFonts w:ascii="Cambria Math" w:hAnsi="Cambria Math" w:cs="Arial"/>
                  <w:sz w:val="24"/>
                  <w:szCs w:val="24"/>
                </w:rPr>
                <m:t>10,000</m:t>
              </m:r>
            </m:den>
          </m:f>
          <m:r>
            <w:rPr>
              <w:rStyle w:val="katex-mathml"/>
              <w:rFonts w:ascii="Cambria Math" w:hAnsi="Cambria Math" w:cs="Arial"/>
              <w:sz w:val="24"/>
              <w:szCs w:val="24"/>
            </w:rPr>
            <m:t>=3.4 years</m:t>
          </m:r>
          <m:r>
            <w:rPr>
              <w:rFonts w:ascii="Cambria Math" w:hAnsi="Cambria Math" w:cs="Arial"/>
              <w:sz w:val="24"/>
              <w:szCs w:val="24"/>
            </w:rPr>
            <m:t xml:space="preserve"> </m:t>
          </m:r>
        </m:oMath>
      </m:oMathPara>
    </w:p>
    <w:p w14:paraId="5319E4DB" w14:textId="77777777" w:rsidR="00242C26" w:rsidRPr="00902119" w:rsidRDefault="00242C26" w:rsidP="00DD727A">
      <w:pPr>
        <w:pStyle w:val="NormalWeb"/>
        <w:numPr>
          <w:ilvl w:val="0"/>
          <w:numId w:val="8"/>
        </w:numPr>
        <w:spacing w:line="276" w:lineRule="auto"/>
        <w:jc w:val="both"/>
        <w:rPr>
          <w:rFonts w:ascii="Arial" w:hAnsi="Arial" w:cs="Arial"/>
        </w:rPr>
      </w:pPr>
      <w:r w:rsidRPr="00902119">
        <w:rPr>
          <w:rStyle w:val="Strong"/>
          <w:rFonts w:ascii="Arial" w:hAnsi="Arial" w:cs="Arial"/>
          <w:b w:val="0"/>
          <w:bCs w:val="0"/>
        </w:rPr>
        <w:t>Project B:</w:t>
      </w:r>
      <w:r w:rsidRPr="00902119">
        <w:rPr>
          <w:rFonts w:ascii="Arial" w:hAnsi="Arial" w:cs="Arial"/>
        </w:rPr>
        <w:t xml:space="preserve"> Uniform cash inflows of £6,000m/year achieve full recovery at Year 5. PBP = 30,000 / 6,000 = 5.0 years.</w:t>
      </w:r>
    </w:p>
    <w:p w14:paraId="236D8C96" w14:textId="77777777" w:rsidR="00242C26" w:rsidRPr="00902119" w:rsidRDefault="00242C26" w:rsidP="00DD727A">
      <w:pPr>
        <w:pStyle w:val="NormalWeb"/>
        <w:numPr>
          <w:ilvl w:val="0"/>
          <w:numId w:val="8"/>
        </w:numPr>
        <w:spacing w:line="276" w:lineRule="auto"/>
        <w:jc w:val="both"/>
        <w:rPr>
          <w:rFonts w:ascii="Arial" w:hAnsi="Arial" w:cs="Arial"/>
        </w:rPr>
      </w:pPr>
      <w:r w:rsidRPr="00902119">
        <w:rPr>
          <w:rStyle w:val="Strong"/>
          <w:rFonts w:ascii="Arial" w:hAnsi="Arial" w:cs="Arial"/>
          <w:b w:val="0"/>
          <w:bCs w:val="0"/>
        </w:rPr>
        <w:t>Project C:</w:t>
      </w:r>
      <w:r w:rsidRPr="00902119">
        <w:rPr>
          <w:rFonts w:ascii="Arial" w:hAnsi="Arial" w:cs="Arial"/>
        </w:rPr>
        <w:t xml:space="preserve"> Full recovery occurs between Year 3 and 4.</w:t>
      </w:r>
    </w:p>
    <w:p w14:paraId="3CB726F7" w14:textId="77777777" w:rsidR="00242C26" w:rsidRPr="0030453B" w:rsidRDefault="00242C26"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PBP=3+</m:t>
          </m:r>
          <m:f>
            <m:fPr>
              <m:ctrlPr>
                <w:rPr>
                  <w:rStyle w:val="katex-mathml"/>
                  <w:rFonts w:ascii="Cambria Math" w:hAnsi="Cambria Math" w:cs="Arial"/>
                  <w:i/>
                  <w:sz w:val="24"/>
                  <w:szCs w:val="24"/>
                </w:rPr>
              </m:ctrlPr>
            </m:fPr>
            <m:num>
              <m:r>
                <w:rPr>
                  <w:rStyle w:val="katex-mathml"/>
                  <w:rFonts w:ascii="Cambria Math" w:hAnsi="Cambria Math" w:cs="Arial"/>
                  <w:sz w:val="24"/>
                  <w:szCs w:val="24"/>
                </w:rPr>
                <m:t>15,000</m:t>
              </m:r>
            </m:num>
            <m:den>
              <m:r>
                <w:rPr>
                  <w:rStyle w:val="katex-mathml"/>
                  <w:rFonts w:ascii="Cambria Math" w:hAnsi="Cambria Math" w:cs="Arial"/>
                  <w:sz w:val="24"/>
                  <w:szCs w:val="24"/>
                </w:rPr>
                <m:t>25,000</m:t>
              </m:r>
            </m:den>
          </m:f>
          <m:r>
            <w:rPr>
              <w:rStyle w:val="katex-mathml"/>
              <w:rFonts w:ascii="Cambria Math" w:hAnsi="Cambria Math" w:cs="Arial"/>
              <w:sz w:val="24"/>
              <w:szCs w:val="24"/>
            </w:rPr>
            <m:t>=3.6 years</m:t>
          </m:r>
          <m:r>
            <w:rPr>
              <w:rFonts w:ascii="Cambria Math" w:hAnsi="Cambria Math" w:cs="Arial"/>
              <w:sz w:val="24"/>
              <w:szCs w:val="24"/>
            </w:rPr>
            <m:t xml:space="preserve"> </m:t>
          </m:r>
        </m:oMath>
      </m:oMathPara>
    </w:p>
    <w:p w14:paraId="595EAEB7" w14:textId="1F04A621" w:rsidR="00242C26" w:rsidRPr="00902119" w:rsidRDefault="00924A97" w:rsidP="00DE2C7B">
      <w:pPr>
        <w:pStyle w:val="NormalWeb"/>
        <w:spacing w:line="276" w:lineRule="auto"/>
        <w:jc w:val="both"/>
        <w:rPr>
          <w:rFonts w:ascii="Arial" w:hAnsi="Arial" w:cs="Arial"/>
        </w:rPr>
      </w:pPr>
      <w:r>
        <w:rPr>
          <w:rStyle w:val="Strong"/>
          <w:rFonts w:ascii="Arial" w:hAnsi="Arial" w:cs="Arial"/>
          <w:b w:val="0"/>
          <w:bCs w:val="0"/>
        </w:rPr>
        <w:t xml:space="preserve">Table 5.2: </w:t>
      </w:r>
      <w:r w:rsidR="00242C26" w:rsidRPr="00902119">
        <w:rPr>
          <w:rStyle w:val="Strong"/>
          <w:rFonts w:ascii="Arial" w:hAnsi="Arial" w:cs="Arial"/>
          <w:b w:val="0"/>
          <w:bCs w:val="0"/>
        </w:rPr>
        <w:t>Payback Summary Table</w:t>
      </w:r>
    </w:p>
    <w:tbl>
      <w:tblPr>
        <w:tblStyle w:val="TableGrid"/>
        <w:tblW w:w="0" w:type="auto"/>
        <w:jc w:val="center"/>
        <w:tblLook w:val="04A0" w:firstRow="1" w:lastRow="0" w:firstColumn="1" w:lastColumn="0" w:noHBand="0" w:noVBand="1"/>
      </w:tblPr>
      <w:tblGrid>
        <w:gridCol w:w="963"/>
        <w:gridCol w:w="2577"/>
        <w:gridCol w:w="1950"/>
        <w:gridCol w:w="777"/>
      </w:tblGrid>
      <w:tr w:rsidR="00242C26" w:rsidRPr="00902119" w14:paraId="3002FD3E" w14:textId="77777777" w:rsidTr="00924A97">
        <w:trPr>
          <w:jc w:val="center"/>
        </w:trPr>
        <w:tc>
          <w:tcPr>
            <w:tcW w:w="0" w:type="auto"/>
            <w:hideMark/>
          </w:tcPr>
          <w:p w14:paraId="20618C48"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Project</w:t>
            </w:r>
          </w:p>
        </w:tc>
        <w:tc>
          <w:tcPr>
            <w:tcW w:w="0" w:type="auto"/>
            <w:hideMark/>
          </w:tcPr>
          <w:p w14:paraId="594F6BEA"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Initial Investment (£m)</w:t>
            </w:r>
          </w:p>
        </w:tc>
        <w:tc>
          <w:tcPr>
            <w:tcW w:w="0" w:type="auto"/>
            <w:hideMark/>
          </w:tcPr>
          <w:p w14:paraId="56EBCDF8"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Payback (years)</w:t>
            </w:r>
          </w:p>
        </w:tc>
        <w:tc>
          <w:tcPr>
            <w:tcW w:w="0" w:type="auto"/>
            <w:hideMark/>
          </w:tcPr>
          <w:p w14:paraId="2F49746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Rank</w:t>
            </w:r>
          </w:p>
        </w:tc>
      </w:tr>
      <w:tr w:rsidR="00242C26" w:rsidRPr="00902119" w14:paraId="68FCADC2" w14:textId="77777777" w:rsidTr="00924A97">
        <w:trPr>
          <w:jc w:val="center"/>
        </w:trPr>
        <w:tc>
          <w:tcPr>
            <w:tcW w:w="0" w:type="auto"/>
            <w:hideMark/>
          </w:tcPr>
          <w:p w14:paraId="7DB9EFF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A</w:t>
            </w:r>
          </w:p>
        </w:tc>
        <w:tc>
          <w:tcPr>
            <w:tcW w:w="0" w:type="auto"/>
            <w:hideMark/>
          </w:tcPr>
          <w:p w14:paraId="6138AD27"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40,000</w:t>
            </w:r>
          </w:p>
        </w:tc>
        <w:tc>
          <w:tcPr>
            <w:tcW w:w="0" w:type="auto"/>
            <w:hideMark/>
          </w:tcPr>
          <w:p w14:paraId="56578EE7"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3.4</w:t>
            </w:r>
          </w:p>
        </w:tc>
        <w:tc>
          <w:tcPr>
            <w:tcW w:w="0" w:type="auto"/>
            <w:hideMark/>
          </w:tcPr>
          <w:p w14:paraId="781216AC"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1st</w:t>
            </w:r>
          </w:p>
        </w:tc>
      </w:tr>
      <w:tr w:rsidR="00242C26" w:rsidRPr="00902119" w14:paraId="0BD429F2" w14:textId="77777777" w:rsidTr="00924A97">
        <w:trPr>
          <w:jc w:val="center"/>
        </w:trPr>
        <w:tc>
          <w:tcPr>
            <w:tcW w:w="0" w:type="auto"/>
            <w:hideMark/>
          </w:tcPr>
          <w:p w14:paraId="40A2CD42"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C</w:t>
            </w:r>
          </w:p>
        </w:tc>
        <w:tc>
          <w:tcPr>
            <w:tcW w:w="0" w:type="auto"/>
            <w:hideMark/>
          </w:tcPr>
          <w:p w14:paraId="40A9386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50,000</w:t>
            </w:r>
          </w:p>
        </w:tc>
        <w:tc>
          <w:tcPr>
            <w:tcW w:w="0" w:type="auto"/>
            <w:hideMark/>
          </w:tcPr>
          <w:p w14:paraId="36E51EE2"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3.6</w:t>
            </w:r>
          </w:p>
        </w:tc>
        <w:tc>
          <w:tcPr>
            <w:tcW w:w="0" w:type="auto"/>
            <w:hideMark/>
          </w:tcPr>
          <w:p w14:paraId="0EDE93AE"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2nd</w:t>
            </w:r>
          </w:p>
        </w:tc>
      </w:tr>
      <w:tr w:rsidR="00242C26" w:rsidRPr="00902119" w14:paraId="3BFE6F9F" w14:textId="77777777" w:rsidTr="00924A97">
        <w:trPr>
          <w:jc w:val="center"/>
        </w:trPr>
        <w:tc>
          <w:tcPr>
            <w:tcW w:w="0" w:type="auto"/>
            <w:hideMark/>
          </w:tcPr>
          <w:p w14:paraId="6559D113"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B</w:t>
            </w:r>
          </w:p>
        </w:tc>
        <w:tc>
          <w:tcPr>
            <w:tcW w:w="0" w:type="auto"/>
            <w:hideMark/>
          </w:tcPr>
          <w:p w14:paraId="41B6AD87"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30,000</w:t>
            </w:r>
          </w:p>
        </w:tc>
        <w:tc>
          <w:tcPr>
            <w:tcW w:w="0" w:type="auto"/>
            <w:hideMark/>
          </w:tcPr>
          <w:p w14:paraId="182BF5E7"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5.0</w:t>
            </w:r>
          </w:p>
        </w:tc>
        <w:tc>
          <w:tcPr>
            <w:tcW w:w="0" w:type="auto"/>
            <w:hideMark/>
          </w:tcPr>
          <w:p w14:paraId="69855AEF"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3rd</w:t>
            </w:r>
          </w:p>
        </w:tc>
      </w:tr>
    </w:tbl>
    <w:p w14:paraId="2B0CF6B6" w14:textId="77777777" w:rsidR="00242C26" w:rsidRPr="0030453B" w:rsidRDefault="00242C26" w:rsidP="00DE2C7B">
      <w:pPr>
        <w:pStyle w:val="NormalWeb"/>
        <w:spacing w:line="276" w:lineRule="auto"/>
        <w:jc w:val="both"/>
        <w:rPr>
          <w:rFonts w:ascii="Arial" w:hAnsi="Arial" w:cs="Arial"/>
        </w:rPr>
      </w:pPr>
      <w:r w:rsidRPr="0030453B">
        <w:rPr>
          <w:rFonts w:ascii="Arial" w:hAnsi="Arial" w:cs="Arial"/>
        </w:rPr>
        <w:t>PBP analysis highlights Project A as the most attractive for short-term liquidity, followed closely by Project C. Project B’s extended recovery period demonstrates high capital lock-up risk, underscoring the importance of complementary discounted cash flow methods. Advantages include simplicity, speed, and explicit focus on liquidity, while limitations include neglect of cash flows beyond the payback period, absence of time-value-of-money adjustments, and bias against long-term, high-value projects (Götze et al., 2015).</w:t>
      </w:r>
    </w:p>
    <w:p w14:paraId="2B6176B1" w14:textId="77777777" w:rsidR="00242C26" w:rsidRPr="0030453B" w:rsidRDefault="00242C26" w:rsidP="00902119">
      <w:pPr>
        <w:pStyle w:val="Heading3"/>
      </w:pPr>
      <w:bookmarkStart w:id="21" w:name="_Toc217322947"/>
      <w:r w:rsidRPr="0030453B">
        <w:t xml:space="preserve">5.3 </w:t>
      </w:r>
      <w:r w:rsidRPr="00902119">
        <w:t>Accounting</w:t>
      </w:r>
      <w:r w:rsidRPr="0030453B">
        <w:t xml:space="preserve"> Rate of Return (ARR) Analysis</w:t>
      </w:r>
      <w:bookmarkEnd w:id="21"/>
    </w:p>
    <w:p w14:paraId="55131E38" w14:textId="77777777" w:rsidR="00242C26" w:rsidRPr="00902119" w:rsidRDefault="00242C26" w:rsidP="00DE2C7B">
      <w:pPr>
        <w:pStyle w:val="NormalWeb"/>
        <w:spacing w:line="276" w:lineRule="auto"/>
        <w:jc w:val="both"/>
        <w:rPr>
          <w:rFonts w:ascii="Arial" w:hAnsi="Arial" w:cs="Arial"/>
        </w:rPr>
      </w:pPr>
      <w:r w:rsidRPr="00902119">
        <w:rPr>
          <w:rStyle w:val="Strong"/>
          <w:rFonts w:ascii="Arial" w:hAnsi="Arial" w:cs="Arial"/>
          <w:b w:val="0"/>
          <w:bCs w:val="0"/>
        </w:rPr>
        <w:t>ARR Formula:</w:t>
      </w:r>
    </w:p>
    <w:p w14:paraId="597B33D7" w14:textId="49A7E6DD" w:rsidR="00242C26" w:rsidRPr="00902119" w:rsidRDefault="00902119"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ARR=</m:t>
          </m:r>
          <m:f>
            <m:fPr>
              <m:ctrlPr>
                <w:rPr>
                  <w:rStyle w:val="katex-mathml"/>
                  <w:rFonts w:ascii="Cambria Math" w:hAnsi="Cambria Math" w:cs="Arial"/>
                  <w:i/>
                  <w:sz w:val="24"/>
                  <w:szCs w:val="24"/>
                </w:rPr>
              </m:ctrlPr>
            </m:fPr>
            <m:num>
              <m:r>
                <w:rPr>
                  <w:rStyle w:val="katex-mathml"/>
                  <w:rFonts w:ascii="Cambria Math" w:hAnsi="Cambria Math" w:cs="Arial"/>
                  <w:sz w:val="24"/>
                  <w:szCs w:val="24"/>
                </w:rPr>
                <m:t>Average Annual Accounting Profit</m:t>
              </m:r>
            </m:num>
            <m:den>
              <m:r>
                <w:rPr>
                  <w:rStyle w:val="katex-mathml"/>
                  <w:rFonts w:ascii="Cambria Math" w:hAnsi="Cambria Math" w:cs="Arial"/>
                  <w:sz w:val="24"/>
                  <w:szCs w:val="24"/>
                </w:rPr>
                <m:t>Average Investment</m:t>
              </m:r>
            </m:den>
          </m:f>
          <m:r>
            <w:rPr>
              <w:rStyle w:val="katex-mathml"/>
              <w:rFonts w:ascii="Cambria Math" w:hAnsi="Cambria Math" w:cs="Arial"/>
              <w:sz w:val="24"/>
              <w:szCs w:val="24"/>
            </w:rPr>
            <m:t>×100%</m:t>
          </m:r>
          <m:r>
            <w:rPr>
              <w:rFonts w:ascii="Cambria Math" w:hAnsi="Cambria Math" w:cs="Arial"/>
              <w:sz w:val="24"/>
              <w:szCs w:val="24"/>
            </w:rPr>
            <m:t xml:space="preserve"> </m:t>
          </m:r>
        </m:oMath>
      </m:oMathPara>
    </w:p>
    <w:p w14:paraId="6680B5B7" w14:textId="77777777" w:rsidR="00242C26" w:rsidRPr="00902119" w:rsidRDefault="00242C26" w:rsidP="00DE2C7B">
      <w:pPr>
        <w:pStyle w:val="NormalWeb"/>
        <w:spacing w:line="276" w:lineRule="auto"/>
        <w:jc w:val="both"/>
        <w:rPr>
          <w:rFonts w:ascii="Arial" w:hAnsi="Arial" w:cs="Arial"/>
        </w:rPr>
      </w:pPr>
      <w:r w:rsidRPr="00902119">
        <w:rPr>
          <w:rFonts w:ascii="Arial" w:hAnsi="Arial" w:cs="Arial"/>
        </w:rPr>
        <w:t>Where:</w:t>
      </w:r>
    </w:p>
    <w:p w14:paraId="72C81BEC" w14:textId="77777777" w:rsidR="00242C26" w:rsidRPr="00902119" w:rsidRDefault="00242C26" w:rsidP="00DD727A">
      <w:pPr>
        <w:pStyle w:val="NormalWeb"/>
        <w:numPr>
          <w:ilvl w:val="0"/>
          <w:numId w:val="9"/>
        </w:numPr>
        <w:spacing w:line="276" w:lineRule="auto"/>
        <w:jc w:val="both"/>
        <w:rPr>
          <w:rFonts w:ascii="Arial" w:hAnsi="Arial" w:cs="Arial"/>
        </w:rPr>
      </w:pPr>
      <w:r w:rsidRPr="00902119">
        <w:rPr>
          <w:rFonts w:ascii="Arial" w:hAnsi="Arial" w:cs="Arial"/>
        </w:rPr>
        <w:t>Average profit = Average cash flow – Depreciation</w:t>
      </w:r>
    </w:p>
    <w:p w14:paraId="01E422E7" w14:textId="77777777" w:rsidR="00242C26" w:rsidRPr="00902119" w:rsidRDefault="00242C26" w:rsidP="00DD727A">
      <w:pPr>
        <w:pStyle w:val="NormalWeb"/>
        <w:numPr>
          <w:ilvl w:val="0"/>
          <w:numId w:val="9"/>
        </w:numPr>
        <w:spacing w:line="276" w:lineRule="auto"/>
        <w:jc w:val="both"/>
        <w:rPr>
          <w:rFonts w:ascii="Arial" w:hAnsi="Arial" w:cs="Arial"/>
        </w:rPr>
      </w:pPr>
      <w:r w:rsidRPr="00902119">
        <w:rPr>
          <w:rFonts w:ascii="Arial" w:hAnsi="Arial" w:cs="Arial"/>
        </w:rPr>
        <w:lastRenderedPageBreak/>
        <w:t>Average investment = Initial investment / 2 (zero salvage value)</w:t>
      </w:r>
    </w:p>
    <w:p w14:paraId="281B9644" w14:textId="77777777" w:rsidR="00242C26" w:rsidRPr="00902119" w:rsidRDefault="00242C26" w:rsidP="00DE2C7B">
      <w:pPr>
        <w:pStyle w:val="NormalWeb"/>
        <w:spacing w:line="276" w:lineRule="auto"/>
        <w:jc w:val="both"/>
        <w:rPr>
          <w:rFonts w:ascii="Arial" w:hAnsi="Arial" w:cs="Arial"/>
        </w:rPr>
      </w:pPr>
      <w:r w:rsidRPr="00902119">
        <w:rPr>
          <w:rStyle w:val="Strong"/>
          <w:rFonts w:ascii="Arial" w:hAnsi="Arial" w:cs="Arial"/>
          <w:b w:val="0"/>
          <w:bCs w:val="0"/>
        </w:rPr>
        <w:t>Project A Calculation:</w:t>
      </w:r>
    </w:p>
    <w:p w14:paraId="456077D6" w14:textId="77777777" w:rsidR="00242C26" w:rsidRPr="00902119" w:rsidRDefault="00242C26" w:rsidP="00DD727A">
      <w:pPr>
        <w:pStyle w:val="NormalWeb"/>
        <w:numPr>
          <w:ilvl w:val="0"/>
          <w:numId w:val="10"/>
        </w:numPr>
        <w:spacing w:line="276" w:lineRule="auto"/>
        <w:jc w:val="both"/>
        <w:rPr>
          <w:rFonts w:ascii="Arial" w:hAnsi="Arial" w:cs="Arial"/>
        </w:rPr>
      </w:pPr>
      <w:r w:rsidRPr="00902119">
        <w:rPr>
          <w:rFonts w:ascii="Arial" w:hAnsi="Arial" w:cs="Arial"/>
        </w:rPr>
        <w:t>Average annual cash flow = 54,000 / 5 = £10,800m</w:t>
      </w:r>
    </w:p>
    <w:p w14:paraId="20E22203" w14:textId="77777777" w:rsidR="00242C26" w:rsidRPr="00902119" w:rsidRDefault="00242C26" w:rsidP="00DD727A">
      <w:pPr>
        <w:pStyle w:val="NormalWeb"/>
        <w:numPr>
          <w:ilvl w:val="0"/>
          <w:numId w:val="10"/>
        </w:numPr>
        <w:spacing w:line="276" w:lineRule="auto"/>
        <w:jc w:val="both"/>
        <w:rPr>
          <w:rFonts w:ascii="Arial" w:hAnsi="Arial" w:cs="Arial"/>
        </w:rPr>
      </w:pPr>
      <w:r w:rsidRPr="00902119">
        <w:rPr>
          <w:rFonts w:ascii="Arial" w:hAnsi="Arial" w:cs="Arial"/>
        </w:rPr>
        <w:t>Depreciation = £40,000 / 5 = £8,000m</w:t>
      </w:r>
    </w:p>
    <w:p w14:paraId="1E3F9BB1" w14:textId="77777777" w:rsidR="00242C26" w:rsidRPr="00902119" w:rsidRDefault="00242C26" w:rsidP="00DD727A">
      <w:pPr>
        <w:pStyle w:val="NormalWeb"/>
        <w:numPr>
          <w:ilvl w:val="0"/>
          <w:numId w:val="10"/>
        </w:numPr>
        <w:spacing w:line="276" w:lineRule="auto"/>
        <w:jc w:val="both"/>
        <w:rPr>
          <w:rFonts w:ascii="Arial" w:hAnsi="Arial" w:cs="Arial"/>
        </w:rPr>
      </w:pPr>
      <w:r w:rsidRPr="00902119">
        <w:rPr>
          <w:rFonts w:ascii="Arial" w:hAnsi="Arial" w:cs="Arial"/>
        </w:rPr>
        <w:t>Average profit = 10,800 – 8,000 = £2,800m</w:t>
      </w:r>
    </w:p>
    <w:p w14:paraId="09449D89" w14:textId="77777777" w:rsidR="00242C26" w:rsidRPr="00902119" w:rsidRDefault="00242C26" w:rsidP="00DD727A">
      <w:pPr>
        <w:pStyle w:val="NormalWeb"/>
        <w:numPr>
          <w:ilvl w:val="0"/>
          <w:numId w:val="10"/>
        </w:numPr>
        <w:spacing w:line="276" w:lineRule="auto"/>
        <w:jc w:val="both"/>
        <w:rPr>
          <w:rFonts w:ascii="Arial" w:hAnsi="Arial" w:cs="Arial"/>
        </w:rPr>
      </w:pPr>
      <w:r w:rsidRPr="00902119">
        <w:rPr>
          <w:rFonts w:ascii="Arial" w:hAnsi="Arial" w:cs="Arial"/>
        </w:rPr>
        <w:t>Average investment = £40,000 / 2 = £20,000m</w:t>
      </w:r>
    </w:p>
    <w:p w14:paraId="285C4825" w14:textId="2BCDEA92" w:rsidR="00242C26" w:rsidRPr="00902119" w:rsidRDefault="00902119"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ARR=</m:t>
          </m:r>
          <m:f>
            <m:fPr>
              <m:ctrlPr>
                <w:rPr>
                  <w:rStyle w:val="katex-mathml"/>
                  <w:rFonts w:ascii="Cambria Math" w:hAnsi="Cambria Math" w:cs="Arial"/>
                  <w:i/>
                  <w:sz w:val="24"/>
                  <w:szCs w:val="24"/>
                </w:rPr>
              </m:ctrlPr>
            </m:fPr>
            <m:num>
              <m:r>
                <w:rPr>
                  <w:rStyle w:val="katex-mathml"/>
                  <w:rFonts w:ascii="Cambria Math" w:hAnsi="Cambria Math" w:cs="Arial"/>
                  <w:sz w:val="24"/>
                  <w:szCs w:val="24"/>
                </w:rPr>
                <m:t>2,800</m:t>
              </m:r>
            </m:num>
            <m:den>
              <m:r>
                <w:rPr>
                  <w:rStyle w:val="katex-mathml"/>
                  <w:rFonts w:ascii="Cambria Math" w:hAnsi="Cambria Math" w:cs="Arial"/>
                  <w:sz w:val="24"/>
                  <w:szCs w:val="24"/>
                </w:rPr>
                <m:t>20,000</m:t>
              </m:r>
            </m:den>
          </m:f>
          <m:r>
            <w:rPr>
              <w:rStyle w:val="katex-mathml"/>
              <w:rFonts w:ascii="Cambria Math" w:hAnsi="Cambria Math" w:cs="Arial"/>
              <w:sz w:val="24"/>
              <w:szCs w:val="24"/>
            </w:rPr>
            <m:t>×100%=14.0%</m:t>
          </m:r>
          <m:r>
            <w:rPr>
              <w:rFonts w:ascii="Cambria Math" w:hAnsi="Cambria Math" w:cs="Arial"/>
              <w:sz w:val="24"/>
              <w:szCs w:val="24"/>
            </w:rPr>
            <m:t xml:space="preserve"> </m:t>
          </m:r>
        </m:oMath>
      </m:oMathPara>
    </w:p>
    <w:p w14:paraId="77486FD5" w14:textId="77777777" w:rsidR="00242C26" w:rsidRPr="00902119" w:rsidRDefault="00242C26" w:rsidP="00DD727A">
      <w:pPr>
        <w:pStyle w:val="NormalWeb"/>
        <w:numPr>
          <w:ilvl w:val="0"/>
          <w:numId w:val="11"/>
        </w:numPr>
        <w:spacing w:line="276" w:lineRule="auto"/>
        <w:jc w:val="both"/>
        <w:rPr>
          <w:rFonts w:ascii="Arial" w:hAnsi="Arial" w:cs="Arial"/>
        </w:rPr>
      </w:pPr>
      <w:r w:rsidRPr="00902119">
        <w:rPr>
          <w:rStyle w:val="Strong"/>
          <w:rFonts w:ascii="Arial" w:hAnsi="Arial" w:cs="Arial"/>
          <w:b w:val="0"/>
          <w:bCs w:val="0"/>
        </w:rPr>
        <w:t>Project B:</w:t>
      </w:r>
      <w:r w:rsidRPr="00902119">
        <w:rPr>
          <w:rFonts w:ascii="Arial" w:hAnsi="Arial" w:cs="Arial"/>
        </w:rPr>
        <w:t xml:space="preserve"> ARR = 0% (cash inflows equal depreciation)</w:t>
      </w:r>
    </w:p>
    <w:p w14:paraId="30F727A8" w14:textId="77777777" w:rsidR="00242C26" w:rsidRPr="00902119" w:rsidRDefault="00242C26" w:rsidP="00DD727A">
      <w:pPr>
        <w:pStyle w:val="NormalWeb"/>
        <w:numPr>
          <w:ilvl w:val="0"/>
          <w:numId w:val="11"/>
        </w:numPr>
        <w:spacing w:line="276" w:lineRule="auto"/>
        <w:jc w:val="both"/>
        <w:rPr>
          <w:rFonts w:ascii="Arial" w:hAnsi="Arial" w:cs="Arial"/>
        </w:rPr>
      </w:pPr>
      <w:r w:rsidRPr="00902119">
        <w:rPr>
          <w:rStyle w:val="Strong"/>
          <w:rFonts w:ascii="Arial" w:hAnsi="Arial" w:cs="Arial"/>
          <w:b w:val="0"/>
          <w:bCs w:val="0"/>
        </w:rPr>
        <w:t>Project C:</w:t>
      </w:r>
      <w:r w:rsidRPr="00902119">
        <w:rPr>
          <w:rFonts w:ascii="Arial" w:hAnsi="Arial" w:cs="Arial"/>
        </w:rPr>
        <w:t xml:space="preserve"> ARR = 20% (average profit £5,000m / investment £25,000m)</w:t>
      </w:r>
    </w:p>
    <w:p w14:paraId="14B91374" w14:textId="448C2B2B" w:rsidR="00242C26" w:rsidRPr="00902119" w:rsidRDefault="007F11D6" w:rsidP="00DE2C7B">
      <w:pPr>
        <w:pStyle w:val="NormalWeb"/>
        <w:spacing w:line="276" w:lineRule="auto"/>
        <w:jc w:val="both"/>
        <w:rPr>
          <w:rFonts w:ascii="Arial" w:hAnsi="Arial" w:cs="Arial"/>
        </w:rPr>
      </w:pPr>
      <w:r>
        <w:rPr>
          <w:rStyle w:val="Strong"/>
          <w:rFonts w:ascii="Arial" w:hAnsi="Arial" w:cs="Arial"/>
          <w:b w:val="0"/>
          <w:bCs w:val="0"/>
        </w:rPr>
        <w:t xml:space="preserve">Table 5.3: </w:t>
      </w:r>
      <w:r w:rsidR="00242C26" w:rsidRPr="00902119">
        <w:rPr>
          <w:rStyle w:val="Strong"/>
          <w:rFonts w:ascii="Arial" w:hAnsi="Arial" w:cs="Arial"/>
          <w:b w:val="0"/>
          <w:bCs w:val="0"/>
        </w:rPr>
        <w:t>ARR Summary Table</w:t>
      </w:r>
    </w:p>
    <w:tbl>
      <w:tblPr>
        <w:tblStyle w:val="TableGrid"/>
        <w:tblW w:w="0" w:type="auto"/>
        <w:jc w:val="center"/>
        <w:tblLook w:val="04A0" w:firstRow="1" w:lastRow="0" w:firstColumn="1" w:lastColumn="0" w:noHBand="0" w:noVBand="1"/>
      </w:tblPr>
      <w:tblGrid>
        <w:gridCol w:w="963"/>
        <w:gridCol w:w="2631"/>
        <w:gridCol w:w="2431"/>
        <w:gridCol w:w="1163"/>
        <w:gridCol w:w="777"/>
      </w:tblGrid>
      <w:tr w:rsidR="00242C26" w:rsidRPr="00902119" w14:paraId="17D2D09D" w14:textId="77777777" w:rsidTr="007F11D6">
        <w:trPr>
          <w:jc w:val="center"/>
        </w:trPr>
        <w:tc>
          <w:tcPr>
            <w:tcW w:w="0" w:type="auto"/>
            <w:hideMark/>
          </w:tcPr>
          <w:p w14:paraId="1B2BFE31"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Project</w:t>
            </w:r>
          </w:p>
        </w:tc>
        <w:tc>
          <w:tcPr>
            <w:tcW w:w="0" w:type="auto"/>
            <w:hideMark/>
          </w:tcPr>
          <w:p w14:paraId="01C3685C"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Avg Annual Profit (£m)</w:t>
            </w:r>
          </w:p>
        </w:tc>
        <w:tc>
          <w:tcPr>
            <w:tcW w:w="0" w:type="auto"/>
            <w:hideMark/>
          </w:tcPr>
          <w:p w14:paraId="40873AA2"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Avg Investment (£m)</w:t>
            </w:r>
          </w:p>
        </w:tc>
        <w:tc>
          <w:tcPr>
            <w:tcW w:w="0" w:type="auto"/>
            <w:hideMark/>
          </w:tcPr>
          <w:p w14:paraId="1EE12EF3"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ARR (%)</w:t>
            </w:r>
          </w:p>
        </w:tc>
        <w:tc>
          <w:tcPr>
            <w:tcW w:w="0" w:type="auto"/>
            <w:hideMark/>
          </w:tcPr>
          <w:p w14:paraId="3FD2DF71"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Rank</w:t>
            </w:r>
          </w:p>
        </w:tc>
      </w:tr>
      <w:tr w:rsidR="00242C26" w:rsidRPr="00902119" w14:paraId="2CA17B3E" w14:textId="77777777" w:rsidTr="007F11D6">
        <w:trPr>
          <w:jc w:val="center"/>
        </w:trPr>
        <w:tc>
          <w:tcPr>
            <w:tcW w:w="0" w:type="auto"/>
            <w:hideMark/>
          </w:tcPr>
          <w:p w14:paraId="0D99D35B"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C</w:t>
            </w:r>
          </w:p>
        </w:tc>
        <w:tc>
          <w:tcPr>
            <w:tcW w:w="0" w:type="auto"/>
            <w:hideMark/>
          </w:tcPr>
          <w:p w14:paraId="614E0600"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5,000</w:t>
            </w:r>
          </w:p>
        </w:tc>
        <w:tc>
          <w:tcPr>
            <w:tcW w:w="0" w:type="auto"/>
            <w:hideMark/>
          </w:tcPr>
          <w:p w14:paraId="094913D5"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25,000</w:t>
            </w:r>
          </w:p>
        </w:tc>
        <w:tc>
          <w:tcPr>
            <w:tcW w:w="0" w:type="auto"/>
            <w:hideMark/>
          </w:tcPr>
          <w:p w14:paraId="538A8016"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20.0</w:t>
            </w:r>
          </w:p>
        </w:tc>
        <w:tc>
          <w:tcPr>
            <w:tcW w:w="0" w:type="auto"/>
            <w:hideMark/>
          </w:tcPr>
          <w:p w14:paraId="03609E31"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1st</w:t>
            </w:r>
          </w:p>
        </w:tc>
      </w:tr>
      <w:tr w:rsidR="00242C26" w:rsidRPr="00902119" w14:paraId="134B9CBA" w14:textId="77777777" w:rsidTr="007F11D6">
        <w:trPr>
          <w:jc w:val="center"/>
        </w:trPr>
        <w:tc>
          <w:tcPr>
            <w:tcW w:w="0" w:type="auto"/>
            <w:hideMark/>
          </w:tcPr>
          <w:p w14:paraId="4A01D14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A</w:t>
            </w:r>
          </w:p>
        </w:tc>
        <w:tc>
          <w:tcPr>
            <w:tcW w:w="0" w:type="auto"/>
            <w:hideMark/>
          </w:tcPr>
          <w:p w14:paraId="42C5EC1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2,800</w:t>
            </w:r>
          </w:p>
        </w:tc>
        <w:tc>
          <w:tcPr>
            <w:tcW w:w="0" w:type="auto"/>
            <w:hideMark/>
          </w:tcPr>
          <w:p w14:paraId="3DFE94F5"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20,000</w:t>
            </w:r>
          </w:p>
        </w:tc>
        <w:tc>
          <w:tcPr>
            <w:tcW w:w="0" w:type="auto"/>
            <w:hideMark/>
          </w:tcPr>
          <w:p w14:paraId="6AA53EB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14.0</w:t>
            </w:r>
          </w:p>
        </w:tc>
        <w:tc>
          <w:tcPr>
            <w:tcW w:w="0" w:type="auto"/>
            <w:hideMark/>
          </w:tcPr>
          <w:p w14:paraId="6064BA4A"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2nd</w:t>
            </w:r>
          </w:p>
        </w:tc>
      </w:tr>
      <w:tr w:rsidR="00242C26" w:rsidRPr="00902119" w14:paraId="13A691E9" w14:textId="77777777" w:rsidTr="007F11D6">
        <w:trPr>
          <w:jc w:val="center"/>
        </w:trPr>
        <w:tc>
          <w:tcPr>
            <w:tcW w:w="0" w:type="auto"/>
            <w:hideMark/>
          </w:tcPr>
          <w:p w14:paraId="56C83800"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B</w:t>
            </w:r>
          </w:p>
        </w:tc>
        <w:tc>
          <w:tcPr>
            <w:tcW w:w="0" w:type="auto"/>
            <w:hideMark/>
          </w:tcPr>
          <w:p w14:paraId="5A194D30"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w:t>
            </w:r>
          </w:p>
        </w:tc>
        <w:tc>
          <w:tcPr>
            <w:tcW w:w="0" w:type="auto"/>
            <w:hideMark/>
          </w:tcPr>
          <w:p w14:paraId="17B30793"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15,000</w:t>
            </w:r>
          </w:p>
        </w:tc>
        <w:tc>
          <w:tcPr>
            <w:tcW w:w="0" w:type="auto"/>
            <w:hideMark/>
          </w:tcPr>
          <w:p w14:paraId="4A3663C6"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0.0</w:t>
            </w:r>
          </w:p>
        </w:tc>
        <w:tc>
          <w:tcPr>
            <w:tcW w:w="0" w:type="auto"/>
            <w:hideMark/>
          </w:tcPr>
          <w:p w14:paraId="239E86D0"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3rd</w:t>
            </w:r>
          </w:p>
        </w:tc>
      </w:tr>
    </w:tbl>
    <w:p w14:paraId="783861E5" w14:textId="77777777" w:rsidR="00242C26" w:rsidRPr="00902119" w:rsidRDefault="00242C26" w:rsidP="00DE2C7B">
      <w:pPr>
        <w:pStyle w:val="NormalWeb"/>
        <w:spacing w:line="276" w:lineRule="auto"/>
        <w:jc w:val="both"/>
        <w:rPr>
          <w:rFonts w:ascii="Arial" w:hAnsi="Arial" w:cs="Arial"/>
        </w:rPr>
      </w:pPr>
      <w:r w:rsidRPr="00902119">
        <w:rPr>
          <w:rFonts w:ascii="Arial" w:hAnsi="Arial" w:cs="Arial"/>
        </w:rPr>
        <w:t>ARR captures profitability relative to invested capital, providing insight into accounting returns over the project life. Projects C and A exceed the 10% cost of capital, confirming financial justification. However, reliance on accounting profits rather than actual cash flows and disregard for time-value-of-money are noted limitations (Abor, 2016).</w:t>
      </w:r>
    </w:p>
    <w:p w14:paraId="26108E9F" w14:textId="77777777" w:rsidR="00242C26" w:rsidRPr="0030453B" w:rsidRDefault="00242C26" w:rsidP="00902119">
      <w:pPr>
        <w:pStyle w:val="Heading3"/>
      </w:pPr>
      <w:bookmarkStart w:id="22" w:name="_Toc217322948"/>
      <w:r w:rsidRPr="0030453B">
        <w:t>5.4 Net Present Value (NPV) Analysis</w:t>
      </w:r>
      <w:bookmarkEnd w:id="22"/>
    </w:p>
    <w:p w14:paraId="643C2A20" w14:textId="77777777" w:rsidR="00242C26" w:rsidRPr="00902119" w:rsidRDefault="00242C26" w:rsidP="00DE2C7B">
      <w:pPr>
        <w:pStyle w:val="NormalWeb"/>
        <w:spacing w:line="276" w:lineRule="auto"/>
        <w:jc w:val="both"/>
        <w:rPr>
          <w:rFonts w:ascii="Arial" w:hAnsi="Arial" w:cs="Arial"/>
        </w:rPr>
      </w:pPr>
      <w:r w:rsidRPr="00902119">
        <w:rPr>
          <w:rStyle w:val="Strong"/>
          <w:rFonts w:ascii="Arial" w:hAnsi="Arial" w:cs="Arial"/>
          <w:b w:val="0"/>
          <w:bCs w:val="0"/>
        </w:rPr>
        <w:t>NPV Formula:</w:t>
      </w:r>
    </w:p>
    <w:p w14:paraId="7328E896" w14:textId="061D805C" w:rsidR="00242C26" w:rsidRPr="00902119" w:rsidRDefault="00902119"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NPV=</m:t>
          </m:r>
          <m:nary>
            <m:naryPr>
              <m:chr m:val="∑"/>
              <m:ctrlPr>
                <w:rPr>
                  <w:rStyle w:val="katex-mathml"/>
                  <w:rFonts w:ascii="Cambria Math" w:hAnsi="Cambria Math" w:cs="Arial"/>
                  <w:i/>
                  <w:sz w:val="24"/>
                  <w:szCs w:val="24"/>
                </w:rPr>
              </m:ctrlPr>
            </m:naryPr>
            <m:sub>
              <m:r>
                <w:rPr>
                  <w:rStyle w:val="katex-mathml"/>
                  <w:rFonts w:ascii="Cambria Math" w:hAnsi="Cambria Math" w:cs="Arial"/>
                  <w:sz w:val="24"/>
                  <w:szCs w:val="24"/>
                </w:rPr>
                <m:t>t=1</m:t>
              </m:r>
            </m:sub>
            <m:sup>
              <m:r>
                <w:rPr>
                  <w:rStyle w:val="katex-mathml"/>
                  <w:rFonts w:ascii="Cambria Math" w:hAnsi="Cambria Math" w:cs="Arial"/>
                  <w:sz w:val="24"/>
                  <w:szCs w:val="24"/>
                </w:rPr>
                <m:t>n</m:t>
              </m:r>
            </m:sup>
            <m:e>
              <m:f>
                <m:fPr>
                  <m:ctrlPr>
                    <w:rPr>
                      <w:rStyle w:val="katex-mathml"/>
                      <w:rFonts w:ascii="Cambria Math" w:hAnsi="Cambria Math" w:cs="Arial"/>
                      <w:i/>
                      <w:sz w:val="24"/>
                      <w:szCs w:val="24"/>
                    </w:rPr>
                  </m:ctrlPr>
                </m:fPr>
                <m:num>
                  <m:r>
                    <w:rPr>
                      <w:rStyle w:val="katex-mathml"/>
                      <w:rFonts w:ascii="Cambria Math" w:hAnsi="Cambria Math" w:cs="Arial"/>
                      <w:sz w:val="24"/>
                      <w:szCs w:val="24"/>
                    </w:rPr>
                    <m:t>C</m:t>
                  </m:r>
                  <m:sSub>
                    <m:sSubPr>
                      <m:ctrlPr>
                        <w:rPr>
                          <w:rStyle w:val="katex-mathml"/>
                          <w:rFonts w:ascii="Cambria Math" w:hAnsi="Cambria Math" w:cs="Arial"/>
                          <w:i/>
                          <w:sz w:val="24"/>
                          <w:szCs w:val="24"/>
                        </w:rPr>
                      </m:ctrlPr>
                    </m:sSubPr>
                    <m:e>
                      <m:r>
                        <w:rPr>
                          <w:rStyle w:val="katex-mathml"/>
                          <w:rFonts w:ascii="Cambria Math" w:hAnsi="Cambria Math" w:cs="Arial"/>
                          <w:sz w:val="24"/>
                          <w:szCs w:val="24"/>
                        </w:rPr>
                        <m:t>F</m:t>
                      </m:r>
                    </m:e>
                    <m:sub>
                      <m:r>
                        <w:rPr>
                          <w:rStyle w:val="katex-mathml"/>
                          <w:rFonts w:ascii="Cambria Math" w:hAnsi="Cambria Math" w:cs="Arial"/>
                          <w:sz w:val="24"/>
                          <w:szCs w:val="24"/>
                        </w:rPr>
                        <m:t>t</m:t>
                      </m:r>
                    </m:sub>
                  </m:sSub>
                </m:num>
                <m:den>
                  <m:sSup>
                    <m:sSupPr>
                      <m:ctrlPr>
                        <w:rPr>
                          <w:rStyle w:val="katex-mathml"/>
                          <w:rFonts w:ascii="Cambria Math" w:hAnsi="Cambria Math" w:cs="Arial"/>
                          <w:i/>
                          <w:sz w:val="24"/>
                          <w:szCs w:val="24"/>
                        </w:rPr>
                      </m:ctrlPr>
                    </m:sSupPr>
                    <m:e>
                      <m:r>
                        <w:rPr>
                          <w:rStyle w:val="katex-mathml"/>
                          <w:rFonts w:ascii="Cambria Math" w:hAnsi="Cambria Math" w:cs="Arial"/>
                          <w:sz w:val="24"/>
                          <w:szCs w:val="24"/>
                        </w:rPr>
                        <m:t>(1+r)</m:t>
                      </m:r>
                    </m:e>
                    <m:sup>
                      <m:r>
                        <w:rPr>
                          <w:rStyle w:val="katex-mathml"/>
                          <w:rFonts w:ascii="Cambria Math" w:hAnsi="Cambria Math" w:cs="Arial"/>
                          <w:sz w:val="24"/>
                          <w:szCs w:val="24"/>
                        </w:rPr>
                        <m:t>t</m:t>
                      </m:r>
                    </m:sup>
                  </m:sSup>
                </m:den>
              </m:f>
              <m:r>
                <w:rPr>
                  <w:rStyle w:val="katex-mathml"/>
                  <w:rFonts w:ascii="Cambria Math" w:hAnsi="Cambria Math" w:cs="Arial"/>
                  <w:sz w:val="24"/>
                  <w:szCs w:val="24"/>
                </w:rPr>
                <m:t xml:space="preserve">- </m:t>
              </m:r>
              <m:sSub>
                <m:sSubPr>
                  <m:ctrlPr>
                    <w:rPr>
                      <w:rStyle w:val="katex-mathml"/>
                      <w:rFonts w:ascii="Cambria Math" w:hAnsi="Cambria Math" w:cs="Arial"/>
                      <w:i/>
                      <w:sz w:val="24"/>
                      <w:szCs w:val="24"/>
                    </w:rPr>
                  </m:ctrlPr>
                </m:sSubPr>
                <m:e>
                  <m:r>
                    <w:rPr>
                      <w:rStyle w:val="katex-mathml"/>
                      <w:rFonts w:ascii="Cambria Math" w:hAnsi="Cambria Math" w:cs="Arial"/>
                      <w:sz w:val="24"/>
                      <w:szCs w:val="24"/>
                    </w:rPr>
                    <m:t>C</m:t>
                  </m:r>
                </m:e>
                <m:sub>
                  <m:r>
                    <w:rPr>
                      <w:rStyle w:val="katex-mathml"/>
                      <w:rFonts w:ascii="Cambria Math" w:hAnsi="Cambria Math" w:cs="Arial"/>
                      <w:sz w:val="24"/>
                      <w:szCs w:val="24"/>
                    </w:rPr>
                    <m:t>0</m:t>
                  </m:r>
                </m:sub>
              </m:sSub>
            </m:e>
          </m:nary>
          <m:r>
            <w:rPr>
              <w:rFonts w:ascii="Cambria Math" w:hAnsi="Cambria Math" w:cs="Arial"/>
              <w:sz w:val="24"/>
              <w:szCs w:val="24"/>
            </w:rPr>
            <m:t xml:space="preserve"> </m:t>
          </m:r>
        </m:oMath>
      </m:oMathPara>
    </w:p>
    <w:p w14:paraId="036FAFF7" w14:textId="20085F9B" w:rsidR="00242C26" w:rsidRPr="00902119" w:rsidRDefault="008B63C7" w:rsidP="00DE2C7B">
      <w:pPr>
        <w:pStyle w:val="NormalWeb"/>
        <w:spacing w:line="276" w:lineRule="auto"/>
        <w:jc w:val="both"/>
        <w:rPr>
          <w:rFonts w:ascii="Arial" w:hAnsi="Arial" w:cs="Arial"/>
        </w:rPr>
      </w:pPr>
      <w:r>
        <w:rPr>
          <w:rStyle w:val="Strong"/>
          <w:rFonts w:ascii="Arial" w:hAnsi="Arial" w:cs="Arial"/>
          <w:b w:val="0"/>
          <w:bCs w:val="0"/>
        </w:rPr>
        <w:t xml:space="preserve">Table 5.3: </w:t>
      </w:r>
      <w:r w:rsidR="00242C26" w:rsidRPr="00902119">
        <w:rPr>
          <w:rStyle w:val="Strong"/>
          <w:rFonts w:ascii="Arial" w:hAnsi="Arial" w:cs="Arial"/>
          <w:b w:val="0"/>
          <w:bCs w:val="0"/>
        </w:rPr>
        <w:t>Discount Factors @ 10%:</w:t>
      </w:r>
    </w:p>
    <w:tbl>
      <w:tblPr>
        <w:tblStyle w:val="TableGrid"/>
        <w:tblW w:w="0" w:type="auto"/>
        <w:jc w:val="center"/>
        <w:tblLook w:val="04A0" w:firstRow="1" w:lastRow="0" w:firstColumn="1" w:lastColumn="0" w:noHBand="0" w:noVBand="1"/>
      </w:tblPr>
      <w:tblGrid>
        <w:gridCol w:w="723"/>
        <w:gridCol w:w="951"/>
      </w:tblGrid>
      <w:tr w:rsidR="00242C26" w:rsidRPr="00902119" w14:paraId="3DED3047" w14:textId="77777777" w:rsidTr="008B63C7">
        <w:trPr>
          <w:jc w:val="center"/>
        </w:trPr>
        <w:tc>
          <w:tcPr>
            <w:tcW w:w="0" w:type="auto"/>
            <w:hideMark/>
          </w:tcPr>
          <w:p w14:paraId="6EBE58B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Year</w:t>
            </w:r>
          </w:p>
        </w:tc>
        <w:tc>
          <w:tcPr>
            <w:tcW w:w="0" w:type="auto"/>
            <w:hideMark/>
          </w:tcPr>
          <w:p w14:paraId="175F4BD7"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DF</w:t>
            </w:r>
          </w:p>
        </w:tc>
      </w:tr>
      <w:tr w:rsidR="00242C26" w:rsidRPr="00902119" w14:paraId="648A47EB" w14:textId="77777777" w:rsidTr="008B63C7">
        <w:trPr>
          <w:jc w:val="center"/>
        </w:trPr>
        <w:tc>
          <w:tcPr>
            <w:tcW w:w="0" w:type="auto"/>
            <w:hideMark/>
          </w:tcPr>
          <w:p w14:paraId="4F61DDF9"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w:t>
            </w:r>
          </w:p>
        </w:tc>
        <w:tc>
          <w:tcPr>
            <w:tcW w:w="0" w:type="auto"/>
            <w:hideMark/>
          </w:tcPr>
          <w:p w14:paraId="788D6C8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0.9091</w:t>
            </w:r>
          </w:p>
        </w:tc>
      </w:tr>
      <w:tr w:rsidR="00242C26" w:rsidRPr="00902119" w14:paraId="50274C89" w14:textId="77777777" w:rsidTr="008B63C7">
        <w:trPr>
          <w:jc w:val="center"/>
        </w:trPr>
        <w:tc>
          <w:tcPr>
            <w:tcW w:w="0" w:type="auto"/>
            <w:hideMark/>
          </w:tcPr>
          <w:p w14:paraId="27F5F563"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w:t>
            </w:r>
          </w:p>
        </w:tc>
        <w:tc>
          <w:tcPr>
            <w:tcW w:w="0" w:type="auto"/>
            <w:hideMark/>
          </w:tcPr>
          <w:p w14:paraId="21D3A9D6"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0.8264</w:t>
            </w:r>
          </w:p>
        </w:tc>
      </w:tr>
      <w:tr w:rsidR="00242C26" w:rsidRPr="00902119" w14:paraId="529C4B8F" w14:textId="77777777" w:rsidTr="008B63C7">
        <w:trPr>
          <w:jc w:val="center"/>
        </w:trPr>
        <w:tc>
          <w:tcPr>
            <w:tcW w:w="0" w:type="auto"/>
            <w:hideMark/>
          </w:tcPr>
          <w:p w14:paraId="0EAFFCCA"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w:t>
            </w:r>
          </w:p>
        </w:tc>
        <w:tc>
          <w:tcPr>
            <w:tcW w:w="0" w:type="auto"/>
            <w:hideMark/>
          </w:tcPr>
          <w:p w14:paraId="10817CC5"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0.7513</w:t>
            </w:r>
          </w:p>
        </w:tc>
      </w:tr>
      <w:tr w:rsidR="00242C26" w:rsidRPr="00902119" w14:paraId="142B6E75" w14:textId="77777777" w:rsidTr="008B63C7">
        <w:trPr>
          <w:jc w:val="center"/>
        </w:trPr>
        <w:tc>
          <w:tcPr>
            <w:tcW w:w="0" w:type="auto"/>
            <w:hideMark/>
          </w:tcPr>
          <w:p w14:paraId="510B9D6A"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4</w:t>
            </w:r>
          </w:p>
        </w:tc>
        <w:tc>
          <w:tcPr>
            <w:tcW w:w="0" w:type="auto"/>
            <w:hideMark/>
          </w:tcPr>
          <w:p w14:paraId="45A2DE00"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0.6830</w:t>
            </w:r>
          </w:p>
        </w:tc>
      </w:tr>
      <w:tr w:rsidR="00242C26" w:rsidRPr="00902119" w14:paraId="2BF303C2" w14:textId="77777777" w:rsidTr="008B63C7">
        <w:trPr>
          <w:jc w:val="center"/>
        </w:trPr>
        <w:tc>
          <w:tcPr>
            <w:tcW w:w="0" w:type="auto"/>
            <w:hideMark/>
          </w:tcPr>
          <w:p w14:paraId="61394AC7"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lastRenderedPageBreak/>
              <w:t>5</w:t>
            </w:r>
          </w:p>
        </w:tc>
        <w:tc>
          <w:tcPr>
            <w:tcW w:w="0" w:type="auto"/>
            <w:hideMark/>
          </w:tcPr>
          <w:p w14:paraId="6DF6B10C"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0.6209</w:t>
            </w:r>
          </w:p>
        </w:tc>
      </w:tr>
    </w:tbl>
    <w:p w14:paraId="24E4009F" w14:textId="77777777" w:rsidR="00242C26" w:rsidRPr="00902119" w:rsidRDefault="00242C26" w:rsidP="00DE2C7B">
      <w:pPr>
        <w:pStyle w:val="NormalWeb"/>
        <w:spacing w:line="276" w:lineRule="auto"/>
        <w:jc w:val="both"/>
        <w:rPr>
          <w:rFonts w:ascii="Arial" w:hAnsi="Arial" w:cs="Arial"/>
        </w:rPr>
      </w:pPr>
      <w:r w:rsidRPr="00902119">
        <w:rPr>
          <w:rStyle w:val="Strong"/>
          <w:rFonts w:ascii="Arial" w:hAnsi="Arial" w:cs="Arial"/>
          <w:b w:val="0"/>
          <w:bCs w:val="0"/>
        </w:rPr>
        <w:t>NPV Calculation Examples:</w:t>
      </w:r>
    </w:p>
    <w:p w14:paraId="59F890C1" w14:textId="77777777" w:rsidR="00242C26" w:rsidRPr="00902119" w:rsidRDefault="00242C26" w:rsidP="00DD727A">
      <w:pPr>
        <w:pStyle w:val="NormalWeb"/>
        <w:numPr>
          <w:ilvl w:val="0"/>
          <w:numId w:val="12"/>
        </w:numPr>
        <w:spacing w:line="276" w:lineRule="auto"/>
        <w:jc w:val="both"/>
        <w:rPr>
          <w:rFonts w:ascii="Arial" w:hAnsi="Arial" w:cs="Arial"/>
        </w:rPr>
      </w:pPr>
      <w:r w:rsidRPr="00902119">
        <w:rPr>
          <w:rStyle w:val="Strong"/>
          <w:rFonts w:ascii="Arial" w:hAnsi="Arial" w:cs="Arial"/>
          <w:b w:val="0"/>
          <w:bCs w:val="0"/>
        </w:rPr>
        <w:t>Project A:</w:t>
      </w:r>
    </w:p>
    <w:p w14:paraId="2FD61069" w14:textId="2E94F1D4" w:rsidR="00242C26" w:rsidRPr="00902119" w:rsidRDefault="008B63C7" w:rsidP="00DE2C7B">
      <w:pPr>
        <w:spacing w:line="276" w:lineRule="auto"/>
        <w:jc w:val="both"/>
        <w:rPr>
          <w:rFonts w:ascii="Arial" w:hAnsi="Arial" w:cs="Arial"/>
          <w:sz w:val="24"/>
          <w:szCs w:val="24"/>
        </w:rPr>
      </w:pPr>
      <m:oMathPara>
        <m:oMath>
          <m:r>
            <w:rPr>
              <w:rStyle w:val="katex-mathml"/>
              <w:rFonts w:ascii="Cambria Math" w:hAnsi="Cambria Math" w:cs="Arial"/>
              <w:sz w:val="24"/>
              <w:szCs w:val="24"/>
            </w:rPr>
            <m:t>PV=10,000</m:t>
          </m:r>
          <m:r>
            <w:rPr>
              <w:rStyle w:val="katex-mathml"/>
              <w:rFonts w:ascii="Cambria Math" w:hAnsi="Cambria Math" w:cs="Cambria Math"/>
              <w:sz w:val="24"/>
              <w:szCs w:val="24"/>
            </w:rPr>
            <m:t>*</m:t>
          </m:r>
          <m:r>
            <w:rPr>
              <w:rStyle w:val="katex-mathml"/>
              <w:rFonts w:ascii="Cambria Math" w:hAnsi="Cambria Math" w:cs="Arial"/>
              <w:sz w:val="24"/>
              <w:szCs w:val="24"/>
            </w:rPr>
            <m:t>0.9091+12,000</m:t>
          </m:r>
          <m:r>
            <w:rPr>
              <w:rStyle w:val="katex-mathml"/>
              <w:rFonts w:ascii="Cambria Math" w:hAnsi="Cambria Math" w:cs="Cambria Math"/>
              <w:sz w:val="24"/>
              <w:szCs w:val="24"/>
            </w:rPr>
            <m:t>*</m:t>
          </m:r>
          <m:r>
            <w:rPr>
              <w:rStyle w:val="katex-mathml"/>
              <w:rFonts w:ascii="Cambria Math" w:hAnsi="Cambria Math" w:cs="Arial"/>
              <w:sz w:val="24"/>
              <w:szCs w:val="24"/>
            </w:rPr>
            <m:t>0.8264+14,000</m:t>
          </m:r>
          <m:r>
            <w:rPr>
              <w:rStyle w:val="katex-mathml"/>
              <w:rFonts w:ascii="Cambria Math" w:hAnsi="Cambria Math" w:cs="Cambria Math"/>
              <w:sz w:val="24"/>
              <w:szCs w:val="24"/>
            </w:rPr>
            <m:t>*</m:t>
          </m:r>
          <m:r>
            <w:rPr>
              <w:rStyle w:val="katex-mathml"/>
              <w:rFonts w:ascii="Cambria Math" w:hAnsi="Cambria Math" w:cs="Arial"/>
              <w:sz w:val="24"/>
              <w:szCs w:val="24"/>
            </w:rPr>
            <m:t>0.7513+10,000</m:t>
          </m:r>
          <m:r>
            <w:rPr>
              <w:rStyle w:val="katex-mathml"/>
              <w:rFonts w:ascii="Cambria Math" w:hAnsi="Cambria Math" w:cs="Cambria Math"/>
              <w:sz w:val="24"/>
              <w:szCs w:val="24"/>
            </w:rPr>
            <m:t>*</m:t>
          </m:r>
          <m:r>
            <w:rPr>
              <w:rStyle w:val="katex-mathml"/>
              <w:rFonts w:ascii="Cambria Math" w:hAnsi="Cambria Math" w:cs="Arial"/>
              <w:sz w:val="24"/>
              <w:szCs w:val="24"/>
            </w:rPr>
            <m:t>0.6830+8,000</m:t>
          </m:r>
          <m:r>
            <w:rPr>
              <w:rStyle w:val="katex-mathml"/>
              <w:rFonts w:ascii="Cambria Math" w:hAnsi="Cambria Math" w:cs="Cambria Math"/>
              <w:sz w:val="24"/>
              <w:szCs w:val="24"/>
            </w:rPr>
            <m:t>*</m:t>
          </m:r>
          <m:r>
            <w:rPr>
              <w:rStyle w:val="katex-mathml"/>
              <w:rFonts w:ascii="Cambria Math" w:hAnsi="Cambria Math" w:cs="Arial"/>
              <w:sz w:val="24"/>
              <w:szCs w:val="24"/>
            </w:rPr>
            <m:t>0.6209 = 41,323.2</m:t>
          </m:r>
          <m:r>
            <w:rPr>
              <w:rFonts w:ascii="Cambria Math" w:hAnsi="Cambria Math" w:cs="Arial"/>
              <w:sz w:val="24"/>
              <w:szCs w:val="24"/>
            </w:rPr>
            <m:t xml:space="preserve"> </m:t>
          </m:r>
        </m:oMath>
      </m:oMathPara>
    </w:p>
    <w:p w14:paraId="42404CE2" w14:textId="77777777" w:rsidR="00242C26" w:rsidRPr="00902119" w:rsidRDefault="00242C26" w:rsidP="00DE2C7B">
      <w:pPr>
        <w:pStyle w:val="NormalWeb"/>
        <w:spacing w:line="276" w:lineRule="auto"/>
        <w:jc w:val="both"/>
        <w:rPr>
          <w:rFonts w:ascii="Arial" w:hAnsi="Arial" w:cs="Arial"/>
        </w:rPr>
      </w:pPr>
      <w:r w:rsidRPr="00902119">
        <w:rPr>
          <w:rFonts w:ascii="Arial" w:hAnsi="Arial" w:cs="Arial"/>
        </w:rPr>
        <w:t>NPV = 41,323.2 – 40,000 = £1,323.2m</w:t>
      </w:r>
    </w:p>
    <w:p w14:paraId="37D2518B" w14:textId="77777777" w:rsidR="00242C26" w:rsidRPr="00902119" w:rsidRDefault="00242C26" w:rsidP="00DD727A">
      <w:pPr>
        <w:pStyle w:val="NormalWeb"/>
        <w:numPr>
          <w:ilvl w:val="0"/>
          <w:numId w:val="13"/>
        </w:numPr>
        <w:spacing w:line="276" w:lineRule="auto"/>
        <w:jc w:val="both"/>
        <w:rPr>
          <w:rFonts w:ascii="Arial" w:hAnsi="Arial" w:cs="Arial"/>
        </w:rPr>
      </w:pPr>
      <w:r w:rsidRPr="00902119">
        <w:rPr>
          <w:rStyle w:val="Strong"/>
          <w:rFonts w:ascii="Arial" w:hAnsi="Arial" w:cs="Arial"/>
          <w:b w:val="0"/>
          <w:bCs w:val="0"/>
        </w:rPr>
        <w:t>Project B:</w:t>
      </w:r>
      <w:r w:rsidRPr="00902119">
        <w:rPr>
          <w:rFonts w:ascii="Arial" w:hAnsi="Arial" w:cs="Arial"/>
        </w:rPr>
        <w:t xml:space="preserve"> NPV = 22,744.2 – 30,000 = -£7,255.8m</w:t>
      </w:r>
    </w:p>
    <w:p w14:paraId="1A8F1A5D" w14:textId="77777777" w:rsidR="00242C26" w:rsidRPr="00902119" w:rsidRDefault="00242C26" w:rsidP="00DD727A">
      <w:pPr>
        <w:pStyle w:val="NormalWeb"/>
        <w:numPr>
          <w:ilvl w:val="0"/>
          <w:numId w:val="13"/>
        </w:numPr>
        <w:spacing w:line="276" w:lineRule="auto"/>
        <w:jc w:val="both"/>
        <w:rPr>
          <w:rFonts w:ascii="Arial" w:hAnsi="Arial" w:cs="Arial"/>
        </w:rPr>
      </w:pPr>
      <w:r w:rsidRPr="00902119">
        <w:rPr>
          <w:rStyle w:val="Strong"/>
          <w:rFonts w:ascii="Arial" w:hAnsi="Arial" w:cs="Arial"/>
          <w:b w:val="0"/>
          <w:bCs w:val="0"/>
        </w:rPr>
        <w:t>Project C:</w:t>
      </w:r>
      <w:r w:rsidRPr="00902119">
        <w:rPr>
          <w:rFonts w:ascii="Arial" w:hAnsi="Arial" w:cs="Arial"/>
        </w:rPr>
        <w:t xml:space="preserve"> NPV = 54,224 – 50,000 = £4,224m</w:t>
      </w:r>
    </w:p>
    <w:p w14:paraId="7EF32597" w14:textId="1572F3C3" w:rsidR="00242C26" w:rsidRPr="00902119" w:rsidRDefault="008B63C7" w:rsidP="00DE2C7B">
      <w:pPr>
        <w:pStyle w:val="NormalWeb"/>
        <w:spacing w:line="276" w:lineRule="auto"/>
        <w:jc w:val="both"/>
        <w:rPr>
          <w:rFonts w:ascii="Arial" w:hAnsi="Arial" w:cs="Arial"/>
        </w:rPr>
      </w:pPr>
      <w:r>
        <w:rPr>
          <w:rStyle w:val="Strong"/>
          <w:rFonts w:ascii="Arial" w:hAnsi="Arial" w:cs="Arial"/>
          <w:b w:val="0"/>
          <w:bCs w:val="0"/>
        </w:rPr>
        <w:t xml:space="preserve">Table 5.4: </w:t>
      </w:r>
      <w:r w:rsidR="00242C26" w:rsidRPr="00902119">
        <w:rPr>
          <w:rStyle w:val="Strong"/>
          <w:rFonts w:ascii="Arial" w:hAnsi="Arial" w:cs="Arial"/>
          <w:b w:val="0"/>
          <w:bCs w:val="0"/>
        </w:rPr>
        <w:t>NPV Summary Table</w:t>
      </w:r>
    </w:p>
    <w:tbl>
      <w:tblPr>
        <w:tblStyle w:val="TableGrid"/>
        <w:tblW w:w="0" w:type="auto"/>
        <w:jc w:val="center"/>
        <w:tblLook w:val="04A0" w:firstRow="1" w:lastRow="0" w:firstColumn="1" w:lastColumn="0" w:noHBand="0" w:noVBand="1"/>
      </w:tblPr>
      <w:tblGrid>
        <w:gridCol w:w="963"/>
        <w:gridCol w:w="1950"/>
        <w:gridCol w:w="1910"/>
        <w:gridCol w:w="1270"/>
        <w:gridCol w:w="777"/>
      </w:tblGrid>
      <w:tr w:rsidR="00242C26" w:rsidRPr="00902119" w14:paraId="52512D76" w14:textId="77777777" w:rsidTr="008B63C7">
        <w:trPr>
          <w:jc w:val="center"/>
        </w:trPr>
        <w:tc>
          <w:tcPr>
            <w:tcW w:w="0" w:type="auto"/>
            <w:hideMark/>
          </w:tcPr>
          <w:p w14:paraId="50F620D1"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Project</w:t>
            </w:r>
          </w:p>
        </w:tc>
        <w:tc>
          <w:tcPr>
            <w:tcW w:w="0" w:type="auto"/>
            <w:hideMark/>
          </w:tcPr>
          <w:p w14:paraId="0D55E1A6"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Investment (£m)</w:t>
            </w:r>
          </w:p>
        </w:tc>
        <w:tc>
          <w:tcPr>
            <w:tcW w:w="0" w:type="auto"/>
            <w:hideMark/>
          </w:tcPr>
          <w:p w14:paraId="32BE4A1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PV Inflows (£m)</w:t>
            </w:r>
          </w:p>
        </w:tc>
        <w:tc>
          <w:tcPr>
            <w:tcW w:w="0" w:type="auto"/>
            <w:hideMark/>
          </w:tcPr>
          <w:p w14:paraId="492E05D6"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NPV (£m)</w:t>
            </w:r>
          </w:p>
        </w:tc>
        <w:tc>
          <w:tcPr>
            <w:tcW w:w="0" w:type="auto"/>
            <w:hideMark/>
          </w:tcPr>
          <w:p w14:paraId="05A2D1A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Rank</w:t>
            </w:r>
          </w:p>
        </w:tc>
      </w:tr>
      <w:tr w:rsidR="00242C26" w:rsidRPr="00902119" w14:paraId="14307006" w14:textId="77777777" w:rsidTr="008B63C7">
        <w:trPr>
          <w:jc w:val="center"/>
        </w:trPr>
        <w:tc>
          <w:tcPr>
            <w:tcW w:w="0" w:type="auto"/>
            <w:hideMark/>
          </w:tcPr>
          <w:p w14:paraId="0F49DA2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C</w:t>
            </w:r>
          </w:p>
        </w:tc>
        <w:tc>
          <w:tcPr>
            <w:tcW w:w="0" w:type="auto"/>
            <w:hideMark/>
          </w:tcPr>
          <w:p w14:paraId="1F425B7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50,000</w:t>
            </w:r>
          </w:p>
        </w:tc>
        <w:tc>
          <w:tcPr>
            <w:tcW w:w="0" w:type="auto"/>
            <w:hideMark/>
          </w:tcPr>
          <w:p w14:paraId="4FBC9E08"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54,224</w:t>
            </w:r>
          </w:p>
        </w:tc>
        <w:tc>
          <w:tcPr>
            <w:tcW w:w="0" w:type="auto"/>
            <w:hideMark/>
          </w:tcPr>
          <w:p w14:paraId="120767A9"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4,224</w:t>
            </w:r>
          </w:p>
        </w:tc>
        <w:tc>
          <w:tcPr>
            <w:tcW w:w="0" w:type="auto"/>
            <w:hideMark/>
          </w:tcPr>
          <w:p w14:paraId="41206E33"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1st</w:t>
            </w:r>
          </w:p>
        </w:tc>
      </w:tr>
      <w:tr w:rsidR="00242C26" w:rsidRPr="00902119" w14:paraId="7D3D3C77" w14:textId="77777777" w:rsidTr="008B63C7">
        <w:trPr>
          <w:jc w:val="center"/>
        </w:trPr>
        <w:tc>
          <w:tcPr>
            <w:tcW w:w="0" w:type="auto"/>
            <w:hideMark/>
          </w:tcPr>
          <w:p w14:paraId="21465353"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A</w:t>
            </w:r>
          </w:p>
        </w:tc>
        <w:tc>
          <w:tcPr>
            <w:tcW w:w="0" w:type="auto"/>
            <w:hideMark/>
          </w:tcPr>
          <w:p w14:paraId="21F75306"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40,000</w:t>
            </w:r>
          </w:p>
        </w:tc>
        <w:tc>
          <w:tcPr>
            <w:tcW w:w="0" w:type="auto"/>
            <w:hideMark/>
          </w:tcPr>
          <w:p w14:paraId="2838C5A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41,323.2</w:t>
            </w:r>
          </w:p>
        </w:tc>
        <w:tc>
          <w:tcPr>
            <w:tcW w:w="0" w:type="auto"/>
            <w:hideMark/>
          </w:tcPr>
          <w:p w14:paraId="2504560A"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1,323.2</w:t>
            </w:r>
          </w:p>
        </w:tc>
        <w:tc>
          <w:tcPr>
            <w:tcW w:w="0" w:type="auto"/>
            <w:hideMark/>
          </w:tcPr>
          <w:p w14:paraId="32658F75"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2nd</w:t>
            </w:r>
          </w:p>
        </w:tc>
      </w:tr>
      <w:tr w:rsidR="00242C26" w:rsidRPr="00902119" w14:paraId="2138594D" w14:textId="77777777" w:rsidTr="008B63C7">
        <w:trPr>
          <w:jc w:val="center"/>
        </w:trPr>
        <w:tc>
          <w:tcPr>
            <w:tcW w:w="0" w:type="auto"/>
            <w:hideMark/>
          </w:tcPr>
          <w:p w14:paraId="31458D94"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B</w:t>
            </w:r>
          </w:p>
        </w:tc>
        <w:tc>
          <w:tcPr>
            <w:tcW w:w="0" w:type="auto"/>
            <w:hideMark/>
          </w:tcPr>
          <w:p w14:paraId="5455336B"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30,000</w:t>
            </w:r>
          </w:p>
        </w:tc>
        <w:tc>
          <w:tcPr>
            <w:tcW w:w="0" w:type="auto"/>
            <w:hideMark/>
          </w:tcPr>
          <w:p w14:paraId="63A262BD"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22,744.2</w:t>
            </w:r>
          </w:p>
        </w:tc>
        <w:tc>
          <w:tcPr>
            <w:tcW w:w="0" w:type="auto"/>
            <w:hideMark/>
          </w:tcPr>
          <w:p w14:paraId="67B2E8D0"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-7,255.8</w:t>
            </w:r>
          </w:p>
        </w:tc>
        <w:tc>
          <w:tcPr>
            <w:tcW w:w="0" w:type="auto"/>
            <w:hideMark/>
          </w:tcPr>
          <w:p w14:paraId="559A72F1" w14:textId="77777777" w:rsidR="00242C26" w:rsidRPr="00902119" w:rsidRDefault="00242C26" w:rsidP="00DE2C7B">
            <w:pPr>
              <w:spacing w:line="276" w:lineRule="auto"/>
              <w:jc w:val="both"/>
              <w:rPr>
                <w:rFonts w:ascii="Arial" w:hAnsi="Arial" w:cs="Arial"/>
                <w:sz w:val="24"/>
                <w:szCs w:val="24"/>
              </w:rPr>
            </w:pPr>
            <w:r w:rsidRPr="00902119">
              <w:rPr>
                <w:rFonts w:ascii="Arial" w:hAnsi="Arial" w:cs="Arial"/>
                <w:sz w:val="24"/>
                <w:szCs w:val="24"/>
              </w:rPr>
              <w:t>3rd</w:t>
            </w:r>
          </w:p>
        </w:tc>
      </w:tr>
    </w:tbl>
    <w:p w14:paraId="22E72C33" w14:textId="1CAD1C0D" w:rsidR="00242C26" w:rsidRPr="00902119" w:rsidRDefault="00242C26" w:rsidP="00902119">
      <w:pPr>
        <w:pStyle w:val="NormalWeb"/>
        <w:spacing w:line="276" w:lineRule="auto"/>
        <w:jc w:val="both"/>
        <w:rPr>
          <w:rFonts w:ascii="Arial" w:hAnsi="Arial" w:cs="Arial"/>
        </w:rPr>
      </w:pPr>
      <w:r w:rsidRPr="00902119">
        <w:rPr>
          <w:rFonts w:ascii="Arial" w:hAnsi="Arial" w:cs="Arial"/>
        </w:rPr>
        <w:t>NPV captures the absolute value created in monetary terms, accounting for time-value-of-money, and forms the primary criterion for capital budgeting under modern finance theory (Götze et al., 2015).</w:t>
      </w:r>
    </w:p>
    <w:p w14:paraId="19976CA8" w14:textId="77777777" w:rsidR="00242C26" w:rsidRPr="0030453B" w:rsidRDefault="00242C26" w:rsidP="00902119">
      <w:pPr>
        <w:pStyle w:val="Heading3"/>
      </w:pPr>
      <w:bookmarkStart w:id="23" w:name="_Toc217322949"/>
      <w:r w:rsidRPr="0030453B">
        <w:t xml:space="preserve">5.5 </w:t>
      </w:r>
      <w:r w:rsidRPr="00902119">
        <w:t>Profitability</w:t>
      </w:r>
      <w:r w:rsidRPr="0030453B">
        <w:t xml:space="preserve"> Index (PI) Analysis</w:t>
      </w:r>
      <w:bookmarkEnd w:id="23"/>
    </w:p>
    <w:p w14:paraId="6130317C" w14:textId="522DF4BD" w:rsidR="00242C26" w:rsidRPr="00BE6D07" w:rsidRDefault="00242C26" w:rsidP="00DE2C7B">
      <w:pPr>
        <w:spacing w:line="276" w:lineRule="auto"/>
        <w:jc w:val="both"/>
        <w:rPr>
          <w:rStyle w:val="katex-mathml"/>
          <w:rFonts w:ascii="Arial" w:eastAsiaTheme="minorEastAsia" w:hAnsi="Arial" w:cs="Arial"/>
          <w:sz w:val="24"/>
          <w:szCs w:val="24"/>
        </w:rPr>
      </w:pPr>
      <m:oMathPara>
        <m:oMath>
          <m:r>
            <w:rPr>
              <w:rStyle w:val="katex-mathml"/>
              <w:rFonts w:ascii="Cambria Math" w:hAnsi="Cambria Math" w:cs="Arial"/>
              <w:sz w:val="24"/>
              <w:szCs w:val="24"/>
            </w:rPr>
            <m:t>PI=1+</m:t>
          </m:r>
          <m:f>
            <m:fPr>
              <m:ctrlPr>
                <w:rPr>
                  <w:rStyle w:val="katex-mathml"/>
                  <w:rFonts w:ascii="Cambria Math" w:hAnsi="Cambria Math" w:cs="Arial"/>
                  <w:i/>
                  <w:sz w:val="24"/>
                  <w:szCs w:val="24"/>
                </w:rPr>
              </m:ctrlPr>
            </m:fPr>
            <m:num>
              <m:r>
                <w:rPr>
                  <w:rStyle w:val="katex-mathml"/>
                  <w:rFonts w:ascii="Cambria Math" w:hAnsi="Cambria Math" w:cs="Arial"/>
                  <w:sz w:val="24"/>
                  <w:szCs w:val="24"/>
                </w:rPr>
                <m:t>NPV</m:t>
              </m:r>
            </m:num>
            <m:den>
              <m:r>
                <w:rPr>
                  <w:rStyle w:val="katex-mathml"/>
                  <w:rFonts w:ascii="Cambria Math" w:hAnsi="Cambria Math" w:cs="Arial"/>
                  <w:sz w:val="24"/>
                  <w:szCs w:val="24"/>
                </w:rPr>
                <m:t>Initial Investment</m:t>
              </m:r>
              <m:r>
                <w:rPr>
                  <w:rStyle w:val="vlist-s"/>
                  <w:rFonts w:ascii="Cambria Math" w:hAnsi="Cambria Math" w:cs="Arial"/>
                  <w:sz w:val="24"/>
                  <w:szCs w:val="24"/>
                </w:rPr>
                <m:t>​</m:t>
              </m:r>
              <m:r>
                <w:rPr>
                  <w:rFonts w:ascii="Cambria Math" w:hAnsi="Cambria Math" w:cs="Arial"/>
                  <w:sz w:val="24"/>
                  <w:szCs w:val="24"/>
                </w:rPr>
                <m:t xml:space="preserve"> </m:t>
              </m:r>
            </m:den>
          </m:f>
        </m:oMath>
      </m:oMathPara>
    </w:p>
    <w:p w14:paraId="4812D84B" w14:textId="13B2F92A" w:rsidR="00BE6D07" w:rsidRPr="00BE6D07" w:rsidRDefault="00BE6D07" w:rsidP="00BE6D07">
      <w:pPr>
        <w:spacing w:line="276" w:lineRule="auto"/>
        <w:jc w:val="both"/>
        <w:rPr>
          <w:rFonts w:ascii="Arial" w:hAnsi="Arial" w:cs="Arial"/>
          <w:sz w:val="24"/>
          <w:szCs w:val="24"/>
        </w:rPr>
      </w:pPr>
      <w:r w:rsidRPr="00BE6D07">
        <w:rPr>
          <w:rFonts w:ascii="Arial" w:hAnsi="Arial" w:cs="Arial"/>
          <w:sz w:val="24"/>
          <w:szCs w:val="24"/>
        </w:rPr>
        <w:t>Table 5.5: Profitability Index and Net Present Value Comparison</w:t>
      </w:r>
    </w:p>
    <w:tbl>
      <w:tblPr>
        <w:tblStyle w:val="TableGrid"/>
        <w:tblW w:w="0" w:type="auto"/>
        <w:jc w:val="center"/>
        <w:tblLook w:val="04A0" w:firstRow="1" w:lastRow="0" w:firstColumn="1" w:lastColumn="0" w:noHBand="0" w:noVBand="1"/>
      </w:tblPr>
      <w:tblGrid>
        <w:gridCol w:w="963"/>
        <w:gridCol w:w="1950"/>
        <w:gridCol w:w="2684"/>
        <w:gridCol w:w="1270"/>
        <w:gridCol w:w="951"/>
      </w:tblGrid>
      <w:tr w:rsidR="00BE6D07" w:rsidRPr="008B63C7" w14:paraId="57D3C48A" w14:textId="77777777" w:rsidTr="008B63C7">
        <w:trPr>
          <w:jc w:val="center"/>
        </w:trPr>
        <w:tc>
          <w:tcPr>
            <w:tcW w:w="0" w:type="auto"/>
            <w:hideMark/>
          </w:tcPr>
          <w:p w14:paraId="10E754B1"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Project</w:t>
            </w:r>
          </w:p>
        </w:tc>
        <w:tc>
          <w:tcPr>
            <w:tcW w:w="0" w:type="auto"/>
            <w:hideMark/>
          </w:tcPr>
          <w:p w14:paraId="15A8BA55"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Investment (£m)</w:t>
            </w:r>
          </w:p>
        </w:tc>
        <w:tc>
          <w:tcPr>
            <w:tcW w:w="0" w:type="auto"/>
            <w:hideMark/>
          </w:tcPr>
          <w:p w14:paraId="050112EB"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PV of Cash Flows (£m)</w:t>
            </w:r>
          </w:p>
        </w:tc>
        <w:tc>
          <w:tcPr>
            <w:tcW w:w="0" w:type="auto"/>
            <w:hideMark/>
          </w:tcPr>
          <w:p w14:paraId="153F7227"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NPV (£m)</w:t>
            </w:r>
          </w:p>
        </w:tc>
        <w:tc>
          <w:tcPr>
            <w:tcW w:w="0" w:type="auto"/>
            <w:hideMark/>
          </w:tcPr>
          <w:p w14:paraId="3E0AFF29"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PI</w:t>
            </w:r>
          </w:p>
        </w:tc>
      </w:tr>
      <w:tr w:rsidR="00BE6D07" w:rsidRPr="008B63C7" w14:paraId="5CC1AD8F" w14:textId="77777777" w:rsidTr="008B63C7">
        <w:trPr>
          <w:jc w:val="center"/>
        </w:trPr>
        <w:tc>
          <w:tcPr>
            <w:tcW w:w="0" w:type="auto"/>
            <w:hideMark/>
          </w:tcPr>
          <w:p w14:paraId="7227B992"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C</w:t>
            </w:r>
          </w:p>
        </w:tc>
        <w:tc>
          <w:tcPr>
            <w:tcW w:w="0" w:type="auto"/>
            <w:hideMark/>
          </w:tcPr>
          <w:p w14:paraId="79071544"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50,000</w:t>
            </w:r>
          </w:p>
        </w:tc>
        <w:tc>
          <w:tcPr>
            <w:tcW w:w="0" w:type="auto"/>
            <w:hideMark/>
          </w:tcPr>
          <w:p w14:paraId="1FC7BC07"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54,224</w:t>
            </w:r>
          </w:p>
        </w:tc>
        <w:tc>
          <w:tcPr>
            <w:tcW w:w="0" w:type="auto"/>
            <w:hideMark/>
          </w:tcPr>
          <w:p w14:paraId="4C8528CA"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4,224</w:t>
            </w:r>
          </w:p>
        </w:tc>
        <w:tc>
          <w:tcPr>
            <w:tcW w:w="0" w:type="auto"/>
            <w:hideMark/>
          </w:tcPr>
          <w:p w14:paraId="2B7ABBD4"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1.0845</w:t>
            </w:r>
          </w:p>
        </w:tc>
      </w:tr>
      <w:tr w:rsidR="00BE6D07" w:rsidRPr="008B63C7" w14:paraId="0FE7CA74" w14:textId="77777777" w:rsidTr="008B63C7">
        <w:trPr>
          <w:jc w:val="center"/>
        </w:trPr>
        <w:tc>
          <w:tcPr>
            <w:tcW w:w="0" w:type="auto"/>
            <w:hideMark/>
          </w:tcPr>
          <w:p w14:paraId="0D2C2F7A"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A</w:t>
            </w:r>
          </w:p>
        </w:tc>
        <w:tc>
          <w:tcPr>
            <w:tcW w:w="0" w:type="auto"/>
            <w:hideMark/>
          </w:tcPr>
          <w:p w14:paraId="73261DB4"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40,000</w:t>
            </w:r>
          </w:p>
        </w:tc>
        <w:tc>
          <w:tcPr>
            <w:tcW w:w="0" w:type="auto"/>
            <w:hideMark/>
          </w:tcPr>
          <w:p w14:paraId="184E800C"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41,323.2</w:t>
            </w:r>
          </w:p>
        </w:tc>
        <w:tc>
          <w:tcPr>
            <w:tcW w:w="0" w:type="auto"/>
            <w:hideMark/>
          </w:tcPr>
          <w:p w14:paraId="1693175E"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1,323.2</w:t>
            </w:r>
          </w:p>
        </w:tc>
        <w:tc>
          <w:tcPr>
            <w:tcW w:w="0" w:type="auto"/>
            <w:hideMark/>
          </w:tcPr>
          <w:p w14:paraId="23F41DCF"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1.0331</w:t>
            </w:r>
          </w:p>
        </w:tc>
      </w:tr>
      <w:tr w:rsidR="00BE6D07" w:rsidRPr="008B63C7" w14:paraId="1DD1878A" w14:textId="77777777" w:rsidTr="008B63C7">
        <w:trPr>
          <w:jc w:val="center"/>
        </w:trPr>
        <w:tc>
          <w:tcPr>
            <w:tcW w:w="0" w:type="auto"/>
            <w:hideMark/>
          </w:tcPr>
          <w:p w14:paraId="4A4E7046"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B</w:t>
            </w:r>
          </w:p>
        </w:tc>
        <w:tc>
          <w:tcPr>
            <w:tcW w:w="0" w:type="auto"/>
            <w:hideMark/>
          </w:tcPr>
          <w:p w14:paraId="3E3606BF"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30,000</w:t>
            </w:r>
          </w:p>
        </w:tc>
        <w:tc>
          <w:tcPr>
            <w:tcW w:w="0" w:type="auto"/>
            <w:hideMark/>
          </w:tcPr>
          <w:p w14:paraId="39AD94A5"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22,744.2</w:t>
            </w:r>
          </w:p>
        </w:tc>
        <w:tc>
          <w:tcPr>
            <w:tcW w:w="0" w:type="auto"/>
            <w:hideMark/>
          </w:tcPr>
          <w:p w14:paraId="532C4DD0"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-7,255.8</w:t>
            </w:r>
          </w:p>
        </w:tc>
        <w:tc>
          <w:tcPr>
            <w:tcW w:w="0" w:type="auto"/>
            <w:hideMark/>
          </w:tcPr>
          <w:p w14:paraId="65B21687" w14:textId="77777777" w:rsidR="00BE6D07" w:rsidRPr="008B63C7" w:rsidRDefault="00BE6D07" w:rsidP="00DE2C7B">
            <w:pPr>
              <w:spacing w:line="276" w:lineRule="auto"/>
              <w:jc w:val="both"/>
              <w:rPr>
                <w:rFonts w:ascii="Arial" w:hAnsi="Arial" w:cs="Arial"/>
                <w:sz w:val="24"/>
                <w:szCs w:val="24"/>
              </w:rPr>
            </w:pPr>
            <w:r w:rsidRPr="008B63C7">
              <w:rPr>
                <w:rFonts w:ascii="Arial" w:hAnsi="Arial" w:cs="Arial"/>
                <w:sz w:val="24"/>
                <w:szCs w:val="24"/>
              </w:rPr>
              <w:t>0.7581</w:t>
            </w:r>
          </w:p>
        </w:tc>
      </w:tr>
    </w:tbl>
    <w:p w14:paraId="42B2367A" w14:textId="00164BD6" w:rsidR="00242C26" w:rsidRPr="0030453B" w:rsidRDefault="00242C26" w:rsidP="00902119">
      <w:pPr>
        <w:pStyle w:val="NormalWeb"/>
        <w:spacing w:line="276" w:lineRule="auto"/>
        <w:jc w:val="both"/>
        <w:rPr>
          <w:rFonts w:ascii="Arial" w:hAnsi="Arial" w:cs="Arial"/>
        </w:rPr>
      </w:pPr>
      <w:r w:rsidRPr="0030453B">
        <w:rPr>
          <w:rFonts w:ascii="Arial" w:hAnsi="Arial" w:cs="Arial"/>
        </w:rPr>
        <w:t>PI complements NPV by reflecting capital efficiency, especially critical under capital rationing. Projects exceeding PI &gt; 1.0 create value per unit of investment.</w:t>
      </w:r>
    </w:p>
    <w:p w14:paraId="49E0B020" w14:textId="77777777" w:rsidR="00242C26" w:rsidRPr="0030453B" w:rsidRDefault="00242C26" w:rsidP="00902119">
      <w:pPr>
        <w:pStyle w:val="Heading3"/>
      </w:pPr>
      <w:bookmarkStart w:id="24" w:name="_Toc217322950"/>
      <w:r w:rsidRPr="0030453B">
        <w:t>5.6 Internal Rate of Return (IRR) Analysis</w:t>
      </w:r>
      <w:bookmarkEnd w:id="24"/>
    </w:p>
    <w:p w14:paraId="4BD1923E" w14:textId="0A2A675F" w:rsidR="00242C26" w:rsidRDefault="00242C26" w:rsidP="00DE2C7B">
      <w:pPr>
        <w:pStyle w:val="NormalWeb"/>
        <w:spacing w:line="276" w:lineRule="auto"/>
        <w:jc w:val="both"/>
        <w:rPr>
          <w:rFonts w:ascii="Arial" w:hAnsi="Arial" w:cs="Arial"/>
        </w:rPr>
      </w:pPr>
      <w:r w:rsidRPr="00BE6D07">
        <w:rPr>
          <w:rStyle w:val="Strong"/>
          <w:rFonts w:ascii="Arial" w:hAnsi="Arial" w:cs="Arial"/>
          <w:b w:val="0"/>
          <w:bCs w:val="0"/>
        </w:rPr>
        <w:t>IRR Definition:</w:t>
      </w:r>
      <w:r w:rsidRPr="00BE6D07">
        <w:rPr>
          <w:rFonts w:ascii="Arial" w:hAnsi="Arial" w:cs="Arial"/>
        </w:rPr>
        <w:t xml:space="preserve"> discount rate where NPV = 0.</w:t>
      </w:r>
    </w:p>
    <w:p w14:paraId="17CC5DFD" w14:textId="7044E8C3" w:rsidR="00A07A85" w:rsidRPr="00A07A85" w:rsidRDefault="00A07A85" w:rsidP="00DE2C7B">
      <w:pPr>
        <w:pStyle w:val="NormalWeb"/>
        <w:spacing w:line="276" w:lineRule="auto"/>
        <w:jc w:val="both"/>
        <w:rPr>
          <w:rFonts w:ascii="Arial" w:hAnsi="Arial" w:cs="Arial"/>
        </w:rPr>
      </w:pPr>
      <w:r w:rsidRPr="00A07A85">
        <w:rPr>
          <w:rFonts w:ascii="Arial" w:hAnsi="Arial" w:cs="Arial"/>
        </w:rPr>
        <w:lastRenderedPageBreak/>
        <w:t>Table 5.</w:t>
      </w:r>
      <w:r>
        <w:rPr>
          <w:rFonts w:ascii="Arial" w:hAnsi="Arial" w:cs="Arial"/>
        </w:rPr>
        <w:t>6</w:t>
      </w:r>
      <w:r w:rsidRPr="00A07A85">
        <w:rPr>
          <w:rFonts w:ascii="Arial" w:hAnsi="Arial" w:cs="Arial"/>
        </w:rPr>
        <w:t>: Internal Rate of Return Analysis and Project Decision</w:t>
      </w:r>
    </w:p>
    <w:tbl>
      <w:tblPr>
        <w:tblStyle w:val="TableGrid"/>
        <w:tblW w:w="0" w:type="auto"/>
        <w:jc w:val="center"/>
        <w:tblLook w:val="04A0" w:firstRow="1" w:lastRow="0" w:firstColumn="1" w:lastColumn="0" w:noHBand="0" w:noVBand="1"/>
      </w:tblPr>
      <w:tblGrid>
        <w:gridCol w:w="963"/>
        <w:gridCol w:w="2322"/>
        <w:gridCol w:w="1016"/>
        <w:gridCol w:w="1958"/>
        <w:gridCol w:w="1954"/>
        <w:gridCol w:w="1137"/>
      </w:tblGrid>
      <w:tr w:rsidR="00242C26" w:rsidRPr="008B63C7" w14:paraId="6E1F1D79" w14:textId="77777777" w:rsidTr="008B63C7">
        <w:trPr>
          <w:jc w:val="center"/>
        </w:trPr>
        <w:tc>
          <w:tcPr>
            <w:tcW w:w="0" w:type="auto"/>
            <w:hideMark/>
          </w:tcPr>
          <w:p w14:paraId="41E42D77"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Project</w:t>
            </w:r>
          </w:p>
        </w:tc>
        <w:tc>
          <w:tcPr>
            <w:tcW w:w="0" w:type="auto"/>
            <w:hideMark/>
          </w:tcPr>
          <w:p w14:paraId="69B0F902"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Initial Investment (£m)</w:t>
            </w:r>
          </w:p>
        </w:tc>
        <w:tc>
          <w:tcPr>
            <w:tcW w:w="0" w:type="auto"/>
            <w:hideMark/>
          </w:tcPr>
          <w:p w14:paraId="454DA635"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IRR (%)</w:t>
            </w:r>
          </w:p>
        </w:tc>
        <w:tc>
          <w:tcPr>
            <w:tcW w:w="0" w:type="auto"/>
            <w:hideMark/>
          </w:tcPr>
          <w:p w14:paraId="4EEE08FC"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Cost of Capital (%)</w:t>
            </w:r>
          </w:p>
        </w:tc>
        <w:tc>
          <w:tcPr>
            <w:tcW w:w="0" w:type="auto"/>
            <w:hideMark/>
          </w:tcPr>
          <w:p w14:paraId="1CDB7B33"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Excess Return (%)</w:t>
            </w:r>
          </w:p>
        </w:tc>
        <w:tc>
          <w:tcPr>
            <w:tcW w:w="0" w:type="auto"/>
            <w:hideMark/>
          </w:tcPr>
          <w:p w14:paraId="2B120A3A"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Decision</w:t>
            </w:r>
          </w:p>
        </w:tc>
      </w:tr>
      <w:tr w:rsidR="00242C26" w:rsidRPr="008B63C7" w14:paraId="603D9D5C" w14:textId="77777777" w:rsidTr="008B63C7">
        <w:trPr>
          <w:jc w:val="center"/>
        </w:trPr>
        <w:tc>
          <w:tcPr>
            <w:tcW w:w="0" w:type="auto"/>
            <w:hideMark/>
          </w:tcPr>
          <w:p w14:paraId="3ABA92F5"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C</w:t>
            </w:r>
          </w:p>
        </w:tc>
        <w:tc>
          <w:tcPr>
            <w:tcW w:w="0" w:type="auto"/>
            <w:hideMark/>
          </w:tcPr>
          <w:p w14:paraId="22A49F57"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50,000</w:t>
            </w:r>
          </w:p>
        </w:tc>
        <w:tc>
          <w:tcPr>
            <w:tcW w:w="0" w:type="auto"/>
            <w:hideMark/>
          </w:tcPr>
          <w:p w14:paraId="20819A62"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12.78</w:t>
            </w:r>
          </w:p>
        </w:tc>
        <w:tc>
          <w:tcPr>
            <w:tcW w:w="0" w:type="auto"/>
            <w:hideMark/>
          </w:tcPr>
          <w:p w14:paraId="270C69E9"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10.0</w:t>
            </w:r>
          </w:p>
        </w:tc>
        <w:tc>
          <w:tcPr>
            <w:tcW w:w="0" w:type="auto"/>
            <w:hideMark/>
          </w:tcPr>
          <w:p w14:paraId="2247CDFD"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2.78</w:t>
            </w:r>
          </w:p>
        </w:tc>
        <w:tc>
          <w:tcPr>
            <w:tcW w:w="0" w:type="auto"/>
            <w:hideMark/>
          </w:tcPr>
          <w:p w14:paraId="37B61B2F"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Accept</w:t>
            </w:r>
          </w:p>
        </w:tc>
      </w:tr>
      <w:tr w:rsidR="00242C26" w:rsidRPr="008B63C7" w14:paraId="7716D3BE" w14:textId="77777777" w:rsidTr="008B63C7">
        <w:trPr>
          <w:jc w:val="center"/>
        </w:trPr>
        <w:tc>
          <w:tcPr>
            <w:tcW w:w="0" w:type="auto"/>
            <w:hideMark/>
          </w:tcPr>
          <w:p w14:paraId="36CAB09C"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A</w:t>
            </w:r>
          </w:p>
        </w:tc>
        <w:tc>
          <w:tcPr>
            <w:tcW w:w="0" w:type="auto"/>
            <w:hideMark/>
          </w:tcPr>
          <w:p w14:paraId="18E61083"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40,000</w:t>
            </w:r>
          </w:p>
        </w:tc>
        <w:tc>
          <w:tcPr>
            <w:tcW w:w="0" w:type="auto"/>
            <w:hideMark/>
          </w:tcPr>
          <w:p w14:paraId="4D144223"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11.34</w:t>
            </w:r>
          </w:p>
        </w:tc>
        <w:tc>
          <w:tcPr>
            <w:tcW w:w="0" w:type="auto"/>
            <w:hideMark/>
          </w:tcPr>
          <w:p w14:paraId="1D3A1CAC"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10.0</w:t>
            </w:r>
          </w:p>
        </w:tc>
        <w:tc>
          <w:tcPr>
            <w:tcW w:w="0" w:type="auto"/>
            <w:hideMark/>
          </w:tcPr>
          <w:p w14:paraId="596AB1CC"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1.34</w:t>
            </w:r>
          </w:p>
        </w:tc>
        <w:tc>
          <w:tcPr>
            <w:tcW w:w="0" w:type="auto"/>
            <w:hideMark/>
          </w:tcPr>
          <w:p w14:paraId="6D33CB9A"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Accept</w:t>
            </w:r>
          </w:p>
        </w:tc>
      </w:tr>
      <w:tr w:rsidR="00242C26" w:rsidRPr="008B63C7" w14:paraId="6EF0A3F7" w14:textId="77777777" w:rsidTr="008B63C7">
        <w:trPr>
          <w:jc w:val="center"/>
        </w:trPr>
        <w:tc>
          <w:tcPr>
            <w:tcW w:w="0" w:type="auto"/>
            <w:hideMark/>
          </w:tcPr>
          <w:p w14:paraId="41C62984"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B</w:t>
            </w:r>
          </w:p>
        </w:tc>
        <w:tc>
          <w:tcPr>
            <w:tcW w:w="0" w:type="auto"/>
            <w:hideMark/>
          </w:tcPr>
          <w:p w14:paraId="6A3392C7"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30,000</w:t>
            </w:r>
          </w:p>
        </w:tc>
        <w:tc>
          <w:tcPr>
            <w:tcW w:w="0" w:type="auto"/>
            <w:hideMark/>
          </w:tcPr>
          <w:p w14:paraId="5792D6BA"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0.0</w:t>
            </w:r>
          </w:p>
        </w:tc>
        <w:tc>
          <w:tcPr>
            <w:tcW w:w="0" w:type="auto"/>
            <w:hideMark/>
          </w:tcPr>
          <w:p w14:paraId="37446FC4"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10.0</w:t>
            </w:r>
          </w:p>
        </w:tc>
        <w:tc>
          <w:tcPr>
            <w:tcW w:w="0" w:type="auto"/>
            <w:hideMark/>
          </w:tcPr>
          <w:p w14:paraId="57809602"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-10.0</w:t>
            </w:r>
          </w:p>
        </w:tc>
        <w:tc>
          <w:tcPr>
            <w:tcW w:w="0" w:type="auto"/>
            <w:hideMark/>
          </w:tcPr>
          <w:p w14:paraId="7B07A277" w14:textId="77777777" w:rsidR="00242C26" w:rsidRPr="008B63C7" w:rsidRDefault="00242C26" w:rsidP="00DE2C7B">
            <w:pPr>
              <w:spacing w:line="276" w:lineRule="auto"/>
              <w:jc w:val="both"/>
              <w:rPr>
                <w:rFonts w:ascii="Arial" w:hAnsi="Arial" w:cs="Arial"/>
                <w:sz w:val="24"/>
                <w:szCs w:val="24"/>
              </w:rPr>
            </w:pPr>
            <w:r w:rsidRPr="008B63C7">
              <w:rPr>
                <w:rFonts w:ascii="Arial" w:hAnsi="Arial" w:cs="Arial"/>
                <w:sz w:val="24"/>
                <w:szCs w:val="24"/>
              </w:rPr>
              <w:t>Reject</w:t>
            </w:r>
          </w:p>
        </w:tc>
      </w:tr>
    </w:tbl>
    <w:p w14:paraId="20CF3AEF" w14:textId="77777777" w:rsidR="00242C26" w:rsidRPr="0030453B" w:rsidRDefault="00242C26" w:rsidP="00DE2C7B">
      <w:pPr>
        <w:pStyle w:val="NormalWeb"/>
        <w:spacing w:line="276" w:lineRule="auto"/>
        <w:jc w:val="both"/>
        <w:rPr>
          <w:rFonts w:ascii="Arial" w:hAnsi="Arial" w:cs="Arial"/>
        </w:rPr>
      </w:pPr>
      <w:r w:rsidRPr="0030453B">
        <w:rPr>
          <w:rFonts w:ascii="Arial" w:hAnsi="Arial" w:cs="Arial"/>
        </w:rPr>
        <w:t>IRR provides an intuitive return metric, accounting for time-value-of-money. Limitations include implicit reinvestment assumptions and potential conflict with NPV in mutually exclusive projects (Harris &amp; El-</w:t>
      </w:r>
      <w:proofErr w:type="spellStart"/>
      <w:r w:rsidRPr="0030453B">
        <w:rPr>
          <w:rFonts w:ascii="Arial" w:hAnsi="Arial" w:cs="Arial"/>
        </w:rPr>
        <w:t>Massri</w:t>
      </w:r>
      <w:proofErr w:type="spellEnd"/>
      <w:r w:rsidRPr="0030453B">
        <w:rPr>
          <w:rFonts w:ascii="Arial" w:hAnsi="Arial" w:cs="Arial"/>
        </w:rPr>
        <w:t>, 2011).</w:t>
      </w:r>
    </w:p>
    <w:p w14:paraId="36F0A604" w14:textId="26B7F5AF" w:rsidR="00C8013C" w:rsidRPr="0030453B" w:rsidRDefault="00C8013C" w:rsidP="00902119">
      <w:pPr>
        <w:pStyle w:val="Heading3"/>
      </w:pPr>
      <w:bookmarkStart w:id="25" w:name="_Toc217322951"/>
      <w:r w:rsidRPr="0030453B">
        <w:t>5.</w:t>
      </w:r>
      <w:r w:rsidR="00DE2C7B" w:rsidRPr="0030453B">
        <w:t>7</w:t>
      </w:r>
      <w:r w:rsidRPr="0030453B">
        <w:t xml:space="preserve"> Integrated Analysis and Capital Rationing Decision</w:t>
      </w:r>
      <w:bookmarkEnd w:id="25"/>
    </w:p>
    <w:p w14:paraId="2D83A618" w14:textId="77777777" w:rsidR="002A613E" w:rsidRPr="002A613E" w:rsidRDefault="002A613E" w:rsidP="00DE2C7B">
      <w:p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The capital budgeting evaluation for General Electronics, constrained by a £60 million investment ceiling, integrates multiple financial and strategic metrics to prioritize projects under severe liquidity and operational distress. The comprehensive Project Evaluation Matrix indicates that Project C consistently outperforms across value-based criteria: highest NPV (£4,224m), superior IRR (12.78%), strongest ARR (20%), and top PI (1.0845). While Project A exhibits a slightly faster payback (3.4 years versus 3.6 years for Project C), its lower overall value creation (£1,323m NPV) and moderate ARR (14%) limit its contribution relative to the strategic turnaround objectives. Project B is clearly suboptimal, generating negative NPV (-£7,256m), zero IRR, and zero ARR, making it unsuitable for investment even under full capital availability.</w:t>
      </w:r>
    </w:p>
    <w:p w14:paraId="2E87AF8D" w14:textId="77777777" w:rsidR="002A613E" w:rsidRPr="002A613E" w:rsidRDefault="002A613E" w:rsidP="00DE2C7B">
      <w:p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Project Selection Justification:</w:t>
      </w:r>
    </w:p>
    <w:p w14:paraId="26667CFB" w14:textId="77777777" w:rsidR="002A613E" w:rsidRPr="002A613E" w:rsidRDefault="002A613E" w:rsidP="00DD727A">
      <w:pPr>
        <w:numPr>
          <w:ilvl w:val="0"/>
          <w:numId w:val="5"/>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Financial Performance Alignment: Project C maximizes shareholder value creation, enhancing profitability while addressing General Electronics’ negative operating margins and constrained liquidity. Its back-loaded cash flow pattern, though higher risk, ensures substantial value capture in later periods.</w:t>
      </w:r>
    </w:p>
    <w:p w14:paraId="44D56AF8" w14:textId="77777777" w:rsidR="002A613E" w:rsidRPr="002A613E" w:rsidRDefault="002A613E" w:rsidP="00DD727A">
      <w:pPr>
        <w:numPr>
          <w:ilvl w:val="0"/>
          <w:numId w:val="5"/>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Risk and Cash Flow Considerations: Project C involves execution risk due to concentrated cash inflows in Years 3–5. Nevertheless, the projected cash flows justify temporary external financing requirements (£23.2 billion), with potential repayment from Year 1-2 inflows. Project A presents lower execution risk and front-loaded cash flows but delivers only moderate value. Project B exposes the company to capital erosion and extended liquidity pressure.</w:t>
      </w:r>
    </w:p>
    <w:p w14:paraId="4A75985D" w14:textId="77777777" w:rsidR="002A613E" w:rsidRPr="002A613E" w:rsidRDefault="002A613E" w:rsidP="00DD727A">
      <w:pPr>
        <w:numPr>
          <w:ilvl w:val="0"/>
          <w:numId w:val="5"/>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Strategic Fit: Project C aligns with turnaround priorities: restores competitive positioning, supports innovation, and generates maximum NPV efficiency. Project A provides short-term liquidity support but limited strategic impact, whereas Project B lacks alignment with value creation or market relevance.</w:t>
      </w:r>
    </w:p>
    <w:p w14:paraId="1C6313AF" w14:textId="77777777" w:rsidR="002A613E" w:rsidRPr="002A613E" w:rsidRDefault="002A613E" w:rsidP="00DE2C7B">
      <w:p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lastRenderedPageBreak/>
        <w:t>Recommendation: Invest £50 million in Project C. Remaining £10 million can be retained for working capital flexibility or opportunistic investment. Execution should be staged to mitigate risk, with milestone-based funding, contingent financing, and regular performance reviews. Project A serves only as a secondary alternative if Project C becomes unavailable, while Project B should be rejected under all circumstances.</w:t>
      </w:r>
    </w:p>
    <w:p w14:paraId="1FF6E9A2" w14:textId="77777777" w:rsidR="002A613E" w:rsidRPr="002A613E" w:rsidRDefault="002A613E" w:rsidP="00DE2C7B">
      <w:p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Key Considerations:</w:t>
      </w:r>
    </w:p>
    <w:p w14:paraId="5E6DA326" w14:textId="77777777" w:rsidR="002A613E" w:rsidRPr="002A613E" w:rsidRDefault="002A613E" w:rsidP="00DD727A">
      <w:pPr>
        <w:numPr>
          <w:ilvl w:val="0"/>
          <w:numId w:val="6"/>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Maximizes absolute value creation</w:t>
      </w:r>
    </w:p>
    <w:p w14:paraId="2F18C498" w14:textId="77777777" w:rsidR="002A613E" w:rsidRPr="002A613E" w:rsidRDefault="002A613E" w:rsidP="00DD727A">
      <w:pPr>
        <w:numPr>
          <w:ilvl w:val="0"/>
          <w:numId w:val="6"/>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Maintains strategic alignment with turnaround objectives</w:t>
      </w:r>
    </w:p>
    <w:p w14:paraId="643AC240" w14:textId="77777777" w:rsidR="002A613E" w:rsidRPr="002A613E" w:rsidRDefault="002A613E" w:rsidP="00DD727A">
      <w:pPr>
        <w:numPr>
          <w:ilvl w:val="0"/>
          <w:numId w:val="6"/>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Balances liquidity stress with long-term financial recovery</w:t>
      </w:r>
    </w:p>
    <w:p w14:paraId="3D3AF295" w14:textId="77777777" w:rsidR="002A613E" w:rsidRPr="002A613E" w:rsidRDefault="002A613E" w:rsidP="00DD727A">
      <w:pPr>
        <w:numPr>
          <w:ilvl w:val="0"/>
          <w:numId w:val="6"/>
        </w:numPr>
        <w:spacing w:before="100" w:beforeAutospacing="1" w:after="100" w:afterAutospacing="1" w:line="276" w:lineRule="auto"/>
        <w:jc w:val="both"/>
        <w:rPr>
          <w:rFonts w:ascii="Arial" w:eastAsia="Times New Roman" w:hAnsi="Arial" w:cs="Arial"/>
          <w:sz w:val="24"/>
          <w:szCs w:val="24"/>
        </w:rPr>
      </w:pPr>
      <w:r w:rsidRPr="002A613E">
        <w:rPr>
          <w:rFonts w:ascii="Arial" w:eastAsia="Times New Roman" w:hAnsi="Arial" w:cs="Arial"/>
          <w:sz w:val="24"/>
          <w:szCs w:val="24"/>
        </w:rPr>
        <w:t>Risk-adjusted evaluation supports Project C despite back-loaded cash flows</w:t>
      </w:r>
    </w:p>
    <w:p w14:paraId="3E2CC077" w14:textId="77777777" w:rsidR="00E67E9F" w:rsidRPr="0030453B" w:rsidRDefault="00E67E9F" w:rsidP="00DD727A">
      <w:pPr>
        <w:pStyle w:val="Heading2"/>
      </w:pPr>
      <w:bookmarkStart w:id="26" w:name="_Toc217322952"/>
      <w:r w:rsidRPr="0030453B">
        <w:t>6.0 CONCLUSION</w:t>
      </w:r>
      <w:bookmarkEnd w:id="26"/>
    </w:p>
    <w:p w14:paraId="691B9558" w14:textId="3F64CBCB" w:rsidR="00191BB9" w:rsidRPr="00191BB9" w:rsidRDefault="00191BB9" w:rsidP="00DE2C7B">
      <w:pPr>
        <w:spacing w:before="100" w:beforeAutospacing="1" w:after="100" w:afterAutospacing="1" w:line="276" w:lineRule="auto"/>
        <w:jc w:val="both"/>
        <w:rPr>
          <w:rFonts w:ascii="Arial" w:eastAsia="Times New Roman" w:hAnsi="Arial" w:cs="Arial"/>
          <w:sz w:val="24"/>
          <w:szCs w:val="24"/>
        </w:rPr>
      </w:pPr>
      <w:r w:rsidRPr="00191BB9">
        <w:rPr>
          <w:rFonts w:ascii="Arial" w:eastAsia="Times New Roman" w:hAnsi="Arial" w:cs="Arial"/>
          <w:sz w:val="24"/>
          <w:szCs w:val="24"/>
        </w:rPr>
        <w:t xml:space="preserve">General Electronics faces severe financial distress, characterized by multi-year revenue decline, negative operating margins, and acute liquidity constraints. The integrated financial analysis identifies critical weaknesses in profitability, operational efficiency, and capital structure, emphasizing the need for decisive intervention. Key strategic </w:t>
      </w:r>
      <w:r w:rsidR="00C31C59" w:rsidRPr="00191BB9">
        <w:rPr>
          <w:rFonts w:ascii="Arial" w:eastAsia="Times New Roman" w:hAnsi="Arial" w:cs="Arial"/>
          <w:sz w:val="24"/>
          <w:szCs w:val="24"/>
        </w:rPr>
        <w:t>actions working</w:t>
      </w:r>
      <w:r w:rsidRPr="00191BB9">
        <w:rPr>
          <w:rFonts w:ascii="Arial" w:eastAsia="Times New Roman" w:hAnsi="Arial" w:cs="Arial"/>
          <w:sz w:val="24"/>
          <w:szCs w:val="24"/>
        </w:rPr>
        <w:t xml:space="preserve"> capital optimization, equity recapitalization, asset divestitures, and targeted capital </w:t>
      </w:r>
      <w:r w:rsidR="00C31C59" w:rsidRPr="00191BB9">
        <w:rPr>
          <w:rFonts w:ascii="Arial" w:eastAsia="Times New Roman" w:hAnsi="Arial" w:cs="Arial"/>
          <w:sz w:val="24"/>
          <w:szCs w:val="24"/>
        </w:rPr>
        <w:t>allocation collectively</w:t>
      </w:r>
      <w:r w:rsidRPr="00191BB9">
        <w:rPr>
          <w:rFonts w:ascii="Arial" w:eastAsia="Times New Roman" w:hAnsi="Arial" w:cs="Arial"/>
          <w:sz w:val="24"/>
          <w:szCs w:val="24"/>
        </w:rPr>
        <w:t xml:space="preserve"> unlock liquidity, reduce leverage, and restore financial stability. Project C emerges as the optimal investment under capital rationing, generating £4.2 billion NPV, 12.78% IRR, and 20% ARR, aligning with the company’s turnaround objectives while supporting long-term competitiveness. Complementary initiatives, including debt refinancing, currency hedging, and tax loss preservation (£30.6 billion NOL), further enhance financial resilience.</w:t>
      </w:r>
    </w:p>
    <w:p w14:paraId="24EFDD89" w14:textId="3891D457" w:rsidR="00841345" w:rsidRPr="0030453B" w:rsidRDefault="00191BB9" w:rsidP="00DE2C7B">
      <w:pPr>
        <w:spacing w:before="100" w:beforeAutospacing="1" w:after="100" w:afterAutospacing="1" w:line="276" w:lineRule="auto"/>
        <w:jc w:val="both"/>
        <w:rPr>
          <w:rFonts w:ascii="Arial" w:eastAsia="Times New Roman" w:hAnsi="Arial" w:cs="Arial"/>
          <w:sz w:val="24"/>
          <w:szCs w:val="24"/>
        </w:rPr>
      </w:pPr>
      <w:r w:rsidRPr="00191BB9">
        <w:rPr>
          <w:rFonts w:ascii="Arial" w:eastAsia="Times New Roman" w:hAnsi="Arial" w:cs="Arial"/>
          <w:sz w:val="24"/>
          <w:szCs w:val="24"/>
        </w:rPr>
        <w:t xml:space="preserve">The proposed three-phase turnaround </w:t>
      </w:r>
      <w:r w:rsidR="00C31C59" w:rsidRPr="00191BB9">
        <w:rPr>
          <w:rFonts w:ascii="Arial" w:eastAsia="Times New Roman" w:hAnsi="Arial" w:cs="Arial"/>
          <w:sz w:val="24"/>
          <w:szCs w:val="24"/>
        </w:rPr>
        <w:t>roadmap stabilization</w:t>
      </w:r>
      <w:r w:rsidRPr="00191BB9">
        <w:rPr>
          <w:rFonts w:ascii="Arial" w:eastAsia="Times New Roman" w:hAnsi="Arial" w:cs="Arial"/>
          <w:sz w:val="24"/>
          <w:szCs w:val="24"/>
        </w:rPr>
        <w:t xml:space="preserve">, restructuring, and </w:t>
      </w:r>
      <w:r w:rsidR="00C31C59" w:rsidRPr="00191BB9">
        <w:rPr>
          <w:rFonts w:ascii="Arial" w:eastAsia="Times New Roman" w:hAnsi="Arial" w:cs="Arial"/>
          <w:sz w:val="24"/>
          <w:szCs w:val="24"/>
        </w:rPr>
        <w:t>growth transforms</w:t>
      </w:r>
      <w:r w:rsidRPr="00191BB9">
        <w:rPr>
          <w:rFonts w:ascii="Arial" w:eastAsia="Times New Roman" w:hAnsi="Arial" w:cs="Arial"/>
          <w:sz w:val="24"/>
          <w:szCs w:val="24"/>
        </w:rPr>
        <w:t xml:space="preserve"> the company from distressed (D/E 1.11, negative margins, Z-Score 2.42) to sustainable (D/E 0.45, positive profitability, Z-Score 3.8+) within 36 months. Implementation emphasizes disciplined execution, milestone-based funding, and risk mitigation, ensuring cash preservation, strategic focus, and operational improvement. The recommended measures collectively restore liquidity, unlock £44.7 billion through working capital, generate divestiture proceeds of £65.7 billion, and secure shareholder value creation, preserving market position and technology leadership. The analysis confirms that, with decisive leadership and stakeholder commitment, General Electronics possesses the financial and strategic capacity to survive, recover, and achieve sustainable long-term growth.</w:t>
      </w:r>
    </w:p>
    <w:p w14:paraId="517321E1" w14:textId="77777777" w:rsidR="005D587E" w:rsidRPr="0030453B" w:rsidRDefault="005D587E" w:rsidP="00DD727A">
      <w:pPr>
        <w:pStyle w:val="Heading2"/>
      </w:pPr>
      <w:bookmarkStart w:id="27" w:name="_Toc217322953"/>
      <w:r w:rsidRPr="00DD727A">
        <w:t>REFERENCES</w:t>
      </w:r>
      <w:bookmarkEnd w:id="27"/>
    </w:p>
    <w:p w14:paraId="18FE6A11"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lastRenderedPageBreak/>
        <w:t>Abor, J.Y., 2016. Evaluating capital investment decisions: capital budgeting. In: </w:t>
      </w:r>
      <w:r w:rsidRPr="00D6799C">
        <w:rPr>
          <w:rFonts w:ascii="Arial" w:hAnsi="Arial" w:cs="Arial"/>
          <w:i/>
          <w:iCs/>
          <w:sz w:val="24"/>
          <w:szCs w:val="24"/>
        </w:rPr>
        <w:t>Entrepreneurial Finance for MSMEs</w:t>
      </w:r>
      <w:r w:rsidRPr="00D6799C">
        <w:rPr>
          <w:rFonts w:ascii="Arial" w:hAnsi="Arial" w:cs="Arial"/>
          <w:sz w:val="24"/>
          <w:szCs w:val="24"/>
        </w:rPr>
        <w:t>. pp. 293–320.</w:t>
      </w:r>
    </w:p>
    <w:p w14:paraId="7337C7B8"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Altman, E.I. and Hotchkiss, E., 2019. </w:t>
      </w:r>
      <w:r w:rsidRPr="00D6799C">
        <w:rPr>
          <w:rFonts w:ascii="Arial" w:hAnsi="Arial" w:cs="Arial"/>
          <w:i/>
          <w:iCs/>
          <w:sz w:val="24"/>
          <w:szCs w:val="24"/>
        </w:rPr>
        <w:t>Corporate Financial Distress and Bankruptcy: Predict and Avoid Bankruptcy, Analyze and Invest in Distressed Debt</w:t>
      </w:r>
      <w:r w:rsidRPr="00D6799C">
        <w:rPr>
          <w:rFonts w:ascii="Arial" w:hAnsi="Arial" w:cs="Arial"/>
          <w:sz w:val="24"/>
          <w:szCs w:val="24"/>
        </w:rPr>
        <w:t>. 4th ed. Hoboken, NJ: John Wiley &amp; Sons.</w:t>
      </w:r>
    </w:p>
    <w:p w14:paraId="3DF5CADD"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Berger, P.G. and Ofek, E., 2019. Diversification’s effect on firm value. </w:t>
      </w:r>
      <w:r w:rsidRPr="00D6799C">
        <w:rPr>
          <w:rFonts w:ascii="Arial" w:hAnsi="Arial" w:cs="Arial"/>
          <w:i/>
          <w:iCs/>
          <w:sz w:val="24"/>
          <w:szCs w:val="24"/>
        </w:rPr>
        <w:t>Journal of Financial Economics</w:t>
      </w:r>
      <w:r w:rsidRPr="00D6799C">
        <w:rPr>
          <w:rFonts w:ascii="Arial" w:hAnsi="Arial" w:cs="Arial"/>
          <w:sz w:val="24"/>
          <w:szCs w:val="24"/>
        </w:rPr>
        <w:t>, 37(1), pp.39–65.</w:t>
      </w:r>
    </w:p>
    <w:p w14:paraId="19746537"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Brigham, E.F. and Ehrhardt, M.C., 2020. </w:t>
      </w:r>
      <w:r w:rsidRPr="00D6799C">
        <w:rPr>
          <w:rFonts w:ascii="Arial" w:hAnsi="Arial" w:cs="Arial"/>
          <w:i/>
          <w:iCs/>
          <w:sz w:val="24"/>
          <w:szCs w:val="24"/>
        </w:rPr>
        <w:t>Financial Management: Theory and Practice</w:t>
      </w:r>
      <w:r w:rsidRPr="00D6799C">
        <w:rPr>
          <w:rFonts w:ascii="Arial" w:hAnsi="Arial" w:cs="Arial"/>
          <w:sz w:val="24"/>
          <w:szCs w:val="24"/>
        </w:rPr>
        <w:t>. 16th ed. Mason, OH: South-Western Cengage Learning.</w:t>
      </w:r>
    </w:p>
    <w:p w14:paraId="215BBC29"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Damodaran, A., 2021. </w:t>
      </w:r>
      <w:r w:rsidRPr="00D6799C">
        <w:rPr>
          <w:rFonts w:ascii="Arial" w:hAnsi="Arial" w:cs="Arial"/>
          <w:i/>
          <w:iCs/>
          <w:sz w:val="24"/>
          <w:szCs w:val="24"/>
        </w:rPr>
        <w:t>Applied Corporate Finance</w:t>
      </w:r>
      <w:r w:rsidRPr="00D6799C">
        <w:rPr>
          <w:rFonts w:ascii="Arial" w:hAnsi="Arial" w:cs="Arial"/>
          <w:sz w:val="24"/>
          <w:szCs w:val="24"/>
        </w:rPr>
        <w:t>. 4th ed. Hoboken, NJ: John Wiley &amp; Sons.</w:t>
      </w:r>
    </w:p>
    <w:p w14:paraId="574E27D1"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Deloof, M., 2019. Does working capital management affect profitability of Belgian firms? </w:t>
      </w:r>
      <w:r w:rsidRPr="00D6799C">
        <w:rPr>
          <w:rFonts w:ascii="Arial" w:hAnsi="Arial" w:cs="Arial"/>
          <w:i/>
          <w:iCs/>
          <w:sz w:val="24"/>
          <w:szCs w:val="24"/>
        </w:rPr>
        <w:t>Journal of Business Finance &amp; Accounting</w:t>
      </w:r>
      <w:r w:rsidRPr="00D6799C">
        <w:rPr>
          <w:rFonts w:ascii="Arial" w:hAnsi="Arial" w:cs="Arial"/>
          <w:sz w:val="24"/>
          <w:szCs w:val="24"/>
        </w:rPr>
        <w:t>, 30(3–4), pp.573–588.</w:t>
      </w:r>
    </w:p>
    <w:p w14:paraId="6C5A5C3B"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Diamond, D.W., 2019. Debt maturity structure and liquidity risk. </w:t>
      </w:r>
      <w:r w:rsidRPr="00D6799C">
        <w:rPr>
          <w:rFonts w:ascii="Arial" w:hAnsi="Arial" w:cs="Arial"/>
          <w:i/>
          <w:iCs/>
          <w:sz w:val="24"/>
          <w:szCs w:val="24"/>
        </w:rPr>
        <w:t>Quarterly Journal of Economics</w:t>
      </w:r>
      <w:r w:rsidRPr="00D6799C">
        <w:rPr>
          <w:rFonts w:ascii="Arial" w:hAnsi="Arial" w:cs="Arial"/>
          <w:sz w:val="24"/>
          <w:szCs w:val="24"/>
        </w:rPr>
        <w:t>, 106(3), pp.709–737.</w:t>
      </w:r>
    </w:p>
    <w:p w14:paraId="6191456F"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Gaughan, P.A., 2020. </w:t>
      </w:r>
      <w:r w:rsidRPr="00D6799C">
        <w:rPr>
          <w:rFonts w:ascii="Arial" w:hAnsi="Arial" w:cs="Arial"/>
          <w:i/>
          <w:iCs/>
          <w:sz w:val="24"/>
          <w:szCs w:val="24"/>
        </w:rPr>
        <w:t>Mergers, Acquisitions, and Corporate Restructurings</w:t>
      </w:r>
      <w:r w:rsidRPr="00D6799C">
        <w:rPr>
          <w:rFonts w:ascii="Arial" w:hAnsi="Arial" w:cs="Arial"/>
          <w:sz w:val="24"/>
          <w:szCs w:val="24"/>
        </w:rPr>
        <w:t>. 7th ed. Hoboken, NJ: John Wiley &amp; Sons.</w:t>
      </w:r>
    </w:p>
    <w:p w14:paraId="1D2192DC"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Gaur, V. and Kesavan, S., 2018. The effects of firm size and sales growth rate on inventory turnover performance in the U.S. retail sector. In: N. Agrawal and S.A. Smith, eds. </w:t>
      </w:r>
      <w:r w:rsidRPr="00D6799C">
        <w:rPr>
          <w:rFonts w:ascii="Arial" w:hAnsi="Arial" w:cs="Arial"/>
          <w:i/>
          <w:iCs/>
          <w:sz w:val="24"/>
          <w:szCs w:val="24"/>
        </w:rPr>
        <w:t>Retail Supply Chain Management</w:t>
      </w:r>
      <w:r w:rsidRPr="00D6799C">
        <w:rPr>
          <w:rFonts w:ascii="Arial" w:hAnsi="Arial" w:cs="Arial"/>
          <w:sz w:val="24"/>
          <w:szCs w:val="24"/>
        </w:rPr>
        <w:t>. 2nd ed. New York: Springer, pp.25–52.</w:t>
      </w:r>
    </w:p>
    <w:p w14:paraId="2C0BCC1A" w14:textId="77777777" w:rsidR="00D6799C" w:rsidRDefault="00D6799C" w:rsidP="00DE2C7B">
      <w:pPr>
        <w:pStyle w:val="NormalWeb"/>
        <w:spacing w:line="276" w:lineRule="auto"/>
        <w:jc w:val="both"/>
        <w:rPr>
          <w:rFonts w:ascii="Arial" w:hAnsi="Arial" w:cs="Arial"/>
        </w:rPr>
      </w:pPr>
      <w:r w:rsidRPr="0030453B">
        <w:rPr>
          <w:rFonts w:ascii="Arial" w:hAnsi="Arial" w:cs="Arial"/>
        </w:rPr>
        <w:t xml:space="preserve">Götze, U., Northcott, D., &amp; Schuster, P., 2015. </w:t>
      </w:r>
      <w:r w:rsidRPr="0030453B">
        <w:rPr>
          <w:rStyle w:val="Emphasis"/>
          <w:rFonts w:ascii="Arial" w:hAnsi="Arial" w:cs="Arial"/>
        </w:rPr>
        <w:t>Capital budgeting and investment decisions.</w:t>
      </w:r>
      <w:r w:rsidRPr="0030453B">
        <w:rPr>
          <w:rFonts w:ascii="Arial" w:hAnsi="Arial" w:cs="Arial"/>
        </w:rPr>
        <w:t xml:space="preserve"> Springer, pp. 3–26.</w:t>
      </w:r>
    </w:p>
    <w:p w14:paraId="5BA1D48A" w14:textId="77777777" w:rsidR="00D6799C" w:rsidRPr="0030453B" w:rsidRDefault="00D6799C" w:rsidP="00DE2C7B">
      <w:pPr>
        <w:pStyle w:val="NormalWeb"/>
        <w:spacing w:line="276" w:lineRule="auto"/>
        <w:jc w:val="both"/>
        <w:rPr>
          <w:rFonts w:ascii="Arial" w:hAnsi="Arial" w:cs="Arial"/>
        </w:rPr>
      </w:pPr>
      <w:r w:rsidRPr="0030453B">
        <w:rPr>
          <w:rFonts w:ascii="Arial" w:hAnsi="Arial" w:cs="Arial"/>
        </w:rPr>
        <w:t>Harris, E.P. &amp; El-</w:t>
      </w:r>
      <w:proofErr w:type="spellStart"/>
      <w:r w:rsidRPr="0030453B">
        <w:rPr>
          <w:rFonts w:ascii="Arial" w:hAnsi="Arial" w:cs="Arial"/>
        </w:rPr>
        <w:t>Massri</w:t>
      </w:r>
      <w:proofErr w:type="spellEnd"/>
      <w:r w:rsidRPr="0030453B">
        <w:rPr>
          <w:rFonts w:ascii="Arial" w:hAnsi="Arial" w:cs="Arial"/>
        </w:rPr>
        <w:t xml:space="preserve">, M., 2011. </w:t>
      </w:r>
      <w:r w:rsidRPr="0030453B">
        <w:rPr>
          <w:rStyle w:val="Emphasis"/>
          <w:rFonts w:ascii="Arial" w:hAnsi="Arial" w:cs="Arial"/>
        </w:rPr>
        <w:t>Capital investment appraisal.</w:t>
      </w:r>
      <w:r w:rsidRPr="0030453B">
        <w:rPr>
          <w:rFonts w:ascii="Arial" w:hAnsi="Arial" w:cs="Arial"/>
        </w:rPr>
        <w:t xml:space="preserve"> Review of Management Accounting Research, pp. 343–377.</w:t>
      </w:r>
    </w:p>
    <w:p w14:paraId="6A639CD4"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Koch, B., 2020. Working capital management in small and medium-sized enterprises. </w:t>
      </w:r>
      <w:r w:rsidRPr="00D6799C">
        <w:rPr>
          <w:rFonts w:ascii="Arial" w:hAnsi="Arial" w:cs="Arial"/>
          <w:i/>
          <w:iCs/>
          <w:sz w:val="24"/>
          <w:szCs w:val="24"/>
        </w:rPr>
        <w:t>International Journal of Managerial Finance</w:t>
      </w:r>
      <w:r w:rsidRPr="00D6799C">
        <w:rPr>
          <w:rFonts w:ascii="Arial" w:hAnsi="Arial" w:cs="Arial"/>
          <w:sz w:val="24"/>
          <w:szCs w:val="24"/>
        </w:rPr>
        <w:t>, 7(1), pp.43–61.</w:t>
      </w:r>
    </w:p>
    <w:p w14:paraId="0A846409"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Monden, Y., 2018. </w:t>
      </w:r>
      <w:r w:rsidRPr="00D6799C">
        <w:rPr>
          <w:rFonts w:ascii="Arial" w:hAnsi="Arial" w:cs="Arial"/>
          <w:i/>
          <w:iCs/>
          <w:sz w:val="24"/>
          <w:szCs w:val="24"/>
        </w:rPr>
        <w:t>Toyota Production System: An Integrated Approach to Just-In-Time</w:t>
      </w:r>
      <w:r w:rsidRPr="00D6799C">
        <w:rPr>
          <w:rFonts w:ascii="Arial" w:hAnsi="Arial" w:cs="Arial"/>
          <w:sz w:val="24"/>
          <w:szCs w:val="24"/>
        </w:rPr>
        <w:t>. 4th ed. Boca Raton, FL: CRC Press.</w:t>
      </w:r>
    </w:p>
    <w:p w14:paraId="13FE59C8"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Petersen, M.A. and Rajan, R.G., 2019. Trade credit: theories and evidence. </w:t>
      </w:r>
      <w:r w:rsidRPr="00D6799C">
        <w:rPr>
          <w:rFonts w:ascii="Arial" w:hAnsi="Arial" w:cs="Arial"/>
          <w:i/>
          <w:iCs/>
          <w:sz w:val="24"/>
          <w:szCs w:val="24"/>
        </w:rPr>
        <w:t>Review of Financial Studies</w:t>
      </w:r>
      <w:r w:rsidRPr="00D6799C">
        <w:rPr>
          <w:rFonts w:ascii="Arial" w:hAnsi="Arial" w:cs="Arial"/>
          <w:sz w:val="24"/>
          <w:szCs w:val="24"/>
        </w:rPr>
        <w:t>, 10(3), pp.661–691.</w:t>
      </w:r>
    </w:p>
    <w:p w14:paraId="1FC6FD17"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 xml:space="preserve">Ross, S.A., </w:t>
      </w:r>
      <w:proofErr w:type="spellStart"/>
      <w:r w:rsidRPr="00D6799C">
        <w:rPr>
          <w:rFonts w:ascii="Arial" w:hAnsi="Arial" w:cs="Arial"/>
          <w:sz w:val="24"/>
          <w:szCs w:val="24"/>
        </w:rPr>
        <w:t>Westerfield</w:t>
      </w:r>
      <w:proofErr w:type="spellEnd"/>
      <w:r w:rsidRPr="00D6799C">
        <w:rPr>
          <w:rFonts w:ascii="Arial" w:hAnsi="Arial" w:cs="Arial"/>
          <w:sz w:val="24"/>
          <w:szCs w:val="24"/>
        </w:rPr>
        <w:t>, R.W. and Jaffe, J., 2022. </w:t>
      </w:r>
      <w:r w:rsidRPr="00D6799C">
        <w:rPr>
          <w:rFonts w:ascii="Arial" w:hAnsi="Arial" w:cs="Arial"/>
          <w:i/>
          <w:iCs/>
          <w:sz w:val="24"/>
          <w:szCs w:val="24"/>
        </w:rPr>
        <w:t>Corporate Finance</w:t>
      </w:r>
      <w:r w:rsidRPr="00D6799C">
        <w:rPr>
          <w:rFonts w:ascii="Arial" w:hAnsi="Arial" w:cs="Arial"/>
          <w:sz w:val="24"/>
          <w:szCs w:val="24"/>
        </w:rPr>
        <w:t>. 13th ed. New York: McGraw-Hill Education.</w:t>
      </w:r>
    </w:p>
    <w:p w14:paraId="2FE80E02"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lastRenderedPageBreak/>
        <w:t>Shin, H.H. and Soenen, L., 2020. Efficiency of working capital management and corporate profitability. </w:t>
      </w:r>
      <w:r w:rsidRPr="00D6799C">
        <w:rPr>
          <w:rFonts w:ascii="Arial" w:hAnsi="Arial" w:cs="Arial"/>
          <w:i/>
          <w:iCs/>
          <w:sz w:val="24"/>
          <w:szCs w:val="24"/>
        </w:rPr>
        <w:t>Financial Practice and Education</w:t>
      </w:r>
      <w:r w:rsidRPr="00D6799C">
        <w:rPr>
          <w:rFonts w:ascii="Arial" w:hAnsi="Arial" w:cs="Arial"/>
          <w:sz w:val="24"/>
          <w:szCs w:val="24"/>
        </w:rPr>
        <w:t>, 8(2), pp.37–45.</w:t>
      </w:r>
    </w:p>
    <w:p w14:paraId="746E3478" w14:textId="77777777" w:rsidR="00D6799C" w:rsidRPr="00D6799C" w:rsidRDefault="00D6799C" w:rsidP="00D6799C">
      <w:pPr>
        <w:spacing w:line="276" w:lineRule="auto"/>
        <w:jc w:val="both"/>
        <w:rPr>
          <w:rFonts w:ascii="Arial" w:hAnsi="Arial" w:cs="Arial"/>
          <w:sz w:val="24"/>
          <w:szCs w:val="24"/>
        </w:rPr>
      </w:pPr>
      <w:proofErr w:type="spellStart"/>
      <w:r w:rsidRPr="00D6799C">
        <w:rPr>
          <w:rFonts w:ascii="Arial" w:hAnsi="Arial" w:cs="Arial"/>
          <w:sz w:val="24"/>
          <w:szCs w:val="24"/>
        </w:rPr>
        <w:t>Syntetos</w:t>
      </w:r>
      <w:proofErr w:type="spellEnd"/>
      <w:r w:rsidRPr="00D6799C">
        <w:rPr>
          <w:rFonts w:ascii="Arial" w:hAnsi="Arial" w:cs="Arial"/>
          <w:sz w:val="24"/>
          <w:szCs w:val="24"/>
        </w:rPr>
        <w:t>, A.A., Babai, Z. and Gardner, E.S., 2020. Forecasting intermittent inventory demands: simple parametric methods vs. bootstrapping. </w:t>
      </w:r>
      <w:r w:rsidRPr="00D6799C">
        <w:rPr>
          <w:rFonts w:ascii="Arial" w:hAnsi="Arial" w:cs="Arial"/>
          <w:i/>
          <w:iCs/>
          <w:sz w:val="24"/>
          <w:szCs w:val="24"/>
        </w:rPr>
        <w:t>Journal of Business Research</w:t>
      </w:r>
      <w:r w:rsidRPr="00D6799C">
        <w:rPr>
          <w:rFonts w:ascii="Arial" w:hAnsi="Arial" w:cs="Arial"/>
          <w:sz w:val="24"/>
          <w:szCs w:val="24"/>
        </w:rPr>
        <w:t>, 68(8), pp.1746–1752.</w:t>
      </w:r>
    </w:p>
    <w:p w14:paraId="42DFE651"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Waller, M., Johnson, M.E. and Davis, T., 2019. Vendor-managed inventory in the retail supply chain. </w:t>
      </w:r>
      <w:r w:rsidRPr="00D6799C">
        <w:rPr>
          <w:rFonts w:ascii="Arial" w:hAnsi="Arial" w:cs="Arial"/>
          <w:i/>
          <w:iCs/>
          <w:sz w:val="24"/>
          <w:szCs w:val="24"/>
        </w:rPr>
        <w:t>Journal of Business Logistics</w:t>
      </w:r>
      <w:r w:rsidRPr="00D6799C">
        <w:rPr>
          <w:rFonts w:ascii="Arial" w:hAnsi="Arial" w:cs="Arial"/>
          <w:sz w:val="24"/>
          <w:szCs w:val="24"/>
        </w:rPr>
        <w:t>, 20(1), pp.183–203.</w:t>
      </w:r>
    </w:p>
    <w:p w14:paraId="22937BAF"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Watson, D. and Head, A., 2019. </w:t>
      </w:r>
      <w:r w:rsidRPr="00D6799C">
        <w:rPr>
          <w:rFonts w:ascii="Arial" w:hAnsi="Arial" w:cs="Arial"/>
          <w:i/>
          <w:iCs/>
          <w:sz w:val="24"/>
          <w:szCs w:val="24"/>
        </w:rPr>
        <w:t>Corporate Finance: Principles and Practice</w:t>
      </w:r>
      <w:r w:rsidRPr="00D6799C">
        <w:rPr>
          <w:rFonts w:ascii="Arial" w:hAnsi="Arial" w:cs="Arial"/>
          <w:sz w:val="24"/>
          <w:szCs w:val="24"/>
        </w:rPr>
        <w:t>. 8th ed. Harlow: Pearson Education.</w:t>
      </w:r>
    </w:p>
    <w:p w14:paraId="0EFC9C47" w14:textId="77777777" w:rsidR="00D6799C" w:rsidRPr="00D6799C" w:rsidRDefault="00D6799C" w:rsidP="00D6799C">
      <w:pPr>
        <w:spacing w:line="276" w:lineRule="auto"/>
        <w:jc w:val="both"/>
        <w:rPr>
          <w:rFonts w:ascii="Arial" w:hAnsi="Arial" w:cs="Arial"/>
          <w:sz w:val="24"/>
          <w:szCs w:val="24"/>
        </w:rPr>
      </w:pPr>
      <w:r w:rsidRPr="00D6799C">
        <w:rPr>
          <w:rFonts w:ascii="Arial" w:hAnsi="Arial" w:cs="Arial"/>
          <w:sz w:val="24"/>
          <w:szCs w:val="24"/>
        </w:rPr>
        <w:t xml:space="preserve">Wilson, N., 2018. An investigation into payment trends and </w:t>
      </w:r>
      <w:proofErr w:type="spellStart"/>
      <w:r w:rsidRPr="00D6799C">
        <w:rPr>
          <w:rFonts w:ascii="Arial" w:hAnsi="Arial" w:cs="Arial"/>
          <w:sz w:val="24"/>
          <w:szCs w:val="24"/>
        </w:rPr>
        <w:t>behaviour</w:t>
      </w:r>
      <w:proofErr w:type="spellEnd"/>
      <w:r w:rsidRPr="00D6799C">
        <w:rPr>
          <w:rFonts w:ascii="Arial" w:hAnsi="Arial" w:cs="Arial"/>
          <w:sz w:val="24"/>
          <w:szCs w:val="24"/>
        </w:rPr>
        <w:t xml:space="preserve"> in the UK. </w:t>
      </w:r>
      <w:r w:rsidRPr="00D6799C">
        <w:rPr>
          <w:rFonts w:ascii="Arial" w:hAnsi="Arial" w:cs="Arial"/>
          <w:i/>
          <w:iCs/>
          <w:sz w:val="24"/>
          <w:szCs w:val="24"/>
        </w:rPr>
        <w:t>Credit Management Research Centre Working Paper</w:t>
      </w:r>
      <w:r w:rsidRPr="00D6799C">
        <w:rPr>
          <w:rFonts w:ascii="Arial" w:hAnsi="Arial" w:cs="Arial"/>
          <w:sz w:val="24"/>
          <w:szCs w:val="24"/>
        </w:rPr>
        <w:t>. Leeds: Leeds University Business School.</w:t>
      </w:r>
    </w:p>
    <w:p w14:paraId="0C041003" w14:textId="1AF7EC4A" w:rsidR="00D6799C" w:rsidRDefault="00D6799C" w:rsidP="00D6799C">
      <w:pPr>
        <w:spacing w:line="276" w:lineRule="auto"/>
        <w:jc w:val="both"/>
        <w:rPr>
          <w:rFonts w:ascii="Arial" w:hAnsi="Arial" w:cs="Arial"/>
          <w:sz w:val="24"/>
          <w:szCs w:val="24"/>
        </w:rPr>
      </w:pPr>
      <w:r w:rsidRPr="00D6799C">
        <w:rPr>
          <w:rFonts w:ascii="Arial" w:hAnsi="Arial" w:cs="Arial"/>
          <w:sz w:val="24"/>
          <w:szCs w:val="24"/>
        </w:rPr>
        <w:t xml:space="preserve">Wuttke, D.A., Blome, C., </w:t>
      </w:r>
      <w:proofErr w:type="spellStart"/>
      <w:r w:rsidRPr="00D6799C">
        <w:rPr>
          <w:rFonts w:ascii="Arial" w:hAnsi="Arial" w:cs="Arial"/>
          <w:sz w:val="24"/>
          <w:szCs w:val="24"/>
        </w:rPr>
        <w:t>Foerstl</w:t>
      </w:r>
      <w:proofErr w:type="spellEnd"/>
      <w:r w:rsidRPr="00D6799C">
        <w:rPr>
          <w:rFonts w:ascii="Arial" w:hAnsi="Arial" w:cs="Arial"/>
          <w:sz w:val="24"/>
          <w:szCs w:val="24"/>
        </w:rPr>
        <w:t>, K. and Henke, M., 2019. Managing the innovation adoption of supply chain finance: empirical evidence from six European case studies. </w:t>
      </w:r>
      <w:r w:rsidRPr="00D6799C">
        <w:rPr>
          <w:rFonts w:ascii="Arial" w:hAnsi="Arial" w:cs="Arial"/>
          <w:i/>
          <w:iCs/>
          <w:sz w:val="24"/>
          <w:szCs w:val="24"/>
        </w:rPr>
        <w:t>Journal of Business Logistics</w:t>
      </w:r>
      <w:r w:rsidRPr="00D6799C">
        <w:rPr>
          <w:rFonts w:ascii="Arial" w:hAnsi="Arial" w:cs="Arial"/>
          <w:sz w:val="24"/>
          <w:szCs w:val="24"/>
        </w:rPr>
        <w:t>, 34(2), pp.148–166.</w:t>
      </w:r>
    </w:p>
    <w:p w14:paraId="34308623" w14:textId="4806CACA" w:rsidR="00464566" w:rsidRDefault="00464566" w:rsidP="00D6799C">
      <w:pPr>
        <w:spacing w:line="276" w:lineRule="auto"/>
        <w:jc w:val="both"/>
        <w:rPr>
          <w:rFonts w:ascii="Arial" w:hAnsi="Arial" w:cs="Arial"/>
          <w:sz w:val="24"/>
          <w:szCs w:val="24"/>
        </w:rPr>
      </w:pPr>
    </w:p>
    <w:p w14:paraId="479E7DB3" w14:textId="26491F76" w:rsidR="00464566" w:rsidRDefault="00464566" w:rsidP="00D6799C">
      <w:pPr>
        <w:spacing w:line="276" w:lineRule="auto"/>
        <w:jc w:val="both"/>
        <w:rPr>
          <w:rFonts w:ascii="Arial" w:hAnsi="Arial" w:cs="Arial"/>
          <w:sz w:val="24"/>
          <w:szCs w:val="24"/>
        </w:rPr>
      </w:pPr>
    </w:p>
    <w:p w14:paraId="5E48A6C4" w14:textId="2432902F" w:rsidR="00464566" w:rsidRDefault="00464566" w:rsidP="00D6799C">
      <w:pPr>
        <w:spacing w:line="276" w:lineRule="auto"/>
        <w:jc w:val="both"/>
        <w:rPr>
          <w:rFonts w:ascii="Arial" w:hAnsi="Arial" w:cs="Arial"/>
          <w:sz w:val="24"/>
          <w:szCs w:val="24"/>
        </w:rPr>
      </w:pPr>
    </w:p>
    <w:p w14:paraId="42D232E4" w14:textId="14F72A2D" w:rsidR="00464566" w:rsidRDefault="00464566" w:rsidP="00D6799C">
      <w:pPr>
        <w:spacing w:line="276" w:lineRule="auto"/>
        <w:jc w:val="both"/>
        <w:rPr>
          <w:rFonts w:ascii="Arial" w:hAnsi="Arial" w:cs="Arial"/>
          <w:sz w:val="24"/>
          <w:szCs w:val="24"/>
        </w:rPr>
      </w:pPr>
    </w:p>
    <w:p w14:paraId="6919AF8D" w14:textId="19709EB3" w:rsidR="00464566" w:rsidRDefault="00464566" w:rsidP="00D6799C">
      <w:pPr>
        <w:spacing w:line="276" w:lineRule="auto"/>
        <w:jc w:val="both"/>
        <w:rPr>
          <w:rFonts w:ascii="Arial" w:hAnsi="Arial" w:cs="Arial"/>
          <w:sz w:val="24"/>
          <w:szCs w:val="24"/>
        </w:rPr>
      </w:pPr>
    </w:p>
    <w:p w14:paraId="1084F0C7" w14:textId="5715BB2A" w:rsidR="00464566" w:rsidRDefault="00464566" w:rsidP="00D6799C">
      <w:pPr>
        <w:spacing w:line="276" w:lineRule="auto"/>
        <w:jc w:val="both"/>
        <w:rPr>
          <w:rFonts w:ascii="Arial" w:hAnsi="Arial" w:cs="Arial"/>
          <w:sz w:val="24"/>
          <w:szCs w:val="24"/>
        </w:rPr>
      </w:pPr>
    </w:p>
    <w:p w14:paraId="77BA0EEC" w14:textId="37DB7DAE" w:rsidR="00464566" w:rsidRDefault="00464566" w:rsidP="00D6799C">
      <w:pPr>
        <w:spacing w:line="276" w:lineRule="auto"/>
        <w:jc w:val="both"/>
        <w:rPr>
          <w:rFonts w:ascii="Arial" w:hAnsi="Arial" w:cs="Arial"/>
          <w:sz w:val="24"/>
          <w:szCs w:val="24"/>
        </w:rPr>
      </w:pPr>
    </w:p>
    <w:p w14:paraId="7A713F1E" w14:textId="658F69F7" w:rsidR="00464566" w:rsidRDefault="00464566" w:rsidP="00D6799C">
      <w:pPr>
        <w:spacing w:line="276" w:lineRule="auto"/>
        <w:jc w:val="both"/>
        <w:rPr>
          <w:rFonts w:ascii="Arial" w:hAnsi="Arial" w:cs="Arial"/>
          <w:sz w:val="24"/>
          <w:szCs w:val="24"/>
        </w:rPr>
      </w:pPr>
    </w:p>
    <w:p w14:paraId="49E1238A" w14:textId="5D1D33CE" w:rsidR="00464566" w:rsidRDefault="00464566" w:rsidP="00D6799C">
      <w:pPr>
        <w:spacing w:line="276" w:lineRule="auto"/>
        <w:jc w:val="both"/>
        <w:rPr>
          <w:rFonts w:ascii="Arial" w:hAnsi="Arial" w:cs="Arial"/>
          <w:sz w:val="24"/>
          <w:szCs w:val="24"/>
        </w:rPr>
      </w:pPr>
    </w:p>
    <w:p w14:paraId="44595B66" w14:textId="331431AC" w:rsidR="00464566" w:rsidRDefault="00464566" w:rsidP="00D6799C">
      <w:pPr>
        <w:spacing w:line="276" w:lineRule="auto"/>
        <w:jc w:val="both"/>
        <w:rPr>
          <w:rFonts w:ascii="Arial" w:hAnsi="Arial" w:cs="Arial"/>
          <w:sz w:val="24"/>
          <w:szCs w:val="24"/>
        </w:rPr>
      </w:pPr>
    </w:p>
    <w:p w14:paraId="28C25041" w14:textId="418D8D01" w:rsidR="00464566" w:rsidRDefault="00464566" w:rsidP="00D6799C">
      <w:pPr>
        <w:spacing w:line="276" w:lineRule="auto"/>
        <w:jc w:val="both"/>
        <w:rPr>
          <w:rFonts w:ascii="Arial" w:hAnsi="Arial" w:cs="Arial"/>
          <w:sz w:val="24"/>
          <w:szCs w:val="24"/>
        </w:rPr>
      </w:pPr>
    </w:p>
    <w:p w14:paraId="6E672C76" w14:textId="0721A78D" w:rsidR="00464566" w:rsidRDefault="00464566" w:rsidP="00D6799C">
      <w:pPr>
        <w:spacing w:line="276" w:lineRule="auto"/>
        <w:jc w:val="both"/>
        <w:rPr>
          <w:rFonts w:ascii="Arial" w:hAnsi="Arial" w:cs="Arial"/>
          <w:sz w:val="24"/>
          <w:szCs w:val="24"/>
        </w:rPr>
      </w:pPr>
    </w:p>
    <w:p w14:paraId="3125894A" w14:textId="0810B726" w:rsidR="00464566" w:rsidRDefault="00464566" w:rsidP="00D6799C">
      <w:pPr>
        <w:spacing w:line="276" w:lineRule="auto"/>
        <w:jc w:val="both"/>
        <w:rPr>
          <w:rFonts w:ascii="Arial" w:hAnsi="Arial" w:cs="Arial"/>
          <w:sz w:val="24"/>
          <w:szCs w:val="24"/>
        </w:rPr>
      </w:pPr>
    </w:p>
    <w:p w14:paraId="044EE96D" w14:textId="625DAC0C" w:rsidR="00464566" w:rsidRDefault="00464566" w:rsidP="00D6799C">
      <w:pPr>
        <w:spacing w:line="276" w:lineRule="auto"/>
        <w:jc w:val="both"/>
        <w:rPr>
          <w:rFonts w:ascii="Arial" w:hAnsi="Arial" w:cs="Arial"/>
          <w:sz w:val="24"/>
          <w:szCs w:val="24"/>
        </w:rPr>
      </w:pPr>
    </w:p>
    <w:p w14:paraId="3B0D021F" w14:textId="7D1733EE" w:rsidR="00464566" w:rsidRDefault="00464566" w:rsidP="00D6799C">
      <w:pPr>
        <w:spacing w:line="276" w:lineRule="auto"/>
        <w:jc w:val="both"/>
        <w:rPr>
          <w:rFonts w:ascii="Arial" w:hAnsi="Arial" w:cs="Arial"/>
          <w:sz w:val="24"/>
          <w:szCs w:val="24"/>
        </w:rPr>
      </w:pPr>
    </w:p>
    <w:p w14:paraId="2B12FF80" w14:textId="77777777" w:rsidR="00464566" w:rsidRPr="00464566" w:rsidRDefault="00464566" w:rsidP="00464566">
      <w:pPr>
        <w:pStyle w:val="Heading2"/>
      </w:pPr>
      <w:bookmarkStart w:id="28" w:name="_Toc217322954"/>
      <w:r w:rsidRPr="00464566">
        <w:lastRenderedPageBreak/>
        <w:t>APPENDICES</w:t>
      </w:r>
      <w:bookmarkEnd w:id="28"/>
    </w:p>
    <w:p w14:paraId="12E0A7D2" w14:textId="6A552A94" w:rsidR="00464566" w:rsidRPr="00464566" w:rsidRDefault="00464566" w:rsidP="00464566">
      <w:pPr>
        <w:pStyle w:val="Heading3"/>
      </w:pPr>
      <w:bookmarkStart w:id="29" w:name="_Toc217322955"/>
      <w:r w:rsidRPr="00464566">
        <w:t>APPENDIX A: DETAILED RATIO CALCULATIONS</w:t>
      </w:r>
      <w:bookmarkEnd w:id="29"/>
      <w:r w:rsidRPr="00464566">
        <w:t xml:space="preserve"> </w:t>
      </w:r>
    </w:p>
    <w:p w14:paraId="4F92E05B" w14:textId="77777777" w:rsidR="00464566" w:rsidRPr="00464566" w:rsidRDefault="00464566" w:rsidP="00FC5051">
      <w:pPr>
        <w:pStyle w:val="font-claude-response-body"/>
        <w:spacing w:line="276" w:lineRule="auto"/>
        <w:jc w:val="both"/>
        <w:rPr>
          <w:rFonts w:ascii="Arial" w:hAnsi="Arial" w:cs="Arial"/>
        </w:rPr>
      </w:pPr>
      <w:r w:rsidRPr="00464566">
        <w:rPr>
          <w:rStyle w:val="Strong"/>
          <w:rFonts w:ascii="Arial" w:hAnsi="Arial" w:cs="Arial"/>
          <w:b w:val="0"/>
          <w:bCs w:val="0"/>
        </w:rPr>
        <w:t>Table A.1: Complete Profitability Ratio Analysis (2020-2024)</w:t>
      </w:r>
    </w:p>
    <w:tbl>
      <w:tblPr>
        <w:tblStyle w:val="TableGrid"/>
        <w:tblW w:w="0" w:type="auto"/>
        <w:tblLook w:val="04A0" w:firstRow="1" w:lastRow="0" w:firstColumn="1" w:lastColumn="0" w:noHBand="0" w:noVBand="1"/>
      </w:tblPr>
      <w:tblGrid>
        <w:gridCol w:w="2515"/>
        <w:gridCol w:w="1959"/>
        <w:gridCol w:w="767"/>
        <w:gridCol w:w="767"/>
        <w:gridCol w:w="767"/>
        <w:gridCol w:w="840"/>
        <w:gridCol w:w="840"/>
      </w:tblGrid>
      <w:tr w:rsidR="00464566" w:rsidRPr="00464566" w14:paraId="767C6C03" w14:textId="77777777" w:rsidTr="00464566">
        <w:tc>
          <w:tcPr>
            <w:tcW w:w="0" w:type="auto"/>
            <w:hideMark/>
          </w:tcPr>
          <w:p w14:paraId="50B5DE52" w14:textId="77777777" w:rsidR="00464566" w:rsidRPr="00464566" w:rsidRDefault="00464566" w:rsidP="00FC5051">
            <w:pPr>
              <w:spacing w:line="276" w:lineRule="auto"/>
              <w:jc w:val="both"/>
              <w:rPr>
                <w:rFonts w:ascii="Arial" w:hAnsi="Arial" w:cs="Arial"/>
              </w:rPr>
            </w:pPr>
            <w:r w:rsidRPr="00464566">
              <w:rPr>
                <w:rFonts w:ascii="Arial" w:hAnsi="Arial" w:cs="Arial"/>
              </w:rPr>
              <w:t>Ratio</w:t>
            </w:r>
          </w:p>
        </w:tc>
        <w:tc>
          <w:tcPr>
            <w:tcW w:w="0" w:type="auto"/>
            <w:hideMark/>
          </w:tcPr>
          <w:p w14:paraId="6C1ED2C4" w14:textId="77777777" w:rsidR="00464566" w:rsidRPr="00464566" w:rsidRDefault="00464566" w:rsidP="00FC5051">
            <w:pPr>
              <w:spacing w:line="276" w:lineRule="auto"/>
              <w:jc w:val="both"/>
              <w:rPr>
                <w:rFonts w:ascii="Arial" w:hAnsi="Arial" w:cs="Arial"/>
              </w:rPr>
            </w:pPr>
            <w:r w:rsidRPr="00464566">
              <w:rPr>
                <w:rFonts w:ascii="Arial" w:hAnsi="Arial" w:cs="Arial"/>
              </w:rPr>
              <w:t>Formula</w:t>
            </w:r>
          </w:p>
        </w:tc>
        <w:tc>
          <w:tcPr>
            <w:tcW w:w="0" w:type="auto"/>
            <w:hideMark/>
          </w:tcPr>
          <w:p w14:paraId="7588A761" w14:textId="77777777" w:rsidR="00464566" w:rsidRPr="00464566" w:rsidRDefault="00464566" w:rsidP="00FC5051">
            <w:pPr>
              <w:spacing w:line="276" w:lineRule="auto"/>
              <w:jc w:val="both"/>
              <w:rPr>
                <w:rFonts w:ascii="Arial" w:hAnsi="Arial" w:cs="Arial"/>
              </w:rPr>
            </w:pPr>
            <w:r w:rsidRPr="00464566">
              <w:rPr>
                <w:rFonts w:ascii="Arial" w:hAnsi="Arial" w:cs="Arial"/>
              </w:rPr>
              <w:t>2020</w:t>
            </w:r>
          </w:p>
        </w:tc>
        <w:tc>
          <w:tcPr>
            <w:tcW w:w="0" w:type="auto"/>
            <w:hideMark/>
          </w:tcPr>
          <w:p w14:paraId="168A2FF3" w14:textId="77777777" w:rsidR="00464566" w:rsidRPr="00464566" w:rsidRDefault="00464566" w:rsidP="00FC5051">
            <w:pPr>
              <w:spacing w:line="276" w:lineRule="auto"/>
              <w:jc w:val="both"/>
              <w:rPr>
                <w:rFonts w:ascii="Arial" w:hAnsi="Arial" w:cs="Arial"/>
              </w:rPr>
            </w:pPr>
            <w:r w:rsidRPr="00464566">
              <w:rPr>
                <w:rFonts w:ascii="Arial" w:hAnsi="Arial" w:cs="Arial"/>
              </w:rPr>
              <w:t>2021</w:t>
            </w:r>
          </w:p>
        </w:tc>
        <w:tc>
          <w:tcPr>
            <w:tcW w:w="0" w:type="auto"/>
            <w:hideMark/>
          </w:tcPr>
          <w:p w14:paraId="4E5E2C8E" w14:textId="77777777" w:rsidR="00464566" w:rsidRPr="00464566" w:rsidRDefault="00464566" w:rsidP="00FC5051">
            <w:pPr>
              <w:spacing w:line="276" w:lineRule="auto"/>
              <w:jc w:val="both"/>
              <w:rPr>
                <w:rFonts w:ascii="Arial" w:hAnsi="Arial" w:cs="Arial"/>
              </w:rPr>
            </w:pPr>
            <w:r w:rsidRPr="00464566">
              <w:rPr>
                <w:rFonts w:ascii="Arial" w:hAnsi="Arial" w:cs="Arial"/>
              </w:rPr>
              <w:t>2022</w:t>
            </w:r>
          </w:p>
        </w:tc>
        <w:tc>
          <w:tcPr>
            <w:tcW w:w="0" w:type="auto"/>
            <w:hideMark/>
          </w:tcPr>
          <w:p w14:paraId="0DE03508" w14:textId="77777777" w:rsidR="00464566" w:rsidRPr="00464566" w:rsidRDefault="00464566" w:rsidP="00FC5051">
            <w:pPr>
              <w:spacing w:line="276" w:lineRule="auto"/>
              <w:jc w:val="both"/>
              <w:rPr>
                <w:rFonts w:ascii="Arial" w:hAnsi="Arial" w:cs="Arial"/>
              </w:rPr>
            </w:pPr>
            <w:r w:rsidRPr="00464566">
              <w:rPr>
                <w:rFonts w:ascii="Arial" w:hAnsi="Arial" w:cs="Arial"/>
              </w:rPr>
              <w:t>2023</w:t>
            </w:r>
          </w:p>
        </w:tc>
        <w:tc>
          <w:tcPr>
            <w:tcW w:w="0" w:type="auto"/>
            <w:hideMark/>
          </w:tcPr>
          <w:p w14:paraId="6D5F2788" w14:textId="77777777" w:rsidR="00464566" w:rsidRPr="00464566" w:rsidRDefault="00464566" w:rsidP="00FC5051">
            <w:pPr>
              <w:spacing w:line="276" w:lineRule="auto"/>
              <w:jc w:val="both"/>
              <w:rPr>
                <w:rFonts w:ascii="Arial" w:hAnsi="Arial" w:cs="Arial"/>
              </w:rPr>
            </w:pPr>
            <w:r w:rsidRPr="00464566">
              <w:rPr>
                <w:rFonts w:ascii="Arial" w:hAnsi="Arial" w:cs="Arial"/>
              </w:rPr>
              <w:t>2024</w:t>
            </w:r>
          </w:p>
        </w:tc>
      </w:tr>
      <w:tr w:rsidR="00464566" w:rsidRPr="00464566" w14:paraId="647918A1" w14:textId="77777777" w:rsidTr="00464566">
        <w:tc>
          <w:tcPr>
            <w:tcW w:w="0" w:type="auto"/>
            <w:hideMark/>
          </w:tcPr>
          <w:p w14:paraId="1E48A69A" w14:textId="77777777" w:rsidR="00464566" w:rsidRPr="00464566" w:rsidRDefault="00464566" w:rsidP="00FC5051">
            <w:pPr>
              <w:spacing w:line="276" w:lineRule="auto"/>
              <w:jc w:val="both"/>
              <w:rPr>
                <w:rFonts w:ascii="Arial" w:hAnsi="Arial" w:cs="Arial"/>
              </w:rPr>
            </w:pPr>
            <w:r w:rsidRPr="00464566">
              <w:rPr>
                <w:rFonts w:ascii="Arial" w:hAnsi="Arial" w:cs="Arial"/>
              </w:rPr>
              <w:t>Gross Profit Margin (%)</w:t>
            </w:r>
          </w:p>
        </w:tc>
        <w:tc>
          <w:tcPr>
            <w:tcW w:w="0" w:type="auto"/>
            <w:hideMark/>
          </w:tcPr>
          <w:p w14:paraId="642C30FE" w14:textId="77777777" w:rsidR="00464566" w:rsidRPr="00464566" w:rsidRDefault="00464566" w:rsidP="00FC5051">
            <w:pPr>
              <w:spacing w:line="276" w:lineRule="auto"/>
              <w:jc w:val="both"/>
              <w:rPr>
                <w:rFonts w:ascii="Arial" w:hAnsi="Arial" w:cs="Arial"/>
              </w:rPr>
            </w:pPr>
            <w:r w:rsidRPr="00464566">
              <w:rPr>
                <w:rFonts w:ascii="Arial" w:hAnsi="Arial" w:cs="Arial"/>
              </w:rPr>
              <w:t>(GP/</w:t>
            </w:r>
            <w:proofErr w:type="gramStart"/>
            <w:r w:rsidRPr="00464566">
              <w:rPr>
                <w:rFonts w:ascii="Arial" w:hAnsi="Arial" w:cs="Arial"/>
              </w:rPr>
              <w:t>Sales)×</w:t>
            </w:r>
            <w:proofErr w:type="gramEnd"/>
            <w:r w:rsidRPr="00464566">
              <w:rPr>
                <w:rFonts w:ascii="Arial" w:hAnsi="Arial" w:cs="Arial"/>
              </w:rPr>
              <w:t>100</w:t>
            </w:r>
          </w:p>
        </w:tc>
        <w:tc>
          <w:tcPr>
            <w:tcW w:w="0" w:type="auto"/>
            <w:hideMark/>
          </w:tcPr>
          <w:p w14:paraId="0E607251" w14:textId="77777777" w:rsidR="00464566" w:rsidRPr="00464566" w:rsidRDefault="00464566" w:rsidP="00FC5051">
            <w:pPr>
              <w:spacing w:line="276" w:lineRule="auto"/>
              <w:jc w:val="both"/>
              <w:rPr>
                <w:rFonts w:ascii="Arial" w:hAnsi="Arial" w:cs="Arial"/>
              </w:rPr>
            </w:pPr>
            <w:r w:rsidRPr="00464566">
              <w:rPr>
                <w:rFonts w:ascii="Arial" w:hAnsi="Arial" w:cs="Arial"/>
              </w:rPr>
              <w:t>28.68</w:t>
            </w:r>
          </w:p>
        </w:tc>
        <w:tc>
          <w:tcPr>
            <w:tcW w:w="0" w:type="auto"/>
            <w:hideMark/>
          </w:tcPr>
          <w:p w14:paraId="250E5270" w14:textId="77777777" w:rsidR="00464566" w:rsidRPr="00464566" w:rsidRDefault="00464566" w:rsidP="00FC5051">
            <w:pPr>
              <w:spacing w:line="276" w:lineRule="auto"/>
              <w:jc w:val="both"/>
              <w:rPr>
                <w:rFonts w:ascii="Arial" w:hAnsi="Arial" w:cs="Arial"/>
              </w:rPr>
            </w:pPr>
            <w:r w:rsidRPr="00464566">
              <w:rPr>
                <w:rFonts w:ascii="Arial" w:hAnsi="Arial" w:cs="Arial"/>
              </w:rPr>
              <w:t>28.76</w:t>
            </w:r>
          </w:p>
        </w:tc>
        <w:tc>
          <w:tcPr>
            <w:tcW w:w="0" w:type="auto"/>
            <w:hideMark/>
          </w:tcPr>
          <w:p w14:paraId="317D5154" w14:textId="77777777" w:rsidR="00464566" w:rsidRPr="00464566" w:rsidRDefault="00464566" w:rsidP="00FC5051">
            <w:pPr>
              <w:spacing w:line="276" w:lineRule="auto"/>
              <w:jc w:val="both"/>
              <w:rPr>
                <w:rFonts w:ascii="Arial" w:hAnsi="Arial" w:cs="Arial"/>
              </w:rPr>
            </w:pPr>
            <w:r w:rsidRPr="00464566">
              <w:rPr>
                <w:rFonts w:ascii="Arial" w:hAnsi="Arial" w:cs="Arial"/>
              </w:rPr>
              <w:t>28.06</w:t>
            </w:r>
          </w:p>
        </w:tc>
        <w:tc>
          <w:tcPr>
            <w:tcW w:w="0" w:type="auto"/>
            <w:hideMark/>
          </w:tcPr>
          <w:p w14:paraId="2FA5D7A9" w14:textId="77777777" w:rsidR="00464566" w:rsidRPr="00464566" w:rsidRDefault="00464566" w:rsidP="00FC5051">
            <w:pPr>
              <w:spacing w:line="276" w:lineRule="auto"/>
              <w:jc w:val="both"/>
              <w:rPr>
                <w:rFonts w:ascii="Arial" w:hAnsi="Arial" w:cs="Arial"/>
              </w:rPr>
            </w:pPr>
            <w:r w:rsidRPr="00464566">
              <w:rPr>
                <w:rFonts w:ascii="Arial" w:hAnsi="Arial" w:cs="Arial"/>
              </w:rPr>
              <w:t>23.20</w:t>
            </w:r>
          </w:p>
        </w:tc>
        <w:tc>
          <w:tcPr>
            <w:tcW w:w="0" w:type="auto"/>
            <w:hideMark/>
          </w:tcPr>
          <w:p w14:paraId="084F4790" w14:textId="77777777" w:rsidR="00464566" w:rsidRPr="00464566" w:rsidRDefault="00464566" w:rsidP="00FC5051">
            <w:pPr>
              <w:spacing w:line="276" w:lineRule="auto"/>
              <w:jc w:val="both"/>
              <w:rPr>
                <w:rFonts w:ascii="Arial" w:hAnsi="Arial" w:cs="Arial"/>
              </w:rPr>
            </w:pPr>
            <w:r w:rsidRPr="00464566">
              <w:rPr>
                <w:rFonts w:ascii="Arial" w:hAnsi="Arial" w:cs="Arial"/>
              </w:rPr>
              <w:t>28.87</w:t>
            </w:r>
          </w:p>
        </w:tc>
      </w:tr>
      <w:tr w:rsidR="00464566" w:rsidRPr="00464566" w14:paraId="309209B2" w14:textId="77777777" w:rsidTr="00464566">
        <w:tc>
          <w:tcPr>
            <w:tcW w:w="0" w:type="auto"/>
            <w:hideMark/>
          </w:tcPr>
          <w:p w14:paraId="14B2D6F8" w14:textId="77777777" w:rsidR="00464566" w:rsidRPr="00464566" w:rsidRDefault="00464566" w:rsidP="00FC5051">
            <w:pPr>
              <w:spacing w:line="276" w:lineRule="auto"/>
              <w:jc w:val="both"/>
              <w:rPr>
                <w:rFonts w:ascii="Arial" w:hAnsi="Arial" w:cs="Arial"/>
              </w:rPr>
            </w:pPr>
            <w:r w:rsidRPr="00464566">
              <w:rPr>
                <w:rFonts w:ascii="Arial" w:hAnsi="Arial" w:cs="Arial"/>
              </w:rPr>
              <w:t>Operating Margin (%)</w:t>
            </w:r>
          </w:p>
        </w:tc>
        <w:tc>
          <w:tcPr>
            <w:tcW w:w="0" w:type="auto"/>
            <w:hideMark/>
          </w:tcPr>
          <w:p w14:paraId="2BEDB2F3" w14:textId="77777777" w:rsidR="00464566" w:rsidRPr="00464566" w:rsidRDefault="00464566" w:rsidP="00FC5051">
            <w:pPr>
              <w:spacing w:line="276" w:lineRule="auto"/>
              <w:jc w:val="both"/>
              <w:rPr>
                <w:rFonts w:ascii="Arial" w:hAnsi="Arial" w:cs="Arial"/>
              </w:rPr>
            </w:pPr>
            <w:r w:rsidRPr="00464566">
              <w:rPr>
                <w:rFonts w:ascii="Arial" w:hAnsi="Arial" w:cs="Arial"/>
              </w:rPr>
              <w:t>(EBIT/</w:t>
            </w:r>
            <w:proofErr w:type="gramStart"/>
            <w:r w:rsidRPr="00464566">
              <w:rPr>
                <w:rFonts w:ascii="Arial" w:hAnsi="Arial" w:cs="Arial"/>
              </w:rPr>
              <w:t>Sales)×</w:t>
            </w:r>
            <w:proofErr w:type="gramEnd"/>
            <w:r w:rsidRPr="00464566">
              <w:rPr>
                <w:rFonts w:ascii="Arial" w:hAnsi="Arial" w:cs="Arial"/>
              </w:rPr>
              <w:t>100</w:t>
            </w:r>
          </w:p>
        </w:tc>
        <w:tc>
          <w:tcPr>
            <w:tcW w:w="0" w:type="auto"/>
            <w:hideMark/>
          </w:tcPr>
          <w:p w14:paraId="58F6D95C" w14:textId="77777777" w:rsidR="00464566" w:rsidRPr="00464566" w:rsidRDefault="00464566" w:rsidP="00FC5051">
            <w:pPr>
              <w:spacing w:line="276" w:lineRule="auto"/>
              <w:jc w:val="both"/>
              <w:rPr>
                <w:rFonts w:ascii="Arial" w:hAnsi="Arial" w:cs="Arial"/>
              </w:rPr>
            </w:pPr>
            <w:r w:rsidRPr="00464566">
              <w:rPr>
                <w:rFonts w:ascii="Arial" w:hAnsi="Arial" w:cs="Arial"/>
              </w:rPr>
              <w:t>6.06</w:t>
            </w:r>
          </w:p>
        </w:tc>
        <w:tc>
          <w:tcPr>
            <w:tcW w:w="0" w:type="auto"/>
            <w:hideMark/>
          </w:tcPr>
          <w:p w14:paraId="10FD8A66" w14:textId="77777777" w:rsidR="00464566" w:rsidRPr="00464566" w:rsidRDefault="00464566" w:rsidP="00FC5051">
            <w:pPr>
              <w:spacing w:line="276" w:lineRule="auto"/>
              <w:jc w:val="both"/>
              <w:rPr>
                <w:rFonts w:ascii="Arial" w:hAnsi="Arial" w:cs="Arial"/>
              </w:rPr>
            </w:pPr>
            <w:r w:rsidRPr="00464566">
              <w:rPr>
                <w:rFonts w:ascii="Arial" w:hAnsi="Arial" w:cs="Arial"/>
              </w:rPr>
              <w:t>3.87</w:t>
            </w:r>
          </w:p>
        </w:tc>
        <w:tc>
          <w:tcPr>
            <w:tcW w:w="0" w:type="auto"/>
            <w:hideMark/>
          </w:tcPr>
          <w:p w14:paraId="69B314B6" w14:textId="77777777" w:rsidR="00464566" w:rsidRPr="00464566" w:rsidRDefault="00464566" w:rsidP="00FC5051">
            <w:pPr>
              <w:spacing w:line="276" w:lineRule="auto"/>
              <w:jc w:val="both"/>
              <w:rPr>
                <w:rFonts w:ascii="Arial" w:hAnsi="Arial" w:cs="Arial"/>
              </w:rPr>
            </w:pPr>
            <w:r w:rsidRPr="00464566">
              <w:rPr>
                <w:rFonts w:ascii="Arial" w:hAnsi="Arial" w:cs="Arial"/>
              </w:rPr>
              <w:t>2.68</w:t>
            </w:r>
          </w:p>
        </w:tc>
        <w:tc>
          <w:tcPr>
            <w:tcW w:w="0" w:type="auto"/>
            <w:hideMark/>
          </w:tcPr>
          <w:p w14:paraId="162E8A06" w14:textId="77777777" w:rsidR="00464566" w:rsidRPr="00464566" w:rsidRDefault="00464566" w:rsidP="00FC5051">
            <w:pPr>
              <w:spacing w:line="276" w:lineRule="auto"/>
              <w:jc w:val="both"/>
              <w:rPr>
                <w:rFonts w:ascii="Arial" w:hAnsi="Arial" w:cs="Arial"/>
              </w:rPr>
            </w:pPr>
            <w:r w:rsidRPr="00464566">
              <w:rPr>
                <w:rFonts w:ascii="Arial" w:hAnsi="Arial" w:cs="Arial"/>
              </w:rPr>
              <w:t>-20.28</w:t>
            </w:r>
          </w:p>
        </w:tc>
        <w:tc>
          <w:tcPr>
            <w:tcW w:w="0" w:type="auto"/>
            <w:hideMark/>
          </w:tcPr>
          <w:p w14:paraId="1271BDFB" w14:textId="77777777" w:rsidR="00464566" w:rsidRPr="00464566" w:rsidRDefault="00464566" w:rsidP="00FC5051">
            <w:pPr>
              <w:spacing w:line="276" w:lineRule="auto"/>
              <w:jc w:val="both"/>
              <w:rPr>
                <w:rFonts w:ascii="Arial" w:hAnsi="Arial" w:cs="Arial"/>
              </w:rPr>
            </w:pPr>
            <w:r w:rsidRPr="00464566">
              <w:rPr>
                <w:rFonts w:ascii="Arial" w:hAnsi="Arial" w:cs="Arial"/>
              </w:rPr>
              <w:t>-3.87</w:t>
            </w:r>
          </w:p>
        </w:tc>
      </w:tr>
      <w:tr w:rsidR="00464566" w:rsidRPr="00464566" w14:paraId="707C6680" w14:textId="77777777" w:rsidTr="00464566">
        <w:tc>
          <w:tcPr>
            <w:tcW w:w="0" w:type="auto"/>
            <w:hideMark/>
          </w:tcPr>
          <w:p w14:paraId="6D8ABE63" w14:textId="77777777" w:rsidR="00464566" w:rsidRPr="00464566" w:rsidRDefault="00464566" w:rsidP="00FC5051">
            <w:pPr>
              <w:spacing w:line="276" w:lineRule="auto"/>
              <w:jc w:val="both"/>
              <w:rPr>
                <w:rFonts w:ascii="Arial" w:hAnsi="Arial" w:cs="Arial"/>
              </w:rPr>
            </w:pPr>
            <w:r w:rsidRPr="00464566">
              <w:rPr>
                <w:rFonts w:ascii="Arial" w:hAnsi="Arial" w:cs="Arial"/>
              </w:rPr>
              <w:t>Net Profit Margin (%)</w:t>
            </w:r>
          </w:p>
        </w:tc>
        <w:tc>
          <w:tcPr>
            <w:tcW w:w="0" w:type="auto"/>
            <w:hideMark/>
          </w:tcPr>
          <w:p w14:paraId="7EB6DC2A" w14:textId="77777777" w:rsidR="00464566" w:rsidRPr="00464566" w:rsidRDefault="00464566" w:rsidP="00FC5051">
            <w:pPr>
              <w:spacing w:line="276" w:lineRule="auto"/>
              <w:jc w:val="both"/>
              <w:rPr>
                <w:rFonts w:ascii="Arial" w:hAnsi="Arial" w:cs="Arial"/>
              </w:rPr>
            </w:pPr>
            <w:r w:rsidRPr="00464566">
              <w:rPr>
                <w:rFonts w:ascii="Arial" w:hAnsi="Arial" w:cs="Arial"/>
              </w:rPr>
              <w:t>(NI/</w:t>
            </w:r>
            <w:proofErr w:type="gramStart"/>
            <w:r w:rsidRPr="00464566">
              <w:rPr>
                <w:rFonts w:ascii="Arial" w:hAnsi="Arial" w:cs="Arial"/>
              </w:rPr>
              <w:t>Sales)×</w:t>
            </w:r>
            <w:proofErr w:type="gramEnd"/>
            <w:r w:rsidRPr="00464566">
              <w:rPr>
                <w:rFonts w:ascii="Arial" w:hAnsi="Arial" w:cs="Arial"/>
              </w:rPr>
              <w:t>100</w:t>
            </w:r>
          </w:p>
        </w:tc>
        <w:tc>
          <w:tcPr>
            <w:tcW w:w="0" w:type="auto"/>
            <w:hideMark/>
          </w:tcPr>
          <w:p w14:paraId="48292F5E" w14:textId="77777777" w:rsidR="00464566" w:rsidRPr="00464566" w:rsidRDefault="00464566" w:rsidP="00FC5051">
            <w:pPr>
              <w:spacing w:line="276" w:lineRule="auto"/>
              <w:jc w:val="both"/>
              <w:rPr>
                <w:rFonts w:ascii="Arial" w:hAnsi="Arial" w:cs="Arial"/>
              </w:rPr>
            </w:pPr>
            <w:r w:rsidRPr="00464566">
              <w:rPr>
                <w:rFonts w:ascii="Arial" w:hAnsi="Arial" w:cs="Arial"/>
              </w:rPr>
              <w:t>6.28</w:t>
            </w:r>
          </w:p>
        </w:tc>
        <w:tc>
          <w:tcPr>
            <w:tcW w:w="0" w:type="auto"/>
            <w:hideMark/>
          </w:tcPr>
          <w:p w14:paraId="6F0B0994" w14:textId="77777777" w:rsidR="00464566" w:rsidRPr="00464566" w:rsidRDefault="00464566" w:rsidP="00FC5051">
            <w:pPr>
              <w:spacing w:line="276" w:lineRule="auto"/>
              <w:jc w:val="both"/>
              <w:rPr>
                <w:rFonts w:ascii="Arial" w:hAnsi="Arial" w:cs="Arial"/>
              </w:rPr>
            </w:pPr>
            <w:r w:rsidRPr="00464566">
              <w:rPr>
                <w:rFonts w:ascii="Arial" w:hAnsi="Arial" w:cs="Arial"/>
              </w:rPr>
              <w:t>0.88</w:t>
            </w:r>
          </w:p>
        </w:tc>
        <w:tc>
          <w:tcPr>
            <w:tcW w:w="0" w:type="auto"/>
            <w:hideMark/>
          </w:tcPr>
          <w:p w14:paraId="157B6A34" w14:textId="77777777" w:rsidR="00464566" w:rsidRPr="00464566" w:rsidRDefault="00464566" w:rsidP="00FC5051">
            <w:pPr>
              <w:spacing w:line="276" w:lineRule="auto"/>
              <w:jc w:val="both"/>
              <w:rPr>
                <w:rFonts w:ascii="Arial" w:hAnsi="Arial" w:cs="Arial"/>
              </w:rPr>
            </w:pPr>
            <w:r w:rsidRPr="00464566">
              <w:rPr>
                <w:rFonts w:ascii="Arial" w:hAnsi="Arial" w:cs="Arial"/>
              </w:rPr>
              <w:t>0.07</w:t>
            </w:r>
          </w:p>
        </w:tc>
        <w:tc>
          <w:tcPr>
            <w:tcW w:w="0" w:type="auto"/>
            <w:hideMark/>
          </w:tcPr>
          <w:p w14:paraId="3AA6150C" w14:textId="77777777" w:rsidR="00464566" w:rsidRPr="00464566" w:rsidRDefault="00464566" w:rsidP="00FC5051">
            <w:pPr>
              <w:spacing w:line="276" w:lineRule="auto"/>
              <w:jc w:val="both"/>
              <w:rPr>
                <w:rFonts w:ascii="Arial" w:hAnsi="Arial" w:cs="Arial"/>
              </w:rPr>
            </w:pPr>
            <w:r w:rsidRPr="00464566">
              <w:rPr>
                <w:rFonts w:ascii="Arial" w:hAnsi="Arial" w:cs="Arial"/>
              </w:rPr>
              <w:t>-23.36</w:t>
            </w:r>
          </w:p>
        </w:tc>
        <w:tc>
          <w:tcPr>
            <w:tcW w:w="0" w:type="auto"/>
            <w:hideMark/>
          </w:tcPr>
          <w:p w14:paraId="10824421" w14:textId="77777777" w:rsidR="00464566" w:rsidRPr="00464566" w:rsidRDefault="00464566" w:rsidP="00FC5051">
            <w:pPr>
              <w:spacing w:line="276" w:lineRule="auto"/>
              <w:jc w:val="both"/>
              <w:rPr>
                <w:rFonts w:ascii="Arial" w:hAnsi="Arial" w:cs="Arial"/>
              </w:rPr>
            </w:pPr>
            <w:r w:rsidRPr="00464566">
              <w:rPr>
                <w:rFonts w:ascii="Arial" w:hAnsi="Arial" w:cs="Arial"/>
              </w:rPr>
              <w:t>-6.09</w:t>
            </w:r>
          </w:p>
        </w:tc>
      </w:tr>
      <w:tr w:rsidR="00464566" w:rsidRPr="00464566" w14:paraId="79489B3B" w14:textId="77777777" w:rsidTr="00464566">
        <w:tc>
          <w:tcPr>
            <w:tcW w:w="0" w:type="auto"/>
            <w:hideMark/>
          </w:tcPr>
          <w:p w14:paraId="6F752566" w14:textId="77777777" w:rsidR="00464566" w:rsidRPr="00464566" w:rsidRDefault="00464566" w:rsidP="00FC5051">
            <w:pPr>
              <w:spacing w:line="276" w:lineRule="auto"/>
              <w:jc w:val="both"/>
              <w:rPr>
                <w:rFonts w:ascii="Arial" w:hAnsi="Arial" w:cs="Arial"/>
              </w:rPr>
            </w:pPr>
            <w:r w:rsidRPr="00464566">
              <w:rPr>
                <w:rFonts w:ascii="Arial" w:hAnsi="Arial" w:cs="Arial"/>
              </w:rPr>
              <w:t>Return on Assets (%)</w:t>
            </w:r>
          </w:p>
        </w:tc>
        <w:tc>
          <w:tcPr>
            <w:tcW w:w="0" w:type="auto"/>
            <w:hideMark/>
          </w:tcPr>
          <w:p w14:paraId="7C289F48" w14:textId="77777777" w:rsidR="00464566" w:rsidRPr="00464566" w:rsidRDefault="00464566" w:rsidP="00FC5051">
            <w:pPr>
              <w:spacing w:line="276" w:lineRule="auto"/>
              <w:jc w:val="both"/>
              <w:rPr>
                <w:rFonts w:ascii="Arial" w:hAnsi="Arial" w:cs="Arial"/>
              </w:rPr>
            </w:pPr>
            <w:r w:rsidRPr="00464566">
              <w:rPr>
                <w:rFonts w:ascii="Arial" w:hAnsi="Arial" w:cs="Arial"/>
              </w:rPr>
              <w:t>(NI/</w:t>
            </w:r>
            <w:proofErr w:type="gramStart"/>
            <w:r w:rsidRPr="00464566">
              <w:rPr>
                <w:rFonts w:ascii="Arial" w:hAnsi="Arial" w:cs="Arial"/>
              </w:rPr>
              <w:t>Assets)×</w:t>
            </w:r>
            <w:proofErr w:type="gramEnd"/>
            <w:r w:rsidRPr="00464566">
              <w:rPr>
                <w:rFonts w:ascii="Arial" w:hAnsi="Arial" w:cs="Arial"/>
              </w:rPr>
              <w:t>100</w:t>
            </w:r>
          </w:p>
        </w:tc>
        <w:tc>
          <w:tcPr>
            <w:tcW w:w="0" w:type="auto"/>
            <w:hideMark/>
          </w:tcPr>
          <w:p w14:paraId="3D737648" w14:textId="77777777" w:rsidR="00464566" w:rsidRPr="00464566" w:rsidRDefault="00464566" w:rsidP="00FC5051">
            <w:pPr>
              <w:spacing w:line="276" w:lineRule="auto"/>
              <w:jc w:val="both"/>
              <w:rPr>
                <w:rFonts w:ascii="Arial" w:hAnsi="Arial" w:cs="Arial"/>
              </w:rPr>
            </w:pPr>
            <w:r w:rsidRPr="00464566">
              <w:rPr>
                <w:rFonts w:ascii="Arial" w:hAnsi="Arial" w:cs="Arial"/>
              </w:rPr>
              <w:t>7.56</w:t>
            </w:r>
          </w:p>
        </w:tc>
        <w:tc>
          <w:tcPr>
            <w:tcW w:w="0" w:type="auto"/>
            <w:hideMark/>
          </w:tcPr>
          <w:p w14:paraId="118D7C01" w14:textId="77777777" w:rsidR="00464566" w:rsidRPr="00464566" w:rsidRDefault="00464566" w:rsidP="00FC5051">
            <w:pPr>
              <w:spacing w:line="276" w:lineRule="auto"/>
              <w:jc w:val="both"/>
              <w:rPr>
                <w:rFonts w:ascii="Arial" w:hAnsi="Arial" w:cs="Arial"/>
              </w:rPr>
            </w:pPr>
            <w:r w:rsidRPr="00464566">
              <w:rPr>
                <w:rFonts w:ascii="Arial" w:hAnsi="Arial" w:cs="Arial"/>
              </w:rPr>
              <w:t>1.04</w:t>
            </w:r>
          </w:p>
        </w:tc>
        <w:tc>
          <w:tcPr>
            <w:tcW w:w="0" w:type="auto"/>
            <w:hideMark/>
          </w:tcPr>
          <w:p w14:paraId="7BDAEFA7" w14:textId="77777777" w:rsidR="00464566" w:rsidRPr="00464566" w:rsidRDefault="00464566" w:rsidP="00FC5051">
            <w:pPr>
              <w:spacing w:line="276" w:lineRule="auto"/>
              <w:jc w:val="both"/>
              <w:rPr>
                <w:rFonts w:ascii="Arial" w:hAnsi="Arial" w:cs="Arial"/>
              </w:rPr>
            </w:pPr>
            <w:r w:rsidRPr="00464566">
              <w:rPr>
                <w:rFonts w:ascii="Arial" w:hAnsi="Arial" w:cs="Arial"/>
              </w:rPr>
              <w:t>0.08</w:t>
            </w:r>
          </w:p>
        </w:tc>
        <w:tc>
          <w:tcPr>
            <w:tcW w:w="0" w:type="auto"/>
            <w:hideMark/>
          </w:tcPr>
          <w:p w14:paraId="1928C9D7" w14:textId="77777777" w:rsidR="00464566" w:rsidRPr="00464566" w:rsidRDefault="00464566" w:rsidP="00FC5051">
            <w:pPr>
              <w:spacing w:line="276" w:lineRule="auto"/>
              <w:jc w:val="both"/>
              <w:rPr>
                <w:rFonts w:ascii="Arial" w:hAnsi="Arial" w:cs="Arial"/>
              </w:rPr>
            </w:pPr>
            <w:r w:rsidRPr="00464566">
              <w:rPr>
                <w:rFonts w:ascii="Arial" w:hAnsi="Arial" w:cs="Arial"/>
              </w:rPr>
              <w:t>-27.60</w:t>
            </w:r>
          </w:p>
        </w:tc>
        <w:tc>
          <w:tcPr>
            <w:tcW w:w="0" w:type="auto"/>
            <w:hideMark/>
          </w:tcPr>
          <w:p w14:paraId="4CD3ED6F" w14:textId="77777777" w:rsidR="00464566" w:rsidRPr="00464566" w:rsidRDefault="00464566" w:rsidP="00FC5051">
            <w:pPr>
              <w:spacing w:line="276" w:lineRule="auto"/>
              <w:jc w:val="both"/>
              <w:rPr>
                <w:rFonts w:ascii="Arial" w:hAnsi="Arial" w:cs="Arial"/>
              </w:rPr>
            </w:pPr>
            <w:r w:rsidRPr="00464566">
              <w:rPr>
                <w:rFonts w:ascii="Arial" w:hAnsi="Arial" w:cs="Arial"/>
              </w:rPr>
              <w:t>-7.43</w:t>
            </w:r>
          </w:p>
        </w:tc>
      </w:tr>
      <w:tr w:rsidR="00464566" w:rsidRPr="00464566" w14:paraId="5D05BC99" w14:textId="77777777" w:rsidTr="00464566">
        <w:tc>
          <w:tcPr>
            <w:tcW w:w="0" w:type="auto"/>
            <w:hideMark/>
          </w:tcPr>
          <w:p w14:paraId="71781374" w14:textId="77777777" w:rsidR="00464566" w:rsidRPr="00464566" w:rsidRDefault="00464566" w:rsidP="00FC5051">
            <w:pPr>
              <w:spacing w:line="276" w:lineRule="auto"/>
              <w:jc w:val="both"/>
              <w:rPr>
                <w:rFonts w:ascii="Arial" w:hAnsi="Arial" w:cs="Arial"/>
              </w:rPr>
            </w:pPr>
            <w:r w:rsidRPr="00464566">
              <w:rPr>
                <w:rFonts w:ascii="Arial" w:hAnsi="Arial" w:cs="Arial"/>
              </w:rPr>
              <w:t>Return on Equity (%)</w:t>
            </w:r>
          </w:p>
        </w:tc>
        <w:tc>
          <w:tcPr>
            <w:tcW w:w="0" w:type="auto"/>
            <w:hideMark/>
          </w:tcPr>
          <w:p w14:paraId="268F2E12" w14:textId="77777777" w:rsidR="00464566" w:rsidRPr="00464566" w:rsidRDefault="00464566" w:rsidP="00FC5051">
            <w:pPr>
              <w:spacing w:line="276" w:lineRule="auto"/>
              <w:jc w:val="both"/>
              <w:rPr>
                <w:rFonts w:ascii="Arial" w:hAnsi="Arial" w:cs="Arial"/>
              </w:rPr>
            </w:pPr>
            <w:r w:rsidRPr="00464566">
              <w:rPr>
                <w:rFonts w:ascii="Arial" w:hAnsi="Arial" w:cs="Arial"/>
              </w:rPr>
              <w:t>(NI/</w:t>
            </w:r>
            <w:proofErr w:type="gramStart"/>
            <w:r w:rsidRPr="00464566">
              <w:rPr>
                <w:rFonts w:ascii="Arial" w:hAnsi="Arial" w:cs="Arial"/>
              </w:rPr>
              <w:t>Equity)×</w:t>
            </w:r>
            <w:proofErr w:type="gramEnd"/>
            <w:r w:rsidRPr="00464566">
              <w:rPr>
                <w:rFonts w:ascii="Arial" w:hAnsi="Arial" w:cs="Arial"/>
              </w:rPr>
              <w:t>100</w:t>
            </w:r>
          </w:p>
        </w:tc>
        <w:tc>
          <w:tcPr>
            <w:tcW w:w="0" w:type="auto"/>
            <w:hideMark/>
          </w:tcPr>
          <w:p w14:paraId="5DE735CA" w14:textId="77777777" w:rsidR="00464566" w:rsidRPr="00464566" w:rsidRDefault="00464566" w:rsidP="00FC5051">
            <w:pPr>
              <w:spacing w:line="276" w:lineRule="auto"/>
              <w:jc w:val="both"/>
              <w:rPr>
                <w:rFonts w:ascii="Arial" w:hAnsi="Arial" w:cs="Arial"/>
              </w:rPr>
            </w:pPr>
            <w:r w:rsidRPr="00464566">
              <w:rPr>
                <w:rFonts w:ascii="Arial" w:hAnsi="Arial" w:cs="Arial"/>
              </w:rPr>
              <w:t>12.31</w:t>
            </w:r>
          </w:p>
        </w:tc>
        <w:tc>
          <w:tcPr>
            <w:tcW w:w="0" w:type="auto"/>
            <w:hideMark/>
          </w:tcPr>
          <w:p w14:paraId="0A076AA4" w14:textId="77777777" w:rsidR="00464566" w:rsidRPr="00464566" w:rsidRDefault="00464566" w:rsidP="00FC5051">
            <w:pPr>
              <w:spacing w:line="276" w:lineRule="auto"/>
              <w:jc w:val="both"/>
              <w:rPr>
                <w:rFonts w:ascii="Arial" w:hAnsi="Arial" w:cs="Arial"/>
              </w:rPr>
            </w:pPr>
            <w:r w:rsidRPr="00464566">
              <w:rPr>
                <w:rFonts w:ascii="Arial" w:hAnsi="Arial" w:cs="Arial"/>
              </w:rPr>
              <w:t>1.92</w:t>
            </w:r>
          </w:p>
        </w:tc>
        <w:tc>
          <w:tcPr>
            <w:tcW w:w="0" w:type="auto"/>
            <w:hideMark/>
          </w:tcPr>
          <w:p w14:paraId="5992CA67" w14:textId="77777777" w:rsidR="00464566" w:rsidRPr="00464566" w:rsidRDefault="00464566" w:rsidP="00FC5051">
            <w:pPr>
              <w:spacing w:line="276" w:lineRule="auto"/>
              <w:jc w:val="both"/>
              <w:rPr>
                <w:rFonts w:ascii="Arial" w:hAnsi="Arial" w:cs="Arial"/>
              </w:rPr>
            </w:pPr>
            <w:r w:rsidRPr="00464566">
              <w:rPr>
                <w:rFonts w:ascii="Arial" w:hAnsi="Arial" w:cs="Arial"/>
              </w:rPr>
              <w:t>0.15</w:t>
            </w:r>
          </w:p>
        </w:tc>
        <w:tc>
          <w:tcPr>
            <w:tcW w:w="0" w:type="auto"/>
            <w:hideMark/>
          </w:tcPr>
          <w:p w14:paraId="6F6BAD6D" w14:textId="77777777" w:rsidR="00464566" w:rsidRPr="00464566" w:rsidRDefault="00464566" w:rsidP="00FC5051">
            <w:pPr>
              <w:spacing w:line="276" w:lineRule="auto"/>
              <w:jc w:val="both"/>
              <w:rPr>
                <w:rFonts w:ascii="Arial" w:hAnsi="Arial" w:cs="Arial"/>
              </w:rPr>
            </w:pPr>
            <w:r w:rsidRPr="00464566">
              <w:rPr>
                <w:rFonts w:ascii="Arial" w:hAnsi="Arial" w:cs="Arial"/>
              </w:rPr>
              <w:t>-54.90</w:t>
            </w:r>
          </w:p>
        </w:tc>
        <w:tc>
          <w:tcPr>
            <w:tcW w:w="0" w:type="auto"/>
            <w:hideMark/>
          </w:tcPr>
          <w:p w14:paraId="10E930E7" w14:textId="77777777" w:rsidR="00464566" w:rsidRPr="00464566" w:rsidRDefault="00464566" w:rsidP="00FC5051">
            <w:pPr>
              <w:spacing w:line="276" w:lineRule="auto"/>
              <w:jc w:val="both"/>
              <w:rPr>
                <w:rFonts w:ascii="Arial" w:hAnsi="Arial" w:cs="Arial"/>
              </w:rPr>
            </w:pPr>
            <w:r w:rsidRPr="00464566">
              <w:rPr>
                <w:rFonts w:ascii="Arial" w:hAnsi="Arial" w:cs="Arial"/>
              </w:rPr>
              <w:t>-15.70</w:t>
            </w:r>
          </w:p>
        </w:tc>
      </w:tr>
      <w:tr w:rsidR="00464566" w:rsidRPr="00464566" w14:paraId="2D067A16" w14:textId="77777777" w:rsidTr="00464566">
        <w:tc>
          <w:tcPr>
            <w:tcW w:w="0" w:type="auto"/>
            <w:hideMark/>
          </w:tcPr>
          <w:p w14:paraId="402119A4" w14:textId="77777777" w:rsidR="00464566" w:rsidRPr="00464566" w:rsidRDefault="00464566" w:rsidP="00FC5051">
            <w:pPr>
              <w:spacing w:line="276" w:lineRule="auto"/>
              <w:jc w:val="both"/>
              <w:rPr>
                <w:rFonts w:ascii="Arial" w:hAnsi="Arial" w:cs="Arial"/>
              </w:rPr>
            </w:pPr>
            <w:r w:rsidRPr="00464566">
              <w:rPr>
                <w:rFonts w:ascii="Arial" w:hAnsi="Arial" w:cs="Arial"/>
              </w:rPr>
              <w:t>Asset Turnover</w:t>
            </w:r>
          </w:p>
        </w:tc>
        <w:tc>
          <w:tcPr>
            <w:tcW w:w="0" w:type="auto"/>
            <w:hideMark/>
          </w:tcPr>
          <w:p w14:paraId="50E17D2C" w14:textId="77777777" w:rsidR="00464566" w:rsidRPr="00464566" w:rsidRDefault="00464566" w:rsidP="00FC5051">
            <w:pPr>
              <w:spacing w:line="276" w:lineRule="auto"/>
              <w:jc w:val="both"/>
              <w:rPr>
                <w:rFonts w:ascii="Arial" w:hAnsi="Arial" w:cs="Arial"/>
              </w:rPr>
            </w:pPr>
            <w:r w:rsidRPr="00464566">
              <w:rPr>
                <w:rFonts w:ascii="Arial" w:hAnsi="Arial" w:cs="Arial"/>
              </w:rPr>
              <w:t>Sales/Assets</w:t>
            </w:r>
          </w:p>
        </w:tc>
        <w:tc>
          <w:tcPr>
            <w:tcW w:w="0" w:type="auto"/>
            <w:hideMark/>
          </w:tcPr>
          <w:p w14:paraId="758BDD98" w14:textId="77777777" w:rsidR="00464566" w:rsidRPr="00464566" w:rsidRDefault="00464566" w:rsidP="00FC5051">
            <w:pPr>
              <w:spacing w:line="276" w:lineRule="auto"/>
              <w:jc w:val="both"/>
              <w:rPr>
                <w:rFonts w:ascii="Arial" w:hAnsi="Arial" w:cs="Arial"/>
              </w:rPr>
            </w:pPr>
            <w:r w:rsidRPr="00464566">
              <w:rPr>
                <w:rFonts w:ascii="Arial" w:hAnsi="Arial" w:cs="Arial"/>
              </w:rPr>
              <w:t>1.219</w:t>
            </w:r>
          </w:p>
        </w:tc>
        <w:tc>
          <w:tcPr>
            <w:tcW w:w="0" w:type="auto"/>
            <w:hideMark/>
          </w:tcPr>
          <w:p w14:paraId="11C0FD8B" w14:textId="77777777" w:rsidR="00464566" w:rsidRPr="00464566" w:rsidRDefault="00464566" w:rsidP="00FC5051">
            <w:pPr>
              <w:spacing w:line="276" w:lineRule="auto"/>
              <w:jc w:val="both"/>
              <w:rPr>
                <w:rFonts w:ascii="Arial" w:hAnsi="Arial" w:cs="Arial"/>
              </w:rPr>
            </w:pPr>
            <w:r w:rsidRPr="00464566">
              <w:rPr>
                <w:rFonts w:ascii="Arial" w:hAnsi="Arial" w:cs="Arial"/>
              </w:rPr>
              <w:t>1.179</w:t>
            </w:r>
          </w:p>
        </w:tc>
        <w:tc>
          <w:tcPr>
            <w:tcW w:w="0" w:type="auto"/>
            <w:hideMark/>
          </w:tcPr>
          <w:p w14:paraId="33CB7193" w14:textId="77777777" w:rsidR="00464566" w:rsidRPr="00464566" w:rsidRDefault="00464566" w:rsidP="00FC5051">
            <w:pPr>
              <w:spacing w:line="276" w:lineRule="auto"/>
              <w:jc w:val="both"/>
              <w:rPr>
                <w:rFonts w:ascii="Arial" w:hAnsi="Arial" w:cs="Arial"/>
              </w:rPr>
            </w:pPr>
            <w:r w:rsidRPr="00464566">
              <w:rPr>
                <w:rFonts w:ascii="Arial" w:hAnsi="Arial" w:cs="Arial"/>
              </w:rPr>
              <w:t>1.070</w:t>
            </w:r>
          </w:p>
        </w:tc>
        <w:tc>
          <w:tcPr>
            <w:tcW w:w="0" w:type="auto"/>
            <w:hideMark/>
          </w:tcPr>
          <w:p w14:paraId="1ED0D119" w14:textId="77777777" w:rsidR="00464566" w:rsidRPr="00464566" w:rsidRDefault="00464566" w:rsidP="00FC5051">
            <w:pPr>
              <w:spacing w:line="276" w:lineRule="auto"/>
              <w:jc w:val="both"/>
              <w:rPr>
                <w:rFonts w:ascii="Arial" w:hAnsi="Arial" w:cs="Arial"/>
              </w:rPr>
            </w:pPr>
            <w:r w:rsidRPr="00464566">
              <w:rPr>
                <w:rFonts w:ascii="Arial" w:hAnsi="Arial" w:cs="Arial"/>
              </w:rPr>
              <w:t>0.978</w:t>
            </w:r>
          </w:p>
        </w:tc>
        <w:tc>
          <w:tcPr>
            <w:tcW w:w="0" w:type="auto"/>
            <w:hideMark/>
          </w:tcPr>
          <w:p w14:paraId="4BF26481" w14:textId="77777777" w:rsidR="00464566" w:rsidRPr="00464566" w:rsidRDefault="00464566" w:rsidP="00FC5051">
            <w:pPr>
              <w:spacing w:line="276" w:lineRule="auto"/>
              <w:jc w:val="both"/>
              <w:rPr>
                <w:rFonts w:ascii="Arial" w:hAnsi="Arial" w:cs="Arial"/>
              </w:rPr>
            </w:pPr>
            <w:r w:rsidRPr="00464566">
              <w:rPr>
                <w:rFonts w:ascii="Arial" w:hAnsi="Arial" w:cs="Arial"/>
              </w:rPr>
              <w:t>1.163</w:t>
            </w:r>
          </w:p>
        </w:tc>
      </w:tr>
      <w:tr w:rsidR="00464566" w:rsidRPr="00464566" w14:paraId="22FD4A44" w14:textId="77777777" w:rsidTr="00464566">
        <w:tc>
          <w:tcPr>
            <w:tcW w:w="0" w:type="auto"/>
            <w:hideMark/>
          </w:tcPr>
          <w:p w14:paraId="6C8673EF" w14:textId="77777777" w:rsidR="00464566" w:rsidRPr="00464566" w:rsidRDefault="00464566" w:rsidP="00FC5051">
            <w:pPr>
              <w:spacing w:line="276" w:lineRule="auto"/>
              <w:jc w:val="center"/>
              <w:rPr>
                <w:rFonts w:ascii="Arial" w:hAnsi="Arial" w:cs="Arial"/>
              </w:rPr>
            </w:pPr>
            <w:r w:rsidRPr="00464566">
              <w:rPr>
                <w:rFonts w:ascii="Arial" w:hAnsi="Arial" w:cs="Arial"/>
              </w:rPr>
              <w:t>Equity Multiplier</w:t>
            </w:r>
          </w:p>
        </w:tc>
        <w:tc>
          <w:tcPr>
            <w:tcW w:w="0" w:type="auto"/>
            <w:hideMark/>
          </w:tcPr>
          <w:p w14:paraId="7D1A7EC6" w14:textId="77777777" w:rsidR="00464566" w:rsidRPr="00464566" w:rsidRDefault="00464566" w:rsidP="00FC5051">
            <w:pPr>
              <w:spacing w:line="276" w:lineRule="auto"/>
              <w:jc w:val="both"/>
              <w:rPr>
                <w:rFonts w:ascii="Arial" w:hAnsi="Arial" w:cs="Arial"/>
              </w:rPr>
            </w:pPr>
            <w:r w:rsidRPr="00464566">
              <w:rPr>
                <w:rFonts w:ascii="Arial" w:hAnsi="Arial" w:cs="Arial"/>
              </w:rPr>
              <w:t>Assets/Equity</w:t>
            </w:r>
          </w:p>
        </w:tc>
        <w:tc>
          <w:tcPr>
            <w:tcW w:w="0" w:type="auto"/>
            <w:hideMark/>
          </w:tcPr>
          <w:p w14:paraId="7C7E61F2" w14:textId="77777777" w:rsidR="00464566" w:rsidRPr="00464566" w:rsidRDefault="00464566" w:rsidP="00FC5051">
            <w:pPr>
              <w:spacing w:line="276" w:lineRule="auto"/>
              <w:jc w:val="both"/>
              <w:rPr>
                <w:rFonts w:ascii="Arial" w:hAnsi="Arial" w:cs="Arial"/>
              </w:rPr>
            </w:pPr>
            <w:r w:rsidRPr="00464566">
              <w:rPr>
                <w:rFonts w:ascii="Arial" w:hAnsi="Arial" w:cs="Arial"/>
              </w:rPr>
              <w:t>1.629</w:t>
            </w:r>
          </w:p>
        </w:tc>
        <w:tc>
          <w:tcPr>
            <w:tcW w:w="0" w:type="auto"/>
            <w:hideMark/>
          </w:tcPr>
          <w:p w14:paraId="17807009" w14:textId="77777777" w:rsidR="00464566" w:rsidRPr="00464566" w:rsidRDefault="00464566" w:rsidP="00FC5051">
            <w:pPr>
              <w:spacing w:line="276" w:lineRule="auto"/>
              <w:jc w:val="both"/>
              <w:rPr>
                <w:rFonts w:ascii="Arial" w:hAnsi="Arial" w:cs="Arial"/>
              </w:rPr>
            </w:pPr>
            <w:r w:rsidRPr="00464566">
              <w:rPr>
                <w:rFonts w:ascii="Arial" w:hAnsi="Arial" w:cs="Arial"/>
              </w:rPr>
              <w:t>1.849</w:t>
            </w:r>
          </w:p>
        </w:tc>
        <w:tc>
          <w:tcPr>
            <w:tcW w:w="0" w:type="auto"/>
            <w:hideMark/>
          </w:tcPr>
          <w:p w14:paraId="3556CB22" w14:textId="77777777" w:rsidR="00464566" w:rsidRPr="00464566" w:rsidRDefault="00464566" w:rsidP="00FC5051">
            <w:pPr>
              <w:spacing w:line="276" w:lineRule="auto"/>
              <w:jc w:val="both"/>
              <w:rPr>
                <w:rFonts w:ascii="Arial" w:hAnsi="Arial" w:cs="Arial"/>
              </w:rPr>
            </w:pPr>
            <w:r w:rsidRPr="00464566">
              <w:rPr>
                <w:rFonts w:ascii="Arial" w:hAnsi="Arial" w:cs="Arial"/>
              </w:rPr>
              <w:t>1.879</w:t>
            </w:r>
          </w:p>
        </w:tc>
        <w:tc>
          <w:tcPr>
            <w:tcW w:w="0" w:type="auto"/>
            <w:hideMark/>
          </w:tcPr>
          <w:p w14:paraId="5DBBA43A" w14:textId="77777777" w:rsidR="00464566" w:rsidRPr="00464566" w:rsidRDefault="00464566" w:rsidP="00FC5051">
            <w:pPr>
              <w:spacing w:line="276" w:lineRule="auto"/>
              <w:jc w:val="both"/>
              <w:rPr>
                <w:rFonts w:ascii="Arial" w:hAnsi="Arial" w:cs="Arial"/>
              </w:rPr>
            </w:pPr>
            <w:r w:rsidRPr="00464566">
              <w:rPr>
                <w:rFonts w:ascii="Arial" w:hAnsi="Arial" w:cs="Arial"/>
              </w:rPr>
              <w:t>1.989</w:t>
            </w:r>
          </w:p>
        </w:tc>
        <w:tc>
          <w:tcPr>
            <w:tcW w:w="0" w:type="auto"/>
            <w:hideMark/>
          </w:tcPr>
          <w:p w14:paraId="02982CDA" w14:textId="77777777" w:rsidR="00464566" w:rsidRPr="00464566" w:rsidRDefault="00464566" w:rsidP="00FC5051">
            <w:pPr>
              <w:spacing w:line="276" w:lineRule="auto"/>
              <w:jc w:val="both"/>
              <w:rPr>
                <w:rFonts w:ascii="Arial" w:hAnsi="Arial" w:cs="Arial"/>
              </w:rPr>
            </w:pPr>
            <w:r w:rsidRPr="00464566">
              <w:rPr>
                <w:rFonts w:ascii="Arial" w:hAnsi="Arial" w:cs="Arial"/>
              </w:rPr>
              <w:t>2.112</w:t>
            </w:r>
          </w:p>
        </w:tc>
      </w:tr>
    </w:tbl>
    <w:p w14:paraId="6A16C67B" w14:textId="77777777" w:rsidR="00464566" w:rsidRPr="00464566" w:rsidRDefault="00464566" w:rsidP="00FC5051">
      <w:pPr>
        <w:pStyle w:val="font-claude-response-body"/>
        <w:spacing w:line="276" w:lineRule="auto"/>
        <w:jc w:val="both"/>
        <w:rPr>
          <w:rFonts w:ascii="Arial" w:hAnsi="Arial" w:cs="Arial"/>
        </w:rPr>
      </w:pPr>
      <w:r w:rsidRPr="00464566">
        <w:rPr>
          <w:rStyle w:val="Strong"/>
          <w:rFonts w:ascii="Arial" w:hAnsi="Arial" w:cs="Arial"/>
          <w:b w:val="0"/>
          <w:bCs w:val="0"/>
        </w:rPr>
        <w:t>Table A.2: Complete Liquidity Ratio Analysis (2020-2024)</w:t>
      </w:r>
    </w:p>
    <w:tbl>
      <w:tblPr>
        <w:tblStyle w:val="TableGrid"/>
        <w:tblW w:w="0" w:type="auto"/>
        <w:jc w:val="center"/>
        <w:tblLook w:val="04A0" w:firstRow="1" w:lastRow="0" w:firstColumn="1" w:lastColumn="0" w:noHBand="0" w:noVBand="1"/>
      </w:tblPr>
      <w:tblGrid>
        <w:gridCol w:w="2283"/>
        <w:gridCol w:w="1378"/>
        <w:gridCol w:w="1012"/>
        <w:gridCol w:w="1012"/>
        <w:gridCol w:w="1012"/>
        <w:gridCol w:w="889"/>
        <w:gridCol w:w="889"/>
      </w:tblGrid>
      <w:tr w:rsidR="00464566" w:rsidRPr="00464566" w14:paraId="44BF5583" w14:textId="77777777" w:rsidTr="00464566">
        <w:trPr>
          <w:jc w:val="center"/>
        </w:trPr>
        <w:tc>
          <w:tcPr>
            <w:tcW w:w="0" w:type="auto"/>
            <w:hideMark/>
          </w:tcPr>
          <w:p w14:paraId="06C93ADF" w14:textId="77777777" w:rsidR="00464566" w:rsidRPr="00464566" w:rsidRDefault="00464566" w:rsidP="00FC5051">
            <w:pPr>
              <w:spacing w:line="276" w:lineRule="auto"/>
              <w:jc w:val="both"/>
              <w:rPr>
                <w:rFonts w:ascii="Arial" w:hAnsi="Arial" w:cs="Arial"/>
              </w:rPr>
            </w:pPr>
            <w:r w:rsidRPr="00464566">
              <w:rPr>
                <w:rFonts w:ascii="Arial" w:hAnsi="Arial" w:cs="Arial"/>
              </w:rPr>
              <w:t>Ratio</w:t>
            </w:r>
          </w:p>
        </w:tc>
        <w:tc>
          <w:tcPr>
            <w:tcW w:w="0" w:type="auto"/>
            <w:hideMark/>
          </w:tcPr>
          <w:p w14:paraId="70E43CD9" w14:textId="77777777" w:rsidR="00464566" w:rsidRPr="00464566" w:rsidRDefault="00464566" w:rsidP="00FC5051">
            <w:pPr>
              <w:spacing w:line="276" w:lineRule="auto"/>
              <w:jc w:val="both"/>
              <w:rPr>
                <w:rFonts w:ascii="Arial" w:hAnsi="Arial" w:cs="Arial"/>
              </w:rPr>
            </w:pPr>
            <w:r w:rsidRPr="00464566">
              <w:rPr>
                <w:rFonts w:ascii="Arial" w:hAnsi="Arial" w:cs="Arial"/>
              </w:rPr>
              <w:t>Formula</w:t>
            </w:r>
          </w:p>
        </w:tc>
        <w:tc>
          <w:tcPr>
            <w:tcW w:w="0" w:type="auto"/>
            <w:hideMark/>
          </w:tcPr>
          <w:p w14:paraId="7EFF47BD" w14:textId="77777777" w:rsidR="00464566" w:rsidRPr="00464566" w:rsidRDefault="00464566" w:rsidP="00FC5051">
            <w:pPr>
              <w:spacing w:line="276" w:lineRule="auto"/>
              <w:jc w:val="both"/>
              <w:rPr>
                <w:rFonts w:ascii="Arial" w:hAnsi="Arial" w:cs="Arial"/>
              </w:rPr>
            </w:pPr>
            <w:r w:rsidRPr="00464566">
              <w:rPr>
                <w:rFonts w:ascii="Arial" w:hAnsi="Arial" w:cs="Arial"/>
              </w:rPr>
              <w:t>2020</w:t>
            </w:r>
          </w:p>
        </w:tc>
        <w:tc>
          <w:tcPr>
            <w:tcW w:w="0" w:type="auto"/>
            <w:hideMark/>
          </w:tcPr>
          <w:p w14:paraId="2270280E" w14:textId="77777777" w:rsidR="00464566" w:rsidRPr="00464566" w:rsidRDefault="00464566" w:rsidP="00FC5051">
            <w:pPr>
              <w:spacing w:line="276" w:lineRule="auto"/>
              <w:jc w:val="both"/>
              <w:rPr>
                <w:rFonts w:ascii="Arial" w:hAnsi="Arial" w:cs="Arial"/>
              </w:rPr>
            </w:pPr>
            <w:r w:rsidRPr="00464566">
              <w:rPr>
                <w:rFonts w:ascii="Arial" w:hAnsi="Arial" w:cs="Arial"/>
              </w:rPr>
              <w:t>2021</w:t>
            </w:r>
          </w:p>
        </w:tc>
        <w:tc>
          <w:tcPr>
            <w:tcW w:w="0" w:type="auto"/>
            <w:hideMark/>
          </w:tcPr>
          <w:p w14:paraId="43BD6772" w14:textId="77777777" w:rsidR="00464566" w:rsidRPr="00464566" w:rsidRDefault="00464566" w:rsidP="00FC5051">
            <w:pPr>
              <w:spacing w:line="276" w:lineRule="auto"/>
              <w:jc w:val="both"/>
              <w:rPr>
                <w:rFonts w:ascii="Arial" w:hAnsi="Arial" w:cs="Arial"/>
              </w:rPr>
            </w:pPr>
            <w:r w:rsidRPr="00464566">
              <w:rPr>
                <w:rFonts w:ascii="Arial" w:hAnsi="Arial" w:cs="Arial"/>
              </w:rPr>
              <w:t>2022</w:t>
            </w:r>
          </w:p>
        </w:tc>
        <w:tc>
          <w:tcPr>
            <w:tcW w:w="0" w:type="auto"/>
            <w:hideMark/>
          </w:tcPr>
          <w:p w14:paraId="54364965" w14:textId="77777777" w:rsidR="00464566" w:rsidRPr="00464566" w:rsidRDefault="00464566" w:rsidP="00FC5051">
            <w:pPr>
              <w:spacing w:line="276" w:lineRule="auto"/>
              <w:jc w:val="both"/>
              <w:rPr>
                <w:rFonts w:ascii="Arial" w:hAnsi="Arial" w:cs="Arial"/>
              </w:rPr>
            </w:pPr>
            <w:r w:rsidRPr="00464566">
              <w:rPr>
                <w:rFonts w:ascii="Arial" w:hAnsi="Arial" w:cs="Arial"/>
              </w:rPr>
              <w:t>2023</w:t>
            </w:r>
          </w:p>
        </w:tc>
        <w:tc>
          <w:tcPr>
            <w:tcW w:w="0" w:type="auto"/>
            <w:hideMark/>
          </w:tcPr>
          <w:p w14:paraId="41AA7E62" w14:textId="77777777" w:rsidR="00464566" w:rsidRPr="00464566" w:rsidRDefault="00464566" w:rsidP="00FC5051">
            <w:pPr>
              <w:spacing w:line="276" w:lineRule="auto"/>
              <w:jc w:val="both"/>
              <w:rPr>
                <w:rFonts w:ascii="Arial" w:hAnsi="Arial" w:cs="Arial"/>
              </w:rPr>
            </w:pPr>
            <w:r w:rsidRPr="00464566">
              <w:rPr>
                <w:rFonts w:ascii="Arial" w:hAnsi="Arial" w:cs="Arial"/>
              </w:rPr>
              <w:t>2024</w:t>
            </w:r>
          </w:p>
        </w:tc>
      </w:tr>
      <w:tr w:rsidR="00464566" w:rsidRPr="00464566" w14:paraId="32D0353E" w14:textId="77777777" w:rsidTr="00464566">
        <w:trPr>
          <w:jc w:val="center"/>
        </w:trPr>
        <w:tc>
          <w:tcPr>
            <w:tcW w:w="0" w:type="auto"/>
            <w:hideMark/>
          </w:tcPr>
          <w:p w14:paraId="7B40493E" w14:textId="77777777" w:rsidR="00464566" w:rsidRPr="00464566" w:rsidRDefault="00464566" w:rsidP="00FC5051">
            <w:pPr>
              <w:spacing w:line="276" w:lineRule="auto"/>
              <w:jc w:val="both"/>
              <w:rPr>
                <w:rFonts w:ascii="Arial" w:hAnsi="Arial" w:cs="Arial"/>
              </w:rPr>
            </w:pPr>
            <w:r w:rsidRPr="00464566">
              <w:rPr>
                <w:rFonts w:ascii="Arial" w:hAnsi="Arial" w:cs="Arial"/>
              </w:rPr>
              <w:t>Current Ratio</w:t>
            </w:r>
          </w:p>
        </w:tc>
        <w:tc>
          <w:tcPr>
            <w:tcW w:w="0" w:type="auto"/>
            <w:hideMark/>
          </w:tcPr>
          <w:p w14:paraId="6C46DABD" w14:textId="77777777" w:rsidR="00464566" w:rsidRPr="00464566" w:rsidRDefault="00464566" w:rsidP="00FC5051">
            <w:pPr>
              <w:spacing w:line="276" w:lineRule="auto"/>
              <w:jc w:val="both"/>
              <w:rPr>
                <w:rFonts w:ascii="Arial" w:hAnsi="Arial" w:cs="Arial"/>
              </w:rPr>
            </w:pPr>
            <w:r w:rsidRPr="00464566">
              <w:rPr>
                <w:rFonts w:ascii="Arial" w:hAnsi="Arial" w:cs="Arial"/>
              </w:rPr>
              <w:t>CA/CL</w:t>
            </w:r>
          </w:p>
        </w:tc>
        <w:tc>
          <w:tcPr>
            <w:tcW w:w="0" w:type="auto"/>
            <w:hideMark/>
          </w:tcPr>
          <w:p w14:paraId="75427161" w14:textId="77777777" w:rsidR="00464566" w:rsidRPr="00464566" w:rsidRDefault="00464566" w:rsidP="00FC5051">
            <w:pPr>
              <w:spacing w:line="276" w:lineRule="auto"/>
              <w:jc w:val="both"/>
              <w:rPr>
                <w:rFonts w:ascii="Arial" w:hAnsi="Arial" w:cs="Arial"/>
              </w:rPr>
            </w:pPr>
            <w:r w:rsidRPr="00464566">
              <w:rPr>
                <w:rFonts w:ascii="Arial" w:hAnsi="Arial" w:cs="Arial"/>
              </w:rPr>
              <w:t>1.82</w:t>
            </w:r>
          </w:p>
        </w:tc>
        <w:tc>
          <w:tcPr>
            <w:tcW w:w="0" w:type="auto"/>
            <w:hideMark/>
          </w:tcPr>
          <w:p w14:paraId="110485A9" w14:textId="77777777" w:rsidR="00464566" w:rsidRPr="00464566" w:rsidRDefault="00464566" w:rsidP="00FC5051">
            <w:pPr>
              <w:spacing w:line="276" w:lineRule="auto"/>
              <w:jc w:val="both"/>
              <w:rPr>
                <w:rFonts w:ascii="Arial" w:hAnsi="Arial" w:cs="Arial"/>
              </w:rPr>
            </w:pPr>
            <w:r w:rsidRPr="00464566">
              <w:rPr>
                <w:rFonts w:ascii="Arial" w:hAnsi="Arial" w:cs="Arial"/>
              </w:rPr>
              <w:t>1.55</w:t>
            </w:r>
          </w:p>
        </w:tc>
        <w:tc>
          <w:tcPr>
            <w:tcW w:w="0" w:type="auto"/>
            <w:hideMark/>
          </w:tcPr>
          <w:p w14:paraId="75885BC3" w14:textId="77777777" w:rsidR="00464566" w:rsidRPr="00464566" w:rsidRDefault="00464566" w:rsidP="00FC5051">
            <w:pPr>
              <w:spacing w:line="276" w:lineRule="auto"/>
              <w:jc w:val="both"/>
              <w:rPr>
                <w:rFonts w:ascii="Arial" w:hAnsi="Arial" w:cs="Arial"/>
              </w:rPr>
            </w:pPr>
            <w:r w:rsidRPr="00464566">
              <w:rPr>
                <w:rFonts w:ascii="Arial" w:hAnsi="Arial" w:cs="Arial"/>
              </w:rPr>
              <w:t>1.56</w:t>
            </w:r>
          </w:p>
        </w:tc>
        <w:tc>
          <w:tcPr>
            <w:tcW w:w="0" w:type="auto"/>
            <w:hideMark/>
          </w:tcPr>
          <w:p w14:paraId="0B3550F6" w14:textId="77777777" w:rsidR="00464566" w:rsidRPr="00464566" w:rsidRDefault="00464566" w:rsidP="00FC5051">
            <w:pPr>
              <w:spacing w:line="276" w:lineRule="auto"/>
              <w:jc w:val="both"/>
              <w:rPr>
                <w:rFonts w:ascii="Arial" w:hAnsi="Arial" w:cs="Arial"/>
              </w:rPr>
            </w:pPr>
            <w:r w:rsidRPr="00464566">
              <w:rPr>
                <w:rFonts w:ascii="Arial" w:hAnsi="Arial" w:cs="Arial"/>
              </w:rPr>
              <w:t>1.61</w:t>
            </w:r>
          </w:p>
        </w:tc>
        <w:tc>
          <w:tcPr>
            <w:tcW w:w="0" w:type="auto"/>
            <w:hideMark/>
          </w:tcPr>
          <w:p w14:paraId="176FB06E" w14:textId="77777777" w:rsidR="00464566" w:rsidRPr="00464566" w:rsidRDefault="00464566" w:rsidP="00FC5051">
            <w:pPr>
              <w:spacing w:line="276" w:lineRule="auto"/>
              <w:jc w:val="both"/>
              <w:rPr>
                <w:rFonts w:ascii="Arial" w:hAnsi="Arial" w:cs="Arial"/>
              </w:rPr>
            </w:pPr>
            <w:r w:rsidRPr="00464566">
              <w:rPr>
                <w:rFonts w:ascii="Arial" w:hAnsi="Arial" w:cs="Arial"/>
              </w:rPr>
              <w:t>1.53</w:t>
            </w:r>
          </w:p>
        </w:tc>
      </w:tr>
      <w:tr w:rsidR="00464566" w:rsidRPr="00464566" w14:paraId="2CFE4108" w14:textId="77777777" w:rsidTr="00464566">
        <w:trPr>
          <w:jc w:val="center"/>
        </w:trPr>
        <w:tc>
          <w:tcPr>
            <w:tcW w:w="0" w:type="auto"/>
            <w:hideMark/>
          </w:tcPr>
          <w:p w14:paraId="789757B9" w14:textId="77777777" w:rsidR="00464566" w:rsidRPr="00464566" w:rsidRDefault="00464566" w:rsidP="00FC5051">
            <w:pPr>
              <w:spacing w:line="276" w:lineRule="auto"/>
              <w:jc w:val="both"/>
              <w:rPr>
                <w:rFonts w:ascii="Arial" w:hAnsi="Arial" w:cs="Arial"/>
              </w:rPr>
            </w:pPr>
            <w:r w:rsidRPr="00464566">
              <w:rPr>
                <w:rFonts w:ascii="Arial" w:hAnsi="Arial" w:cs="Arial"/>
              </w:rPr>
              <w:t>Quick Ratio</w:t>
            </w:r>
          </w:p>
        </w:tc>
        <w:tc>
          <w:tcPr>
            <w:tcW w:w="0" w:type="auto"/>
            <w:hideMark/>
          </w:tcPr>
          <w:p w14:paraId="610D49FE" w14:textId="77777777" w:rsidR="00464566" w:rsidRPr="00464566" w:rsidRDefault="00464566" w:rsidP="00FC5051">
            <w:pPr>
              <w:spacing w:line="276" w:lineRule="auto"/>
              <w:jc w:val="both"/>
              <w:rPr>
                <w:rFonts w:ascii="Arial" w:hAnsi="Arial" w:cs="Arial"/>
              </w:rPr>
            </w:pPr>
            <w:r w:rsidRPr="00464566">
              <w:rPr>
                <w:rFonts w:ascii="Arial" w:hAnsi="Arial" w:cs="Arial"/>
              </w:rPr>
              <w:t>(CA-Inv)/CL</w:t>
            </w:r>
          </w:p>
        </w:tc>
        <w:tc>
          <w:tcPr>
            <w:tcW w:w="0" w:type="auto"/>
            <w:hideMark/>
          </w:tcPr>
          <w:p w14:paraId="55DC83CB" w14:textId="77777777" w:rsidR="00464566" w:rsidRPr="00464566" w:rsidRDefault="00464566" w:rsidP="00FC5051">
            <w:pPr>
              <w:spacing w:line="276" w:lineRule="auto"/>
              <w:jc w:val="both"/>
              <w:rPr>
                <w:rFonts w:ascii="Arial" w:hAnsi="Arial" w:cs="Arial"/>
              </w:rPr>
            </w:pPr>
            <w:r w:rsidRPr="00464566">
              <w:rPr>
                <w:rFonts w:ascii="Arial" w:hAnsi="Arial" w:cs="Arial"/>
              </w:rPr>
              <w:t>1.15</w:t>
            </w:r>
          </w:p>
        </w:tc>
        <w:tc>
          <w:tcPr>
            <w:tcW w:w="0" w:type="auto"/>
            <w:hideMark/>
          </w:tcPr>
          <w:p w14:paraId="07B8D984" w14:textId="77777777" w:rsidR="00464566" w:rsidRPr="00464566" w:rsidRDefault="00464566" w:rsidP="00FC5051">
            <w:pPr>
              <w:spacing w:line="276" w:lineRule="auto"/>
              <w:jc w:val="both"/>
              <w:rPr>
                <w:rFonts w:ascii="Arial" w:hAnsi="Arial" w:cs="Arial"/>
              </w:rPr>
            </w:pPr>
            <w:r w:rsidRPr="00464566">
              <w:rPr>
                <w:rFonts w:ascii="Arial" w:hAnsi="Arial" w:cs="Arial"/>
              </w:rPr>
              <w:t>0.93</w:t>
            </w:r>
          </w:p>
        </w:tc>
        <w:tc>
          <w:tcPr>
            <w:tcW w:w="0" w:type="auto"/>
            <w:hideMark/>
          </w:tcPr>
          <w:p w14:paraId="597D5D77" w14:textId="77777777" w:rsidR="00464566" w:rsidRPr="00464566" w:rsidRDefault="00464566" w:rsidP="00FC5051">
            <w:pPr>
              <w:spacing w:line="276" w:lineRule="auto"/>
              <w:jc w:val="both"/>
              <w:rPr>
                <w:rFonts w:ascii="Arial" w:hAnsi="Arial" w:cs="Arial"/>
              </w:rPr>
            </w:pPr>
            <w:r w:rsidRPr="00464566">
              <w:rPr>
                <w:rFonts w:ascii="Arial" w:hAnsi="Arial" w:cs="Arial"/>
              </w:rPr>
              <w:t>0.91</w:t>
            </w:r>
          </w:p>
        </w:tc>
        <w:tc>
          <w:tcPr>
            <w:tcW w:w="0" w:type="auto"/>
            <w:hideMark/>
          </w:tcPr>
          <w:p w14:paraId="39778721" w14:textId="77777777" w:rsidR="00464566" w:rsidRPr="00464566" w:rsidRDefault="00464566" w:rsidP="00FC5051">
            <w:pPr>
              <w:spacing w:line="276" w:lineRule="auto"/>
              <w:jc w:val="both"/>
              <w:rPr>
                <w:rFonts w:ascii="Arial" w:hAnsi="Arial" w:cs="Arial"/>
              </w:rPr>
            </w:pPr>
            <w:r w:rsidRPr="00464566">
              <w:rPr>
                <w:rFonts w:ascii="Arial" w:hAnsi="Arial" w:cs="Arial"/>
              </w:rPr>
              <w:t>1.06</w:t>
            </w:r>
          </w:p>
        </w:tc>
        <w:tc>
          <w:tcPr>
            <w:tcW w:w="0" w:type="auto"/>
            <w:hideMark/>
          </w:tcPr>
          <w:p w14:paraId="3987E238" w14:textId="77777777" w:rsidR="00464566" w:rsidRPr="00464566" w:rsidRDefault="00464566" w:rsidP="00FC5051">
            <w:pPr>
              <w:spacing w:line="276" w:lineRule="auto"/>
              <w:jc w:val="both"/>
              <w:rPr>
                <w:rFonts w:ascii="Arial" w:hAnsi="Arial" w:cs="Arial"/>
              </w:rPr>
            </w:pPr>
            <w:r w:rsidRPr="00464566">
              <w:rPr>
                <w:rFonts w:ascii="Arial" w:hAnsi="Arial" w:cs="Arial"/>
              </w:rPr>
              <w:t>1.03</w:t>
            </w:r>
          </w:p>
        </w:tc>
      </w:tr>
      <w:tr w:rsidR="00464566" w:rsidRPr="00464566" w14:paraId="459D8287" w14:textId="77777777" w:rsidTr="00464566">
        <w:trPr>
          <w:jc w:val="center"/>
        </w:trPr>
        <w:tc>
          <w:tcPr>
            <w:tcW w:w="0" w:type="auto"/>
            <w:hideMark/>
          </w:tcPr>
          <w:p w14:paraId="31119CB6" w14:textId="77777777" w:rsidR="00464566" w:rsidRPr="00464566" w:rsidRDefault="00464566" w:rsidP="00FC5051">
            <w:pPr>
              <w:spacing w:line="276" w:lineRule="auto"/>
              <w:jc w:val="both"/>
              <w:rPr>
                <w:rFonts w:ascii="Arial" w:hAnsi="Arial" w:cs="Arial"/>
              </w:rPr>
            </w:pPr>
            <w:r w:rsidRPr="00464566">
              <w:rPr>
                <w:rFonts w:ascii="Arial" w:hAnsi="Arial" w:cs="Arial"/>
              </w:rPr>
              <w:t>Cash Ratio</w:t>
            </w:r>
          </w:p>
        </w:tc>
        <w:tc>
          <w:tcPr>
            <w:tcW w:w="0" w:type="auto"/>
            <w:hideMark/>
          </w:tcPr>
          <w:p w14:paraId="0BB5AC91" w14:textId="77777777" w:rsidR="00464566" w:rsidRPr="00464566" w:rsidRDefault="00464566" w:rsidP="00FC5051">
            <w:pPr>
              <w:spacing w:line="276" w:lineRule="auto"/>
              <w:jc w:val="both"/>
              <w:rPr>
                <w:rFonts w:ascii="Arial" w:hAnsi="Arial" w:cs="Arial"/>
              </w:rPr>
            </w:pPr>
            <w:r w:rsidRPr="00464566">
              <w:rPr>
                <w:rFonts w:ascii="Arial" w:hAnsi="Arial" w:cs="Arial"/>
              </w:rPr>
              <w:t>Cash/CL</w:t>
            </w:r>
          </w:p>
        </w:tc>
        <w:tc>
          <w:tcPr>
            <w:tcW w:w="0" w:type="auto"/>
            <w:hideMark/>
          </w:tcPr>
          <w:p w14:paraId="53A9DDDD" w14:textId="77777777" w:rsidR="00464566" w:rsidRPr="00464566" w:rsidRDefault="00464566" w:rsidP="00FC5051">
            <w:pPr>
              <w:spacing w:line="276" w:lineRule="auto"/>
              <w:jc w:val="both"/>
              <w:rPr>
                <w:rFonts w:ascii="Arial" w:hAnsi="Arial" w:cs="Arial"/>
              </w:rPr>
            </w:pPr>
            <w:r w:rsidRPr="00464566">
              <w:rPr>
                <w:rFonts w:ascii="Arial" w:hAnsi="Arial" w:cs="Arial"/>
              </w:rPr>
              <w:t>0.32</w:t>
            </w:r>
          </w:p>
        </w:tc>
        <w:tc>
          <w:tcPr>
            <w:tcW w:w="0" w:type="auto"/>
            <w:hideMark/>
          </w:tcPr>
          <w:p w14:paraId="36B1410D" w14:textId="77777777" w:rsidR="00464566" w:rsidRPr="00464566" w:rsidRDefault="00464566" w:rsidP="00FC5051">
            <w:pPr>
              <w:spacing w:line="276" w:lineRule="auto"/>
              <w:jc w:val="both"/>
              <w:rPr>
                <w:rFonts w:ascii="Arial" w:hAnsi="Arial" w:cs="Arial"/>
              </w:rPr>
            </w:pPr>
            <w:r w:rsidRPr="00464566">
              <w:rPr>
                <w:rFonts w:ascii="Arial" w:hAnsi="Arial" w:cs="Arial"/>
              </w:rPr>
              <w:t>0.28</w:t>
            </w:r>
          </w:p>
        </w:tc>
        <w:tc>
          <w:tcPr>
            <w:tcW w:w="0" w:type="auto"/>
            <w:hideMark/>
          </w:tcPr>
          <w:p w14:paraId="49195A6D" w14:textId="77777777" w:rsidR="00464566" w:rsidRPr="00464566" w:rsidRDefault="00464566" w:rsidP="00FC5051">
            <w:pPr>
              <w:spacing w:line="276" w:lineRule="auto"/>
              <w:jc w:val="both"/>
              <w:rPr>
                <w:rFonts w:ascii="Arial" w:hAnsi="Arial" w:cs="Arial"/>
              </w:rPr>
            </w:pPr>
            <w:r w:rsidRPr="00464566">
              <w:rPr>
                <w:rFonts w:ascii="Arial" w:hAnsi="Arial" w:cs="Arial"/>
              </w:rPr>
              <w:t>0.31</w:t>
            </w:r>
          </w:p>
        </w:tc>
        <w:tc>
          <w:tcPr>
            <w:tcW w:w="0" w:type="auto"/>
            <w:hideMark/>
          </w:tcPr>
          <w:p w14:paraId="6CAEE51B" w14:textId="77777777" w:rsidR="00464566" w:rsidRPr="00464566" w:rsidRDefault="00464566" w:rsidP="00FC5051">
            <w:pPr>
              <w:spacing w:line="276" w:lineRule="auto"/>
              <w:jc w:val="both"/>
              <w:rPr>
                <w:rFonts w:ascii="Arial" w:hAnsi="Arial" w:cs="Arial"/>
              </w:rPr>
            </w:pPr>
            <w:r w:rsidRPr="00464566">
              <w:rPr>
                <w:rFonts w:ascii="Arial" w:hAnsi="Arial" w:cs="Arial"/>
              </w:rPr>
              <w:t>0.27</w:t>
            </w:r>
          </w:p>
        </w:tc>
        <w:tc>
          <w:tcPr>
            <w:tcW w:w="0" w:type="auto"/>
            <w:hideMark/>
          </w:tcPr>
          <w:p w14:paraId="0C983107" w14:textId="77777777" w:rsidR="00464566" w:rsidRPr="00464566" w:rsidRDefault="00464566" w:rsidP="00FC5051">
            <w:pPr>
              <w:spacing w:line="276" w:lineRule="auto"/>
              <w:jc w:val="both"/>
              <w:rPr>
                <w:rFonts w:ascii="Arial" w:hAnsi="Arial" w:cs="Arial"/>
              </w:rPr>
            </w:pPr>
            <w:r w:rsidRPr="00464566">
              <w:rPr>
                <w:rFonts w:ascii="Arial" w:hAnsi="Arial" w:cs="Arial"/>
              </w:rPr>
              <w:t>0.17</w:t>
            </w:r>
          </w:p>
        </w:tc>
      </w:tr>
      <w:tr w:rsidR="00464566" w:rsidRPr="00464566" w14:paraId="77585126" w14:textId="77777777" w:rsidTr="00464566">
        <w:trPr>
          <w:jc w:val="center"/>
        </w:trPr>
        <w:tc>
          <w:tcPr>
            <w:tcW w:w="0" w:type="auto"/>
            <w:hideMark/>
          </w:tcPr>
          <w:p w14:paraId="46A55C98" w14:textId="77777777" w:rsidR="00464566" w:rsidRPr="00464566" w:rsidRDefault="00464566" w:rsidP="00FC5051">
            <w:pPr>
              <w:spacing w:line="276" w:lineRule="auto"/>
              <w:jc w:val="both"/>
              <w:rPr>
                <w:rFonts w:ascii="Arial" w:hAnsi="Arial" w:cs="Arial"/>
              </w:rPr>
            </w:pPr>
            <w:r w:rsidRPr="00464566">
              <w:rPr>
                <w:rFonts w:ascii="Arial" w:hAnsi="Arial" w:cs="Arial"/>
              </w:rPr>
              <w:t>Working Capital (£m)</w:t>
            </w:r>
          </w:p>
        </w:tc>
        <w:tc>
          <w:tcPr>
            <w:tcW w:w="0" w:type="auto"/>
            <w:hideMark/>
          </w:tcPr>
          <w:p w14:paraId="50DE0E1B" w14:textId="77777777" w:rsidR="00464566" w:rsidRPr="00464566" w:rsidRDefault="00464566" w:rsidP="00FC5051">
            <w:pPr>
              <w:spacing w:line="276" w:lineRule="auto"/>
              <w:jc w:val="both"/>
              <w:rPr>
                <w:rFonts w:ascii="Arial" w:hAnsi="Arial" w:cs="Arial"/>
              </w:rPr>
            </w:pPr>
            <w:r w:rsidRPr="00464566">
              <w:rPr>
                <w:rFonts w:ascii="Arial" w:hAnsi="Arial" w:cs="Arial"/>
              </w:rPr>
              <w:t>CA-CL</w:t>
            </w:r>
          </w:p>
        </w:tc>
        <w:tc>
          <w:tcPr>
            <w:tcW w:w="0" w:type="auto"/>
            <w:hideMark/>
          </w:tcPr>
          <w:p w14:paraId="71D0084F" w14:textId="77777777" w:rsidR="00464566" w:rsidRPr="00464566" w:rsidRDefault="00464566" w:rsidP="00FC5051">
            <w:pPr>
              <w:spacing w:line="276" w:lineRule="auto"/>
              <w:jc w:val="both"/>
              <w:rPr>
                <w:rFonts w:ascii="Arial" w:hAnsi="Arial" w:cs="Arial"/>
              </w:rPr>
            </w:pPr>
            <w:r w:rsidRPr="00464566">
              <w:rPr>
                <w:rFonts w:ascii="Arial" w:hAnsi="Arial" w:cs="Arial"/>
              </w:rPr>
              <w:t>147,333</w:t>
            </w:r>
          </w:p>
        </w:tc>
        <w:tc>
          <w:tcPr>
            <w:tcW w:w="0" w:type="auto"/>
            <w:hideMark/>
          </w:tcPr>
          <w:p w14:paraId="54DBAB1F" w14:textId="77777777" w:rsidR="00464566" w:rsidRPr="00464566" w:rsidRDefault="00464566" w:rsidP="00FC5051">
            <w:pPr>
              <w:spacing w:line="276" w:lineRule="auto"/>
              <w:jc w:val="both"/>
              <w:rPr>
                <w:rFonts w:ascii="Arial" w:hAnsi="Arial" w:cs="Arial"/>
              </w:rPr>
            </w:pPr>
            <w:r w:rsidRPr="00464566">
              <w:rPr>
                <w:rFonts w:ascii="Arial" w:hAnsi="Arial" w:cs="Arial"/>
              </w:rPr>
              <w:t>120,359</w:t>
            </w:r>
          </w:p>
        </w:tc>
        <w:tc>
          <w:tcPr>
            <w:tcW w:w="0" w:type="auto"/>
            <w:hideMark/>
          </w:tcPr>
          <w:p w14:paraId="0A4097CF" w14:textId="77777777" w:rsidR="00464566" w:rsidRPr="00464566" w:rsidRDefault="00464566" w:rsidP="00FC5051">
            <w:pPr>
              <w:spacing w:line="276" w:lineRule="auto"/>
              <w:jc w:val="both"/>
              <w:rPr>
                <w:rFonts w:ascii="Arial" w:hAnsi="Arial" w:cs="Arial"/>
              </w:rPr>
            </w:pPr>
            <w:r w:rsidRPr="00464566">
              <w:rPr>
                <w:rFonts w:ascii="Arial" w:hAnsi="Arial" w:cs="Arial"/>
              </w:rPr>
              <w:t>121,567</w:t>
            </w:r>
          </w:p>
        </w:tc>
        <w:tc>
          <w:tcPr>
            <w:tcW w:w="0" w:type="auto"/>
            <w:hideMark/>
          </w:tcPr>
          <w:p w14:paraId="6B0CA7FA" w14:textId="77777777" w:rsidR="00464566" w:rsidRPr="00464566" w:rsidRDefault="00464566" w:rsidP="00FC5051">
            <w:pPr>
              <w:spacing w:line="276" w:lineRule="auto"/>
              <w:jc w:val="both"/>
              <w:rPr>
                <w:rFonts w:ascii="Arial" w:hAnsi="Arial" w:cs="Arial"/>
              </w:rPr>
            </w:pPr>
            <w:r w:rsidRPr="00464566">
              <w:rPr>
                <w:rFonts w:ascii="Arial" w:hAnsi="Arial" w:cs="Arial"/>
              </w:rPr>
              <w:t>97,703</w:t>
            </w:r>
          </w:p>
        </w:tc>
        <w:tc>
          <w:tcPr>
            <w:tcW w:w="0" w:type="auto"/>
            <w:hideMark/>
          </w:tcPr>
          <w:p w14:paraId="5F952278" w14:textId="77777777" w:rsidR="00464566" w:rsidRPr="00464566" w:rsidRDefault="00464566" w:rsidP="00FC5051">
            <w:pPr>
              <w:spacing w:line="276" w:lineRule="auto"/>
              <w:jc w:val="both"/>
              <w:rPr>
                <w:rFonts w:ascii="Arial" w:hAnsi="Arial" w:cs="Arial"/>
              </w:rPr>
            </w:pPr>
            <w:r w:rsidRPr="00464566">
              <w:rPr>
                <w:rFonts w:ascii="Arial" w:hAnsi="Arial" w:cs="Arial"/>
              </w:rPr>
              <w:t>84,203</w:t>
            </w:r>
          </w:p>
        </w:tc>
      </w:tr>
      <w:tr w:rsidR="00464566" w:rsidRPr="00464566" w14:paraId="26693268" w14:textId="77777777" w:rsidTr="00464566">
        <w:trPr>
          <w:jc w:val="center"/>
        </w:trPr>
        <w:tc>
          <w:tcPr>
            <w:tcW w:w="0" w:type="auto"/>
            <w:hideMark/>
          </w:tcPr>
          <w:p w14:paraId="122E0CCD" w14:textId="77777777" w:rsidR="00464566" w:rsidRPr="00464566" w:rsidRDefault="00464566" w:rsidP="00FC5051">
            <w:pPr>
              <w:spacing w:line="276" w:lineRule="auto"/>
              <w:jc w:val="both"/>
              <w:rPr>
                <w:rFonts w:ascii="Arial" w:hAnsi="Arial" w:cs="Arial"/>
              </w:rPr>
            </w:pPr>
            <w:r w:rsidRPr="00464566">
              <w:rPr>
                <w:rFonts w:ascii="Arial" w:hAnsi="Arial" w:cs="Arial"/>
              </w:rPr>
              <w:t>NWC/Sales (%)</w:t>
            </w:r>
          </w:p>
        </w:tc>
        <w:tc>
          <w:tcPr>
            <w:tcW w:w="0" w:type="auto"/>
            <w:hideMark/>
          </w:tcPr>
          <w:p w14:paraId="0BADE0D4" w14:textId="77777777" w:rsidR="00464566" w:rsidRPr="00464566" w:rsidRDefault="00464566" w:rsidP="00FC5051">
            <w:pPr>
              <w:spacing w:line="276" w:lineRule="auto"/>
              <w:jc w:val="both"/>
              <w:rPr>
                <w:rFonts w:ascii="Arial" w:hAnsi="Arial" w:cs="Arial"/>
              </w:rPr>
            </w:pPr>
            <w:r w:rsidRPr="00464566">
              <w:rPr>
                <w:rFonts w:ascii="Arial" w:hAnsi="Arial" w:cs="Arial"/>
              </w:rPr>
              <w:t>WC/Sales</w:t>
            </w:r>
          </w:p>
        </w:tc>
        <w:tc>
          <w:tcPr>
            <w:tcW w:w="0" w:type="auto"/>
            <w:hideMark/>
          </w:tcPr>
          <w:p w14:paraId="2896DC04" w14:textId="77777777" w:rsidR="00464566" w:rsidRPr="00464566" w:rsidRDefault="00464566" w:rsidP="00FC5051">
            <w:pPr>
              <w:spacing w:line="276" w:lineRule="auto"/>
              <w:jc w:val="both"/>
              <w:rPr>
                <w:rFonts w:ascii="Arial" w:hAnsi="Arial" w:cs="Arial"/>
              </w:rPr>
            </w:pPr>
            <w:r w:rsidRPr="00464566">
              <w:rPr>
                <w:rFonts w:ascii="Arial" w:hAnsi="Arial" w:cs="Arial"/>
              </w:rPr>
              <w:t>24.0%</w:t>
            </w:r>
          </w:p>
        </w:tc>
        <w:tc>
          <w:tcPr>
            <w:tcW w:w="0" w:type="auto"/>
            <w:hideMark/>
          </w:tcPr>
          <w:p w14:paraId="3E83455E" w14:textId="77777777" w:rsidR="00464566" w:rsidRPr="00464566" w:rsidRDefault="00464566" w:rsidP="00FC5051">
            <w:pPr>
              <w:spacing w:line="276" w:lineRule="auto"/>
              <w:jc w:val="both"/>
              <w:rPr>
                <w:rFonts w:ascii="Arial" w:hAnsi="Arial" w:cs="Arial"/>
              </w:rPr>
            </w:pPr>
            <w:r w:rsidRPr="00464566">
              <w:rPr>
                <w:rFonts w:ascii="Arial" w:hAnsi="Arial" w:cs="Arial"/>
              </w:rPr>
              <w:t>20.0%</w:t>
            </w:r>
          </w:p>
        </w:tc>
        <w:tc>
          <w:tcPr>
            <w:tcW w:w="0" w:type="auto"/>
            <w:hideMark/>
          </w:tcPr>
          <w:p w14:paraId="4D08FEAA" w14:textId="77777777" w:rsidR="00464566" w:rsidRPr="00464566" w:rsidRDefault="00464566" w:rsidP="00FC5051">
            <w:pPr>
              <w:spacing w:line="276" w:lineRule="auto"/>
              <w:jc w:val="both"/>
              <w:rPr>
                <w:rFonts w:ascii="Arial" w:hAnsi="Arial" w:cs="Arial"/>
              </w:rPr>
            </w:pPr>
            <w:r w:rsidRPr="00464566">
              <w:rPr>
                <w:rFonts w:ascii="Arial" w:hAnsi="Arial" w:cs="Arial"/>
              </w:rPr>
              <w:t>22.4%</w:t>
            </w:r>
          </w:p>
        </w:tc>
        <w:tc>
          <w:tcPr>
            <w:tcW w:w="0" w:type="auto"/>
            <w:hideMark/>
          </w:tcPr>
          <w:p w14:paraId="6D1E9F97" w14:textId="77777777" w:rsidR="00464566" w:rsidRPr="00464566" w:rsidRDefault="00464566" w:rsidP="00FC5051">
            <w:pPr>
              <w:spacing w:line="276" w:lineRule="auto"/>
              <w:jc w:val="both"/>
              <w:rPr>
                <w:rFonts w:ascii="Arial" w:hAnsi="Arial" w:cs="Arial"/>
              </w:rPr>
            </w:pPr>
            <w:r w:rsidRPr="00464566">
              <w:rPr>
                <w:rFonts w:ascii="Arial" w:hAnsi="Arial" w:cs="Arial"/>
              </w:rPr>
              <w:t>23.2%</w:t>
            </w:r>
          </w:p>
        </w:tc>
        <w:tc>
          <w:tcPr>
            <w:tcW w:w="0" w:type="auto"/>
            <w:hideMark/>
          </w:tcPr>
          <w:p w14:paraId="4ADD49E8" w14:textId="77777777" w:rsidR="00464566" w:rsidRPr="00464566" w:rsidRDefault="00464566" w:rsidP="00FC5051">
            <w:pPr>
              <w:spacing w:line="276" w:lineRule="auto"/>
              <w:jc w:val="both"/>
              <w:rPr>
                <w:rFonts w:ascii="Arial" w:hAnsi="Arial" w:cs="Arial"/>
              </w:rPr>
            </w:pPr>
            <w:r w:rsidRPr="00464566">
              <w:rPr>
                <w:rFonts w:ascii="Arial" w:hAnsi="Arial" w:cs="Arial"/>
              </w:rPr>
              <w:t>21.3%</w:t>
            </w:r>
          </w:p>
        </w:tc>
      </w:tr>
    </w:tbl>
    <w:p w14:paraId="2CBF938D" w14:textId="77777777" w:rsidR="00464566" w:rsidRPr="00464566" w:rsidRDefault="00464566" w:rsidP="00FC5051">
      <w:pPr>
        <w:pStyle w:val="font-claude-response-body"/>
        <w:spacing w:line="276" w:lineRule="auto"/>
        <w:jc w:val="both"/>
        <w:rPr>
          <w:rFonts w:ascii="Arial" w:hAnsi="Arial" w:cs="Arial"/>
        </w:rPr>
      </w:pPr>
      <w:r w:rsidRPr="00464566">
        <w:rPr>
          <w:rStyle w:val="Strong"/>
          <w:rFonts w:ascii="Arial" w:hAnsi="Arial" w:cs="Arial"/>
          <w:b w:val="0"/>
          <w:bCs w:val="0"/>
        </w:rPr>
        <w:t>Table A.3: Complete Efficiency Ratio Analysis (2020-2024)</w:t>
      </w:r>
    </w:p>
    <w:tbl>
      <w:tblPr>
        <w:tblStyle w:val="TableGrid"/>
        <w:tblW w:w="0" w:type="auto"/>
        <w:jc w:val="center"/>
        <w:tblLook w:val="04A0" w:firstRow="1" w:lastRow="0" w:firstColumn="1" w:lastColumn="0" w:noHBand="0" w:noVBand="1"/>
      </w:tblPr>
      <w:tblGrid>
        <w:gridCol w:w="2429"/>
        <w:gridCol w:w="1763"/>
        <w:gridCol w:w="706"/>
        <w:gridCol w:w="706"/>
        <w:gridCol w:w="706"/>
        <w:gridCol w:w="706"/>
        <w:gridCol w:w="706"/>
      </w:tblGrid>
      <w:tr w:rsidR="00464566" w:rsidRPr="00464566" w14:paraId="36A37434" w14:textId="77777777" w:rsidTr="00FC5051">
        <w:trPr>
          <w:jc w:val="center"/>
        </w:trPr>
        <w:tc>
          <w:tcPr>
            <w:tcW w:w="0" w:type="auto"/>
            <w:hideMark/>
          </w:tcPr>
          <w:p w14:paraId="4C8C64E9" w14:textId="77777777" w:rsidR="00464566" w:rsidRPr="00464566" w:rsidRDefault="00464566" w:rsidP="00FC5051">
            <w:pPr>
              <w:spacing w:line="276" w:lineRule="auto"/>
              <w:jc w:val="both"/>
              <w:rPr>
                <w:rFonts w:ascii="Arial" w:hAnsi="Arial" w:cs="Arial"/>
              </w:rPr>
            </w:pPr>
            <w:r w:rsidRPr="00464566">
              <w:rPr>
                <w:rFonts w:ascii="Arial" w:hAnsi="Arial" w:cs="Arial"/>
              </w:rPr>
              <w:t>Ratio</w:t>
            </w:r>
          </w:p>
        </w:tc>
        <w:tc>
          <w:tcPr>
            <w:tcW w:w="0" w:type="auto"/>
            <w:hideMark/>
          </w:tcPr>
          <w:p w14:paraId="41080C92" w14:textId="77777777" w:rsidR="00464566" w:rsidRPr="00464566" w:rsidRDefault="00464566" w:rsidP="00FC5051">
            <w:pPr>
              <w:spacing w:line="276" w:lineRule="auto"/>
              <w:jc w:val="both"/>
              <w:rPr>
                <w:rFonts w:ascii="Arial" w:hAnsi="Arial" w:cs="Arial"/>
              </w:rPr>
            </w:pPr>
            <w:r w:rsidRPr="00464566">
              <w:rPr>
                <w:rFonts w:ascii="Arial" w:hAnsi="Arial" w:cs="Arial"/>
              </w:rPr>
              <w:t>Formula</w:t>
            </w:r>
          </w:p>
        </w:tc>
        <w:tc>
          <w:tcPr>
            <w:tcW w:w="0" w:type="auto"/>
            <w:hideMark/>
          </w:tcPr>
          <w:p w14:paraId="6CD71347" w14:textId="77777777" w:rsidR="00464566" w:rsidRPr="00464566" w:rsidRDefault="00464566" w:rsidP="00FC5051">
            <w:pPr>
              <w:spacing w:line="276" w:lineRule="auto"/>
              <w:jc w:val="both"/>
              <w:rPr>
                <w:rFonts w:ascii="Arial" w:hAnsi="Arial" w:cs="Arial"/>
              </w:rPr>
            </w:pPr>
            <w:r w:rsidRPr="00464566">
              <w:rPr>
                <w:rFonts w:ascii="Arial" w:hAnsi="Arial" w:cs="Arial"/>
              </w:rPr>
              <w:t>2020</w:t>
            </w:r>
          </w:p>
        </w:tc>
        <w:tc>
          <w:tcPr>
            <w:tcW w:w="0" w:type="auto"/>
            <w:hideMark/>
          </w:tcPr>
          <w:p w14:paraId="120B8D9F" w14:textId="77777777" w:rsidR="00464566" w:rsidRPr="00464566" w:rsidRDefault="00464566" w:rsidP="00FC5051">
            <w:pPr>
              <w:spacing w:line="276" w:lineRule="auto"/>
              <w:jc w:val="both"/>
              <w:rPr>
                <w:rFonts w:ascii="Arial" w:hAnsi="Arial" w:cs="Arial"/>
              </w:rPr>
            </w:pPr>
            <w:r w:rsidRPr="00464566">
              <w:rPr>
                <w:rFonts w:ascii="Arial" w:hAnsi="Arial" w:cs="Arial"/>
              </w:rPr>
              <w:t>2021</w:t>
            </w:r>
          </w:p>
        </w:tc>
        <w:tc>
          <w:tcPr>
            <w:tcW w:w="0" w:type="auto"/>
            <w:hideMark/>
          </w:tcPr>
          <w:p w14:paraId="6044C5EE" w14:textId="77777777" w:rsidR="00464566" w:rsidRPr="00464566" w:rsidRDefault="00464566" w:rsidP="00FC5051">
            <w:pPr>
              <w:spacing w:line="276" w:lineRule="auto"/>
              <w:jc w:val="both"/>
              <w:rPr>
                <w:rFonts w:ascii="Arial" w:hAnsi="Arial" w:cs="Arial"/>
              </w:rPr>
            </w:pPr>
            <w:r w:rsidRPr="00464566">
              <w:rPr>
                <w:rFonts w:ascii="Arial" w:hAnsi="Arial" w:cs="Arial"/>
              </w:rPr>
              <w:t>2022</w:t>
            </w:r>
          </w:p>
        </w:tc>
        <w:tc>
          <w:tcPr>
            <w:tcW w:w="0" w:type="auto"/>
            <w:hideMark/>
          </w:tcPr>
          <w:p w14:paraId="496A2C01" w14:textId="77777777" w:rsidR="00464566" w:rsidRPr="00464566" w:rsidRDefault="00464566" w:rsidP="00FC5051">
            <w:pPr>
              <w:spacing w:line="276" w:lineRule="auto"/>
              <w:jc w:val="both"/>
              <w:rPr>
                <w:rFonts w:ascii="Arial" w:hAnsi="Arial" w:cs="Arial"/>
              </w:rPr>
            </w:pPr>
            <w:r w:rsidRPr="00464566">
              <w:rPr>
                <w:rFonts w:ascii="Arial" w:hAnsi="Arial" w:cs="Arial"/>
              </w:rPr>
              <w:t>2023</w:t>
            </w:r>
          </w:p>
        </w:tc>
        <w:tc>
          <w:tcPr>
            <w:tcW w:w="0" w:type="auto"/>
            <w:hideMark/>
          </w:tcPr>
          <w:p w14:paraId="0926F576" w14:textId="77777777" w:rsidR="00464566" w:rsidRPr="00464566" w:rsidRDefault="00464566" w:rsidP="00FC5051">
            <w:pPr>
              <w:spacing w:line="276" w:lineRule="auto"/>
              <w:jc w:val="both"/>
              <w:rPr>
                <w:rFonts w:ascii="Arial" w:hAnsi="Arial" w:cs="Arial"/>
              </w:rPr>
            </w:pPr>
            <w:r w:rsidRPr="00464566">
              <w:rPr>
                <w:rFonts w:ascii="Arial" w:hAnsi="Arial" w:cs="Arial"/>
              </w:rPr>
              <w:t>2024</w:t>
            </w:r>
          </w:p>
        </w:tc>
      </w:tr>
      <w:tr w:rsidR="00464566" w:rsidRPr="00464566" w14:paraId="41E23705" w14:textId="77777777" w:rsidTr="00FC5051">
        <w:trPr>
          <w:jc w:val="center"/>
        </w:trPr>
        <w:tc>
          <w:tcPr>
            <w:tcW w:w="0" w:type="auto"/>
            <w:hideMark/>
          </w:tcPr>
          <w:p w14:paraId="37ADBB8B" w14:textId="77777777" w:rsidR="00464566" w:rsidRPr="00464566" w:rsidRDefault="00464566" w:rsidP="00FC5051">
            <w:pPr>
              <w:spacing w:line="276" w:lineRule="auto"/>
              <w:jc w:val="both"/>
              <w:rPr>
                <w:rFonts w:ascii="Arial" w:hAnsi="Arial" w:cs="Arial"/>
              </w:rPr>
            </w:pPr>
            <w:r w:rsidRPr="00464566">
              <w:rPr>
                <w:rFonts w:ascii="Arial" w:hAnsi="Arial" w:cs="Arial"/>
              </w:rPr>
              <w:t>Inventory Turnover</w:t>
            </w:r>
          </w:p>
        </w:tc>
        <w:tc>
          <w:tcPr>
            <w:tcW w:w="0" w:type="auto"/>
            <w:hideMark/>
          </w:tcPr>
          <w:p w14:paraId="1F00965E" w14:textId="77777777" w:rsidR="00464566" w:rsidRPr="00464566" w:rsidRDefault="00464566" w:rsidP="00FC5051">
            <w:pPr>
              <w:spacing w:line="276" w:lineRule="auto"/>
              <w:jc w:val="both"/>
              <w:rPr>
                <w:rFonts w:ascii="Arial" w:hAnsi="Arial" w:cs="Arial"/>
              </w:rPr>
            </w:pPr>
            <w:r w:rsidRPr="00464566">
              <w:rPr>
                <w:rFonts w:ascii="Arial" w:hAnsi="Arial" w:cs="Arial"/>
              </w:rPr>
              <w:t>COGS/Avg Inv</w:t>
            </w:r>
          </w:p>
        </w:tc>
        <w:tc>
          <w:tcPr>
            <w:tcW w:w="0" w:type="auto"/>
            <w:hideMark/>
          </w:tcPr>
          <w:p w14:paraId="749569F0" w14:textId="77777777" w:rsidR="00464566" w:rsidRPr="00464566" w:rsidRDefault="00464566" w:rsidP="00FC5051">
            <w:pPr>
              <w:spacing w:line="276" w:lineRule="auto"/>
              <w:jc w:val="both"/>
              <w:rPr>
                <w:rFonts w:ascii="Arial" w:hAnsi="Arial" w:cs="Arial"/>
              </w:rPr>
            </w:pPr>
            <w:r w:rsidRPr="00464566">
              <w:rPr>
                <w:rFonts w:ascii="Arial" w:hAnsi="Arial" w:cs="Arial"/>
              </w:rPr>
              <w:t>3.74</w:t>
            </w:r>
          </w:p>
        </w:tc>
        <w:tc>
          <w:tcPr>
            <w:tcW w:w="0" w:type="auto"/>
            <w:hideMark/>
          </w:tcPr>
          <w:p w14:paraId="230E1B91" w14:textId="77777777" w:rsidR="00464566" w:rsidRPr="00464566" w:rsidRDefault="00464566" w:rsidP="00FC5051">
            <w:pPr>
              <w:spacing w:line="276" w:lineRule="auto"/>
              <w:jc w:val="both"/>
              <w:rPr>
                <w:rFonts w:ascii="Arial" w:hAnsi="Arial" w:cs="Arial"/>
              </w:rPr>
            </w:pPr>
            <w:r w:rsidRPr="00464566">
              <w:rPr>
                <w:rFonts w:ascii="Arial" w:hAnsi="Arial" w:cs="Arial"/>
              </w:rPr>
              <w:t>3.36</w:t>
            </w:r>
          </w:p>
        </w:tc>
        <w:tc>
          <w:tcPr>
            <w:tcW w:w="0" w:type="auto"/>
            <w:hideMark/>
          </w:tcPr>
          <w:p w14:paraId="6F445B6C" w14:textId="77777777" w:rsidR="00464566" w:rsidRPr="00464566" w:rsidRDefault="00464566" w:rsidP="00FC5051">
            <w:pPr>
              <w:spacing w:line="276" w:lineRule="auto"/>
              <w:jc w:val="both"/>
              <w:rPr>
                <w:rFonts w:ascii="Arial" w:hAnsi="Arial" w:cs="Arial"/>
              </w:rPr>
            </w:pPr>
            <w:r w:rsidRPr="00464566">
              <w:rPr>
                <w:rFonts w:ascii="Arial" w:hAnsi="Arial" w:cs="Arial"/>
              </w:rPr>
              <w:t>2.84</w:t>
            </w:r>
          </w:p>
        </w:tc>
        <w:tc>
          <w:tcPr>
            <w:tcW w:w="0" w:type="auto"/>
            <w:hideMark/>
          </w:tcPr>
          <w:p w14:paraId="2C741E98" w14:textId="77777777" w:rsidR="00464566" w:rsidRPr="00464566" w:rsidRDefault="00464566" w:rsidP="00FC5051">
            <w:pPr>
              <w:spacing w:line="276" w:lineRule="auto"/>
              <w:jc w:val="both"/>
              <w:rPr>
                <w:rFonts w:ascii="Arial" w:hAnsi="Arial" w:cs="Arial"/>
              </w:rPr>
            </w:pPr>
            <w:r w:rsidRPr="00464566">
              <w:rPr>
                <w:rFonts w:ascii="Arial" w:hAnsi="Arial" w:cs="Arial"/>
              </w:rPr>
              <w:t>2.83</w:t>
            </w:r>
          </w:p>
        </w:tc>
        <w:tc>
          <w:tcPr>
            <w:tcW w:w="0" w:type="auto"/>
            <w:hideMark/>
          </w:tcPr>
          <w:p w14:paraId="7DC67778" w14:textId="77777777" w:rsidR="00464566" w:rsidRPr="00464566" w:rsidRDefault="00464566" w:rsidP="00FC5051">
            <w:pPr>
              <w:spacing w:line="276" w:lineRule="auto"/>
              <w:jc w:val="both"/>
              <w:rPr>
                <w:rFonts w:ascii="Arial" w:hAnsi="Arial" w:cs="Arial"/>
              </w:rPr>
            </w:pPr>
            <w:r w:rsidRPr="00464566">
              <w:rPr>
                <w:rFonts w:ascii="Arial" w:hAnsi="Arial" w:cs="Arial"/>
              </w:rPr>
              <w:t>3.35</w:t>
            </w:r>
          </w:p>
        </w:tc>
      </w:tr>
      <w:tr w:rsidR="00464566" w:rsidRPr="00464566" w14:paraId="5BB325C7" w14:textId="77777777" w:rsidTr="00FC5051">
        <w:trPr>
          <w:jc w:val="center"/>
        </w:trPr>
        <w:tc>
          <w:tcPr>
            <w:tcW w:w="0" w:type="auto"/>
            <w:hideMark/>
          </w:tcPr>
          <w:p w14:paraId="1E65A18C" w14:textId="77777777" w:rsidR="00464566" w:rsidRPr="00464566" w:rsidRDefault="00464566" w:rsidP="00FC5051">
            <w:pPr>
              <w:spacing w:line="276" w:lineRule="auto"/>
              <w:jc w:val="both"/>
              <w:rPr>
                <w:rFonts w:ascii="Arial" w:hAnsi="Arial" w:cs="Arial"/>
              </w:rPr>
            </w:pPr>
            <w:r w:rsidRPr="00464566">
              <w:rPr>
                <w:rFonts w:ascii="Arial" w:hAnsi="Arial" w:cs="Arial"/>
              </w:rPr>
              <w:t>Days Inventory (DIO)</w:t>
            </w:r>
          </w:p>
        </w:tc>
        <w:tc>
          <w:tcPr>
            <w:tcW w:w="0" w:type="auto"/>
            <w:hideMark/>
          </w:tcPr>
          <w:p w14:paraId="3BF32C76" w14:textId="77777777" w:rsidR="00464566" w:rsidRPr="00464566" w:rsidRDefault="00464566" w:rsidP="00FC5051">
            <w:pPr>
              <w:spacing w:line="276" w:lineRule="auto"/>
              <w:jc w:val="both"/>
              <w:rPr>
                <w:rFonts w:ascii="Arial" w:hAnsi="Arial" w:cs="Arial"/>
              </w:rPr>
            </w:pPr>
            <w:r w:rsidRPr="00464566">
              <w:rPr>
                <w:rFonts w:ascii="Arial" w:hAnsi="Arial" w:cs="Arial"/>
              </w:rPr>
              <w:t>365/Inv Turn</w:t>
            </w:r>
          </w:p>
        </w:tc>
        <w:tc>
          <w:tcPr>
            <w:tcW w:w="0" w:type="auto"/>
            <w:hideMark/>
          </w:tcPr>
          <w:p w14:paraId="7AFD71F9" w14:textId="77777777" w:rsidR="00464566" w:rsidRPr="00464566" w:rsidRDefault="00464566" w:rsidP="00FC5051">
            <w:pPr>
              <w:spacing w:line="276" w:lineRule="auto"/>
              <w:jc w:val="both"/>
              <w:rPr>
                <w:rFonts w:ascii="Arial" w:hAnsi="Arial" w:cs="Arial"/>
              </w:rPr>
            </w:pPr>
            <w:r w:rsidRPr="00464566">
              <w:rPr>
                <w:rFonts w:ascii="Arial" w:hAnsi="Arial" w:cs="Arial"/>
              </w:rPr>
              <w:t>98</w:t>
            </w:r>
          </w:p>
        </w:tc>
        <w:tc>
          <w:tcPr>
            <w:tcW w:w="0" w:type="auto"/>
            <w:hideMark/>
          </w:tcPr>
          <w:p w14:paraId="680A45C1" w14:textId="77777777" w:rsidR="00464566" w:rsidRPr="00464566" w:rsidRDefault="00464566" w:rsidP="00FC5051">
            <w:pPr>
              <w:spacing w:line="276" w:lineRule="auto"/>
              <w:jc w:val="both"/>
              <w:rPr>
                <w:rFonts w:ascii="Arial" w:hAnsi="Arial" w:cs="Arial"/>
              </w:rPr>
            </w:pPr>
            <w:r w:rsidRPr="00464566">
              <w:rPr>
                <w:rFonts w:ascii="Arial" w:hAnsi="Arial" w:cs="Arial"/>
              </w:rPr>
              <w:t>109</w:t>
            </w:r>
          </w:p>
        </w:tc>
        <w:tc>
          <w:tcPr>
            <w:tcW w:w="0" w:type="auto"/>
            <w:hideMark/>
          </w:tcPr>
          <w:p w14:paraId="6D22F752" w14:textId="77777777" w:rsidR="00464566" w:rsidRPr="00464566" w:rsidRDefault="00464566" w:rsidP="00FC5051">
            <w:pPr>
              <w:spacing w:line="276" w:lineRule="auto"/>
              <w:jc w:val="both"/>
              <w:rPr>
                <w:rFonts w:ascii="Arial" w:hAnsi="Arial" w:cs="Arial"/>
              </w:rPr>
            </w:pPr>
            <w:r w:rsidRPr="00464566">
              <w:rPr>
                <w:rFonts w:ascii="Arial" w:hAnsi="Arial" w:cs="Arial"/>
              </w:rPr>
              <w:t>128</w:t>
            </w:r>
          </w:p>
        </w:tc>
        <w:tc>
          <w:tcPr>
            <w:tcW w:w="0" w:type="auto"/>
            <w:hideMark/>
          </w:tcPr>
          <w:p w14:paraId="7176E871" w14:textId="77777777" w:rsidR="00464566" w:rsidRPr="00464566" w:rsidRDefault="00464566" w:rsidP="00FC5051">
            <w:pPr>
              <w:spacing w:line="276" w:lineRule="auto"/>
              <w:jc w:val="both"/>
              <w:rPr>
                <w:rFonts w:ascii="Arial" w:hAnsi="Arial" w:cs="Arial"/>
              </w:rPr>
            </w:pPr>
            <w:r w:rsidRPr="00464566">
              <w:rPr>
                <w:rFonts w:ascii="Arial" w:hAnsi="Arial" w:cs="Arial"/>
              </w:rPr>
              <w:t>129</w:t>
            </w:r>
          </w:p>
        </w:tc>
        <w:tc>
          <w:tcPr>
            <w:tcW w:w="0" w:type="auto"/>
            <w:hideMark/>
          </w:tcPr>
          <w:p w14:paraId="79C0275D" w14:textId="77777777" w:rsidR="00464566" w:rsidRPr="00464566" w:rsidRDefault="00464566" w:rsidP="00FC5051">
            <w:pPr>
              <w:spacing w:line="276" w:lineRule="auto"/>
              <w:jc w:val="both"/>
              <w:rPr>
                <w:rFonts w:ascii="Arial" w:hAnsi="Arial" w:cs="Arial"/>
              </w:rPr>
            </w:pPr>
            <w:r w:rsidRPr="00464566">
              <w:rPr>
                <w:rFonts w:ascii="Arial" w:hAnsi="Arial" w:cs="Arial"/>
              </w:rPr>
              <w:t>109</w:t>
            </w:r>
          </w:p>
        </w:tc>
      </w:tr>
      <w:tr w:rsidR="00464566" w:rsidRPr="00464566" w14:paraId="32E8BBD5" w14:textId="77777777" w:rsidTr="00FC5051">
        <w:trPr>
          <w:jc w:val="center"/>
        </w:trPr>
        <w:tc>
          <w:tcPr>
            <w:tcW w:w="0" w:type="auto"/>
            <w:hideMark/>
          </w:tcPr>
          <w:p w14:paraId="02BD1B0A" w14:textId="77777777" w:rsidR="00464566" w:rsidRPr="00464566" w:rsidRDefault="00464566" w:rsidP="00FC5051">
            <w:pPr>
              <w:spacing w:line="276" w:lineRule="auto"/>
              <w:jc w:val="both"/>
              <w:rPr>
                <w:rFonts w:ascii="Arial" w:hAnsi="Arial" w:cs="Arial"/>
              </w:rPr>
            </w:pPr>
            <w:r w:rsidRPr="00464566">
              <w:rPr>
                <w:rFonts w:ascii="Arial" w:hAnsi="Arial" w:cs="Arial"/>
              </w:rPr>
              <w:t>Receivables Turnover</w:t>
            </w:r>
          </w:p>
        </w:tc>
        <w:tc>
          <w:tcPr>
            <w:tcW w:w="0" w:type="auto"/>
            <w:hideMark/>
          </w:tcPr>
          <w:p w14:paraId="2BC2F6A5" w14:textId="77777777" w:rsidR="00464566" w:rsidRPr="00464566" w:rsidRDefault="00464566" w:rsidP="00FC5051">
            <w:pPr>
              <w:spacing w:line="276" w:lineRule="auto"/>
              <w:jc w:val="both"/>
              <w:rPr>
                <w:rFonts w:ascii="Arial" w:hAnsi="Arial" w:cs="Arial"/>
              </w:rPr>
            </w:pPr>
            <w:r w:rsidRPr="00464566">
              <w:rPr>
                <w:rFonts w:ascii="Arial" w:hAnsi="Arial" w:cs="Arial"/>
              </w:rPr>
              <w:t>Sales/Avg AR</w:t>
            </w:r>
          </w:p>
        </w:tc>
        <w:tc>
          <w:tcPr>
            <w:tcW w:w="0" w:type="auto"/>
            <w:hideMark/>
          </w:tcPr>
          <w:p w14:paraId="717CF1A1" w14:textId="77777777" w:rsidR="00464566" w:rsidRPr="00464566" w:rsidRDefault="00464566" w:rsidP="00FC5051">
            <w:pPr>
              <w:spacing w:line="276" w:lineRule="auto"/>
              <w:jc w:val="both"/>
              <w:rPr>
                <w:rFonts w:ascii="Arial" w:hAnsi="Arial" w:cs="Arial"/>
              </w:rPr>
            </w:pPr>
            <w:r w:rsidRPr="00464566">
              <w:rPr>
                <w:rFonts w:ascii="Arial" w:hAnsi="Arial" w:cs="Arial"/>
              </w:rPr>
              <w:t>4.88</w:t>
            </w:r>
          </w:p>
        </w:tc>
        <w:tc>
          <w:tcPr>
            <w:tcW w:w="0" w:type="auto"/>
            <w:hideMark/>
          </w:tcPr>
          <w:p w14:paraId="614EAE97" w14:textId="77777777" w:rsidR="00464566" w:rsidRPr="00464566" w:rsidRDefault="00464566" w:rsidP="00FC5051">
            <w:pPr>
              <w:spacing w:line="276" w:lineRule="auto"/>
              <w:jc w:val="both"/>
              <w:rPr>
                <w:rFonts w:ascii="Arial" w:hAnsi="Arial" w:cs="Arial"/>
              </w:rPr>
            </w:pPr>
            <w:r w:rsidRPr="00464566">
              <w:rPr>
                <w:rFonts w:ascii="Arial" w:hAnsi="Arial" w:cs="Arial"/>
              </w:rPr>
              <w:t>4.65</w:t>
            </w:r>
          </w:p>
        </w:tc>
        <w:tc>
          <w:tcPr>
            <w:tcW w:w="0" w:type="auto"/>
            <w:hideMark/>
          </w:tcPr>
          <w:p w14:paraId="228CAF7F" w14:textId="77777777" w:rsidR="00464566" w:rsidRPr="00464566" w:rsidRDefault="00464566" w:rsidP="00FC5051">
            <w:pPr>
              <w:spacing w:line="276" w:lineRule="auto"/>
              <w:jc w:val="both"/>
              <w:rPr>
                <w:rFonts w:ascii="Arial" w:hAnsi="Arial" w:cs="Arial"/>
              </w:rPr>
            </w:pPr>
            <w:r w:rsidRPr="00464566">
              <w:rPr>
                <w:rFonts w:ascii="Arial" w:hAnsi="Arial" w:cs="Arial"/>
              </w:rPr>
              <w:t>4.49</w:t>
            </w:r>
          </w:p>
        </w:tc>
        <w:tc>
          <w:tcPr>
            <w:tcW w:w="0" w:type="auto"/>
            <w:hideMark/>
          </w:tcPr>
          <w:p w14:paraId="0A357069" w14:textId="77777777" w:rsidR="00464566" w:rsidRPr="00464566" w:rsidRDefault="00464566" w:rsidP="00FC5051">
            <w:pPr>
              <w:spacing w:line="276" w:lineRule="auto"/>
              <w:jc w:val="both"/>
              <w:rPr>
                <w:rFonts w:ascii="Arial" w:hAnsi="Arial" w:cs="Arial"/>
              </w:rPr>
            </w:pPr>
            <w:r w:rsidRPr="00464566">
              <w:rPr>
                <w:rFonts w:ascii="Arial" w:hAnsi="Arial" w:cs="Arial"/>
              </w:rPr>
              <w:t>3.74</w:t>
            </w:r>
          </w:p>
        </w:tc>
        <w:tc>
          <w:tcPr>
            <w:tcW w:w="0" w:type="auto"/>
            <w:hideMark/>
          </w:tcPr>
          <w:p w14:paraId="3F261462" w14:textId="77777777" w:rsidR="00464566" w:rsidRPr="00464566" w:rsidRDefault="00464566" w:rsidP="00FC5051">
            <w:pPr>
              <w:spacing w:line="276" w:lineRule="auto"/>
              <w:jc w:val="both"/>
              <w:rPr>
                <w:rFonts w:ascii="Arial" w:hAnsi="Arial" w:cs="Arial"/>
              </w:rPr>
            </w:pPr>
            <w:r w:rsidRPr="00464566">
              <w:rPr>
                <w:rFonts w:ascii="Arial" w:hAnsi="Arial" w:cs="Arial"/>
              </w:rPr>
              <w:t>3.48</w:t>
            </w:r>
          </w:p>
        </w:tc>
      </w:tr>
      <w:tr w:rsidR="00464566" w:rsidRPr="00464566" w14:paraId="246E355F" w14:textId="77777777" w:rsidTr="00FC5051">
        <w:trPr>
          <w:jc w:val="center"/>
        </w:trPr>
        <w:tc>
          <w:tcPr>
            <w:tcW w:w="0" w:type="auto"/>
            <w:hideMark/>
          </w:tcPr>
          <w:p w14:paraId="257AB81E" w14:textId="77777777" w:rsidR="00464566" w:rsidRPr="00464566" w:rsidRDefault="00464566" w:rsidP="00FC5051">
            <w:pPr>
              <w:spacing w:line="276" w:lineRule="auto"/>
              <w:jc w:val="both"/>
              <w:rPr>
                <w:rFonts w:ascii="Arial" w:hAnsi="Arial" w:cs="Arial"/>
              </w:rPr>
            </w:pPr>
            <w:r w:rsidRPr="00464566">
              <w:rPr>
                <w:rFonts w:ascii="Arial" w:hAnsi="Arial" w:cs="Arial"/>
              </w:rPr>
              <w:t>Days Sales Out (DSO)</w:t>
            </w:r>
          </w:p>
        </w:tc>
        <w:tc>
          <w:tcPr>
            <w:tcW w:w="0" w:type="auto"/>
            <w:hideMark/>
          </w:tcPr>
          <w:p w14:paraId="6FF6134A" w14:textId="77777777" w:rsidR="00464566" w:rsidRPr="00464566" w:rsidRDefault="00464566" w:rsidP="00FC5051">
            <w:pPr>
              <w:spacing w:line="276" w:lineRule="auto"/>
              <w:jc w:val="both"/>
              <w:rPr>
                <w:rFonts w:ascii="Arial" w:hAnsi="Arial" w:cs="Arial"/>
              </w:rPr>
            </w:pPr>
            <w:r w:rsidRPr="00464566">
              <w:rPr>
                <w:rFonts w:ascii="Arial" w:hAnsi="Arial" w:cs="Arial"/>
              </w:rPr>
              <w:t>365/AR Turn</w:t>
            </w:r>
          </w:p>
        </w:tc>
        <w:tc>
          <w:tcPr>
            <w:tcW w:w="0" w:type="auto"/>
            <w:hideMark/>
          </w:tcPr>
          <w:p w14:paraId="4E4EE728" w14:textId="77777777" w:rsidR="00464566" w:rsidRPr="00464566" w:rsidRDefault="00464566" w:rsidP="00FC5051">
            <w:pPr>
              <w:spacing w:line="276" w:lineRule="auto"/>
              <w:jc w:val="both"/>
              <w:rPr>
                <w:rFonts w:ascii="Arial" w:hAnsi="Arial" w:cs="Arial"/>
              </w:rPr>
            </w:pPr>
            <w:r w:rsidRPr="00464566">
              <w:rPr>
                <w:rFonts w:ascii="Arial" w:hAnsi="Arial" w:cs="Arial"/>
              </w:rPr>
              <w:t>75</w:t>
            </w:r>
          </w:p>
        </w:tc>
        <w:tc>
          <w:tcPr>
            <w:tcW w:w="0" w:type="auto"/>
            <w:hideMark/>
          </w:tcPr>
          <w:p w14:paraId="4406CB50" w14:textId="77777777" w:rsidR="00464566" w:rsidRPr="00464566" w:rsidRDefault="00464566" w:rsidP="00FC5051">
            <w:pPr>
              <w:spacing w:line="276" w:lineRule="auto"/>
              <w:jc w:val="both"/>
              <w:rPr>
                <w:rFonts w:ascii="Arial" w:hAnsi="Arial" w:cs="Arial"/>
              </w:rPr>
            </w:pPr>
            <w:r w:rsidRPr="00464566">
              <w:rPr>
                <w:rFonts w:ascii="Arial" w:hAnsi="Arial" w:cs="Arial"/>
              </w:rPr>
              <w:t>78</w:t>
            </w:r>
          </w:p>
        </w:tc>
        <w:tc>
          <w:tcPr>
            <w:tcW w:w="0" w:type="auto"/>
            <w:hideMark/>
          </w:tcPr>
          <w:p w14:paraId="53B29779" w14:textId="77777777" w:rsidR="00464566" w:rsidRPr="00464566" w:rsidRDefault="00464566" w:rsidP="00FC5051">
            <w:pPr>
              <w:spacing w:line="276" w:lineRule="auto"/>
              <w:jc w:val="both"/>
              <w:rPr>
                <w:rFonts w:ascii="Arial" w:hAnsi="Arial" w:cs="Arial"/>
              </w:rPr>
            </w:pPr>
            <w:r w:rsidRPr="00464566">
              <w:rPr>
                <w:rFonts w:ascii="Arial" w:hAnsi="Arial" w:cs="Arial"/>
              </w:rPr>
              <w:t>81</w:t>
            </w:r>
          </w:p>
        </w:tc>
        <w:tc>
          <w:tcPr>
            <w:tcW w:w="0" w:type="auto"/>
            <w:hideMark/>
          </w:tcPr>
          <w:p w14:paraId="0569EDE1" w14:textId="77777777" w:rsidR="00464566" w:rsidRPr="00464566" w:rsidRDefault="00464566" w:rsidP="00FC5051">
            <w:pPr>
              <w:spacing w:line="276" w:lineRule="auto"/>
              <w:jc w:val="both"/>
              <w:rPr>
                <w:rFonts w:ascii="Arial" w:hAnsi="Arial" w:cs="Arial"/>
              </w:rPr>
            </w:pPr>
            <w:r w:rsidRPr="00464566">
              <w:rPr>
                <w:rFonts w:ascii="Arial" w:hAnsi="Arial" w:cs="Arial"/>
              </w:rPr>
              <w:t>98</w:t>
            </w:r>
          </w:p>
        </w:tc>
        <w:tc>
          <w:tcPr>
            <w:tcW w:w="0" w:type="auto"/>
            <w:hideMark/>
          </w:tcPr>
          <w:p w14:paraId="4BD779F3" w14:textId="77777777" w:rsidR="00464566" w:rsidRPr="00464566" w:rsidRDefault="00464566" w:rsidP="00FC5051">
            <w:pPr>
              <w:spacing w:line="276" w:lineRule="auto"/>
              <w:jc w:val="both"/>
              <w:rPr>
                <w:rFonts w:ascii="Arial" w:hAnsi="Arial" w:cs="Arial"/>
              </w:rPr>
            </w:pPr>
            <w:r w:rsidRPr="00464566">
              <w:rPr>
                <w:rFonts w:ascii="Arial" w:hAnsi="Arial" w:cs="Arial"/>
              </w:rPr>
              <w:t>105</w:t>
            </w:r>
          </w:p>
        </w:tc>
      </w:tr>
      <w:tr w:rsidR="00464566" w:rsidRPr="00464566" w14:paraId="11AB873C" w14:textId="77777777" w:rsidTr="00FC5051">
        <w:trPr>
          <w:jc w:val="center"/>
        </w:trPr>
        <w:tc>
          <w:tcPr>
            <w:tcW w:w="0" w:type="auto"/>
            <w:hideMark/>
          </w:tcPr>
          <w:p w14:paraId="33024C0A" w14:textId="77777777" w:rsidR="00464566" w:rsidRPr="00464566" w:rsidRDefault="00464566" w:rsidP="00FC5051">
            <w:pPr>
              <w:spacing w:line="276" w:lineRule="auto"/>
              <w:jc w:val="both"/>
              <w:rPr>
                <w:rFonts w:ascii="Arial" w:hAnsi="Arial" w:cs="Arial"/>
              </w:rPr>
            </w:pPr>
            <w:r w:rsidRPr="00464566">
              <w:rPr>
                <w:rFonts w:ascii="Arial" w:hAnsi="Arial" w:cs="Arial"/>
              </w:rPr>
              <w:t>Payables Turnover</w:t>
            </w:r>
          </w:p>
        </w:tc>
        <w:tc>
          <w:tcPr>
            <w:tcW w:w="0" w:type="auto"/>
            <w:hideMark/>
          </w:tcPr>
          <w:p w14:paraId="7A2BDCE4" w14:textId="77777777" w:rsidR="00464566" w:rsidRPr="00464566" w:rsidRDefault="00464566" w:rsidP="00FC5051">
            <w:pPr>
              <w:spacing w:line="276" w:lineRule="auto"/>
              <w:jc w:val="both"/>
              <w:rPr>
                <w:rFonts w:ascii="Arial" w:hAnsi="Arial" w:cs="Arial"/>
              </w:rPr>
            </w:pPr>
            <w:r w:rsidRPr="00464566">
              <w:rPr>
                <w:rFonts w:ascii="Arial" w:hAnsi="Arial" w:cs="Arial"/>
              </w:rPr>
              <w:t>COGS/Avg AP</w:t>
            </w:r>
          </w:p>
        </w:tc>
        <w:tc>
          <w:tcPr>
            <w:tcW w:w="0" w:type="auto"/>
            <w:hideMark/>
          </w:tcPr>
          <w:p w14:paraId="7FC61F0B" w14:textId="77777777" w:rsidR="00464566" w:rsidRPr="00464566" w:rsidRDefault="00464566" w:rsidP="00FC5051">
            <w:pPr>
              <w:spacing w:line="276" w:lineRule="auto"/>
              <w:jc w:val="both"/>
              <w:rPr>
                <w:rFonts w:ascii="Arial" w:hAnsi="Arial" w:cs="Arial"/>
              </w:rPr>
            </w:pPr>
            <w:r w:rsidRPr="00464566">
              <w:rPr>
                <w:rFonts w:ascii="Arial" w:hAnsi="Arial" w:cs="Arial"/>
              </w:rPr>
              <w:t>5.53</w:t>
            </w:r>
          </w:p>
        </w:tc>
        <w:tc>
          <w:tcPr>
            <w:tcW w:w="0" w:type="auto"/>
            <w:hideMark/>
          </w:tcPr>
          <w:p w14:paraId="6EA1F1E3" w14:textId="77777777" w:rsidR="00464566" w:rsidRPr="00464566" w:rsidRDefault="00464566" w:rsidP="00FC5051">
            <w:pPr>
              <w:spacing w:line="276" w:lineRule="auto"/>
              <w:jc w:val="both"/>
              <w:rPr>
                <w:rFonts w:ascii="Arial" w:hAnsi="Arial" w:cs="Arial"/>
              </w:rPr>
            </w:pPr>
            <w:r w:rsidRPr="00464566">
              <w:rPr>
                <w:rFonts w:ascii="Arial" w:hAnsi="Arial" w:cs="Arial"/>
              </w:rPr>
              <w:t>4.87</w:t>
            </w:r>
          </w:p>
        </w:tc>
        <w:tc>
          <w:tcPr>
            <w:tcW w:w="0" w:type="auto"/>
            <w:hideMark/>
          </w:tcPr>
          <w:p w14:paraId="55C98C45" w14:textId="77777777" w:rsidR="00464566" w:rsidRPr="00464566" w:rsidRDefault="00464566" w:rsidP="00FC5051">
            <w:pPr>
              <w:spacing w:line="276" w:lineRule="auto"/>
              <w:jc w:val="both"/>
              <w:rPr>
                <w:rFonts w:ascii="Arial" w:hAnsi="Arial" w:cs="Arial"/>
              </w:rPr>
            </w:pPr>
            <w:r w:rsidRPr="00464566">
              <w:rPr>
                <w:rFonts w:ascii="Arial" w:hAnsi="Arial" w:cs="Arial"/>
              </w:rPr>
              <w:t>4.76</w:t>
            </w:r>
          </w:p>
        </w:tc>
        <w:tc>
          <w:tcPr>
            <w:tcW w:w="0" w:type="auto"/>
            <w:hideMark/>
          </w:tcPr>
          <w:p w14:paraId="3017282E" w14:textId="77777777" w:rsidR="00464566" w:rsidRPr="00464566" w:rsidRDefault="00464566" w:rsidP="00FC5051">
            <w:pPr>
              <w:spacing w:line="276" w:lineRule="auto"/>
              <w:jc w:val="both"/>
              <w:rPr>
                <w:rFonts w:ascii="Arial" w:hAnsi="Arial" w:cs="Arial"/>
              </w:rPr>
            </w:pPr>
            <w:r w:rsidRPr="00464566">
              <w:rPr>
                <w:rFonts w:ascii="Arial" w:hAnsi="Arial" w:cs="Arial"/>
              </w:rPr>
              <w:t>5.03</w:t>
            </w:r>
          </w:p>
        </w:tc>
        <w:tc>
          <w:tcPr>
            <w:tcW w:w="0" w:type="auto"/>
            <w:hideMark/>
          </w:tcPr>
          <w:p w14:paraId="036D42E2" w14:textId="77777777" w:rsidR="00464566" w:rsidRPr="00464566" w:rsidRDefault="00464566" w:rsidP="00FC5051">
            <w:pPr>
              <w:spacing w:line="276" w:lineRule="auto"/>
              <w:jc w:val="both"/>
              <w:rPr>
                <w:rFonts w:ascii="Arial" w:hAnsi="Arial" w:cs="Arial"/>
              </w:rPr>
            </w:pPr>
            <w:r w:rsidRPr="00464566">
              <w:rPr>
                <w:rFonts w:ascii="Arial" w:hAnsi="Arial" w:cs="Arial"/>
              </w:rPr>
              <w:t>4.35</w:t>
            </w:r>
          </w:p>
        </w:tc>
      </w:tr>
      <w:tr w:rsidR="00464566" w:rsidRPr="00464566" w14:paraId="05193F8B" w14:textId="77777777" w:rsidTr="00FC5051">
        <w:trPr>
          <w:jc w:val="center"/>
        </w:trPr>
        <w:tc>
          <w:tcPr>
            <w:tcW w:w="0" w:type="auto"/>
            <w:hideMark/>
          </w:tcPr>
          <w:p w14:paraId="7C6FC5EF" w14:textId="77777777" w:rsidR="00464566" w:rsidRPr="00464566" w:rsidRDefault="00464566" w:rsidP="00FC5051">
            <w:pPr>
              <w:spacing w:line="276" w:lineRule="auto"/>
              <w:jc w:val="both"/>
              <w:rPr>
                <w:rFonts w:ascii="Arial" w:hAnsi="Arial" w:cs="Arial"/>
              </w:rPr>
            </w:pPr>
            <w:r w:rsidRPr="00464566">
              <w:rPr>
                <w:rFonts w:ascii="Arial" w:hAnsi="Arial" w:cs="Arial"/>
              </w:rPr>
              <w:t>Days Payables (DPO)</w:t>
            </w:r>
          </w:p>
        </w:tc>
        <w:tc>
          <w:tcPr>
            <w:tcW w:w="0" w:type="auto"/>
            <w:hideMark/>
          </w:tcPr>
          <w:p w14:paraId="67096A6B" w14:textId="77777777" w:rsidR="00464566" w:rsidRPr="00464566" w:rsidRDefault="00464566" w:rsidP="00FC5051">
            <w:pPr>
              <w:spacing w:line="276" w:lineRule="auto"/>
              <w:jc w:val="both"/>
              <w:rPr>
                <w:rFonts w:ascii="Arial" w:hAnsi="Arial" w:cs="Arial"/>
              </w:rPr>
            </w:pPr>
            <w:r w:rsidRPr="00464566">
              <w:rPr>
                <w:rFonts w:ascii="Arial" w:hAnsi="Arial" w:cs="Arial"/>
              </w:rPr>
              <w:t>365/AP Turn</w:t>
            </w:r>
          </w:p>
        </w:tc>
        <w:tc>
          <w:tcPr>
            <w:tcW w:w="0" w:type="auto"/>
            <w:hideMark/>
          </w:tcPr>
          <w:p w14:paraId="6F4469CD" w14:textId="77777777" w:rsidR="00464566" w:rsidRPr="00464566" w:rsidRDefault="00464566" w:rsidP="00FC5051">
            <w:pPr>
              <w:spacing w:line="276" w:lineRule="auto"/>
              <w:jc w:val="both"/>
              <w:rPr>
                <w:rFonts w:ascii="Arial" w:hAnsi="Arial" w:cs="Arial"/>
              </w:rPr>
            </w:pPr>
            <w:r w:rsidRPr="00464566">
              <w:rPr>
                <w:rFonts w:ascii="Arial" w:hAnsi="Arial" w:cs="Arial"/>
              </w:rPr>
              <w:t>66</w:t>
            </w:r>
          </w:p>
        </w:tc>
        <w:tc>
          <w:tcPr>
            <w:tcW w:w="0" w:type="auto"/>
            <w:hideMark/>
          </w:tcPr>
          <w:p w14:paraId="2E9BE2FF" w14:textId="77777777" w:rsidR="00464566" w:rsidRPr="00464566" w:rsidRDefault="00464566" w:rsidP="00FC5051">
            <w:pPr>
              <w:spacing w:line="276" w:lineRule="auto"/>
              <w:jc w:val="both"/>
              <w:rPr>
                <w:rFonts w:ascii="Arial" w:hAnsi="Arial" w:cs="Arial"/>
              </w:rPr>
            </w:pPr>
            <w:r w:rsidRPr="00464566">
              <w:rPr>
                <w:rFonts w:ascii="Arial" w:hAnsi="Arial" w:cs="Arial"/>
              </w:rPr>
              <w:t>75</w:t>
            </w:r>
          </w:p>
        </w:tc>
        <w:tc>
          <w:tcPr>
            <w:tcW w:w="0" w:type="auto"/>
            <w:hideMark/>
          </w:tcPr>
          <w:p w14:paraId="2D601E7D" w14:textId="77777777" w:rsidR="00464566" w:rsidRPr="00464566" w:rsidRDefault="00464566" w:rsidP="00FC5051">
            <w:pPr>
              <w:spacing w:line="276" w:lineRule="auto"/>
              <w:jc w:val="both"/>
              <w:rPr>
                <w:rFonts w:ascii="Arial" w:hAnsi="Arial" w:cs="Arial"/>
              </w:rPr>
            </w:pPr>
            <w:r w:rsidRPr="00464566">
              <w:rPr>
                <w:rFonts w:ascii="Arial" w:hAnsi="Arial" w:cs="Arial"/>
              </w:rPr>
              <w:t>77</w:t>
            </w:r>
          </w:p>
        </w:tc>
        <w:tc>
          <w:tcPr>
            <w:tcW w:w="0" w:type="auto"/>
            <w:hideMark/>
          </w:tcPr>
          <w:p w14:paraId="5B7E70AF" w14:textId="77777777" w:rsidR="00464566" w:rsidRPr="00464566" w:rsidRDefault="00464566" w:rsidP="00FC5051">
            <w:pPr>
              <w:spacing w:line="276" w:lineRule="auto"/>
              <w:jc w:val="both"/>
              <w:rPr>
                <w:rFonts w:ascii="Arial" w:hAnsi="Arial" w:cs="Arial"/>
              </w:rPr>
            </w:pPr>
            <w:r w:rsidRPr="00464566">
              <w:rPr>
                <w:rFonts w:ascii="Arial" w:hAnsi="Arial" w:cs="Arial"/>
              </w:rPr>
              <w:t>73</w:t>
            </w:r>
          </w:p>
        </w:tc>
        <w:tc>
          <w:tcPr>
            <w:tcW w:w="0" w:type="auto"/>
            <w:hideMark/>
          </w:tcPr>
          <w:p w14:paraId="1CB5CA29" w14:textId="77777777" w:rsidR="00464566" w:rsidRPr="00464566" w:rsidRDefault="00464566" w:rsidP="00FC5051">
            <w:pPr>
              <w:spacing w:line="276" w:lineRule="auto"/>
              <w:jc w:val="both"/>
              <w:rPr>
                <w:rFonts w:ascii="Arial" w:hAnsi="Arial" w:cs="Arial"/>
              </w:rPr>
            </w:pPr>
            <w:r w:rsidRPr="00464566">
              <w:rPr>
                <w:rFonts w:ascii="Arial" w:hAnsi="Arial" w:cs="Arial"/>
              </w:rPr>
              <w:t>84</w:t>
            </w:r>
          </w:p>
        </w:tc>
      </w:tr>
      <w:tr w:rsidR="00464566" w:rsidRPr="00464566" w14:paraId="493F51F6" w14:textId="77777777" w:rsidTr="00FC5051">
        <w:trPr>
          <w:jc w:val="center"/>
        </w:trPr>
        <w:tc>
          <w:tcPr>
            <w:tcW w:w="0" w:type="auto"/>
            <w:hideMark/>
          </w:tcPr>
          <w:p w14:paraId="34A77743" w14:textId="77777777" w:rsidR="00464566" w:rsidRPr="00464566" w:rsidRDefault="00464566" w:rsidP="00FC5051">
            <w:pPr>
              <w:spacing w:line="276" w:lineRule="auto"/>
              <w:jc w:val="both"/>
              <w:rPr>
                <w:rFonts w:ascii="Arial" w:hAnsi="Arial" w:cs="Arial"/>
              </w:rPr>
            </w:pPr>
            <w:r w:rsidRPr="00464566">
              <w:rPr>
                <w:rFonts w:ascii="Arial" w:hAnsi="Arial" w:cs="Arial"/>
              </w:rPr>
              <w:t>Cash Cycle (Days)</w:t>
            </w:r>
          </w:p>
        </w:tc>
        <w:tc>
          <w:tcPr>
            <w:tcW w:w="0" w:type="auto"/>
            <w:hideMark/>
          </w:tcPr>
          <w:p w14:paraId="17970EEC" w14:textId="77777777" w:rsidR="00464566" w:rsidRPr="00464566" w:rsidRDefault="00464566" w:rsidP="00FC5051">
            <w:pPr>
              <w:spacing w:line="276" w:lineRule="auto"/>
              <w:jc w:val="both"/>
              <w:rPr>
                <w:rFonts w:ascii="Arial" w:hAnsi="Arial" w:cs="Arial"/>
              </w:rPr>
            </w:pPr>
            <w:r w:rsidRPr="00464566">
              <w:rPr>
                <w:rFonts w:ascii="Arial" w:hAnsi="Arial" w:cs="Arial"/>
              </w:rPr>
              <w:t>DIO+DSO-DPO</w:t>
            </w:r>
          </w:p>
        </w:tc>
        <w:tc>
          <w:tcPr>
            <w:tcW w:w="0" w:type="auto"/>
            <w:hideMark/>
          </w:tcPr>
          <w:p w14:paraId="19243573" w14:textId="77777777" w:rsidR="00464566" w:rsidRPr="00464566" w:rsidRDefault="00464566" w:rsidP="00FC5051">
            <w:pPr>
              <w:spacing w:line="276" w:lineRule="auto"/>
              <w:jc w:val="both"/>
              <w:rPr>
                <w:rFonts w:ascii="Arial" w:hAnsi="Arial" w:cs="Arial"/>
              </w:rPr>
            </w:pPr>
            <w:r w:rsidRPr="00464566">
              <w:rPr>
                <w:rFonts w:ascii="Arial" w:hAnsi="Arial" w:cs="Arial"/>
              </w:rPr>
              <w:t>107</w:t>
            </w:r>
          </w:p>
        </w:tc>
        <w:tc>
          <w:tcPr>
            <w:tcW w:w="0" w:type="auto"/>
            <w:hideMark/>
          </w:tcPr>
          <w:p w14:paraId="1D233BB8" w14:textId="77777777" w:rsidR="00464566" w:rsidRPr="00464566" w:rsidRDefault="00464566" w:rsidP="00FC5051">
            <w:pPr>
              <w:spacing w:line="276" w:lineRule="auto"/>
              <w:jc w:val="both"/>
              <w:rPr>
                <w:rFonts w:ascii="Arial" w:hAnsi="Arial" w:cs="Arial"/>
              </w:rPr>
            </w:pPr>
            <w:r w:rsidRPr="00464566">
              <w:rPr>
                <w:rFonts w:ascii="Arial" w:hAnsi="Arial" w:cs="Arial"/>
              </w:rPr>
              <w:t>112</w:t>
            </w:r>
          </w:p>
        </w:tc>
        <w:tc>
          <w:tcPr>
            <w:tcW w:w="0" w:type="auto"/>
            <w:hideMark/>
          </w:tcPr>
          <w:p w14:paraId="6BB6CB7F" w14:textId="77777777" w:rsidR="00464566" w:rsidRPr="00464566" w:rsidRDefault="00464566" w:rsidP="00FC5051">
            <w:pPr>
              <w:spacing w:line="276" w:lineRule="auto"/>
              <w:jc w:val="both"/>
              <w:rPr>
                <w:rFonts w:ascii="Arial" w:hAnsi="Arial" w:cs="Arial"/>
              </w:rPr>
            </w:pPr>
            <w:r w:rsidRPr="00464566">
              <w:rPr>
                <w:rFonts w:ascii="Arial" w:hAnsi="Arial" w:cs="Arial"/>
              </w:rPr>
              <w:t>132</w:t>
            </w:r>
          </w:p>
        </w:tc>
        <w:tc>
          <w:tcPr>
            <w:tcW w:w="0" w:type="auto"/>
            <w:hideMark/>
          </w:tcPr>
          <w:p w14:paraId="5EA9B62E" w14:textId="77777777" w:rsidR="00464566" w:rsidRPr="00464566" w:rsidRDefault="00464566" w:rsidP="00FC5051">
            <w:pPr>
              <w:spacing w:line="276" w:lineRule="auto"/>
              <w:jc w:val="both"/>
              <w:rPr>
                <w:rFonts w:ascii="Arial" w:hAnsi="Arial" w:cs="Arial"/>
              </w:rPr>
            </w:pPr>
            <w:r w:rsidRPr="00464566">
              <w:rPr>
                <w:rFonts w:ascii="Arial" w:hAnsi="Arial" w:cs="Arial"/>
              </w:rPr>
              <w:t>154</w:t>
            </w:r>
          </w:p>
        </w:tc>
        <w:tc>
          <w:tcPr>
            <w:tcW w:w="0" w:type="auto"/>
            <w:hideMark/>
          </w:tcPr>
          <w:p w14:paraId="2FBEE40B" w14:textId="77777777" w:rsidR="00464566" w:rsidRPr="00464566" w:rsidRDefault="00464566" w:rsidP="00FC5051">
            <w:pPr>
              <w:spacing w:line="276" w:lineRule="auto"/>
              <w:jc w:val="both"/>
              <w:rPr>
                <w:rFonts w:ascii="Arial" w:hAnsi="Arial" w:cs="Arial"/>
              </w:rPr>
            </w:pPr>
            <w:r w:rsidRPr="00464566">
              <w:rPr>
                <w:rFonts w:ascii="Arial" w:hAnsi="Arial" w:cs="Arial"/>
              </w:rPr>
              <w:t>130</w:t>
            </w:r>
          </w:p>
        </w:tc>
      </w:tr>
    </w:tbl>
    <w:p w14:paraId="1D382DA6" w14:textId="77777777" w:rsidR="00464566" w:rsidRPr="00464566" w:rsidRDefault="00464566" w:rsidP="00FC5051">
      <w:pPr>
        <w:pStyle w:val="font-claude-response-body"/>
        <w:spacing w:line="276" w:lineRule="auto"/>
        <w:jc w:val="both"/>
        <w:rPr>
          <w:rFonts w:ascii="Arial" w:hAnsi="Arial" w:cs="Arial"/>
        </w:rPr>
      </w:pPr>
      <w:r w:rsidRPr="00464566">
        <w:rPr>
          <w:rStyle w:val="Strong"/>
          <w:rFonts w:ascii="Arial" w:hAnsi="Arial" w:cs="Arial"/>
          <w:b w:val="0"/>
          <w:bCs w:val="0"/>
        </w:rPr>
        <w:t>Table A.4: Complete Leverage Ratio Analysis (2020-2024)</w:t>
      </w:r>
    </w:p>
    <w:tbl>
      <w:tblPr>
        <w:tblStyle w:val="TableGrid"/>
        <w:tblW w:w="0" w:type="auto"/>
        <w:jc w:val="center"/>
        <w:tblLook w:val="04A0" w:firstRow="1" w:lastRow="0" w:firstColumn="1" w:lastColumn="0" w:noHBand="0" w:noVBand="1"/>
      </w:tblPr>
      <w:tblGrid>
        <w:gridCol w:w="2221"/>
        <w:gridCol w:w="1549"/>
        <w:gridCol w:w="840"/>
        <w:gridCol w:w="840"/>
        <w:gridCol w:w="840"/>
        <w:gridCol w:w="840"/>
        <w:gridCol w:w="840"/>
      </w:tblGrid>
      <w:tr w:rsidR="00464566" w:rsidRPr="00464566" w14:paraId="2C0C5C49" w14:textId="77777777" w:rsidTr="00FC5051">
        <w:trPr>
          <w:jc w:val="center"/>
        </w:trPr>
        <w:tc>
          <w:tcPr>
            <w:tcW w:w="0" w:type="auto"/>
            <w:hideMark/>
          </w:tcPr>
          <w:p w14:paraId="0F3C06A2" w14:textId="77777777" w:rsidR="00464566" w:rsidRPr="00464566" w:rsidRDefault="00464566" w:rsidP="00FC5051">
            <w:pPr>
              <w:spacing w:line="276" w:lineRule="auto"/>
              <w:jc w:val="both"/>
              <w:rPr>
                <w:rFonts w:ascii="Arial" w:hAnsi="Arial" w:cs="Arial"/>
              </w:rPr>
            </w:pPr>
            <w:r w:rsidRPr="00464566">
              <w:rPr>
                <w:rFonts w:ascii="Arial" w:hAnsi="Arial" w:cs="Arial"/>
              </w:rPr>
              <w:t>Ratio</w:t>
            </w:r>
          </w:p>
        </w:tc>
        <w:tc>
          <w:tcPr>
            <w:tcW w:w="0" w:type="auto"/>
            <w:hideMark/>
          </w:tcPr>
          <w:p w14:paraId="0CD739B7" w14:textId="77777777" w:rsidR="00464566" w:rsidRPr="00464566" w:rsidRDefault="00464566" w:rsidP="00FC5051">
            <w:pPr>
              <w:spacing w:line="276" w:lineRule="auto"/>
              <w:jc w:val="both"/>
              <w:rPr>
                <w:rFonts w:ascii="Arial" w:hAnsi="Arial" w:cs="Arial"/>
              </w:rPr>
            </w:pPr>
            <w:r w:rsidRPr="00464566">
              <w:rPr>
                <w:rFonts w:ascii="Arial" w:hAnsi="Arial" w:cs="Arial"/>
              </w:rPr>
              <w:t>Formula</w:t>
            </w:r>
          </w:p>
        </w:tc>
        <w:tc>
          <w:tcPr>
            <w:tcW w:w="0" w:type="auto"/>
            <w:hideMark/>
          </w:tcPr>
          <w:p w14:paraId="37CDD22F" w14:textId="77777777" w:rsidR="00464566" w:rsidRPr="00464566" w:rsidRDefault="00464566" w:rsidP="00FC5051">
            <w:pPr>
              <w:spacing w:line="276" w:lineRule="auto"/>
              <w:jc w:val="both"/>
              <w:rPr>
                <w:rFonts w:ascii="Arial" w:hAnsi="Arial" w:cs="Arial"/>
              </w:rPr>
            </w:pPr>
            <w:r w:rsidRPr="00464566">
              <w:rPr>
                <w:rFonts w:ascii="Arial" w:hAnsi="Arial" w:cs="Arial"/>
              </w:rPr>
              <w:t>2020</w:t>
            </w:r>
          </w:p>
        </w:tc>
        <w:tc>
          <w:tcPr>
            <w:tcW w:w="0" w:type="auto"/>
            <w:hideMark/>
          </w:tcPr>
          <w:p w14:paraId="6E053175" w14:textId="77777777" w:rsidR="00464566" w:rsidRPr="00464566" w:rsidRDefault="00464566" w:rsidP="00FC5051">
            <w:pPr>
              <w:spacing w:line="276" w:lineRule="auto"/>
              <w:jc w:val="both"/>
              <w:rPr>
                <w:rFonts w:ascii="Arial" w:hAnsi="Arial" w:cs="Arial"/>
              </w:rPr>
            </w:pPr>
            <w:r w:rsidRPr="00464566">
              <w:rPr>
                <w:rFonts w:ascii="Arial" w:hAnsi="Arial" w:cs="Arial"/>
              </w:rPr>
              <w:t>2021</w:t>
            </w:r>
          </w:p>
        </w:tc>
        <w:tc>
          <w:tcPr>
            <w:tcW w:w="0" w:type="auto"/>
            <w:hideMark/>
          </w:tcPr>
          <w:p w14:paraId="58475448" w14:textId="77777777" w:rsidR="00464566" w:rsidRPr="00464566" w:rsidRDefault="00464566" w:rsidP="00FC5051">
            <w:pPr>
              <w:spacing w:line="276" w:lineRule="auto"/>
              <w:jc w:val="both"/>
              <w:rPr>
                <w:rFonts w:ascii="Arial" w:hAnsi="Arial" w:cs="Arial"/>
              </w:rPr>
            </w:pPr>
            <w:r w:rsidRPr="00464566">
              <w:rPr>
                <w:rFonts w:ascii="Arial" w:hAnsi="Arial" w:cs="Arial"/>
              </w:rPr>
              <w:t>2022</w:t>
            </w:r>
          </w:p>
        </w:tc>
        <w:tc>
          <w:tcPr>
            <w:tcW w:w="0" w:type="auto"/>
            <w:hideMark/>
          </w:tcPr>
          <w:p w14:paraId="437934E2" w14:textId="77777777" w:rsidR="00464566" w:rsidRPr="00464566" w:rsidRDefault="00464566" w:rsidP="00FC5051">
            <w:pPr>
              <w:spacing w:line="276" w:lineRule="auto"/>
              <w:jc w:val="both"/>
              <w:rPr>
                <w:rFonts w:ascii="Arial" w:hAnsi="Arial" w:cs="Arial"/>
              </w:rPr>
            </w:pPr>
            <w:r w:rsidRPr="00464566">
              <w:rPr>
                <w:rFonts w:ascii="Arial" w:hAnsi="Arial" w:cs="Arial"/>
              </w:rPr>
              <w:t>2023</w:t>
            </w:r>
          </w:p>
        </w:tc>
        <w:tc>
          <w:tcPr>
            <w:tcW w:w="0" w:type="auto"/>
            <w:hideMark/>
          </w:tcPr>
          <w:p w14:paraId="1BEE9D11" w14:textId="77777777" w:rsidR="00464566" w:rsidRPr="00464566" w:rsidRDefault="00464566" w:rsidP="00FC5051">
            <w:pPr>
              <w:spacing w:line="276" w:lineRule="auto"/>
              <w:jc w:val="both"/>
              <w:rPr>
                <w:rFonts w:ascii="Arial" w:hAnsi="Arial" w:cs="Arial"/>
              </w:rPr>
            </w:pPr>
            <w:r w:rsidRPr="00464566">
              <w:rPr>
                <w:rFonts w:ascii="Arial" w:hAnsi="Arial" w:cs="Arial"/>
              </w:rPr>
              <w:t>2024</w:t>
            </w:r>
          </w:p>
        </w:tc>
      </w:tr>
      <w:tr w:rsidR="00464566" w:rsidRPr="00464566" w14:paraId="3199CF64" w14:textId="77777777" w:rsidTr="00FC5051">
        <w:trPr>
          <w:jc w:val="center"/>
        </w:trPr>
        <w:tc>
          <w:tcPr>
            <w:tcW w:w="0" w:type="auto"/>
            <w:hideMark/>
          </w:tcPr>
          <w:p w14:paraId="713D1E74" w14:textId="77777777" w:rsidR="00464566" w:rsidRPr="00464566" w:rsidRDefault="00464566" w:rsidP="00FC5051">
            <w:pPr>
              <w:spacing w:line="276" w:lineRule="auto"/>
              <w:jc w:val="both"/>
              <w:rPr>
                <w:rFonts w:ascii="Arial" w:hAnsi="Arial" w:cs="Arial"/>
              </w:rPr>
            </w:pPr>
            <w:r w:rsidRPr="00464566">
              <w:rPr>
                <w:rFonts w:ascii="Arial" w:hAnsi="Arial" w:cs="Arial"/>
              </w:rPr>
              <w:t>Debt-to-Equity</w:t>
            </w:r>
          </w:p>
        </w:tc>
        <w:tc>
          <w:tcPr>
            <w:tcW w:w="0" w:type="auto"/>
            <w:hideMark/>
          </w:tcPr>
          <w:p w14:paraId="50C64259" w14:textId="77777777" w:rsidR="00464566" w:rsidRPr="00464566" w:rsidRDefault="00464566" w:rsidP="00FC5051">
            <w:pPr>
              <w:spacing w:line="276" w:lineRule="auto"/>
              <w:jc w:val="both"/>
              <w:rPr>
                <w:rFonts w:ascii="Arial" w:hAnsi="Arial" w:cs="Arial"/>
              </w:rPr>
            </w:pPr>
            <w:r w:rsidRPr="00464566">
              <w:rPr>
                <w:rFonts w:ascii="Arial" w:hAnsi="Arial" w:cs="Arial"/>
              </w:rPr>
              <w:t>TL/Equity</w:t>
            </w:r>
          </w:p>
        </w:tc>
        <w:tc>
          <w:tcPr>
            <w:tcW w:w="0" w:type="auto"/>
            <w:hideMark/>
          </w:tcPr>
          <w:p w14:paraId="60EC340F" w14:textId="77777777" w:rsidR="00464566" w:rsidRPr="00464566" w:rsidRDefault="00464566" w:rsidP="00FC5051">
            <w:pPr>
              <w:spacing w:line="276" w:lineRule="auto"/>
              <w:jc w:val="both"/>
              <w:rPr>
                <w:rFonts w:ascii="Arial" w:hAnsi="Arial" w:cs="Arial"/>
              </w:rPr>
            </w:pPr>
            <w:r w:rsidRPr="00464566">
              <w:rPr>
                <w:rFonts w:ascii="Arial" w:hAnsi="Arial" w:cs="Arial"/>
              </w:rPr>
              <w:t>0.629</w:t>
            </w:r>
          </w:p>
        </w:tc>
        <w:tc>
          <w:tcPr>
            <w:tcW w:w="0" w:type="auto"/>
            <w:hideMark/>
          </w:tcPr>
          <w:p w14:paraId="60961A95" w14:textId="77777777" w:rsidR="00464566" w:rsidRPr="00464566" w:rsidRDefault="00464566" w:rsidP="00FC5051">
            <w:pPr>
              <w:spacing w:line="276" w:lineRule="auto"/>
              <w:jc w:val="both"/>
              <w:rPr>
                <w:rFonts w:ascii="Arial" w:hAnsi="Arial" w:cs="Arial"/>
              </w:rPr>
            </w:pPr>
            <w:r w:rsidRPr="00464566">
              <w:rPr>
                <w:rFonts w:ascii="Arial" w:hAnsi="Arial" w:cs="Arial"/>
              </w:rPr>
              <w:t>0.849</w:t>
            </w:r>
          </w:p>
        </w:tc>
        <w:tc>
          <w:tcPr>
            <w:tcW w:w="0" w:type="auto"/>
            <w:hideMark/>
          </w:tcPr>
          <w:p w14:paraId="7986BEFC" w14:textId="77777777" w:rsidR="00464566" w:rsidRPr="00464566" w:rsidRDefault="00464566" w:rsidP="00FC5051">
            <w:pPr>
              <w:spacing w:line="276" w:lineRule="auto"/>
              <w:jc w:val="both"/>
              <w:rPr>
                <w:rFonts w:ascii="Arial" w:hAnsi="Arial" w:cs="Arial"/>
              </w:rPr>
            </w:pPr>
            <w:r w:rsidRPr="00464566">
              <w:rPr>
                <w:rFonts w:ascii="Arial" w:hAnsi="Arial" w:cs="Arial"/>
              </w:rPr>
              <w:t>0.878</w:t>
            </w:r>
          </w:p>
        </w:tc>
        <w:tc>
          <w:tcPr>
            <w:tcW w:w="0" w:type="auto"/>
            <w:hideMark/>
          </w:tcPr>
          <w:p w14:paraId="4159C93A" w14:textId="77777777" w:rsidR="00464566" w:rsidRPr="00464566" w:rsidRDefault="00464566" w:rsidP="00FC5051">
            <w:pPr>
              <w:spacing w:line="276" w:lineRule="auto"/>
              <w:jc w:val="both"/>
              <w:rPr>
                <w:rFonts w:ascii="Arial" w:hAnsi="Arial" w:cs="Arial"/>
              </w:rPr>
            </w:pPr>
            <w:r w:rsidRPr="00464566">
              <w:rPr>
                <w:rFonts w:ascii="Arial" w:hAnsi="Arial" w:cs="Arial"/>
              </w:rPr>
              <w:t>0.989</w:t>
            </w:r>
          </w:p>
        </w:tc>
        <w:tc>
          <w:tcPr>
            <w:tcW w:w="0" w:type="auto"/>
            <w:hideMark/>
          </w:tcPr>
          <w:p w14:paraId="2C897D54" w14:textId="77777777" w:rsidR="00464566" w:rsidRPr="00464566" w:rsidRDefault="00464566" w:rsidP="00FC5051">
            <w:pPr>
              <w:spacing w:line="276" w:lineRule="auto"/>
              <w:jc w:val="both"/>
              <w:rPr>
                <w:rFonts w:ascii="Arial" w:hAnsi="Arial" w:cs="Arial"/>
              </w:rPr>
            </w:pPr>
            <w:r w:rsidRPr="00464566">
              <w:rPr>
                <w:rFonts w:ascii="Arial" w:hAnsi="Arial" w:cs="Arial"/>
              </w:rPr>
              <w:t>1.112</w:t>
            </w:r>
          </w:p>
        </w:tc>
      </w:tr>
      <w:tr w:rsidR="00464566" w:rsidRPr="00464566" w14:paraId="4ADA254F" w14:textId="77777777" w:rsidTr="00FC5051">
        <w:trPr>
          <w:jc w:val="center"/>
        </w:trPr>
        <w:tc>
          <w:tcPr>
            <w:tcW w:w="0" w:type="auto"/>
            <w:hideMark/>
          </w:tcPr>
          <w:p w14:paraId="74B5FAEE" w14:textId="77777777" w:rsidR="00464566" w:rsidRPr="00464566" w:rsidRDefault="00464566" w:rsidP="00FC5051">
            <w:pPr>
              <w:spacing w:line="276" w:lineRule="auto"/>
              <w:jc w:val="both"/>
              <w:rPr>
                <w:rFonts w:ascii="Arial" w:hAnsi="Arial" w:cs="Arial"/>
              </w:rPr>
            </w:pPr>
            <w:r w:rsidRPr="00464566">
              <w:rPr>
                <w:rFonts w:ascii="Arial" w:hAnsi="Arial" w:cs="Arial"/>
              </w:rPr>
              <w:t>Debt-to-Assets (%)</w:t>
            </w:r>
          </w:p>
        </w:tc>
        <w:tc>
          <w:tcPr>
            <w:tcW w:w="0" w:type="auto"/>
            <w:hideMark/>
          </w:tcPr>
          <w:p w14:paraId="046860DE" w14:textId="77777777" w:rsidR="00464566" w:rsidRPr="00464566" w:rsidRDefault="00464566" w:rsidP="00FC5051">
            <w:pPr>
              <w:spacing w:line="276" w:lineRule="auto"/>
              <w:jc w:val="both"/>
              <w:rPr>
                <w:rFonts w:ascii="Arial" w:hAnsi="Arial" w:cs="Arial"/>
              </w:rPr>
            </w:pPr>
            <w:r w:rsidRPr="00464566">
              <w:rPr>
                <w:rFonts w:ascii="Arial" w:hAnsi="Arial" w:cs="Arial"/>
              </w:rPr>
              <w:t>TL/Assets</w:t>
            </w:r>
          </w:p>
        </w:tc>
        <w:tc>
          <w:tcPr>
            <w:tcW w:w="0" w:type="auto"/>
            <w:hideMark/>
          </w:tcPr>
          <w:p w14:paraId="3358E769" w14:textId="77777777" w:rsidR="00464566" w:rsidRPr="00464566" w:rsidRDefault="00464566" w:rsidP="00FC5051">
            <w:pPr>
              <w:spacing w:line="276" w:lineRule="auto"/>
              <w:jc w:val="both"/>
              <w:rPr>
                <w:rFonts w:ascii="Arial" w:hAnsi="Arial" w:cs="Arial"/>
              </w:rPr>
            </w:pPr>
            <w:r w:rsidRPr="00464566">
              <w:rPr>
                <w:rFonts w:ascii="Arial" w:hAnsi="Arial" w:cs="Arial"/>
              </w:rPr>
              <w:t>38.6%</w:t>
            </w:r>
          </w:p>
        </w:tc>
        <w:tc>
          <w:tcPr>
            <w:tcW w:w="0" w:type="auto"/>
            <w:hideMark/>
          </w:tcPr>
          <w:p w14:paraId="74B27AE9" w14:textId="77777777" w:rsidR="00464566" w:rsidRPr="00464566" w:rsidRDefault="00464566" w:rsidP="00FC5051">
            <w:pPr>
              <w:spacing w:line="276" w:lineRule="auto"/>
              <w:jc w:val="both"/>
              <w:rPr>
                <w:rFonts w:ascii="Arial" w:hAnsi="Arial" w:cs="Arial"/>
              </w:rPr>
            </w:pPr>
            <w:r w:rsidRPr="00464566">
              <w:rPr>
                <w:rFonts w:ascii="Arial" w:hAnsi="Arial" w:cs="Arial"/>
              </w:rPr>
              <w:t>45.9%</w:t>
            </w:r>
          </w:p>
        </w:tc>
        <w:tc>
          <w:tcPr>
            <w:tcW w:w="0" w:type="auto"/>
            <w:hideMark/>
          </w:tcPr>
          <w:p w14:paraId="7E223FB1" w14:textId="77777777" w:rsidR="00464566" w:rsidRPr="00464566" w:rsidRDefault="00464566" w:rsidP="00FC5051">
            <w:pPr>
              <w:spacing w:line="276" w:lineRule="auto"/>
              <w:jc w:val="both"/>
              <w:rPr>
                <w:rFonts w:ascii="Arial" w:hAnsi="Arial" w:cs="Arial"/>
              </w:rPr>
            </w:pPr>
            <w:r w:rsidRPr="00464566">
              <w:rPr>
                <w:rFonts w:ascii="Arial" w:hAnsi="Arial" w:cs="Arial"/>
              </w:rPr>
              <w:t>46.8%</w:t>
            </w:r>
          </w:p>
        </w:tc>
        <w:tc>
          <w:tcPr>
            <w:tcW w:w="0" w:type="auto"/>
            <w:hideMark/>
          </w:tcPr>
          <w:p w14:paraId="02F25DAB" w14:textId="77777777" w:rsidR="00464566" w:rsidRPr="00464566" w:rsidRDefault="00464566" w:rsidP="00FC5051">
            <w:pPr>
              <w:spacing w:line="276" w:lineRule="auto"/>
              <w:jc w:val="both"/>
              <w:rPr>
                <w:rFonts w:ascii="Arial" w:hAnsi="Arial" w:cs="Arial"/>
              </w:rPr>
            </w:pPr>
            <w:r w:rsidRPr="00464566">
              <w:rPr>
                <w:rFonts w:ascii="Arial" w:hAnsi="Arial" w:cs="Arial"/>
              </w:rPr>
              <w:t>49.7%</w:t>
            </w:r>
          </w:p>
        </w:tc>
        <w:tc>
          <w:tcPr>
            <w:tcW w:w="0" w:type="auto"/>
            <w:hideMark/>
          </w:tcPr>
          <w:p w14:paraId="2700200C" w14:textId="77777777" w:rsidR="00464566" w:rsidRPr="00464566" w:rsidRDefault="00464566" w:rsidP="00FC5051">
            <w:pPr>
              <w:spacing w:line="276" w:lineRule="auto"/>
              <w:jc w:val="both"/>
              <w:rPr>
                <w:rFonts w:ascii="Arial" w:hAnsi="Arial" w:cs="Arial"/>
              </w:rPr>
            </w:pPr>
            <w:r w:rsidRPr="00464566">
              <w:rPr>
                <w:rFonts w:ascii="Arial" w:hAnsi="Arial" w:cs="Arial"/>
              </w:rPr>
              <w:t>52.7%</w:t>
            </w:r>
          </w:p>
        </w:tc>
      </w:tr>
      <w:tr w:rsidR="00464566" w:rsidRPr="00464566" w14:paraId="7DC540A4" w14:textId="77777777" w:rsidTr="00FC5051">
        <w:trPr>
          <w:jc w:val="center"/>
        </w:trPr>
        <w:tc>
          <w:tcPr>
            <w:tcW w:w="0" w:type="auto"/>
            <w:hideMark/>
          </w:tcPr>
          <w:p w14:paraId="2DD613FA" w14:textId="77777777" w:rsidR="00464566" w:rsidRPr="00464566" w:rsidRDefault="00464566" w:rsidP="00FC5051">
            <w:pPr>
              <w:spacing w:line="276" w:lineRule="auto"/>
              <w:jc w:val="both"/>
              <w:rPr>
                <w:rFonts w:ascii="Arial" w:hAnsi="Arial" w:cs="Arial"/>
              </w:rPr>
            </w:pPr>
            <w:r w:rsidRPr="00464566">
              <w:rPr>
                <w:rFonts w:ascii="Arial" w:hAnsi="Arial" w:cs="Arial"/>
              </w:rPr>
              <w:t>Equity-to-Assets (%)</w:t>
            </w:r>
          </w:p>
        </w:tc>
        <w:tc>
          <w:tcPr>
            <w:tcW w:w="0" w:type="auto"/>
            <w:hideMark/>
          </w:tcPr>
          <w:p w14:paraId="08C93437" w14:textId="77777777" w:rsidR="00464566" w:rsidRPr="00464566" w:rsidRDefault="00464566" w:rsidP="00FC5051">
            <w:pPr>
              <w:spacing w:line="276" w:lineRule="auto"/>
              <w:jc w:val="both"/>
              <w:rPr>
                <w:rFonts w:ascii="Arial" w:hAnsi="Arial" w:cs="Arial"/>
              </w:rPr>
            </w:pPr>
            <w:r w:rsidRPr="00464566">
              <w:rPr>
                <w:rFonts w:ascii="Arial" w:hAnsi="Arial" w:cs="Arial"/>
              </w:rPr>
              <w:t>Equity/Assets</w:t>
            </w:r>
          </w:p>
        </w:tc>
        <w:tc>
          <w:tcPr>
            <w:tcW w:w="0" w:type="auto"/>
            <w:hideMark/>
          </w:tcPr>
          <w:p w14:paraId="29E4E604" w14:textId="77777777" w:rsidR="00464566" w:rsidRPr="00464566" w:rsidRDefault="00464566" w:rsidP="00FC5051">
            <w:pPr>
              <w:spacing w:line="276" w:lineRule="auto"/>
              <w:jc w:val="both"/>
              <w:rPr>
                <w:rFonts w:ascii="Arial" w:hAnsi="Arial" w:cs="Arial"/>
              </w:rPr>
            </w:pPr>
            <w:r w:rsidRPr="00464566">
              <w:rPr>
                <w:rFonts w:ascii="Arial" w:hAnsi="Arial" w:cs="Arial"/>
              </w:rPr>
              <w:t>61.4%</w:t>
            </w:r>
          </w:p>
        </w:tc>
        <w:tc>
          <w:tcPr>
            <w:tcW w:w="0" w:type="auto"/>
            <w:hideMark/>
          </w:tcPr>
          <w:p w14:paraId="4D58FE98" w14:textId="77777777" w:rsidR="00464566" w:rsidRPr="00464566" w:rsidRDefault="00464566" w:rsidP="00FC5051">
            <w:pPr>
              <w:spacing w:line="276" w:lineRule="auto"/>
              <w:jc w:val="both"/>
              <w:rPr>
                <w:rFonts w:ascii="Arial" w:hAnsi="Arial" w:cs="Arial"/>
              </w:rPr>
            </w:pPr>
            <w:r w:rsidRPr="00464566">
              <w:rPr>
                <w:rFonts w:ascii="Arial" w:hAnsi="Arial" w:cs="Arial"/>
              </w:rPr>
              <w:t>54.1%</w:t>
            </w:r>
          </w:p>
        </w:tc>
        <w:tc>
          <w:tcPr>
            <w:tcW w:w="0" w:type="auto"/>
            <w:hideMark/>
          </w:tcPr>
          <w:p w14:paraId="6A2BF092" w14:textId="77777777" w:rsidR="00464566" w:rsidRPr="00464566" w:rsidRDefault="00464566" w:rsidP="00FC5051">
            <w:pPr>
              <w:spacing w:line="276" w:lineRule="auto"/>
              <w:jc w:val="both"/>
              <w:rPr>
                <w:rFonts w:ascii="Arial" w:hAnsi="Arial" w:cs="Arial"/>
              </w:rPr>
            </w:pPr>
            <w:r w:rsidRPr="00464566">
              <w:rPr>
                <w:rFonts w:ascii="Arial" w:hAnsi="Arial" w:cs="Arial"/>
              </w:rPr>
              <w:t>53.2%</w:t>
            </w:r>
          </w:p>
        </w:tc>
        <w:tc>
          <w:tcPr>
            <w:tcW w:w="0" w:type="auto"/>
            <w:hideMark/>
          </w:tcPr>
          <w:p w14:paraId="32B90BB3" w14:textId="77777777" w:rsidR="00464566" w:rsidRPr="00464566" w:rsidRDefault="00464566" w:rsidP="00FC5051">
            <w:pPr>
              <w:spacing w:line="276" w:lineRule="auto"/>
              <w:jc w:val="both"/>
              <w:rPr>
                <w:rFonts w:ascii="Arial" w:hAnsi="Arial" w:cs="Arial"/>
              </w:rPr>
            </w:pPr>
            <w:r w:rsidRPr="00464566">
              <w:rPr>
                <w:rFonts w:ascii="Arial" w:hAnsi="Arial" w:cs="Arial"/>
              </w:rPr>
              <w:t>50.3%</w:t>
            </w:r>
          </w:p>
        </w:tc>
        <w:tc>
          <w:tcPr>
            <w:tcW w:w="0" w:type="auto"/>
            <w:hideMark/>
          </w:tcPr>
          <w:p w14:paraId="000292C5" w14:textId="77777777" w:rsidR="00464566" w:rsidRPr="00464566" w:rsidRDefault="00464566" w:rsidP="00FC5051">
            <w:pPr>
              <w:spacing w:line="276" w:lineRule="auto"/>
              <w:jc w:val="both"/>
              <w:rPr>
                <w:rFonts w:ascii="Arial" w:hAnsi="Arial" w:cs="Arial"/>
              </w:rPr>
            </w:pPr>
            <w:r w:rsidRPr="00464566">
              <w:rPr>
                <w:rFonts w:ascii="Arial" w:hAnsi="Arial" w:cs="Arial"/>
              </w:rPr>
              <w:t>47.3%</w:t>
            </w:r>
          </w:p>
        </w:tc>
      </w:tr>
      <w:tr w:rsidR="00464566" w:rsidRPr="00464566" w14:paraId="7CF5198A" w14:textId="77777777" w:rsidTr="00FC5051">
        <w:trPr>
          <w:jc w:val="center"/>
        </w:trPr>
        <w:tc>
          <w:tcPr>
            <w:tcW w:w="0" w:type="auto"/>
            <w:hideMark/>
          </w:tcPr>
          <w:p w14:paraId="134DD2D0" w14:textId="77777777" w:rsidR="00464566" w:rsidRPr="00464566" w:rsidRDefault="00464566" w:rsidP="00FC5051">
            <w:pPr>
              <w:spacing w:line="276" w:lineRule="auto"/>
              <w:jc w:val="both"/>
              <w:rPr>
                <w:rFonts w:ascii="Arial" w:hAnsi="Arial" w:cs="Arial"/>
              </w:rPr>
            </w:pPr>
            <w:r w:rsidRPr="00464566">
              <w:rPr>
                <w:rFonts w:ascii="Arial" w:hAnsi="Arial" w:cs="Arial"/>
              </w:rPr>
              <w:t>Interest Coverage</w:t>
            </w:r>
          </w:p>
        </w:tc>
        <w:tc>
          <w:tcPr>
            <w:tcW w:w="0" w:type="auto"/>
            <w:hideMark/>
          </w:tcPr>
          <w:p w14:paraId="2B9D20F3" w14:textId="77777777" w:rsidR="00464566" w:rsidRPr="00464566" w:rsidRDefault="00464566" w:rsidP="00FC5051">
            <w:pPr>
              <w:spacing w:line="276" w:lineRule="auto"/>
              <w:jc w:val="both"/>
              <w:rPr>
                <w:rFonts w:ascii="Arial" w:hAnsi="Arial" w:cs="Arial"/>
              </w:rPr>
            </w:pPr>
            <w:r w:rsidRPr="00464566">
              <w:rPr>
                <w:rFonts w:ascii="Arial" w:hAnsi="Arial" w:cs="Arial"/>
              </w:rPr>
              <w:t>EBIT/Interest</w:t>
            </w:r>
          </w:p>
        </w:tc>
        <w:tc>
          <w:tcPr>
            <w:tcW w:w="0" w:type="auto"/>
            <w:hideMark/>
          </w:tcPr>
          <w:p w14:paraId="4605C446" w14:textId="77777777" w:rsidR="00464566" w:rsidRPr="00464566" w:rsidRDefault="00464566" w:rsidP="00FC5051">
            <w:pPr>
              <w:spacing w:line="276" w:lineRule="auto"/>
              <w:jc w:val="both"/>
              <w:rPr>
                <w:rFonts w:ascii="Arial" w:hAnsi="Arial" w:cs="Arial"/>
              </w:rPr>
            </w:pPr>
            <w:r w:rsidRPr="00464566">
              <w:rPr>
                <w:rFonts w:ascii="Arial" w:hAnsi="Arial" w:cs="Arial"/>
              </w:rPr>
              <w:t>26.21</w:t>
            </w:r>
          </w:p>
        </w:tc>
        <w:tc>
          <w:tcPr>
            <w:tcW w:w="0" w:type="auto"/>
            <w:hideMark/>
          </w:tcPr>
          <w:p w14:paraId="66477B88" w14:textId="77777777" w:rsidR="00464566" w:rsidRPr="00464566" w:rsidRDefault="00464566" w:rsidP="00FC5051">
            <w:pPr>
              <w:spacing w:line="276" w:lineRule="auto"/>
              <w:jc w:val="both"/>
              <w:rPr>
                <w:rFonts w:ascii="Arial" w:hAnsi="Arial" w:cs="Arial"/>
              </w:rPr>
            </w:pPr>
            <w:r w:rsidRPr="00464566">
              <w:rPr>
                <w:rFonts w:ascii="Arial" w:hAnsi="Arial" w:cs="Arial"/>
              </w:rPr>
              <w:t>41.09</w:t>
            </w:r>
          </w:p>
        </w:tc>
        <w:tc>
          <w:tcPr>
            <w:tcW w:w="0" w:type="auto"/>
            <w:hideMark/>
          </w:tcPr>
          <w:p w14:paraId="5F5B02E5" w14:textId="77777777" w:rsidR="00464566" w:rsidRPr="00464566" w:rsidRDefault="00464566" w:rsidP="00FC5051">
            <w:pPr>
              <w:spacing w:line="276" w:lineRule="auto"/>
              <w:jc w:val="both"/>
              <w:rPr>
                <w:rFonts w:ascii="Arial" w:hAnsi="Arial" w:cs="Arial"/>
              </w:rPr>
            </w:pPr>
            <w:r w:rsidRPr="00464566">
              <w:rPr>
                <w:rFonts w:ascii="Arial" w:hAnsi="Arial" w:cs="Arial"/>
              </w:rPr>
              <w:t>6.61</w:t>
            </w:r>
          </w:p>
        </w:tc>
        <w:tc>
          <w:tcPr>
            <w:tcW w:w="0" w:type="auto"/>
            <w:hideMark/>
          </w:tcPr>
          <w:p w14:paraId="418AFA03" w14:textId="77777777" w:rsidR="00464566" w:rsidRPr="00464566" w:rsidRDefault="00464566" w:rsidP="00FC5051">
            <w:pPr>
              <w:spacing w:line="276" w:lineRule="auto"/>
              <w:jc w:val="both"/>
              <w:rPr>
                <w:rFonts w:ascii="Arial" w:hAnsi="Arial" w:cs="Arial"/>
              </w:rPr>
            </w:pPr>
            <w:r w:rsidRPr="00464566">
              <w:rPr>
                <w:rFonts w:ascii="Arial" w:hAnsi="Arial" w:cs="Arial"/>
              </w:rPr>
              <w:t>-19.69</w:t>
            </w:r>
          </w:p>
        </w:tc>
        <w:tc>
          <w:tcPr>
            <w:tcW w:w="0" w:type="auto"/>
            <w:hideMark/>
          </w:tcPr>
          <w:p w14:paraId="0BA6115F" w14:textId="77777777" w:rsidR="00464566" w:rsidRPr="00464566" w:rsidRDefault="00464566" w:rsidP="00FC5051">
            <w:pPr>
              <w:spacing w:line="276" w:lineRule="auto"/>
              <w:jc w:val="both"/>
              <w:rPr>
                <w:rFonts w:ascii="Arial" w:hAnsi="Arial" w:cs="Arial"/>
              </w:rPr>
            </w:pPr>
            <w:r w:rsidRPr="00464566">
              <w:rPr>
                <w:rFonts w:ascii="Arial" w:hAnsi="Arial" w:cs="Arial"/>
              </w:rPr>
              <w:t>-4.55</w:t>
            </w:r>
          </w:p>
        </w:tc>
      </w:tr>
      <w:tr w:rsidR="00464566" w:rsidRPr="00464566" w14:paraId="2E377D0B" w14:textId="77777777" w:rsidTr="00FC5051">
        <w:trPr>
          <w:jc w:val="center"/>
        </w:trPr>
        <w:tc>
          <w:tcPr>
            <w:tcW w:w="0" w:type="auto"/>
            <w:hideMark/>
          </w:tcPr>
          <w:p w14:paraId="61E1AD87" w14:textId="77777777" w:rsidR="00464566" w:rsidRPr="00464566" w:rsidRDefault="00464566" w:rsidP="00FC5051">
            <w:pPr>
              <w:spacing w:line="276" w:lineRule="auto"/>
              <w:jc w:val="both"/>
              <w:rPr>
                <w:rFonts w:ascii="Arial" w:hAnsi="Arial" w:cs="Arial"/>
              </w:rPr>
            </w:pPr>
            <w:r w:rsidRPr="00464566">
              <w:rPr>
                <w:rFonts w:ascii="Arial" w:hAnsi="Arial" w:cs="Arial"/>
              </w:rPr>
              <w:lastRenderedPageBreak/>
              <w:t>Debt Service (£m)</w:t>
            </w:r>
          </w:p>
        </w:tc>
        <w:tc>
          <w:tcPr>
            <w:tcW w:w="0" w:type="auto"/>
            <w:hideMark/>
          </w:tcPr>
          <w:p w14:paraId="29CB118D" w14:textId="77777777" w:rsidR="00464566" w:rsidRPr="00464566" w:rsidRDefault="00464566" w:rsidP="00FC5051">
            <w:pPr>
              <w:spacing w:line="276" w:lineRule="auto"/>
              <w:jc w:val="both"/>
              <w:rPr>
                <w:rFonts w:ascii="Arial" w:hAnsi="Arial" w:cs="Arial"/>
              </w:rPr>
            </w:pPr>
            <w:r w:rsidRPr="00464566">
              <w:rPr>
                <w:rFonts w:ascii="Arial" w:hAnsi="Arial" w:cs="Arial"/>
              </w:rPr>
              <w:t>Interest Paid</w:t>
            </w:r>
          </w:p>
        </w:tc>
        <w:tc>
          <w:tcPr>
            <w:tcW w:w="0" w:type="auto"/>
            <w:hideMark/>
          </w:tcPr>
          <w:p w14:paraId="6E6D0B36" w14:textId="77777777" w:rsidR="00464566" w:rsidRPr="00464566" w:rsidRDefault="00464566" w:rsidP="00FC5051">
            <w:pPr>
              <w:spacing w:line="276" w:lineRule="auto"/>
              <w:jc w:val="both"/>
              <w:rPr>
                <w:rFonts w:ascii="Arial" w:hAnsi="Arial" w:cs="Arial"/>
              </w:rPr>
            </w:pPr>
            <w:r w:rsidRPr="00464566">
              <w:rPr>
                <w:rFonts w:ascii="Arial" w:hAnsi="Arial" w:cs="Arial"/>
              </w:rPr>
              <w:t>1,422</w:t>
            </w:r>
          </w:p>
        </w:tc>
        <w:tc>
          <w:tcPr>
            <w:tcW w:w="0" w:type="auto"/>
            <w:hideMark/>
          </w:tcPr>
          <w:p w14:paraId="68541146" w14:textId="77777777" w:rsidR="00464566" w:rsidRPr="00464566" w:rsidRDefault="00464566" w:rsidP="00FC5051">
            <w:pPr>
              <w:spacing w:line="276" w:lineRule="auto"/>
              <w:jc w:val="both"/>
              <w:rPr>
                <w:rFonts w:ascii="Arial" w:hAnsi="Arial" w:cs="Arial"/>
              </w:rPr>
            </w:pPr>
            <w:r w:rsidRPr="00464566">
              <w:rPr>
                <w:rFonts w:ascii="Arial" w:hAnsi="Arial" w:cs="Arial"/>
              </w:rPr>
              <w:t>566</w:t>
            </w:r>
          </w:p>
        </w:tc>
        <w:tc>
          <w:tcPr>
            <w:tcW w:w="0" w:type="auto"/>
            <w:hideMark/>
          </w:tcPr>
          <w:p w14:paraId="7C27919A" w14:textId="77777777" w:rsidR="00464566" w:rsidRPr="00464566" w:rsidRDefault="00464566" w:rsidP="00FC5051">
            <w:pPr>
              <w:spacing w:line="276" w:lineRule="auto"/>
              <w:jc w:val="both"/>
              <w:rPr>
                <w:rFonts w:ascii="Arial" w:hAnsi="Arial" w:cs="Arial"/>
              </w:rPr>
            </w:pPr>
            <w:r w:rsidRPr="00464566">
              <w:rPr>
                <w:rFonts w:ascii="Arial" w:hAnsi="Arial" w:cs="Arial"/>
              </w:rPr>
              <w:t>2,200</w:t>
            </w:r>
          </w:p>
        </w:tc>
        <w:tc>
          <w:tcPr>
            <w:tcW w:w="0" w:type="auto"/>
            <w:hideMark/>
          </w:tcPr>
          <w:p w14:paraId="1509C5B9" w14:textId="77777777" w:rsidR="00464566" w:rsidRPr="00464566" w:rsidRDefault="00464566" w:rsidP="00FC5051">
            <w:pPr>
              <w:spacing w:line="276" w:lineRule="auto"/>
              <w:jc w:val="both"/>
              <w:rPr>
                <w:rFonts w:ascii="Arial" w:hAnsi="Arial" w:cs="Arial"/>
              </w:rPr>
            </w:pPr>
            <w:r w:rsidRPr="00464566">
              <w:rPr>
                <w:rFonts w:ascii="Arial" w:hAnsi="Arial" w:cs="Arial"/>
              </w:rPr>
              <w:t>4,332</w:t>
            </w:r>
          </w:p>
        </w:tc>
        <w:tc>
          <w:tcPr>
            <w:tcW w:w="0" w:type="auto"/>
            <w:hideMark/>
          </w:tcPr>
          <w:p w14:paraId="32F2F897" w14:textId="77777777" w:rsidR="00464566" w:rsidRPr="00464566" w:rsidRDefault="00464566" w:rsidP="00FC5051">
            <w:pPr>
              <w:spacing w:line="276" w:lineRule="auto"/>
              <w:jc w:val="both"/>
              <w:rPr>
                <w:rFonts w:ascii="Arial" w:hAnsi="Arial" w:cs="Arial"/>
              </w:rPr>
            </w:pPr>
            <w:r w:rsidRPr="00464566">
              <w:rPr>
                <w:rFonts w:ascii="Arial" w:hAnsi="Arial" w:cs="Arial"/>
              </w:rPr>
              <w:t>3,361</w:t>
            </w:r>
          </w:p>
        </w:tc>
      </w:tr>
    </w:tbl>
    <w:p w14:paraId="7E302080" w14:textId="77777777" w:rsidR="00464566" w:rsidRPr="00464566" w:rsidRDefault="00464566" w:rsidP="00FC5051">
      <w:pPr>
        <w:spacing w:line="276" w:lineRule="auto"/>
        <w:jc w:val="both"/>
        <w:rPr>
          <w:rFonts w:ascii="Arial" w:hAnsi="Arial" w:cs="Arial"/>
          <w:sz w:val="24"/>
          <w:szCs w:val="24"/>
        </w:rPr>
      </w:pPr>
    </w:p>
    <w:p w14:paraId="4EE972F2" w14:textId="4FE2D1F5" w:rsidR="001316DE" w:rsidRDefault="001316DE" w:rsidP="001316DE">
      <w:pPr>
        <w:pStyle w:val="Heading3"/>
      </w:pPr>
      <w:bookmarkStart w:id="30" w:name="_Toc217322956"/>
      <w:r w:rsidRPr="001316DE">
        <w:t>APPENDIX</w:t>
      </w:r>
      <w:r>
        <w:t xml:space="preserve"> B: INVESTMENT APPRAISAL</w:t>
      </w:r>
      <w:bookmarkEnd w:id="30"/>
      <w:r>
        <w:t xml:space="preserve"> </w:t>
      </w:r>
    </w:p>
    <w:p w14:paraId="6CEB89D9"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Table B.1: Project A - Complete NPV Calculation</w:t>
      </w:r>
    </w:p>
    <w:tbl>
      <w:tblPr>
        <w:tblStyle w:val="TableGrid"/>
        <w:tblW w:w="0" w:type="auto"/>
        <w:jc w:val="center"/>
        <w:tblLook w:val="04A0" w:firstRow="1" w:lastRow="0" w:firstColumn="1" w:lastColumn="0" w:noHBand="0" w:noVBand="1"/>
      </w:tblPr>
      <w:tblGrid>
        <w:gridCol w:w="681"/>
        <w:gridCol w:w="1256"/>
        <w:gridCol w:w="1751"/>
        <w:gridCol w:w="1757"/>
        <w:gridCol w:w="1598"/>
      </w:tblGrid>
      <w:tr w:rsidR="001316DE" w:rsidRPr="001316DE" w14:paraId="03EBCD29" w14:textId="77777777" w:rsidTr="001316DE">
        <w:trPr>
          <w:jc w:val="center"/>
        </w:trPr>
        <w:tc>
          <w:tcPr>
            <w:tcW w:w="0" w:type="auto"/>
            <w:hideMark/>
          </w:tcPr>
          <w:p w14:paraId="2314452B" w14:textId="77777777" w:rsidR="001316DE" w:rsidRPr="001316DE" w:rsidRDefault="001316DE" w:rsidP="001316DE">
            <w:pPr>
              <w:spacing w:line="276" w:lineRule="auto"/>
              <w:jc w:val="center"/>
              <w:rPr>
                <w:rFonts w:ascii="Arial" w:hAnsi="Arial" w:cs="Arial"/>
              </w:rPr>
            </w:pPr>
            <w:r w:rsidRPr="001316DE">
              <w:rPr>
                <w:rFonts w:ascii="Arial" w:hAnsi="Arial" w:cs="Arial"/>
              </w:rPr>
              <w:t>Year</w:t>
            </w:r>
          </w:p>
        </w:tc>
        <w:tc>
          <w:tcPr>
            <w:tcW w:w="0" w:type="auto"/>
            <w:hideMark/>
          </w:tcPr>
          <w:p w14:paraId="5BAE357F" w14:textId="77777777" w:rsidR="001316DE" w:rsidRPr="001316DE" w:rsidRDefault="001316DE" w:rsidP="001316DE">
            <w:pPr>
              <w:spacing w:line="276" w:lineRule="auto"/>
              <w:jc w:val="center"/>
              <w:rPr>
                <w:rFonts w:ascii="Arial" w:hAnsi="Arial" w:cs="Arial"/>
              </w:rPr>
            </w:pPr>
            <w:r w:rsidRPr="001316DE">
              <w:rPr>
                <w:rFonts w:ascii="Arial" w:hAnsi="Arial" w:cs="Arial"/>
              </w:rPr>
              <w:t>Cash Flow</w:t>
            </w:r>
          </w:p>
        </w:tc>
        <w:tc>
          <w:tcPr>
            <w:tcW w:w="0" w:type="auto"/>
            <w:hideMark/>
          </w:tcPr>
          <w:p w14:paraId="45472FCA" w14:textId="77777777" w:rsidR="001316DE" w:rsidRPr="001316DE" w:rsidRDefault="001316DE" w:rsidP="001316DE">
            <w:pPr>
              <w:spacing w:line="276" w:lineRule="auto"/>
              <w:jc w:val="center"/>
              <w:rPr>
                <w:rFonts w:ascii="Arial" w:hAnsi="Arial" w:cs="Arial"/>
              </w:rPr>
            </w:pPr>
            <w:r w:rsidRPr="001316DE">
              <w:rPr>
                <w:rFonts w:ascii="Arial" w:hAnsi="Arial" w:cs="Arial"/>
              </w:rPr>
              <w:t>Calculation</w:t>
            </w:r>
          </w:p>
        </w:tc>
        <w:tc>
          <w:tcPr>
            <w:tcW w:w="0" w:type="auto"/>
            <w:hideMark/>
          </w:tcPr>
          <w:p w14:paraId="57012C60" w14:textId="77777777" w:rsidR="001316DE" w:rsidRPr="001316DE" w:rsidRDefault="001316DE" w:rsidP="001316DE">
            <w:pPr>
              <w:spacing w:line="276" w:lineRule="auto"/>
              <w:jc w:val="center"/>
              <w:rPr>
                <w:rFonts w:ascii="Arial" w:hAnsi="Arial" w:cs="Arial"/>
              </w:rPr>
            </w:pPr>
            <w:r w:rsidRPr="001316DE">
              <w:rPr>
                <w:rFonts w:ascii="Arial" w:hAnsi="Arial" w:cs="Arial"/>
              </w:rPr>
              <w:t>Discount Factor</w:t>
            </w:r>
          </w:p>
        </w:tc>
        <w:tc>
          <w:tcPr>
            <w:tcW w:w="0" w:type="auto"/>
            <w:hideMark/>
          </w:tcPr>
          <w:p w14:paraId="63105077" w14:textId="77777777" w:rsidR="001316DE" w:rsidRPr="001316DE" w:rsidRDefault="001316DE" w:rsidP="001316DE">
            <w:pPr>
              <w:spacing w:line="276" w:lineRule="auto"/>
              <w:jc w:val="center"/>
              <w:rPr>
                <w:rFonts w:ascii="Arial" w:hAnsi="Arial" w:cs="Arial"/>
              </w:rPr>
            </w:pPr>
            <w:r w:rsidRPr="001316DE">
              <w:rPr>
                <w:rFonts w:ascii="Arial" w:hAnsi="Arial" w:cs="Arial"/>
              </w:rPr>
              <w:t>Present Value</w:t>
            </w:r>
          </w:p>
        </w:tc>
      </w:tr>
      <w:tr w:rsidR="001316DE" w:rsidRPr="001316DE" w14:paraId="18AE6E0B" w14:textId="77777777" w:rsidTr="001316DE">
        <w:trPr>
          <w:jc w:val="center"/>
        </w:trPr>
        <w:tc>
          <w:tcPr>
            <w:tcW w:w="0" w:type="auto"/>
            <w:hideMark/>
          </w:tcPr>
          <w:p w14:paraId="082A4EE7" w14:textId="77777777" w:rsidR="001316DE" w:rsidRPr="001316DE" w:rsidRDefault="001316DE" w:rsidP="001316DE">
            <w:pPr>
              <w:spacing w:line="276" w:lineRule="auto"/>
              <w:rPr>
                <w:rFonts w:ascii="Arial" w:hAnsi="Arial" w:cs="Arial"/>
              </w:rPr>
            </w:pPr>
            <w:r w:rsidRPr="001316DE">
              <w:rPr>
                <w:rFonts w:ascii="Arial" w:hAnsi="Arial" w:cs="Arial"/>
              </w:rPr>
              <w:t>0</w:t>
            </w:r>
          </w:p>
        </w:tc>
        <w:tc>
          <w:tcPr>
            <w:tcW w:w="0" w:type="auto"/>
            <w:hideMark/>
          </w:tcPr>
          <w:p w14:paraId="5A219F73" w14:textId="77777777" w:rsidR="001316DE" w:rsidRPr="001316DE" w:rsidRDefault="001316DE" w:rsidP="001316DE">
            <w:pPr>
              <w:spacing w:line="276" w:lineRule="auto"/>
              <w:rPr>
                <w:rFonts w:ascii="Arial" w:hAnsi="Arial" w:cs="Arial"/>
              </w:rPr>
            </w:pPr>
            <w:r w:rsidRPr="001316DE">
              <w:rPr>
                <w:rFonts w:ascii="Arial" w:hAnsi="Arial" w:cs="Arial"/>
              </w:rPr>
              <w:t>-40,000</w:t>
            </w:r>
          </w:p>
        </w:tc>
        <w:tc>
          <w:tcPr>
            <w:tcW w:w="0" w:type="auto"/>
            <w:hideMark/>
          </w:tcPr>
          <w:p w14:paraId="56EEED12" w14:textId="77777777" w:rsidR="001316DE" w:rsidRPr="001316DE" w:rsidRDefault="001316DE" w:rsidP="001316DE">
            <w:pPr>
              <w:spacing w:line="276" w:lineRule="auto"/>
              <w:rPr>
                <w:rFonts w:ascii="Arial" w:hAnsi="Arial" w:cs="Arial"/>
              </w:rPr>
            </w:pPr>
            <w:r w:rsidRPr="001316DE">
              <w:rPr>
                <w:rFonts w:ascii="Arial" w:hAnsi="Arial" w:cs="Arial"/>
              </w:rPr>
              <w:t>-40,000</w:t>
            </w:r>
          </w:p>
        </w:tc>
        <w:tc>
          <w:tcPr>
            <w:tcW w:w="0" w:type="auto"/>
            <w:hideMark/>
          </w:tcPr>
          <w:p w14:paraId="2709B3C4" w14:textId="77777777" w:rsidR="001316DE" w:rsidRPr="001316DE" w:rsidRDefault="001316DE" w:rsidP="001316DE">
            <w:pPr>
              <w:spacing w:line="276" w:lineRule="auto"/>
              <w:rPr>
                <w:rFonts w:ascii="Arial" w:hAnsi="Arial" w:cs="Arial"/>
              </w:rPr>
            </w:pPr>
            <w:r w:rsidRPr="001316DE">
              <w:rPr>
                <w:rFonts w:ascii="Arial" w:hAnsi="Arial" w:cs="Arial"/>
              </w:rPr>
              <w:t>1.0000</w:t>
            </w:r>
          </w:p>
        </w:tc>
        <w:tc>
          <w:tcPr>
            <w:tcW w:w="0" w:type="auto"/>
            <w:hideMark/>
          </w:tcPr>
          <w:p w14:paraId="3A423315" w14:textId="77777777" w:rsidR="001316DE" w:rsidRPr="001316DE" w:rsidRDefault="001316DE" w:rsidP="001316DE">
            <w:pPr>
              <w:spacing w:line="276" w:lineRule="auto"/>
              <w:rPr>
                <w:rFonts w:ascii="Arial" w:hAnsi="Arial" w:cs="Arial"/>
              </w:rPr>
            </w:pPr>
            <w:r w:rsidRPr="001316DE">
              <w:rPr>
                <w:rFonts w:ascii="Arial" w:hAnsi="Arial" w:cs="Arial"/>
              </w:rPr>
              <w:t>-40,000.00</w:t>
            </w:r>
          </w:p>
        </w:tc>
      </w:tr>
      <w:tr w:rsidR="001316DE" w:rsidRPr="001316DE" w14:paraId="255D078F" w14:textId="77777777" w:rsidTr="001316DE">
        <w:trPr>
          <w:jc w:val="center"/>
        </w:trPr>
        <w:tc>
          <w:tcPr>
            <w:tcW w:w="0" w:type="auto"/>
            <w:hideMark/>
          </w:tcPr>
          <w:p w14:paraId="76C0656C" w14:textId="77777777" w:rsidR="001316DE" w:rsidRPr="001316DE" w:rsidRDefault="001316DE" w:rsidP="001316DE">
            <w:pPr>
              <w:spacing w:line="276" w:lineRule="auto"/>
              <w:rPr>
                <w:rFonts w:ascii="Arial" w:hAnsi="Arial" w:cs="Arial"/>
              </w:rPr>
            </w:pPr>
            <w:r w:rsidRPr="001316DE">
              <w:rPr>
                <w:rFonts w:ascii="Arial" w:hAnsi="Arial" w:cs="Arial"/>
              </w:rPr>
              <w:t>1</w:t>
            </w:r>
          </w:p>
        </w:tc>
        <w:tc>
          <w:tcPr>
            <w:tcW w:w="0" w:type="auto"/>
            <w:hideMark/>
          </w:tcPr>
          <w:p w14:paraId="4DFFE0BC" w14:textId="77777777" w:rsidR="001316DE" w:rsidRPr="001316DE" w:rsidRDefault="001316DE" w:rsidP="001316DE">
            <w:pPr>
              <w:spacing w:line="276" w:lineRule="auto"/>
              <w:rPr>
                <w:rFonts w:ascii="Arial" w:hAnsi="Arial" w:cs="Arial"/>
              </w:rPr>
            </w:pPr>
            <w:r w:rsidRPr="001316DE">
              <w:rPr>
                <w:rFonts w:ascii="Arial" w:hAnsi="Arial" w:cs="Arial"/>
              </w:rPr>
              <w:t>10,000</w:t>
            </w:r>
          </w:p>
        </w:tc>
        <w:tc>
          <w:tcPr>
            <w:tcW w:w="0" w:type="auto"/>
            <w:hideMark/>
          </w:tcPr>
          <w:p w14:paraId="6C5D79EA" w14:textId="77777777" w:rsidR="001316DE" w:rsidRPr="001316DE" w:rsidRDefault="001316DE" w:rsidP="001316DE">
            <w:pPr>
              <w:spacing w:line="276" w:lineRule="auto"/>
              <w:rPr>
                <w:rFonts w:ascii="Arial" w:hAnsi="Arial" w:cs="Arial"/>
              </w:rPr>
            </w:pPr>
            <w:r w:rsidRPr="001316DE">
              <w:rPr>
                <w:rFonts w:ascii="Arial" w:hAnsi="Arial" w:cs="Arial"/>
              </w:rPr>
              <w:t>10,000</w:t>
            </w:r>
            <w:proofErr w:type="gramStart"/>
            <w:r w:rsidRPr="001316DE">
              <w:rPr>
                <w:rFonts w:ascii="Arial" w:hAnsi="Arial" w:cs="Arial"/>
              </w:rPr>
              <w:t>/(</w:t>
            </w:r>
            <w:proofErr w:type="gramEnd"/>
            <w:r w:rsidRPr="001316DE">
              <w:rPr>
                <w:rFonts w:ascii="Arial" w:hAnsi="Arial" w:cs="Arial"/>
              </w:rPr>
              <w:t>1.10)^1</w:t>
            </w:r>
          </w:p>
        </w:tc>
        <w:tc>
          <w:tcPr>
            <w:tcW w:w="0" w:type="auto"/>
            <w:hideMark/>
          </w:tcPr>
          <w:p w14:paraId="591AFC3E" w14:textId="77777777" w:rsidR="001316DE" w:rsidRPr="001316DE" w:rsidRDefault="001316DE" w:rsidP="001316DE">
            <w:pPr>
              <w:spacing w:line="276" w:lineRule="auto"/>
              <w:rPr>
                <w:rFonts w:ascii="Arial" w:hAnsi="Arial" w:cs="Arial"/>
              </w:rPr>
            </w:pPr>
            <w:r w:rsidRPr="001316DE">
              <w:rPr>
                <w:rFonts w:ascii="Arial" w:hAnsi="Arial" w:cs="Arial"/>
              </w:rPr>
              <w:t>0.9091</w:t>
            </w:r>
          </w:p>
        </w:tc>
        <w:tc>
          <w:tcPr>
            <w:tcW w:w="0" w:type="auto"/>
            <w:hideMark/>
          </w:tcPr>
          <w:p w14:paraId="7B4BC8A3" w14:textId="77777777" w:rsidR="001316DE" w:rsidRPr="001316DE" w:rsidRDefault="001316DE" w:rsidP="001316DE">
            <w:pPr>
              <w:spacing w:line="276" w:lineRule="auto"/>
              <w:rPr>
                <w:rFonts w:ascii="Arial" w:hAnsi="Arial" w:cs="Arial"/>
              </w:rPr>
            </w:pPr>
            <w:r w:rsidRPr="001316DE">
              <w:rPr>
                <w:rFonts w:ascii="Arial" w:hAnsi="Arial" w:cs="Arial"/>
              </w:rPr>
              <w:t>9,091.00</w:t>
            </w:r>
          </w:p>
        </w:tc>
      </w:tr>
      <w:tr w:rsidR="001316DE" w:rsidRPr="001316DE" w14:paraId="7D541914" w14:textId="77777777" w:rsidTr="001316DE">
        <w:trPr>
          <w:jc w:val="center"/>
        </w:trPr>
        <w:tc>
          <w:tcPr>
            <w:tcW w:w="0" w:type="auto"/>
            <w:hideMark/>
          </w:tcPr>
          <w:p w14:paraId="7CF7B39D" w14:textId="77777777" w:rsidR="001316DE" w:rsidRPr="001316DE" w:rsidRDefault="001316DE" w:rsidP="001316DE">
            <w:pPr>
              <w:spacing w:line="276" w:lineRule="auto"/>
              <w:rPr>
                <w:rFonts w:ascii="Arial" w:hAnsi="Arial" w:cs="Arial"/>
              </w:rPr>
            </w:pPr>
            <w:r w:rsidRPr="001316DE">
              <w:rPr>
                <w:rFonts w:ascii="Arial" w:hAnsi="Arial" w:cs="Arial"/>
              </w:rPr>
              <w:t>2</w:t>
            </w:r>
          </w:p>
        </w:tc>
        <w:tc>
          <w:tcPr>
            <w:tcW w:w="0" w:type="auto"/>
            <w:hideMark/>
          </w:tcPr>
          <w:p w14:paraId="45B296DB" w14:textId="77777777" w:rsidR="001316DE" w:rsidRPr="001316DE" w:rsidRDefault="001316DE" w:rsidP="001316DE">
            <w:pPr>
              <w:spacing w:line="276" w:lineRule="auto"/>
              <w:rPr>
                <w:rFonts w:ascii="Arial" w:hAnsi="Arial" w:cs="Arial"/>
              </w:rPr>
            </w:pPr>
            <w:r w:rsidRPr="001316DE">
              <w:rPr>
                <w:rFonts w:ascii="Arial" w:hAnsi="Arial" w:cs="Arial"/>
              </w:rPr>
              <w:t>12,000</w:t>
            </w:r>
          </w:p>
        </w:tc>
        <w:tc>
          <w:tcPr>
            <w:tcW w:w="0" w:type="auto"/>
            <w:hideMark/>
          </w:tcPr>
          <w:p w14:paraId="6F521D1B" w14:textId="77777777" w:rsidR="001316DE" w:rsidRPr="001316DE" w:rsidRDefault="001316DE" w:rsidP="001316DE">
            <w:pPr>
              <w:spacing w:line="276" w:lineRule="auto"/>
              <w:rPr>
                <w:rFonts w:ascii="Arial" w:hAnsi="Arial" w:cs="Arial"/>
              </w:rPr>
            </w:pPr>
            <w:r w:rsidRPr="001316DE">
              <w:rPr>
                <w:rFonts w:ascii="Arial" w:hAnsi="Arial" w:cs="Arial"/>
              </w:rPr>
              <w:t>12,000</w:t>
            </w:r>
            <w:proofErr w:type="gramStart"/>
            <w:r w:rsidRPr="001316DE">
              <w:rPr>
                <w:rFonts w:ascii="Arial" w:hAnsi="Arial" w:cs="Arial"/>
              </w:rPr>
              <w:t>/(</w:t>
            </w:r>
            <w:proofErr w:type="gramEnd"/>
            <w:r w:rsidRPr="001316DE">
              <w:rPr>
                <w:rFonts w:ascii="Arial" w:hAnsi="Arial" w:cs="Arial"/>
              </w:rPr>
              <w:t>1.10)^2</w:t>
            </w:r>
          </w:p>
        </w:tc>
        <w:tc>
          <w:tcPr>
            <w:tcW w:w="0" w:type="auto"/>
            <w:hideMark/>
          </w:tcPr>
          <w:p w14:paraId="3C3394F0" w14:textId="77777777" w:rsidR="001316DE" w:rsidRPr="001316DE" w:rsidRDefault="001316DE" w:rsidP="001316DE">
            <w:pPr>
              <w:spacing w:line="276" w:lineRule="auto"/>
              <w:rPr>
                <w:rFonts w:ascii="Arial" w:hAnsi="Arial" w:cs="Arial"/>
              </w:rPr>
            </w:pPr>
            <w:r w:rsidRPr="001316DE">
              <w:rPr>
                <w:rFonts w:ascii="Arial" w:hAnsi="Arial" w:cs="Arial"/>
              </w:rPr>
              <w:t>0.8264</w:t>
            </w:r>
          </w:p>
        </w:tc>
        <w:tc>
          <w:tcPr>
            <w:tcW w:w="0" w:type="auto"/>
            <w:hideMark/>
          </w:tcPr>
          <w:p w14:paraId="21E5860B" w14:textId="77777777" w:rsidR="001316DE" w:rsidRPr="001316DE" w:rsidRDefault="001316DE" w:rsidP="001316DE">
            <w:pPr>
              <w:spacing w:line="276" w:lineRule="auto"/>
              <w:rPr>
                <w:rFonts w:ascii="Arial" w:hAnsi="Arial" w:cs="Arial"/>
              </w:rPr>
            </w:pPr>
            <w:r w:rsidRPr="001316DE">
              <w:rPr>
                <w:rFonts w:ascii="Arial" w:hAnsi="Arial" w:cs="Arial"/>
              </w:rPr>
              <w:t>9,916.80</w:t>
            </w:r>
          </w:p>
        </w:tc>
      </w:tr>
      <w:tr w:rsidR="001316DE" w:rsidRPr="001316DE" w14:paraId="7FA44EBA" w14:textId="77777777" w:rsidTr="001316DE">
        <w:trPr>
          <w:jc w:val="center"/>
        </w:trPr>
        <w:tc>
          <w:tcPr>
            <w:tcW w:w="0" w:type="auto"/>
            <w:hideMark/>
          </w:tcPr>
          <w:p w14:paraId="1E53003D" w14:textId="77777777" w:rsidR="001316DE" w:rsidRPr="001316DE" w:rsidRDefault="001316DE" w:rsidP="001316DE">
            <w:pPr>
              <w:spacing w:line="276" w:lineRule="auto"/>
              <w:rPr>
                <w:rFonts w:ascii="Arial" w:hAnsi="Arial" w:cs="Arial"/>
              </w:rPr>
            </w:pPr>
            <w:r w:rsidRPr="001316DE">
              <w:rPr>
                <w:rFonts w:ascii="Arial" w:hAnsi="Arial" w:cs="Arial"/>
              </w:rPr>
              <w:t>3</w:t>
            </w:r>
          </w:p>
        </w:tc>
        <w:tc>
          <w:tcPr>
            <w:tcW w:w="0" w:type="auto"/>
            <w:hideMark/>
          </w:tcPr>
          <w:p w14:paraId="713CF441" w14:textId="77777777" w:rsidR="001316DE" w:rsidRPr="001316DE" w:rsidRDefault="001316DE" w:rsidP="001316DE">
            <w:pPr>
              <w:spacing w:line="276" w:lineRule="auto"/>
              <w:rPr>
                <w:rFonts w:ascii="Arial" w:hAnsi="Arial" w:cs="Arial"/>
              </w:rPr>
            </w:pPr>
            <w:r w:rsidRPr="001316DE">
              <w:rPr>
                <w:rFonts w:ascii="Arial" w:hAnsi="Arial" w:cs="Arial"/>
              </w:rPr>
              <w:t>14,000</w:t>
            </w:r>
          </w:p>
        </w:tc>
        <w:tc>
          <w:tcPr>
            <w:tcW w:w="0" w:type="auto"/>
            <w:hideMark/>
          </w:tcPr>
          <w:p w14:paraId="4A73687C" w14:textId="77777777" w:rsidR="001316DE" w:rsidRPr="001316DE" w:rsidRDefault="001316DE" w:rsidP="001316DE">
            <w:pPr>
              <w:spacing w:line="276" w:lineRule="auto"/>
              <w:rPr>
                <w:rFonts w:ascii="Arial" w:hAnsi="Arial" w:cs="Arial"/>
              </w:rPr>
            </w:pPr>
            <w:r w:rsidRPr="001316DE">
              <w:rPr>
                <w:rFonts w:ascii="Arial" w:hAnsi="Arial" w:cs="Arial"/>
              </w:rPr>
              <w:t>14,000</w:t>
            </w:r>
            <w:proofErr w:type="gramStart"/>
            <w:r w:rsidRPr="001316DE">
              <w:rPr>
                <w:rFonts w:ascii="Arial" w:hAnsi="Arial" w:cs="Arial"/>
              </w:rPr>
              <w:t>/(</w:t>
            </w:r>
            <w:proofErr w:type="gramEnd"/>
            <w:r w:rsidRPr="001316DE">
              <w:rPr>
                <w:rFonts w:ascii="Arial" w:hAnsi="Arial" w:cs="Arial"/>
              </w:rPr>
              <w:t>1.10)^3</w:t>
            </w:r>
          </w:p>
        </w:tc>
        <w:tc>
          <w:tcPr>
            <w:tcW w:w="0" w:type="auto"/>
            <w:hideMark/>
          </w:tcPr>
          <w:p w14:paraId="487C3516" w14:textId="77777777" w:rsidR="001316DE" w:rsidRPr="001316DE" w:rsidRDefault="001316DE" w:rsidP="001316DE">
            <w:pPr>
              <w:spacing w:line="276" w:lineRule="auto"/>
              <w:rPr>
                <w:rFonts w:ascii="Arial" w:hAnsi="Arial" w:cs="Arial"/>
              </w:rPr>
            </w:pPr>
            <w:r w:rsidRPr="001316DE">
              <w:rPr>
                <w:rFonts w:ascii="Arial" w:hAnsi="Arial" w:cs="Arial"/>
              </w:rPr>
              <w:t>0.7513</w:t>
            </w:r>
          </w:p>
        </w:tc>
        <w:tc>
          <w:tcPr>
            <w:tcW w:w="0" w:type="auto"/>
            <w:hideMark/>
          </w:tcPr>
          <w:p w14:paraId="600D773D" w14:textId="77777777" w:rsidR="001316DE" w:rsidRPr="001316DE" w:rsidRDefault="001316DE" w:rsidP="001316DE">
            <w:pPr>
              <w:spacing w:line="276" w:lineRule="auto"/>
              <w:rPr>
                <w:rFonts w:ascii="Arial" w:hAnsi="Arial" w:cs="Arial"/>
              </w:rPr>
            </w:pPr>
            <w:r w:rsidRPr="001316DE">
              <w:rPr>
                <w:rFonts w:ascii="Arial" w:hAnsi="Arial" w:cs="Arial"/>
              </w:rPr>
              <w:t>10,518.20</w:t>
            </w:r>
          </w:p>
        </w:tc>
      </w:tr>
      <w:tr w:rsidR="001316DE" w:rsidRPr="001316DE" w14:paraId="1BAE460A" w14:textId="77777777" w:rsidTr="001316DE">
        <w:trPr>
          <w:jc w:val="center"/>
        </w:trPr>
        <w:tc>
          <w:tcPr>
            <w:tcW w:w="0" w:type="auto"/>
            <w:hideMark/>
          </w:tcPr>
          <w:p w14:paraId="5D6D212A" w14:textId="77777777" w:rsidR="001316DE" w:rsidRPr="001316DE" w:rsidRDefault="001316DE" w:rsidP="001316DE">
            <w:pPr>
              <w:spacing w:line="276" w:lineRule="auto"/>
              <w:rPr>
                <w:rFonts w:ascii="Arial" w:hAnsi="Arial" w:cs="Arial"/>
              </w:rPr>
            </w:pPr>
            <w:r w:rsidRPr="001316DE">
              <w:rPr>
                <w:rFonts w:ascii="Arial" w:hAnsi="Arial" w:cs="Arial"/>
              </w:rPr>
              <w:t>4</w:t>
            </w:r>
          </w:p>
        </w:tc>
        <w:tc>
          <w:tcPr>
            <w:tcW w:w="0" w:type="auto"/>
            <w:hideMark/>
          </w:tcPr>
          <w:p w14:paraId="3E9E422B" w14:textId="77777777" w:rsidR="001316DE" w:rsidRPr="001316DE" w:rsidRDefault="001316DE" w:rsidP="001316DE">
            <w:pPr>
              <w:spacing w:line="276" w:lineRule="auto"/>
              <w:rPr>
                <w:rFonts w:ascii="Arial" w:hAnsi="Arial" w:cs="Arial"/>
              </w:rPr>
            </w:pPr>
            <w:r w:rsidRPr="001316DE">
              <w:rPr>
                <w:rFonts w:ascii="Arial" w:hAnsi="Arial" w:cs="Arial"/>
              </w:rPr>
              <w:t>10,000</w:t>
            </w:r>
          </w:p>
        </w:tc>
        <w:tc>
          <w:tcPr>
            <w:tcW w:w="0" w:type="auto"/>
            <w:hideMark/>
          </w:tcPr>
          <w:p w14:paraId="585D3367" w14:textId="77777777" w:rsidR="001316DE" w:rsidRPr="001316DE" w:rsidRDefault="001316DE" w:rsidP="001316DE">
            <w:pPr>
              <w:spacing w:line="276" w:lineRule="auto"/>
              <w:rPr>
                <w:rFonts w:ascii="Arial" w:hAnsi="Arial" w:cs="Arial"/>
              </w:rPr>
            </w:pPr>
            <w:r w:rsidRPr="001316DE">
              <w:rPr>
                <w:rFonts w:ascii="Arial" w:hAnsi="Arial" w:cs="Arial"/>
              </w:rPr>
              <w:t>10,000</w:t>
            </w:r>
            <w:proofErr w:type="gramStart"/>
            <w:r w:rsidRPr="001316DE">
              <w:rPr>
                <w:rFonts w:ascii="Arial" w:hAnsi="Arial" w:cs="Arial"/>
              </w:rPr>
              <w:t>/(</w:t>
            </w:r>
            <w:proofErr w:type="gramEnd"/>
            <w:r w:rsidRPr="001316DE">
              <w:rPr>
                <w:rFonts w:ascii="Arial" w:hAnsi="Arial" w:cs="Arial"/>
              </w:rPr>
              <w:t>1.10)^4</w:t>
            </w:r>
          </w:p>
        </w:tc>
        <w:tc>
          <w:tcPr>
            <w:tcW w:w="0" w:type="auto"/>
            <w:hideMark/>
          </w:tcPr>
          <w:p w14:paraId="0A89D0B6" w14:textId="77777777" w:rsidR="001316DE" w:rsidRPr="001316DE" w:rsidRDefault="001316DE" w:rsidP="001316DE">
            <w:pPr>
              <w:spacing w:line="276" w:lineRule="auto"/>
              <w:rPr>
                <w:rFonts w:ascii="Arial" w:hAnsi="Arial" w:cs="Arial"/>
              </w:rPr>
            </w:pPr>
            <w:r w:rsidRPr="001316DE">
              <w:rPr>
                <w:rFonts w:ascii="Arial" w:hAnsi="Arial" w:cs="Arial"/>
              </w:rPr>
              <w:t>0.6830</w:t>
            </w:r>
          </w:p>
        </w:tc>
        <w:tc>
          <w:tcPr>
            <w:tcW w:w="0" w:type="auto"/>
            <w:hideMark/>
          </w:tcPr>
          <w:p w14:paraId="641884DF" w14:textId="77777777" w:rsidR="001316DE" w:rsidRPr="001316DE" w:rsidRDefault="001316DE" w:rsidP="001316DE">
            <w:pPr>
              <w:spacing w:line="276" w:lineRule="auto"/>
              <w:rPr>
                <w:rFonts w:ascii="Arial" w:hAnsi="Arial" w:cs="Arial"/>
              </w:rPr>
            </w:pPr>
            <w:r w:rsidRPr="001316DE">
              <w:rPr>
                <w:rFonts w:ascii="Arial" w:hAnsi="Arial" w:cs="Arial"/>
              </w:rPr>
              <w:t>6,830.00</w:t>
            </w:r>
          </w:p>
        </w:tc>
      </w:tr>
      <w:tr w:rsidR="001316DE" w:rsidRPr="001316DE" w14:paraId="4D8DD0B8" w14:textId="77777777" w:rsidTr="001316DE">
        <w:trPr>
          <w:jc w:val="center"/>
        </w:trPr>
        <w:tc>
          <w:tcPr>
            <w:tcW w:w="0" w:type="auto"/>
            <w:hideMark/>
          </w:tcPr>
          <w:p w14:paraId="07C1BE1C" w14:textId="77777777" w:rsidR="001316DE" w:rsidRPr="001316DE" w:rsidRDefault="001316DE" w:rsidP="001316DE">
            <w:pPr>
              <w:spacing w:line="276" w:lineRule="auto"/>
              <w:rPr>
                <w:rFonts w:ascii="Arial" w:hAnsi="Arial" w:cs="Arial"/>
              </w:rPr>
            </w:pPr>
            <w:r w:rsidRPr="001316DE">
              <w:rPr>
                <w:rFonts w:ascii="Arial" w:hAnsi="Arial" w:cs="Arial"/>
              </w:rPr>
              <w:t>5</w:t>
            </w:r>
          </w:p>
        </w:tc>
        <w:tc>
          <w:tcPr>
            <w:tcW w:w="0" w:type="auto"/>
            <w:hideMark/>
          </w:tcPr>
          <w:p w14:paraId="2EA6EECC" w14:textId="77777777" w:rsidR="001316DE" w:rsidRPr="001316DE" w:rsidRDefault="001316DE" w:rsidP="001316DE">
            <w:pPr>
              <w:spacing w:line="276" w:lineRule="auto"/>
              <w:rPr>
                <w:rFonts w:ascii="Arial" w:hAnsi="Arial" w:cs="Arial"/>
              </w:rPr>
            </w:pPr>
            <w:r w:rsidRPr="001316DE">
              <w:rPr>
                <w:rFonts w:ascii="Arial" w:hAnsi="Arial" w:cs="Arial"/>
              </w:rPr>
              <w:t>8,000</w:t>
            </w:r>
          </w:p>
        </w:tc>
        <w:tc>
          <w:tcPr>
            <w:tcW w:w="0" w:type="auto"/>
            <w:hideMark/>
          </w:tcPr>
          <w:p w14:paraId="5523CB8B" w14:textId="77777777" w:rsidR="001316DE" w:rsidRPr="001316DE" w:rsidRDefault="001316DE" w:rsidP="001316DE">
            <w:pPr>
              <w:spacing w:line="276" w:lineRule="auto"/>
              <w:rPr>
                <w:rFonts w:ascii="Arial" w:hAnsi="Arial" w:cs="Arial"/>
              </w:rPr>
            </w:pPr>
            <w:r w:rsidRPr="001316DE">
              <w:rPr>
                <w:rFonts w:ascii="Arial" w:hAnsi="Arial" w:cs="Arial"/>
              </w:rPr>
              <w:t>8,000</w:t>
            </w:r>
            <w:proofErr w:type="gramStart"/>
            <w:r w:rsidRPr="001316DE">
              <w:rPr>
                <w:rFonts w:ascii="Arial" w:hAnsi="Arial" w:cs="Arial"/>
              </w:rPr>
              <w:t>/(</w:t>
            </w:r>
            <w:proofErr w:type="gramEnd"/>
            <w:r w:rsidRPr="001316DE">
              <w:rPr>
                <w:rFonts w:ascii="Arial" w:hAnsi="Arial" w:cs="Arial"/>
              </w:rPr>
              <w:t>1.10)^5</w:t>
            </w:r>
          </w:p>
        </w:tc>
        <w:tc>
          <w:tcPr>
            <w:tcW w:w="0" w:type="auto"/>
            <w:hideMark/>
          </w:tcPr>
          <w:p w14:paraId="59447F9E" w14:textId="77777777" w:rsidR="001316DE" w:rsidRPr="001316DE" w:rsidRDefault="001316DE" w:rsidP="001316DE">
            <w:pPr>
              <w:spacing w:line="276" w:lineRule="auto"/>
              <w:rPr>
                <w:rFonts w:ascii="Arial" w:hAnsi="Arial" w:cs="Arial"/>
              </w:rPr>
            </w:pPr>
            <w:r w:rsidRPr="001316DE">
              <w:rPr>
                <w:rFonts w:ascii="Arial" w:hAnsi="Arial" w:cs="Arial"/>
              </w:rPr>
              <w:t>0.6209</w:t>
            </w:r>
          </w:p>
        </w:tc>
        <w:tc>
          <w:tcPr>
            <w:tcW w:w="0" w:type="auto"/>
            <w:hideMark/>
          </w:tcPr>
          <w:p w14:paraId="33E0AE5C" w14:textId="77777777" w:rsidR="001316DE" w:rsidRPr="001316DE" w:rsidRDefault="001316DE" w:rsidP="001316DE">
            <w:pPr>
              <w:spacing w:line="276" w:lineRule="auto"/>
              <w:rPr>
                <w:rFonts w:ascii="Arial" w:hAnsi="Arial" w:cs="Arial"/>
              </w:rPr>
            </w:pPr>
            <w:r w:rsidRPr="001316DE">
              <w:rPr>
                <w:rFonts w:ascii="Arial" w:hAnsi="Arial" w:cs="Arial"/>
              </w:rPr>
              <w:t>4,967.20</w:t>
            </w:r>
          </w:p>
        </w:tc>
      </w:tr>
    </w:tbl>
    <w:p w14:paraId="6C23ABAA"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 xml:space="preserve">Project </w:t>
      </w:r>
      <w:proofErr w:type="gramStart"/>
      <w:r w:rsidRPr="001316DE">
        <w:rPr>
          <w:rStyle w:val="Strong"/>
          <w:rFonts w:ascii="Arial" w:hAnsi="Arial" w:cs="Arial"/>
          <w:b w:val="0"/>
          <w:bCs w:val="0"/>
        </w:rPr>
        <w:t>A</w:t>
      </w:r>
      <w:proofErr w:type="gramEnd"/>
      <w:r w:rsidRPr="001316DE">
        <w:rPr>
          <w:rStyle w:val="Strong"/>
          <w:rFonts w:ascii="Arial" w:hAnsi="Arial" w:cs="Arial"/>
          <w:b w:val="0"/>
          <w:bCs w:val="0"/>
        </w:rPr>
        <w:t xml:space="preserve"> IRR Calculation (Trial &amp; Error):</w:t>
      </w:r>
    </w:p>
    <w:p w14:paraId="2F7D9AC2" w14:textId="77777777" w:rsidR="001316DE" w:rsidRPr="001316DE" w:rsidRDefault="001316DE" w:rsidP="001316DE">
      <w:pPr>
        <w:pStyle w:val="whitespace-normal"/>
        <w:numPr>
          <w:ilvl w:val="0"/>
          <w:numId w:val="15"/>
        </w:numPr>
        <w:spacing w:line="276" w:lineRule="auto"/>
        <w:rPr>
          <w:rFonts w:ascii="Arial" w:hAnsi="Arial" w:cs="Arial"/>
        </w:rPr>
      </w:pPr>
      <w:r w:rsidRPr="001316DE">
        <w:rPr>
          <w:rFonts w:ascii="Arial" w:hAnsi="Arial" w:cs="Arial"/>
        </w:rPr>
        <w:t>At 11%: NPV = +£326m (positive)</w:t>
      </w:r>
    </w:p>
    <w:p w14:paraId="00A6E404" w14:textId="77777777" w:rsidR="001316DE" w:rsidRPr="001316DE" w:rsidRDefault="001316DE" w:rsidP="001316DE">
      <w:pPr>
        <w:pStyle w:val="whitespace-normal"/>
        <w:numPr>
          <w:ilvl w:val="0"/>
          <w:numId w:val="15"/>
        </w:numPr>
        <w:spacing w:line="276" w:lineRule="auto"/>
        <w:rPr>
          <w:rFonts w:ascii="Arial" w:hAnsi="Arial" w:cs="Arial"/>
        </w:rPr>
      </w:pPr>
      <w:r w:rsidRPr="001316DE">
        <w:rPr>
          <w:rFonts w:ascii="Arial" w:hAnsi="Arial" w:cs="Arial"/>
        </w:rPr>
        <w:t>At 12%: NPV = -£643m (negative)</w:t>
      </w:r>
    </w:p>
    <w:p w14:paraId="1D861145" w14:textId="77777777" w:rsidR="001316DE" w:rsidRPr="001316DE" w:rsidRDefault="001316DE" w:rsidP="001316DE">
      <w:pPr>
        <w:pStyle w:val="whitespace-normal"/>
        <w:numPr>
          <w:ilvl w:val="0"/>
          <w:numId w:val="15"/>
        </w:numPr>
        <w:spacing w:line="276" w:lineRule="auto"/>
        <w:rPr>
          <w:rFonts w:ascii="Arial" w:hAnsi="Arial" w:cs="Arial"/>
        </w:rPr>
      </w:pPr>
      <w:r w:rsidRPr="001316DE">
        <w:rPr>
          <w:rFonts w:ascii="Arial" w:hAnsi="Arial" w:cs="Arial"/>
        </w:rPr>
        <w:t>IRR ≈ 11.00% + [326</w:t>
      </w:r>
      <w:proofErr w:type="gramStart"/>
      <w:r w:rsidRPr="001316DE">
        <w:rPr>
          <w:rFonts w:ascii="Arial" w:hAnsi="Arial" w:cs="Arial"/>
        </w:rPr>
        <w:t>/(</w:t>
      </w:r>
      <w:proofErr w:type="gramEnd"/>
      <w:r w:rsidRPr="001316DE">
        <w:rPr>
          <w:rFonts w:ascii="Arial" w:hAnsi="Arial" w:cs="Arial"/>
        </w:rPr>
        <w:t>326+643)] × 1.00% = 11.34%</w:t>
      </w:r>
    </w:p>
    <w:p w14:paraId="3B51572A"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Table B.2: Project B - Complete NPV Calculation</w:t>
      </w:r>
    </w:p>
    <w:tbl>
      <w:tblPr>
        <w:tblStyle w:val="TableGrid"/>
        <w:tblW w:w="0" w:type="auto"/>
        <w:jc w:val="center"/>
        <w:tblLook w:val="04A0" w:firstRow="1" w:lastRow="0" w:firstColumn="1" w:lastColumn="0" w:noHBand="0" w:noVBand="1"/>
      </w:tblPr>
      <w:tblGrid>
        <w:gridCol w:w="706"/>
        <w:gridCol w:w="1256"/>
        <w:gridCol w:w="1628"/>
        <w:gridCol w:w="1757"/>
        <w:gridCol w:w="1598"/>
      </w:tblGrid>
      <w:tr w:rsidR="001316DE" w:rsidRPr="001316DE" w14:paraId="5D4ED874" w14:textId="77777777" w:rsidTr="007D731F">
        <w:trPr>
          <w:jc w:val="center"/>
        </w:trPr>
        <w:tc>
          <w:tcPr>
            <w:tcW w:w="0" w:type="auto"/>
            <w:hideMark/>
          </w:tcPr>
          <w:p w14:paraId="3A89B618" w14:textId="77777777" w:rsidR="001316DE" w:rsidRPr="001316DE" w:rsidRDefault="001316DE" w:rsidP="001316DE">
            <w:pPr>
              <w:spacing w:line="276" w:lineRule="auto"/>
              <w:jc w:val="center"/>
              <w:rPr>
                <w:rFonts w:ascii="Arial" w:hAnsi="Arial" w:cs="Arial"/>
              </w:rPr>
            </w:pPr>
            <w:r w:rsidRPr="001316DE">
              <w:rPr>
                <w:rFonts w:ascii="Arial" w:hAnsi="Arial" w:cs="Arial"/>
              </w:rPr>
              <w:t>Year</w:t>
            </w:r>
          </w:p>
        </w:tc>
        <w:tc>
          <w:tcPr>
            <w:tcW w:w="0" w:type="auto"/>
            <w:hideMark/>
          </w:tcPr>
          <w:p w14:paraId="501B91FB" w14:textId="77777777" w:rsidR="001316DE" w:rsidRPr="001316DE" w:rsidRDefault="001316DE" w:rsidP="001316DE">
            <w:pPr>
              <w:spacing w:line="276" w:lineRule="auto"/>
              <w:jc w:val="center"/>
              <w:rPr>
                <w:rFonts w:ascii="Arial" w:hAnsi="Arial" w:cs="Arial"/>
              </w:rPr>
            </w:pPr>
            <w:r w:rsidRPr="001316DE">
              <w:rPr>
                <w:rFonts w:ascii="Arial" w:hAnsi="Arial" w:cs="Arial"/>
              </w:rPr>
              <w:t>Cash Flow</w:t>
            </w:r>
          </w:p>
        </w:tc>
        <w:tc>
          <w:tcPr>
            <w:tcW w:w="0" w:type="auto"/>
            <w:hideMark/>
          </w:tcPr>
          <w:p w14:paraId="4CBC2D2A" w14:textId="77777777" w:rsidR="001316DE" w:rsidRPr="001316DE" w:rsidRDefault="001316DE" w:rsidP="001316DE">
            <w:pPr>
              <w:spacing w:line="276" w:lineRule="auto"/>
              <w:jc w:val="center"/>
              <w:rPr>
                <w:rFonts w:ascii="Arial" w:hAnsi="Arial" w:cs="Arial"/>
              </w:rPr>
            </w:pPr>
            <w:r w:rsidRPr="001316DE">
              <w:rPr>
                <w:rFonts w:ascii="Arial" w:hAnsi="Arial" w:cs="Arial"/>
              </w:rPr>
              <w:t>Calculation</w:t>
            </w:r>
          </w:p>
        </w:tc>
        <w:tc>
          <w:tcPr>
            <w:tcW w:w="0" w:type="auto"/>
            <w:hideMark/>
          </w:tcPr>
          <w:p w14:paraId="6A1D7C12" w14:textId="77777777" w:rsidR="001316DE" w:rsidRPr="001316DE" w:rsidRDefault="001316DE" w:rsidP="001316DE">
            <w:pPr>
              <w:spacing w:line="276" w:lineRule="auto"/>
              <w:jc w:val="center"/>
              <w:rPr>
                <w:rFonts w:ascii="Arial" w:hAnsi="Arial" w:cs="Arial"/>
              </w:rPr>
            </w:pPr>
            <w:r w:rsidRPr="001316DE">
              <w:rPr>
                <w:rFonts w:ascii="Arial" w:hAnsi="Arial" w:cs="Arial"/>
              </w:rPr>
              <w:t>Discount Factor</w:t>
            </w:r>
          </w:p>
        </w:tc>
        <w:tc>
          <w:tcPr>
            <w:tcW w:w="0" w:type="auto"/>
            <w:hideMark/>
          </w:tcPr>
          <w:p w14:paraId="082DBA40" w14:textId="77777777" w:rsidR="001316DE" w:rsidRPr="001316DE" w:rsidRDefault="001316DE" w:rsidP="001316DE">
            <w:pPr>
              <w:spacing w:line="276" w:lineRule="auto"/>
              <w:jc w:val="center"/>
              <w:rPr>
                <w:rFonts w:ascii="Arial" w:hAnsi="Arial" w:cs="Arial"/>
              </w:rPr>
            </w:pPr>
            <w:r w:rsidRPr="001316DE">
              <w:rPr>
                <w:rFonts w:ascii="Arial" w:hAnsi="Arial" w:cs="Arial"/>
              </w:rPr>
              <w:t>Present Value</w:t>
            </w:r>
          </w:p>
        </w:tc>
      </w:tr>
      <w:tr w:rsidR="001316DE" w:rsidRPr="001316DE" w14:paraId="58E0EDAE" w14:textId="77777777" w:rsidTr="007D731F">
        <w:trPr>
          <w:jc w:val="center"/>
        </w:trPr>
        <w:tc>
          <w:tcPr>
            <w:tcW w:w="0" w:type="auto"/>
            <w:hideMark/>
          </w:tcPr>
          <w:p w14:paraId="34D2C49D" w14:textId="77777777" w:rsidR="001316DE" w:rsidRPr="001316DE" w:rsidRDefault="001316DE" w:rsidP="001316DE">
            <w:pPr>
              <w:spacing w:line="276" w:lineRule="auto"/>
              <w:rPr>
                <w:rFonts w:ascii="Arial" w:hAnsi="Arial" w:cs="Arial"/>
              </w:rPr>
            </w:pPr>
            <w:r w:rsidRPr="001316DE">
              <w:rPr>
                <w:rFonts w:ascii="Arial" w:hAnsi="Arial" w:cs="Arial"/>
              </w:rPr>
              <w:t>0</w:t>
            </w:r>
          </w:p>
        </w:tc>
        <w:tc>
          <w:tcPr>
            <w:tcW w:w="0" w:type="auto"/>
            <w:hideMark/>
          </w:tcPr>
          <w:p w14:paraId="14CD9926" w14:textId="77777777" w:rsidR="001316DE" w:rsidRPr="001316DE" w:rsidRDefault="001316DE" w:rsidP="001316DE">
            <w:pPr>
              <w:spacing w:line="276" w:lineRule="auto"/>
              <w:rPr>
                <w:rFonts w:ascii="Arial" w:hAnsi="Arial" w:cs="Arial"/>
              </w:rPr>
            </w:pPr>
            <w:r w:rsidRPr="001316DE">
              <w:rPr>
                <w:rFonts w:ascii="Arial" w:hAnsi="Arial" w:cs="Arial"/>
              </w:rPr>
              <w:t>-30,000</w:t>
            </w:r>
          </w:p>
        </w:tc>
        <w:tc>
          <w:tcPr>
            <w:tcW w:w="0" w:type="auto"/>
            <w:hideMark/>
          </w:tcPr>
          <w:p w14:paraId="2E78FFAD" w14:textId="77777777" w:rsidR="001316DE" w:rsidRPr="001316DE" w:rsidRDefault="001316DE" w:rsidP="001316DE">
            <w:pPr>
              <w:spacing w:line="276" w:lineRule="auto"/>
              <w:rPr>
                <w:rFonts w:ascii="Arial" w:hAnsi="Arial" w:cs="Arial"/>
              </w:rPr>
            </w:pPr>
            <w:r w:rsidRPr="001316DE">
              <w:rPr>
                <w:rFonts w:ascii="Arial" w:hAnsi="Arial" w:cs="Arial"/>
              </w:rPr>
              <w:t>-30,000</w:t>
            </w:r>
          </w:p>
        </w:tc>
        <w:tc>
          <w:tcPr>
            <w:tcW w:w="0" w:type="auto"/>
            <w:hideMark/>
          </w:tcPr>
          <w:p w14:paraId="72F56484" w14:textId="77777777" w:rsidR="001316DE" w:rsidRPr="001316DE" w:rsidRDefault="001316DE" w:rsidP="001316DE">
            <w:pPr>
              <w:spacing w:line="276" w:lineRule="auto"/>
              <w:rPr>
                <w:rFonts w:ascii="Arial" w:hAnsi="Arial" w:cs="Arial"/>
              </w:rPr>
            </w:pPr>
            <w:r w:rsidRPr="001316DE">
              <w:rPr>
                <w:rFonts w:ascii="Arial" w:hAnsi="Arial" w:cs="Arial"/>
              </w:rPr>
              <w:t>1.0000</w:t>
            </w:r>
          </w:p>
        </w:tc>
        <w:tc>
          <w:tcPr>
            <w:tcW w:w="0" w:type="auto"/>
            <w:hideMark/>
          </w:tcPr>
          <w:p w14:paraId="4B1DFF88" w14:textId="77777777" w:rsidR="001316DE" w:rsidRPr="001316DE" w:rsidRDefault="001316DE" w:rsidP="001316DE">
            <w:pPr>
              <w:spacing w:line="276" w:lineRule="auto"/>
              <w:rPr>
                <w:rFonts w:ascii="Arial" w:hAnsi="Arial" w:cs="Arial"/>
              </w:rPr>
            </w:pPr>
            <w:r w:rsidRPr="001316DE">
              <w:rPr>
                <w:rFonts w:ascii="Arial" w:hAnsi="Arial" w:cs="Arial"/>
              </w:rPr>
              <w:t>-30,000.00</w:t>
            </w:r>
          </w:p>
        </w:tc>
      </w:tr>
      <w:tr w:rsidR="001316DE" w:rsidRPr="001316DE" w14:paraId="20566000" w14:textId="77777777" w:rsidTr="007D731F">
        <w:trPr>
          <w:jc w:val="center"/>
        </w:trPr>
        <w:tc>
          <w:tcPr>
            <w:tcW w:w="0" w:type="auto"/>
            <w:hideMark/>
          </w:tcPr>
          <w:p w14:paraId="480B0DEB" w14:textId="77777777" w:rsidR="001316DE" w:rsidRPr="001316DE" w:rsidRDefault="001316DE" w:rsidP="001316DE">
            <w:pPr>
              <w:spacing w:line="276" w:lineRule="auto"/>
              <w:rPr>
                <w:rFonts w:ascii="Arial" w:hAnsi="Arial" w:cs="Arial"/>
              </w:rPr>
            </w:pPr>
            <w:r w:rsidRPr="001316DE">
              <w:rPr>
                <w:rFonts w:ascii="Arial" w:hAnsi="Arial" w:cs="Arial"/>
              </w:rPr>
              <w:t>1</w:t>
            </w:r>
          </w:p>
        </w:tc>
        <w:tc>
          <w:tcPr>
            <w:tcW w:w="0" w:type="auto"/>
            <w:hideMark/>
          </w:tcPr>
          <w:p w14:paraId="6B21C4D0" w14:textId="77777777" w:rsidR="001316DE" w:rsidRPr="001316DE" w:rsidRDefault="001316DE" w:rsidP="001316DE">
            <w:pPr>
              <w:spacing w:line="276" w:lineRule="auto"/>
              <w:rPr>
                <w:rFonts w:ascii="Arial" w:hAnsi="Arial" w:cs="Arial"/>
              </w:rPr>
            </w:pPr>
            <w:r w:rsidRPr="001316DE">
              <w:rPr>
                <w:rFonts w:ascii="Arial" w:hAnsi="Arial" w:cs="Arial"/>
              </w:rPr>
              <w:t>6,000</w:t>
            </w:r>
          </w:p>
        </w:tc>
        <w:tc>
          <w:tcPr>
            <w:tcW w:w="0" w:type="auto"/>
            <w:hideMark/>
          </w:tcPr>
          <w:p w14:paraId="0988549B" w14:textId="77777777" w:rsidR="001316DE" w:rsidRPr="001316DE" w:rsidRDefault="001316DE" w:rsidP="001316DE">
            <w:pPr>
              <w:spacing w:line="276" w:lineRule="auto"/>
              <w:rPr>
                <w:rFonts w:ascii="Arial" w:hAnsi="Arial" w:cs="Arial"/>
              </w:rPr>
            </w:pPr>
            <w:r w:rsidRPr="001316DE">
              <w:rPr>
                <w:rFonts w:ascii="Arial" w:hAnsi="Arial" w:cs="Arial"/>
              </w:rPr>
              <w:t>6,000</w:t>
            </w:r>
            <w:proofErr w:type="gramStart"/>
            <w:r w:rsidRPr="001316DE">
              <w:rPr>
                <w:rFonts w:ascii="Arial" w:hAnsi="Arial" w:cs="Arial"/>
              </w:rPr>
              <w:t>/(</w:t>
            </w:r>
            <w:proofErr w:type="gramEnd"/>
            <w:r w:rsidRPr="001316DE">
              <w:rPr>
                <w:rFonts w:ascii="Arial" w:hAnsi="Arial" w:cs="Arial"/>
              </w:rPr>
              <w:t>1.10)^1</w:t>
            </w:r>
          </w:p>
        </w:tc>
        <w:tc>
          <w:tcPr>
            <w:tcW w:w="0" w:type="auto"/>
            <w:hideMark/>
          </w:tcPr>
          <w:p w14:paraId="4E22674B" w14:textId="77777777" w:rsidR="001316DE" w:rsidRPr="001316DE" w:rsidRDefault="001316DE" w:rsidP="001316DE">
            <w:pPr>
              <w:spacing w:line="276" w:lineRule="auto"/>
              <w:rPr>
                <w:rFonts w:ascii="Arial" w:hAnsi="Arial" w:cs="Arial"/>
              </w:rPr>
            </w:pPr>
            <w:r w:rsidRPr="001316DE">
              <w:rPr>
                <w:rFonts w:ascii="Arial" w:hAnsi="Arial" w:cs="Arial"/>
              </w:rPr>
              <w:t>0.9091</w:t>
            </w:r>
          </w:p>
        </w:tc>
        <w:tc>
          <w:tcPr>
            <w:tcW w:w="0" w:type="auto"/>
            <w:hideMark/>
          </w:tcPr>
          <w:p w14:paraId="18E18FCD" w14:textId="77777777" w:rsidR="001316DE" w:rsidRPr="001316DE" w:rsidRDefault="001316DE" w:rsidP="001316DE">
            <w:pPr>
              <w:spacing w:line="276" w:lineRule="auto"/>
              <w:rPr>
                <w:rFonts w:ascii="Arial" w:hAnsi="Arial" w:cs="Arial"/>
              </w:rPr>
            </w:pPr>
            <w:r w:rsidRPr="001316DE">
              <w:rPr>
                <w:rFonts w:ascii="Arial" w:hAnsi="Arial" w:cs="Arial"/>
              </w:rPr>
              <w:t>5,454.60</w:t>
            </w:r>
          </w:p>
        </w:tc>
      </w:tr>
      <w:tr w:rsidR="001316DE" w:rsidRPr="001316DE" w14:paraId="34C94024" w14:textId="77777777" w:rsidTr="007D731F">
        <w:trPr>
          <w:jc w:val="center"/>
        </w:trPr>
        <w:tc>
          <w:tcPr>
            <w:tcW w:w="0" w:type="auto"/>
            <w:hideMark/>
          </w:tcPr>
          <w:p w14:paraId="2CADA024" w14:textId="77777777" w:rsidR="001316DE" w:rsidRPr="001316DE" w:rsidRDefault="001316DE" w:rsidP="001316DE">
            <w:pPr>
              <w:spacing w:line="276" w:lineRule="auto"/>
              <w:rPr>
                <w:rFonts w:ascii="Arial" w:hAnsi="Arial" w:cs="Arial"/>
              </w:rPr>
            </w:pPr>
            <w:r w:rsidRPr="001316DE">
              <w:rPr>
                <w:rFonts w:ascii="Arial" w:hAnsi="Arial" w:cs="Arial"/>
              </w:rPr>
              <w:t>2</w:t>
            </w:r>
          </w:p>
        </w:tc>
        <w:tc>
          <w:tcPr>
            <w:tcW w:w="0" w:type="auto"/>
            <w:hideMark/>
          </w:tcPr>
          <w:p w14:paraId="1BE54B23" w14:textId="77777777" w:rsidR="001316DE" w:rsidRPr="001316DE" w:rsidRDefault="001316DE" w:rsidP="001316DE">
            <w:pPr>
              <w:spacing w:line="276" w:lineRule="auto"/>
              <w:rPr>
                <w:rFonts w:ascii="Arial" w:hAnsi="Arial" w:cs="Arial"/>
              </w:rPr>
            </w:pPr>
            <w:r w:rsidRPr="001316DE">
              <w:rPr>
                <w:rFonts w:ascii="Arial" w:hAnsi="Arial" w:cs="Arial"/>
              </w:rPr>
              <w:t>6,000</w:t>
            </w:r>
          </w:p>
        </w:tc>
        <w:tc>
          <w:tcPr>
            <w:tcW w:w="0" w:type="auto"/>
            <w:hideMark/>
          </w:tcPr>
          <w:p w14:paraId="4680512F" w14:textId="77777777" w:rsidR="001316DE" w:rsidRPr="001316DE" w:rsidRDefault="001316DE" w:rsidP="001316DE">
            <w:pPr>
              <w:spacing w:line="276" w:lineRule="auto"/>
              <w:rPr>
                <w:rFonts w:ascii="Arial" w:hAnsi="Arial" w:cs="Arial"/>
              </w:rPr>
            </w:pPr>
            <w:r w:rsidRPr="001316DE">
              <w:rPr>
                <w:rFonts w:ascii="Arial" w:hAnsi="Arial" w:cs="Arial"/>
              </w:rPr>
              <w:t>6,000</w:t>
            </w:r>
            <w:proofErr w:type="gramStart"/>
            <w:r w:rsidRPr="001316DE">
              <w:rPr>
                <w:rFonts w:ascii="Arial" w:hAnsi="Arial" w:cs="Arial"/>
              </w:rPr>
              <w:t>/(</w:t>
            </w:r>
            <w:proofErr w:type="gramEnd"/>
            <w:r w:rsidRPr="001316DE">
              <w:rPr>
                <w:rFonts w:ascii="Arial" w:hAnsi="Arial" w:cs="Arial"/>
              </w:rPr>
              <w:t>1.10)^2</w:t>
            </w:r>
          </w:p>
        </w:tc>
        <w:tc>
          <w:tcPr>
            <w:tcW w:w="0" w:type="auto"/>
            <w:hideMark/>
          </w:tcPr>
          <w:p w14:paraId="43B75F40" w14:textId="77777777" w:rsidR="001316DE" w:rsidRPr="001316DE" w:rsidRDefault="001316DE" w:rsidP="001316DE">
            <w:pPr>
              <w:spacing w:line="276" w:lineRule="auto"/>
              <w:rPr>
                <w:rFonts w:ascii="Arial" w:hAnsi="Arial" w:cs="Arial"/>
              </w:rPr>
            </w:pPr>
            <w:r w:rsidRPr="001316DE">
              <w:rPr>
                <w:rFonts w:ascii="Arial" w:hAnsi="Arial" w:cs="Arial"/>
              </w:rPr>
              <w:t>0.8264</w:t>
            </w:r>
          </w:p>
        </w:tc>
        <w:tc>
          <w:tcPr>
            <w:tcW w:w="0" w:type="auto"/>
            <w:hideMark/>
          </w:tcPr>
          <w:p w14:paraId="6CCDF8A8" w14:textId="77777777" w:rsidR="001316DE" w:rsidRPr="001316DE" w:rsidRDefault="001316DE" w:rsidP="001316DE">
            <w:pPr>
              <w:spacing w:line="276" w:lineRule="auto"/>
              <w:rPr>
                <w:rFonts w:ascii="Arial" w:hAnsi="Arial" w:cs="Arial"/>
              </w:rPr>
            </w:pPr>
            <w:r w:rsidRPr="001316DE">
              <w:rPr>
                <w:rFonts w:ascii="Arial" w:hAnsi="Arial" w:cs="Arial"/>
              </w:rPr>
              <w:t>4,958.40</w:t>
            </w:r>
          </w:p>
        </w:tc>
      </w:tr>
      <w:tr w:rsidR="001316DE" w:rsidRPr="001316DE" w14:paraId="3ACAC382" w14:textId="77777777" w:rsidTr="007D731F">
        <w:trPr>
          <w:jc w:val="center"/>
        </w:trPr>
        <w:tc>
          <w:tcPr>
            <w:tcW w:w="0" w:type="auto"/>
            <w:hideMark/>
          </w:tcPr>
          <w:p w14:paraId="27AE6957" w14:textId="77777777" w:rsidR="001316DE" w:rsidRPr="001316DE" w:rsidRDefault="001316DE" w:rsidP="001316DE">
            <w:pPr>
              <w:spacing w:line="276" w:lineRule="auto"/>
              <w:rPr>
                <w:rFonts w:ascii="Arial" w:hAnsi="Arial" w:cs="Arial"/>
              </w:rPr>
            </w:pPr>
            <w:r w:rsidRPr="001316DE">
              <w:rPr>
                <w:rFonts w:ascii="Arial" w:hAnsi="Arial" w:cs="Arial"/>
              </w:rPr>
              <w:t>3</w:t>
            </w:r>
          </w:p>
        </w:tc>
        <w:tc>
          <w:tcPr>
            <w:tcW w:w="0" w:type="auto"/>
            <w:hideMark/>
          </w:tcPr>
          <w:p w14:paraId="690BF449" w14:textId="77777777" w:rsidR="001316DE" w:rsidRPr="001316DE" w:rsidRDefault="001316DE" w:rsidP="001316DE">
            <w:pPr>
              <w:spacing w:line="276" w:lineRule="auto"/>
              <w:rPr>
                <w:rFonts w:ascii="Arial" w:hAnsi="Arial" w:cs="Arial"/>
              </w:rPr>
            </w:pPr>
            <w:r w:rsidRPr="001316DE">
              <w:rPr>
                <w:rFonts w:ascii="Arial" w:hAnsi="Arial" w:cs="Arial"/>
              </w:rPr>
              <w:t>6,000</w:t>
            </w:r>
          </w:p>
        </w:tc>
        <w:tc>
          <w:tcPr>
            <w:tcW w:w="0" w:type="auto"/>
            <w:hideMark/>
          </w:tcPr>
          <w:p w14:paraId="0AA791E1" w14:textId="77777777" w:rsidR="001316DE" w:rsidRPr="001316DE" w:rsidRDefault="001316DE" w:rsidP="001316DE">
            <w:pPr>
              <w:spacing w:line="276" w:lineRule="auto"/>
              <w:rPr>
                <w:rFonts w:ascii="Arial" w:hAnsi="Arial" w:cs="Arial"/>
              </w:rPr>
            </w:pPr>
            <w:r w:rsidRPr="001316DE">
              <w:rPr>
                <w:rFonts w:ascii="Arial" w:hAnsi="Arial" w:cs="Arial"/>
              </w:rPr>
              <w:t>6,000</w:t>
            </w:r>
            <w:proofErr w:type="gramStart"/>
            <w:r w:rsidRPr="001316DE">
              <w:rPr>
                <w:rFonts w:ascii="Arial" w:hAnsi="Arial" w:cs="Arial"/>
              </w:rPr>
              <w:t>/(</w:t>
            </w:r>
            <w:proofErr w:type="gramEnd"/>
            <w:r w:rsidRPr="001316DE">
              <w:rPr>
                <w:rFonts w:ascii="Arial" w:hAnsi="Arial" w:cs="Arial"/>
              </w:rPr>
              <w:t>1.10)^3</w:t>
            </w:r>
          </w:p>
        </w:tc>
        <w:tc>
          <w:tcPr>
            <w:tcW w:w="0" w:type="auto"/>
            <w:hideMark/>
          </w:tcPr>
          <w:p w14:paraId="599413CB" w14:textId="77777777" w:rsidR="001316DE" w:rsidRPr="001316DE" w:rsidRDefault="001316DE" w:rsidP="001316DE">
            <w:pPr>
              <w:spacing w:line="276" w:lineRule="auto"/>
              <w:rPr>
                <w:rFonts w:ascii="Arial" w:hAnsi="Arial" w:cs="Arial"/>
              </w:rPr>
            </w:pPr>
            <w:r w:rsidRPr="001316DE">
              <w:rPr>
                <w:rFonts w:ascii="Arial" w:hAnsi="Arial" w:cs="Arial"/>
              </w:rPr>
              <w:t>0.7513</w:t>
            </w:r>
          </w:p>
        </w:tc>
        <w:tc>
          <w:tcPr>
            <w:tcW w:w="0" w:type="auto"/>
            <w:hideMark/>
          </w:tcPr>
          <w:p w14:paraId="20C82F49" w14:textId="77777777" w:rsidR="001316DE" w:rsidRPr="001316DE" w:rsidRDefault="001316DE" w:rsidP="001316DE">
            <w:pPr>
              <w:spacing w:line="276" w:lineRule="auto"/>
              <w:rPr>
                <w:rFonts w:ascii="Arial" w:hAnsi="Arial" w:cs="Arial"/>
              </w:rPr>
            </w:pPr>
            <w:r w:rsidRPr="001316DE">
              <w:rPr>
                <w:rFonts w:ascii="Arial" w:hAnsi="Arial" w:cs="Arial"/>
              </w:rPr>
              <w:t>4,507.80</w:t>
            </w:r>
          </w:p>
        </w:tc>
      </w:tr>
      <w:tr w:rsidR="001316DE" w:rsidRPr="001316DE" w14:paraId="2F5270F2" w14:textId="77777777" w:rsidTr="007D731F">
        <w:trPr>
          <w:jc w:val="center"/>
        </w:trPr>
        <w:tc>
          <w:tcPr>
            <w:tcW w:w="0" w:type="auto"/>
            <w:hideMark/>
          </w:tcPr>
          <w:p w14:paraId="0FBB30B7" w14:textId="77777777" w:rsidR="001316DE" w:rsidRPr="001316DE" w:rsidRDefault="001316DE" w:rsidP="001316DE">
            <w:pPr>
              <w:spacing w:line="276" w:lineRule="auto"/>
              <w:rPr>
                <w:rFonts w:ascii="Arial" w:hAnsi="Arial" w:cs="Arial"/>
              </w:rPr>
            </w:pPr>
            <w:r w:rsidRPr="001316DE">
              <w:rPr>
                <w:rFonts w:ascii="Arial" w:hAnsi="Arial" w:cs="Arial"/>
              </w:rPr>
              <w:t>4</w:t>
            </w:r>
          </w:p>
        </w:tc>
        <w:tc>
          <w:tcPr>
            <w:tcW w:w="0" w:type="auto"/>
            <w:hideMark/>
          </w:tcPr>
          <w:p w14:paraId="1B4891D5" w14:textId="77777777" w:rsidR="001316DE" w:rsidRPr="001316DE" w:rsidRDefault="001316DE" w:rsidP="001316DE">
            <w:pPr>
              <w:spacing w:line="276" w:lineRule="auto"/>
              <w:rPr>
                <w:rFonts w:ascii="Arial" w:hAnsi="Arial" w:cs="Arial"/>
              </w:rPr>
            </w:pPr>
            <w:r w:rsidRPr="001316DE">
              <w:rPr>
                <w:rFonts w:ascii="Arial" w:hAnsi="Arial" w:cs="Arial"/>
              </w:rPr>
              <w:t>6,000</w:t>
            </w:r>
          </w:p>
        </w:tc>
        <w:tc>
          <w:tcPr>
            <w:tcW w:w="0" w:type="auto"/>
            <w:hideMark/>
          </w:tcPr>
          <w:p w14:paraId="4A0F5871" w14:textId="77777777" w:rsidR="001316DE" w:rsidRPr="001316DE" w:rsidRDefault="001316DE" w:rsidP="001316DE">
            <w:pPr>
              <w:spacing w:line="276" w:lineRule="auto"/>
              <w:rPr>
                <w:rFonts w:ascii="Arial" w:hAnsi="Arial" w:cs="Arial"/>
              </w:rPr>
            </w:pPr>
            <w:r w:rsidRPr="001316DE">
              <w:rPr>
                <w:rFonts w:ascii="Arial" w:hAnsi="Arial" w:cs="Arial"/>
              </w:rPr>
              <w:t>6,000</w:t>
            </w:r>
            <w:proofErr w:type="gramStart"/>
            <w:r w:rsidRPr="001316DE">
              <w:rPr>
                <w:rFonts w:ascii="Arial" w:hAnsi="Arial" w:cs="Arial"/>
              </w:rPr>
              <w:t>/(</w:t>
            </w:r>
            <w:proofErr w:type="gramEnd"/>
            <w:r w:rsidRPr="001316DE">
              <w:rPr>
                <w:rFonts w:ascii="Arial" w:hAnsi="Arial" w:cs="Arial"/>
              </w:rPr>
              <w:t>1.10)^4</w:t>
            </w:r>
          </w:p>
        </w:tc>
        <w:tc>
          <w:tcPr>
            <w:tcW w:w="0" w:type="auto"/>
            <w:hideMark/>
          </w:tcPr>
          <w:p w14:paraId="49C0CC81" w14:textId="77777777" w:rsidR="001316DE" w:rsidRPr="001316DE" w:rsidRDefault="001316DE" w:rsidP="001316DE">
            <w:pPr>
              <w:spacing w:line="276" w:lineRule="auto"/>
              <w:rPr>
                <w:rFonts w:ascii="Arial" w:hAnsi="Arial" w:cs="Arial"/>
              </w:rPr>
            </w:pPr>
            <w:r w:rsidRPr="001316DE">
              <w:rPr>
                <w:rFonts w:ascii="Arial" w:hAnsi="Arial" w:cs="Arial"/>
              </w:rPr>
              <w:t>0.6830</w:t>
            </w:r>
          </w:p>
        </w:tc>
        <w:tc>
          <w:tcPr>
            <w:tcW w:w="0" w:type="auto"/>
            <w:hideMark/>
          </w:tcPr>
          <w:p w14:paraId="04724875" w14:textId="77777777" w:rsidR="001316DE" w:rsidRPr="001316DE" w:rsidRDefault="001316DE" w:rsidP="001316DE">
            <w:pPr>
              <w:spacing w:line="276" w:lineRule="auto"/>
              <w:rPr>
                <w:rFonts w:ascii="Arial" w:hAnsi="Arial" w:cs="Arial"/>
              </w:rPr>
            </w:pPr>
            <w:r w:rsidRPr="001316DE">
              <w:rPr>
                <w:rFonts w:ascii="Arial" w:hAnsi="Arial" w:cs="Arial"/>
              </w:rPr>
              <w:t>4,098.00</w:t>
            </w:r>
          </w:p>
        </w:tc>
      </w:tr>
      <w:tr w:rsidR="001316DE" w:rsidRPr="001316DE" w14:paraId="5E87967A" w14:textId="77777777" w:rsidTr="007D731F">
        <w:trPr>
          <w:jc w:val="center"/>
        </w:trPr>
        <w:tc>
          <w:tcPr>
            <w:tcW w:w="0" w:type="auto"/>
            <w:hideMark/>
          </w:tcPr>
          <w:p w14:paraId="08C3AF7C" w14:textId="77777777" w:rsidR="001316DE" w:rsidRPr="001316DE" w:rsidRDefault="001316DE" w:rsidP="001316DE">
            <w:pPr>
              <w:spacing w:line="276" w:lineRule="auto"/>
              <w:rPr>
                <w:rFonts w:ascii="Arial" w:hAnsi="Arial" w:cs="Arial"/>
              </w:rPr>
            </w:pPr>
            <w:r w:rsidRPr="001316DE">
              <w:rPr>
                <w:rFonts w:ascii="Arial" w:hAnsi="Arial" w:cs="Arial"/>
              </w:rPr>
              <w:t>5</w:t>
            </w:r>
          </w:p>
        </w:tc>
        <w:tc>
          <w:tcPr>
            <w:tcW w:w="0" w:type="auto"/>
            <w:hideMark/>
          </w:tcPr>
          <w:p w14:paraId="562FEB08" w14:textId="77777777" w:rsidR="001316DE" w:rsidRPr="001316DE" w:rsidRDefault="001316DE" w:rsidP="001316DE">
            <w:pPr>
              <w:spacing w:line="276" w:lineRule="auto"/>
              <w:rPr>
                <w:rFonts w:ascii="Arial" w:hAnsi="Arial" w:cs="Arial"/>
              </w:rPr>
            </w:pPr>
            <w:r w:rsidRPr="001316DE">
              <w:rPr>
                <w:rFonts w:ascii="Arial" w:hAnsi="Arial" w:cs="Arial"/>
              </w:rPr>
              <w:t>6,000</w:t>
            </w:r>
          </w:p>
        </w:tc>
        <w:tc>
          <w:tcPr>
            <w:tcW w:w="0" w:type="auto"/>
            <w:hideMark/>
          </w:tcPr>
          <w:p w14:paraId="07587A96" w14:textId="77777777" w:rsidR="001316DE" w:rsidRPr="001316DE" w:rsidRDefault="001316DE" w:rsidP="001316DE">
            <w:pPr>
              <w:spacing w:line="276" w:lineRule="auto"/>
              <w:rPr>
                <w:rFonts w:ascii="Arial" w:hAnsi="Arial" w:cs="Arial"/>
              </w:rPr>
            </w:pPr>
            <w:r w:rsidRPr="001316DE">
              <w:rPr>
                <w:rFonts w:ascii="Arial" w:hAnsi="Arial" w:cs="Arial"/>
              </w:rPr>
              <w:t>6,000</w:t>
            </w:r>
            <w:proofErr w:type="gramStart"/>
            <w:r w:rsidRPr="001316DE">
              <w:rPr>
                <w:rFonts w:ascii="Arial" w:hAnsi="Arial" w:cs="Arial"/>
              </w:rPr>
              <w:t>/(</w:t>
            </w:r>
            <w:proofErr w:type="gramEnd"/>
            <w:r w:rsidRPr="001316DE">
              <w:rPr>
                <w:rFonts w:ascii="Arial" w:hAnsi="Arial" w:cs="Arial"/>
              </w:rPr>
              <w:t>1.10)^5</w:t>
            </w:r>
          </w:p>
        </w:tc>
        <w:tc>
          <w:tcPr>
            <w:tcW w:w="0" w:type="auto"/>
            <w:hideMark/>
          </w:tcPr>
          <w:p w14:paraId="68637673" w14:textId="77777777" w:rsidR="001316DE" w:rsidRPr="001316DE" w:rsidRDefault="001316DE" w:rsidP="001316DE">
            <w:pPr>
              <w:spacing w:line="276" w:lineRule="auto"/>
              <w:rPr>
                <w:rFonts w:ascii="Arial" w:hAnsi="Arial" w:cs="Arial"/>
              </w:rPr>
            </w:pPr>
            <w:r w:rsidRPr="001316DE">
              <w:rPr>
                <w:rFonts w:ascii="Arial" w:hAnsi="Arial" w:cs="Arial"/>
              </w:rPr>
              <w:t>0.6209</w:t>
            </w:r>
          </w:p>
        </w:tc>
        <w:tc>
          <w:tcPr>
            <w:tcW w:w="0" w:type="auto"/>
            <w:hideMark/>
          </w:tcPr>
          <w:p w14:paraId="4AC40F31" w14:textId="77777777" w:rsidR="001316DE" w:rsidRPr="001316DE" w:rsidRDefault="001316DE" w:rsidP="001316DE">
            <w:pPr>
              <w:spacing w:line="276" w:lineRule="auto"/>
              <w:rPr>
                <w:rFonts w:ascii="Arial" w:hAnsi="Arial" w:cs="Arial"/>
              </w:rPr>
            </w:pPr>
            <w:r w:rsidRPr="001316DE">
              <w:rPr>
                <w:rFonts w:ascii="Arial" w:hAnsi="Arial" w:cs="Arial"/>
              </w:rPr>
              <w:t>3,725.40</w:t>
            </w:r>
          </w:p>
        </w:tc>
      </w:tr>
      <w:tr w:rsidR="001316DE" w:rsidRPr="001316DE" w14:paraId="77B97F11" w14:textId="77777777" w:rsidTr="007D731F">
        <w:trPr>
          <w:jc w:val="center"/>
        </w:trPr>
        <w:tc>
          <w:tcPr>
            <w:tcW w:w="0" w:type="auto"/>
            <w:hideMark/>
          </w:tcPr>
          <w:p w14:paraId="12A4B1B2"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Total</w:t>
            </w:r>
          </w:p>
        </w:tc>
        <w:tc>
          <w:tcPr>
            <w:tcW w:w="0" w:type="auto"/>
            <w:hideMark/>
          </w:tcPr>
          <w:p w14:paraId="5341B84E"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0</w:t>
            </w:r>
          </w:p>
        </w:tc>
        <w:tc>
          <w:tcPr>
            <w:tcW w:w="0" w:type="auto"/>
            <w:hideMark/>
          </w:tcPr>
          <w:p w14:paraId="1B485C7C" w14:textId="77777777" w:rsidR="001316DE" w:rsidRPr="001316DE" w:rsidRDefault="001316DE" w:rsidP="001316DE">
            <w:pPr>
              <w:spacing w:line="276" w:lineRule="auto"/>
              <w:rPr>
                <w:rFonts w:ascii="Arial" w:hAnsi="Arial" w:cs="Arial"/>
              </w:rPr>
            </w:pPr>
          </w:p>
        </w:tc>
        <w:tc>
          <w:tcPr>
            <w:tcW w:w="0" w:type="auto"/>
            <w:hideMark/>
          </w:tcPr>
          <w:p w14:paraId="4210B3D9" w14:textId="77777777" w:rsidR="001316DE" w:rsidRPr="001316DE" w:rsidRDefault="001316DE" w:rsidP="001316DE">
            <w:pPr>
              <w:spacing w:line="276" w:lineRule="auto"/>
              <w:rPr>
                <w:rFonts w:ascii="Arial" w:hAnsi="Arial" w:cs="Arial"/>
                <w:sz w:val="20"/>
                <w:szCs w:val="20"/>
              </w:rPr>
            </w:pPr>
          </w:p>
        </w:tc>
        <w:tc>
          <w:tcPr>
            <w:tcW w:w="0" w:type="auto"/>
            <w:hideMark/>
          </w:tcPr>
          <w:p w14:paraId="15D06B85" w14:textId="77777777" w:rsidR="001316DE" w:rsidRPr="001316DE" w:rsidRDefault="001316DE" w:rsidP="001316DE">
            <w:pPr>
              <w:spacing w:line="276" w:lineRule="auto"/>
              <w:rPr>
                <w:rFonts w:ascii="Arial" w:hAnsi="Arial" w:cs="Arial"/>
                <w:sz w:val="24"/>
                <w:szCs w:val="24"/>
              </w:rPr>
            </w:pPr>
            <w:r w:rsidRPr="001316DE">
              <w:rPr>
                <w:rStyle w:val="Strong"/>
                <w:rFonts w:ascii="Arial" w:hAnsi="Arial" w:cs="Arial"/>
                <w:b w:val="0"/>
                <w:bCs w:val="0"/>
              </w:rPr>
              <w:t>-7,255.80</w:t>
            </w:r>
          </w:p>
        </w:tc>
      </w:tr>
    </w:tbl>
    <w:p w14:paraId="224CA065"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Project B IRR: 0.00%</w:t>
      </w:r>
      <w:r w:rsidRPr="001316DE">
        <w:rPr>
          <w:rFonts w:ascii="Arial" w:hAnsi="Arial" w:cs="Arial"/>
        </w:rPr>
        <w:t xml:space="preserve"> (Cash flows exactly equal initial investment)</w:t>
      </w:r>
    </w:p>
    <w:p w14:paraId="70B207D9"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Table B.3: Project C - Complete NPV Calculation</w:t>
      </w:r>
    </w:p>
    <w:tbl>
      <w:tblPr>
        <w:tblStyle w:val="TableGrid"/>
        <w:tblW w:w="0" w:type="auto"/>
        <w:jc w:val="center"/>
        <w:tblLook w:val="04A0" w:firstRow="1" w:lastRow="0" w:firstColumn="1" w:lastColumn="0" w:noHBand="0" w:noVBand="1"/>
      </w:tblPr>
      <w:tblGrid>
        <w:gridCol w:w="706"/>
        <w:gridCol w:w="1256"/>
        <w:gridCol w:w="1751"/>
        <w:gridCol w:w="1757"/>
        <w:gridCol w:w="1598"/>
      </w:tblGrid>
      <w:tr w:rsidR="001316DE" w:rsidRPr="001316DE" w14:paraId="753D25D6" w14:textId="77777777" w:rsidTr="001316DE">
        <w:trPr>
          <w:jc w:val="center"/>
        </w:trPr>
        <w:tc>
          <w:tcPr>
            <w:tcW w:w="0" w:type="auto"/>
            <w:hideMark/>
          </w:tcPr>
          <w:p w14:paraId="78E402C5" w14:textId="77777777" w:rsidR="001316DE" w:rsidRPr="001316DE" w:rsidRDefault="001316DE" w:rsidP="001316DE">
            <w:pPr>
              <w:spacing w:line="276" w:lineRule="auto"/>
              <w:jc w:val="center"/>
              <w:rPr>
                <w:rFonts w:ascii="Arial" w:hAnsi="Arial" w:cs="Arial"/>
              </w:rPr>
            </w:pPr>
            <w:r w:rsidRPr="001316DE">
              <w:rPr>
                <w:rFonts w:ascii="Arial" w:hAnsi="Arial" w:cs="Arial"/>
              </w:rPr>
              <w:t>Year</w:t>
            </w:r>
          </w:p>
        </w:tc>
        <w:tc>
          <w:tcPr>
            <w:tcW w:w="0" w:type="auto"/>
            <w:hideMark/>
          </w:tcPr>
          <w:p w14:paraId="5E4B31FB" w14:textId="77777777" w:rsidR="001316DE" w:rsidRPr="001316DE" w:rsidRDefault="001316DE" w:rsidP="001316DE">
            <w:pPr>
              <w:spacing w:line="276" w:lineRule="auto"/>
              <w:jc w:val="center"/>
              <w:rPr>
                <w:rFonts w:ascii="Arial" w:hAnsi="Arial" w:cs="Arial"/>
              </w:rPr>
            </w:pPr>
            <w:r w:rsidRPr="001316DE">
              <w:rPr>
                <w:rFonts w:ascii="Arial" w:hAnsi="Arial" w:cs="Arial"/>
              </w:rPr>
              <w:t>Cash Flow</w:t>
            </w:r>
          </w:p>
        </w:tc>
        <w:tc>
          <w:tcPr>
            <w:tcW w:w="0" w:type="auto"/>
            <w:hideMark/>
          </w:tcPr>
          <w:p w14:paraId="05C9521D" w14:textId="77777777" w:rsidR="001316DE" w:rsidRPr="001316DE" w:rsidRDefault="001316DE" w:rsidP="001316DE">
            <w:pPr>
              <w:spacing w:line="276" w:lineRule="auto"/>
              <w:jc w:val="center"/>
              <w:rPr>
                <w:rFonts w:ascii="Arial" w:hAnsi="Arial" w:cs="Arial"/>
              </w:rPr>
            </w:pPr>
            <w:r w:rsidRPr="001316DE">
              <w:rPr>
                <w:rFonts w:ascii="Arial" w:hAnsi="Arial" w:cs="Arial"/>
              </w:rPr>
              <w:t>Calculation</w:t>
            </w:r>
          </w:p>
        </w:tc>
        <w:tc>
          <w:tcPr>
            <w:tcW w:w="0" w:type="auto"/>
            <w:hideMark/>
          </w:tcPr>
          <w:p w14:paraId="175FD38B" w14:textId="77777777" w:rsidR="001316DE" w:rsidRPr="001316DE" w:rsidRDefault="001316DE" w:rsidP="001316DE">
            <w:pPr>
              <w:spacing w:line="276" w:lineRule="auto"/>
              <w:jc w:val="center"/>
              <w:rPr>
                <w:rFonts w:ascii="Arial" w:hAnsi="Arial" w:cs="Arial"/>
              </w:rPr>
            </w:pPr>
            <w:r w:rsidRPr="001316DE">
              <w:rPr>
                <w:rFonts w:ascii="Arial" w:hAnsi="Arial" w:cs="Arial"/>
              </w:rPr>
              <w:t>Discount Factor</w:t>
            </w:r>
          </w:p>
        </w:tc>
        <w:tc>
          <w:tcPr>
            <w:tcW w:w="0" w:type="auto"/>
            <w:hideMark/>
          </w:tcPr>
          <w:p w14:paraId="52432707" w14:textId="77777777" w:rsidR="001316DE" w:rsidRPr="001316DE" w:rsidRDefault="001316DE" w:rsidP="001316DE">
            <w:pPr>
              <w:spacing w:line="276" w:lineRule="auto"/>
              <w:jc w:val="center"/>
              <w:rPr>
                <w:rFonts w:ascii="Arial" w:hAnsi="Arial" w:cs="Arial"/>
              </w:rPr>
            </w:pPr>
            <w:r w:rsidRPr="001316DE">
              <w:rPr>
                <w:rFonts w:ascii="Arial" w:hAnsi="Arial" w:cs="Arial"/>
              </w:rPr>
              <w:t>Present Value</w:t>
            </w:r>
          </w:p>
        </w:tc>
      </w:tr>
      <w:tr w:rsidR="001316DE" w:rsidRPr="001316DE" w14:paraId="0121F049" w14:textId="77777777" w:rsidTr="001316DE">
        <w:trPr>
          <w:jc w:val="center"/>
        </w:trPr>
        <w:tc>
          <w:tcPr>
            <w:tcW w:w="0" w:type="auto"/>
            <w:hideMark/>
          </w:tcPr>
          <w:p w14:paraId="45E16AF8" w14:textId="77777777" w:rsidR="001316DE" w:rsidRPr="001316DE" w:rsidRDefault="001316DE" w:rsidP="001316DE">
            <w:pPr>
              <w:spacing w:line="276" w:lineRule="auto"/>
              <w:rPr>
                <w:rFonts w:ascii="Arial" w:hAnsi="Arial" w:cs="Arial"/>
              </w:rPr>
            </w:pPr>
            <w:r w:rsidRPr="001316DE">
              <w:rPr>
                <w:rFonts w:ascii="Arial" w:hAnsi="Arial" w:cs="Arial"/>
              </w:rPr>
              <w:t>0</w:t>
            </w:r>
          </w:p>
        </w:tc>
        <w:tc>
          <w:tcPr>
            <w:tcW w:w="0" w:type="auto"/>
            <w:hideMark/>
          </w:tcPr>
          <w:p w14:paraId="73D1790B" w14:textId="77777777" w:rsidR="001316DE" w:rsidRPr="001316DE" w:rsidRDefault="001316DE" w:rsidP="001316DE">
            <w:pPr>
              <w:spacing w:line="276" w:lineRule="auto"/>
              <w:rPr>
                <w:rFonts w:ascii="Arial" w:hAnsi="Arial" w:cs="Arial"/>
              </w:rPr>
            </w:pPr>
            <w:r w:rsidRPr="001316DE">
              <w:rPr>
                <w:rFonts w:ascii="Arial" w:hAnsi="Arial" w:cs="Arial"/>
              </w:rPr>
              <w:t>-50,000</w:t>
            </w:r>
          </w:p>
        </w:tc>
        <w:tc>
          <w:tcPr>
            <w:tcW w:w="0" w:type="auto"/>
            <w:hideMark/>
          </w:tcPr>
          <w:p w14:paraId="461D89BD" w14:textId="77777777" w:rsidR="001316DE" w:rsidRPr="001316DE" w:rsidRDefault="001316DE" w:rsidP="001316DE">
            <w:pPr>
              <w:spacing w:line="276" w:lineRule="auto"/>
              <w:rPr>
                <w:rFonts w:ascii="Arial" w:hAnsi="Arial" w:cs="Arial"/>
              </w:rPr>
            </w:pPr>
            <w:r w:rsidRPr="001316DE">
              <w:rPr>
                <w:rFonts w:ascii="Arial" w:hAnsi="Arial" w:cs="Arial"/>
              </w:rPr>
              <w:t>-50,000</w:t>
            </w:r>
          </w:p>
        </w:tc>
        <w:tc>
          <w:tcPr>
            <w:tcW w:w="0" w:type="auto"/>
            <w:hideMark/>
          </w:tcPr>
          <w:p w14:paraId="763A037B" w14:textId="77777777" w:rsidR="001316DE" w:rsidRPr="001316DE" w:rsidRDefault="001316DE" w:rsidP="001316DE">
            <w:pPr>
              <w:spacing w:line="276" w:lineRule="auto"/>
              <w:rPr>
                <w:rFonts w:ascii="Arial" w:hAnsi="Arial" w:cs="Arial"/>
              </w:rPr>
            </w:pPr>
            <w:r w:rsidRPr="001316DE">
              <w:rPr>
                <w:rFonts w:ascii="Arial" w:hAnsi="Arial" w:cs="Arial"/>
              </w:rPr>
              <w:t>1.0000</w:t>
            </w:r>
          </w:p>
        </w:tc>
        <w:tc>
          <w:tcPr>
            <w:tcW w:w="0" w:type="auto"/>
            <w:hideMark/>
          </w:tcPr>
          <w:p w14:paraId="2AA46E23" w14:textId="77777777" w:rsidR="001316DE" w:rsidRPr="001316DE" w:rsidRDefault="001316DE" w:rsidP="001316DE">
            <w:pPr>
              <w:spacing w:line="276" w:lineRule="auto"/>
              <w:rPr>
                <w:rFonts w:ascii="Arial" w:hAnsi="Arial" w:cs="Arial"/>
              </w:rPr>
            </w:pPr>
            <w:r w:rsidRPr="001316DE">
              <w:rPr>
                <w:rFonts w:ascii="Arial" w:hAnsi="Arial" w:cs="Arial"/>
              </w:rPr>
              <w:t>-50,000.00</w:t>
            </w:r>
          </w:p>
        </w:tc>
      </w:tr>
      <w:tr w:rsidR="001316DE" w:rsidRPr="001316DE" w14:paraId="6065E1C8" w14:textId="77777777" w:rsidTr="001316DE">
        <w:trPr>
          <w:jc w:val="center"/>
        </w:trPr>
        <w:tc>
          <w:tcPr>
            <w:tcW w:w="0" w:type="auto"/>
            <w:hideMark/>
          </w:tcPr>
          <w:p w14:paraId="0E0BE382" w14:textId="77777777" w:rsidR="001316DE" w:rsidRPr="001316DE" w:rsidRDefault="001316DE" w:rsidP="001316DE">
            <w:pPr>
              <w:spacing w:line="276" w:lineRule="auto"/>
              <w:rPr>
                <w:rFonts w:ascii="Arial" w:hAnsi="Arial" w:cs="Arial"/>
              </w:rPr>
            </w:pPr>
            <w:r w:rsidRPr="001316DE">
              <w:rPr>
                <w:rFonts w:ascii="Arial" w:hAnsi="Arial" w:cs="Arial"/>
              </w:rPr>
              <w:t>1</w:t>
            </w:r>
          </w:p>
        </w:tc>
        <w:tc>
          <w:tcPr>
            <w:tcW w:w="0" w:type="auto"/>
            <w:hideMark/>
          </w:tcPr>
          <w:p w14:paraId="7923B489" w14:textId="77777777" w:rsidR="001316DE" w:rsidRPr="001316DE" w:rsidRDefault="001316DE" w:rsidP="001316DE">
            <w:pPr>
              <w:spacing w:line="276" w:lineRule="auto"/>
              <w:rPr>
                <w:rFonts w:ascii="Arial" w:hAnsi="Arial" w:cs="Arial"/>
              </w:rPr>
            </w:pPr>
            <w:r w:rsidRPr="001316DE">
              <w:rPr>
                <w:rFonts w:ascii="Arial" w:hAnsi="Arial" w:cs="Arial"/>
              </w:rPr>
              <w:t>5,000</w:t>
            </w:r>
          </w:p>
        </w:tc>
        <w:tc>
          <w:tcPr>
            <w:tcW w:w="0" w:type="auto"/>
            <w:hideMark/>
          </w:tcPr>
          <w:p w14:paraId="69D1EDF5" w14:textId="77777777" w:rsidR="001316DE" w:rsidRPr="001316DE" w:rsidRDefault="001316DE" w:rsidP="001316DE">
            <w:pPr>
              <w:spacing w:line="276" w:lineRule="auto"/>
              <w:rPr>
                <w:rFonts w:ascii="Arial" w:hAnsi="Arial" w:cs="Arial"/>
              </w:rPr>
            </w:pPr>
            <w:r w:rsidRPr="001316DE">
              <w:rPr>
                <w:rFonts w:ascii="Arial" w:hAnsi="Arial" w:cs="Arial"/>
              </w:rPr>
              <w:t>5,000</w:t>
            </w:r>
            <w:proofErr w:type="gramStart"/>
            <w:r w:rsidRPr="001316DE">
              <w:rPr>
                <w:rFonts w:ascii="Arial" w:hAnsi="Arial" w:cs="Arial"/>
              </w:rPr>
              <w:t>/(</w:t>
            </w:r>
            <w:proofErr w:type="gramEnd"/>
            <w:r w:rsidRPr="001316DE">
              <w:rPr>
                <w:rFonts w:ascii="Arial" w:hAnsi="Arial" w:cs="Arial"/>
              </w:rPr>
              <w:t>1.10)^1</w:t>
            </w:r>
          </w:p>
        </w:tc>
        <w:tc>
          <w:tcPr>
            <w:tcW w:w="0" w:type="auto"/>
            <w:hideMark/>
          </w:tcPr>
          <w:p w14:paraId="35A2ADBD" w14:textId="77777777" w:rsidR="001316DE" w:rsidRPr="001316DE" w:rsidRDefault="001316DE" w:rsidP="001316DE">
            <w:pPr>
              <w:spacing w:line="276" w:lineRule="auto"/>
              <w:rPr>
                <w:rFonts w:ascii="Arial" w:hAnsi="Arial" w:cs="Arial"/>
              </w:rPr>
            </w:pPr>
            <w:r w:rsidRPr="001316DE">
              <w:rPr>
                <w:rFonts w:ascii="Arial" w:hAnsi="Arial" w:cs="Arial"/>
              </w:rPr>
              <w:t>0.9091</w:t>
            </w:r>
          </w:p>
        </w:tc>
        <w:tc>
          <w:tcPr>
            <w:tcW w:w="0" w:type="auto"/>
            <w:hideMark/>
          </w:tcPr>
          <w:p w14:paraId="3CF00E6B" w14:textId="77777777" w:rsidR="001316DE" w:rsidRPr="001316DE" w:rsidRDefault="001316DE" w:rsidP="001316DE">
            <w:pPr>
              <w:spacing w:line="276" w:lineRule="auto"/>
              <w:rPr>
                <w:rFonts w:ascii="Arial" w:hAnsi="Arial" w:cs="Arial"/>
              </w:rPr>
            </w:pPr>
            <w:r w:rsidRPr="001316DE">
              <w:rPr>
                <w:rFonts w:ascii="Arial" w:hAnsi="Arial" w:cs="Arial"/>
              </w:rPr>
              <w:t>4,545.50</w:t>
            </w:r>
          </w:p>
        </w:tc>
      </w:tr>
      <w:tr w:rsidR="001316DE" w:rsidRPr="001316DE" w14:paraId="0F9F62B4" w14:textId="77777777" w:rsidTr="001316DE">
        <w:trPr>
          <w:jc w:val="center"/>
        </w:trPr>
        <w:tc>
          <w:tcPr>
            <w:tcW w:w="0" w:type="auto"/>
            <w:hideMark/>
          </w:tcPr>
          <w:p w14:paraId="3F93975D" w14:textId="77777777" w:rsidR="001316DE" w:rsidRPr="001316DE" w:rsidRDefault="001316DE" w:rsidP="001316DE">
            <w:pPr>
              <w:spacing w:line="276" w:lineRule="auto"/>
              <w:rPr>
                <w:rFonts w:ascii="Arial" w:hAnsi="Arial" w:cs="Arial"/>
              </w:rPr>
            </w:pPr>
            <w:r w:rsidRPr="001316DE">
              <w:rPr>
                <w:rFonts w:ascii="Arial" w:hAnsi="Arial" w:cs="Arial"/>
              </w:rPr>
              <w:t>2</w:t>
            </w:r>
          </w:p>
        </w:tc>
        <w:tc>
          <w:tcPr>
            <w:tcW w:w="0" w:type="auto"/>
            <w:hideMark/>
          </w:tcPr>
          <w:p w14:paraId="1C229F3B" w14:textId="77777777" w:rsidR="001316DE" w:rsidRPr="001316DE" w:rsidRDefault="001316DE" w:rsidP="001316DE">
            <w:pPr>
              <w:spacing w:line="276" w:lineRule="auto"/>
              <w:rPr>
                <w:rFonts w:ascii="Arial" w:hAnsi="Arial" w:cs="Arial"/>
              </w:rPr>
            </w:pPr>
            <w:r w:rsidRPr="001316DE">
              <w:rPr>
                <w:rFonts w:ascii="Arial" w:hAnsi="Arial" w:cs="Arial"/>
              </w:rPr>
              <w:t>10,000</w:t>
            </w:r>
          </w:p>
        </w:tc>
        <w:tc>
          <w:tcPr>
            <w:tcW w:w="0" w:type="auto"/>
            <w:hideMark/>
          </w:tcPr>
          <w:p w14:paraId="7743691B" w14:textId="77777777" w:rsidR="001316DE" w:rsidRPr="001316DE" w:rsidRDefault="001316DE" w:rsidP="001316DE">
            <w:pPr>
              <w:spacing w:line="276" w:lineRule="auto"/>
              <w:rPr>
                <w:rFonts w:ascii="Arial" w:hAnsi="Arial" w:cs="Arial"/>
              </w:rPr>
            </w:pPr>
            <w:r w:rsidRPr="001316DE">
              <w:rPr>
                <w:rFonts w:ascii="Arial" w:hAnsi="Arial" w:cs="Arial"/>
              </w:rPr>
              <w:t>10,000</w:t>
            </w:r>
            <w:proofErr w:type="gramStart"/>
            <w:r w:rsidRPr="001316DE">
              <w:rPr>
                <w:rFonts w:ascii="Arial" w:hAnsi="Arial" w:cs="Arial"/>
              </w:rPr>
              <w:t>/(</w:t>
            </w:r>
            <w:proofErr w:type="gramEnd"/>
            <w:r w:rsidRPr="001316DE">
              <w:rPr>
                <w:rFonts w:ascii="Arial" w:hAnsi="Arial" w:cs="Arial"/>
              </w:rPr>
              <w:t>1.10)^2</w:t>
            </w:r>
          </w:p>
        </w:tc>
        <w:tc>
          <w:tcPr>
            <w:tcW w:w="0" w:type="auto"/>
            <w:hideMark/>
          </w:tcPr>
          <w:p w14:paraId="7024265E" w14:textId="77777777" w:rsidR="001316DE" w:rsidRPr="001316DE" w:rsidRDefault="001316DE" w:rsidP="001316DE">
            <w:pPr>
              <w:spacing w:line="276" w:lineRule="auto"/>
              <w:rPr>
                <w:rFonts w:ascii="Arial" w:hAnsi="Arial" w:cs="Arial"/>
              </w:rPr>
            </w:pPr>
            <w:r w:rsidRPr="001316DE">
              <w:rPr>
                <w:rFonts w:ascii="Arial" w:hAnsi="Arial" w:cs="Arial"/>
              </w:rPr>
              <w:t>0.8264</w:t>
            </w:r>
          </w:p>
        </w:tc>
        <w:tc>
          <w:tcPr>
            <w:tcW w:w="0" w:type="auto"/>
            <w:hideMark/>
          </w:tcPr>
          <w:p w14:paraId="35E0E434" w14:textId="77777777" w:rsidR="001316DE" w:rsidRPr="001316DE" w:rsidRDefault="001316DE" w:rsidP="001316DE">
            <w:pPr>
              <w:spacing w:line="276" w:lineRule="auto"/>
              <w:rPr>
                <w:rFonts w:ascii="Arial" w:hAnsi="Arial" w:cs="Arial"/>
              </w:rPr>
            </w:pPr>
            <w:r w:rsidRPr="001316DE">
              <w:rPr>
                <w:rFonts w:ascii="Arial" w:hAnsi="Arial" w:cs="Arial"/>
              </w:rPr>
              <w:t>8,264.00</w:t>
            </w:r>
          </w:p>
        </w:tc>
      </w:tr>
      <w:tr w:rsidR="001316DE" w:rsidRPr="001316DE" w14:paraId="1962CF58" w14:textId="77777777" w:rsidTr="001316DE">
        <w:trPr>
          <w:jc w:val="center"/>
        </w:trPr>
        <w:tc>
          <w:tcPr>
            <w:tcW w:w="0" w:type="auto"/>
            <w:hideMark/>
          </w:tcPr>
          <w:p w14:paraId="709A55A0" w14:textId="77777777" w:rsidR="001316DE" w:rsidRPr="001316DE" w:rsidRDefault="001316DE" w:rsidP="001316DE">
            <w:pPr>
              <w:spacing w:line="276" w:lineRule="auto"/>
              <w:rPr>
                <w:rFonts w:ascii="Arial" w:hAnsi="Arial" w:cs="Arial"/>
              </w:rPr>
            </w:pPr>
            <w:r w:rsidRPr="001316DE">
              <w:rPr>
                <w:rFonts w:ascii="Arial" w:hAnsi="Arial" w:cs="Arial"/>
              </w:rPr>
              <w:t>3</w:t>
            </w:r>
          </w:p>
        </w:tc>
        <w:tc>
          <w:tcPr>
            <w:tcW w:w="0" w:type="auto"/>
            <w:hideMark/>
          </w:tcPr>
          <w:p w14:paraId="6BD3CAD7" w14:textId="77777777" w:rsidR="001316DE" w:rsidRPr="001316DE" w:rsidRDefault="001316DE" w:rsidP="001316DE">
            <w:pPr>
              <w:spacing w:line="276" w:lineRule="auto"/>
              <w:rPr>
                <w:rFonts w:ascii="Arial" w:hAnsi="Arial" w:cs="Arial"/>
              </w:rPr>
            </w:pPr>
            <w:r w:rsidRPr="001316DE">
              <w:rPr>
                <w:rFonts w:ascii="Arial" w:hAnsi="Arial" w:cs="Arial"/>
              </w:rPr>
              <w:t>20,000</w:t>
            </w:r>
          </w:p>
        </w:tc>
        <w:tc>
          <w:tcPr>
            <w:tcW w:w="0" w:type="auto"/>
            <w:hideMark/>
          </w:tcPr>
          <w:p w14:paraId="371993B7" w14:textId="77777777" w:rsidR="001316DE" w:rsidRPr="001316DE" w:rsidRDefault="001316DE" w:rsidP="001316DE">
            <w:pPr>
              <w:spacing w:line="276" w:lineRule="auto"/>
              <w:rPr>
                <w:rFonts w:ascii="Arial" w:hAnsi="Arial" w:cs="Arial"/>
              </w:rPr>
            </w:pPr>
            <w:r w:rsidRPr="001316DE">
              <w:rPr>
                <w:rFonts w:ascii="Arial" w:hAnsi="Arial" w:cs="Arial"/>
              </w:rPr>
              <w:t>20,000</w:t>
            </w:r>
            <w:proofErr w:type="gramStart"/>
            <w:r w:rsidRPr="001316DE">
              <w:rPr>
                <w:rFonts w:ascii="Arial" w:hAnsi="Arial" w:cs="Arial"/>
              </w:rPr>
              <w:t>/(</w:t>
            </w:r>
            <w:proofErr w:type="gramEnd"/>
            <w:r w:rsidRPr="001316DE">
              <w:rPr>
                <w:rFonts w:ascii="Arial" w:hAnsi="Arial" w:cs="Arial"/>
              </w:rPr>
              <w:t>1.10)^3</w:t>
            </w:r>
          </w:p>
        </w:tc>
        <w:tc>
          <w:tcPr>
            <w:tcW w:w="0" w:type="auto"/>
            <w:hideMark/>
          </w:tcPr>
          <w:p w14:paraId="6B44A5D3" w14:textId="77777777" w:rsidR="001316DE" w:rsidRPr="001316DE" w:rsidRDefault="001316DE" w:rsidP="001316DE">
            <w:pPr>
              <w:spacing w:line="276" w:lineRule="auto"/>
              <w:rPr>
                <w:rFonts w:ascii="Arial" w:hAnsi="Arial" w:cs="Arial"/>
              </w:rPr>
            </w:pPr>
            <w:r w:rsidRPr="001316DE">
              <w:rPr>
                <w:rFonts w:ascii="Arial" w:hAnsi="Arial" w:cs="Arial"/>
              </w:rPr>
              <w:t>0.7513</w:t>
            </w:r>
          </w:p>
        </w:tc>
        <w:tc>
          <w:tcPr>
            <w:tcW w:w="0" w:type="auto"/>
            <w:hideMark/>
          </w:tcPr>
          <w:p w14:paraId="439A8165" w14:textId="77777777" w:rsidR="001316DE" w:rsidRPr="001316DE" w:rsidRDefault="001316DE" w:rsidP="001316DE">
            <w:pPr>
              <w:spacing w:line="276" w:lineRule="auto"/>
              <w:rPr>
                <w:rFonts w:ascii="Arial" w:hAnsi="Arial" w:cs="Arial"/>
              </w:rPr>
            </w:pPr>
            <w:r w:rsidRPr="001316DE">
              <w:rPr>
                <w:rFonts w:ascii="Arial" w:hAnsi="Arial" w:cs="Arial"/>
              </w:rPr>
              <w:t>15,026.00</w:t>
            </w:r>
          </w:p>
        </w:tc>
      </w:tr>
      <w:tr w:rsidR="001316DE" w:rsidRPr="001316DE" w14:paraId="7B2701B8" w14:textId="77777777" w:rsidTr="001316DE">
        <w:trPr>
          <w:jc w:val="center"/>
        </w:trPr>
        <w:tc>
          <w:tcPr>
            <w:tcW w:w="0" w:type="auto"/>
            <w:hideMark/>
          </w:tcPr>
          <w:p w14:paraId="7EB919AA" w14:textId="77777777" w:rsidR="001316DE" w:rsidRPr="001316DE" w:rsidRDefault="001316DE" w:rsidP="001316DE">
            <w:pPr>
              <w:spacing w:line="276" w:lineRule="auto"/>
              <w:rPr>
                <w:rFonts w:ascii="Arial" w:hAnsi="Arial" w:cs="Arial"/>
              </w:rPr>
            </w:pPr>
            <w:r w:rsidRPr="001316DE">
              <w:rPr>
                <w:rFonts w:ascii="Arial" w:hAnsi="Arial" w:cs="Arial"/>
              </w:rPr>
              <w:t>4</w:t>
            </w:r>
          </w:p>
        </w:tc>
        <w:tc>
          <w:tcPr>
            <w:tcW w:w="0" w:type="auto"/>
            <w:hideMark/>
          </w:tcPr>
          <w:p w14:paraId="1E1A7F87" w14:textId="77777777" w:rsidR="001316DE" w:rsidRPr="001316DE" w:rsidRDefault="001316DE" w:rsidP="001316DE">
            <w:pPr>
              <w:spacing w:line="276" w:lineRule="auto"/>
              <w:rPr>
                <w:rFonts w:ascii="Arial" w:hAnsi="Arial" w:cs="Arial"/>
              </w:rPr>
            </w:pPr>
            <w:r w:rsidRPr="001316DE">
              <w:rPr>
                <w:rFonts w:ascii="Arial" w:hAnsi="Arial" w:cs="Arial"/>
              </w:rPr>
              <w:t>25,000</w:t>
            </w:r>
          </w:p>
        </w:tc>
        <w:tc>
          <w:tcPr>
            <w:tcW w:w="0" w:type="auto"/>
            <w:hideMark/>
          </w:tcPr>
          <w:p w14:paraId="799B1FC0" w14:textId="77777777" w:rsidR="001316DE" w:rsidRPr="001316DE" w:rsidRDefault="001316DE" w:rsidP="001316DE">
            <w:pPr>
              <w:spacing w:line="276" w:lineRule="auto"/>
              <w:rPr>
                <w:rFonts w:ascii="Arial" w:hAnsi="Arial" w:cs="Arial"/>
              </w:rPr>
            </w:pPr>
            <w:r w:rsidRPr="001316DE">
              <w:rPr>
                <w:rFonts w:ascii="Arial" w:hAnsi="Arial" w:cs="Arial"/>
              </w:rPr>
              <w:t>25,000</w:t>
            </w:r>
            <w:proofErr w:type="gramStart"/>
            <w:r w:rsidRPr="001316DE">
              <w:rPr>
                <w:rFonts w:ascii="Arial" w:hAnsi="Arial" w:cs="Arial"/>
              </w:rPr>
              <w:t>/(</w:t>
            </w:r>
            <w:proofErr w:type="gramEnd"/>
            <w:r w:rsidRPr="001316DE">
              <w:rPr>
                <w:rFonts w:ascii="Arial" w:hAnsi="Arial" w:cs="Arial"/>
              </w:rPr>
              <w:t>1.10)^4</w:t>
            </w:r>
          </w:p>
        </w:tc>
        <w:tc>
          <w:tcPr>
            <w:tcW w:w="0" w:type="auto"/>
            <w:hideMark/>
          </w:tcPr>
          <w:p w14:paraId="4F1E146A" w14:textId="77777777" w:rsidR="001316DE" w:rsidRPr="001316DE" w:rsidRDefault="001316DE" w:rsidP="001316DE">
            <w:pPr>
              <w:spacing w:line="276" w:lineRule="auto"/>
              <w:rPr>
                <w:rFonts w:ascii="Arial" w:hAnsi="Arial" w:cs="Arial"/>
              </w:rPr>
            </w:pPr>
            <w:r w:rsidRPr="001316DE">
              <w:rPr>
                <w:rFonts w:ascii="Arial" w:hAnsi="Arial" w:cs="Arial"/>
              </w:rPr>
              <w:t>0.6830</w:t>
            </w:r>
          </w:p>
        </w:tc>
        <w:tc>
          <w:tcPr>
            <w:tcW w:w="0" w:type="auto"/>
            <w:hideMark/>
          </w:tcPr>
          <w:p w14:paraId="50021686" w14:textId="77777777" w:rsidR="001316DE" w:rsidRPr="001316DE" w:rsidRDefault="001316DE" w:rsidP="001316DE">
            <w:pPr>
              <w:spacing w:line="276" w:lineRule="auto"/>
              <w:rPr>
                <w:rFonts w:ascii="Arial" w:hAnsi="Arial" w:cs="Arial"/>
              </w:rPr>
            </w:pPr>
            <w:r w:rsidRPr="001316DE">
              <w:rPr>
                <w:rFonts w:ascii="Arial" w:hAnsi="Arial" w:cs="Arial"/>
              </w:rPr>
              <w:t>17,075.00</w:t>
            </w:r>
          </w:p>
        </w:tc>
      </w:tr>
      <w:tr w:rsidR="001316DE" w:rsidRPr="001316DE" w14:paraId="4679542F" w14:textId="77777777" w:rsidTr="001316DE">
        <w:trPr>
          <w:jc w:val="center"/>
        </w:trPr>
        <w:tc>
          <w:tcPr>
            <w:tcW w:w="0" w:type="auto"/>
            <w:hideMark/>
          </w:tcPr>
          <w:p w14:paraId="2279F764" w14:textId="77777777" w:rsidR="001316DE" w:rsidRPr="001316DE" w:rsidRDefault="001316DE" w:rsidP="001316DE">
            <w:pPr>
              <w:spacing w:line="276" w:lineRule="auto"/>
              <w:rPr>
                <w:rFonts w:ascii="Arial" w:hAnsi="Arial" w:cs="Arial"/>
              </w:rPr>
            </w:pPr>
            <w:r w:rsidRPr="001316DE">
              <w:rPr>
                <w:rFonts w:ascii="Arial" w:hAnsi="Arial" w:cs="Arial"/>
              </w:rPr>
              <w:t>5</w:t>
            </w:r>
          </w:p>
        </w:tc>
        <w:tc>
          <w:tcPr>
            <w:tcW w:w="0" w:type="auto"/>
            <w:hideMark/>
          </w:tcPr>
          <w:p w14:paraId="3C14816F" w14:textId="77777777" w:rsidR="001316DE" w:rsidRPr="001316DE" w:rsidRDefault="001316DE" w:rsidP="001316DE">
            <w:pPr>
              <w:spacing w:line="276" w:lineRule="auto"/>
              <w:rPr>
                <w:rFonts w:ascii="Arial" w:hAnsi="Arial" w:cs="Arial"/>
              </w:rPr>
            </w:pPr>
            <w:r w:rsidRPr="001316DE">
              <w:rPr>
                <w:rFonts w:ascii="Arial" w:hAnsi="Arial" w:cs="Arial"/>
              </w:rPr>
              <w:t>15,000</w:t>
            </w:r>
          </w:p>
        </w:tc>
        <w:tc>
          <w:tcPr>
            <w:tcW w:w="0" w:type="auto"/>
            <w:hideMark/>
          </w:tcPr>
          <w:p w14:paraId="79B64B73" w14:textId="77777777" w:rsidR="001316DE" w:rsidRPr="001316DE" w:rsidRDefault="001316DE" w:rsidP="001316DE">
            <w:pPr>
              <w:spacing w:line="276" w:lineRule="auto"/>
              <w:rPr>
                <w:rFonts w:ascii="Arial" w:hAnsi="Arial" w:cs="Arial"/>
              </w:rPr>
            </w:pPr>
            <w:r w:rsidRPr="001316DE">
              <w:rPr>
                <w:rFonts w:ascii="Arial" w:hAnsi="Arial" w:cs="Arial"/>
              </w:rPr>
              <w:t>15,000</w:t>
            </w:r>
            <w:proofErr w:type="gramStart"/>
            <w:r w:rsidRPr="001316DE">
              <w:rPr>
                <w:rFonts w:ascii="Arial" w:hAnsi="Arial" w:cs="Arial"/>
              </w:rPr>
              <w:t>/(</w:t>
            </w:r>
            <w:proofErr w:type="gramEnd"/>
            <w:r w:rsidRPr="001316DE">
              <w:rPr>
                <w:rFonts w:ascii="Arial" w:hAnsi="Arial" w:cs="Arial"/>
              </w:rPr>
              <w:t>1.10)^5</w:t>
            </w:r>
          </w:p>
        </w:tc>
        <w:tc>
          <w:tcPr>
            <w:tcW w:w="0" w:type="auto"/>
            <w:hideMark/>
          </w:tcPr>
          <w:p w14:paraId="61796998" w14:textId="77777777" w:rsidR="001316DE" w:rsidRPr="001316DE" w:rsidRDefault="001316DE" w:rsidP="001316DE">
            <w:pPr>
              <w:spacing w:line="276" w:lineRule="auto"/>
              <w:rPr>
                <w:rFonts w:ascii="Arial" w:hAnsi="Arial" w:cs="Arial"/>
              </w:rPr>
            </w:pPr>
            <w:r w:rsidRPr="001316DE">
              <w:rPr>
                <w:rFonts w:ascii="Arial" w:hAnsi="Arial" w:cs="Arial"/>
              </w:rPr>
              <w:t>0.6209</w:t>
            </w:r>
          </w:p>
        </w:tc>
        <w:tc>
          <w:tcPr>
            <w:tcW w:w="0" w:type="auto"/>
            <w:hideMark/>
          </w:tcPr>
          <w:p w14:paraId="09D4DEF0" w14:textId="77777777" w:rsidR="001316DE" w:rsidRPr="001316DE" w:rsidRDefault="001316DE" w:rsidP="001316DE">
            <w:pPr>
              <w:spacing w:line="276" w:lineRule="auto"/>
              <w:rPr>
                <w:rFonts w:ascii="Arial" w:hAnsi="Arial" w:cs="Arial"/>
              </w:rPr>
            </w:pPr>
            <w:r w:rsidRPr="001316DE">
              <w:rPr>
                <w:rFonts w:ascii="Arial" w:hAnsi="Arial" w:cs="Arial"/>
              </w:rPr>
              <w:t>9,313.50</w:t>
            </w:r>
          </w:p>
        </w:tc>
      </w:tr>
      <w:tr w:rsidR="001316DE" w:rsidRPr="001316DE" w14:paraId="069DBA00" w14:textId="77777777" w:rsidTr="001316DE">
        <w:trPr>
          <w:jc w:val="center"/>
        </w:trPr>
        <w:tc>
          <w:tcPr>
            <w:tcW w:w="0" w:type="auto"/>
            <w:hideMark/>
          </w:tcPr>
          <w:p w14:paraId="379F755A"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lastRenderedPageBreak/>
              <w:t>Total</w:t>
            </w:r>
          </w:p>
        </w:tc>
        <w:tc>
          <w:tcPr>
            <w:tcW w:w="0" w:type="auto"/>
            <w:hideMark/>
          </w:tcPr>
          <w:p w14:paraId="7B65D535"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25,000</w:t>
            </w:r>
          </w:p>
        </w:tc>
        <w:tc>
          <w:tcPr>
            <w:tcW w:w="0" w:type="auto"/>
            <w:hideMark/>
          </w:tcPr>
          <w:p w14:paraId="0CB15874" w14:textId="77777777" w:rsidR="001316DE" w:rsidRPr="001316DE" w:rsidRDefault="001316DE" w:rsidP="001316DE">
            <w:pPr>
              <w:spacing w:line="276" w:lineRule="auto"/>
              <w:rPr>
                <w:rFonts w:ascii="Arial" w:hAnsi="Arial" w:cs="Arial"/>
              </w:rPr>
            </w:pPr>
          </w:p>
        </w:tc>
        <w:tc>
          <w:tcPr>
            <w:tcW w:w="0" w:type="auto"/>
            <w:hideMark/>
          </w:tcPr>
          <w:p w14:paraId="0A9B19E8" w14:textId="77777777" w:rsidR="001316DE" w:rsidRPr="001316DE" w:rsidRDefault="001316DE" w:rsidP="001316DE">
            <w:pPr>
              <w:spacing w:line="276" w:lineRule="auto"/>
              <w:rPr>
                <w:rFonts w:ascii="Arial" w:hAnsi="Arial" w:cs="Arial"/>
                <w:sz w:val="20"/>
                <w:szCs w:val="20"/>
              </w:rPr>
            </w:pPr>
          </w:p>
        </w:tc>
        <w:tc>
          <w:tcPr>
            <w:tcW w:w="0" w:type="auto"/>
            <w:hideMark/>
          </w:tcPr>
          <w:p w14:paraId="7B3DA2DC" w14:textId="77777777" w:rsidR="001316DE" w:rsidRPr="001316DE" w:rsidRDefault="001316DE" w:rsidP="001316DE">
            <w:pPr>
              <w:spacing w:line="276" w:lineRule="auto"/>
              <w:rPr>
                <w:rFonts w:ascii="Arial" w:hAnsi="Arial" w:cs="Arial"/>
                <w:sz w:val="24"/>
                <w:szCs w:val="24"/>
              </w:rPr>
            </w:pPr>
            <w:r w:rsidRPr="001316DE">
              <w:rPr>
                <w:rStyle w:val="Strong"/>
                <w:rFonts w:ascii="Arial" w:hAnsi="Arial" w:cs="Arial"/>
                <w:b w:val="0"/>
                <w:bCs w:val="0"/>
              </w:rPr>
              <w:t>4,224.00</w:t>
            </w:r>
          </w:p>
        </w:tc>
      </w:tr>
    </w:tbl>
    <w:p w14:paraId="6BF55103"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Project C IRR Calculation:</w:t>
      </w:r>
    </w:p>
    <w:p w14:paraId="3D31D714" w14:textId="77777777" w:rsidR="001316DE" w:rsidRPr="001316DE" w:rsidRDefault="001316DE" w:rsidP="001316DE">
      <w:pPr>
        <w:pStyle w:val="whitespace-normal"/>
        <w:numPr>
          <w:ilvl w:val="0"/>
          <w:numId w:val="16"/>
        </w:numPr>
        <w:spacing w:line="276" w:lineRule="auto"/>
        <w:rPr>
          <w:rFonts w:ascii="Arial" w:hAnsi="Arial" w:cs="Arial"/>
        </w:rPr>
      </w:pPr>
      <w:r w:rsidRPr="001316DE">
        <w:rPr>
          <w:rFonts w:ascii="Arial" w:hAnsi="Arial" w:cs="Arial"/>
        </w:rPr>
        <w:t>At 12%: NPV = +£1,070m (positive)</w:t>
      </w:r>
    </w:p>
    <w:p w14:paraId="3C14DED3" w14:textId="77777777" w:rsidR="001316DE" w:rsidRPr="001316DE" w:rsidRDefault="001316DE" w:rsidP="001316DE">
      <w:pPr>
        <w:pStyle w:val="whitespace-normal"/>
        <w:numPr>
          <w:ilvl w:val="0"/>
          <w:numId w:val="16"/>
        </w:numPr>
        <w:spacing w:line="276" w:lineRule="auto"/>
        <w:rPr>
          <w:rFonts w:ascii="Arial" w:hAnsi="Arial" w:cs="Arial"/>
        </w:rPr>
      </w:pPr>
      <w:r w:rsidRPr="001316DE">
        <w:rPr>
          <w:rFonts w:ascii="Arial" w:hAnsi="Arial" w:cs="Arial"/>
        </w:rPr>
        <w:t>At 14%: NPV = -£1,817m (negative)</w:t>
      </w:r>
    </w:p>
    <w:p w14:paraId="07B52636" w14:textId="77777777" w:rsidR="001316DE" w:rsidRPr="001316DE" w:rsidRDefault="001316DE" w:rsidP="001316DE">
      <w:pPr>
        <w:pStyle w:val="whitespace-normal"/>
        <w:numPr>
          <w:ilvl w:val="0"/>
          <w:numId w:val="16"/>
        </w:numPr>
        <w:spacing w:line="276" w:lineRule="auto"/>
        <w:rPr>
          <w:rFonts w:ascii="Arial" w:hAnsi="Arial" w:cs="Arial"/>
        </w:rPr>
      </w:pPr>
      <w:r w:rsidRPr="001316DE">
        <w:rPr>
          <w:rFonts w:ascii="Arial" w:hAnsi="Arial" w:cs="Arial"/>
        </w:rPr>
        <w:t>IRR ≈ 12.00% + [1,070</w:t>
      </w:r>
      <w:proofErr w:type="gramStart"/>
      <w:r w:rsidRPr="001316DE">
        <w:rPr>
          <w:rFonts w:ascii="Arial" w:hAnsi="Arial" w:cs="Arial"/>
        </w:rPr>
        <w:t>/(</w:t>
      </w:r>
      <w:proofErr w:type="gramEnd"/>
      <w:r w:rsidRPr="001316DE">
        <w:rPr>
          <w:rFonts w:ascii="Arial" w:hAnsi="Arial" w:cs="Arial"/>
        </w:rPr>
        <w:t>1,070+1,817)] × 2.00% = 12.74%</w:t>
      </w:r>
    </w:p>
    <w:p w14:paraId="4B87AC20" w14:textId="77777777" w:rsidR="001316DE" w:rsidRPr="001316DE" w:rsidRDefault="001316DE" w:rsidP="001316DE">
      <w:pPr>
        <w:pStyle w:val="font-claude-response-body"/>
        <w:spacing w:line="276" w:lineRule="auto"/>
        <w:rPr>
          <w:rFonts w:ascii="Arial" w:hAnsi="Arial" w:cs="Arial"/>
        </w:rPr>
      </w:pPr>
      <w:r w:rsidRPr="001316DE">
        <w:rPr>
          <w:rStyle w:val="Strong"/>
          <w:rFonts w:ascii="Arial" w:hAnsi="Arial" w:cs="Arial"/>
          <w:b w:val="0"/>
          <w:bCs w:val="0"/>
        </w:rPr>
        <w:t>Table B.4: Comparative Investment Summary</w:t>
      </w:r>
    </w:p>
    <w:tbl>
      <w:tblPr>
        <w:tblStyle w:val="TableGrid"/>
        <w:tblW w:w="0" w:type="auto"/>
        <w:jc w:val="center"/>
        <w:tblLook w:val="04A0" w:firstRow="1" w:lastRow="0" w:firstColumn="1" w:lastColumn="0" w:noHBand="0" w:noVBand="1"/>
      </w:tblPr>
      <w:tblGrid>
        <w:gridCol w:w="2539"/>
        <w:gridCol w:w="2406"/>
        <w:gridCol w:w="1109"/>
        <w:gridCol w:w="1121"/>
        <w:gridCol w:w="1146"/>
      </w:tblGrid>
      <w:tr w:rsidR="001316DE" w:rsidRPr="001316DE" w14:paraId="008322D3" w14:textId="77777777" w:rsidTr="001316DE">
        <w:trPr>
          <w:jc w:val="center"/>
        </w:trPr>
        <w:tc>
          <w:tcPr>
            <w:tcW w:w="0" w:type="auto"/>
            <w:hideMark/>
          </w:tcPr>
          <w:p w14:paraId="2EE31E8B" w14:textId="77777777" w:rsidR="001316DE" w:rsidRPr="001316DE" w:rsidRDefault="001316DE" w:rsidP="001316DE">
            <w:pPr>
              <w:spacing w:line="276" w:lineRule="auto"/>
              <w:jc w:val="center"/>
              <w:rPr>
                <w:rFonts w:ascii="Arial" w:hAnsi="Arial" w:cs="Arial"/>
              </w:rPr>
            </w:pPr>
            <w:r w:rsidRPr="001316DE">
              <w:rPr>
                <w:rFonts w:ascii="Arial" w:hAnsi="Arial" w:cs="Arial"/>
              </w:rPr>
              <w:t>Metric</w:t>
            </w:r>
          </w:p>
        </w:tc>
        <w:tc>
          <w:tcPr>
            <w:tcW w:w="0" w:type="auto"/>
            <w:hideMark/>
          </w:tcPr>
          <w:p w14:paraId="5A1788F2" w14:textId="77777777" w:rsidR="001316DE" w:rsidRPr="001316DE" w:rsidRDefault="001316DE" w:rsidP="001316DE">
            <w:pPr>
              <w:spacing w:line="276" w:lineRule="auto"/>
              <w:jc w:val="center"/>
              <w:rPr>
                <w:rFonts w:ascii="Arial" w:hAnsi="Arial" w:cs="Arial"/>
              </w:rPr>
            </w:pPr>
            <w:r w:rsidRPr="001316DE">
              <w:rPr>
                <w:rFonts w:ascii="Arial" w:hAnsi="Arial" w:cs="Arial"/>
              </w:rPr>
              <w:t>Project A</w:t>
            </w:r>
          </w:p>
        </w:tc>
        <w:tc>
          <w:tcPr>
            <w:tcW w:w="0" w:type="auto"/>
            <w:hideMark/>
          </w:tcPr>
          <w:p w14:paraId="53ED8C92" w14:textId="77777777" w:rsidR="001316DE" w:rsidRPr="001316DE" w:rsidRDefault="001316DE" w:rsidP="001316DE">
            <w:pPr>
              <w:spacing w:line="276" w:lineRule="auto"/>
              <w:jc w:val="center"/>
              <w:rPr>
                <w:rFonts w:ascii="Arial" w:hAnsi="Arial" w:cs="Arial"/>
              </w:rPr>
            </w:pPr>
            <w:r w:rsidRPr="001316DE">
              <w:rPr>
                <w:rFonts w:ascii="Arial" w:hAnsi="Arial" w:cs="Arial"/>
              </w:rPr>
              <w:t>Project B</w:t>
            </w:r>
          </w:p>
        </w:tc>
        <w:tc>
          <w:tcPr>
            <w:tcW w:w="0" w:type="auto"/>
            <w:hideMark/>
          </w:tcPr>
          <w:p w14:paraId="5B36A304" w14:textId="77777777" w:rsidR="001316DE" w:rsidRPr="001316DE" w:rsidRDefault="001316DE" w:rsidP="001316DE">
            <w:pPr>
              <w:spacing w:line="276" w:lineRule="auto"/>
              <w:jc w:val="center"/>
              <w:rPr>
                <w:rFonts w:ascii="Arial" w:hAnsi="Arial" w:cs="Arial"/>
              </w:rPr>
            </w:pPr>
            <w:r w:rsidRPr="001316DE">
              <w:rPr>
                <w:rFonts w:ascii="Arial" w:hAnsi="Arial" w:cs="Arial"/>
              </w:rPr>
              <w:t>Project C</w:t>
            </w:r>
          </w:p>
        </w:tc>
        <w:tc>
          <w:tcPr>
            <w:tcW w:w="0" w:type="auto"/>
            <w:hideMark/>
          </w:tcPr>
          <w:p w14:paraId="5A18B275" w14:textId="77777777" w:rsidR="001316DE" w:rsidRPr="001316DE" w:rsidRDefault="001316DE" w:rsidP="001316DE">
            <w:pPr>
              <w:spacing w:line="276" w:lineRule="auto"/>
              <w:jc w:val="center"/>
              <w:rPr>
                <w:rFonts w:ascii="Arial" w:hAnsi="Arial" w:cs="Arial"/>
              </w:rPr>
            </w:pPr>
            <w:r w:rsidRPr="001316DE">
              <w:rPr>
                <w:rFonts w:ascii="Arial" w:hAnsi="Arial" w:cs="Arial"/>
              </w:rPr>
              <w:t>Decision</w:t>
            </w:r>
          </w:p>
        </w:tc>
      </w:tr>
      <w:tr w:rsidR="001316DE" w:rsidRPr="001316DE" w14:paraId="714BDA33" w14:textId="77777777" w:rsidTr="001316DE">
        <w:trPr>
          <w:jc w:val="center"/>
        </w:trPr>
        <w:tc>
          <w:tcPr>
            <w:tcW w:w="0" w:type="auto"/>
            <w:hideMark/>
          </w:tcPr>
          <w:p w14:paraId="41DBB6D8" w14:textId="77777777" w:rsidR="001316DE" w:rsidRPr="001316DE" w:rsidRDefault="001316DE" w:rsidP="001316DE">
            <w:pPr>
              <w:spacing w:line="276" w:lineRule="auto"/>
              <w:rPr>
                <w:rFonts w:ascii="Arial" w:hAnsi="Arial" w:cs="Arial"/>
              </w:rPr>
            </w:pPr>
            <w:r w:rsidRPr="001316DE">
              <w:rPr>
                <w:rFonts w:ascii="Arial" w:hAnsi="Arial" w:cs="Arial"/>
              </w:rPr>
              <w:t>Initial Investment (£m)</w:t>
            </w:r>
          </w:p>
        </w:tc>
        <w:tc>
          <w:tcPr>
            <w:tcW w:w="0" w:type="auto"/>
            <w:hideMark/>
          </w:tcPr>
          <w:p w14:paraId="25024D2B" w14:textId="77777777" w:rsidR="001316DE" w:rsidRPr="001316DE" w:rsidRDefault="001316DE" w:rsidP="001316DE">
            <w:pPr>
              <w:spacing w:line="276" w:lineRule="auto"/>
              <w:rPr>
                <w:rFonts w:ascii="Arial" w:hAnsi="Arial" w:cs="Arial"/>
              </w:rPr>
            </w:pPr>
            <w:r w:rsidRPr="001316DE">
              <w:rPr>
                <w:rFonts w:ascii="Arial" w:hAnsi="Arial" w:cs="Arial"/>
              </w:rPr>
              <w:t>40,000</w:t>
            </w:r>
          </w:p>
        </w:tc>
        <w:tc>
          <w:tcPr>
            <w:tcW w:w="0" w:type="auto"/>
            <w:hideMark/>
          </w:tcPr>
          <w:p w14:paraId="6457419C" w14:textId="77777777" w:rsidR="001316DE" w:rsidRPr="001316DE" w:rsidRDefault="001316DE" w:rsidP="001316DE">
            <w:pPr>
              <w:spacing w:line="276" w:lineRule="auto"/>
              <w:rPr>
                <w:rFonts w:ascii="Arial" w:hAnsi="Arial" w:cs="Arial"/>
              </w:rPr>
            </w:pPr>
            <w:r w:rsidRPr="001316DE">
              <w:rPr>
                <w:rFonts w:ascii="Arial" w:hAnsi="Arial" w:cs="Arial"/>
              </w:rPr>
              <w:t>30,000</w:t>
            </w:r>
          </w:p>
        </w:tc>
        <w:tc>
          <w:tcPr>
            <w:tcW w:w="0" w:type="auto"/>
            <w:hideMark/>
          </w:tcPr>
          <w:p w14:paraId="027CF975" w14:textId="77777777" w:rsidR="001316DE" w:rsidRPr="001316DE" w:rsidRDefault="001316DE" w:rsidP="001316DE">
            <w:pPr>
              <w:spacing w:line="276" w:lineRule="auto"/>
              <w:rPr>
                <w:rFonts w:ascii="Arial" w:hAnsi="Arial" w:cs="Arial"/>
              </w:rPr>
            </w:pPr>
            <w:r w:rsidRPr="001316DE">
              <w:rPr>
                <w:rFonts w:ascii="Arial" w:hAnsi="Arial" w:cs="Arial"/>
              </w:rPr>
              <w:t>50,000</w:t>
            </w:r>
          </w:p>
        </w:tc>
        <w:tc>
          <w:tcPr>
            <w:tcW w:w="0" w:type="auto"/>
            <w:hideMark/>
          </w:tcPr>
          <w:p w14:paraId="0F7AB3AE" w14:textId="77777777" w:rsidR="001316DE" w:rsidRPr="001316DE" w:rsidRDefault="001316DE" w:rsidP="001316DE">
            <w:pPr>
              <w:spacing w:line="276" w:lineRule="auto"/>
              <w:rPr>
                <w:rFonts w:ascii="Arial" w:hAnsi="Arial" w:cs="Arial"/>
              </w:rPr>
            </w:pPr>
            <w:r w:rsidRPr="001316DE">
              <w:rPr>
                <w:rFonts w:ascii="Arial" w:hAnsi="Arial" w:cs="Arial"/>
              </w:rPr>
              <w:t>-</w:t>
            </w:r>
          </w:p>
        </w:tc>
      </w:tr>
      <w:tr w:rsidR="001316DE" w:rsidRPr="001316DE" w14:paraId="0CF79474" w14:textId="77777777" w:rsidTr="001316DE">
        <w:trPr>
          <w:jc w:val="center"/>
        </w:trPr>
        <w:tc>
          <w:tcPr>
            <w:tcW w:w="0" w:type="auto"/>
            <w:hideMark/>
          </w:tcPr>
          <w:p w14:paraId="05FECC05" w14:textId="77777777" w:rsidR="001316DE" w:rsidRPr="001316DE" w:rsidRDefault="001316DE" w:rsidP="001316DE">
            <w:pPr>
              <w:spacing w:line="276" w:lineRule="auto"/>
              <w:rPr>
                <w:rFonts w:ascii="Arial" w:hAnsi="Arial" w:cs="Arial"/>
              </w:rPr>
            </w:pPr>
            <w:r w:rsidRPr="001316DE">
              <w:rPr>
                <w:rFonts w:ascii="Arial" w:hAnsi="Arial" w:cs="Arial"/>
              </w:rPr>
              <w:t>Total Cash Inflows (£m)</w:t>
            </w:r>
          </w:p>
        </w:tc>
        <w:tc>
          <w:tcPr>
            <w:tcW w:w="0" w:type="auto"/>
            <w:hideMark/>
          </w:tcPr>
          <w:p w14:paraId="1AE5881A" w14:textId="77777777" w:rsidR="001316DE" w:rsidRPr="001316DE" w:rsidRDefault="001316DE" w:rsidP="001316DE">
            <w:pPr>
              <w:spacing w:line="276" w:lineRule="auto"/>
              <w:rPr>
                <w:rFonts w:ascii="Arial" w:hAnsi="Arial" w:cs="Arial"/>
              </w:rPr>
            </w:pPr>
            <w:r w:rsidRPr="001316DE">
              <w:rPr>
                <w:rFonts w:ascii="Arial" w:hAnsi="Arial" w:cs="Arial"/>
              </w:rPr>
              <w:t>54,000</w:t>
            </w:r>
          </w:p>
        </w:tc>
        <w:tc>
          <w:tcPr>
            <w:tcW w:w="0" w:type="auto"/>
            <w:hideMark/>
          </w:tcPr>
          <w:p w14:paraId="72A30E55" w14:textId="77777777" w:rsidR="001316DE" w:rsidRPr="001316DE" w:rsidRDefault="001316DE" w:rsidP="001316DE">
            <w:pPr>
              <w:spacing w:line="276" w:lineRule="auto"/>
              <w:rPr>
                <w:rFonts w:ascii="Arial" w:hAnsi="Arial" w:cs="Arial"/>
              </w:rPr>
            </w:pPr>
            <w:r w:rsidRPr="001316DE">
              <w:rPr>
                <w:rFonts w:ascii="Arial" w:hAnsi="Arial" w:cs="Arial"/>
              </w:rPr>
              <w:t>30,000</w:t>
            </w:r>
          </w:p>
        </w:tc>
        <w:tc>
          <w:tcPr>
            <w:tcW w:w="0" w:type="auto"/>
            <w:hideMark/>
          </w:tcPr>
          <w:p w14:paraId="7469B841" w14:textId="77777777" w:rsidR="001316DE" w:rsidRPr="001316DE" w:rsidRDefault="001316DE" w:rsidP="001316DE">
            <w:pPr>
              <w:spacing w:line="276" w:lineRule="auto"/>
              <w:rPr>
                <w:rFonts w:ascii="Arial" w:hAnsi="Arial" w:cs="Arial"/>
              </w:rPr>
            </w:pPr>
            <w:r w:rsidRPr="001316DE">
              <w:rPr>
                <w:rFonts w:ascii="Arial" w:hAnsi="Arial" w:cs="Arial"/>
              </w:rPr>
              <w:t>75,000</w:t>
            </w:r>
          </w:p>
        </w:tc>
        <w:tc>
          <w:tcPr>
            <w:tcW w:w="0" w:type="auto"/>
            <w:hideMark/>
          </w:tcPr>
          <w:p w14:paraId="16CE8CAD" w14:textId="77777777" w:rsidR="001316DE" w:rsidRPr="001316DE" w:rsidRDefault="001316DE" w:rsidP="001316DE">
            <w:pPr>
              <w:spacing w:line="276" w:lineRule="auto"/>
              <w:rPr>
                <w:rFonts w:ascii="Arial" w:hAnsi="Arial" w:cs="Arial"/>
              </w:rPr>
            </w:pPr>
            <w:r w:rsidRPr="001316DE">
              <w:rPr>
                <w:rFonts w:ascii="Arial" w:hAnsi="Arial" w:cs="Arial"/>
              </w:rPr>
              <w:t>C highest</w:t>
            </w:r>
          </w:p>
        </w:tc>
      </w:tr>
      <w:tr w:rsidR="001316DE" w:rsidRPr="001316DE" w14:paraId="103D2DF6" w14:textId="77777777" w:rsidTr="001316DE">
        <w:trPr>
          <w:jc w:val="center"/>
        </w:trPr>
        <w:tc>
          <w:tcPr>
            <w:tcW w:w="0" w:type="auto"/>
            <w:hideMark/>
          </w:tcPr>
          <w:p w14:paraId="1106E42F" w14:textId="77777777" w:rsidR="001316DE" w:rsidRPr="001316DE" w:rsidRDefault="001316DE" w:rsidP="001316DE">
            <w:pPr>
              <w:spacing w:line="276" w:lineRule="auto"/>
              <w:rPr>
                <w:rFonts w:ascii="Arial" w:hAnsi="Arial" w:cs="Arial"/>
              </w:rPr>
            </w:pPr>
            <w:r w:rsidRPr="001316DE">
              <w:rPr>
                <w:rFonts w:ascii="Arial" w:hAnsi="Arial" w:cs="Arial"/>
              </w:rPr>
              <w:t>Payback Period (years)</w:t>
            </w:r>
          </w:p>
        </w:tc>
        <w:tc>
          <w:tcPr>
            <w:tcW w:w="0" w:type="auto"/>
            <w:hideMark/>
          </w:tcPr>
          <w:p w14:paraId="506CA1D6" w14:textId="77777777" w:rsidR="001316DE" w:rsidRPr="001316DE" w:rsidRDefault="001316DE" w:rsidP="001316DE">
            <w:pPr>
              <w:spacing w:line="276" w:lineRule="auto"/>
              <w:rPr>
                <w:rFonts w:ascii="Arial" w:hAnsi="Arial" w:cs="Arial"/>
              </w:rPr>
            </w:pPr>
            <w:r w:rsidRPr="001316DE">
              <w:rPr>
                <w:rFonts w:ascii="Arial" w:hAnsi="Arial" w:cs="Arial"/>
              </w:rPr>
              <w:t>3.4</w:t>
            </w:r>
          </w:p>
        </w:tc>
        <w:tc>
          <w:tcPr>
            <w:tcW w:w="0" w:type="auto"/>
            <w:hideMark/>
          </w:tcPr>
          <w:p w14:paraId="72896282" w14:textId="77777777" w:rsidR="001316DE" w:rsidRPr="001316DE" w:rsidRDefault="001316DE" w:rsidP="001316DE">
            <w:pPr>
              <w:spacing w:line="276" w:lineRule="auto"/>
              <w:rPr>
                <w:rFonts w:ascii="Arial" w:hAnsi="Arial" w:cs="Arial"/>
              </w:rPr>
            </w:pPr>
            <w:r w:rsidRPr="001316DE">
              <w:rPr>
                <w:rFonts w:ascii="Arial" w:hAnsi="Arial" w:cs="Arial"/>
              </w:rPr>
              <w:t>5.0</w:t>
            </w:r>
          </w:p>
        </w:tc>
        <w:tc>
          <w:tcPr>
            <w:tcW w:w="0" w:type="auto"/>
            <w:hideMark/>
          </w:tcPr>
          <w:p w14:paraId="1B951847" w14:textId="77777777" w:rsidR="001316DE" w:rsidRPr="001316DE" w:rsidRDefault="001316DE" w:rsidP="001316DE">
            <w:pPr>
              <w:spacing w:line="276" w:lineRule="auto"/>
              <w:rPr>
                <w:rFonts w:ascii="Arial" w:hAnsi="Arial" w:cs="Arial"/>
              </w:rPr>
            </w:pPr>
            <w:r w:rsidRPr="001316DE">
              <w:rPr>
                <w:rFonts w:ascii="Arial" w:hAnsi="Arial" w:cs="Arial"/>
              </w:rPr>
              <w:t>3.6</w:t>
            </w:r>
          </w:p>
        </w:tc>
        <w:tc>
          <w:tcPr>
            <w:tcW w:w="0" w:type="auto"/>
            <w:hideMark/>
          </w:tcPr>
          <w:p w14:paraId="41D129CB" w14:textId="77777777" w:rsidR="001316DE" w:rsidRPr="001316DE" w:rsidRDefault="001316DE" w:rsidP="001316DE">
            <w:pPr>
              <w:spacing w:line="276" w:lineRule="auto"/>
              <w:rPr>
                <w:rFonts w:ascii="Arial" w:hAnsi="Arial" w:cs="Arial"/>
              </w:rPr>
            </w:pPr>
            <w:r w:rsidRPr="001316DE">
              <w:rPr>
                <w:rFonts w:ascii="Arial" w:hAnsi="Arial" w:cs="Arial"/>
              </w:rPr>
              <w:t>A fastest</w:t>
            </w:r>
          </w:p>
        </w:tc>
      </w:tr>
      <w:tr w:rsidR="001316DE" w:rsidRPr="001316DE" w14:paraId="3EF9D7D8" w14:textId="77777777" w:rsidTr="001316DE">
        <w:trPr>
          <w:jc w:val="center"/>
        </w:trPr>
        <w:tc>
          <w:tcPr>
            <w:tcW w:w="0" w:type="auto"/>
            <w:hideMark/>
          </w:tcPr>
          <w:p w14:paraId="1618E859" w14:textId="77777777" w:rsidR="001316DE" w:rsidRPr="001316DE" w:rsidRDefault="001316DE" w:rsidP="001316DE">
            <w:pPr>
              <w:spacing w:line="276" w:lineRule="auto"/>
              <w:rPr>
                <w:rFonts w:ascii="Arial" w:hAnsi="Arial" w:cs="Arial"/>
              </w:rPr>
            </w:pPr>
            <w:r w:rsidRPr="001316DE">
              <w:rPr>
                <w:rFonts w:ascii="Arial" w:hAnsi="Arial" w:cs="Arial"/>
              </w:rPr>
              <w:t>ARR (%)</w:t>
            </w:r>
          </w:p>
        </w:tc>
        <w:tc>
          <w:tcPr>
            <w:tcW w:w="0" w:type="auto"/>
            <w:hideMark/>
          </w:tcPr>
          <w:p w14:paraId="549657BA" w14:textId="77777777" w:rsidR="001316DE" w:rsidRPr="001316DE" w:rsidRDefault="001316DE" w:rsidP="001316DE">
            <w:pPr>
              <w:spacing w:line="276" w:lineRule="auto"/>
              <w:rPr>
                <w:rFonts w:ascii="Arial" w:hAnsi="Arial" w:cs="Arial"/>
              </w:rPr>
            </w:pPr>
            <w:r w:rsidRPr="001316DE">
              <w:rPr>
                <w:rFonts w:ascii="Arial" w:hAnsi="Arial" w:cs="Arial"/>
              </w:rPr>
              <w:t>14.0</w:t>
            </w:r>
          </w:p>
        </w:tc>
        <w:tc>
          <w:tcPr>
            <w:tcW w:w="0" w:type="auto"/>
            <w:hideMark/>
          </w:tcPr>
          <w:p w14:paraId="26B059A8" w14:textId="77777777" w:rsidR="001316DE" w:rsidRPr="001316DE" w:rsidRDefault="001316DE" w:rsidP="001316DE">
            <w:pPr>
              <w:spacing w:line="276" w:lineRule="auto"/>
              <w:rPr>
                <w:rFonts w:ascii="Arial" w:hAnsi="Arial" w:cs="Arial"/>
              </w:rPr>
            </w:pPr>
            <w:r w:rsidRPr="001316DE">
              <w:rPr>
                <w:rFonts w:ascii="Arial" w:hAnsi="Arial" w:cs="Arial"/>
              </w:rPr>
              <w:t>0.0</w:t>
            </w:r>
          </w:p>
        </w:tc>
        <w:tc>
          <w:tcPr>
            <w:tcW w:w="0" w:type="auto"/>
            <w:hideMark/>
          </w:tcPr>
          <w:p w14:paraId="566C48C3" w14:textId="77777777" w:rsidR="001316DE" w:rsidRPr="001316DE" w:rsidRDefault="001316DE" w:rsidP="001316DE">
            <w:pPr>
              <w:spacing w:line="276" w:lineRule="auto"/>
              <w:rPr>
                <w:rFonts w:ascii="Arial" w:hAnsi="Arial" w:cs="Arial"/>
              </w:rPr>
            </w:pPr>
            <w:r w:rsidRPr="001316DE">
              <w:rPr>
                <w:rFonts w:ascii="Arial" w:hAnsi="Arial" w:cs="Arial"/>
              </w:rPr>
              <w:t>20.0</w:t>
            </w:r>
          </w:p>
        </w:tc>
        <w:tc>
          <w:tcPr>
            <w:tcW w:w="0" w:type="auto"/>
            <w:hideMark/>
          </w:tcPr>
          <w:p w14:paraId="13304CAA" w14:textId="77777777" w:rsidR="001316DE" w:rsidRPr="001316DE" w:rsidRDefault="001316DE" w:rsidP="001316DE">
            <w:pPr>
              <w:spacing w:line="276" w:lineRule="auto"/>
              <w:rPr>
                <w:rFonts w:ascii="Arial" w:hAnsi="Arial" w:cs="Arial"/>
              </w:rPr>
            </w:pPr>
            <w:r w:rsidRPr="001316DE">
              <w:rPr>
                <w:rFonts w:ascii="Arial" w:hAnsi="Arial" w:cs="Arial"/>
              </w:rPr>
              <w:t>C highest</w:t>
            </w:r>
          </w:p>
        </w:tc>
      </w:tr>
      <w:tr w:rsidR="001316DE" w:rsidRPr="001316DE" w14:paraId="646A9996" w14:textId="77777777" w:rsidTr="001316DE">
        <w:trPr>
          <w:jc w:val="center"/>
        </w:trPr>
        <w:tc>
          <w:tcPr>
            <w:tcW w:w="0" w:type="auto"/>
            <w:hideMark/>
          </w:tcPr>
          <w:p w14:paraId="11DA5B41" w14:textId="77777777" w:rsidR="001316DE" w:rsidRPr="001316DE" w:rsidRDefault="001316DE" w:rsidP="001316DE">
            <w:pPr>
              <w:spacing w:line="276" w:lineRule="auto"/>
              <w:rPr>
                <w:rFonts w:ascii="Arial" w:hAnsi="Arial" w:cs="Arial"/>
              </w:rPr>
            </w:pPr>
            <w:r w:rsidRPr="001316DE">
              <w:rPr>
                <w:rFonts w:ascii="Arial" w:hAnsi="Arial" w:cs="Arial"/>
              </w:rPr>
              <w:t>NPV @ 10% (£m)</w:t>
            </w:r>
          </w:p>
        </w:tc>
        <w:tc>
          <w:tcPr>
            <w:tcW w:w="0" w:type="auto"/>
            <w:hideMark/>
          </w:tcPr>
          <w:p w14:paraId="00EB81AB" w14:textId="77777777" w:rsidR="001316DE" w:rsidRPr="001316DE" w:rsidRDefault="001316DE" w:rsidP="001316DE">
            <w:pPr>
              <w:spacing w:line="276" w:lineRule="auto"/>
              <w:rPr>
                <w:rFonts w:ascii="Arial" w:hAnsi="Arial" w:cs="Arial"/>
              </w:rPr>
            </w:pPr>
            <w:r w:rsidRPr="001316DE">
              <w:rPr>
                <w:rFonts w:ascii="Arial" w:hAnsi="Arial" w:cs="Arial"/>
              </w:rPr>
              <w:t>1,323</w:t>
            </w:r>
          </w:p>
        </w:tc>
        <w:tc>
          <w:tcPr>
            <w:tcW w:w="0" w:type="auto"/>
            <w:hideMark/>
          </w:tcPr>
          <w:p w14:paraId="65DA214F" w14:textId="77777777" w:rsidR="001316DE" w:rsidRPr="001316DE" w:rsidRDefault="001316DE" w:rsidP="001316DE">
            <w:pPr>
              <w:spacing w:line="276" w:lineRule="auto"/>
              <w:rPr>
                <w:rFonts w:ascii="Arial" w:hAnsi="Arial" w:cs="Arial"/>
              </w:rPr>
            </w:pPr>
            <w:r w:rsidRPr="001316DE">
              <w:rPr>
                <w:rFonts w:ascii="Arial" w:hAnsi="Arial" w:cs="Arial"/>
              </w:rPr>
              <w:t>-7,256</w:t>
            </w:r>
          </w:p>
        </w:tc>
        <w:tc>
          <w:tcPr>
            <w:tcW w:w="0" w:type="auto"/>
            <w:hideMark/>
          </w:tcPr>
          <w:p w14:paraId="7C3CC9A2" w14:textId="77777777" w:rsidR="001316DE" w:rsidRPr="001316DE" w:rsidRDefault="001316DE" w:rsidP="001316DE">
            <w:pPr>
              <w:spacing w:line="276" w:lineRule="auto"/>
              <w:rPr>
                <w:rFonts w:ascii="Arial" w:hAnsi="Arial" w:cs="Arial"/>
              </w:rPr>
            </w:pPr>
            <w:r w:rsidRPr="001316DE">
              <w:rPr>
                <w:rFonts w:ascii="Arial" w:hAnsi="Arial" w:cs="Arial"/>
              </w:rPr>
              <w:t>4,224</w:t>
            </w:r>
          </w:p>
        </w:tc>
        <w:tc>
          <w:tcPr>
            <w:tcW w:w="0" w:type="auto"/>
            <w:hideMark/>
          </w:tcPr>
          <w:p w14:paraId="431053C6" w14:textId="77777777" w:rsidR="001316DE" w:rsidRPr="001316DE" w:rsidRDefault="001316DE" w:rsidP="001316DE">
            <w:pPr>
              <w:spacing w:line="276" w:lineRule="auto"/>
              <w:rPr>
                <w:rFonts w:ascii="Arial" w:hAnsi="Arial" w:cs="Arial"/>
              </w:rPr>
            </w:pPr>
            <w:r w:rsidRPr="001316DE">
              <w:rPr>
                <w:rFonts w:ascii="Arial" w:hAnsi="Arial" w:cs="Arial"/>
              </w:rPr>
              <w:t>C highest</w:t>
            </w:r>
          </w:p>
        </w:tc>
      </w:tr>
      <w:tr w:rsidR="001316DE" w:rsidRPr="001316DE" w14:paraId="5039AFD0" w14:textId="77777777" w:rsidTr="001316DE">
        <w:trPr>
          <w:jc w:val="center"/>
        </w:trPr>
        <w:tc>
          <w:tcPr>
            <w:tcW w:w="0" w:type="auto"/>
            <w:hideMark/>
          </w:tcPr>
          <w:p w14:paraId="6892F458" w14:textId="77777777" w:rsidR="001316DE" w:rsidRPr="001316DE" w:rsidRDefault="001316DE" w:rsidP="001316DE">
            <w:pPr>
              <w:spacing w:line="276" w:lineRule="auto"/>
              <w:rPr>
                <w:rFonts w:ascii="Arial" w:hAnsi="Arial" w:cs="Arial"/>
              </w:rPr>
            </w:pPr>
            <w:r w:rsidRPr="001316DE">
              <w:rPr>
                <w:rFonts w:ascii="Arial" w:hAnsi="Arial" w:cs="Arial"/>
              </w:rPr>
              <w:t>Profitability Index</w:t>
            </w:r>
          </w:p>
        </w:tc>
        <w:tc>
          <w:tcPr>
            <w:tcW w:w="0" w:type="auto"/>
            <w:hideMark/>
          </w:tcPr>
          <w:p w14:paraId="68B4C08A" w14:textId="77777777" w:rsidR="001316DE" w:rsidRPr="001316DE" w:rsidRDefault="001316DE" w:rsidP="001316DE">
            <w:pPr>
              <w:spacing w:line="276" w:lineRule="auto"/>
              <w:rPr>
                <w:rFonts w:ascii="Arial" w:hAnsi="Arial" w:cs="Arial"/>
              </w:rPr>
            </w:pPr>
            <w:r w:rsidRPr="001316DE">
              <w:rPr>
                <w:rFonts w:ascii="Arial" w:hAnsi="Arial" w:cs="Arial"/>
              </w:rPr>
              <w:t>1.0331</w:t>
            </w:r>
          </w:p>
        </w:tc>
        <w:tc>
          <w:tcPr>
            <w:tcW w:w="0" w:type="auto"/>
            <w:hideMark/>
          </w:tcPr>
          <w:p w14:paraId="794B4F89" w14:textId="77777777" w:rsidR="001316DE" w:rsidRPr="001316DE" w:rsidRDefault="001316DE" w:rsidP="001316DE">
            <w:pPr>
              <w:spacing w:line="276" w:lineRule="auto"/>
              <w:rPr>
                <w:rFonts w:ascii="Arial" w:hAnsi="Arial" w:cs="Arial"/>
              </w:rPr>
            </w:pPr>
            <w:r w:rsidRPr="001316DE">
              <w:rPr>
                <w:rFonts w:ascii="Arial" w:hAnsi="Arial" w:cs="Arial"/>
              </w:rPr>
              <w:t>0.7581</w:t>
            </w:r>
          </w:p>
        </w:tc>
        <w:tc>
          <w:tcPr>
            <w:tcW w:w="0" w:type="auto"/>
            <w:hideMark/>
          </w:tcPr>
          <w:p w14:paraId="59374011" w14:textId="77777777" w:rsidR="001316DE" w:rsidRPr="001316DE" w:rsidRDefault="001316DE" w:rsidP="001316DE">
            <w:pPr>
              <w:spacing w:line="276" w:lineRule="auto"/>
              <w:rPr>
                <w:rFonts w:ascii="Arial" w:hAnsi="Arial" w:cs="Arial"/>
              </w:rPr>
            </w:pPr>
            <w:r w:rsidRPr="001316DE">
              <w:rPr>
                <w:rFonts w:ascii="Arial" w:hAnsi="Arial" w:cs="Arial"/>
              </w:rPr>
              <w:t>1.0845</w:t>
            </w:r>
          </w:p>
        </w:tc>
        <w:tc>
          <w:tcPr>
            <w:tcW w:w="0" w:type="auto"/>
            <w:hideMark/>
          </w:tcPr>
          <w:p w14:paraId="37A1AB69" w14:textId="77777777" w:rsidR="001316DE" w:rsidRPr="001316DE" w:rsidRDefault="001316DE" w:rsidP="001316DE">
            <w:pPr>
              <w:spacing w:line="276" w:lineRule="auto"/>
              <w:rPr>
                <w:rFonts w:ascii="Arial" w:hAnsi="Arial" w:cs="Arial"/>
              </w:rPr>
            </w:pPr>
            <w:r w:rsidRPr="001316DE">
              <w:rPr>
                <w:rFonts w:ascii="Arial" w:hAnsi="Arial" w:cs="Arial"/>
              </w:rPr>
              <w:t>C highest</w:t>
            </w:r>
          </w:p>
        </w:tc>
      </w:tr>
      <w:tr w:rsidR="001316DE" w:rsidRPr="001316DE" w14:paraId="0ED6AA33" w14:textId="77777777" w:rsidTr="001316DE">
        <w:trPr>
          <w:jc w:val="center"/>
        </w:trPr>
        <w:tc>
          <w:tcPr>
            <w:tcW w:w="0" w:type="auto"/>
            <w:hideMark/>
          </w:tcPr>
          <w:p w14:paraId="501AA224" w14:textId="77777777" w:rsidR="001316DE" w:rsidRPr="001316DE" w:rsidRDefault="001316DE" w:rsidP="001316DE">
            <w:pPr>
              <w:spacing w:line="276" w:lineRule="auto"/>
              <w:rPr>
                <w:rFonts w:ascii="Arial" w:hAnsi="Arial" w:cs="Arial"/>
              </w:rPr>
            </w:pPr>
            <w:r w:rsidRPr="001316DE">
              <w:rPr>
                <w:rFonts w:ascii="Arial" w:hAnsi="Arial" w:cs="Arial"/>
              </w:rPr>
              <w:t>IRR (%)</w:t>
            </w:r>
          </w:p>
        </w:tc>
        <w:tc>
          <w:tcPr>
            <w:tcW w:w="0" w:type="auto"/>
            <w:hideMark/>
          </w:tcPr>
          <w:p w14:paraId="28CB2847" w14:textId="77777777" w:rsidR="001316DE" w:rsidRPr="001316DE" w:rsidRDefault="001316DE" w:rsidP="001316DE">
            <w:pPr>
              <w:spacing w:line="276" w:lineRule="auto"/>
              <w:rPr>
                <w:rFonts w:ascii="Arial" w:hAnsi="Arial" w:cs="Arial"/>
              </w:rPr>
            </w:pPr>
            <w:r w:rsidRPr="001316DE">
              <w:rPr>
                <w:rFonts w:ascii="Arial" w:hAnsi="Arial" w:cs="Arial"/>
              </w:rPr>
              <w:t>11.34</w:t>
            </w:r>
          </w:p>
        </w:tc>
        <w:tc>
          <w:tcPr>
            <w:tcW w:w="0" w:type="auto"/>
            <w:hideMark/>
          </w:tcPr>
          <w:p w14:paraId="14D50689" w14:textId="77777777" w:rsidR="001316DE" w:rsidRPr="001316DE" w:rsidRDefault="001316DE" w:rsidP="001316DE">
            <w:pPr>
              <w:spacing w:line="276" w:lineRule="auto"/>
              <w:rPr>
                <w:rFonts w:ascii="Arial" w:hAnsi="Arial" w:cs="Arial"/>
              </w:rPr>
            </w:pPr>
            <w:r w:rsidRPr="001316DE">
              <w:rPr>
                <w:rFonts w:ascii="Arial" w:hAnsi="Arial" w:cs="Arial"/>
              </w:rPr>
              <w:t>0.00</w:t>
            </w:r>
          </w:p>
        </w:tc>
        <w:tc>
          <w:tcPr>
            <w:tcW w:w="0" w:type="auto"/>
            <w:hideMark/>
          </w:tcPr>
          <w:p w14:paraId="4B6867F9" w14:textId="77777777" w:rsidR="001316DE" w:rsidRPr="001316DE" w:rsidRDefault="001316DE" w:rsidP="001316DE">
            <w:pPr>
              <w:spacing w:line="276" w:lineRule="auto"/>
              <w:rPr>
                <w:rFonts w:ascii="Arial" w:hAnsi="Arial" w:cs="Arial"/>
              </w:rPr>
            </w:pPr>
            <w:r w:rsidRPr="001316DE">
              <w:rPr>
                <w:rFonts w:ascii="Arial" w:hAnsi="Arial" w:cs="Arial"/>
              </w:rPr>
              <w:t>12.78</w:t>
            </w:r>
          </w:p>
        </w:tc>
        <w:tc>
          <w:tcPr>
            <w:tcW w:w="0" w:type="auto"/>
            <w:hideMark/>
          </w:tcPr>
          <w:p w14:paraId="7F6989C1" w14:textId="77777777" w:rsidR="001316DE" w:rsidRPr="001316DE" w:rsidRDefault="001316DE" w:rsidP="001316DE">
            <w:pPr>
              <w:spacing w:line="276" w:lineRule="auto"/>
              <w:rPr>
                <w:rFonts w:ascii="Arial" w:hAnsi="Arial" w:cs="Arial"/>
              </w:rPr>
            </w:pPr>
            <w:r w:rsidRPr="001316DE">
              <w:rPr>
                <w:rFonts w:ascii="Arial" w:hAnsi="Arial" w:cs="Arial"/>
              </w:rPr>
              <w:t>C highest</w:t>
            </w:r>
          </w:p>
        </w:tc>
      </w:tr>
      <w:tr w:rsidR="001316DE" w:rsidRPr="001316DE" w14:paraId="7B84445F" w14:textId="77777777" w:rsidTr="001316DE">
        <w:trPr>
          <w:jc w:val="center"/>
        </w:trPr>
        <w:tc>
          <w:tcPr>
            <w:tcW w:w="0" w:type="auto"/>
            <w:hideMark/>
          </w:tcPr>
          <w:p w14:paraId="5C4C2E62"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Recommendation</w:t>
            </w:r>
          </w:p>
        </w:tc>
        <w:tc>
          <w:tcPr>
            <w:tcW w:w="0" w:type="auto"/>
            <w:hideMark/>
          </w:tcPr>
          <w:p w14:paraId="719C46DB"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Acceptable Alternative</w:t>
            </w:r>
          </w:p>
        </w:tc>
        <w:tc>
          <w:tcPr>
            <w:tcW w:w="0" w:type="auto"/>
            <w:hideMark/>
          </w:tcPr>
          <w:p w14:paraId="135736EC"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REJECT</w:t>
            </w:r>
          </w:p>
        </w:tc>
        <w:tc>
          <w:tcPr>
            <w:tcW w:w="0" w:type="auto"/>
            <w:hideMark/>
          </w:tcPr>
          <w:p w14:paraId="13E2BCDA"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ACCEPT</w:t>
            </w:r>
          </w:p>
        </w:tc>
        <w:tc>
          <w:tcPr>
            <w:tcW w:w="0" w:type="auto"/>
            <w:hideMark/>
          </w:tcPr>
          <w:p w14:paraId="7C73A4C0" w14:textId="77777777" w:rsidR="001316DE" w:rsidRPr="001316DE" w:rsidRDefault="001316DE" w:rsidP="001316DE">
            <w:pPr>
              <w:spacing w:line="276" w:lineRule="auto"/>
              <w:rPr>
                <w:rFonts w:ascii="Arial" w:hAnsi="Arial" w:cs="Arial"/>
              </w:rPr>
            </w:pPr>
            <w:r w:rsidRPr="001316DE">
              <w:rPr>
                <w:rStyle w:val="Strong"/>
                <w:rFonts w:ascii="Arial" w:hAnsi="Arial" w:cs="Arial"/>
                <w:b w:val="0"/>
                <w:bCs w:val="0"/>
              </w:rPr>
              <w:t>Select C</w:t>
            </w:r>
          </w:p>
        </w:tc>
      </w:tr>
    </w:tbl>
    <w:p w14:paraId="07859CE0" w14:textId="77777777" w:rsidR="00D6799C" w:rsidRPr="0030453B" w:rsidRDefault="00D6799C" w:rsidP="00DE2C7B">
      <w:pPr>
        <w:spacing w:line="276" w:lineRule="auto"/>
        <w:jc w:val="both"/>
        <w:rPr>
          <w:rFonts w:ascii="Arial" w:hAnsi="Arial" w:cs="Arial"/>
          <w:sz w:val="24"/>
          <w:szCs w:val="24"/>
        </w:rPr>
      </w:pPr>
    </w:p>
    <w:sectPr w:rsidR="00D6799C" w:rsidRPr="003045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2EEA"/>
    <w:multiLevelType w:val="multilevel"/>
    <w:tmpl w:val="F74C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113BE"/>
    <w:multiLevelType w:val="multilevel"/>
    <w:tmpl w:val="330E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A1196"/>
    <w:multiLevelType w:val="multilevel"/>
    <w:tmpl w:val="9674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E1C3D"/>
    <w:multiLevelType w:val="multilevel"/>
    <w:tmpl w:val="FB0C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5A04BB"/>
    <w:multiLevelType w:val="multilevel"/>
    <w:tmpl w:val="4DF4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84E1D"/>
    <w:multiLevelType w:val="multilevel"/>
    <w:tmpl w:val="D21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2C4214"/>
    <w:multiLevelType w:val="multilevel"/>
    <w:tmpl w:val="937A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D4331F"/>
    <w:multiLevelType w:val="multilevel"/>
    <w:tmpl w:val="E838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196518"/>
    <w:multiLevelType w:val="multilevel"/>
    <w:tmpl w:val="3B2E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2456AF"/>
    <w:multiLevelType w:val="multilevel"/>
    <w:tmpl w:val="6C32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5912E8"/>
    <w:multiLevelType w:val="multilevel"/>
    <w:tmpl w:val="EE722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685E04"/>
    <w:multiLevelType w:val="multilevel"/>
    <w:tmpl w:val="F478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08364B"/>
    <w:multiLevelType w:val="hybridMultilevel"/>
    <w:tmpl w:val="F402B664"/>
    <w:lvl w:ilvl="0" w:tplc="263896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AD7910"/>
    <w:multiLevelType w:val="multilevel"/>
    <w:tmpl w:val="591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BE1353"/>
    <w:multiLevelType w:val="multilevel"/>
    <w:tmpl w:val="14706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506EE5"/>
    <w:multiLevelType w:val="multilevel"/>
    <w:tmpl w:val="3C30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14"/>
  </w:num>
  <w:num w:numId="4">
    <w:abstractNumId w:val="8"/>
  </w:num>
  <w:num w:numId="5">
    <w:abstractNumId w:val="0"/>
  </w:num>
  <w:num w:numId="6">
    <w:abstractNumId w:val="4"/>
  </w:num>
  <w:num w:numId="7">
    <w:abstractNumId w:val="11"/>
  </w:num>
  <w:num w:numId="8">
    <w:abstractNumId w:val="1"/>
  </w:num>
  <w:num w:numId="9">
    <w:abstractNumId w:val="15"/>
  </w:num>
  <w:num w:numId="10">
    <w:abstractNumId w:val="6"/>
  </w:num>
  <w:num w:numId="11">
    <w:abstractNumId w:val="5"/>
  </w:num>
  <w:num w:numId="12">
    <w:abstractNumId w:val="3"/>
  </w:num>
  <w:num w:numId="13">
    <w:abstractNumId w:val="7"/>
  </w:num>
  <w:num w:numId="14">
    <w:abstractNumId w:val="12"/>
  </w:num>
  <w:num w:numId="15">
    <w:abstractNumId w:val="9"/>
  </w:num>
  <w:num w:numId="16">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5E"/>
    <w:rsid w:val="000062AE"/>
    <w:rsid w:val="0002688E"/>
    <w:rsid w:val="00040F1C"/>
    <w:rsid w:val="00072BC0"/>
    <w:rsid w:val="000956C4"/>
    <w:rsid w:val="000F092E"/>
    <w:rsid w:val="001316DE"/>
    <w:rsid w:val="00145614"/>
    <w:rsid w:val="00161377"/>
    <w:rsid w:val="00191BB9"/>
    <w:rsid w:val="001B43A3"/>
    <w:rsid w:val="0021665E"/>
    <w:rsid w:val="00235427"/>
    <w:rsid w:val="0024256D"/>
    <w:rsid w:val="00242C26"/>
    <w:rsid w:val="002919F4"/>
    <w:rsid w:val="002A613E"/>
    <w:rsid w:val="002D2272"/>
    <w:rsid w:val="002F4C49"/>
    <w:rsid w:val="0030453B"/>
    <w:rsid w:val="00314E55"/>
    <w:rsid w:val="00361877"/>
    <w:rsid w:val="003736AC"/>
    <w:rsid w:val="003849DF"/>
    <w:rsid w:val="003E402E"/>
    <w:rsid w:val="003F1417"/>
    <w:rsid w:val="003F7CA3"/>
    <w:rsid w:val="004110DC"/>
    <w:rsid w:val="0042138E"/>
    <w:rsid w:val="00464566"/>
    <w:rsid w:val="0048171D"/>
    <w:rsid w:val="0049646C"/>
    <w:rsid w:val="00521423"/>
    <w:rsid w:val="005876B2"/>
    <w:rsid w:val="005D5658"/>
    <w:rsid w:val="005D587E"/>
    <w:rsid w:val="005F0025"/>
    <w:rsid w:val="005F4F04"/>
    <w:rsid w:val="0060017F"/>
    <w:rsid w:val="00613E37"/>
    <w:rsid w:val="00616DC9"/>
    <w:rsid w:val="00635467"/>
    <w:rsid w:val="00686B05"/>
    <w:rsid w:val="006D5B19"/>
    <w:rsid w:val="00735C45"/>
    <w:rsid w:val="0078613C"/>
    <w:rsid w:val="007B699C"/>
    <w:rsid w:val="007D731F"/>
    <w:rsid w:val="007F11D6"/>
    <w:rsid w:val="008029B7"/>
    <w:rsid w:val="00805858"/>
    <w:rsid w:val="00815DF2"/>
    <w:rsid w:val="008316B2"/>
    <w:rsid w:val="00837E69"/>
    <w:rsid w:val="00841345"/>
    <w:rsid w:val="00857F56"/>
    <w:rsid w:val="00895DB6"/>
    <w:rsid w:val="008B63C7"/>
    <w:rsid w:val="00902119"/>
    <w:rsid w:val="00924A97"/>
    <w:rsid w:val="00936E34"/>
    <w:rsid w:val="009B5E8A"/>
    <w:rsid w:val="00A07A85"/>
    <w:rsid w:val="00A52C66"/>
    <w:rsid w:val="00A550A8"/>
    <w:rsid w:val="00A62B5E"/>
    <w:rsid w:val="00A74D5A"/>
    <w:rsid w:val="00A82313"/>
    <w:rsid w:val="00A87404"/>
    <w:rsid w:val="00A91A2E"/>
    <w:rsid w:val="00A96693"/>
    <w:rsid w:val="00B21412"/>
    <w:rsid w:val="00B43ED0"/>
    <w:rsid w:val="00B56583"/>
    <w:rsid w:val="00B743F1"/>
    <w:rsid w:val="00BA06E0"/>
    <w:rsid w:val="00BA54A2"/>
    <w:rsid w:val="00BC385D"/>
    <w:rsid w:val="00BD7EFB"/>
    <w:rsid w:val="00BE6D07"/>
    <w:rsid w:val="00C22C45"/>
    <w:rsid w:val="00C31C59"/>
    <w:rsid w:val="00C37564"/>
    <w:rsid w:val="00C8013C"/>
    <w:rsid w:val="00CD2D45"/>
    <w:rsid w:val="00CD5E07"/>
    <w:rsid w:val="00CE2322"/>
    <w:rsid w:val="00D45936"/>
    <w:rsid w:val="00D6799C"/>
    <w:rsid w:val="00DD727A"/>
    <w:rsid w:val="00DE058C"/>
    <w:rsid w:val="00DE2C7B"/>
    <w:rsid w:val="00E14642"/>
    <w:rsid w:val="00E479AF"/>
    <w:rsid w:val="00E67E9F"/>
    <w:rsid w:val="00F12651"/>
    <w:rsid w:val="00F22430"/>
    <w:rsid w:val="00F45DE5"/>
    <w:rsid w:val="00F471A4"/>
    <w:rsid w:val="00F56F41"/>
    <w:rsid w:val="00F65756"/>
    <w:rsid w:val="00F8050E"/>
    <w:rsid w:val="00FB0F12"/>
    <w:rsid w:val="00FC5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F73C0"/>
  <w15:chartTrackingRefBased/>
  <w15:docId w15:val="{5C4DBA5D-4D2C-4C4F-A0DF-2F5B1BE30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E8A"/>
  </w:style>
  <w:style w:type="paragraph" w:styleId="Heading1">
    <w:name w:val="heading 1"/>
    <w:basedOn w:val="Normal"/>
    <w:link w:val="Heading1Char"/>
    <w:uiPriority w:val="9"/>
    <w:qFormat/>
    <w:rsid w:val="00B214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0453B"/>
    <w:pPr>
      <w:spacing w:before="100" w:beforeAutospacing="1" w:after="100" w:afterAutospacing="1" w:line="240" w:lineRule="auto"/>
      <w:jc w:val="center"/>
      <w:outlineLvl w:val="1"/>
    </w:pPr>
    <w:rPr>
      <w:rFonts w:ascii="Arial" w:eastAsia="Times New Roman" w:hAnsi="Arial" w:cs="Times New Roman"/>
      <w:b/>
      <w:bCs/>
      <w:color w:val="4472C4" w:themeColor="accent1"/>
      <w:sz w:val="36"/>
      <w:szCs w:val="36"/>
    </w:rPr>
  </w:style>
  <w:style w:type="paragraph" w:styleId="Heading3">
    <w:name w:val="heading 3"/>
    <w:basedOn w:val="Normal"/>
    <w:link w:val="Heading3Char"/>
    <w:uiPriority w:val="9"/>
    <w:qFormat/>
    <w:rsid w:val="0030453B"/>
    <w:pPr>
      <w:spacing w:before="100" w:beforeAutospacing="1" w:after="100" w:afterAutospacing="1" w:line="240" w:lineRule="auto"/>
      <w:jc w:val="both"/>
      <w:outlineLvl w:val="2"/>
    </w:pPr>
    <w:rPr>
      <w:rFonts w:ascii="Times New Roman" w:eastAsia="Times New Roman" w:hAnsi="Times New Roman" w:cs="Times New Roman"/>
      <w:b/>
      <w:bCs/>
      <w:color w:val="1F3864" w:themeColor="accent1" w:themeShade="80"/>
      <w:sz w:val="27"/>
      <w:szCs w:val="27"/>
    </w:rPr>
  </w:style>
  <w:style w:type="paragraph" w:styleId="Heading4">
    <w:name w:val="heading 4"/>
    <w:basedOn w:val="Normal"/>
    <w:link w:val="Heading4Char"/>
    <w:uiPriority w:val="9"/>
    <w:qFormat/>
    <w:rsid w:val="00902119"/>
    <w:pPr>
      <w:spacing w:before="100" w:beforeAutospacing="1" w:after="100" w:afterAutospacing="1" w:line="240" w:lineRule="auto"/>
      <w:jc w:val="both"/>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41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0453B"/>
    <w:rPr>
      <w:rFonts w:ascii="Arial" w:eastAsia="Times New Roman" w:hAnsi="Arial" w:cs="Times New Roman"/>
      <w:b/>
      <w:bCs/>
      <w:color w:val="4472C4" w:themeColor="accent1"/>
      <w:sz w:val="36"/>
      <w:szCs w:val="36"/>
    </w:rPr>
  </w:style>
  <w:style w:type="character" w:customStyle="1" w:styleId="Heading3Char">
    <w:name w:val="Heading 3 Char"/>
    <w:basedOn w:val="DefaultParagraphFont"/>
    <w:link w:val="Heading3"/>
    <w:uiPriority w:val="9"/>
    <w:rsid w:val="0030453B"/>
    <w:rPr>
      <w:rFonts w:ascii="Times New Roman" w:eastAsia="Times New Roman" w:hAnsi="Times New Roman" w:cs="Times New Roman"/>
      <w:b/>
      <w:bCs/>
      <w:color w:val="1F3864" w:themeColor="accent1" w:themeShade="80"/>
      <w:sz w:val="27"/>
      <w:szCs w:val="27"/>
    </w:rPr>
  </w:style>
  <w:style w:type="character" w:customStyle="1" w:styleId="Heading4Char">
    <w:name w:val="Heading 4 Char"/>
    <w:basedOn w:val="DefaultParagraphFont"/>
    <w:link w:val="Heading4"/>
    <w:uiPriority w:val="9"/>
    <w:rsid w:val="00902119"/>
    <w:rPr>
      <w:rFonts w:ascii="Times New Roman" w:eastAsia="Times New Roman" w:hAnsi="Times New Roman" w:cs="Times New Roman"/>
      <w:b/>
      <w:bCs/>
      <w:sz w:val="24"/>
      <w:szCs w:val="24"/>
    </w:rPr>
  </w:style>
  <w:style w:type="paragraph" w:customStyle="1" w:styleId="msonormal0">
    <w:name w:val="msonormal"/>
    <w:basedOn w:val="Normal"/>
    <w:rsid w:val="00B2141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214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1412"/>
    <w:rPr>
      <w:b/>
      <w:bCs/>
    </w:rPr>
  </w:style>
  <w:style w:type="paragraph" w:customStyle="1" w:styleId="font-claude-response-body">
    <w:name w:val="font-claude-response-body"/>
    <w:basedOn w:val="Normal"/>
    <w:rsid w:val="00B2141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412"/>
    <w:rPr>
      <w:i/>
      <w:iCs/>
    </w:rPr>
  </w:style>
  <w:style w:type="paragraph" w:customStyle="1" w:styleId="whitespace-normal">
    <w:name w:val="whitespace-normal"/>
    <w:basedOn w:val="Normal"/>
    <w:rsid w:val="00B2141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16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DefaultParagraphFont"/>
    <w:rsid w:val="00BD7EFB"/>
  </w:style>
  <w:style w:type="character" w:customStyle="1" w:styleId="mord">
    <w:name w:val="mord"/>
    <w:basedOn w:val="DefaultParagraphFont"/>
    <w:rsid w:val="00BD7EFB"/>
  </w:style>
  <w:style w:type="character" w:customStyle="1" w:styleId="mrel">
    <w:name w:val="mrel"/>
    <w:basedOn w:val="DefaultParagraphFont"/>
    <w:rsid w:val="00BD7EFB"/>
  </w:style>
  <w:style w:type="character" w:customStyle="1" w:styleId="delimsizing">
    <w:name w:val="delimsizing"/>
    <w:basedOn w:val="DefaultParagraphFont"/>
    <w:rsid w:val="00BD7EFB"/>
  </w:style>
  <w:style w:type="character" w:customStyle="1" w:styleId="vlist-s">
    <w:name w:val="vlist-s"/>
    <w:basedOn w:val="DefaultParagraphFont"/>
    <w:rsid w:val="00BD7EFB"/>
  </w:style>
  <w:style w:type="character" w:customStyle="1" w:styleId="mbin">
    <w:name w:val="mbin"/>
    <w:basedOn w:val="DefaultParagraphFont"/>
    <w:rsid w:val="00BD7EFB"/>
  </w:style>
  <w:style w:type="character" w:customStyle="1" w:styleId="mpunct">
    <w:name w:val="mpunct"/>
    <w:basedOn w:val="DefaultParagraphFont"/>
    <w:rsid w:val="00A74D5A"/>
  </w:style>
  <w:style w:type="character" w:customStyle="1" w:styleId="mopen">
    <w:name w:val="mopen"/>
    <w:basedOn w:val="DefaultParagraphFont"/>
    <w:rsid w:val="0048171D"/>
  </w:style>
  <w:style w:type="character" w:customStyle="1" w:styleId="mclose">
    <w:name w:val="mclose"/>
    <w:basedOn w:val="DefaultParagraphFont"/>
    <w:rsid w:val="0048171D"/>
  </w:style>
  <w:style w:type="character" w:customStyle="1" w:styleId="mop">
    <w:name w:val="mop"/>
    <w:basedOn w:val="DefaultParagraphFont"/>
    <w:rsid w:val="00FB0F12"/>
  </w:style>
  <w:style w:type="character" w:customStyle="1" w:styleId="minner">
    <w:name w:val="minner"/>
    <w:basedOn w:val="DefaultParagraphFont"/>
    <w:rsid w:val="00FB0F12"/>
  </w:style>
  <w:style w:type="paragraph" w:styleId="ListParagraph">
    <w:name w:val="List Paragraph"/>
    <w:basedOn w:val="Normal"/>
    <w:uiPriority w:val="34"/>
    <w:qFormat/>
    <w:rsid w:val="00A62B5E"/>
    <w:pPr>
      <w:ind w:left="720"/>
      <w:contextualSpacing/>
    </w:pPr>
  </w:style>
  <w:style w:type="paragraph" w:styleId="Title">
    <w:name w:val="Title"/>
    <w:basedOn w:val="Normal"/>
    <w:next w:val="Normal"/>
    <w:link w:val="TitleChar"/>
    <w:uiPriority w:val="10"/>
    <w:qFormat/>
    <w:rsid w:val="004110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0D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D227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2D2272"/>
    <w:pPr>
      <w:spacing w:after="100"/>
    </w:pPr>
  </w:style>
  <w:style w:type="paragraph" w:styleId="TOC2">
    <w:name w:val="toc 2"/>
    <w:basedOn w:val="Normal"/>
    <w:next w:val="Normal"/>
    <w:autoRedefine/>
    <w:uiPriority w:val="39"/>
    <w:unhideWhenUsed/>
    <w:rsid w:val="002D2272"/>
    <w:pPr>
      <w:spacing w:after="100"/>
      <w:ind w:left="220"/>
    </w:pPr>
  </w:style>
  <w:style w:type="paragraph" w:styleId="TOC3">
    <w:name w:val="toc 3"/>
    <w:basedOn w:val="Normal"/>
    <w:next w:val="Normal"/>
    <w:autoRedefine/>
    <w:uiPriority w:val="39"/>
    <w:unhideWhenUsed/>
    <w:rsid w:val="002D2272"/>
    <w:pPr>
      <w:spacing w:after="100"/>
      <w:ind w:left="440"/>
    </w:pPr>
  </w:style>
  <w:style w:type="character" w:styleId="Hyperlink">
    <w:name w:val="Hyperlink"/>
    <w:basedOn w:val="DefaultParagraphFont"/>
    <w:uiPriority w:val="99"/>
    <w:unhideWhenUsed/>
    <w:rsid w:val="002D22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4193">
      <w:bodyDiv w:val="1"/>
      <w:marLeft w:val="0"/>
      <w:marRight w:val="0"/>
      <w:marTop w:val="0"/>
      <w:marBottom w:val="0"/>
      <w:divBdr>
        <w:top w:val="none" w:sz="0" w:space="0" w:color="auto"/>
        <w:left w:val="none" w:sz="0" w:space="0" w:color="auto"/>
        <w:bottom w:val="none" w:sz="0" w:space="0" w:color="auto"/>
        <w:right w:val="none" w:sz="0" w:space="0" w:color="auto"/>
      </w:divBdr>
      <w:divsChild>
        <w:div w:id="1083140397">
          <w:marLeft w:val="0"/>
          <w:marRight w:val="0"/>
          <w:marTop w:val="0"/>
          <w:marBottom w:val="0"/>
          <w:divBdr>
            <w:top w:val="none" w:sz="0" w:space="0" w:color="auto"/>
            <w:left w:val="none" w:sz="0" w:space="0" w:color="auto"/>
            <w:bottom w:val="none" w:sz="0" w:space="0" w:color="auto"/>
            <w:right w:val="none" w:sz="0" w:space="0" w:color="auto"/>
          </w:divBdr>
          <w:divsChild>
            <w:div w:id="14536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0945">
      <w:bodyDiv w:val="1"/>
      <w:marLeft w:val="0"/>
      <w:marRight w:val="0"/>
      <w:marTop w:val="0"/>
      <w:marBottom w:val="0"/>
      <w:divBdr>
        <w:top w:val="none" w:sz="0" w:space="0" w:color="auto"/>
        <w:left w:val="none" w:sz="0" w:space="0" w:color="auto"/>
        <w:bottom w:val="none" w:sz="0" w:space="0" w:color="auto"/>
        <w:right w:val="none" w:sz="0" w:space="0" w:color="auto"/>
      </w:divBdr>
    </w:div>
    <w:div w:id="378016061">
      <w:bodyDiv w:val="1"/>
      <w:marLeft w:val="0"/>
      <w:marRight w:val="0"/>
      <w:marTop w:val="0"/>
      <w:marBottom w:val="0"/>
      <w:divBdr>
        <w:top w:val="none" w:sz="0" w:space="0" w:color="auto"/>
        <w:left w:val="none" w:sz="0" w:space="0" w:color="auto"/>
        <w:bottom w:val="none" w:sz="0" w:space="0" w:color="auto"/>
        <w:right w:val="none" w:sz="0" w:space="0" w:color="auto"/>
      </w:divBdr>
      <w:divsChild>
        <w:div w:id="2027553500">
          <w:marLeft w:val="0"/>
          <w:marRight w:val="0"/>
          <w:marTop w:val="0"/>
          <w:marBottom w:val="0"/>
          <w:divBdr>
            <w:top w:val="none" w:sz="0" w:space="0" w:color="auto"/>
            <w:left w:val="none" w:sz="0" w:space="0" w:color="auto"/>
            <w:bottom w:val="none" w:sz="0" w:space="0" w:color="auto"/>
            <w:right w:val="none" w:sz="0" w:space="0" w:color="auto"/>
          </w:divBdr>
        </w:div>
        <w:div w:id="706295639">
          <w:marLeft w:val="0"/>
          <w:marRight w:val="0"/>
          <w:marTop w:val="0"/>
          <w:marBottom w:val="0"/>
          <w:divBdr>
            <w:top w:val="none" w:sz="0" w:space="0" w:color="auto"/>
            <w:left w:val="none" w:sz="0" w:space="0" w:color="auto"/>
            <w:bottom w:val="none" w:sz="0" w:space="0" w:color="auto"/>
            <w:right w:val="none" w:sz="0" w:space="0" w:color="auto"/>
          </w:divBdr>
        </w:div>
        <w:div w:id="1558854931">
          <w:marLeft w:val="0"/>
          <w:marRight w:val="0"/>
          <w:marTop w:val="0"/>
          <w:marBottom w:val="0"/>
          <w:divBdr>
            <w:top w:val="none" w:sz="0" w:space="0" w:color="auto"/>
            <w:left w:val="none" w:sz="0" w:space="0" w:color="auto"/>
            <w:bottom w:val="none" w:sz="0" w:space="0" w:color="auto"/>
            <w:right w:val="none" w:sz="0" w:space="0" w:color="auto"/>
          </w:divBdr>
        </w:div>
        <w:div w:id="178394028">
          <w:marLeft w:val="0"/>
          <w:marRight w:val="0"/>
          <w:marTop w:val="0"/>
          <w:marBottom w:val="0"/>
          <w:divBdr>
            <w:top w:val="none" w:sz="0" w:space="0" w:color="auto"/>
            <w:left w:val="none" w:sz="0" w:space="0" w:color="auto"/>
            <w:bottom w:val="none" w:sz="0" w:space="0" w:color="auto"/>
            <w:right w:val="none" w:sz="0" w:space="0" w:color="auto"/>
          </w:divBdr>
        </w:div>
        <w:div w:id="884176424">
          <w:marLeft w:val="0"/>
          <w:marRight w:val="0"/>
          <w:marTop w:val="0"/>
          <w:marBottom w:val="0"/>
          <w:divBdr>
            <w:top w:val="none" w:sz="0" w:space="0" w:color="auto"/>
            <w:left w:val="none" w:sz="0" w:space="0" w:color="auto"/>
            <w:bottom w:val="none" w:sz="0" w:space="0" w:color="auto"/>
            <w:right w:val="none" w:sz="0" w:space="0" w:color="auto"/>
          </w:divBdr>
        </w:div>
        <w:div w:id="1922257163">
          <w:marLeft w:val="0"/>
          <w:marRight w:val="0"/>
          <w:marTop w:val="0"/>
          <w:marBottom w:val="0"/>
          <w:divBdr>
            <w:top w:val="none" w:sz="0" w:space="0" w:color="auto"/>
            <w:left w:val="none" w:sz="0" w:space="0" w:color="auto"/>
            <w:bottom w:val="none" w:sz="0" w:space="0" w:color="auto"/>
            <w:right w:val="none" w:sz="0" w:space="0" w:color="auto"/>
          </w:divBdr>
        </w:div>
        <w:div w:id="1796604605">
          <w:marLeft w:val="0"/>
          <w:marRight w:val="0"/>
          <w:marTop w:val="0"/>
          <w:marBottom w:val="0"/>
          <w:divBdr>
            <w:top w:val="none" w:sz="0" w:space="0" w:color="auto"/>
            <w:left w:val="none" w:sz="0" w:space="0" w:color="auto"/>
            <w:bottom w:val="none" w:sz="0" w:space="0" w:color="auto"/>
            <w:right w:val="none" w:sz="0" w:space="0" w:color="auto"/>
          </w:divBdr>
        </w:div>
        <w:div w:id="2123259721">
          <w:marLeft w:val="0"/>
          <w:marRight w:val="0"/>
          <w:marTop w:val="0"/>
          <w:marBottom w:val="0"/>
          <w:divBdr>
            <w:top w:val="none" w:sz="0" w:space="0" w:color="auto"/>
            <w:left w:val="none" w:sz="0" w:space="0" w:color="auto"/>
            <w:bottom w:val="none" w:sz="0" w:space="0" w:color="auto"/>
            <w:right w:val="none" w:sz="0" w:space="0" w:color="auto"/>
          </w:divBdr>
        </w:div>
        <w:div w:id="1110708700">
          <w:marLeft w:val="0"/>
          <w:marRight w:val="0"/>
          <w:marTop w:val="0"/>
          <w:marBottom w:val="0"/>
          <w:divBdr>
            <w:top w:val="none" w:sz="0" w:space="0" w:color="auto"/>
            <w:left w:val="none" w:sz="0" w:space="0" w:color="auto"/>
            <w:bottom w:val="none" w:sz="0" w:space="0" w:color="auto"/>
            <w:right w:val="none" w:sz="0" w:space="0" w:color="auto"/>
          </w:divBdr>
        </w:div>
        <w:div w:id="2039312025">
          <w:marLeft w:val="0"/>
          <w:marRight w:val="0"/>
          <w:marTop w:val="0"/>
          <w:marBottom w:val="0"/>
          <w:divBdr>
            <w:top w:val="none" w:sz="0" w:space="0" w:color="auto"/>
            <w:left w:val="none" w:sz="0" w:space="0" w:color="auto"/>
            <w:bottom w:val="none" w:sz="0" w:space="0" w:color="auto"/>
            <w:right w:val="none" w:sz="0" w:space="0" w:color="auto"/>
          </w:divBdr>
        </w:div>
        <w:div w:id="875970587">
          <w:marLeft w:val="0"/>
          <w:marRight w:val="0"/>
          <w:marTop w:val="0"/>
          <w:marBottom w:val="0"/>
          <w:divBdr>
            <w:top w:val="none" w:sz="0" w:space="0" w:color="auto"/>
            <w:left w:val="none" w:sz="0" w:space="0" w:color="auto"/>
            <w:bottom w:val="none" w:sz="0" w:space="0" w:color="auto"/>
            <w:right w:val="none" w:sz="0" w:space="0" w:color="auto"/>
          </w:divBdr>
        </w:div>
        <w:div w:id="1766726095">
          <w:marLeft w:val="0"/>
          <w:marRight w:val="0"/>
          <w:marTop w:val="0"/>
          <w:marBottom w:val="0"/>
          <w:divBdr>
            <w:top w:val="none" w:sz="0" w:space="0" w:color="auto"/>
            <w:left w:val="none" w:sz="0" w:space="0" w:color="auto"/>
            <w:bottom w:val="none" w:sz="0" w:space="0" w:color="auto"/>
            <w:right w:val="none" w:sz="0" w:space="0" w:color="auto"/>
          </w:divBdr>
        </w:div>
        <w:div w:id="1813476510">
          <w:marLeft w:val="0"/>
          <w:marRight w:val="0"/>
          <w:marTop w:val="0"/>
          <w:marBottom w:val="0"/>
          <w:divBdr>
            <w:top w:val="none" w:sz="0" w:space="0" w:color="auto"/>
            <w:left w:val="none" w:sz="0" w:space="0" w:color="auto"/>
            <w:bottom w:val="none" w:sz="0" w:space="0" w:color="auto"/>
            <w:right w:val="none" w:sz="0" w:space="0" w:color="auto"/>
          </w:divBdr>
        </w:div>
        <w:div w:id="2122650755">
          <w:marLeft w:val="0"/>
          <w:marRight w:val="0"/>
          <w:marTop w:val="0"/>
          <w:marBottom w:val="0"/>
          <w:divBdr>
            <w:top w:val="none" w:sz="0" w:space="0" w:color="auto"/>
            <w:left w:val="none" w:sz="0" w:space="0" w:color="auto"/>
            <w:bottom w:val="none" w:sz="0" w:space="0" w:color="auto"/>
            <w:right w:val="none" w:sz="0" w:space="0" w:color="auto"/>
          </w:divBdr>
        </w:div>
      </w:divsChild>
    </w:div>
    <w:div w:id="439375248">
      <w:bodyDiv w:val="1"/>
      <w:marLeft w:val="0"/>
      <w:marRight w:val="0"/>
      <w:marTop w:val="0"/>
      <w:marBottom w:val="0"/>
      <w:divBdr>
        <w:top w:val="none" w:sz="0" w:space="0" w:color="auto"/>
        <w:left w:val="none" w:sz="0" w:space="0" w:color="auto"/>
        <w:bottom w:val="none" w:sz="0" w:space="0" w:color="auto"/>
        <w:right w:val="none" w:sz="0" w:space="0" w:color="auto"/>
      </w:divBdr>
      <w:divsChild>
        <w:div w:id="426462934">
          <w:marLeft w:val="0"/>
          <w:marRight w:val="0"/>
          <w:marTop w:val="0"/>
          <w:marBottom w:val="0"/>
          <w:divBdr>
            <w:top w:val="none" w:sz="0" w:space="0" w:color="auto"/>
            <w:left w:val="none" w:sz="0" w:space="0" w:color="auto"/>
            <w:bottom w:val="none" w:sz="0" w:space="0" w:color="auto"/>
            <w:right w:val="none" w:sz="0" w:space="0" w:color="auto"/>
          </w:divBdr>
          <w:divsChild>
            <w:div w:id="517693758">
              <w:marLeft w:val="0"/>
              <w:marRight w:val="0"/>
              <w:marTop w:val="0"/>
              <w:marBottom w:val="0"/>
              <w:divBdr>
                <w:top w:val="none" w:sz="0" w:space="0" w:color="auto"/>
                <w:left w:val="none" w:sz="0" w:space="0" w:color="auto"/>
                <w:bottom w:val="none" w:sz="0" w:space="0" w:color="auto"/>
                <w:right w:val="none" w:sz="0" w:space="0" w:color="auto"/>
              </w:divBdr>
              <w:divsChild>
                <w:div w:id="1448770638">
                  <w:marLeft w:val="0"/>
                  <w:marRight w:val="0"/>
                  <w:marTop w:val="0"/>
                  <w:marBottom w:val="0"/>
                  <w:divBdr>
                    <w:top w:val="none" w:sz="0" w:space="0" w:color="auto"/>
                    <w:left w:val="none" w:sz="0" w:space="0" w:color="auto"/>
                    <w:bottom w:val="none" w:sz="0" w:space="0" w:color="auto"/>
                    <w:right w:val="none" w:sz="0" w:space="0" w:color="auto"/>
                  </w:divBdr>
                </w:div>
                <w:div w:id="86764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219454">
      <w:bodyDiv w:val="1"/>
      <w:marLeft w:val="0"/>
      <w:marRight w:val="0"/>
      <w:marTop w:val="0"/>
      <w:marBottom w:val="0"/>
      <w:divBdr>
        <w:top w:val="none" w:sz="0" w:space="0" w:color="auto"/>
        <w:left w:val="none" w:sz="0" w:space="0" w:color="auto"/>
        <w:bottom w:val="none" w:sz="0" w:space="0" w:color="auto"/>
        <w:right w:val="none" w:sz="0" w:space="0" w:color="auto"/>
      </w:divBdr>
      <w:divsChild>
        <w:div w:id="27030043">
          <w:marLeft w:val="0"/>
          <w:marRight w:val="0"/>
          <w:marTop w:val="0"/>
          <w:marBottom w:val="0"/>
          <w:divBdr>
            <w:top w:val="none" w:sz="0" w:space="0" w:color="auto"/>
            <w:left w:val="none" w:sz="0" w:space="0" w:color="auto"/>
            <w:bottom w:val="none" w:sz="0" w:space="0" w:color="auto"/>
            <w:right w:val="none" w:sz="0" w:space="0" w:color="auto"/>
          </w:divBdr>
          <w:divsChild>
            <w:div w:id="1863861703">
              <w:marLeft w:val="0"/>
              <w:marRight w:val="0"/>
              <w:marTop w:val="0"/>
              <w:marBottom w:val="0"/>
              <w:divBdr>
                <w:top w:val="none" w:sz="0" w:space="0" w:color="auto"/>
                <w:left w:val="none" w:sz="0" w:space="0" w:color="auto"/>
                <w:bottom w:val="none" w:sz="0" w:space="0" w:color="auto"/>
                <w:right w:val="none" w:sz="0" w:space="0" w:color="auto"/>
              </w:divBdr>
            </w:div>
          </w:divsChild>
        </w:div>
        <w:div w:id="355695870">
          <w:marLeft w:val="0"/>
          <w:marRight w:val="0"/>
          <w:marTop w:val="0"/>
          <w:marBottom w:val="0"/>
          <w:divBdr>
            <w:top w:val="none" w:sz="0" w:space="0" w:color="auto"/>
            <w:left w:val="none" w:sz="0" w:space="0" w:color="auto"/>
            <w:bottom w:val="none" w:sz="0" w:space="0" w:color="auto"/>
            <w:right w:val="none" w:sz="0" w:space="0" w:color="auto"/>
          </w:divBdr>
          <w:divsChild>
            <w:div w:id="15649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81836">
      <w:bodyDiv w:val="1"/>
      <w:marLeft w:val="0"/>
      <w:marRight w:val="0"/>
      <w:marTop w:val="0"/>
      <w:marBottom w:val="0"/>
      <w:divBdr>
        <w:top w:val="none" w:sz="0" w:space="0" w:color="auto"/>
        <w:left w:val="none" w:sz="0" w:space="0" w:color="auto"/>
        <w:bottom w:val="none" w:sz="0" w:space="0" w:color="auto"/>
        <w:right w:val="none" w:sz="0" w:space="0" w:color="auto"/>
      </w:divBdr>
    </w:div>
    <w:div w:id="546064798">
      <w:bodyDiv w:val="1"/>
      <w:marLeft w:val="0"/>
      <w:marRight w:val="0"/>
      <w:marTop w:val="0"/>
      <w:marBottom w:val="0"/>
      <w:divBdr>
        <w:top w:val="none" w:sz="0" w:space="0" w:color="auto"/>
        <w:left w:val="none" w:sz="0" w:space="0" w:color="auto"/>
        <w:bottom w:val="none" w:sz="0" w:space="0" w:color="auto"/>
        <w:right w:val="none" w:sz="0" w:space="0" w:color="auto"/>
      </w:divBdr>
    </w:div>
    <w:div w:id="727454486">
      <w:bodyDiv w:val="1"/>
      <w:marLeft w:val="0"/>
      <w:marRight w:val="0"/>
      <w:marTop w:val="0"/>
      <w:marBottom w:val="0"/>
      <w:divBdr>
        <w:top w:val="none" w:sz="0" w:space="0" w:color="auto"/>
        <w:left w:val="none" w:sz="0" w:space="0" w:color="auto"/>
        <w:bottom w:val="none" w:sz="0" w:space="0" w:color="auto"/>
        <w:right w:val="none" w:sz="0" w:space="0" w:color="auto"/>
      </w:divBdr>
      <w:divsChild>
        <w:div w:id="795415619">
          <w:marLeft w:val="0"/>
          <w:marRight w:val="0"/>
          <w:marTop w:val="0"/>
          <w:marBottom w:val="0"/>
          <w:divBdr>
            <w:top w:val="none" w:sz="0" w:space="0" w:color="auto"/>
            <w:left w:val="none" w:sz="0" w:space="0" w:color="auto"/>
            <w:bottom w:val="none" w:sz="0" w:space="0" w:color="auto"/>
            <w:right w:val="none" w:sz="0" w:space="0" w:color="auto"/>
          </w:divBdr>
          <w:divsChild>
            <w:div w:id="1016151265">
              <w:marLeft w:val="0"/>
              <w:marRight w:val="0"/>
              <w:marTop w:val="0"/>
              <w:marBottom w:val="0"/>
              <w:divBdr>
                <w:top w:val="none" w:sz="0" w:space="0" w:color="auto"/>
                <w:left w:val="none" w:sz="0" w:space="0" w:color="auto"/>
                <w:bottom w:val="none" w:sz="0" w:space="0" w:color="auto"/>
                <w:right w:val="none" w:sz="0" w:space="0" w:color="auto"/>
              </w:divBdr>
            </w:div>
          </w:divsChild>
        </w:div>
        <w:div w:id="844713146">
          <w:marLeft w:val="0"/>
          <w:marRight w:val="0"/>
          <w:marTop w:val="0"/>
          <w:marBottom w:val="0"/>
          <w:divBdr>
            <w:top w:val="none" w:sz="0" w:space="0" w:color="auto"/>
            <w:left w:val="none" w:sz="0" w:space="0" w:color="auto"/>
            <w:bottom w:val="none" w:sz="0" w:space="0" w:color="auto"/>
            <w:right w:val="none" w:sz="0" w:space="0" w:color="auto"/>
          </w:divBdr>
          <w:divsChild>
            <w:div w:id="49114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276761">
      <w:bodyDiv w:val="1"/>
      <w:marLeft w:val="0"/>
      <w:marRight w:val="0"/>
      <w:marTop w:val="0"/>
      <w:marBottom w:val="0"/>
      <w:divBdr>
        <w:top w:val="none" w:sz="0" w:space="0" w:color="auto"/>
        <w:left w:val="none" w:sz="0" w:space="0" w:color="auto"/>
        <w:bottom w:val="none" w:sz="0" w:space="0" w:color="auto"/>
        <w:right w:val="none" w:sz="0" w:space="0" w:color="auto"/>
      </w:divBdr>
    </w:div>
    <w:div w:id="831915475">
      <w:bodyDiv w:val="1"/>
      <w:marLeft w:val="0"/>
      <w:marRight w:val="0"/>
      <w:marTop w:val="0"/>
      <w:marBottom w:val="0"/>
      <w:divBdr>
        <w:top w:val="none" w:sz="0" w:space="0" w:color="auto"/>
        <w:left w:val="none" w:sz="0" w:space="0" w:color="auto"/>
        <w:bottom w:val="none" w:sz="0" w:space="0" w:color="auto"/>
        <w:right w:val="none" w:sz="0" w:space="0" w:color="auto"/>
      </w:divBdr>
      <w:divsChild>
        <w:div w:id="50462841">
          <w:marLeft w:val="0"/>
          <w:marRight w:val="0"/>
          <w:marTop w:val="0"/>
          <w:marBottom w:val="0"/>
          <w:divBdr>
            <w:top w:val="none" w:sz="0" w:space="0" w:color="auto"/>
            <w:left w:val="none" w:sz="0" w:space="0" w:color="auto"/>
            <w:bottom w:val="none" w:sz="0" w:space="0" w:color="auto"/>
            <w:right w:val="none" w:sz="0" w:space="0" w:color="auto"/>
          </w:divBdr>
          <w:divsChild>
            <w:div w:id="499538183">
              <w:marLeft w:val="0"/>
              <w:marRight w:val="0"/>
              <w:marTop w:val="0"/>
              <w:marBottom w:val="0"/>
              <w:divBdr>
                <w:top w:val="none" w:sz="0" w:space="0" w:color="auto"/>
                <w:left w:val="none" w:sz="0" w:space="0" w:color="auto"/>
                <w:bottom w:val="none" w:sz="0" w:space="0" w:color="auto"/>
                <w:right w:val="none" w:sz="0" w:space="0" w:color="auto"/>
              </w:divBdr>
              <w:divsChild>
                <w:div w:id="1060905804">
                  <w:marLeft w:val="0"/>
                  <w:marRight w:val="0"/>
                  <w:marTop w:val="0"/>
                  <w:marBottom w:val="0"/>
                  <w:divBdr>
                    <w:top w:val="none" w:sz="0" w:space="0" w:color="auto"/>
                    <w:left w:val="none" w:sz="0" w:space="0" w:color="auto"/>
                    <w:bottom w:val="none" w:sz="0" w:space="0" w:color="auto"/>
                    <w:right w:val="none" w:sz="0" w:space="0" w:color="auto"/>
                  </w:divBdr>
                  <w:divsChild>
                    <w:div w:id="1179394432">
                      <w:marLeft w:val="0"/>
                      <w:marRight w:val="0"/>
                      <w:marTop w:val="0"/>
                      <w:marBottom w:val="0"/>
                      <w:divBdr>
                        <w:top w:val="none" w:sz="0" w:space="0" w:color="auto"/>
                        <w:left w:val="none" w:sz="0" w:space="0" w:color="auto"/>
                        <w:bottom w:val="none" w:sz="0" w:space="0" w:color="auto"/>
                        <w:right w:val="none" w:sz="0" w:space="0" w:color="auto"/>
                      </w:divBdr>
                      <w:divsChild>
                        <w:div w:id="920213619">
                          <w:marLeft w:val="0"/>
                          <w:marRight w:val="0"/>
                          <w:marTop w:val="0"/>
                          <w:marBottom w:val="0"/>
                          <w:divBdr>
                            <w:top w:val="none" w:sz="0" w:space="0" w:color="auto"/>
                            <w:left w:val="none" w:sz="0" w:space="0" w:color="auto"/>
                            <w:bottom w:val="none" w:sz="0" w:space="0" w:color="auto"/>
                            <w:right w:val="none" w:sz="0" w:space="0" w:color="auto"/>
                          </w:divBdr>
                          <w:divsChild>
                            <w:div w:id="645013150">
                              <w:marLeft w:val="0"/>
                              <w:marRight w:val="0"/>
                              <w:marTop w:val="0"/>
                              <w:marBottom w:val="0"/>
                              <w:divBdr>
                                <w:top w:val="none" w:sz="0" w:space="0" w:color="auto"/>
                                <w:left w:val="none" w:sz="0" w:space="0" w:color="auto"/>
                                <w:bottom w:val="none" w:sz="0" w:space="0" w:color="auto"/>
                                <w:right w:val="none" w:sz="0" w:space="0" w:color="auto"/>
                              </w:divBdr>
                              <w:divsChild>
                                <w:div w:id="101884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472566">
      <w:bodyDiv w:val="1"/>
      <w:marLeft w:val="0"/>
      <w:marRight w:val="0"/>
      <w:marTop w:val="0"/>
      <w:marBottom w:val="0"/>
      <w:divBdr>
        <w:top w:val="none" w:sz="0" w:space="0" w:color="auto"/>
        <w:left w:val="none" w:sz="0" w:space="0" w:color="auto"/>
        <w:bottom w:val="none" w:sz="0" w:space="0" w:color="auto"/>
        <w:right w:val="none" w:sz="0" w:space="0" w:color="auto"/>
      </w:divBdr>
    </w:div>
    <w:div w:id="914978264">
      <w:bodyDiv w:val="1"/>
      <w:marLeft w:val="0"/>
      <w:marRight w:val="0"/>
      <w:marTop w:val="0"/>
      <w:marBottom w:val="0"/>
      <w:divBdr>
        <w:top w:val="none" w:sz="0" w:space="0" w:color="auto"/>
        <w:left w:val="none" w:sz="0" w:space="0" w:color="auto"/>
        <w:bottom w:val="none" w:sz="0" w:space="0" w:color="auto"/>
        <w:right w:val="none" w:sz="0" w:space="0" w:color="auto"/>
      </w:divBdr>
    </w:div>
    <w:div w:id="978152762">
      <w:bodyDiv w:val="1"/>
      <w:marLeft w:val="0"/>
      <w:marRight w:val="0"/>
      <w:marTop w:val="0"/>
      <w:marBottom w:val="0"/>
      <w:divBdr>
        <w:top w:val="none" w:sz="0" w:space="0" w:color="auto"/>
        <w:left w:val="none" w:sz="0" w:space="0" w:color="auto"/>
        <w:bottom w:val="none" w:sz="0" w:space="0" w:color="auto"/>
        <w:right w:val="none" w:sz="0" w:space="0" w:color="auto"/>
      </w:divBdr>
    </w:div>
    <w:div w:id="1039863332">
      <w:bodyDiv w:val="1"/>
      <w:marLeft w:val="0"/>
      <w:marRight w:val="0"/>
      <w:marTop w:val="0"/>
      <w:marBottom w:val="0"/>
      <w:divBdr>
        <w:top w:val="none" w:sz="0" w:space="0" w:color="auto"/>
        <w:left w:val="none" w:sz="0" w:space="0" w:color="auto"/>
        <w:bottom w:val="none" w:sz="0" w:space="0" w:color="auto"/>
        <w:right w:val="none" w:sz="0" w:space="0" w:color="auto"/>
      </w:divBdr>
    </w:div>
    <w:div w:id="1043018118">
      <w:bodyDiv w:val="1"/>
      <w:marLeft w:val="0"/>
      <w:marRight w:val="0"/>
      <w:marTop w:val="0"/>
      <w:marBottom w:val="0"/>
      <w:divBdr>
        <w:top w:val="none" w:sz="0" w:space="0" w:color="auto"/>
        <w:left w:val="none" w:sz="0" w:space="0" w:color="auto"/>
        <w:bottom w:val="none" w:sz="0" w:space="0" w:color="auto"/>
        <w:right w:val="none" w:sz="0" w:space="0" w:color="auto"/>
      </w:divBdr>
      <w:divsChild>
        <w:div w:id="1900630548">
          <w:marLeft w:val="0"/>
          <w:marRight w:val="0"/>
          <w:marTop w:val="0"/>
          <w:marBottom w:val="0"/>
          <w:divBdr>
            <w:top w:val="none" w:sz="0" w:space="0" w:color="auto"/>
            <w:left w:val="none" w:sz="0" w:space="0" w:color="auto"/>
            <w:bottom w:val="none" w:sz="0" w:space="0" w:color="auto"/>
            <w:right w:val="none" w:sz="0" w:space="0" w:color="auto"/>
          </w:divBdr>
        </w:div>
        <w:div w:id="337390656">
          <w:marLeft w:val="0"/>
          <w:marRight w:val="0"/>
          <w:marTop w:val="0"/>
          <w:marBottom w:val="0"/>
          <w:divBdr>
            <w:top w:val="none" w:sz="0" w:space="0" w:color="auto"/>
            <w:left w:val="none" w:sz="0" w:space="0" w:color="auto"/>
            <w:bottom w:val="none" w:sz="0" w:space="0" w:color="auto"/>
            <w:right w:val="none" w:sz="0" w:space="0" w:color="auto"/>
          </w:divBdr>
        </w:div>
        <w:div w:id="1781560935">
          <w:marLeft w:val="0"/>
          <w:marRight w:val="0"/>
          <w:marTop w:val="0"/>
          <w:marBottom w:val="0"/>
          <w:divBdr>
            <w:top w:val="none" w:sz="0" w:space="0" w:color="auto"/>
            <w:left w:val="none" w:sz="0" w:space="0" w:color="auto"/>
            <w:bottom w:val="none" w:sz="0" w:space="0" w:color="auto"/>
            <w:right w:val="none" w:sz="0" w:space="0" w:color="auto"/>
          </w:divBdr>
        </w:div>
        <w:div w:id="1091270342">
          <w:marLeft w:val="0"/>
          <w:marRight w:val="0"/>
          <w:marTop w:val="0"/>
          <w:marBottom w:val="0"/>
          <w:divBdr>
            <w:top w:val="none" w:sz="0" w:space="0" w:color="auto"/>
            <w:left w:val="none" w:sz="0" w:space="0" w:color="auto"/>
            <w:bottom w:val="none" w:sz="0" w:space="0" w:color="auto"/>
            <w:right w:val="none" w:sz="0" w:space="0" w:color="auto"/>
          </w:divBdr>
        </w:div>
      </w:divsChild>
    </w:div>
    <w:div w:id="1114402722">
      <w:bodyDiv w:val="1"/>
      <w:marLeft w:val="0"/>
      <w:marRight w:val="0"/>
      <w:marTop w:val="0"/>
      <w:marBottom w:val="0"/>
      <w:divBdr>
        <w:top w:val="none" w:sz="0" w:space="0" w:color="auto"/>
        <w:left w:val="none" w:sz="0" w:space="0" w:color="auto"/>
        <w:bottom w:val="none" w:sz="0" w:space="0" w:color="auto"/>
        <w:right w:val="none" w:sz="0" w:space="0" w:color="auto"/>
      </w:divBdr>
      <w:divsChild>
        <w:div w:id="576093569">
          <w:marLeft w:val="0"/>
          <w:marRight w:val="0"/>
          <w:marTop w:val="0"/>
          <w:marBottom w:val="0"/>
          <w:divBdr>
            <w:top w:val="none" w:sz="0" w:space="0" w:color="auto"/>
            <w:left w:val="none" w:sz="0" w:space="0" w:color="auto"/>
            <w:bottom w:val="none" w:sz="0" w:space="0" w:color="auto"/>
            <w:right w:val="none" w:sz="0" w:space="0" w:color="auto"/>
          </w:divBdr>
          <w:divsChild>
            <w:div w:id="147491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2597">
      <w:bodyDiv w:val="1"/>
      <w:marLeft w:val="0"/>
      <w:marRight w:val="0"/>
      <w:marTop w:val="0"/>
      <w:marBottom w:val="0"/>
      <w:divBdr>
        <w:top w:val="none" w:sz="0" w:space="0" w:color="auto"/>
        <w:left w:val="none" w:sz="0" w:space="0" w:color="auto"/>
        <w:bottom w:val="none" w:sz="0" w:space="0" w:color="auto"/>
        <w:right w:val="none" w:sz="0" w:space="0" w:color="auto"/>
      </w:divBdr>
      <w:divsChild>
        <w:div w:id="431973318">
          <w:marLeft w:val="0"/>
          <w:marRight w:val="0"/>
          <w:marTop w:val="0"/>
          <w:marBottom w:val="0"/>
          <w:divBdr>
            <w:top w:val="none" w:sz="0" w:space="0" w:color="auto"/>
            <w:left w:val="none" w:sz="0" w:space="0" w:color="auto"/>
            <w:bottom w:val="none" w:sz="0" w:space="0" w:color="auto"/>
            <w:right w:val="none" w:sz="0" w:space="0" w:color="auto"/>
          </w:divBdr>
        </w:div>
        <w:div w:id="1187913155">
          <w:marLeft w:val="0"/>
          <w:marRight w:val="0"/>
          <w:marTop w:val="0"/>
          <w:marBottom w:val="0"/>
          <w:divBdr>
            <w:top w:val="none" w:sz="0" w:space="0" w:color="auto"/>
            <w:left w:val="none" w:sz="0" w:space="0" w:color="auto"/>
            <w:bottom w:val="none" w:sz="0" w:space="0" w:color="auto"/>
            <w:right w:val="none" w:sz="0" w:space="0" w:color="auto"/>
          </w:divBdr>
        </w:div>
        <w:div w:id="449981581">
          <w:marLeft w:val="0"/>
          <w:marRight w:val="0"/>
          <w:marTop w:val="0"/>
          <w:marBottom w:val="0"/>
          <w:divBdr>
            <w:top w:val="none" w:sz="0" w:space="0" w:color="auto"/>
            <w:left w:val="none" w:sz="0" w:space="0" w:color="auto"/>
            <w:bottom w:val="none" w:sz="0" w:space="0" w:color="auto"/>
            <w:right w:val="none" w:sz="0" w:space="0" w:color="auto"/>
          </w:divBdr>
        </w:div>
        <w:div w:id="1894926920">
          <w:marLeft w:val="0"/>
          <w:marRight w:val="0"/>
          <w:marTop w:val="0"/>
          <w:marBottom w:val="0"/>
          <w:divBdr>
            <w:top w:val="none" w:sz="0" w:space="0" w:color="auto"/>
            <w:left w:val="none" w:sz="0" w:space="0" w:color="auto"/>
            <w:bottom w:val="none" w:sz="0" w:space="0" w:color="auto"/>
            <w:right w:val="none" w:sz="0" w:space="0" w:color="auto"/>
          </w:divBdr>
        </w:div>
      </w:divsChild>
    </w:div>
    <w:div w:id="1412850398">
      <w:bodyDiv w:val="1"/>
      <w:marLeft w:val="0"/>
      <w:marRight w:val="0"/>
      <w:marTop w:val="0"/>
      <w:marBottom w:val="0"/>
      <w:divBdr>
        <w:top w:val="none" w:sz="0" w:space="0" w:color="auto"/>
        <w:left w:val="none" w:sz="0" w:space="0" w:color="auto"/>
        <w:bottom w:val="none" w:sz="0" w:space="0" w:color="auto"/>
        <w:right w:val="none" w:sz="0" w:space="0" w:color="auto"/>
      </w:divBdr>
      <w:divsChild>
        <w:div w:id="406077814">
          <w:marLeft w:val="0"/>
          <w:marRight w:val="0"/>
          <w:marTop w:val="0"/>
          <w:marBottom w:val="0"/>
          <w:divBdr>
            <w:top w:val="none" w:sz="0" w:space="0" w:color="auto"/>
            <w:left w:val="none" w:sz="0" w:space="0" w:color="auto"/>
            <w:bottom w:val="none" w:sz="0" w:space="0" w:color="auto"/>
            <w:right w:val="none" w:sz="0" w:space="0" w:color="auto"/>
          </w:divBdr>
          <w:divsChild>
            <w:div w:id="924920926">
              <w:marLeft w:val="0"/>
              <w:marRight w:val="0"/>
              <w:marTop w:val="0"/>
              <w:marBottom w:val="0"/>
              <w:divBdr>
                <w:top w:val="none" w:sz="0" w:space="0" w:color="auto"/>
                <w:left w:val="none" w:sz="0" w:space="0" w:color="auto"/>
                <w:bottom w:val="none" w:sz="0" w:space="0" w:color="auto"/>
                <w:right w:val="none" w:sz="0" w:space="0" w:color="auto"/>
              </w:divBdr>
            </w:div>
          </w:divsChild>
        </w:div>
        <w:div w:id="1520006538">
          <w:marLeft w:val="0"/>
          <w:marRight w:val="0"/>
          <w:marTop w:val="0"/>
          <w:marBottom w:val="0"/>
          <w:divBdr>
            <w:top w:val="none" w:sz="0" w:space="0" w:color="auto"/>
            <w:left w:val="none" w:sz="0" w:space="0" w:color="auto"/>
            <w:bottom w:val="none" w:sz="0" w:space="0" w:color="auto"/>
            <w:right w:val="none" w:sz="0" w:space="0" w:color="auto"/>
          </w:divBdr>
          <w:divsChild>
            <w:div w:id="187252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561853">
      <w:bodyDiv w:val="1"/>
      <w:marLeft w:val="0"/>
      <w:marRight w:val="0"/>
      <w:marTop w:val="0"/>
      <w:marBottom w:val="0"/>
      <w:divBdr>
        <w:top w:val="none" w:sz="0" w:space="0" w:color="auto"/>
        <w:left w:val="none" w:sz="0" w:space="0" w:color="auto"/>
        <w:bottom w:val="none" w:sz="0" w:space="0" w:color="auto"/>
        <w:right w:val="none" w:sz="0" w:space="0" w:color="auto"/>
      </w:divBdr>
      <w:divsChild>
        <w:div w:id="1390298749">
          <w:marLeft w:val="0"/>
          <w:marRight w:val="0"/>
          <w:marTop w:val="0"/>
          <w:marBottom w:val="0"/>
          <w:divBdr>
            <w:top w:val="none" w:sz="0" w:space="0" w:color="auto"/>
            <w:left w:val="none" w:sz="0" w:space="0" w:color="auto"/>
            <w:bottom w:val="none" w:sz="0" w:space="0" w:color="auto"/>
            <w:right w:val="none" w:sz="0" w:space="0" w:color="auto"/>
          </w:divBdr>
          <w:divsChild>
            <w:div w:id="128916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161560">
      <w:bodyDiv w:val="1"/>
      <w:marLeft w:val="0"/>
      <w:marRight w:val="0"/>
      <w:marTop w:val="0"/>
      <w:marBottom w:val="0"/>
      <w:divBdr>
        <w:top w:val="none" w:sz="0" w:space="0" w:color="auto"/>
        <w:left w:val="none" w:sz="0" w:space="0" w:color="auto"/>
        <w:bottom w:val="none" w:sz="0" w:space="0" w:color="auto"/>
        <w:right w:val="none" w:sz="0" w:space="0" w:color="auto"/>
      </w:divBdr>
      <w:divsChild>
        <w:div w:id="656540761">
          <w:marLeft w:val="0"/>
          <w:marRight w:val="0"/>
          <w:marTop w:val="0"/>
          <w:marBottom w:val="0"/>
          <w:divBdr>
            <w:top w:val="none" w:sz="0" w:space="0" w:color="auto"/>
            <w:left w:val="none" w:sz="0" w:space="0" w:color="auto"/>
            <w:bottom w:val="none" w:sz="0" w:space="0" w:color="auto"/>
            <w:right w:val="none" w:sz="0" w:space="0" w:color="auto"/>
          </w:divBdr>
          <w:divsChild>
            <w:div w:id="207272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27755">
      <w:bodyDiv w:val="1"/>
      <w:marLeft w:val="0"/>
      <w:marRight w:val="0"/>
      <w:marTop w:val="0"/>
      <w:marBottom w:val="0"/>
      <w:divBdr>
        <w:top w:val="none" w:sz="0" w:space="0" w:color="auto"/>
        <w:left w:val="none" w:sz="0" w:space="0" w:color="auto"/>
        <w:bottom w:val="none" w:sz="0" w:space="0" w:color="auto"/>
        <w:right w:val="none" w:sz="0" w:space="0" w:color="auto"/>
      </w:divBdr>
      <w:divsChild>
        <w:div w:id="1297293146">
          <w:marLeft w:val="0"/>
          <w:marRight w:val="0"/>
          <w:marTop w:val="0"/>
          <w:marBottom w:val="0"/>
          <w:divBdr>
            <w:top w:val="none" w:sz="0" w:space="0" w:color="auto"/>
            <w:left w:val="none" w:sz="0" w:space="0" w:color="auto"/>
            <w:bottom w:val="none" w:sz="0" w:space="0" w:color="auto"/>
            <w:right w:val="none" w:sz="0" w:space="0" w:color="auto"/>
          </w:divBdr>
          <w:divsChild>
            <w:div w:id="25762880">
              <w:marLeft w:val="0"/>
              <w:marRight w:val="0"/>
              <w:marTop w:val="0"/>
              <w:marBottom w:val="0"/>
              <w:divBdr>
                <w:top w:val="none" w:sz="0" w:space="0" w:color="auto"/>
                <w:left w:val="none" w:sz="0" w:space="0" w:color="auto"/>
                <w:bottom w:val="none" w:sz="0" w:space="0" w:color="auto"/>
                <w:right w:val="none" w:sz="0" w:space="0" w:color="auto"/>
              </w:divBdr>
              <w:divsChild>
                <w:div w:id="1065564364">
                  <w:marLeft w:val="0"/>
                  <w:marRight w:val="0"/>
                  <w:marTop w:val="0"/>
                  <w:marBottom w:val="0"/>
                  <w:divBdr>
                    <w:top w:val="none" w:sz="0" w:space="0" w:color="auto"/>
                    <w:left w:val="none" w:sz="0" w:space="0" w:color="auto"/>
                    <w:bottom w:val="none" w:sz="0" w:space="0" w:color="auto"/>
                    <w:right w:val="none" w:sz="0" w:space="0" w:color="auto"/>
                  </w:divBdr>
                  <w:divsChild>
                    <w:div w:id="1781950700">
                      <w:marLeft w:val="0"/>
                      <w:marRight w:val="0"/>
                      <w:marTop w:val="0"/>
                      <w:marBottom w:val="0"/>
                      <w:divBdr>
                        <w:top w:val="none" w:sz="0" w:space="0" w:color="auto"/>
                        <w:left w:val="none" w:sz="0" w:space="0" w:color="auto"/>
                        <w:bottom w:val="none" w:sz="0" w:space="0" w:color="auto"/>
                        <w:right w:val="none" w:sz="0" w:space="0" w:color="auto"/>
                      </w:divBdr>
                      <w:divsChild>
                        <w:div w:id="1871455991">
                          <w:marLeft w:val="0"/>
                          <w:marRight w:val="0"/>
                          <w:marTop w:val="0"/>
                          <w:marBottom w:val="0"/>
                          <w:divBdr>
                            <w:top w:val="none" w:sz="0" w:space="0" w:color="auto"/>
                            <w:left w:val="none" w:sz="0" w:space="0" w:color="auto"/>
                            <w:bottom w:val="none" w:sz="0" w:space="0" w:color="auto"/>
                            <w:right w:val="none" w:sz="0" w:space="0" w:color="auto"/>
                          </w:divBdr>
                          <w:divsChild>
                            <w:div w:id="875626615">
                              <w:marLeft w:val="0"/>
                              <w:marRight w:val="0"/>
                              <w:marTop w:val="0"/>
                              <w:marBottom w:val="0"/>
                              <w:divBdr>
                                <w:top w:val="none" w:sz="0" w:space="0" w:color="auto"/>
                                <w:left w:val="none" w:sz="0" w:space="0" w:color="auto"/>
                                <w:bottom w:val="none" w:sz="0" w:space="0" w:color="auto"/>
                                <w:right w:val="none" w:sz="0" w:space="0" w:color="auto"/>
                              </w:divBdr>
                              <w:divsChild>
                                <w:div w:id="143828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023437">
      <w:bodyDiv w:val="1"/>
      <w:marLeft w:val="0"/>
      <w:marRight w:val="0"/>
      <w:marTop w:val="0"/>
      <w:marBottom w:val="0"/>
      <w:divBdr>
        <w:top w:val="none" w:sz="0" w:space="0" w:color="auto"/>
        <w:left w:val="none" w:sz="0" w:space="0" w:color="auto"/>
        <w:bottom w:val="none" w:sz="0" w:space="0" w:color="auto"/>
        <w:right w:val="none" w:sz="0" w:space="0" w:color="auto"/>
      </w:divBdr>
      <w:divsChild>
        <w:div w:id="723022438">
          <w:marLeft w:val="0"/>
          <w:marRight w:val="0"/>
          <w:marTop w:val="0"/>
          <w:marBottom w:val="0"/>
          <w:divBdr>
            <w:top w:val="none" w:sz="0" w:space="0" w:color="auto"/>
            <w:left w:val="none" w:sz="0" w:space="0" w:color="auto"/>
            <w:bottom w:val="none" w:sz="0" w:space="0" w:color="auto"/>
            <w:right w:val="none" w:sz="0" w:space="0" w:color="auto"/>
          </w:divBdr>
          <w:divsChild>
            <w:div w:id="1145507635">
              <w:marLeft w:val="0"/>
              <w:marRight w:val="0"/>
              <w:marTop w:val="0"/>
              <w:marBottom w:val="0"/>
              <w:divBdr>
                <w:top w:val="none" w:sz="0" w:space="0" w:color="auto"/>
                <w:left w:val="none" w:sz="0" w:space="0" w:color="auto"/>
                <w:bottom w:val="none" w:sz="0" w:space="0" w:color="auto"/>
                <w:right w:val="none" w:sz="0" w:space="0" w:color="auto"/>
              </w:divBdr>
              <w:divsChild>
                <w:div w:id="182504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9718">
      <w:bodyDiv w:val="1"/>
      <w:marLeft w:val="0"/>
      <w:marRight w:val="0"/>
      <w:marTop w:val="0"/>
      <w:marBottom w:val="0"/>
      <w:divBdr>
        <w:top w:val="none" w:sz="0" w:space="0" w:color="auto"/>
        <w:left w:val="none" w:sz="0" w:space="0" w:color="auto"/>
        <w:bottom w:val="none" w:sz="0" w:space="0" w:color="auto"/>
        <w:right w:val="none" w:sz="0" w:space="0" w:color="auto"/>
      </w:divBdr>
      <w:divsChild>
        <w:div w:id="526871824">
          <w:marLeft w:val="0"/>
          <w:marRight w:val="0"/>
          <w:marTop w:val="0"/>
          <w:marBottom w:val="0"/>
          <w:divBdr>
            <w:top w:val="none" w:sz="0" w:space="0" w:color="auto"/>
            <w:left w:val="none" w:sz="0" w:space="0" w:color="auto"/>
            <w:bottom w:val="none" w:sz="0" w:space="0" w:color="auto"/>
            <w:right w:val="none" w:sz="0" w:space="0" w:color="auto"/>
          </w:divBdr>
          <w:divsChild>
            <w:div w:id="1638290916">
              <w:marLeft w:val="0"/>
              <w:marRight w:val="0"/>
              <w:marTop w:val="0"/>
              <w:marBottom w:val="0"/>
              <w:divBdr>
                <w:top w:val="none" w:sz="0" w:space="0" w:color="auto"/>
                <w:left w:val="none" w:sz="0" w:space="0" w:color="auto"/>
                <w:bottom w:val="none" w:sz="0" w:space="0" w:color="auto"/>
                <w:right w:val="none" w:sz="0" w:space="0" w:color="auto"/>
              </w:divBdr>
            </w:div>
          </w:divsChild>
        </w:div>
        <w:div w:id="321857924">
          <w:marLeft w:val="0"/>
          <w:marRight w:val="0"/>
          <w:marTop w:val="0"/>
          <w:marBottom w:val="0"/>
          <w:divBdr>
            <w:top w:val="none" w:sz="0" w:space="0" w:color="auto"/>
            <w:left w:val="none" w:sz="0" w:space="0" w:color="auto"/>
            <w:bottom w:val="none" w:sz="0" w:space="0" w:color="auto"/>
            <w:right w:val="none" w:sz="0" w:space="0" w:color="auto"/>
          </w:divBdr>
          <w:divsChild>
            <w:div w:id="1709182734">
              <w:marLeft w:val="0"/>
              <w:marRight w:val="0"/>
              <w:marTop w:val="0"/>
              <w:marBottom w:val="0"/>
              <w:divBdr>
                <w:top w:val="none" w:sz="0" w:space="0" w:color="auto"/>
                <w:left w:val="none" w:sz="0" w:space="0" w:color="auto"/>
                <w:bottom w:val="none" w:sz="0" w:space="0" w:color="auto"/>
                <w:right w:val="none" w:sz="0" w:space="0" w:color="auto"/>
              </w:divBdr>
            </w:div>
          </w:divsChild>
        </w:div>
        <w:div w:id="1862161211">
          <w:marLeft w:val="0"/>
          <w:marRight w:val="0"/>
          <w:marTop w:val="0"/>
          <w:marBottom w:val="0"/>
          <w:divBdr>
            <w:top w:val="none" w:sz="0" w:space="0" w:color="auto"/>
            <w:left w:val="none" w:sz="0" w:space="0" w:color="auto"/>
            <w:bottom w:val="none" w:sz="0" w:space="0" w:color="auto"/>
            <w:right w:val="none" w:sz="0" w:space="0" w:color="auto"/>
          </w:divBdr>
          <w:divsChild>
            <w:div w:id="834149407">
              <w:marLeft w:val="0"/>
              <w:marRight w:val="0"/>
              <w:marTop w:val="0"/>
              <w:marBottom w:val="0"/>
              <w:divBdr>
                <w:top w:val="none" w:sz="0" w:space="0" w:color="auto"/>
                <w:left w:val="none" w:sz="0" w:space="0" w:color="auto"/>
                <w:bottom w:val="none" w:sz="0" w:space="0" w:color="auto"/>
                <w:right w:val="none" w:sz="0" w:space="0" w:color="auto"/>
              </w:divBdr>
            </w:div>
          </w:divsChild>
        </w:div>
        <w:div w:id="79986252">
          <w:marLeft w:val="0"/>
          <w:marRight w:val="0"/>
          <w:marTop w:val="0"/>
          <w:marBottom w:val="0"/>
          <w:divBdr>
            <w:top w:val="none" w:sz="0" w:space="0" w:color="auto"/>
            <w:left w:val="none" w:sz="0" w:space="0" w:color="auto"/>
            <w:bottom w:val="none" w:sz="0" w:space="0" w:color="auto"/>
            <w:right w:val="none" w:sz="0" w:space="0" w:color="auto"/>
          </w:divBdr>
          <w:divsChild>
            <w:div w:id="177740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857835">
      <w:bodyDiv w:val="1"/>
      <w:marLeft w:val="0"/>
      <w:marRight w:val="0"/>
      <w:marTop w:val="0"/>
      <w:marBottom w:val="0"/>
      <w:divBdr>
        <w:top w:val="none" w:sz="0" w:space="0" w:color="auto"/>
        <w:left w:val="none" w:sz="0" w:space="0" w:color="auto"/>
        <w:bottom w:val="none" w:sz="0" w:space="0" w:color="auto"/>
        <w:right w:val="none" w:sz="0" w:space="0" w:color="auto"/>
      </w:divBdr>
    </w:div>
    <w:div w:id="1583877182">
      <w:bodyDiv w:val="1"/>
      <w:marLeft w:val="0"/>
      <w:marRight w:val="0"/>
      <w:marTop w:val="0"/>
      <w:marBottom w:val="0"/>
      <w:divBdr>
        <w:top w:val="none" w:sz="0" w:space="0" w:color="auto"/>
        <w:left w:val="none" w:sz="0" w:space="0" w:color="auto"/>
        <w:bottom w:val="none" w:sz="0" w:space="0" w:color="auto"/>
        <w:right w:val="none" w:sz="0" w:space="0" w:color="auto"/>
      </w:divBdr>
      <w:divsChild>
        <w:div w:id="1471360990">
          <w:marLeft w:val="0"/>
          <w:marRight w:val="0"/>
          <w:marTop w:val="0"/>
          <w:marBottom w:val="0"/>
          <w:divBdr>
            <w:top w:val="none" w:sz="0" w:space="0" w:color="auto"/>
            <w:left w:val="none" w:sz="0" w:space="0" w:color="auto"/>
            <w:bottom w:val="none" w:sz="0" w:space="0" w:color="auto"/>
            <w:right w:val="none" w:sz="0" w:space="0" w:color="auto"/>
          </w:divBdr>
          <w:divsChild>
            <w:div w:id="200897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82539">
      <w:bodyDiv w:val="1"/>
      <w:marLeft w:val="0"/>
      <w:marRight w:val="0"/>
      <w:marTop w:val="0"/>
      <w:marBottom w:val="0"/>
      <w:divBdr>
        <w:top w:val="none" w:sz="0" w:space="0" w:color="auto"/>
        <w:left w:val="none" w:sz="0" w:space="0" w:color="auto"/>
        <w:bottom w:val="none" w:sz="0" w:space="0" w:color="auto"/>
        <w:right w:val="none" w:sz="0" w:space="0" w:color="auto"/>
      </w:divBdr>
      <w:divsChild>
        <w:div w:id="214507771">
          <w:marLeft w:val="0"/>
          <w:marRight w:val="0"/>
          <w:marTop w:val="0"/>
          <w:marBottom w:val="0"/>
          <w:divBdr>
            <w:top w:val="none" w:sz="0" w:space="0" w:color="auto"/>
            <w:left w:val="none" w:sz="0" w:space="0" w:color="auto"/>
            <w:bottom w:val="none" w:sz="0" w:space="0" w:color="auto"/>
            <w:right w:val="none" w:sz="0" w:space="0" w:color="auto"/>
          </w:divBdr>
          <w:divsChild>
            <w:div w:id="127358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183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803">
          <w:marLeft w:val="0"/>
          <w:marRight w:val="0"/>
          <w:marTop w:val="0"/>
          <w:marBottom w:val="0"/>
          <w:divBdr>
            <w:top w:val="none" w:sz="0" w:space="0" w:color="auto"/>
            <w:left w:val="none" w:sz="0" w:space="0" w:color="auto"/>
            <w:bottom w:val="none" w:sz="0" w:space="0" w:color="auto"/>
            <w:right w:val="none" w:sz="0" w:space="0" w:color="auto"/>
          </w:divBdr>
          <w:divsChild>
            <w:div w:id="853226843">
              <w:marLeft w:val="0"/>
              <w:marRight w:val="0"/>
              <w:marTop w:val="0"/>
              <w:marBottom w:val="0"/>
              <w:divBdr>
                <w:top w:val="none" w:sz="0" w:space="0" w:color="auto"/>
                <w:left w:val="none" w:sz="0" w:space="0" w:color="auto"/>
                <w:bottom w:val="none" w:sz="0" w:space="0" w:color="auto"/>
                <w:right w:val="none" w:sz="0" w:space="0" w:color="auto"/>
              </w:divBdr>
              <w:divsChild>
                <w:div w:id="1339892826">
                  <w:marLeft w:val="0"/>
                  <w:marRight w:val="0"/>
                  <w:marTop w:val="0"/>
                  <w:marBottom w:val="0"/>
                  <w:divBdr>
                    <w:top w:val="none" w:sz="0" w:space="0" w:color="auto"/>
                    <w:left w:val="none" w:sz="0" w:space="0" w:color="auto"/>
                    <w:bottom w:val="none" w:sz="0" w:space="0" w:color="auto"/>
                    <w:right w:val="none" w:sz="0" w:space="0" w:color="auto"/>
                  </w:divBdr>
                  <w:divsChild>
                    <w:div w:id="5182581">
                      <w:marLeft w:val="0"/>
                      <w:marRight w:val="0"/>
                      <w:marTop w:val="0"/>
                      <w:marBottom w:val="0"/>
                      <w:divBdr>
                        <w:top w:val="none" w:sz="0" w:space="0" w:color="auto"/>
                        <w:left w:val="none" w:sz="0" w:space="0" w:color="auto"/>
                        <w:bottom w:val="none" w:sz="0" w:space="0" w:color="auto"/>
                        <w:right w:val="none" w:sz="0" w:space="0" w:color="auto"/>
                      </w:divBdr>
                      <w:divsChild>
                        <w:div w:id="1146698869">
                          <w:marLeft w:val="0"/>
                          <w:marRight w:val="0"/>
                          <w:marTop w:val="0"/>
                          <w:marBottom w:val="0"/>
                          <w:divBdr>
                            <w:top w:val="none" w:sz="0" w:space="0" w:color="auto"/>
                            <w:left w:val="none" w:sz="0" w:space="0" w:color="auto"/>
                            <w:bottom w:val="none" w:sz="0" w:space="0" w:color="auto"/>
                            <w:right w:val="none" w:sz="0" w:space="0" w:color="auto"/>
                          </w:divBdr>
                          <w:divsChild>
                            <w:div w:id="1626882828">
                              <w:marLeft w:val="0"/>
                              <w:marRight w:val="0"/>
                              <w:marTop w:val="0"/>
                              <w:marBottom w:val="0"/>
                              <w:divBdr>
                                <w:top w:val="none" w:sz="0" w:space="0" w:color="auto"/>
                                <w:left w:val="none" w:sz="0" w:space="0" w:color="auto"/>
                                <w:bottom w:val="none" w:sz="0" w:space="0" w:color="auto"/>
                                <w:right w:val="none" w:sz="0" w:space="0" w:color="auto"/>
                              </w:divBdr>
                              <w:divsChild>
                                <w:div w:id="8250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7536600">
      <w:bodyDiv w:val="1"/>
      <w:marLeft w:val="0"/>
      <w:marRight w:val="0"/>
      <w:marTop w:val="0"/>
      <w:marBottom w:val="0"/>
      <w:divBdr>
        <w:top w:val="none" w:sz="0" w:space="0" w:color="auto"/>
        <w:left w:val="none" w:sz="0" w:space="0" w:color="auto"/>
        <w:bottom w:val="none" w:sz="0" w:space="0" w:color="auto"/>
        <w:right w:val="none" w:sz="0" w:space="0" w:color="auto"/>
      </w:divBdr>
      <w:divsChild>
        <w:div w:id="174618912">
          <w:marLeft w:val="0"/>
          <w:marRight w:val="0"/>
          <w:marTop w:val="0"/>
          <w:marBottom w:val="0"/>
          <w:divBdr>
            <w:top w:val="none" w:sz="0" w:space="0" w:color="auto"/>
            <w:left w:val="none" w:sz="0" w:space="0" w:color="auto"/>
            <w:bottom w:val="none" w:sz="0" w:space="0" w:color="auto"/>
            <w:right w:val="none" w:sz="0" w:space="0" w:color="auto"/>
          </w:divBdr>
          <w:divsChild>
            <w:div w:id="48682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08774">
      <w:bodyDiv w:val="1"/>
      <w:marLeft w:val="0"/>
      <w:marRight w:val="0"/>
      <w:marTop w:val="0"/>
      <w:marBottom w:val="0"/>
      <w:divBdr>
        <w:top w:val="none" w:sz="0" w:space="0" w:color="auto"/>
        <w:left w:val="none" w:sz="0" w:space="0" w:color="auto"/>
        <w:bottom w:val="none" w:sz="0" w:space="0" w:color="auto"/>
        <w:right w:val="none" w:sz="0" w:space="0" w:color="auto"/>
      </w:divBdr>
      <w:divsChild>
        <w:div w:id="1233781319">
          <w:marLeft w:val="0"/>
          <w:marRight w:val="0"/>
          <w:marTop w:val="0"/>
          <w:marBottom w:val="0"/>
          <w:divBdr>
            <w:top w:val="none" w:sz="0" w:space="0" w:color="auto"/>
            <w:left w:val="none" w:sz="0" w:space="0" w:color="auto"/>
            <w:bottom w:val="none" w:sz="0" w:space="0" w:color="auto"/>
            <w:right w:val="none" w:sz="0" w:space="0" w:color="auto"/>
          </w:divBdr>
          <w:divsChild>
            <w:div w:id="157890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06650">
      <w:bodyDiv w:val="1"/>
      <w:marLeft w:val="0"/>
      <w:marRight w:val="0"/>
      <w:marTop w:val="0"/>
      <w:marBottom w:val="0"/>
      <w:divBdr>
        <w:top w:val="none" w:sz="0" w:space="0" w:color="auto"/>
        <w:left w:val="none" w:sz="0" w:space="0" w:color="auto"/>
        <w:bottom w:val="none" w:sz="0" w:space="0" w:color="auto"/>
        <w:right w:val="none" w:sz="0" w:space="0" w:color="auto"/>
      </w:divBdr>
    </w:div>
    <w:div w:id="2146267622">
      <w:bodyDiv w:val="1"/>
      <w:marLeft w:val="0"/>
      <w:marRight w:val="0"/>
      <w:marTop w:val="0"/>
      <w:marBottom w:val="0"/>
      <w:divBdr>
        <w:top w:val="none" w:sz="0" w:space="0" w:color="auto"/>
        <w:left w:val="none" w:sz="0" w:space="0" w:color="auto"/>
        <w:bottom w:val="none" w:sz="0" w:space="0" w:color="auto"/>
        <w:right w:val="none" w:sz="0" w:space="0" w:color="auto"/>
      </w:divBdr>
      <w:divsChild>
        <w:div w:id="1838960295">
          <w:marLeft w:val="0"/>
          <w:marRight w:val="0"/>
          <w:marTop w:val="0"/>
          <w:marBottom w:val="0"/>
          <w:divBdr>
            <w:top w:val="none" w:sz="0" w:space="0" w:color="auto"/>
            <w:left w:val="none" w:sz="0" w:space="0" w:color="auto"/>
            <w:bottom w:val="none" w:sz="0" w:space="0" w:color="auto"/>
            <w:right w:val="none" w:sz="0" w:space="0" w:color="auto"/>
          </w:divBdr>
        </w:div>
        <w:div w:id="1637298502">
          <w:marLeft w:val="0"/>
          <w:marRight w:val="0"/>
          <w:marTop w:val="0"/>
          <w:marBottom w:val="0"/>
          <w:divBdr>
            <w:top w:val="none" w:sz="0" w:space="0" w:color="auto"/>
            <w:left w:val="none" w:sz="0" w:space="0" w:color="auto"/>
            <w:bottom w:val="none" w:sz="0" w:space="0" w:color="auto"/>
            <w:right w:val="none" w:sz="0" w:space="0" w:color="auto"/>
          </w:divBdr>
        </w:div>
        <w:div w:id="1576890412">
          <w:marLeft w:val="0"/>
          <w:marRight w:val="0"/>
          <w:marTop w:val="0"/>
          <w:marBottom w:val="0"/>
          <w:divBdr>
            <w:top w:val="none" w:sz="0" w:space="0" w:color="auto"/>
            <w:left w:val="none" w:sz="0" w:space="0" w:color="auto"/>
            <w:bottom w:val="none" w:sz="0" w:space="0" w:color="auto"/>
            <w:right w:val="none" w:sz="0" w:space="0" w:color="auto"/>
          </w:divBdr>
        </w:div>
        <w:div w:id="70279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FCED1-0E59-4291-80CD-6773909F0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27</Pages>
  <Words>7279</Words>
  <Characters>41491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c:creator>
  <cp:keywords/>
  <dc:description/>
  <cp:lastModifiedBy>AC</cp:lastModifiedBy>
  <cp:revision>27</cp:revision>
  <dcterms:created xsi:type="dcterms:W3CDTF">2025-12-21T19:16:00Z</dcterms:created>
  <dcterms:modified xsi:type="dcterms:W3CDTF">2025-12-22T13:08:00Z</dcterms:modified>
</cp:coreProperties>
</file>