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D75197" w14:textId="77777777" w:rsidR="002D2B68" w:rsidRDefault="002D2B68" w:rsidP="002D2B68">
      <w:r>
        <w:t xml:space="preserve">Ethan Mills 2236910 </w:t>
      </w:r>
    </w:p>
    <w:p w14:paraId="7E61E7D7" w14:textId="3ACEDD1F" w:rsidR="002D2B68" w:rsidRDefault="002D2B68" w:rsidP="002D2B68">
      <w:r>
        <w:t xml:space="preserve">ASSIGNMENT SUBMISSION </w:t>
      </w:r>
      <w:r>
        <w:t xml:space="preserve">(DRAFT 1) </w:t>
      </w:r>
    </w:p>
    <w:p w14:paraId="19B1048A" w14:textId="77777777" w:rsidR="002D2B68" w:rsidRPr="002D2B68" w:rsidRDefault="002D2B68" w:rsidP="002D2B68">
      <w:pPr>
        <w:rPr>
          <w:u w:val="single"/>
        </w:rPr>
      </w:pPr>
      <w:r w:rsidRPr="002D2B68">
        <w:rPr>
          <w:u w:val="single"/>
        </w:rPr>
        <w:t xml:space="preserve">Essay One – How effectively has the police service adapted to accommodate diversity within the UK? Consider the police force itself and/or the way police engage with diverse communities. </w:t>
      </w:r>
    </w:p>
    <w:p w14:paraId="3707D2D6" w14:textId="77777777" w:rsidR="002D2B68" w:rsidRPr="00FD4163" w:rsidRDefault="002D2B68" w:rsidP="00E51885">
      <w:pPr>
        <w:spacing w:line="360" w:lineRule="auto"/>
        <w:jc w:val="both"/>
        <w:rPr>
          <w:sz w:val="24"/>
          <w:szCs w:val="24"/>
        </w:rPr>
      </w:pPr>
      <w:r w:rsidRPr="00FD4163">
        <w:rPr>
          <w:sz w:val="24"/>
          <w:szCs w:val="24"/>
        </w:rPr>
        <w:t xml:space="preserve">Within the UK, diversity and inclusivity has been a major topic of both the social and political landscape within recent years. As a notion that has become entwined in nearly every aspect of daily life, the place and position of diversity within policing is no exception. Drawing from one of the Peelian Principles outlined by Sir Robert Peel in 1829 a foundational aspect of policing, is that “The public are the police and the police are the public” (Reith 1948). Therefore, diversity ultimately plays a major role in not only the structure of modern police forces across the UK, but the way in which they interact with an increasingly diverse public. </w:t>
      </w:r>
    </w:p>
    <w:p w14:paraId="42303821" w14:textId="77777777" w:rsidR="002D2B68" w:rsidRPr="00FD4163" w:rsidRDefault="002D2B68" w:rsidP="00E51885">
      <w:pPr>
        <w:spacing w:line="360" w:lineRule="auto"/>
        <w:jc w:val="both"/>
        <w:rPr>
          <w:sz w:val="24"/>
          <w:szCs w:val="24"/>
        </w:rPr>
      </w:pPr>
      <w:r w:rsidRPr="00FD4163">
        <w:rPr>
          <w:sz w:val="24"/>
          <w:szCs w:val="24"/>
        </w:rPr>
        <w:t xml:space="preserve">This response will examine the ways in which the police’s attitudes towards diversity have changed as well as the impact of diversity within police forces drawing from the work of academics as well as significant political reports and social events to highlight not only the positive change which has taken place, but some of the outstanding challenges which continue to be addressed.  </w:t>
      </w:r>
    </w:p>
    <w:p w14:paraId="4EE62267" w14:textId="77777777" w:rsidR="002D2B68" w:rsidRPr="00FD4163" w:rsidRDefault="002D2B68" w:rsidP="00E51885">
      <w:pPr>
        <w:spacing w:line="360" w:lineRule="auto"/>
        <w:jc w:val="both"/>
        <w:rPr>
          <w:sz w:val="24"/>
          <w:szCs w:val="24"/>
        </w:rPr>
      </w:pPr>
      <w:r w:rsidRPr="00FD4163">
        <w:rPr>
          <w:sz w:val="24"/>
          <w:szCs w:val="24"/>
        </w:rPr>
        <w:t xml:space="preserve">In April 1993, the murder of Stephen Lawrence, a young black male in East London, marked the start of what would become a landmark case in British Policing and its response to diversity and ethnic minority groups within the communities which it served. As a result of the investigation into Stephen’s death and the failings which were found to have been carried out, the Macpherson Report, published in 1999, ruled the decision that there was an issue of ‘institutionalised racism’ within the Police and their approach to persons from ethnic minority backgrounds. This notion has come to define policing since the publication of the Macpherson Report and has led to a number of changes. </w:t>
      </w:r>
    </w:p>
    <w:p w14:paraId="6DC2B024" w14:textId="77777777" w:rsidR="002D2B68" w:rsidRPr="00FD4163" w:rsidRDefault="002D2B68" w:rsidP="00E51885">
      <w:pPr>
        <w:spacing w:line="360" w:lineRule="auto"/>
        <w:jc w:val="both"/>
        <w:rPr>
          <w:sz w:val="24"/>
          <w:szCs w:val="24"/>
        </w:rPr>
      </w:pPr>
      <w:r w:rsidRPr="00FD4163">
        <w:rPr>
          <w:sz w:val="24"/>
          <w:szCs w:val="24"/>
        </w:rPr>
        <w:t xml:space="preserve">Institutionalised racism is essentially the notion that the police force was, in their response and practice, inherently racist and that this racist attitude was simply shared amongst all those within the force. As a result of this, it was deemed that the treatment of ethnic minorities by the police was always going to be negative and disproportionate. This was seen in a number of incidents regarding the disproportionate stop and search as well as arrest of, primarily young black males across the UK. </w:t>
      </w:r>
    </w:p>
    <w:p w14:paraId="60EC5667" w14:textId="77777777" w:rsidR="002D2B68" w:rsidRPr="00FD4163" w:rsidRDefault="002D2B68" w:rsidP="00E51885">
      <w:pPr>
        <w:spacing w:line="360" w:lineRule="auto"/>
        <w:jc w:val="both"/>
        <w:rPr>
          <w:sz w:val="24"/>
          <w:szCs w:val="24"/>
        </w:rPr>
      </w:pPr>
      <w:r w:rsidRPr="00FD4163">
        <w:rPr>
          <w:sz w:val="24"/>
          <w:szCs w:val="24"/>
        </w:rPr>
        <w:lastRenderedPageBreak/>
        <w:t xml:space="preserve">Within a modern context, whilst there have been significant advancements in the relationship between the police and diverse communities. Published in January 2024, the House of Commons Hate Crime Statistics report shows that in 2007/08 there was a recorded 307,000 hate crime incidents, compared to 2019/2020 where this had dropped to 190,000. This aptly reflects not only the growth in diverse communities within the UK, but also shows the way in which police forces have adapted to recognise and understand the qualification of a hate crime, and the impact that it can subsequently have. Part of this response and understanding of hate crime comes from the establishment of the Equality Act 2010, which created the categories under which a hate crime can be committed. By having this clearly laid out and established within a legal context, it has allowed police forces to appropriately deal with incidents that can affect the most vulnerable communities. The impact of this is a better level of trust between the police and these communities as they feel that they are seen and heard in a way which, in recent history, was never the case. </w:t>
      </w:r>
    </w:p>
    <w:p w14:paraId="65BB9B09" w14:textId="77777777" w:rsidR="002D2B68" w:rsidRPr="00FD4163" w:rsidRDefault="002D2B68" w:rsidP="00E51885">
      <w:pPr>
        <w:spacing w:line="360" w:lineRule="auto"/>
        <w:jc w:val="both"/>
        <w:rPr>
          <w:sz w:val="24"/>
          <w:szCs w:val="24"/>
        </w:rPr>
      </w:pPr>
      <w:r w:rsidRPr="00FD4163">
        <w:rPr>
          <w:sz w:val="24"/>
          <w:szCs w:val="24"/>
        </w:rPr>
        <w:t xml:space="preserve">In addition to this, the make up of police forces across the UK can be seen to have reflected a number of these positive changes. As of March 2022, there were 140,288 persons employed as full time police officers within England and Wales. Of this number, 8.1% were from Black, Asian or other ethnic minority backgrounds. This is reflective of the wider population itself in which as of the 2021 Census, it was recorded that 18.3% of the population were from an ethnic minority background. </w:t>
      </w:r>
    </w:p>
    <w:p w14:paraId="69379E81" w14:textId="77777777" w:rsidR="002D2B68" w:rsidRPr="00FD4163" w:rsidRDefault="002D2B68" w:rsidP="00E51885">
      <w:pPr>
        <w:spacing w:line="360" w:lineRule="auto"/>
        <w:jc w:val="both"/>
        <w:rPr>
          <w:sz w:val="24"/>
          <w:szCs w:val="24"/>
        </w:rPr>
      </w:pPr>
      <w:r w:rsidRPr="00FD4163">
        <w:rPr>
          <w:sz w:val="24"/>
          <w:szCs w:val="24"/>
        </w:rPr>
        <w:t xml:space="preserve">As such, this shows a clear movement in the direction of increasing the diversity of the police in reflection of the population which it serves, therefore ensuring that there is a developing relationship between the police and the public, echoing that fundamental principle. However, with this in mind, it is clear that these numbers still only account for a marginal proportion of the overall workforce and that it is likely the metropolitan centres of the UK would be more represented than those forces that operate in a rural setting. </w:t>
      </w:r>
    </w:p>
    <w:p w14:paraId="15C8ACD5" w14:textId="77777777" w:rsidR="002D2B68" w:rsidRPr="00FD4163" w:rsidRDefault="002D2B68" w:rsidP="00E51885">
      <w:pPr>
        <w:spacing w:line="360" w:lineRule="auto"/>
        <w:jc w:val="both"/>
        <w:rPr>
          <w:sz w:val="24"/>
          <w:szCs w:val="24"/>
        </w:rPr>
      </w:pPr>
      <w:r w:rsidRPr="00FD4163">
        <w:rPr>
          <w:sz w:val="24"/>
          <w:szCs w:val="24"/>
        </w:rPr>
        <w:t xml:space="preserve">Ultimately, I think it is clear to see that there has been a significant development in the way in which the police service has adapted to accommodate diversity. By taking steps to recognise and deal with reports against members of ethnic communities and support this recognition with legislation, this has developed a better level of understanding and trust between the police and these communities. Further to this, with the number of persons from these communities increasing within the employment landscape of the police, this places forces in </w:t>
      </w:r>
      <w:r w:rsidRPr="00FD4163">
        <w:rPr>
          <w:sz w:val="24"/>
          <w:szCs w:val="24"/>
        </w:rPr>
        <w:lastRenderedPageBreak/>
        <w:t xml:space="preserve">a much better position to draw from and use the lived experience of these persons to further address issues within the community and develop understanding. Whilst the result of this cannot yet be seen, as an evolving process early signs indicate that actions such as these can only seek to benefit and strength the relationship between the police and the communities they serve, therefore creating a more effective overall system that works to the safeguarding and protection of all within communities that have and continue to suffer increased risk and vulnerability. </w:t>
      </w:r>
    </w:p>
    <w:p w14:paraId="30F762FF" w14:textId="395A33BB" w:rsidR="002D2B68" w:rsidRDefault="003A33E1">
      <w:r>
        <w:t xml:space="preserve">WORD COUNT: 911 </w:t>
      </w:r>
    </w:p>
    <w:p w14:paraId="43B90678" w14:textId="77777777" w:rsidR="002D2B68" w:rsidRDefault="002D2B68"/>
    <w:p w14:paraId="46D97F8F" w14:textId="77777777" w:rsidR="002D2B68" w:rsidRDefault="002D2B68"/>
    <w:p w14:paraId="02153488" w14:textId="77777777" w:rsidR="002D2B68" w:rsidRDefault="002D2B68"/>
    <w:p w14:paraId="768518A4" w14:textId="77777777" w:rsidR="002D2B68" w:rsidRDefault="002D2B68"/>
    <w:p w14:paraId="44F79A1B" w14:textId="77777777" w:rsidR="002D2B68" w:rsidRDefault="002D2B68"/>
    <w:p w14:paraId="48E8696E" w14:textId="77777777" w:rsidR="002D2B68" w:rsidRDefault="002D2B68"/>
    <w:p w14:paraId="7843353B" w14:textId="77777777" w:rsidR="002D2B68" w:rsidRDefault="002D2B68"/>
    <w:p w14:paraId="44E70258" w14:textId="77777777" w:rsidR="002D2B68" w:rsidRDefault="002D2B68"/>
    <w:p w14:paraId="72A6E6D4" w14:textId="77777777" w:rsidR="002D2B68" w:rsidRDefault="002D2B68"/>
    <w:p w14:paraId="74D72F74" w14:textId="77777777" w:rsidR="002D2B68" w:rsidRDefault="002D2B68"/>
    <w:p w14:paraId="200688CB" w14:textId="77777777" w:rsidR="002D2B68" w:rsidRDefault="002D2B68"/>
    <w:p w14:paraId="53CABA5F" w14:textId="77777777" w:rsidR="002D2B68" w:rsidRDefault="002D2B68"/>
    <w:p w14:paraId="382E6E47" w14:textId="77777777" w:rsidR="002D2B68" w:rsidRDefault="002D2B68"/>
    <w:p w14:paraId="6319F437" w14:textId="77777777" w:rsidR="002D2B68" w:rsidRDefault="002D2B68"/>
    <w:p w14:paraId="18C6ED53" w14:textId="77777777" w:rsidR="002D2B68" w:rsidRDefault="002D2B68"/>
    <w:p w14:paraId="60705BAB" w14:textId="77777777" w:rsidR="00FD4163" w:rsidRDefault="00FD4163" w:rsidP="002D2B68">
      <w:pPr>
        <w:rPr>
          <w:u w:val="single"/>
        </w:rPr>
      </w:pPr>
    </w:p>
    <w:p w14:paraId="42F4A416" w14:textId="77777777" w:rsidR="00FD4163" w:rsidRDefault="00FD4163" w:rsidP="002D2B68">
      <w:pPr>
        <w:rPr>
          <w:u w:val="single"/>
        </w:rPr>
      </w:pPr>
    </w:p>
    <w:p w14:paraId="5EC2884B" w14:textId="77777777" w:rsidR="00FD4163" w:rsidRDefault="00FD4163" w:rsidP="002D2B68">
      <w:pPr>
        <w:rPr>
          <w:u w:val="single"/>
        </w:rPr>
      </w:pPr>
    </w:p>
    <w:p w14:paraId="060B61E3" w14:textId="77777777" w:rsidR="00FD4163" w:rsidRDefault="00FD4163" w:rsidP="002D2B68">
      <w:pPr>
        <w:rPr>
          <w:u w:val="single"/>
        </w:rPr>
      </w:pPr>
    </w:p>
    <w:p w14:paraId="714C7749" w14:textId="77777777" w:rsidR="00FD4163" w:rsidRDefault="00FD4163" w:rsidP="002D2B68">
      <w:pPr>
        <w:rPr>
          <w:u w:val="single"/>
        </w:rPr>
      </w:pPr>
    </w:p>
    <w:p w14:paraId="3128B7EC" w14:textId="77777777" w:rsidR="00FD4163" w:rsidRDefault="00FD4163" w:rsidP="002D2B68">
      <w:pPr>
        <w:rPr>
          <w:u w:val="single"/>
        </w:rPr>
      </w:pPr>
    </w:p>
    <w:p w14:paraId="53933234" w14:textId="77777777" w:rsidR="00FD4163" w:rsidRDefault="00FD4163" w:rsidP="002D2B68">
      <w:pPr>
        <w:rPr>
          <w:u w:val="single"/>
        </w:rPr>
      </w:pPr>
    </w:p>
    <w:p w14:paraId="24355CA1" w14:textId="0224A9D0" w:rsidR="002D2B68" w:rsidRPr="002D2B68" w:rsidRDefault="002D2B68" w:rsidP="002D2B68">
      <w:pPr>
        <w:rPr>
          <w:u w:val="single"/>
        </w:rPr>
      </w:pPr>
      <w:r w:rsidRPr="002D2B68">
        <w:rPr>
          <w:u w:val="single"/>
        </w:rPr>
        <w:lastRenderedPageBreak/>
        <w:t>Essay Two – How might terrorist groups’ involvement in other forms of criminality inform counter terrorism policing?</w:t>
      </w:r>
    </w:p>
    <w:p w14:paraId="2E2F43C9" w14:textId="77777777" w:rsidR="002D2B68" w:rsidRPr="00FD4163" w:rsidRDefault="002D2B68" w:rsidP="00FD4163">
      <w:pPr>
        <w:spacing w:line="360" w:lineRule="auto"/>
        <w:jc w:val="both"/>
        <w:rPr>
          <w:sz w:val="24"/>
          <w:szCs w:val="24"/>
        </w:rPr>
      </w:pPr>
      <w:r w:rsidRPr="00FD4163">
        <w:rPr>
          <w:sz w:val="24"/>
          <w:szCs w:val="24"/>
        </w:rPr>
        <w:t xml:space="preserve">As one of the most complex and highest risk areas in which policing deals, the threat of terrorism is ever present and the mechanisms by which it is enacted can vary substantially. From financial management to transporting materials across vast areas, the network which supports terrorists is multi-faceted and can be hidden via extensive means. However, the set up of serious organised crime, reflects that of terrorism and offers a lens through which the construction and execution of terrorist group activities and agendas can be better understood. Firstly, ‘organised crime’ can be understood as a system which “is part of international crime which effect is crossing the territorial border of a country” (Dwiwarno 2018:2). Understanding this reach which organised crime possesses is fundamental in drawing the connection between the mechanism’s which are employed in their component systems of operation and the link that these are increasingly having with terrorist organisations (Dishman 2001). </w:t>
      </w:r>
    </w:p>
    <w:p w14:paraId="664851CE" w14:textId="77777777" w:rsidR="002D2B68" w:rsidRPr="00FD4163" w:rsidRDefault="002D2B68" w:rsidP="00FD4163">
      <w:pPr>
        <w:spacing w:line="360" w:lineRule="auto"/>
        <w:jc w:val="both"/>
        <w:rPr>
          <w:sz w:val="24"/>
          <w:szCs w:val="24"/>
        </w:rPr>
      </w:pPr>
      <w:r w:rsidRPr="00FD4163">
        <w:rPr>
          <w:sz w:val="24"/>
          <w:szCs w:val="24"/>
        </w:rPr>
        <w:t>At the centre of both organised crime groups and terrorist groups, is funding. Financial gain, capability and support is essential to both groups being able to not only operate but carry out their respective goals. Work around this notion has found that “Organisations tend to be unwilling to give up criminal contacts and profits once they are established” (Bobic 2014:246) and it is this reliance upon contacts which provides perhaps the most notable ‘route’ into understanding terrorist groups and their modus operandi. Bobic (2014) explores the ways in which terrorism and crime are means which are available to anyone with a financial backing and this is supported by the work of Sumpter &amp; Franco (2018) who highlight the ways in which terrorist organisations have “increasingly been directing criminal operations themselves” (p.g.39). Drugs dealing is the primary criminal activity in which terrorist organisations have started their own ventures and is also a key area of income for many organised crime groups (Dishman 2001). As such, the approach and understanding of these networks and the outcome when they are disrupted, presents the most holistically effective approach to developing tactics of counter-terrorist policing.</w:t>
      </w:r>
    </w:p>
    <w:p w14:paraId="7F77393A" w14:textId="77777777" w:rsidR="002D2B68" w:rsidRPr="00FD4163" w:rsidRDefault="002D2B68" w:rsidP="00FD4163">
      <w:pPr>
        <w:spacing w:line="360" w:lineRule="auto"/>
        <w:jc w:val="both"/>
        <w:rPr>
          <w:sz w:val="24"/>
          <w:szCs w:val="24"/>
        </w:rPr>
      </w:pPr>
      <w:r w:rsidRPr="00FD4163">
        <w:rPr>
          <w:sz w:val="24"/>
          <w:szCs w:val="24"/>
        </w:rPr>
        <w:t xml:space="preserve">Having established the main networks in which terrorist organisations operate, it is equally fundamental to understand the ways in which approaches to developing the means of disrupting these networks are executed. The work of Doig (2005) highlights the need for different factions of ‘law enforcement’ to ‘join up’ in order to construct an approach which is </w:t>
      </w:r>
      <w:r w:rsidRPr="00FD4163">
        <w:rPr>
          <w:sz w:val="24"/>
          <w:szCs w:val="24"/>
        </w:rPr>
        <w:lastRenderedPageBreak/>
        <w:t xml:space="preserve">rooted in information sharing. This ensures that the best and most effective tactics which specialist departments utilise can be co-opted and employed in new areas to strength the approach against these established groups and organisations. This notion is shared by Prunckun (2016) and the exploration of the necessity to advance intelligence led policing in other forms of serious crime, beyond counter-terrorist policing in order to better develop a unified network that recognises the already discussed links between serious organised crime and terrorism. </w:t>
      </w:r>
    </w:p>
    <w:p w14:paraId="1BDB6DC5" w14:textId="77777777" w:rsidR="002D2B68" w:rsidRPr="00FD4163" w:rsidRDefault="002D2B68" w:rsidP="00FD4163">
      <w:pPr>
        <w:spacing w:line="360" w:lineRule="auto"/>
        <w:jc w:val="both"/>
        <w:rPr>
          <w:sz w:val="24"/>
          <w:szCs w:val="24"/>
        </w:rPr>
      </w:pPr>
      <w:r w:rsidRPr="00FD4163">
        <w:rPr>
          <w:sz w:val="24"/>
          <w:szCs w:val="24"/>
        </w:rPr>
        <w:t xml:space="preserve">Despite the shared thoughts on the benefits of an intelligence led approach, it would be reductive to not take note of those who outline some of the reductive practices of this school of thought. The significance of counter-terrorist policing is not overseen, yet there are some who seek to highlight the potential disproportionality with which it has been funded in recent times. Explored in the works of Dominic (2018), it is highlighted that the funds supplied to counter-terrorist policing does not reflect that of the number of victim’s per year that are created as a result of terrorist actions. Dominic (2018) proposes that funding and support should shift its focus away from solely bolstering counter-terrorist efforts as the priority and instead give the same attention to serious organised crime. The result of this would be an increased effort to deal with organised crime and disrupt it more efficiently, subsequently removing its effectiveness as a means by which terrorist organisations are able to operate. In so doing, the approach to tackle serious organised crime, would therefore be inherently transferable to the approach to tackle terrorist organisations with a tested methodology. </w:t>
      </w:r>
    </w:p>
    <w:p w14:paraId="4C0ED03E" w14:textId="77777777" w:rsidR="002D2B68" w:rsidRPr="00FD4163" w:rsidRDefault="002D2B68" w:rsidP="00FD4163">
      <w:pPr>
        <w:spacing w:line="360" w:lineRule="auto"/>
        <w:jc w:val="both"/>
        <w:rPr>
          <w:sz w:val="24"/>
          <w:szCs w:val="24"/>
        </w:rPr>
      </w:pPr>
      <w:r w:rsidRPr="00FD4163">
        <w:rPr>
          <w:sz w:val="24"/>
          <w:szCs w:val="24"/>
        </w:rPr>
        <w:t xml:space="preserve">Having examine the structures of both terrorist organisations and serious organised crime groups, as well as the ways in which they operate, the link between them is clear. Understanding that they are, in some circumstances intrinsically linked and nearing a level of co-dependence helps inform the approaches to best disrupt the execution of their actions and potentially halt their operations. With this being said, as some of the most complex outfits and structures against which policing is challenged, there are still considerations to be made about the most appropriate and proportionate methods with which to address these ongoing threats. Ultimately, it is understood that the financial base for which both structures not only require access to survive but to expand is the most essential part that policing can target and as such, action should be taken between agencies to develop shared resources and </w:t>
      </w:r>
      <w:r w:rsidRPr="00FD4163">
        <w:rPr>
          <w:sz w:val="24"/>
          <w:szCs w:val="24"/>
        </w:rPr>
        <w:lastRenderedPageBreak/>
        <w:t xml:space="preserve">information to holistically develop strategies that can target these areas, therefore bringing about effective disruption strategies to reduce the risk and threat posed. </w:t>
      </w:r>
    </w:p>
    <w:p w14:paraId="6F57C4C5" w14:textId="2D9046D4" w:rsidR="002D2B68" w:rsidRDefault="003A33E1" w:rsidP="002D2B68">
      <w:r>
        <w:t>WORD COUNT: 835</w:t>
      </w:r>
    </w:p>
    <w:p w14:paraId="547928F3" w14:textId="77777777" w:rsidR="002D2B68" w:rsidRDefault="002D2B68"/>
    <w:p w14:paraId="3A796906" w14:textId="77777777" w:rsidR="002D2B68" w:rsidRDefault="002D2B68"/>
    <w:p w14:paraId="5C7EA153" w14:textId="77777777" w:rsidR="002D2B68" w:rsidRDefault="002D2B68"/>
    <w:p w14:paraId="6FA16E85" w14:textId="77777777" w:rsidR="002D2B68" w:rsidRDefault="002D2B68"/>
    <w:p w14:paraId="312DB27C" w14:textId="77777777" w:rsidR="00FD4163" w:rsidRDefault="00FD4163" w:rsidP="002D2B68"/>
    <w:p w14:paraId="4632F9E8" w14:textId="77777777" w:rsidR="00FD4163" w:rsidRDefault="00FD4163" w:rsidP="002D2B68">
      <w:pPr>
        <w:rPr>
          <w:u w:val="single"/>
        </w:rPr>
      </w:pPr>
    </w:p>
    <w:p w14:paraId="12508D96" w14:textId="77777777" w:rsidR="00FD4163" w:rsidRDefault="00FD4163" w:rsidP="002D2B68">
      <w:pPr>
        <w:rPr>
          <w:u w:val="single"/>
        </w:rPr>
      </w:pPr>
    </w:p>
    <w:p w14:paraId="3BEAEAAC" w14:textId="77777777" w:rsidR="00FD4163" w:rsidRDefault="00FD4163" w:rsidP="002D2B68">
      <w:pPr>
        <w:rPr>
          <w:u w:val="single"/>
        </w:rPr>
      </w:pPr>
    </w:p>
    <w:p w14:paraId="4296CD06" w14:textId="77777777" w:rsidR="00FD4163" w:rsidRDefault="00FD4163" w:rsidP="002D2B68">
      <w:pPr>
        <w:rPr>
          <w:u w:val="single"/>
        </w:rPr>
      </w:pPr>
    </w:p>
    <w:p w14:paraId="0BE19442" w14:textId="77777777" w:rsidR="00FD4163" w:rsidRDefault="00FD4163" w:rsidP="002D2B68">
      <w:pPr>
        <w:rPr>
          <w:u w:val="single"/>
        </w:rPr>
      </w:pPr>
    </w:p>
    <w:p w14:paraId="16356D4A" w14:textId="77777777" w:rsidR="00FD4163" w:rsidRDefault="00FD4163" w:rsidP="002D2B68">
      <w:pPr>
        <w:rPr>
          <w:u w:val="single"/>
        </w:rPr>
      </w:pPr>
    </w:p>
    <w:p w14:paraId="331D4471" w14:textId="77777777" w:rsidR="00FD4163" w:rsidRDefault="00FD4163" w:rsidP="002D2B68">
      <w:pPr>
        <w:rPr>
          <w:u w:val="single"/>
        </w:rPr>
      </w:pPr>
    </w:p>
    <w:p w14:paraId="5A43A3F9" w14:textId="77777777" w:rsidR="00FD4163" w:rsidRDefault="00FD4163" w:rsidP="002D2B68">
      <w:pPr>
        <w:rPr>
          <w:u w:val="single"/>
        </w:rPr>
      </w:pPr>
    </w:p>
    <w:p w14:paraId="5B4FC326" w14:textId="77777777" w:rsidR="00FD4163" w:rsidRDefault="00FD4163" w:rsidP="002D2B68">
      <w:pPr>
        <w:rPr>
          <w:u w:val="single"/>
        </w:rPr>
      </w:pPr>
    </w:p>
    <w:p w14:paraId="458809AE" w14:textId="77777777" w:rsidR="00FD4163" w:rsidRDefault="00FD4163" w:rsidP="002D2B68">
      <w:pPr>
        <w:rPr>
          <w:u w:val="single"/>
        </w:rPr>
      </w:pPr>
    </w:p>
    <w:p w14:paraId="7B98BC9E" w14:textId="77777777" w:rsidR="00FD4163" w:rsidRDefault="00FD4163" w:rsidP="002D2B68">
      <w:pPr>
        <w:rPr>
          <w:u w:val="single"/>
        </w:rPr>
      </w:pPr>
    </w:p>
    <w:p w14:paraId="79BCE79F" w14:textId="77777777" w:rsidR="00FD4163" w:rsidRDefault="00FD4163" w:rsidP="002D2B68">
      <w:pPr>
        <w:rPr>
          <w:u w:val="single"/>
        </w:rPr>
      </w:pPr>
    </w:p>
    <w:p w14:paraId="533F815F" w14:textId="77777777" w:rsidR="00FD4163" w:rsidRDefault="00FD4163" w:rsidP="002D2B68">
      <w:pPr>
        <w:rPr>
          <w:u w:val="single"/>
        </w:rPr>
      </w:pPr>
    </w:p>
    <w:p w14:paraId="785FA914" w14:textId="77777777" w:rsidR="00FD4163" w:rsidRDefault="00FD4163" w:rsidP="002D2B68">
      <w:pPr>
        <w:rPr>
          <w:u w:val="single"/>
        </w:rPr>
      </w:pPr>
    </w:p>
    <w:p w14:paraId="086A0FA0" w14:textId="77777777" w:rsidR="00FD4163" w:rsidRDefault="00FD4163" w:rsidP="002D2B68">
      <w:pPr>
        <w:rPr>
          <w:u w:val="single"/>
        </w:rPr>
      </w:pPr>
    </w:p>
    <w:p w14:paraId="01FC2B71" w14:textId="77777777" w:rsidR="00FD4163" w:rsidRDefault="00FD4163" w:rsidP="002D2B68">
      <w:pPr>
        <w:rPr>
          <w:u w:val="single"/>
        </w:rPr>
      </w:pPr>
    </w:p>
    <w:p w14:paraId="29A8157D" w14:textId="77777777" w:rsidR="00FD4163" w:rsidRDefault="00FD4163" w:rsidP="002D2B68">
      <w:pPr>
        <w:rPr>
          <w:u w:val="single"/>
        </w:rPr>
      </w:pPr>
    </w:p>
    <w:p w14:paraId="197DF116" w14:textId="77777777" w:rsidR="00FD4163" w:rsidRDefault="00FD4163" w:rsidP="002D2B68">
      <w:pPr>
        <w:rPr>
          <w:u w:val="single"/>
        </w:rPr>
      </w:pPr>
    </w:p>
    <w:p w14:paraId="1DA328C0" w14:textId="77777777" w:rsidR="00FD4163" w:rsidRDefault="00FD4163" w:rsidP="002D2B68">
      <w:pPr>
        <w:rPr>
          <w:u w:val="single"/>
        </w:rPr>
      </w:pPr>
    </w:p>
    <w:p w14:paraId="35F4FAC2" w14:textId="77777777" w:rsidR="00FD4163" w:rsidRDefault="00FD4163" w:rsidP="002D2B68">
      <w:pPr>
        <w:rPr>
          <w:u w:val="single"/>
        </w:rPr>
      </w:pPr>
    </w:p>
    <w:p w14:paraId="7C1A4334" w14:textId="77777777" w:rsidR="00FD4163" w:rsidRDefault="00FD4163" w:rsidP="002D2B68">
      <w:pPr>
        <w:rPr>
          <w:u w:val="single"/>
        </w:rPr>
      </w:pPr>
    </w:p>
    <w:p w14:paraId="3997310B" w14:textId="501CCE11" w:rsidR="002D2B68" w:rsidRPr="002D2B68" w:rsidRDefault="002D2B68" w:rsidP="002D2B68">
      <w:pPr>
        <w:rPr>
          <w:u w:val="single"/>
        </w:rPr>
      </w:pPr>
      <w:r w:rsidRPr="002D2B68">
        <w:rPr>
          <w:u w:val="single"/>
        </w:rPr>
        <w:lastRenderedPageBreak/>
        <w:t>Essay Three – Outline potential links between serious and organised crime and public protection issues. What characteristics make some people more vulnerable to exploitation by serious and organised crime gangs?</w:t>
      </w:r>
    </w:p>
    <w:p w14:paraId="78413B73" w14:textId="77777777" w:rsidR="002D2B68" w:rsidRPr="00FD4163" w:rsidRDefault="002D2B68" w:rsidP="00FD4163">
      <w:pPr>
        <w:spacing w:line="360" w:lineRule="auto"/>
        <w:jc w:val="both"/>
        <w:rPr>
          <w:sz w:val="24"/>
          <w:szCs w:val="24"/>
        </w:rPr>
      </w:pPr>
      <w:r w:rsidRPr="00FD4163">
        <w:rPr>
          <w:sz w:val="24"/>
          <w:szCs w:val="24"/>
        </w:rPr>
        <w:t xml:space="preserve">Serious organised crime (SOC) presents one of the most complex threats towards members of the public and none more so than those classified as ‘vulnerable’. In the context of policing, a person is defined as vulnerable when “as a result of their situation or circumstances, they are unable to take care of or protect themselves or others from harm or exploitation” (College of Policing 2021). Serious organised crime groups have developed a number of methodologies to manipulate this vulnerability to their advantage and in so doing, bring further harm to those already categorised as being most at risk. </w:t>
      </w:r>
    </w:p>
    <w:p w14:paraId="79929D6A" w14:textId="77777777" w:rsidR="002D2B68" w:rsidRPr="00FD4163" w:rsidRDefault="002D2B68" w:rsidP="00FD4163">
      <w:pPr>
        <w:spacing w:line="360" w:lineRule="auto"/>
        <w:jc w:val="both"/>
        <w:rPr>
          <w:sz w:val="24"/>
          <w:szCs w:val="24"/>
        </w:rPr>
      </w:pPr>
      <w:r w:rsidRPr="00FD4163">
        <w:rPr>
          <w:sz w:val="24"/>
          <w:szCs w:val="24"/>
        </w:rPr>
        <w:t xml:space="preserve">This response will examine those classified as vulnerable due to mental health and age, with a focus on the processes of cuckooing and child sexual exploitation (CSE). Highlighting why these characteristics create vulnerabilities and grounds for exploitation as well as how these are subsequently acted upon by SOC groups. </w:t>
      </w:r>
    </w:p>
    <w:p w14:paraId="08ADE86B" w14:textId="77777777" w:rsidR="002D2B68" w:rsidRPr="00FD4163" w:rsidRDefault="002D2B68" w:rsidP="00FD4163">
      <w:pPr>
        <w:spacing w:line="360" w:lineRule="auto"/>
        <w:jc w:val="both"/>
        <w:rPr>
          <w:sz w:val="24"/>
          <w:szCs w:val="24"/>
        </w:rPr>
      </w:pPr>
      <w:r w:rsidRPr="00FD4163">
        <w:rPr>
          <w:sz w:val="24"/>
          <w:szCs w:val="24"/>
        </w:rPr>
        <w:t>CSE is an ever-changing field in which young people are put in increasingly dangerous situations. Defined as an act “</w:t>
      </w:r>
      <w:r w:rsidRPr="00FD4163">
        <w:rPr>
          <w:rFonts w:cstheme="minorHAnsi"/>
          <w:color w:val="000000"/>
          <w:spacing w:val="3"/>
          <w:sz w:val="24"/>
          <w:szCs w:val="24"/>
        </w:rPr>
        <w:t xml:space="preserve">where an individual or group takes advantage of an imbalance of power to coerce, manipulate or deceive a child or young person under the age of 18 into sexual activity in exchange for something the victim needs or wants” (College of Policing 2021). </w:t>
      </w:r>
      <w:r w:rsidRPr="00FD4163">
        <w:rPr>
          <w:sz w:val="24"/>
          <w:szCs w:val="24"/>
        </w:rPr>
        <w:t xml:space="preserve">The work of Hallett (2016) has outlined this situation and draws attention to those young persons who do not have a parental figure or care figure as being especially at risk. This is due to the way in which the normal relationship that is developed between a child and this ‘parental figure’ is key in acting as a safeguard to prevent them from harm. Therefore, in circumstances where this figure is absent, children are left open for this ‘figure’ to be instead filled by members of SOC groups who manipulate this bond to their gain. It should be noted that “those acknowledged as ‘vulnerable’ are so because they possess an individual or social characteristic that is known to bring about disadvantage” (Asquith et al 2017:2) and in the case of children, this ‘disadvantage’ is not only their lack of understanding of risk but also ease with which they can be controlled by those members of the SOC groups. This ‘disadvantage’ is a notion which can be further understood through the observations of Williams (2023) and analysis of ‘intrinsic’ and ‘extrinsic’ factors that can impact a persons’ vulnerability. These factors can be explained as follows, ‘intrinsic’ are those personal characteristics such as lived experience and relationships whereas ‘extrinsic’ factors are the safety of the environment, </w:t>
      </w:r>
      <w:r w:rsidRPr="00FD4163">
        <w:rPr>
          <w:sz w:val="24"/>
          <w:szCs w:val="24"/>
        </w:rPr>
        <w:lastRenderedPageBreak/>
        <w:t xml:space="preserve">access to support or exposure to crime. The complex combination of these factors and they way in which they ultimately vary from person to person, is what allows SOC groups to identify those who are most easily ‘accessible’ and thus more likely to be exploited for gain. </w:t>
      </w:r>
    </w:p>
    <w:p w14:paraId="12B9FC8F" w14:textId="77777777" w:rsidR="002D2B68" w:rsidRPr="00FD4163" w:rsidRDefault="002D2B68" w:rsidP="00FD4163">
      <w:pPr>
        <w:spacing w:line="360" w:lineRule="auto"/>
        <w:jc w:val="both"/>
        <w:rPr>
          <w:sz w:val="24"/>
          <w:szCs w:val="24"/>
        </w:rPr>
      </w:pPr>
      <w:r w:rsidRPr="00FD4163">
        <w:rPr>
          <w:sz w:val="24"/>
          <w:szCs w:val="24"/>
        </w:rPr>
        <w:t xml:space="preserve">In modern society, children and social media are more connected than they have ever been and so equally, so are SOC groups. The result of this is the opening of possibility for SOC groups to interact with children via social media, in a space that can be almost impossible to police. Rimer (2019) explores this risk and focuses upon the conduct of child sexual exploitation via the internet and the difficulty with which offenders can be managed. With this work in mind, the work of Beech et al (2008) is relevant in understanding the impact of ease with which the internet allows the facilitation of child sexual offences. In this arena, children are ultimately more vulnerable than in a physical setting as the persons who are influencing them can be anonymous and threatening and gain access to material which once put online, is invariably available forever. </w:t>
      </w:r>
    </w:p>
    <w:p w14:paraId="041AA975" w14:textId="77777777" w:rsidR="002D2B68" w:rsidRPr="00FD4163" w:rsidRDefault="002D2B68" w:rsidP="00FD4163">
      <w:pPr>
        <w:spacing w:line="360" w:lineRule="auto"/>
        <w:jc w:val="both"/>
        <w:rPr>
          <w:sz w:val="24"/>
          <w:szCs w:val="24"/>
        </w:rPr>
      </w:pPr>
    </w:p>
    <w:p w14:paraId="0DE3A721" w14:textId="77777777" w:rsidR="002D2B68" w:rsidRPr="00FD4163" w:rsidRDefault="002D2B68" w:rsidP="00FD4163">
      <w:pPr>
        <w:spacing w:line="360" w:lineRule="auto"/>
        <w:jc w:val="both"/>
        <w:rPr>
          <w:sz w:val="24"/>
          <w:szCs w:val="24"/>
        </w:rPr>
      </w:pPr>
      <w:r w:rsidRPr="00FD4163">
        <w:rPr>
          <w:sz w:val="24"/>
          <w:szCs w:val="24"/>
        </w:rPr>
        <w:t>Having examined the relationship between SOC and children, the other group within society which experience exploitation is that of the elderly and often those older persons who suffer with poor mental health or complex mental health conditions. Cuckooing is one of the primary ways in which SOC groups exploit this range of persons. This practice can essentially be understood as “where drug dealers take over vulnerable people’s homes” (Spicer 2021). This action allows SOC groups to conduct operations such as drug dealing or, as the previously discussed topic, CSE in locations that can be ‘under the radar’ of police and public services. Further to this, as examined by Stone (2018), by taking over a location of which the residents are vulnerable (in this research through drug use) this allows for large scale operations to be run from practically any location, which can easily be upended and re-located to another, ‘suitable’ location. From a public protection stance, this raises a huge number of concerns as this form of action is wholly dependant upon the exploitation of the most vulnerable within society and therefore warrants the need for a greater understanding not only from the police, but from relevant partner agencies to ensure that those most at risk can be adequately safeguarded and supported (Moyle 2019).</w:t>
      </w:r>
    </w:p>
    <w:p w14:paraId="718F443F" w14:textId="77777777" w:rsidR="002D2B68" w:rsidRPr="00FD4163" w:rsidRDefault="002D2B68" w:rsidP="00FD4163">
      <w:pPr>
        <w:spacing w:line="360" w:lineRule="auto"/>
        <w:jc w:val="both"/>
        <w:rPr>
          <w:sz w:val="24"/>
          <w:szCs w:val="24"/>
        </w:rPr>
      </w:pPr>
      <w:r w:rsidRPr="00FD4163">
        <w:rPr>
          <w:sz w:val="24"/>
          <w:szCs w:val="24"/>
        </w:rPr>
        <w:lastRenderedPageBreak/>
        <w:t xml:space="preserve">Having examined the ways in which those who are most vulnerable within society through age or mental health are victims of exploitation at the hands of serious organised crime groups, it is clear that there are a number of complex mechanisms employed to take advantage of those who are unable to safeguard themselves. As such, the response to this issue needs to be a combined effort from both the police as well as partner agencies to effectively address and support those identified persons who are at risk, therefore working to prevent the influence and ultimate impact which these groups look to exert for their own gain, at the detriment of others. </w:t>
      </w:r>
    </w:p>
    <w:p w14:paraId="203A2BFC" w14:textId="09B3ECEE" w:rsidR="002D2B68" w:rsidRDefault="003A33E1" w:rsidP="002D2B68">
      <w:r>
        <w:t xml:space="preserve">WORD COUNT: 941 </w:t>
      </w:r>
    </w:p>
    <w:p w14:paraId="515794BE" w14:textId="77777777" w:rsidR="002D2B68" w:rsidRDefault="002D2B68" w:rsidP="002D2B68"/>
    <w:p w14:paraId="10384D5F" w14:textId="77777777" w:rsidR="002D2B68" w:rsidRDefault="002D2B68" w:rsidP="002D2B68"/>
    <w:p w14:paraId="330A4904" w14:textId="77777777" w:rsidR="002D2B68" w:rsidRDefault="002D2B68" w:rsidP="002D2B68"/>
    <w:p w14:paraId="0D254807" w14:textId="77777777" w:rsidR="002D2B68" w:rsidRDefault="002D2B68" w:rsidP="002D2B68"/>
    <w:p w14:paraId="0CC87929" w14:textId="77777777" w:rsidR="002D2B68" w:rsidRDefault="002D2B68" w:rsidP="002D2B68"/>
    <w:p w14:paraId="0F82FE65" w14:textId="77777777" w:rsidR="002D2B68" w:rsidRDefault="002D2B68" w:rsidP="002D2B68"/>
    <w:p w14:paraId="7981DB3E" w14:textId="77777777" w:rsidR="002D2B68" w:rsidRDefault="002D2B68" w:rsidP="002D2B68"/>
    <w:p w14:paraId="6CC49C2C" w14:textId="77777777" w:rsidR="002D2B68" w:rsidRDefault="002D2B68" w:rsidP="002D2B68"/>
    <w:p w14:paraId="4A86602F" w14:textId="77777777" w:rsidR="002D2B68" w:rsidRDefault="002D2B68" w:rsidP="002D2B68"/>
    <w:p w14:paraId="3C474654" w14:textId="77777777" w:rsidR="002D2B68" w:rsidRDefault="002D2B68" w:rsidP="002D2B68"/>
    <w:p w14:paraId="6687FBA2" w14:textId="77777777" w:rsidR="002D2B68" w:rsidRDefault="002D2B68" w:rsidP="002D2B68"/>
    <w:p w14:paraId="28B879F6" w14:textId="77777777" w:rsidR="002D2B68" w:rsidRDefault="002D2B68" w:rsidP="002D2B68"/>
    <w:p w14:paraId="4A4FCEE8" w14:textId="77777777" w:rsidR="002D2B68" w:rsidRDefault="002D2B68" w:rsidP="002D2B68"/>
    <w:p w14:paraId="01A7C56A" w14:textId="77777777" w:rsidR="002D2B68" w:rsidRDefault="002D2B68" w:rsidP="002D2B68"/>
    <w:p w14:paraId="551737A7" w14:textId="77777777" w:rsidR="002D2B68" w:rsidRDefault="002D2B68" w:rsidP="002D2B68"/>
    <w:p w14:paraId="14779AAD" w14:textId="77777777" w:rsidR="002D2B68" w:rsidRDefault="002D2B68" w:rsidP="002D2B68"/>
    <w:p w14:paraId="7013D40A" w14:textId="77777777" w:rsidR="00B9002A" w:rsidRDefault="00B9002A" w:rsidP="002D2B68">
      <w:pPr>
        <w:rPr>
          <w:u w:val="single"/>
        </w:rPr>
      </w:pPr>
    </w:p>
    <w:p w14:paraId="614469D2" w14:textId="77777777" w:rsidR="00B9002A" w:rsidRDefault="00B9002A" w:rsidP="002D2B68">
      <w:pPr>
        <w:rPr>
          <w:u w:val="single"/>
        </w:rPr>
      </w:pPr>
    </w:p>
    <w:p w14:paraId="485EBE75" w14:textId="77777777" w:rsidR="00B9002A" w:rsidRDefault="00B9002A" w:rsidP="002D2B68">
      <w:pPr>
        <w:rPr>
          <w:u w:val="single"/>
        </w:rPr>
      </w:pPr>
    </w:p>
    <w:p w14:paraId="7FBA59BB" w14:textId="77777777" w:rsidR="00B9002A" w:rsidRDefault="00B9002A" w:rsidP="002D2B68">
      <w:pPr>
        <w:rPr>
          <w:u w:val="single"/>
        </w:rPr>
      </w:pPr>
    </w:p>
    <w:p w14:paraId="7445158D" w14:textId="77777777" w:rsidR="00B9002A" w:rsidRDefault="00B9002A" w:rsidP="002D2B68">
      <w:pPr>
        <w:rPr>
          <w:u w:val="single"/>
        </w:rPr>
      </w:pPr>
    </w:p>
    <w:p w14:paraId="542F965A" w14:textId="7BF4AAB0" w:rsidR="002D2B68" w:rsidRPr="002D2B68" w:rsidRDefault="002D2B68" w:rsidP="002D2B68">
      <w:pPr>
        <w:rPr>
          <w:u w:val="single"/>
        </w:rPr>
      </w:pPr>
      <w:r w:rsidRPr="002D2B68">
        <w:rPr>
          <w:u w:val="single"/>
        </w:rPr>
        <w:lastRenderedPageBreak/>
        <w:t>Essay Four – How effective is early intervention as an effective means of preventing young people from offending or re-offending?</w:t>
      </w:r>
    </w:p>
    <w:p w14:paraId="40A7D668" w14:textId="77777777" w:rsidR="002D2B68" w:rsidRPr="00B9002A" w:rsidRDefault="002D2B68" w:rsidP="00B9002A">
      <w:pPr>
        <w:spacing w:line="360" w:lineRule="auto"/>
        <w:jc w:val="both"/>
        <w:rPr>
          <w:sz w:val="24"/>
          <w:szCs w:val="24"/>
        </w:rPr>
      </w:pPr>
      <w:r w:rsidRPr="00B9002A">
        <w:rPr>
          <w:sz w:val="24"/>
          <w:szCs w:val="24"/>
        </w:rPr>
        <w:t xml:space="preserve">As some of the most vulnerable persons within society, children are recognised as being at the forefront of harm, through their lack of understanding about the ‘risks’ which are present within society (Asquith et al 2017). Not only to be perceived as victims, these ‘risks’ can expose children and young people to being placed into positions in which they commit civil and criminal offences and are then subsequently required to be dealt with accordingly (Muncie 2021). </w:t>
      </w:r>
    </w:p>
    <w:p w14:paraId="01D93A36" w14:textId="77777777" w:rsidR="002D2B68" w:rsidRPr="00B9002A" w:rsidRDefault="002D2B68" w:rsidP="00B9002A">
      <w:pPr>
        <w:spacing w:line="360" w:lineRule="auto"/>
        <w:jc w:val="both"/>
        <w:rPr>
          <w:sz w:val="24"/>
          <w:szCs w:val="24"/>
        </w:rPr>
      </w:pPr>
      <w:r w:rsidRPr="00B9002A">
        <w:rPr>
          <w:sz w:val="24"/>
          <w:szCs w:val="24"/>
        </w:rPr>
        <w:t xml:space="preserve">This essay will outline the understanding which is currently held around youth offending, prior to examining some of the strategies which have been employed to combat this. Discussion will then be had as to the effectiveness of these approaches. Borton’s (1970) Model of Reflection is used to structure this response. </w:t>
      </w:r>
    </w:p>
    <w:p w14:paraId="059AE8B6" w14:textId="77777777" w:rsidR="002D2B68" w:rsidRPr="00B9002A" w:rsidRDefault="002D2B68" w:rsidP="00B9002A">
      <w:pPr>
        <w:spacing w:line="360" w:lineRule="auto"/>
        <w:jc w:val="both"/>
        <w:rPr>
          <w:sz w:val="24"/>
          <w:szCs w:val="24"/>
        </w:rPr>
      </w:pPr>
      <w:r w:rsidRPr="00B9002A">
        <w:rPr>
          <w:sz w:val="24"/>
          <w:szCs w:val="24"/>
        </w:rPr>
        <w:t>Prior to any type of intervention strategy being employed, the existence of youth offending is the catalyst for such necessary actions. There are a number of reasons as to why young people can become involved in crime or anti-social behaviour, and the extent of this varies due to a number of factors Muncie 2021). In response to this, in the late 1990’s the UK government, developed a new approach to the issue of youth offending. This approach centred around “Risk-based early intervention” (Blythe and Solomon 2009:1). This strategy centred around three key ideas which underpinned the plan:</w:t>
      </w:r>
    </w:p>
    <w:p w14:paraId="22DE3F59" w14:textId="77777777" w:rsidR="002D2B68" w:rsidRPr="00B9002A" w:rsidRDefault="002D2B68" w:rsidP="00B9002A">
      <w:pPr>
        <w:pStyle w:val="ListParagraph"/>
        <w:numPr>
          <w:ilvl w:val="0"/>
          <w:numId w:val="1"/>
        </w:numPr>
        <w:spacing w:line="360" w:lineRule="auto"/>
        <w:jc w:val="both"/>
        <w:rPr>
          <w:sz w:val="24"/>
          <w:szCs w:val="24"/>
        </w:rPr>
      </w:pPr>
      <w:r w:rsidRPr="00B9002A">
        <w:rPr>
          <w:sz w:val="24"/>
          <w:szCs w:val="24"/>
        </w:rPr>
        <w:t xml:space="preserve">The earlier the intervention the better </w:t>
      </w:r>
    </w:p>
    <w:p w14:paraId="433110C4" w14:textId="77777777" w:rsidR="002D2B68" w:rsidRPr="00B9002A" w:rsidRDefault="002D2B68" w:rsidP="00B9002A">
      <w:pPr>
        <w:pStyle w:val="ListParagraph"/>
        <w:numPr>
          <w:ilvl w:val="0"/>
          <w:numId w:val="1"/>
        </w:numPr>
        <w:spacing w:line="360" w:lineRule="auto"/>
        <w:jc w:val="both"/>
        <w:rPr>
          <w:sz w:val="24"/>
          <w:szCs w:val="24"/>
        </w:rPr>
      </w:pPr>
      <w:r w:rsidRPr="00B9002A">
        <w:rPr>
          <w:sz w:val="24"/>
          <w:szCs w:val="24"/>
        </w:rPr>
        <w:t xml:space="preserve">A Targeted rather than universal provision </w:t>
      </w:r>
    </w:p>
    <w:p w14:paraId="4C5CF8D2" w14:textId="77777777" w:rsidR="002D2B68" w:rsidRPr="00B9002A" w:rsidRDefault="002D2B68" w:rsidP="00B9002A">
      <w:pPr>
        <w:pStyle w:val="ListParagraph"/>
        <w:numPr>
          <w:ilvl w:val="0"/>
          <w:numId w:val="1"/>
        </w:numPr>
        <w:spacing w:line="360" w:lineRule="auto"/>
        <w:jc w:val="both"/>
        <w:rPr>
          <w:sz w:val="24"/>
          <w:szCs w:val="24"/>
        </w:rPr>
      </w:pPr>
      <w:r w:rsidRPr="00B9002A">
        <w:rPr>
          <w:sz w:val="24"/>
          <w:szCs w:val="24"/>
        </w:rPr>
        <w:t xml:space="preserve">Coercive engagement based on tough sanctions for non-compliance </w:t>
      </w:r>
    </w:p>
    <w:p w14:paraId="25C268B5" w14:textId="77777777" w:rsidR="002D2B68" w:rsidRPr="00B9002A" w:rsidRDefault="002D2B68" w:rsidP="00B9002A">
      <w:pPr>
        <w:spacing w:line="360" w:lineRule="auto"/>
        <w:ind w:left="6480"/>
        <w:jc w:val="both"/>
        <w:rPr>
          <w:sz w:val="24"/>
          <w:szCs w:val="24"/>
        </w:rPr>
      </w:pPr>
      <w:r w:rsidRPr="00B9002A">
        <w:rPr>
          <w:sz w:val="24"/>
          <w:szCs w:val="24"/>
        </w:rPr>
        <w:t xml:space="preserve">(Blythe and Solomon 2009) </w:t>
      </w:r>
    </w:p>
    <w:p w14:paraId="2E37A81E" w14:textId="77777777" w:rsidR="002D2B68" w:rsidRPr="00B9002A" w:rsidRDefault="002D2B68" w:rsidP="00B9002A">
      <w:pPr>
        <w:spacing w:line="360" w:lineRule="auto"/>
        <w:jc w:val="both"/>
        <w:rPr>
          <w:sz w:val="24"/>
          <w:szCs w:val="24"/>
        </w:rPr>
      </w:pPr>
      <w:r w:rsidRPr="00B9002A">
        <w:rPr>
          <w:sz w:val="24"/>
          <w:szCs w:val="24"/>
        </w:rPr>
        <w:t xml:space="preserve">This strategy once implemented became the core approach to dealing with youth offending and its effectiveness was measured on the ability to implement preventative strategies (Case et al 2022). However, Case et al. (2022) outlines the way in which this strategy necessitated a change from the </w:t>
      </w:r>
      <w:r w:rsidRPr="00B9002A">
        <w:rPr>
          <w:i/>
          <w:iCs/>
          <w:sz w:val="24"/>
          <w:szCs w:val="24"/>
        </w:rPr>
        <w:t xml:space="preserve">What works </w:t>
      </w:r>
      <w:r w:rsidRPr="00B9002A">
        <w:rPr>
          <w:sz w:val="24"/>
          <w:szCs w:val="24"/>
        </w:rPr>
        <w:t xml:space="preserve">approach (Sherman et al 1998) to a </w:t>
      </w:r>
      <w:r w:rsidRPr="00B9002A">
        <w:rPr>
          <w:i/>
          <w:iCs/>
          <w:sz w:val="24"/>
          <w:szCs w:val="24"/>
        </w:rPr>
        <w:t>Child first</w:t>
      </w:r>
      <w:r w:rsidRPr="00B9002A">
        <w:rPr>
          <w:sz w:val="24"/>
          <w:szCs w:val="24"/>
        </w:rPr>
        <w:t xml:space="preserve"> approach which “based on the tenets of seeing children as children” (Case et all 2022:273). With this in mind, </w:t>
      </w:r>
      <w:r w:rsidRPr="00B9002A">
        <w:rPr>
          <w:sz w:val="24"/>
          <w:szCs w:val="24"/>
        </w:rPr>
        <w:lastRenderedPageBreak/>
        <w:t xml:space="preserve">it is explained that there is significant development which would need to be undertaken in order for this process to be formalised and therefore become truly effective. </w:t>
      </w:r>
    </w:p>
    <w:p w14:paraId="283961DD" w14:textId="77777777" w:rsidR="002D2B68" w:rsidRPr="00B9002A" w:rsidRDefault="002D2B68" w:rsidP="00B9002A">
      <w:pPr>
        <w:spacing w:line="360" w:lineRule="auto"/>
        <w:jc w:val="both"/>
        <w:rPr>
          <w:sz w:val="24"/>
          <w:szCs w:val="24"/>
        </w:rPr>
      </w:pPr>
      <w:r w:rsidRPr="00B9002A">
        <w:rPr>
          <w:sz w:val="24"/>
          <w:szCs w:val="24"/>
        </w:rPr>
        <w:t xml:space="preserve">It is relevant to note that, the majority of approaches to intervention strategies are based around </w:t>
      </w:r>
      <w:r w:rsidRPr="00B9002A">
        <w:rPr>
          <w:i/>
          <w:iCs/>
          <w:sz w:val="24"/>
          <w:szCs w:val="24"/>
        </w:rPr>
        <w:t xml:space="preserve">risk-factor </w:t>
      </w:r>
      <w:r w:rsidRPr="00B9002A">
        <w:rPr>
          <w:sz w:val="24"/>
          <w:szCs w:val="24"/>
        </w:rPr>
        <w:t xml:space="preserve">paradigms (Farrington 2006). These “identify the key risk factors for offending and implement prevention methods designed to counter-act them” (Farrington et al 2016:63). These strategies operate from a primarily objective point of view and as such, do not factor in the individuals at the centre of them, who’s understanding is ultimately key to the sustained success of these interventions (McCord 2022 b). As examined by Cavanagh and Cauffman (2017), the understanding of parental figures about the way in which the role of their child sits within the criminal justice system that deals with them can be instrumental in ensuing that they have a full grasp on the weight of a situation. </w:t>
      </w:r>
    </w:p>
    <w:p w14:paraId="3C6C2265" w14:textId="77777777" w:rsidR="002D2B68" w:rsidRPr="00B9002A" w:rsidRDefault="002D2B68" w:rsidP="00B9002A">
      <w:pPr>
        <w:spacing w:line="360" w:lineRule="auto"/>
        <w:jc w:val="both"/>
        <w:rPr>
          <w:sz w:val="24"/>
          <w:szCs w:val="24"/>
        </w:rPr>
      </w:pPr>
      <w:r w:rsidRPr="00B9002A">
        <w:rPr>
          <w:sz w:val="24"/>
          <w:szCs w:val="24"/>
        </w:rPr>
        <w:t xml:space="preserve">Beyond the strategies discussed the other most effective approach is that of crime prevention through environmental design. This notion relates to a more locality based approach in which sites or centres are created for young people to attend and subsequently draw them away from potential criminal activity (Jeffrey 1971). Further to this, as an approach which ultimately results in the long term establishment of physical stimuli that assists in preventing young people from being exposed to the catalysts that lead to criminal activity and offending, this approach has become highly effective in ensuring that offending or re-offending is reduced. </w:t>
      </w:r>
    </w:p>
    <w:p w14:paraId="1B703EA2" w14:textId="77777777" w:rsidR="002D2B68" w:rsidRPr="00B9002A" w:rsidRDefault="002D2B68" w:rsidP="00B9002A">
      <w:pPr>
        <w:spacing w:line="360" w:lineRule="auto"/>
        <w:jc w:val="both"/>
        <w:rPr>
          <w:b/>
          <w:bCs/>
          <w:sz w:val="24"/>
          <w:szCs w:val="24"/>
        </w:rPr>
      </w:pPr>
      <w:r w:rsidRPr="00B9002A">
        <w:rPr>
          <w:b/>
          <w:bCs/>
          <w:sz w:val="24"/>
          <w:szCs w:val="24"/>
        </w:rPr>
        <w:t xml:space="preserve">CONCLUSION. </w:t>
      </w:r>
    </w:p>
    <w:p w14:paraId="3C1F7A55" w14:textId="77777777" w:rsidR="002D2B68" w:rsidRPr="00B9002A" w:rsidRDefault="002D2B68" w:rsidP="00B9002A">
      <w:pPr>
        <w:spacing w:line="360" w:lineRule="auto"/>
        <w:jc w:val="both"/>
        <w:rPr>
          <w:sz w:val="24"/>
          <w:szCs w:val="24"/>
        </w:rPr>
      </w:pPr>
      <w:r w:rsidRPr="00B9002A">
        <w:rPr>
          <w:sz w:val="24"/>
          <w:szCs w:val="24"/>
        </w:rPr>
        <w:t xml:space="preserve">Having examined the approaches which have been established to deal with youth offending and re-offending, it is clear that there are a number of recognised approaches which are utilised to great effect to reduce the likelihood of youth offending. Moreover, for those youths who have offended, the approach of changing the environment in which they exist, as well as informing their knowledge and the knowledge of those responsible for them about their interactions with the criminal justice system, ultimately has a major impact on ensuring that this pattern of behaviour is not repeated. </w:t>
      </w:r>
    </w:p>
    <w:p w14:paraId="76FFDCE4" w14:textId="26A1651F" w:rsidR="002D2B68" w:rsidRDefault="003A33E1" w:rsidP="002D2B68">
      <w:r>
        <w:t>WORD COUNT: 674</w:t>
      </w:r>
    </w:p>
    <w:p w14:paraId="426F064C" w14:textId="77777777" w:rsidR="002D2B68" w:rsidRDefault="002D2B68"/>
    <w:p w14:paraId="282C7AE7" w14:textId="77777777" w:rsidR="002C4A7A" w:rsidRDefault="002C4A7A"/>
    <w:p w14:paraId="72D80FD0" w14:textId="77777777" w:rsidR="00D2296A" w:rsidRDefault="00D2296A"/>
    <w:p w14:paraId="36785F61" w14:textId="7A1E2E03" w:rsidR="002C4A7A" w:rsidRDefault="002C4A7A">
      <w:r>
        <w:lastRenderedPageBreak/>
        <w:t xml:space="preserve">BIBLIOGRAPHY </w:t>
      </w:r>
    </w:p>
    <w:p w14:paraId="054BB7B1" w14:textId="54EF5748" w:rsidR="002C4A7A" w:rsidRDefault="006F40A2">
      <w:pPr>
        <w:rPr>
          <w:b/>
          <w:bCs/>
        </w:rPr>
      </w:pPr>
      <w:r>
        <w:rPr>
          <w:b/>
          <w:bCs/>
        </w:rPr>
        <w:t>**</w:t>
      </w:r>
      <w:r w:rsidR="002C4A7A" w:rsidRPr="006F40A2">
        <w:rPr>
          <w:b/>
          <w:bCs/>
        </w:rPr>
        <w:t>Please note that at this time, the reference list is still being compiled and is subject to change depe</w:t>
      </w:r>
      <w:r w:rsidR="00877AD8" w:rsidRPr="006F40A2">
        <w:rPr>
          <w:b/>
          <w:bCs/>
        </w:rPr>
        <w:t xml:space="preserve">nding on feedback provided. </w:t>
      </w:r>
      <w:r w:rsidR="00EF24D8" w:rsidRPr="006F40A2">
        <w:rPr>
          <w:b/>
          <w:bCs/>
        </w:rPr>
        <w:t>I am aware that the Harvard System needs to be employed and have the relevant guides to format this accordingly.</w:t>
      </w:r>
      <w:r>
        <w:rPr>
          <w:b/>
          <w:bCs/>
        </w:rPr>
        <w:t xml:space="preserve">** </w:t>
      </w:r>
    </w:p>
    <w:p w14:paraId="57B7B7A7" w14:textId="25AA71A1" w:rsidR="00594E67" w:rsidRDefault="00594E67">
      <w:r w:rsidRPr="006F40A2">
        <w:t xml:space="preserve">Asquith, N L. Bartkowiak, T. Roberts, K A (2017) </w:t>
      </w:r>
      <w:r w:rsidRPr="006F40A2">
        <w:rPr>
          <w:i/>
          <w:iCs/>
        </w:rPr>
        <w:t xml:space="preserve">Policing encounters with vulnerability. </w:t>
      </w:r>
      <w:r w:rsidRPr="006F40A2">
        <w:t>Springer International Publishing</w:t>
      </w:r>
      <w:r>
        <w:t>.</w:t>
      </w:r>
    </w:p>
    <w:p w14:paraId="5AFCEAF0" w14:textId="27E253DA" w:rsidR="00594E67" w:rsidRPr="00594E67" w:rsidRDefault="00594E67">
      <w:r w:rsidRPr="006F40A2">
        <w:t xml:space="preserve">Blyth, M. and Solomon, E. (2009) </w:t>
      </w:r>
      <w:r w:rsidRPr="006F40A2">
        <w:rPr>
          <w:i/>
          <w:iCs/>
        </w:rPr>
        <w:t xml:space="preserve">Prevention and youth crime: is early intervention working? </w:t>
      </w:r>
      <w:r w:rsidRPr="006F40A2">
        <w:t>Bristol University</w:t>
      </w:r>
      <w:r w:rsidRPr="006F40A2">
        <w:rPr>
          <w:i/>
          <w:iCs/>
        </w:rPr>
        <w:t xml:space="preserve"> </w:t>
      </w:r>
      <w:r w:rsidRPr="006F40A2">
        <w:t>Policy Press</w:t>
      </w:r>
      <w:r>
        <w:t>.</w:t>
      </w:r>
    </w:p>
    <w:p w14:paraId="662D0514" w14:textId="7E56D349" w:rsidR="00043B94" w:rsidRDefault="00043B94" w:rsidP="00043B94">
      <w:r w:rsidRPr="006F40A2">
        <w:t>Bobic</w:t>
      </w:r>
      <w:r w:rsidR="006E0B60">
        <w:t>, M.</w:t>
      </w:r>
      <w:r w:rsidRPr="006F40A2">
        <w:t xml:space="preserve"> (2014) </w:t>
      </w:r>
      <w:r w:rsidR="006E0B60">
        <w:t>‘</w:t>
      </w:r>
      <w:r w:rsidRPr="006F40A2">
        <w:t>Transnational organised crime and terrorism: Nexus needing a human security framework</w:t>
      </w:r>
      <w:r w:rsidR="006E0B60">
        <w:t>’</w:t>
      </w:r>
      <w:r w:rsidRPr="006F40A2">
        <w:t xml:space="preserve"> </w:t>
      </w:r>
      <w:r w:rsidRPr="006E0B60">
        <w:rPr>
          <w:i/>
          <w:iCs/>
        </w:rPr>
        <w:t>Global Crime</w:t>
      </w:r>
      <w:r w:rsidRPr="006F40A2">
        <w:t xml:space="preserve">, </w:t>
      </w:r>
      <w:r w:rsidR="007C3267">
        <w:t>(</w:t>
      </w:r>
      <w:r w:rsidRPr="006F40A2">
        <w:t>15:3-4</w:t>
      </w:r>
      <w:r w:rsidR="007C3267">
        <w:t xml:space="preserve">) P.g. </w:t>
      </w:r>
      <w:r w:rsidRPr="006F40A2">
        <w:t>241-258</w:t>
      </w:r>
      <w:r w:rsidR="007C3267">
        <w:t xml:space="preserve">. </w:t>
      </w:r>
      <w:r w:rsidRPr="006F40A2">
        <w:t xml:space="preserve"> </w:t>
      </w:r>
    </w:p>
    <w:p w14:paraId="6A224FA4" w14:textId="77777777" w:rsidR="009C491E" w:rsidRPr="006F40A2" w:rsidRDefault="009C491E" w:rsidP="009C491E">
      <w:r w:rsidRPr="006F40A2">
        <w:t xml:space="preserve">Case, S. Sutton, C E. Greenhalgh, J. Monaghan, M. Wright, J et al. (2022) ‘Searching for context: a review of “What works” reviews of interventions to prevent youth offending using the EMMIE Framework’, </w:t>
      </w:r>
      <w:r w:rsidRPr="006F40A2">
        <w:rPr>
          <w:i/>
          <w:iCs/>
        </w:rPr>
        <w:t xml:space="preserve">Safer Communities </w:t>
      </w:r>
      <w:r w:rsidRPr="006F40A2">
        <w:t xml:space="preserve">(21:4) P.g.272-289. </w:t>
      </w:r>
    </w:p>
    <w:p w14:paraId="6969A112" w14:textId="77777777" w:rsidR="009C491E" w:rsidRDefault="009C491E" w:rsidP="009C491E">
      <w:r w:rsidRPr="006F40A2">
        <w:t xml:space="preserve">Cavanagh, C., Cauffman, E. (2017) ‘What They Don’t Know </w:t>
      </w:r>
      <w:r w:rsidRPr="006F40A2">
        <w:rPr>
          <w:i/>
          <w:iCs/>
        </w:rPr>
        <w:t xml:space="preserve">Can </w:t>
      </w:r>
      <w:r w:rsidRPr="006F40A2">
        <w:t xml:space="preserve">Hurt Them: Mothers’ Legal Knowledge and Youth Re-offending’ </w:t>
      </w:r>
      <w:r w:rsidRPr="006F40A2">
        <w:rPr>
          <w:i/>
          <w:iCs/>
        </w:rPr>
        <w:t xml:space="preserve">Psychology, Public Policy and Law </w:t>
      </w:r>
      <w:r w:rsidRPr="006F40A2">
        <w:t xml:space="preserve">(23:2) pg. 141-153. Available at: </w:t>
      </w:r>
      <w:hyperlink r:id="rId5" w:history="1">
        <w:r w:rsidRPr="006F40A2">
          <w:rPr>
            <w:rStyle w:val="Hyperlink"/>
          </w:rPr>
          <w:t>https://research-ebsco-com.ezproxy.uwtsd.ac.uk/c/onvpsy/viewer/pdf/hyzg34fpyv?route=details</w:t>
        </w:r>
      </w:hyperlink>
      <w:r w:rsidRPr="006F40A2">
        <w:t xml:space="preserve"> (Accessed: 08 August 2024)</w:t>
      </w:r>
    </w:p>
    <w:p w14:paraId="18FA67A0" w14:textId="77777777" w:rsidR="00A6139C" w:rsidRPr="006F40A2" w:rsidRDefault="00A6139C" w:rsidP="00A6139C">
      <w:hyperlink r:id="rId6" w:history="1">
        <w:r w:rsidRPr="006F40A2">
          <w:rPr>
            <w:rStyle w:val="Hyperlink"/>
          </w:rPr>
          <w:t>https://www.college.police.uk/guidance/vulnerability-related-risks/introduction-vulnerability-related-risk</w:t>
        </w:r>
      </w:hyperlink>
      <w:r w:rsidRPr="006F40A2">
        <w:t xml:space="preserve"> (Accessed 23/07/2024) </w:t>
      </w:r>
    </w:p>
    <w:p w14:paraId="4602FEAB" w14:textId="481057B1" w:rsidR="00A6139C" w:rsidRDefault="00A6139C" w:rsidP="009C491E">
      <w:hyperlink r:id="rId7" w:history="1">
        <w:r w:rsidRPr="006F40A2">
          <w:rPr>
            <w:rStyle w:val="Hyperlink"/>
            <w:b/>
            <w:bCs/>
          </w:rPr>
          <w:t>https://www.college.police.uk/app/major-investigation-and-public-protection/responding-child-sexual-exploitation/responding-child-sexual-exploitation</w:t>
        </w:r>
      </w:hyperlink>
      <w:r w:rsidRPr="006F40A2">
        <w:rPr>
          <w:b/>
          <w:bCs/>
        </w:rPr>
        <w:t xml:space="preserve"> </w:t>
      </w:r>
      <w:r w:rsidRPr="006F40A2">
        <w:t>(Accessed 28/07/2024)</w:t>
      </w:r>
    </w:p>
    <w:p w14:paraId="0F1F2498" w14:textId="2E469364" w:rsidR="00EB4058" w:rsidRPr="006F40A2" w:rsidRDefault="00EB4058" w:rsidP="009C491E">
      <w:r>
        <w:t xml:space="preserve">Dishman, C. (2001) ‘Terrorism, Crime and Transformation’ </w:t>
      </w:r>
      <w:r>
        <w:rPr>
          <w:i/>
          <w:iCs/>
        </w:rPr>
        <w:t xml:space="preserve">Studies in Conflict &amp; Terrorism </w:t>
      </w:r>
      <w:r>
        <w:t>(24) P.g. 43-58</w:t>
      </w:r>
    </w:p>
    <w:p w14:paraId="1014FB12" w14:textId="77777777" w:rsidR="00EB4058" w:rsidRDefault="00EB4058" w:rsidP="00EB4058">
      <w:r>
        <w:t xml:space="preserve">Doig, A. (2005) ‘Joining up a response to terrorism? And agency shall speak to agency’ </w:t>
      </w:r>
      <w:r>
        <w:rPr>
          <w:i/>
          <w:iCs/>
        </w:rPr>
        <w:t xml:space="preserve">Crime, Law and Social Change. </w:t>
      </w:r>
      <w:r>
        <w:t xml:space="preserve">Vol 22, p.g.423-440. </w:t>
      </w:r>
    </w:p>
    <w:p w14:paraId="0354E002" w14:textId="0A96AFD0" w:rsidR="009C491E" w:rsidRDefault="00EB4058" w:rsidP="00043B94">
      <w:r>
        <w:t xml:space="preserve">Dominic, B. (2018) ‘Funding insufficient to tackle organised crime’ </w:t>
      </w:r>
      <w:r>
        <w:rPr>
          <w:i/>
          <w:iCs/>
        </w:rPr>
        <w:t xml:space="preserve">Public Finance </w:t>
      </w:r>
      <w:r>
        <w:t>(12:5).</w:t>
      </w:r>
    </w:p>
    <w:p w14:paraId="56933113" w14:textId="748A598B" w:rsidR="00EB4058" w:rsidRDefault="00EB4058" w:rsidP="00043B94">
      <w:r>
        <w:t xml:space="preserve">Dwiwarno, N. (2018) ‘Terrorism as Transnational Organised Crime and Government’s attempt to eliminate terrorism’ </w:t>
      </w:r>
      <w:r>
        <w:rPr>
          <w:i/>
          <w:iCs/>
        </w:rPr>
        <w:t xml:space="preserve">Earth and Environmental Science </w:t>
      </w:r>
      <w:r>
        <w:t xml:space="preserve">(175:1) </w:t>
      </w:r>
    </w:p>
    <w:p w14:paraId="4AD17E4E" w14:textId="49F0AF94" w:rsidR="001265F5" w:rsidRDefault="001265F5" w:rsidP="00043B94">
      <w:r w:rsidRPr="006F40A2">
        <w:t xml:space="preserve">Farrington, D P. (2006) ‘Explaining and preventing crime: the globalisation of knowledge – the American society of criminology 1999 Presidential Address’ </w:t>
      </w:r>
      <w:r w:rsidRPr="006F40A2">
        <w:rPr>
          <w:i/>
          <w:iCs/>
        </w:rPr>
        <w:t xml:space="preserve">Criminology </w:t>
      </w:r>
      <w:r w:rsidRPr="006F40A2">
        <w:t xml:space="preserve">(38:1) P.g. 1-24. Available at: </w:t>
      </w:r>
      <w:hyperlink r:id="rId8" w:history="1">
        <w:r w:rsidRPr="006F40A2">
          <w:rPr>
            <w:rStyle w:val="Hyperlink"/>
          </w:rPr>
          <w:t>https://onlinelibrary.wiley.com/doi/10.1111/j.1745-9125.2000.tb00881.x</w:t>
        </w:r>
      </w:hyperlink>
      <w:r w:rsidRPr="006F40A2">
        <w:t xml:space="preserve"> (Accessed: 08 August 2024)</w:t>
      </w:r>
    </w:p>
    <w:p w14:paraId="38BCDFE7" w14:textId="77777777" w:rsidR="001265F5" w:rsidRPr="006F40A2" w:rsidRDefault="001265F5" w:rsidP="001265F5">
      <w:r w:rsidRPr="006F40A2">
        <w:t xml:space="preserve">Farrington, D P. Ttofi, M M. Piquero, A R. (2016) ‘Risk, promotive, and protective factors in youth offending: Results from the Cambridge study in delinquent development’. </w:t>
      </w:r>
      <w:r w:rsidRPr="006F40A2">
        <w:rPr>
          <w:i/>
          <w:iCs/>
        </w:rPr>
        <w:t xml:space="preserve">Journal of Criminal Justice </w:t>
      </w:r>
      <w:r w:rsidRPr="006F40A2">
        <w:t xml:space="preserve">Vol 45, P.g.63-70. Available at: </w:t>
      </w:r>
      <w:hyperlink r:id="rId9" w:history="1">
        <w:r w:rsidRPr="006F40A2">
          <w:rPr>
            <w:rStyle w:val="Hyperlink"/>
          </w:rPr>
          <w:t>https://www-sciencedirect-com.ezproxy.uwtsd.ac.uk/science/article/pii/S0047235216300149?via%3Dihub</w:t>
        </w:r>
      </w:hyperlink>
      <w:r w:rsidRPr="006F40A2">
        <w:t xml:space="preserve"> (Accessed: 08 August 2024) </w:t>
      </w:r>
    </w:p>
    <w:p w14:paraId="48C43842" w14:textId="77777777" w:rsidR="001265F5" w:rsidRPr="006F40A2" w:rsidRDefault="001265F5" w:rsidP="001265F5">
      <w:r w:rsidRPr="006F40A2">
        <w:t xml:space="preserve">Hallett, S. (2016) ‘An Uncomfortable Comfortableness’: ‘Care’, Child Protection and Child Sexual Exploitation’, </w:t>
      </w:r>
      <w:r w:rsidRPr="006F40A2">
        <w:rPr>
          <w:i/>
          <w:iCs/>
        </w:rPr>
        <w:t xml:space="preserve">The British Journal of Social Work </w:t>
      </w:r>
      <w:r w:rsidRPr="006F40A2">
        <w:t xml:space="preserve">(46:17) P.g. 2137-2152. Available at: </w:t>
      </w:r>
      <w:hyperlink r:id="rId10" w:history="1">
        <w:r w:rsidRPr="006F40A2">
          <w:rPr>
            <w:rStyle w:val="Hyperlink"/>
          </w:rPr>
          <w:t xml:space="preserve">‘An </w:t>
        </w:r>
        <w:r w:rsidRPr="006F40A2">
          <w:rPr>
            <w:rStyle w:val="Hyperlink"/>
          </w:rPr>
          <w:lastRenderedPageBreak/>
          <w:t>Uncomfortable Comfortableness’: ‘Care’, Child Protection and Child Sexual Exploitation | The British Journal of Social Work | Oxford Academic (oup.com)</w:t>
        </w:r>
      </w:hyperlink>
      <w:r w:rsidRPr="006F40A2">
        <w:t xml:space="preserve"> (Accessed 21/07/2024) </w:t>
      </w:r>
    </w:p>
    <w:p w14:paraId="5BF63B0B" w14:textId="77777777" w:rsidR="001265F5" w:rsidRPr="006451E8" w:rsidRDefault="001265F5" w:rsidP="001265F5">
      <w:pPr>
        <w:rPr>
          <w:rFonts w:cstheme="minorHAnsi"/>
          <w:color w:val="232323"/>
          <w:shd w:val="clear" w:color="auto" w:fill="FFFFFF"/>
        </w:rPr>
      </w:pPr>
      <w:r w:rsidRPr="006451E8">
        <w:rPr>
          <w:rFonts w:cstheme="minorHAnsi"/>
          <w:color w:val="232323"/>
          <w:shd w:val="clear" w:color="auto" w:fill="FFFFFF"/>
        </w:rPr>
        <w:t xml:space="preserve">Jeffery, C. R. (1971). </w:t>
      </w:r>
      <w:r w:rsidRPr="006451E8">
        <w:rPr>
          <w:rFonts w:cstheme="minorHAnsi"/>
          <w:i/>
          <w:iCs/>
          <w:color w:val="232323"/>
          <w:shd w:val="clear" w:color="auto" w:fill="FFFFFF"/>
        </w:rPr>
        <w:t>Crime Prevention through Environmental Design</w:t>
      </w:r>
      <w:r w:rsidRPr="006451E8">
        <w:rPr>
          <w:rFonts w:cstheme="minorHAnsi"/>
          <w:color w:val="232323"/>
          <w:shd w:val="clear" w:color="auto" w:fill="FFFFFF"/>
        </w:rPr>
        <w:t>. Beverly Hills, CA: Sage Publications.</w:t>
      </w:r>
    </w:p>
    <w:p w14:paraId="19B34BED" w14:textId="77777777" w:rsidR="00C50DBA" w:rsidRPr="006F40A2" w:rsidRDefault="00C50DBA" w:rsidP="00C50DBA">
      <w:r w:rsidRPr="006F40A2">
        <w:t xml:space="preserve">McCord, A. Birch, P. Bizo, L A. (2022) ‘Digital displacement of youth offending: addressing the issue’ </w:t>
      </w:r>
      <w:r w:rsidRPr="006F40A2">
        <w:rPr>
          <w:i/>
          <w:iCs/>
        </w:rPr>
        <w:t xml:space="preserve">Journal of Forensic Practice </w:t>
      </w:r>
      <w:r w:rsidRPr="006F40A2">
        <w:t xml:space="preserve">(24:3) P.g. 298-311. Available at: </w:t>
      </w:r>
      <w:hyperlink r:id="rId11" w:history="1">
        <w:r w:rsidRPr="006F40A2">
          <w:rPr>
            <w:rStyle w:val="Hyperlink"/>
          </w:rPr>
          <w:t>https://www.proquest.com/docview/2680010981?accountid=130472&amp;sourcetype=Scholarly%20Journals</w:t>
        </w:r>
      </w:hyperlink>
      <w:r w:rsidRPr="006F40A2">
        <w:t xml:space="preserve"> (Accessed: 08 August 2024)</w:t>
      </w:r>
    </w:p>
    <w:p w14:paraId="0E747B5F" w14:textId="77777777" w:rsidR="00C50DBA" w:rsidRDefault="00C50DBA" w:rsidP="00C50DBA">
      <w:r w:rsidRPr="006F40A2">
        <w:t xml:space="preserve">McCord, A. Birch, P. Bizo, L A. (2022) ‘Digital displacement of youth offending: scoping and understanding the issue’ </w:t>
      </w:r>
      <w:r w:rsidRPr="006F40A2">
        <w:rPr>
          <w:i/>
          <w:iCs/>
        </w:rPr>
        <w:t xml:space="preserve">Journal of Criminological Research, Policy and Practice </w:t>
      </w:r>
      <w:r w:rsidRPr="006F40A2">
        <w:t xml:space="preserve">(8:4) P.g 243-259. Available at: </w:t>
      </w:r>
      <w:hyperlink r:id="rId12" w:history="1">
        <w:r w:rsidRPr="006F40A2">
          <w:rPr>
            <w:rStyle w:val="Hyperlink"/>
          </w:rPr>
          <w:t>https://www.proquest.com/docview/2775899984?accountid=130472&amp;parentSessionId=b79km4jNJviGMTIJ0hKdxck2jXxWTR4YTRE4Scz42Bw%3D&amp;pq-origsite=primo&amp;sourcetype=Scholarly%20Journals</w:t>
        </w:r>
      </w:hyperlink>
      <w:r w:rsidRPr="006F40A2">
        <w:t xml:space="preserve"> (Accessed: 08 August 2024)</w:t>
      </w:r>
      <w:r>
        <w:t xml:space="preserve"> </w:t>
      </w:r>
    </w:p>
    <w:p w14:paraId="2F4E03E7" w14:textId="77777777" w:rsidR="00C50DBA" w:rsidRPr="006F40A2" w:rsidRDefault="00C50DBA" w:rsidP="00C50DBA">
      <w:r w:rsidRPr="006F40A2">
        <w:t xml:space="preserve">Moyle, L. (2019) ‘Situating Vulnerability and Exploitation in Street-Level Drug Markets: Cuckooing, Commuting and the County Lines Drug Supply Model’. </w:t>
      </w:r>
      <w:r w:rsidRPr="006F40A2">
        <w:rPr>
          <w:i/>
          <w:iCs/>
        </w:rPr>
        <w:t xml:space="preserve">SAGE Publications, Journal of drug issues </w:t>
      </w:r>
      <w:r w:rsidRPr="006F40A2">
        <w:t xml:space="preserve">(49:4) p.g. 739-755. Available at: </w:t>
      </w:r>
    </w:p>
    <w:p w14:paraId="3B4809C4" w14:textId="77777777" w:rsidR="00C50DBA" w:rsidRPr="006F40A2" w:rsidRDefault="00C50DBA" w:rsidP="00C50DBA">
      <w:r w:rsidRPr="006F40A2">
        <w:t xml:space="preserve">Muncie, J. (2021) </w:t>
      </w:r>
      <w:r w:rsidRPr="006F40A2">
        <w:rPr>
          <w:i/>
          <w:iCs/>
        </w:rPr>
        <w:t xml:space="preserve">Youth and Crime. </w:t>
      </w:r>
      <w:r w:rsidRPr="006F40A2">
        <w:t>SAGE</w:t>
      </w:r>
    </w:p>
    <w:p w14:paraId="3A8470D6" w14:textId="77777777" w:rsidR="00C50DBA" w:rsidRDefault="00C50DBA" w:rsidP="00C50DBA">
      <w:r>
        <w:t xml:space="preserve">Prunckun, H. (2016) ‘The Paradox of Fiction and Terrorism’s Overshadowing of Organised Crime as a Law Enforcement Concern’ </w:t>
      </w:r>
      <w:r>
        <w:rPr>
          <w:i/>
          <w:iCs/>
        </w:rPr>
        <w:t xml:space="preserve">Salus Journal </w:t>
      </w:r>
      <w:r>
        <w:t xml:space="preserve">(4:2) P.g. 62-81. </w:t>
      </w:r>
    </w:p>
    <w:p w14:paraId="70AD8CB3" w14:textId="3F26225E" w:rsidR="00C50DBA" w:rsidRDefault="00C50DBA" w:rsidP="00C50DBA">
      <w:r w:rsidRPr="006F40A2">
        <w:t xml:space="preserve">Spicer, J. (2021) ‘The policing of cuckooing in County Lines drug dealing: An ethnographic study of an amplification spiral’ </w:t>
      </w:r>
      <w:r w:rsidRPr="006F40A2">
        <w:rPr>
          <w:i/>
          <w:iCs/>
        </w:rPr>
        <w:t xml:space="preserve">British Journal of Criminology </w:t>
      </w:r>
      <w:r w:rsidRPr="006F40A2">
        <w:t xml:space="preserve">(61:5) P.g. 1390-1406: Available at: </w:t>
      </w:r>
      <w:hyperlink r:id="rId13" w:history="1">
        <w:r w:rsidRPr="006F40A2">
          <w:rPr>
            <w:rStyle w:val="Hyperlink"/>
          </w:rPr>
          <w:t>The British Journal of Criminology (uwtsd.ac.uk)</w:t>
        </w:r>
      </w:hyperlink>
    </w:p>
    <w:p w14:paraId="31E0B752" w14:textId="73A03D28" w:rsidR="00C50DBA" w:rsidRPr="009A590C" w:rsidRDefault="00C50DBA" w:rsidP="00C50DBA">
      <w:r w:rsidRPr="006F40A2">
        <w:t xml:space="preserve">Stone, N. (2018) ‘Child Criminal Exploitation: County Lines, Trafficking and Cuckooing </w:t>
      </w:r>
    </w:p>
    <w:p w14:paraId="312DC443" w14:textId="16D200BB" w:rsidR="00594E67" w:rsidRPr="006F40A2" w:rsidRDefault="00767686" w:rsidP="00767686">
      <w:r w:rsidRPr="006F40A2">
        <w:t>Sumpter</w:t>
      </w:r>
      <w:r w:rsidR="0038172C">
        <w:t xml:space="preserve">, C. </w:t>
      </w:r>
      <w:r w:rsidRPr="006F40A2">
        <w:t>Franco</w:t>
      </w:r>
      <w:r w:rsidR="0038172C">
        <w:t>, J</w:t>
      </w:r>
      <w:r w:rsidRPr="006F40A2">
        <w:t xml:space="preserve"> (2018) </w:t>
      </w:r>
      <w:r w:rsidR="00D17DF4">
        <w:t>‘</w:t>
      </w:r>
      <w:r w:rsidRPr="006F40A2">
        <w:t>Migration, Transnational Crime and Terrorism: Exploring the Nexus in Europe and Southeast Asia</w:t>
      </w:r>
      <w:r w:rsidR="00D17DF4">
        <w:t>’</w:t>
      </w:r>
      <w:r w:rsidRPr="006F40A2">
        <w:t xml:space="preserve">, </w:t>
      </w:r>
      <w:r w:rsidRPr="006F40A2">
        <w:rPr>
          <w:i/>
          <w:iCs/>
        </w:rPr>
        <w:t xml:space="preserve">Perspectives on Terrorism, </w:t>
      </w:r>
      <w:r w:rsidRPr="006F40A2">
        <w:t>Vol 12</w:t>
      </w:r>
      <w:r w:rsidR="00D17DF4">
        <w:t xml:space="preserve">. Pg. 36-50. </w:t>
      </w:r>
    </w:p>
    <w:p w14:paraId="3BFFDE68" w14:textId="77777777" w:rsidR="00C50DBA" w:rsidRPr="0005681B" w:rsidRDefault="00C50DBA" w:rsidP="00C50DBA">
      <w:r>
        <w:t xml:space="preserve">Reith, C. (1948) </w:t>
      </w:r>
      <w:r>
        <w:rPr>
          <w:i/>
          <w:iCs/>
        </w:rPr>
        <w:t xml:space="preserve">A Short History of the British Police. </w:t>
      </w:r>
      <w:r>
        <w:t xml:space="preserve">Oxford University Press. </w:t>
      </w:r>
    </w:p>
    <w:p w14:paraId="5C2B0050" w14:textId="59255226" w:rsidR="00D7317F" w:rsidRPr="00B02B31" w:rsidRDefault="00C50DBA" w:rsidP="001538CE">
      <w:r w:rsidRPr="006F40A2">
        <w:t xml:space="preserve">Rimer, J R. (2019) ‘In the street they’re real, in a picture they’re not: Constructions of children and childhood among users of online child sexual exploitation material’. </w:t>
      </w:r>
      <w:r w:rsidRPr="006F40A2">
        <w:rPr>
          <w:i/>
          <w:iCs/>
        </w:rPr>
        <w:t xml:space="preserve">Child abuse and neglect </w:t>
      </w:r>
      <w:r w:rsidRPr="006F40A2">
        <w:t xml:space="preserve">(90) p.g. 160-173. Available at: </w:t>
      </w:r>
      <w:hyperlink r:id="rId14" w:history="1">
        <w:r w:rsidRPr="006F40A2">
          <w:rPr>
            <w:rStyle w:val="Hyperlink"/>
          </w:rPr>
          <w:t>“In the street they’re real, in a picture they’re not”: Constructions of children and childhood among users of online child sexual exploitation material - ScienceDirect (uwtsd.ac.uk)</w:t>
        </w:r>
      </w:hyperlink>
      <w:r w:rsidRPr="006F40A2">
        <w:t xml:space="preserve"> (Accessed on 21/07/2024) </w:t>
      </w:r>
    </w:p>
    <w:p w14:paraId="49DC1F25" w14:textId="77777777" w:rsidR="00403FED" w:rsidRPr="006F40A2" w:rsidRDefault="00403FED" w:rsidP="00403FED">
      <w:r w:rsidRPr="006F40A2">
        <w:t xml:space="preserve">Williams, B (2023). </w:t>
      </w:r>
      <w:r w:rsidRPr="006F40A2">
        <w:rPr>
          <w:i/>
          <w:iCs/>
        </w:rPr>
        <w:t xml:space="preserve">Policing Mental Health, Vulnerability and Risk. </w:t>
      </w:r>
      <w:r w:rsidRPr="006F40A2">
        <w:t xml:space="preserve">Critical Publishing Ltd. </w:t>
      </w:r>
    </w:p>
    <w:sectPr w:rsidR="00403FED" w:rsidRPr="006F40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1B6A97"/>
    <w:multiLevelType w:val="hybridMultilevel"/>
    <w:tmpl w:val="4A46DAA0"/>
    <w:lvl w:ilvl="0" w:tplc="568CC2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5998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B68"/>
    <w:rsid w:val="00012B4A"/>
    <w:rsid w:val="00043B94"/>
    <w:rsid w:val="0005681B"/>
    <w:rsid w:val="000B20B4"/>
    <w:rsid w:val="000D36CF"/>
    <w:rsid w:val="001070C2"/>
    <w:rsid w:val="00110D21"/>
    <w:rsid w:val="001265F5"/>
    <w:rsid w:val="001538CE"/>
    <w:rsid w:val="002C4A7A"/>
    <w:rsid w:val="002D2B68"/>
    <w:rsid w:val="0033731E"/>
    <w:rsid w:val="0038172C"/>
    <w:rsid w:val="003A33E1"/>
    <w:rsid w:val="00403FED"/>
    <w:rsid w:val="00433335"/>
    <w:rsid w:val="00477903"/>
    <w:rsid w:val="005065C8"/>
    <w:rsid w:val="00594E67"/>
    <w:rsid w:val="00597B58"/>
    <w:rsid w:val="006451E8"/>
    <w:rsid w:val="006617F7"/>
    <w:rsid w:val="00677548"/>
    <w:rsid w:val="006E0B60"/>
    <w:rsid w:val="006F40A2"/>
    <w:rsid w:val="00746CF0"/>
    <w:rsid w:val="00767686"/>
    <w:rsid w:val="007C3267"/>
    <w:rsid w:val="007E032D"/>
    <w:rsid w:val="007E3F0A"/>
    <w:rsid w:val="00877AD8"/>
    <w:rsid w:val="0088791E"/>
    <w:rsid w:val="009221D5"/>
    <w:rsid w:val="009A590C"/>
    <w:rsid w:val="009C491E"/>
    <w:rsid w:val="009C6A02"/>
    <w:rsid w:val="00A20924"/>
    <w:rsid w:val="00A6139C"/>
    <w:rsid w:val="00B02B31"/>
    <w:rsid w:val="00B31B4B"/>
    <w:rsid w:val="00B75776"/>
    <w:rsid w:val="00B9002A"/>
    <w:rsid w:val="00BB60C0"/>
    <w:rsid w:val="00C50DBA"/>
    <w:rsid w:val="00C85211"/>
    <w:rsid w:val="00CB471F"/>
    <w:rsid w:val="00CF1488"/>
    <w:rsid w:val="00D17DF4"/>
    <w:rsid w:val="00D2296A"/>
    <w:rsid w:val="00D560A2"/>
    <w:rsid w:val="00D6346C"/>
    <w:rsid w:val="00D7317F"/>
    <w:rsid w:val="00E0568B"/>
    <w:rsid w:val="00E51885"/>
    <w:rsid w:val="00EB4058"/>
    <w:rsid w:val="00EF24D8"/>
    <w:rsid w:val="00EF4C22"/>
    <w:rsid w:val="00F51071"/>
    <w:rsid w:val="00FA09D7"/>
    <w:rsid w:val="00FD4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F7F5F"/>
  <w15:chartTrackingRefBased/>
  <w15:docId w15:val="{BD76E311-9A28-453B-B747-00CFEAC5C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B6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2B68"/>
    <w:pPr>
      <w:ind w:left="720"/>
      <w:contextualSpacing/>
    </w:pPr>
  </w:style>
  <w:style w:type="character" w:styleId="Hyperlink">
    <w:name w:val="Hyperlink"/>
    <w:basedOn w:val="DefaultParagraphFont"/>
    <w:uiPriority w:val="99"/>
    <w:unhideWhenUsed/>
    <w:rsid w:val="00EF4C2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10.1111/j.1745-9125.2000.tb00881.x" TargetMode="External"/><Relationship Id="rId13" Type="http://schemas.openxmlformats.org/officeDocument/2006/relationships/hyperlink" Target="https://plus-lexis-com.ezproxy.uwtsd.ac.uk/uk/toc/?crid=2177ba95-1b7f-4fb1-bbf7-8a4dde0a4022&amp;pdtocfullpath=%2Fshared%2Ftableofcontents%2Furn:contentItem:5MWD-0H51-FHXX-9000-00000-00&amp;pdsearchdisplaytext=The%20British%20Journal%20of%20Criminology&amp;pdcontextvalue=analytical-materials-uk%7Cbooks-journals-uk&amp;pdmfid=1001073&amp;pdisurlapi=true" TargetMode="External"/><Relationship Id="rId3" Type="http://schemas.openxmlformats.org/officeDocument/2006/relationships/settings" Target="settings.xml"/><Relationship Id="rId7" Type="http://schemas.openxmlformats.org/officeDocument/2006/relationships/hyperlink" Target="https://www.college.police.uk/app/major-investigation-and-public-protection/responding-child-sexual-exploitation/responding-child-sexual-exploitation" TargetMode="External"/><Relationship Id="rId12" Type="http://schemas.openxmlformats.org/officeDocument/2006/relationships/hyperlink" Target="https://www.proquest.com/docview/2775899984?accountid=130472&amp;parentSessionId=b79km4jNJviGMTIJ0hKdxck2jXxWTR4YTRE4Scz42Bw%3D&amp;pq-origsite=primo&amp;sourcetype=Scholarly%20Journal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ollege.police.uk/guidance/vulnerability-related-risks/introduction-vulnerability-related-risk" TargetMode="External"/><Relationship Id="rId11" Type="http://schemas.openxmlformats.org/officeDocument/2006/relationships/hyperlink" Target="https://www.proquest.com/docview/2680010981?accountid=130472&amp;sourcetype=Scholarly%20Journals" TargetMode="External"/><Relationship Id="rId5" Type="http://schemas.openxmlformats.org/officeDocument/2006/relationships/hyperlink" Target="https://research-ebsco-com.ezproxy.uwtsd.ac.uk/c/onvpsy/viewer/pdf/hyzg34fpyv?route=details" TargetMode="External"/><Relationship Id="rId15" Type="http://schemas.openxmlformats.org/officeDocument/2006/relationships/fontTable" Target="fontTable.xml"/><Relationship Id="rId10" Type="http://schemas.openxmlformats.org/officeDocument/2006/relationships/hyperlink" Target="https://academic.oup.com/bjsw/article/46/7/2137/2770735?login=true" TargetMode="External"/><Relationship Id="rId4" Type="http://schemas.openxmlformats.org/officeDocument/2006/relationships/webSettings" Target="webSettings.xml"/><Relationship Id="rId9" Type="http://schemas.openxmlformats.org/officeDocument/2006/relationships/hyperlink" Target="https://www-sciencedirect-com.ezproxy.uwtsd.ac.uk/science/article/pii/S0047235216300149?via%3Dihub" TargetMode="External"/><Relationship Id="rId14" Type="http://schemas.openxmlformats.org/officeDocument/2006/relationships/hyperlink" Target="https://www-sciencedirect-com.ezproxy.uwtsd.ac.uk/science/article/pii/S0145213418304526?via%3Dih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13</Pages>
  <Words>4267</Words>
  <Characters>24324</Characters>
  <Application>Microsoft Office Word</Application>
  <DocSecurity>0</DocSecurity>
  <Lines>202</Lines>
  <Paragraphs>57</Paragraphs>
  <ScaleCrop>false</ScaleCrop>
  <Company>Gwent Police</Company>
  <LinksUpToDate>false</LinksUpToDate>
  <CharactersWithSpaces>28534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Mills, Ethan</dc:creator>
  <cp:keywords/>
  <dc:description/>
  <cp:lastModifiedBy>Mills, Ethan</cp:lastModifiedBy>
  <cp:revision>57</cp:revision>
  <dcterms:created xsi:type="dcterms:W3CDTF">2024-08-18T10:43:00Z</dcterms:created>
  <dcterms:modified xsi:type="dcterms:W3CDTF">2024-08-18T11:23:00Z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2024-08-18T10:46:03Z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47676617-db95-42a4-8856-9f6e0935b98e</vt:lpwstr>
  </property>
  <property fmtid="{D5CDD505-2E9C-101B-9397-08002B2CF9AE}" pid="8" name="MSIP_Label_f2acd28b-79a3-4a0f-b0ff-4b75658b1549_ContentBits">
    <vt:lpwstr>0</vt:lpwstr>
  </property>
</Properties>
</file>