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3A278" w14:textId="22BFE112" w:rsidR="0024786C" w:rsidRPr="00143358" w:rsidRDefault="00143358" w:rsidP="00143358">
      <w:pPr>
        <w:jc w:val="center"/>
      </w:pPr>
      <w:r w:rsidRPr="00143358">
        <w:rPr>
          <w:noProof/>
        </w:rPr>
        <w:drawing>
          <wp:inline distT="0" distB="0" distL="0" distR="0" wp14:anchorId="0756F319" wp14:editId="7CC4BE27">
            <wp:extent cx="4754880" cy="1889760"/>
            <wp:effectExtent l="0" t="0" r="7620" b="0"/>
            <wp:docPr id="1277535419" name="Picture 1" descr="University of Wales Trinity Saint David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University of Wales Trinity Saint David - Univers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880" cy="1889760"/>
                    </a:xfrm>
                    <a:prstGeom prst="rect">
                      <a:avLst/>
                    </a:prstGeom>
                    <a:noFill/>
                    <a:ln>
                      <a:noFill/>
                    </a:ln>
                  </pic:spPr>
                </pic:pic>
              </a:graphicData>
            </a:graphic>
          </wp:inline>
        </w:drawing>
      </w:r>
    </w:p>
    <w:p w14:paraId="26DE9522" w14:textId="77777777" w:rsidR="0024786C" w:rsidRPr="00143358" w:rsidRDefault="0024786C" w:rsidP="00B842E1"/>
    <w:p w14:paraId="2EDBCDBB" w14:textId="77777777" w:rsidR="00064145" w:rsidRPr="00143358" w:rsidRDefault="00064145" w:rsidP="00064145"/>
    <w:p w14:paraId="1BEFE907" w14:textId="2792260D" w:rsidR="0024786C" w:rsidRPr="00143358" w:rsidRDefault="0024786C" w:rsidP="00064145">
      <w:pPr>
        <w:jc w:val="center"/>
        <w:rPr>
          <w:b/>
          <w:bCs/>
          <w:i/>
          <w:iCs/>
          <w:sz w:val="32"/>
          <w:szCs w:val="32"/>
        </w:rPr>
      </w:pPr>
      <w:r w:rsidRPr="00143358">
        <w:rPr>
          <w:b/>
          <w:bCs/>
          <w:i/>
          <w:iCs/>
          <w:sz w:val="32"/>
          <w:szCs w:val="32"/>
        </w:rPr>
        <w:t>Independent Technical Review — Proposed Explosive Storage Facility, Swansea</w:t>
      </w:r>
      <w:r w:rsidR="00CA1D97" w:rsidRPr="00143358">
        <w:rPr>
          <w:b/>
          <w:bCs/>
          <w:i/>
          <w:iCs/>
          <w:sz w:val="32"/>
          <w:szCs w:val="32"/>
        </w:rPr>
        <w:t xml:space="preserve"> Waterfront.</w:t>
      </w:r>
    </w:p>
    <w:p w14:paraId="20B828AA" w14:textId="77777777" w:rsidR="00064145" w:rsidRPr="00143358" w:rsidRDefault="00064145" w:rsidP="00064145">
      <w:pPr>
        <w:jc w:val="center"/>
      </w:pPr>
      <w:r w:rsidRPr="00143358">
        <w:t>51.61818° N, -3.91886° W</w:t>
      </w:r>
    </w:p>
    <w:p w14:paraId="6D55536F" w14:textId="77777777" w:rsidR="00064145" w:rsidRPr="00143358" w:rsidRDefault="00064145" w:rsidP="00064145">
      <w:pPr>
        <w:jc w:val="center"/>
      </w:pPr>
      <w:r w:rsidRPr="00143358">
        <w:t>C</w:t>
      </w:r>
      <w:r w:rsidR="0024786C" w:rsidRPr="00143358">
        <w:t>ommissioned by: City and County of Swansea Council</w:t>
      </w:r>
    </w:p>
    <w:p w14:paraId="003D2D0E" w14:textId="4D1B25F9" w:rsidR="0024786C" w:rsidRPr="00143358" w:rsidRDefault="0024786C" w:rsidP="00064145">
      <w:pPr>
        <w:jc w:val="center"/>
      </w:pPr>
      <w:r w:rsidRPr="00143358">
        <w:t xml:space="preserve">Prepared by: </w:t>
      </w:r>
      <w:r w:rsidR="00064145" w:rsidRPr="00143358">
        <w:t xml:space="preserve">Stephen McAngus, University of Wales Trinity Saint David. </w:t>
      </w:r>
    </w:p>
    <w:p w14:paraId="1F3138A5" w14:textId="48A5DEFC" w:rsidR="00064145" w:rsidRPr="00143358" w:rsidRDefault="00064145" w:rsidP="00064145">
      <w:pPr>
        <w:jc w:val="center"/>
      </w:pPr>
      <w:r w:rsidRPr="00143358">
        <w:t>1</w:t>
      </w:r>
      <w:r w:rsidRPr="00143358">
        <w:rPr>
          <w:vertAlign w:val="superscript"/>
        </w:rPr>
        <w:t>st</w:t>
      </w:r>
      <w:r w:rsidRPr="00143358">
        <w:t xml:space="preserve"> December 2025</w:t>
      </w:r>
    </w:p>
    <w:p w14:paraId="1F67103A" w14:textId="24FCF3EC" w:rsidR="00064145" w:rsidRPr="00143358" w:rsidRDefault="00064145" w:rsidP="00064145">
      <w:pPr>
        <w:jc w:val="center"/>
      </w:pPr>
      <w:r w:rsidRPr="00143358">
        <w:t>Version 1.0</w:t>
      </w:r>
    </w:p>
    <w:p w14:paraId="2CBEEE93" w14:textId="73EFEA30" w:rsidR="0024786C" w:rsidRPr="00143358" w:rsidRDefault="0024786C" w:rsidP="0024786C">
      <w:pPr>
        <w:rPr>
          <w:b/>
          <w:bCs/>
        </w:rPr>
      </w:pPr>
      <w:r w:rsidRPr="00143358">
        <w:rPr>
          <w:b/>
          <w:bCs/>
        </w:rPr>
        <w:t>Executive summary</w:t>
      </w:r>
      <w:r w:rsidR="00064145" w:rsidRPr="00143358">
        <w:rPr>
          <w:b/>
          <w:bCs/>
        </w:rPr>
        <w:t>:</w:t>
      </w:r>
    </w:p>
    <w:p w14:paraId="48F2AECE" w14:textId="3A994A53" w:rsidR="0024786C" w:rsidRPr="00143358" w:rsidRDefault="0024786C" w:rsidP="0024786C">
      <w:r w:rsidRPr="00143358">
        <w:t xml:space="preserve">This independent technical review evaluates the planning application from </w:t>
      </w:r>
      <w:proofErr w:type="spellStart"/>
      <w:r w:rsidRPr="00143358">
        <w:t>BigBang</w:t>
      </w:r>
      <w:proofErr w:type="spellEnd"/>
      <w:r w:rsidRPr="00143358">
        <w:t xml:space="preserve"> Storage Solutions for five Earth-Covered Storage Houses (ESH) </w:t>
      </w:r>
      <w:r w:rsidR="00064145" w:rsidRPr="00143358">
        <w:t>at a proposed site adjacent to Swansea Harbour</w:t>
      </w:r>
      <w:r w:rsidRPr="00143358">
        <w:t>. The review verifies the applicant’s Net Explosive Quantity (NEQ), examines compatibility segregation, and validates proposed Quantity–Distance (QD) zoning using the IATG QD methodology (IATG 02.20, 02.30, 04.10, 05.20)</w:t>
      </w:r>
      <w:r w:rsidR="00064145" w:rsidRPr="00143358">
        <w:t>, and proposes rectified Explosive Limit Licence’s (ELL’s)</w:t>
      </w:r>
    </w:p>
    <w:p w14:paraId="2128F592" w14:textId="0B710C67" w:rsidR="0024786C" w:rsidRPr="00143358" w:rsidRDefault="00064145" w:rsidP="0024786C">
      <w:r w:rsidRPr="00143358">
        <w:t>Report k</w:t>
      </w:r>
      <w:r w:rsidR="0024786C" w:rsidRPr="00143358">
        <w:t xml:space="preserve">ey findings: </w:t>
      </w:r>
      <w:r w:rsidRPr="00143358">
        <w:t>(</w:t>
      </w:r>
      <w:proofErr w:type="gramStart"/>
      <w:r w:rsidRPr="00143358">
        <w:t>1)T</w:t>
      </w:r>
      <w:r w:rsidR="0024786C" w:rsidRPr="00143358">
        <w:t>he</w:t>
      </w:r>
      <w:proofErr w:type="gramEnd"/>
      <w:r w:rsidR="0024786C" w:rsidRPr="00143358">
        <w:t xml:space="preserve"> NEQ claimed in the </w:t>
      </w:r>
      <w:r w:rsidRPr="00143358">
        <w:t>application presented by Big Bang Storage Solutions</w:t>
      </w:r>
      <w:r w:rsidR="0024786C" w:rsidRPr="00143358">
        <w:t xml:space="preserve"> exceeds the storage capacity implied by 1,000 kg per E</w:t>
      </w:r>
      <w:r w:rsidRPr="00143358">
        <w:t>SH.</w:t>
      </w:r>
      <w:r w:rsidR="0024786C" w:rsidRPr="00143358">
        <w:t xml:space="preserve"> (2) compatibility grouping as submitted would </w:t>
      </w:r>
      <w:r w:rsidR="00D10BFF" w:rsidRPr="00143358">
        <w:t xml:space="preserve">also </w:t>
      </w:r>
      <w:r w:rsidR="0024786C" w:rsidRPr="00143358">
        <w:t xml:space="preserve">significantly increase </w:t>
      </w:r>
      <w:r w:rsidR="00D10BFF" w:rsidRPr="00143358">
        <w:t xml:space="preserve">the number of ESHs or increase the NEQ per </w:t>
      </w:r>
      <w:r w:rsidR="00143358" w:rsidRPr="00143358">
        <w:t>ESH and</w:t>
      </w:r>
      <w:r w:rsidR="00D10BFF" w:rsidRPr="00143358">
        <w:t xml:space="preserve"> therefore alter the NEQ of the proposed license</w:t>
      </w:r>
      <w:r w:rsidRPr="00143358">
        <w:t xml:space="preserve"> from Big Bang Storage Solutions.</w:t>
      </w:r>
      <w:r w:rsidR="0024786C" w:rsidRPr="00143358">
        <w:t xml:space="preserve"> (3) IATG QD maps indicate that existing proposed stand-offs to inhabited / vulnerable buildings and public routes are inadequate for the confirmed NEQ and compatibility combinations.</w:t>
      </w:r>
      <w:r w:rsidRPr="00143358">
        <w:t xml:space="preserve"> (4) New proposed limit licenses have been proposed in Annex D, where HD 1.1 has been removed from the license </w:t>
      </w:r>
      <w:r w:rsidR="00B249C5" w:rsidRPr="00143358">
        <w:t xml:space="preserve">as nearby public infrastructure would prohibit the storage of HD1.1 explosives. </w:t>
      </w:r>
    </w:p>
    <w:p w14:paraId="3B61A89F" w14:textId="7388DC4F" w:rsidR="0024786C" w:rsidRPr="00143358" w:rsidRDefault="0024786C" w:rsidP="0024786C">
      <w:r w:rsidRPr="00143358">
        <w:t>Immediate recommendations</w:t>
      </w:r>
      <w:r w:rsidR="00B249C5" w:rsidRPr="00143358">
        <w:t xml:space="preserve"> based off key findings</w:t>
      </w:r>
      <w:r w:rsidRPr="00143358">
        <w:t xml:space="preserve">: withhold planning approval until </w:t>
      </w:r>
      <w:proofErr w:type="spellStart"/>
      <w:r w:rsidRPr="00143358">
        <w:t>BigBang</w:t>
      </w:r>
      <w:proofErr w:type="spellEnd"/>
      <w:r w:rsidRPr="00143358">
        <w:t xml:space="preserve"> submits corrected NEQ accounting and revised storage layout demonstrating compliance with IATG QD and compatibility segregation;</w:t>
      </w:r>
      <w:r w:rsidR="00B249C5" w:rsidRPr="00143358">
        <w:t xml:space="preserve"> in addition to </w:t>
      </w:r>
      <w:proofErr w:type="gramStart"/>
      <w:r w:rsidR="00B249C5" w:rsidRPr="00143358">
        <w:t xml:space="preserve">supplementary  </w:t>
      </w:r>
      <w:r w:rsidRPr="00143358">
        <w:t>detailed</w:t>
      </w:r>
      <w:proofErr w:type="gramEnd"/>
      <w:r w:rsidRPr="00143358">
        <w:t xml:space="preserve"> emergency response plan and independent third-party OME verification.</w:t>
      </w:r>
    </w:p>
    <w:p w14:paraId="25BAEDB1" w14:textId="77777777" w:rsidR="00D10BFF" w:rsidRPr="00143358" w:rsidRDefault="00D10BFF" w:rsidP="0024786C"/>
    <w:sdt>
      <w:sdtPr>
        <w:rPr>
          <w:color w:val="auto"/>
        </w:rPr>
        <w:id w:val="2127122572"/>
        <w:docPartObj>
          <w:docPartGallery w:val="Table of Contents"/>
          <w:docPartUnique/>
        </w:docPartObj>
      </w:sdtPr>
      <w:sdtEndPr>
        <w:rPr>
          <w:rFonts w:asciiTheme="minorHAnsi" w:eastAsiaTheme="minorHAnsi" w:hAnsiTheme="minorHAnsi" w:cstheme="minorBidi"/>
          <w:b/>
          <w:bCs/>
          <w:noProof/>
          <w:kern w:val="2"/>
          <w:sz w:val="22"/>
          <w:szCs w:val="22"/>
          <w:lang w:val="en-GB"/>
          <w14:ligatures w14:val="standardContextual"/>
        </w:rPr>
      </w:sdtEndPr>
      <w:sdtContent>
        <w:p w14:paraId="7762DE20" w14:textId="714A0315" w:rsidR="00CA1D97" w:rsidRPr="00143358" w:rsidRDefault="00CA1D97">
          <w:pPr>
            <w:pStyle w:val="TOCHeading"/>
            <w:rPr>
              <w:color w:val="auto"/>
            </w:rPr>
          </w:pPr>
          <w:r w:rsidRPr="00143358">
            <w:rPr>
              <w:color w:val="auto"/>
            </w:rPr>
            <w:t>Table of Contents</w:t>
          </w:r>
        </w:p>
        <w:p w14:paraId="1AF4E337" w14:textId="489054EC" w:rsidR="00000435" w:rsidRDefault="00CA1D97">
          <w:pPr>
            <w:pStyle w:val="TOC1"/>
            <w:tabs>
              <w:tab w:val="right" w:leader="dot" w:pos="9016"/>
            </w:tabs>
            <w:rPr>
              <w:rFonts w:cstheme="minorBidi"/>
              <w:noProof/>
              <w:kern w:val="2"/>
              <w:sz w:val="24"/>
              <w:szCs w:val="24"/>
              <w:lang w:val="en-GB" w:eastAsia="en-GB"/>
              <w14:ligatures w14:val="standardContextual"/>
            </w:rPr>
          </w:pPr>
          <w:r w:rsidRPr="00143358">
            <w:fldChar w:fldCharType="begin"/>
          </w:r>
          <w:r w:rsidRPr="00143358">
            <w:instrText xml:space="preserve"> TOC \o "1-3" \h \z \u </w:instrText>
          </w:r>
          <w:r w:rsidRPr="00143358">
            <w:fldChar w:fldCharType="separate"/>
          </w:r>
          <w:hyperlink w:anchor="_Toc216382898" w:history="1">
            <w:r w:rsidR="00000435" w:rsidRPr="00077190">
              <w:rPr>
                <w:rStyle w:val="Hyperlink"/>
                <w:b/>
                <w:bCs/>
                <w:noProof/>
              </w:rPr>
              <w:t>Table of Figures</w:t>
            </w:r>
            <w:r w:rsidR="00000435">
              <w:rPr>
                <w:noProof/>
                <w:webHidden/>
              </w:rPr>
              <w:tab/>
            </w:r>
            <w:r w:rsidR="00000435">
              <w:rPr>
                <w:noProof/>
                <w:webHidden/>
              </w:rPr>
              <w:fldChar w:fldCharType="begin"/>
            </w:r>
            <w:r w:rsidR="00000435">
              <w:rPr>
                <w:noProof/>
                <w:webHidden/>
              </w:rPr>
              <w:instrText xml:space="preserve"> PAGEREF _Toc216382898 \h </w:instrText>
            </w:r>
            <w:r w:rsidR="00000435">
              <w:rPr>
                <w:noProof/>
                <w:webHidden/>
              </w:rPr>
            </w:r>
            <w:r w:rsidR="00000435">
              <w:rPr>
                <w:noProof/>
                <w:webHidden/>
              </w:rPr>
              <w:fldChar w:fldCharType="separate"/>
            </w:r>
            <w:r w:rsidR="00000435">
              <w:rPr>
                <w:noProof/>
                <w:webHidden/>
              </w:rPr>
              <w:t>1</w:t>
            </w:r>
            <w:r w:rsidR="00000435">
              <w:rPr>
                <w:noProof/>
                <w:webHidden/>
              </w:rPr>
              <w:fldChar w:fldCharType="end"/>
            </w:r>
          </w:hyperlink>
        </w:p>
        <w:p w14:paraId="3FBD7917" w14:textId="562133D8"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899" w:history="1">
            <w:r w:rsidRPr="00077190">
              <w:rPr>
                <w:rStyle w:val="Hyperlink"/>
                <w:b/>
                <w:bCs/>
                <w:noProof/>
              </w:rPr>
              <w:t>Table of Tables</w:t>
            </w:r>
            <w:r>
              <w:rPr>
                <w:noProof/>
                <w:webHidden/>
              </w:rPr>
              <w:tab/>
            </w:r>
            <w:r>
              <w:rPr>
                <w:noProof/>
                <w:webHidden/>
              </w:rPr>
              <w:fldChar w:fldCharType="begin"/>
            </w:r>
            <w:r>
              <w:rPr>
                <w:noProof/>
                <w:webHidden/>
              </w:rPr>
              <w:instrText xml:space="preserve"> PAGEREF _Toc216382899 \h </w:instrText>
            </w:r>
            <w:r>
              <w:rPr>
                <w:noProof/>
                <w:webHidden/>
              </w:rPr>
            </w:r>
            <w:r>
              <w:rPr>
                <w:noProof/>
                <w:webHidden/>
              </w:rPr>
              <w:fldChar w:fldCharType="separate"/>
            </w:r>
            <w:r>
              <w:rPr>
                <w:noProof/>
                <w:webHidden/>
              </w:rPr>
              <w:t>1</w:t>
            </w:r>
            <w:r>
              <w:rPr>
                <w:noProof/>
                <w:webHidden/>
              </w:rPr>
              <w:fldChar w:fldCharType="end"/>
            </w:r>
          </w:hyperlink>
        </w:p>
        <w:p w14:paraId="62DB4577" w14:textId="5F323B05"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00" w:history="1">
            <w:r w:rsidRPr="00077190">
              <w:rPr>
                <w:rStyle w:val="Hyperlink"/>
                <w:b/>
                <w:bCs/>
                <w:noProof/>
              </w:rPr>
              <w:t>1. Introduction</w:t>
            </w:r>
            <w:r>
              <w:rPr>
                <w:noProof/>
                <w:webHidden/>
              </w:rPr>
              <w:tab/>
            </w:r>
            <w:r>
              <w:rPr>
                <w:noProof/>
                <w:webHidden/>
              </w:rPr>
              <w:fldChar w:fldCharType="begin"/>
            </w:r>
            <w:r>
              <w:rPr>
                <w:noProof/>
                <w:webHidden/>
              </w:rPr>
              <w:instrText xml:space="preserve"> PAGEREF _Toc216382900 \h </w:instrText>
            </w:r>
            <w:r>
              <w:rPr>
                <w:noProof/>
                <w:webHidden/>
              </w:rPr>
            </w:r>
            <w:r>
              <w:rPr>
                <w:noProof/>
                <w:webHidden/>
              </w:rPr>
              <w:fldChar w:fldCharType="separate"/>
            </w:r>
            <w:r>
              <w:rPr>
                <w:noProof/>
                <w:webHidden/>
              </w:rPr>
              <w:t>2</w:t>
            </w:r>
            <w:r>
              <w:rPr>
                <w:noProof/>
                <w:webHidden/>
              </w:rPr>
              <w:fldChar w:fldCharType="end"/>
            </w:r>
          </w:hyperlink>
        </w:p>
        <w:p w14:paraId="1104C578" w14:textId="4CB7C79C"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1" w:history="1">
            <w:r w:rsidRPr="00077190">
              <w:rPr>
                <w:rStyle w:val="Hyperlink"/>
                <w:b/>
                <w:bCs/>
                <w:noProof/>
              </w:rPr>
              <w:t>1.2. Aim of review:</w:t>
            </w:r>
            <w:r>
              <w:rPr>
                <w:noProof/>
                <w:webHidden/>
              </w:rPr>
              <w:tab/>
            </w:r>
            <w:r>
              <w:rPr>
                <w:noProof/>
                <w:webHidden/>
              </w:rPr>
              <w:fldChar w:fldCharType="begin"/>
            </w:r>
            <w:r>
              <w:rPr>
                <w:noProof/>
                <w:webHidden/>
              </w:rPr>
              <w:instrText xml:space="preserve"> PAGEREF _Toc216382901 \h </w:instrText>
            </w:r>
            <w:r>
              <w:rPr>
                <w:noProof/>
                <w:webHidden/>
              </w:rPr>
            </w:r>
            <w:r>
              <w:rPr>
                <w:noProof/>
                <w:webHidden/>
              </w:rPr>
              <w:fldChar w:fldCharType="separate"/>
            </w:r>
            <w:r>
              <w:rPr>
                <w:noProof/>
                <w:webHidden/>
              </w:rPr>
              <w:t>2</w:t>
            </w:r>
            <w:r>
              <w:rPr>
                <w:noProof/>
                <w:webHidden/>
              </w:rPr>
              <w:fldChar w:fldCharType="end"/>
            </w:r>
          </w:hyperlink>
        </w:p>
        <w:p w14:paraId="7F183AE5" w14:textId="399D7576"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2" w:history="1">
            <w:r w:rsidRPr="00077190">
              <w:rPr>
                <w:rStyle w:val="Hyperlink"/>
                <w:b/>
                <w:bCs/>
                <w:noProof/>
              </w:rPr>
              <w:t>1.3. Objectives of review:</w:t>
            </w:r>
            <w:r>
              <w:rPr>
                <w:noProof/>
                <w:webHidden/>
              </w:rPr>
              <w:tab/>
            </w:r>
            <w:r>
              <w:rPr>
                <w:noProof/>
                <w:webHidden/>
              </w:rPr>
              <w:fldChar w:fldCharType="begin"/>
            </w:r>
            <w:r>
              <w:rPr>
                <w:noProof/>
                <w:webHidden/>
              </w:rPr>
              <w:instrText xml:space="preserve"> PAGEREF _Toc216382902 \h </w:instrText>
            </w:r>
            <w:r>
              <w:rPr>
                <w:noProof/>
                <w:webHidden/>
              </w:rPr>
            </w:r>
            <w:r>
              <w:rPr>
                <w:noProof/>
                <w:webHidden/>
              </w:rPr>
              <w:fldChar w:fldCharType="separate"/>
            </w:r>
            <w:r>
              <w:rPr>
                <w:noProof/>
                <w:webHidden/>
              </w:rPr>
              <w:t>3</w:t>
            </w:r>
            <w:r>
              <w:rPr>
                <w:noProof/>
                <w:webHidden/>
              </w:rPr>
              <w:fldChar w:fldCharType="end"/>
            </w:r>
          </w:hyperlink>
        </w:p>
        <w:p w14:paraId="5F986D22" w14:textId="46068431"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03" w:history="1">
            <w:r w:rsidRPr="00077190">
              <w:rPr>
                <w:rStyle w:val="Hyperlink"/>
                <w:b/>
                <w:bCs/>
                <w:noProof/>
              </w:rPr>
              <w:t>2. Methodology</w:t>
            </w:r>
            <w:r>
              <w:rPr>
                <w:noProof/>
                <w:webHidden/>
              </w:rPr>
              <w:tab/>
            </w:r>
            <w:r>
              <w:rPr>
                <w:noProof/>
                <w:webHidden/>
              </w:rPr>
              <w:fldChar w:fldCharType="begin"/>
            </w:r>
            <w:r>
              <w:rPr>
                <w:noProof/>
                <w:webHidden/>
              </w:rPr>
              <w:instrText xml:space="preserve"> PAGEREF _Toc216382903 \h </w:instrText>
            </w:r>
            <w:r>
              <w:rPr>
                <w:noProof/>
                <w:webHidden/>
              </w:rPr>
            </w:r>
            <w:r>
              <w:rPr>
                <w:noProof/>
                <w:webHidden/>
              </w:rPr>
              <w:fldChar w:fldCharType="separate"/>
            </w:r>
            <w:r>
              <w:rPr>
                <w:noProof/>
                <w:webHidden/>
              </w:rPr>
              <w:t>3</w:t>
            </w:r>
            <w:r>
              <w:rPr>
                <w:noProof/>
                <w:webHidden/>
              </w:rPr>
              <w:fldChar w:fldCharType="end"/>
            </w:r>
          </w:hyperlink>
        </w:p>
        <w:p w14:paraId="759F9A9F" w14:textId="366A00BA"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4" w:history="1">
            <w:r w:rsidRPr="00077190">
              <w:rPr>
                <w:rStyle w:val="Hyperlink"/>
                <w:b/>
                <w:bCs/>
                <w:noProof/>
              </w:rPr>
              <w:t>2.1. Review of Applicant Documentation:</w:t>
            </w:r>
            <w:r>
              <w:rPr>
                <w:noProof/>
                <w:webHidden/>
              </w:rPr>
              <w:tab/>
            </w:r>
            <w:r>
              <w:rPr>
                <w:noProof/>
                <w:webHidden/>
              </w:rPr>
              <w:fldChar w:fldCharType="begin"/>
            </w:r>
            <w:r>
              <w:rPr>
                <w:noProof/>
                <w:webHidden/>
              </w:rPr>
              <w:instrText xml:space="preserve"> PAGEREF _Toc216382904 \h </w:instrText>
            </w:r>
            <w:r>
              <w:rPr>
                <w:noProof/>
                <w:webHidden/>
              </w:rPr>
            </w:r>
            <w:r>
              <w:rPr>
                <w:noProof/>
                <w:webHidden/>
              </w:rPr>
              <w:fldChar w:fldCharType="separate"/>
            </w:r>
            <w:r>
              <w:rPr>
                <w:noProof/>
                <w:webHidden/>
              </w:rPr>
              <w:t>3</w:t>
            </w:r>
            <w:r>
              <w:rPr>
                <w:noProof/>
                <w:webHidden/>
              </w:rPr>
              <w:fldChar w:fldCharType="end"/>
            </w:r>
          </w:hyperlink>
        </w:p>
        <w:p w14:paraId="06FBCDD6" w14:textId="7DCECE61"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5" w:history="1">
            <w:r w:rsidRPr="00077190">
              <w:rPr>
                <w:rStyle w:val="Hyperlink"/>
                <w:b/>
                <w:bCs/>
                <w:noProof/>
              </w:rPr>
              <w:t>2.2. Verification of Stated NEQ and Storage Regime:</w:t>
            </w:r>
            <w:r>
              <w:rPr>
                <w:noProof/>
                <w:webHidden/>
              </w:rPr>
              <w:tab/>
            </w:r>
            <w:r>
              <w:rPr>
                <w:noProof/>
                <w:webHidden/>
              </w:rPr>
              <w:fldChar w:fldCharType="begin"/>
            </w:r>
            <w:r>
              <w:rPr>
                <w:noProof/>
                <w:webHidden/>
              </w:rPr>
              <w:instrText xml:space="preserve"> PAGEREF _Toc216382905 \h </w:instrText>
            </w:r>
            <w:r>
              <w:rPr>
                <w:noProof/>
                <w:webHidden/>
              </w:rPr>
            </w:r>
            <w:r>
              <w:rPr>
                <w:noProof/>
                <w:webHidden/>
              </w:rPr>
              <w:fldChar w:fldCharType="separate"/>
            </w:r>
            <w:r>
              <w:rPr>
                <w:noProof/>
                <w:webHidden/>
              </w:rPr>
              <w:t>3</w:t>
            </w:r>
            <w:r>
              <w:rPr>
                <w:noProof/>
                <w:webHidden/>
              </w:rPr>
              <w:fldChar w:fldCharType="end"/>
            </w:r>
          </w:hyperlink>
        </w:p>
        <w:p w14:paraId="051438D4" w14:textId="30F30EEC"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6" w:history="1">
            <w:r w:rsidRPr="00077190">
              <w:rPr>
                <w:rStyle w:val="Hyperlink"/>
                <w:b/>
                <w:bCs/>
                <w:noProof/>
              </w:rPr>
              <w:t>2.3. Compatibility Assessment Using IATG Mixing Rules:</w:t>
            </w:r>
            <w:r>
              <w:rPr>
                <w:noProof/>
                <w:webHidden/>
              </w:rPr>
              <w:tab/>
            </w:r>
            <w:r>
              <w:rPr>
                <w:noProof/>
                <w:webHidden/>
              </w:rPr>
              <w:fldChar w:fldCharType="begin"/>
            </w:r>
            <w:r>
              <w:rPr>
                <w:noProof/>
                <w:webHidden/>
              </w:rPr>
              <w:instrText xml:space="preserve"> PAGEREF _Toc216382906 \h </w:instrText>
            </w:r>
            <w:r>
              <w:rPr>
                <w:noProof/>
                <w:webHidden/>
              </w:rPr>
            </w:r>
            <w:r>
              <w:rPr>
                <w:noProof/>
                <w:webHidden/>
              </w:rPr>
              <w:fldChar w:fldCharType="separate"/>
            </w:r>
            <w:r>
              <w:rPr>
                <w:noProof/>
                <w:webHidden/>
              </w:rPr>
              <w:t>3</w:t>
            </w:r>
            <w:r>
              <w:rPr>
                <w:noProof/>
                <w:webHidden/>
              </w:rPr>
              <w:fldChar w:fldCharType="end"/>
            </w:r>
          </w:hyperlink>
        </w:p>
        <w:p w14:paraId="73D4C553" w14:textId="7295F043"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7" w:history="1">
            <w:r w:rsidRPr="00077190">
              <w:rPr>
                <w:rStyle w:val="Hyperlink"/>
                <w:b/>
                <w:bCs/>
                <w:noProof/>
              </w:rPr>
              <w:t>2.4. Quantity-Distance (QD) Assessment and Mapping</w:t>
            </w:r>
            <w:r>
              <w:rPr>
                <w:noProof/>
                <w:webHidden/>
              </w:rPr>
              <w:tab/>
            </w:r>
            <w:r>
              <w:rPr>
                <w:noProof/>
                <w:webHidden/>
              </w:rPr>
              <w:fldChar w:fldCharType="begin"/>
            </w:r>
            <w:r>
              <w:rPr>
                <w:noProof/>
                <w:webHidden/>
              </w:rPr>
              <w:instrText xml:space="preserve"> PAGEREF _Toc216382907 \h </w:instrText>
            </w:r>
            <w:r>
              <w:rPr>
                <w:noProof/>
                <w:webHidden/>
              </w:rPr>
            </w:r>
            <w:r>
              <w:rPr>
                <w:noProof/>
                <w:webHidden/>
              </w:rPr>
              <w:fldChar w:fldCharType="separate"/>
            </w:r>
            <w:r>
              <w:rPr>
                <w:noProof/>
                <w:webHidden/>
              </w:rPr>
              <w:t>4</w:t>
            </w:r>
            <w:r>
              <w:rPr>
                <w:noProof/>
                <w:webHidden/>
              </w:rPr>
              <w:fldChar w:fldCharType="end"/>
            </w:r>
          </w:hyperlink>
        </w:p>
        <w:p w14:paraId="44A2F6B7" w14:textId="13E66649"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8" w:history="1">
            <w:r w:rsidRPr="00077190">
              <w:rPr>
                <w:rStyle w:val="Hyperlink"/>
                <w:b/>
                <w:bCs/>
                <w:noProof/>
              </w:rPr>
              <w:t>2.5. Licensing and Regulatory Compliance Modelling</w:t>
            </w:r>
            <w:r>
              <w:rPr>
                <w:noProof/>
                <w:webHidden/>
              </w:rPr>
              <w:tab/>
            </w:r>
            <w:r>
              <w:rPr>
                <w:noProof/>
                <w:webHidden/>
              </w:rPr>
              <w:fldChar w:fldCharType="begin"/>
            </w:r>
            <w:r>
              <w:rPr>
                <w:noProof/>
                <w:webHidden/>
              </w:rPr>
              <w:instrText xml:space="preserve"> PAGEREF _Toc216382908 \h </w:instrText>
            </w:r>
            <w:r>
              <w:rPr>
                <w:noProof/>
                <w:webHidden/>
              </w:rPr>
            </w:r>
            <w:r>
              <w:rPr>
                <w:noProof/>
                <w:webHidden/>
              </w:rPr>
              <w:fldChar w:fldCharType="separate"/>
            </w:r>
            <w:r>
              <w:rPr>
                <w:noProof/>
                <w:webHidden/>
              </w:rPr>
              <w:t>5</w:t>
            </w:r>
            <w:r>
              <w:rPr>
                <w:noProof/>
                <w:webHidden/>
              </w:rPr>
              <w:fldChar w:fldCharType="end"/>
            </w:r>
          </w:hyperlink>
        </w:p>
        <w:p w14:paraId="3ADFA42C" w14:textId="4A90B9E4"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09" w:history="1">
            <w:r w:rsidRPr="00077190">
              <w:rPr>
                <w:rStyle w:val="Hyperlink"/>
                <w:b/>
                <w:bCs/>
                <w:noProof/>
              </w:rPr>
              <w:t>2.6. Risk Assessment Approach</w:t>
            </w:r>
            <w:r>
              <w:rPr>
                <w:noProof/>
                <w:webHidden/>
              </w:rPr>
              <w:tab/>
            </w:r>
            <w:r>
              <w:rPr>
                <w:noProof/>
                <w:webHidden/>
              </w:rPr>
              <w:fldChar w:fldCharType="begin"/>
            </w:r>
            <w:r>
              <w:rPr>
                <w:noProof/>
                <w:webHidden/>
              </w:rPr>
              <w:instrText xml:space="preserve"> PAGEREF _Toc216382909 \h </w:instrText>
            </w:r>
            <w:r>
              <w:rPr>
                <w:noProof/>
                <w:webHidden/>
              </w:rPr>
            </w:r>
            <w:r>
              <w:rPr>
                <w:noProof/>
                <w:webHidden/>
              </w:rPr>
              <w:fldChar w:fldCharType="separate"/>
            </w:r>
            <w:r>
              <w:rPr>
                <w:noProof/>
                <w:webHidden/>
              </w:rPr>
              <w:t>5</w:t>
            </w:r>
            <w:r>
              <w:rPr>
                <w:noProof/>
                <w:webHidden/>
              </w:rPr>
              <w:fldChar w:fldCharType="end"/>
            </w:r>
          </w:hyperlink>
        </w:p>
        <w:p w14:paraId="30A9EFB9" w14:textId="62455891"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0" w:history="1">
            <w:r w:rsidRPr="00077190">
              <w:rPr>
                <w:rStyle w:val="Hyperlink"/>
                <w:b/>
                <w:bCs/>
                <w:noProof/>
              </w:rPr>
              <w:t>2.7. Limitations and Uncertainties</w:t>
            </w:r>
            <w:r>
              <w:rPr>
                <w:noProof/>
                <w:webHidden/>
              </w:rPr>
              <w:tab/>
            </w:r>
            <w:r>
              <w:rPr>
                <w:noProof/>
                <w:webHidden/>
              </w:rPr>
              <w:fldChar w:fldCharType="begin"/>
            </w:r>
            <w:r>
              <w:rPr>
                <w:noProof/>
                <w:webHidden/>
              </w:rPr>
              <w:instrText xml:space="preserve"> PAGEREF _Toc216382910 \h </w:instrText>
            </w:r>
            <w:r>
              <w:rPr>
                <w:noProof/>
                <w:webHidden/>
              </w:rPr>
            </w:r>
            <w:r>
              <w:rPr>
                <w:noProof/>
                <w:webHidden/>
              </w:rPr>
              <w:fldChar w:fldCharType="separate"/>
            </w:r>
            <w:r>
              <w:rPr>
                <w:noProof/>
                <w:webHidden/>
              </w:rPr>
              <w:t>5</w:t>
            </w:r>
            <w:r>
              <w:rPr>
                <w:noProof/>
                <w:webHidden/>
              </w:rPr>
              <w:fldChar w:fldCharType="end"/>
            </w:r>
          </w:hyperlink>
        </w:p>
        <w:p w14:paraId="025E477B" w14:textId="1C0F6A3F"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11" w:history="1">
            <w:r w:rsidRPr="00077190">
              <w:rPr>
                <w:rStyle w:val="Hyperlink"/>
                <w:b/>
                <w:bCs/>
                <w:noProof/>
              </w:rPr>
              <w:t>3. Results &amp; Discussion</w:t>
            </w:r>
            <w:r>
              <w:rPr>
                <w:noProof/>
                <w:webHidden/>
              </w:rPr>
              <w:tab/>
            </w:r>
            <w:r>
              <w:rPr>
                <w:noProof/>
                <w:webHidden/>
              </w:rPr>
              <w:fldChar w:fldCharType="begin"/>
            </w:r>
            <w:r>
              <w:rPr>
                <w:noProof/>
                <w:webHidden/>
              </w:rPr>
              <w:instrText xml:space="preserve"> PAGEREF _Toc216382911 \h </w:instrText>
            </w:r>
            <w:r>
              <w:rPr>
                <w:noProof/>
                <w:webHidden/>
              </w:rPr>
            </w:r>
            <w:r>
              <w:rPr>
                <w:noProof/>
                <w:webHidden/>
              </w:rPr>
              <w:fldChar w:fldCharType="separate"/>
            </w:r>
            <w:r>
              <w:rPr>
                <w:noProof/>
                <w:webHidden/>
              </w:rPr>
              <w:t>6</w:t>
            </w:r>
            <w:r>
              <w:rPr>
                <w:noProof/>
                <w:webHidden/>
              </w:rPr>
              <w:fldChar w:fldCharType="end"/>
            </w:r>
          </w:hyperlink>
        </w:p>
        <w:p w14:paraId="75E8E0CB" w14:textId="3DEDAC06"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2" w:history="1">
            <w:r w:rsidRPr="00077190">
              <w:rPr>
                <w:rStyle w:val="Hyperlink"/>
                <w:b/>
                <w:bCs/>
                <w:noProof/>
              </w:rPr>
              <w:t>3.1.Review of proposed plans</w:t>
            </w:r>
            <w:r>
              <w:rPr>
                <w:noProof/>
                <w:webHidden/>
              </w:rPr>
              <w:tab/>
            </w:r>
            <w:r>
              <w:rPr>
                <w:noProof/>
                <w:webHidden/>
              </w:rPr>
              <w:fldChar w:fldCharType="begin"/>
            </w:r>
            <w:r>
              <w:rPr>
                <w:noProof/>
                <w:webHidden/>
              </w:rPr>
              <w:instrText xml:space="preserve"> PAGEREF _Toc216382912 \h </w:instrText>
            </w:r>
            <w:r>
              <w:rPr>
                <w:noProof/>
                <w:webHidden/>
              </w:rPr>
            </w:r>
            <w:r>
              <w:rPr>
                <w:noProof/>
                <w:webHidden/>
              </w:rPr>
              <w:fldChar w:fldCharType="separate"/>
            </w:r>
            <w:r>
              <w:rPr>
                <w:noProof/>
                <w:webHidden/>
              </w:rPr>
              <w:t>6</w:t>
            </w:r>
            <w:r>
              <w:rPr>
                <w:noProof/>
                <w:webHidden/>
              </w:rPr>
              <w:fldChar w:fldCharType="end"/>
            </w:r>
          </w:hyperlink>
        </w:p>
        <w:p w14:paraId="0204C4E9" w14:textId="6294FAF9"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3" w:history="1">
            <w:r w:rsidRPr="00077190">
              <w:rPr>
                <w:rStyle w:val="Hyperlink"/>
                <w:b/>
                <w:bCs/>
                <w:noProof/>
              </w:rPr>
              <w:t>3.2  NEQ accounting and magazine capacity</w:t>
            </w:r>
            <w:r>
              <w:rPr>
                <w:noProof/>
                <w:webHidden/>
              </w:rPr>
              <w:tab/>
            </w:r>
            <w:r>
              <w:rPr>
                <w:noProof/>
                <w:webHidden/>
              </w:rPr>
              <w:fldChar w:fldCharType="begin"/>
            </w:r>
            <w:r>
              <w:rPr>
                <w:noProof/>
                <w:webHidden/>
              </w:rPr>
              <w:instrText xml:space="preserve"> PAGEREF _Toc216382913 \h </w:instrText>
            </w:r>
            <w:r>
              <w:rPr>
                <w:noProof/>
                <w:webHidden/>
              </w:rPr>
            </w:r>
            <w:r>
              <w:rPr>
                <w:noProof/>
                <w:webHidden/>
              </w:rPr>
              <w:fldChar w:fldCharType="separate"/>
            </w:r>
            <w:r>
              <w:rPr>
                <w:noProof/>
                <w:webHidden/>
              </w:rPr>
              <w:t>6</w:t>
            </w:r>
            <w:r>
              <w:rPr>
                <w:noProof/>
                <w:webHidden/>
              </w:rPr>
              <w:fldChar w:fldCharType="end"/>
            </w:r>
          </w:hyperlink>
        </w:p>
        <w:p w14:paraId="0C02DE1D" w14:textId="5ADAE177"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4" w:history="1">
            <w:r w:rsidRPr="00077190">
              <w:rPr>
                <w:rStyle w:val="Hyperlink"/>
                <w:b/>
                <w:bCs/>
                <w:noProof/>
              </w:rPr>
              <w:t>3.2. Compatibility and aggregation effects</w:t>
            </w:r>
            <w:r>
              <w:rPr>
                <w:noProof/>
                <w:webHidden/>
              </w:rPr>
              <w:tab/>
            </w:r>
            <w:r>
              <w:rPr>
                <w:noProof/>
                <w:webHidden/>
              </w:rPr>
              <w:fldChar w:fldCharType="begin"/>
            </w:r>
            <w:r>
              <w:rPr>
                <w:noProof/>
                <w:webHidden/>
              </w:rPr>
              <w:instrText xml:space="preserve"> PAGEREF _Toc216382914 \h </w:instrText>
            </w:r>
            <w:r>
              <w:rPr>
                <w:noProof/>
                <w:webHidden/>
              </w:rPr>
            </w:r>
            <w:r>
              <w:rPr>
                <w:noProof/>
                <w:webHidden/>
              </w:rPr>
              <w:fldChar w:fldCharType="separate"/>
            </w:r>
            <w:r>
              <w:rPr>
                <w:noProof/>
                <w:webHidden/>
              </w:rPr>
              <w:t>6</w:t>
            </w:r>
            <w:r>
              <w:rPr>
                <w:noProof/>
                <w:webHidden/>
              </w:rPr>
              <w:fldChar w:fldCharType="end"/>
            </w:r>
          </w:hyperlink>
        </w:p>
        <w:p w14:paraId="650FAC3E" w14:textId="53629AF7"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5" w:history="1">
            <w:r w:rsidRPr="00077190">
              <w:rPr>
                <w:rStyle w:val="Hyperlink"/>
                <w:b/>
                <w:bCs/>
                <w:noProof/>
              </w:rPr>
              <w:t>3.3. Quantity Distance (QD) analysis and zoning maps</w:t>
            </w:r>
            <w:r>
              <w:rPr>
                <w:noProof/>
                <w:webHidden/>
              </w:rPr>
              <w:tab/>
            </w:r>
            <w:r>
              <w:rPr>
                <w:noProof/>
                <w:webHidden/>
              </w:rPr>
              <w:fldChar w:fldCharType="begin"/>
            </w:r>
            <w:r>
              <w:rPr>
                <w:noProof/>
                <w:webHidden/>
              </w:rPr>
              <w:instrText xml:space="preserve"> PAGEREF _Toc216382915 \h </w:instrText>
            </w:r>
            <w:r>
              <w:rPr>
                <w:noProof/>
                <w:webHidden/>
              </w:rPr>
            </w:r>
            <w:r>
              <w:rPr>
                <w:noProof/>
                <w:webHidden/>
              </w:rPr>
              <w:fldChar w:fldCharType="separate"/>
            </w:r>
            <w:r>
              <w:rPr>
                <w:noProof/>
                <w:webHidden/>
              </w:rPr>
              <w:t>6</w:t>
            </w:r>
            <w:r>
              <w:rPr>
                <w:noProof/>
                <w:webHidden/>
              </w:rPr>
              <w:fldChar w:fldCharType="end"/>
            </w:r>
          </w:hyperlink>
        </w:p>
        <w:p w14:paraId="254FAFB7" w14:textId="0D75A25A"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16" w:history="1">
            <w:r w:rsidRPr="00077190">
              <w:rPr>
                <w:rStyle w:val="Hyperlink"/>
                <w:b/>
                <w:bCs/>
                <w:noProof/>
              </w:rPr>
              <w:t>3.6 Risk evaluation</w:t>
            </w:r>
            <w:r>
              <w:rPr>
                <w:noProof/>
                <w:webHidden/>
              </w:rPr>
              <w:tab/>
            </w:r>
            <w:r>
              <w:rPr>
                <w:noProof/>
                <w:webHidden/>
              </w:rPr>
              <w:fldChar w:fldCharType="begin"/>
            </w:r>
            <w:r>
              <w:rPr>
                <w:noProof/>
                <w:webHidden/>
              </w:rPr>
              <w:instrText xml:space="preserve"> PAGEREF _Toc216382916 \h </w:instrText>
            </w:r>
            <w:r>
              <w:rPr>
                <w:noProof/>
                <w:webHidden/>
              </w:rPr>
            </w:r>
            <w:r>
              <w:rPr>
                <w:noProof/>
                <w:webHidden/>
              </w:rPr>
              <w:fldChar w:fldCharType="separate"/>
            </w:r>
            <w:r>
              <w:rPr>
                <w:noProof/>
                <w:webHidden/>
              </w:rPr>
              <w:t>7</w:t>
            </w:r>
            <w:r>
              <w:rPr>
                <w:noProof/>
                <w:webHidden/>
              </w:rPr>
              <w:fldChar w:fldCharType="end"/>
            </w:r>
          </w:hyperlink>
        </w:p>
        <w:p w14:paraId="7D14CAEE" w14:textId="1FCC7EBA"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17" w:history="1">
            <w:r w:rsidRPr="00077190">
              <w:rPr>
                <w:rStyle w:val="Hyperlink"/>
                <w:rFonts w:asciiTheme="majorHAnsi" w:hAnsiTheme="majorHAnsi"/>
                <w:b/>
                <w:bCs/>
                <w:noProof/>
              </w:rPr>
              <w:t>ALARP Statement:</w:t>
            </w:r>
            <w:r>
              <w:rPr>
                <w:noProof/>
                <w:webHidden/>
              </w:rPr>
              <w:tab/>
            </w:r>
            <w:r>
              <w:rPr>
                <w:noProof/>
                <w:webHidden/>
              </w:rPr>
              <w:fldChar w:fldCharType="begin"/>
            </w:r>
            <w:r>
              <w:rPr>
                <w:noProof/>
                <w:webHidden/>
              </w:rPr>
              <w:instrText xml:space="preserve"> PAGEREF _Toc216382917 \h </w:instrText>
            </w:r>
            <w:r>
              <w:rPr>
                <w:noProof/>
                <w:webHidden/>
              </w:rPr>
            </w:r>
            <w:r>
              <w:rPr>
                <w:noProof/>
                <w:webHidden/>
              </w:rPr>
              <w:fldChar w:fldCharType="separate"/>
            </w:r>
            <w:r>
              <w:rPr>
                <w:noProof/>
                <w:webHidden/>
              </w:rPr>
              <w:t>7</w:t>
            </w:r>
            <w:r>
              <w:rPr>
                <w:noProof/>
                <w:webHidden/>
              </w:rPr>
              <w:fldChar w:fldCharType="end"/>
            </w:r>
          </w:hyperlink>
        </w:p>
        <w:p w14:paraId="21BA094B" w14:textId="72A2E27A"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18" w:history="1">
            <w:r w:rsidRPr="00077190">
              <w:rPr>
                <w:rStyle w:val="Hyperlink"/>
                <w:rFonts w:asciiTheme="majorHAnsi" w:hAnsiTheme="majorHAnsi"/>
                <w:b/>
                <w:bCs/>
                <w:noProof/>
              </w:rPr>
              <w:t>Risk Matrix (Severity vs. Likelihood)</w:t>
            </w:r>
            <w:r>
              <w:rPr>
                <w:noProof/>
                <w:webHidden/>
              </w:rPr>
              <w:tab/>
            </w:r>
            <w:r>
              <w:rPr>
                <w:noProof/>
                <w:webHidden/>
              </w:rPr>
              <w:fldChar w:fldCharType="begin"/>
            </w:r>
            <w:r>
              <w:rPr>
                <w:noProof/>
                <w:webHidden/>
              </w:rPr>
              <w:instrText xml:space="preserve"> PAGEREF _Toc216382918 \h </w:instrText>
            </w:r>
            <w:r>
              <w:rPr>
                <w:noProof/>
                <w:webHidden/>
              </w:rPr>
            </w:r>
            <w:r>
              <w:rPr>
                <w:noProof/>
                <w:webHidden/>
              </w:rPr>
              <w:fldChar w:fldCharType="separate"/>
            </w:r>
            <w:r>
              <w:rPr>
                <w:noProof/>
                <w:webHidden/>
              </w:rPr>
              <w:t>8</w:t>
            </w:r>
            <w:r>
              <w:rPr>
                <w:noProof/>
                <w:webHidden/>
              </w:rPr>
              <w:fldChar w:fldCharType="end"/>
            </w:r>
          </w:hyperlink>
        </w:p>
        <w:p w14:paraId="79034D65" w14:textId="768A89CA"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19" w:history="1">
            <w:r w:rsidRPr="00077190">
              <w:rPr>
                <w:rStyle w:val="Hyperlink"/>
                <w:b/>
                <w:bCs/>
                <w:noProof/>
              </w:rPr>
              <w:t>4.0. Recommendations</w:t>
            </w:r>
            <w:r>
              <w:rPr>
                <w:noProof/>
                <w:webHidden/>
              </w:rPr>
              <w:tab/>
            </w:r>
            <w:r>
              <w:rPr>
                <w:noProof/>
                <w:webHidden/>
              </w:rPr>
              <w:fldChar w:fldCharType="begin"/>
            </w:r>
            <w:r>
              <w:rPr>
                <w:noProof/>
                <w:webHidden/>
              </w:rPr>
              <w:instrText xml:space="preserve"> PAGEREF _Toc216382919 \h </w:instrText>
            </w:r>
            <w:r>
              <w:rPr>
                <w:noProof/>
                <w:webHidden/>
              </w:rPr>
            </w:r>
            <w:r>
              <w:rPr>
                <w:noProof/>
                <w:webHidden/>
              </w:rPr>
              <w:fldChar w:fldCharType="separate"/>
            </w:r>
            <w:r>
              <w:rPr>
                <w:noProof/>
                <w:webHidden/>
              </w:rPr>
              <w:t>8</w:t>
            </w:r>
            <w:r>
              <w:rPr>
                <w:noProof/>
                <w:webHidden/>
              </w:rPr>
              <w:fldChar w:fldCharType="end"/>
            </w:r>
          </w:hyperlink>
        </w:p>
        <w:p w14:paraId="0EBD2304" w14:textId="74FE8584"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20" w:history="1">
            <w:r w:rsidRPr="00077190">
              <w:rPr>
                <w:rStyle w:val="Hyperlink"/>
                <w:b/>
                <w:bCs/>
                <w:noProof/>
              </w:rPr>
              <w:t>4.1 Immediate – requiring urgent ratification prior to the issue of permissions to construct:</w:t>
            </w:r>
            <w:r>
              <w:rPr>
                <w:noProof/>
                <w:webHidden/>
              </w:rPr>
              <w:tab/>
            </w:r>
            <w:r>
              <w:rPr>
                <w:noProof/>
                <w:webHidden/>
              </w:rPr>
              <w:fldChar w:fldCharType="begin"/>
            </w:r>
            <w:r>
              <w:rPr>
                <w:noProof/>
                <w:webHidden/>
              </w:rPr>
              <w:instrText xml:space="preserve"> PAGEREF _Toc216382920 \h </w:instrText>
            </w:r>
            <w:r>
              <w:rPr>
                <w:noProof/>
                <w:webHidden/>
              </w:rPr>
            </w:r>
            <w:r>
              <w:rPr>
                <w:noProof/>
                <w:webHidden/>
              </w:rPr>
              <w:fldChar w:fldCharType="separate"/>
            </w:r>
            <w:r>
              <w:rPr>
                <w:noProof/>
                <w:webHidden/>
              </w:rPr>
              <w:t>8</w:t>
            </w:r>
            <w:r>
              <w:rPr>
                <w:noProof/>
                <w:webHidden/>
              </w:rPr>
              <w:fldChar w:fldCharType="end"/>
            </w:r>
          </w:hyperlink>
        </w:p>
        <w:p w14:paraId="08F505BB" w14:textId="4FDBA612"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21" w:history="1">
            <w:r w:rsidRPr="00077190">
              <w:rPr>
                <w:rStyle w:val="Hyperlink"/>
                <w:b/>
                <w:bCs/>
                <w:noProof/>
              </w:rPr>
              <w:t>4.2 Short term – prior to the construction of site.</w:t>
            </w:r>
            <w:r>
              <w:rPr>
                <w:noProof/>
                <w:webHidden/>
              </w:rPr>
              <w:tab/>
            </w:r>
            <w:r>
              <w:rPr>
                <w:noProof/>
                <w:webHidden/>
              </w:rPr>
              <w:fldChar w:fldCharType="begin"/>
            </w:r>
            <w:r>
              <w:rPr>
                <w:noProof/>
                <w:webHidden/>
              </w:rPr>
              <w:instrText xml:space="preserve"> PAGEREF _Toc216382921 \h </w:instrText>
            </w:r>
            <w:r>
              <w:rPr>
                <w:noProof/>
                <w:webHidden/>
              </w:rPr>
            </w:r>
            <w:r>
              <w:rPr>
                <w:noProof/>
                <w:webHidden/>
              </w:rPr>
              <w:fldChar w:fldCharType="separate"/>
            </w:r>
            <w:r>
              <w:rPr>
                <w:noProof/>
                <w:webHidden/>
              </w:rPr>
              <w:t>8</w:t>
            </w:r>
            <w:r>
              <w:rPr>
                <w:noProof/>
                <w:webHidden/>
              </w:rPr>
              <w:fldChar w:fldCharType="end"/>
            </w:r>
          </w:hyperlink>
        </w:p>
        <w:p w14:paraId="3AE99008" w14:textId="789789DC"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22" w:history="1">
            <w:r w:rsidRPr="00077190">
              <w:rPr>
                <w:rStyle w:val="Hyperlink"/>
                <w:b/>
                <w:bCs/>
                <w:noProof/>
              </w:rPr>
              <w:t>4.3 Medium term / Operational</w:t>
            </w:r>
            <w:r>
              <w:rPr>
                <w:noProof/>
                <w:webHidden/>
              </w:rPr>
              <w:tab/>
            </w:r>
            <w:r>
              <w:rPr>
                <w:noProof/>
                <w:webHidden/>
              </w:rPr>
              <w:fldChar w:fldCharType="begin"/>
            </w:r>
            <w:r>
              <w:rPr>
                <w:noProof/>
                <w:webHidden/>
              </w:rPr>
              <w:instrText xml:space="preserve"> PAGEREF _Toc216382922 \h </w:instrText>
            </w:r>
            <w:r>
              <w:rPr>
                <w:noProof/>
                <w:webHidden/>
              </w:rPr>
            </w:r>
            <w:r>
              <w:rPr>
                <w:noProof/>
                <w:webHidden/>
              </w:rPr>
              <w:fldChar w:fldCharType="separate"/>
            </w:r>
            <w:r>
              <w:rPr>
                <w:noProof/>
                <w:webHidden/>
              </w:rPr>
              <w:t>9</w:t>
            </w:r>
            <w:r>
              <w:rPr>
                <w:noProof/>
                <w:webHidden/>
              </w:rPr>
              <w:fldChar w:fldCharType="end"/>
            </w:r>
          </w:hyperlink>
        </w:p>
        <w:p w14:paraId="2D47461E" w14:textId="12FF2E73"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23" w:history="1">
            <w:r w:rsidRPr="00077190">
              <w:rPr>
                <w:rStyle w:val="Hyperlink"/>
                <w:b/>
                <w:bCs/>
                <w:noProof/>
              </w:rPr>
              <w:t>5.0. Conclusions:</w:t>
            </w:r>
            <w:r>
              <w:rPr>
                <w:noProof/>
                <w:webHidden/>
              </w:rPr>
              <w:tab/>
            </w:r>
            <w:r>
              <w:rPr>
                <w:noProof/>
                <w:webHidden/>
              </w:rPr>
              <w:fldChar w:fldCharType="begin"/>
            </w:r>
            <w:r>
              <w:rPr>
                <w:noProof/>
                <w:webHidden/>
              </w:rPr>
              <w:instrText xml:space="preserve"> PAGEREF _Toc216382923 \h </w:instrText>
            </w:r>
            <w:r>
              <w:rPr>
                <w:noProof/>
                <w:webHidden/>
              </w:rPr>
            </w:r>
            <w:r>
              <w:rPr>
                <w:noProof/>
                <w:webHidden/>
              </w:rPr>
              <w:fldChar w:fldCharType="separate"/>
            </w:r>
            <w:r>
              <w:rPr>
                <w:noProof/>
                <w:webHidden/>
              </w:rPr>
              <w:t>9</w:t>
            </w:r>
            <w:r>
              <w:rPr>
                <w:noProof/>
                <w:webHidden/>
              </w:rPr>
              <w:fldChar w:fldCharType="end"/>
            </w:r>
          </w:hyperlink>
        </w:p>
        <w:p w14:paraId="2259C41E" w14:textId="065A3074"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24" w:history="1">
            <w:r w:rsidRPr="00077190">
              <w:rPr>
                <w:rStyle w:val="Hyperlink"/>
                <w:b/>
                <w:bCs/>
                <w:noProof/>
              </w:rPr>
              <w:t>6.0 Appendices</w:t>
            </w:r>
            <w:r>
              <w:rPr>
                <w:noProof/>
                <w:webHidden/>
              </w:rPr>
              <w:tab/>
            </w:r>
            <w:r>
              <w:rPr>
                <w:noProof/>
                <w:webHidden/>
              </w:rPr>
              <w:fldChar w:fldCharType="begin"/>
            </w:r>
            <w:r>
              <w:rPr>
                <w:noProof/>
                <w:webHidden/>
              </w:rPr>
              <w:instrText xml:space="preserve"> PAGEREF _Toc216382924 \h </w:instrText>
            </w:r>
            <w:r>
              <w:rPr>
                <w:noProof/>
                <w:webHidden/>
              </w:rPr>
            </w:r>
            <w:r>
              <w:rPr>
                <w:noProof/>
                <w:webHidden/>
              </w:rPr>
              <w:fldChar w:fldCharType="separate"/>
            </w:r>
            <w:r>
              <w:rPr>
                <w:noProof/>
                <w:webHidden/>
              </w:rPr>
              <w:t>9</w:t>
            </w:r>
            <w:r>
              <w:rPr>
                <w:noProof/>
                <w:webHidden/>
              </w:rPr>
              <w:fldChar w:fldCharType="end"/>
            </w:r>
          </w:hyperlink>
        </w:p>
        <w:p w14:paraId="68C576DB" w14:textId="50D41486"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25" w:history="1">
            <w:r w:rsidRPr="00077190">
              <w:rPr>
                <w:rStyle w:val="Hyperlink"/>
                <w:b/>
                <w:bCs/>
                <w:noProof/>
              </w:rPr>
              <w:t>Appendix A – QD Mapping based upon Big Bang storage solutions proposed storage regimes.</w:t>
            </w:r>
            <w:r>
              <w:rPr>
                <w:noProof/>
                <w:webHidden/>
              </w:rPr>
              <w:tab/>
            </w:r>
            <w:r>
              <w:rPr>
                <w:noProof/>
                <w:webHidden/>
              </w:rPr>
              <w:fldChar w:fldCharType="begin"/>
            </w:r>
            <w:r>
              <w:rPr>
                <w:noProof/>
                <w:webHidden/>
              </w:rPr>
              <w:instrText xml:space="preserve"> PAGEREF _Toc216382925 \h </w:instrText>
            </w:r>
            <w:r>
              <w:rPr>
                <w:noProof/>
                <w:webHidden/>
              </w:rPr>
            </w:r>
            <w:r>
              <w:rPr>
                <w:noProof/>
                <w:webHidden/>
              </w:rPr>
              <w:fldChar w:fldCharType="separate"/>
            </w:r>
            <w:r>
              <w:rPr>
                <w:noProof/>
                <w:webHidden/>
              </w:rPr>
              <w:t>9</w:t>
            </w:r>
            <w:r>
              <w:rPr>
                <w:noProof/>
                <w:webHidden/>
              </w:rPr>
              <w:fldChar w:fldCharType="end"/>
            </w:r>
          </w:hyperlink>
        </w:p>
        <w:p w14:paraId="7A6DA618" w14:textId="4F5102E0"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26" w:history="1">
            <w:r w:rsidRPr="00077190">
              <w:rPr>
                <w:rStyle w:val="Hyperlink"/>
                <w:b/>
                <w:bCs/>
                <w:noProof/>
              </w:rPr>
              <w:t>Appendix B - NEQ and capacity calculation spreadsheets.</w:t>
            </w:r>
            <w:r>
              <w:rPr>
                <w:noProof/>
                <w:webHidden/>
              </w:rPr>
              <w:tab/>
            </w:r>
            <w:r>
              <w:rPr>
                <w:noProof/>
                <w:webHidden/>
              </w:rPr>
              <w:fldChar w:fldCharType="begin"/>
            </w:r>
            <w:r>
              <w:rPr>
                <w:noProof/>
                <w:webHidden/>
              </w:rPr>
              <w:instrText xml:space="preserve"> PAGEREF _Toc216382926 \h </w:instrText>
            </w:r>
            <w:r>
              <w:rPr>
                <w:noProof/>
                <w:webHidden/>
              </w:rPr>
            </w:r>
            <w:r>
              <w:rPr>
                <w:noProof/>
                <w:webHidden/>
              </w:rPr>
              <w:fldChar w:fldCharType="separate"/>
            </w:r>
            <w:r>
              <w:rPr>
                <w:noProof/>
                <w:webHidden/>
              </w:rPr>
              <w:t>9</w:t>
            </w:r>
            <w:r>
              <w:rPr>
                <w:noProof/>
                <w:webHidden/>
              </w:rPr>
              <w:fldChar w:fldCharType="end"/>
            </w:r>
          </w:hyperlink>
        </w:p>
        <w:p w14:paraId="5B89CE32" w14:textId="72613B38"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27" w:history="1">
            <w:r w:rsidRPr="00077190">
              <w:rPr>
                <w:rStyle w:val="Hyperlink"/>
                <w:b/>
                <w:bCs/>
                <w:noProof/>
              </w:rPr>
              <w:t>Appendix C –  Safety &amp; risk-reduction questions for BigBang Storage Solutions</w:t>
            </w:r>
            <w:r>
              <w:rPr>
                <w:noProof/>
                <w:webHidden/>
              </w:rPr>
              <w:tab/>
            </w:r>
            <w:r>
              <w:rPr>
                <w:noProof/>
                <w:webHidden/>
              </w:rPr>
              <w:fldChar w:fldCharType="begin"/>
            </w:r>
            <w:r>
              <w:rPr>
                <w:noProof/>
                <w:webHidden/>
              </w:rPr>
              <w:instrText xml:space="preserve"> PAGEREF _Toc216382927 \h </w:instrText>
            </w:r>
            <w:r>
              <w:rPr>
                <w:noProof/>
                <w:webHidden/>
              </w:rPr>
            </w:r>
            <w:r>
              <w:rPr>
                <w:noProof/>
                <w:webHidden/>
              </w:rPr>
              <w:fldChar w:fldCharType="separate"/>
            </w:r>
            <w:r>
              <w:rPr>
                <w:noProof/>
                <w:webHidden/>
              </w:rPr>
              <w:t>10</w:t>
            </w:r>
            <w:r>
              <w:rPr>
                <w:noProof/>
                <w:webHidden/>
              </w:rPr>
              <w:fldChar w:fldCharType="end"/>
            </w:r>
          </w:hyperlink>
        </w:p>
        <w:p w14:paraId="50B82828" w14:textId="37A31644"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28" w:history="1">
            <w:r w:rsidRPr="00077190">
              <w:rPr>
                <w:rStyle w:val="Hyperlink"/>
                <w:b/>
                <w:bCs/>
                <w:noProof/>
              </w:rPr>
              <w:t>1. Siting, NEQ and Vulnerable Populations</w:t>
            </w:r>
            <w:r>
              <w:rPr>
                <w:noProof/>
                <w:webHidden/>
              </w:rPr>
              <w:tab/>
            </w:r>
            <w:r>
              <w:rPr>
                <w:noProof/>
                <w:webHidden/>
              </w:rPr>
              <w:fldChar w:fldCharType="begin"/>
            </w:r>
            <w:r>
              <w:rPr>
                <w:noProof/>
                <w:webHidden/>
              </w:rPr>
              <w:instrText xml:space="preserve"> PAGEREF _Toc216382928 \h </w:instrText>
            </w:r>
            <w:r>
              <w:rPr>
                <w:noProof/>
                <w:webHidden/>
              </w:rPr>
            </w:r>
            <w:r>
              <w:rPr>
                <w:noProof/>
                <w:webHidden/>
              </w:rPr>
              <w:fldChar w:fldCharType="separate"/>
            </w:r>
            <w:r>
              <w:rPr>
                <w:noProof/>
                <w:webHidden/>
              </w:rPr>
              <w:t>10</w:t>
            </w:r>
            <w:r>
              <w:rPr>
                <w:noProof/>
                <w:webHidden/>
              </w:rPr>
              <w:fldChar w:fldCharType="end"/>
            </w:r>
          </w:hyperlink>
        </w:p>
        <w:p w14:paraId="43E9781F" w14:textId="5E0A30E2"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29" w:history="1">
            <w:r w:rsidRPr="00077190">
              <w:rPr>
                <w:rStyle w:val="Hyperlink"/>
                <w:b/>
                <w:bCs/>
                <w:noProof/>
              </w:rPr>
              <w:t>2. RF and Electromagnetic Hazards</w:t>
            </w:r>
            <w:r>
              <w:rPr>
                <w:noProof/>
                <w:webHidden/>
              </w:rPr>
              <w:tab/>
            </w:r>
            <w:r>
              <w:rPr>
                <w:noProof/>
                <w:webHidden/>
              </w:rPr>
              <w:fldChar w:fldCharType="begin"/>
            </w:r>
            <w:r>
              <w:rPr>
                <w:noProof/>
                <w:webHidden/>
              </w:rPr>
              <w:instrText xml:space="preserve"> PAGEREF _Toc216382929 \h </w:instrText>
            </w:r>
            <w:r>
              <w:rPr>
                <w:noProof/>
                <w:webHidden/>
              </w:rPr>
            </w:r>
            <w:r>
              <w:rPr>
                <w:noProof/>
                <w:webHidden/>
              </w:rPr>
              <w:fldChar w:fldCharType="separate"/>
            </w:r>
            <w:r>
              <w:rPr>
                <w:noProof/>
                <w:webHidden/>
              </w:rPr>
              <w:t>10</w:t>
            </w:r>
            <w:r>
              <w:rPr>
                <w:noProof/>
                <w:webHidden/>
              </w:rPr>
              <w:fldChar w:fldCharType="end"/>
            </w:r>
          </w:hyperlink>
        </w:p>
        <w:p w14:paraId="6EB2252F" w14:textId="172A6A0F"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0" w:history="1">
            <w:r w:rsidRPr="00077190">
              <w:rPr>
                <w:rStyle w:val="Hyperlink"/>
                <w:b/>
                <w:bCs/>
                <w:noProof/>
              </w:rPr>
              <w:t>3. Marine Interface and Mooring Zone</w:t>
            </w:r>
            <w:r>
              <w:rPr>
                <w:noProof/>
                <w:webHidden/>
              </w:rPr>
              <w:tab/>
            </w:r>
            <w:r>
              <w:rPr>
                <w:noProof/>
                <w:webHidden/>
              </w:rPr>
              <w:fldChar w:fldCharType="begin"/>
            </w:r>
            <w:r>
              <w:rPr>
                <w:noProof/>
                <w:webHidden/>
              </w:rPr>
              <w:instrText xml:space="preserve"> PAGEREF _Toc216382930 \h </w:instrText>
            </w:r>
            <w:r>
              <w:rPr>
                <w:noProof/>
                <w:webHidden/>
              </w:rPr>
            </w:r>
            <w:r>
              <w:rPr>
                <w:noProof/>
                <w:webHidden/>
              </w:rPr>
              <w:fldChar w:fldCharType="separate"/>
            </w:r>
            <w:r>
              <w:rPr>
                <w:noProof/>
                <w:webHidden/>
              </w:rPr>
              <w:t>10</w:t>
            </w:r>
            <w:r>
              <w:rPr>
                <w:noProof/>
                <w:webHidden/>
              </w:rPr>
              <w:fldChar w:fldCharType="end"/>
            </w:r>
          </w:hyperlink>
        </w:p>
        <w:p w14:paraId="434979CE" w14:textId="415274A7"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1" w:history="1">
            <w:r w:rsidRPr="00077190">
              <w:rPr>
                <w:rStyle w:val="Hyperlink"/>
                <w:b/>
                <w:bCs/>
                <w:noProof/>
              </w:rPr>
              <w:t>4. Storage Configuration and Stacking Limits</w:t>
            </w:r>
            <w:r>
              <w:rPr>
                <w:noProof/>
                <w:webHidden/>
              </w:rPr>
              <w:tab/>
            </w:r>
            <w:r>
              <w:rPr>
                <w:noProof/>
                <w:webHidden/>
              </w:rPr>
              <w:fldChar w:fldCharType="begin"/>
            </w:r>
            <w:r>
              <w:rPr>
                <w:noProof/>
                <w:webHidden/>
              </w:rPr>
              <w:instrText xml:space="preserve"> PAGEREF _Toc216382931 \h </w:instrText>
            </w:r>
            <w:r>
              <w:rPr>
                <w:noProof/>
                <w:webHidden/>
              </w:rPr>
            </w:r>
            <w:r>
              <w:rPr>
                <w:noProof/>
                <w:webHidden/>
              </w:rPr>
              <w:fldChar w:fldCharType="separate"/>
            </w:r>
            <w:r>
              <w:rPr>
                <w:noProof/>
                <w:webHidden/>
              </w:rPr>
              <w:t>10</w:t>
            </w:r>
            <w:r>
              <w:rPr>
                <w:noProof/>
                <w:webHidden/>
              </w:rPr>
              <w:fldChar w:fldCharType="end"/>
            </w:r>
          </w:hyperlink>
        </w:p>
        <w:p w14:paraId="74D2A5E1" w14:textId="4D6C966C"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2" w:history="1">
            <w:r w:rsidRPr="00077190">
              <w:rPr>
                <w:rStyle w:val="Hyperlink"/>
                <w:b/>
                <w:bCs/>
                <w:noProof/>
              </w:rPr>
              <w:t>5. Seawater Exposure and Corrosion</w:t>
            </w:r>
            <w:r>
              <w:rPr>
                <w:noProof/>
                <w:webHidden/>
              </w:rPr>
              <w:tab/>
            </w:r>
            <w:r>
              <w:rPr>
                <w:noProof/>
                <w:webHidden/>
              </w:rPr>
              <w:fldChar w:fldCharType="begin"/>
            </w:r>
            <w:r>
              <w:rPr>
                <w:noProof/>
                <w:webHidden/>
              </w:rPr>
              <w:instrText xml:space="preserve"> PAGEREF _Toc216382932 \h </w:instrText>
            </w:r>
            <w:r>
              <w:rPr>
                <w:noProof/>
                <w:webHidden/>
              </w:rPr>
            </w:r>
            <w:r>
              <w:rPr>
                <w:noProof/>
                <w:webHidden/>
              </w:rPr>
              <w:fldChar w:fldCharType="separate"/>
            </w:r>
            <w:r>
              <w:rPr>
                <w:noProof/>
                <w:webHidden/>
              </w:rPr>
              <w:t>10</w:t>
            </w:r>
            <w:r>
              <w:rPr>
                <w:noProof/>
                <w:webHidden/>
              </w:rPr>
              <w:fldChar w:fldCharType="end"/>
            </w:r>
          </w:hyperlink>
        </w:p>
        <w:p w14:paraId="5032A4F8" w14:textId="24984291"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3" w:history="1">
            <w:r w:rsidRPr="00077190">
              <w:rPr>
                <w:rStyle w:val="Hyperlink"/>
                <w:b/>
                <w:bCs/>
                <w:noProof/>
              </w:rPr>
              <w:t>6. Transport, Traffic and Public Safety</w:t>
            </w:r>
            <w:r>
              <w:rPr>
                <w:noProof/>
                <w:webHidden/>
              </w:rPr>
              <w:tab/>
            </w:r>
            <w:r>
              <w:rPr>
                <w:noProof/>
                <w:webHidden/>
              </w:rPr>
              <w:fldChar w:fldCharType="begin"/>
            </w:r>
            <w:r>
              <w:rPr>
                <w:noProof/>
                <w:webHidden/>
              </w:rPr>
              <w:instrText xml:space="preserve"> PAGEREF _Toc216382933 \h </w:instrText>
            </w:r>
            <w:r>
              <w:rPr>
                <w:noProof/>
                <w:webHidden/>
              </w:rPr>
            </w:r>
            <w:r>
              <w:rPr>
                <w:noProof/>
                <w:webHidden/>
              </w:rPr>
              <w:fldChar w:fldCharType="separate"/>
            </w:r>
            <w:r>
              <w:rPr>
                <w:noProof/>
                <w:webHidden/>
              </w:rPr>
              <w:t>11</w:t>
            </w:r>
            <w:r>
              <w:rPr>
                <w:noProof/>
                <w:webHidden/>
              </w:rPr>
              <w:fldChar w:fldCharType="end"/>
            </w:r>
          </w:hyperlink>
        </w:p>
        <w:p w14:paraId="41EF9E3A" w14:textId="7650C4C6"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4" w:history="1">
            <w:r w:rsidRPr="00077190">
              <w:rPr>
                <w:rStyle w:val="Hyperlink"/>
                <w:b/>
                <w:bCs/>
                <w:noProof/>
              </w:rPr>
              <w:t>7. Processing Facilities and Life-Cycle Assurance</w:t>
            </w:r>
            <w:r>
              <w:rPr>
                <w:noProof/>
                <w:webHidden/>
              </w:rPr>
              <w:tab/>
            </w:r>
            <w:r>
              <w:rPr>
                <w:noProof/>
                <w:webHidden/>
              </w:rPr>
              <w:fldChar w:fldCharType="begin"/>
            </w:r>
            <w:r>
              <w:rPr>
                <w:noProof/>
                <w:webHidden/>
              </w:rPr>
              <w:instrText xml:space="preserve"> PAGEREF _Toc216382934 \h </w:instrText>
            </w:r>
            <w:r>
              <w:rPr>
                <w:noProof/>
                <w:webHidden/>
              </w:rPr>
            </w:r>
            <w:r>
              <w:rPr>
                <w:noProof/>
                <w:webHidden/>
              </w:rPr>
              <w:fldChar w:fldCharType="separate"/>
            </w:r>
            <w:r>
              <w:rPr>
                <w:noProof/>
                <w:webHidden/>
              </w:rPr>
              <w:t>11</w:t>
            </w:r>
            <w:r>
              <w:rPr>
                <w:noProof/>
                <w:webHidden/>
              </w:rPr>
              <w:fldChar w:fldCharType="end"/>
            </w:r>
          </w:hyperlink>
        </w:p>
        <w:p w14:paraId="2095F2A3" w14:textId="12046F3B"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5" w:history="1">
            <w:r w:rsidRPr="00077190">
              <w:rPr>
                <w:rStyle w:val="Hyperlink"/>
                <w:b/>
                <w:bCs/>
                <w:noProof/>
              </w:rPr>
              <w:t>8. Administrative, Welfare and Security Support Buildings</w:t>
            </w:r>
            <w:r>
              <w:rPr>
                <w:noProof/>
                <w:webHidden/>
              </w:rPr>
              <w:tab/>
            </w:r>
            <w:r>
              <w:rPr>
                <w:noProof/>
                <w:webHidden/>
              </w:rPr>
              <w:fldChar w:fldCharType="begin"/>
            </w:r>
            <w:r>
              <w:rPr>
                <w:noProof/>
                <w:webHidden/>
              </w:rPr>
              <w:instrText xml:space="preserve"> PAGEREF _Toc216382935 \h </w:instrText>
            </w:r>
            <w:r>
              <w:rPr>
                <w:noProof/>
                <w:webHidden/>
              </w:rPr>
            </w:r>
            <w:r>
              <w:rPr>
                <w:noProof/>
                <w:webHidden/>
              </w:rPr>
              <w:fldChar w:fldCharType="separate"/>
            </w:r>
            <w:r>
              <w:rPr>
                <w:noProof/>
                <w:webHidden/>
              </w:rPr>
              <w:t>11</w:t>
            </w:r>
            <w:r>
              <w:rPr>
                <w:noProof/>
                <w:webHidden/>
              </w:rPr>
              <w:fldChar w:fldCharType="end"/>
            </w:r>
          </w:hyperlink>
        </w:p>
        <w:p w14:paraId="338A0958" w14:textId="6248D5AB"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6" w:history="1">
            <w:r w:rsidRPr="00077190">
              <w:rPr>
                <w:rStyle w:val="Hyperlink"/>
                <w:b/>
                <w:bCs/>
                <w:noProof/>
              </w:rPr>
              <w:t>9.</w:t>
            </w:r>
            <w:r w:rsidRPr="00077190">
              <w:rPr>
                <w:rStyle w:val="Hyperlink"/>
                <w:noProof/>
              </w:rPr>
              <w:t xml:space="preserve"> </w:t>
            </w:r>
            <w:r w:rsidRPr="00077190">
              <w:rPr>
                <w:rStyle w:val="Hyperlink"/>
                <w:b/>
                <w:bCs/>
                <w:noProof/>
              </w:rPr>
              <w:t>Security Measures in a High-Crime Urban Area</w:t>
            </w:r>
            <w:r>
              <w:rPr>
                <w:noProof/>
                <w:webHidden/>
              </w:rPr>
              <w:tab/>
            </w:r>
            <w:r>
              <w:rPr>
                <w:noProof/>
                <w:webHidden/>
              </w:rPr>
              <w:fldChar w:fldCharType="begin"/>
            </w:r>
            <w:r>
              <w:rPr>
                <w:noProof/>
                <w:webHidden/>
              </w:rPr>
              <w:instrText xml:space="preserve"> PAGEREF _Toc216382936 \h </w:instrText>
            </w:r>
            <w:r>
              <w:rPr>
                <w:noProof/>
                <w:webHidden/>
              </w:rPr>
            </w:r>
            <w:r>
              <w:rPr>
                <w:noProof/>
                <w:webHidden/>
              </w:rPr>
              <w:fldChar w:fldCharType="separate"/>
            </w:r>
            <w:r>
              <w:rPr>
                <w:noProof/>
                <w:webHidden/>
              </w:rPr>
              <w:t>11</w:t>
            </w:r>
            <w:r>
              <w:rPr>
                <w:noProof/>
                <w:webHidden/>
              </w:rPr>
              <w:fldChar w:fldCharType="end"/>
            </w:r>
          </w:hyperlink>
        </w:p>
        <w:p w14:paraId="51953C4D" w14:textId="098381B0"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7" w:history="1">
            <w:r w:rsidRPr="00077190">
              <w:rPr>
                <w:rStyle w:val="Hyperlink"/>
                <w:b/>
                <w:bCs/>
                <w:noProof/>
              </w:rPr>
              <w:t>10. Provision of Fire-Fighting Facilities</w:t>
            </w:r>
            <w:r>
              <w:rPr>
                <w:noProof/>
                <w:webHidden/>
              </w:rPr>
              <w:tab/>
            </w:r>
            <w:r>
              <w:rPr>
                <w:noProof/>
                <w:webHidden/>
              </w:rPr>
              <w:fldChar w:fldCharType="begin"/>
            </w:r>
            <w:r>
              <w:rPr>
                <w:noProof/>
                <w:webHidden/>
              </w:rPr>
              <w:instrText xml:space="preserve"> PAGEREF _Toc216382937 \h </w:instrText>
            </w:r>
            <w:r>
              <w:rPr>
                <w:noProof/>
                <w:webHidden/>
              </w:rPr>
            </w:r>
            <w:r>
              <w:rPr>
                <w:noProof/>
                <w:webHidden/>
              </w:rPr>
              <w:fldChar w:fldCharType="separate"/>
            </w:r>
            <w:r>
              <w:rPr>
                <w:noProof/>
                <w:webHidden/>
              </w:rPr>
              <w:t>11</w:t>
            </w:r>
            <w:r>
              <w:rPr>
                <w:noProof/>
                <w:webHidden/>
              </w:rPr>
              <w:fldChar w:fldCharType="end"/>
            </w:r>
          </w:hyperlink>
        </w:p>
        <w:p w14:paraId="65372CD0" w14:textId="15A32165"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8" w:history="1">
            <w:r w:rsidRPr="00077190">
              <w:rPr>
                <w:rStyle w:val="Hyperlink"/>
                <w:b/>
                <w:bCs/>
                <w:noProof/>
              </w:rPr>
              <w:t>11. Heating Controls and Electrical Safety in ESHs</w:t>
            </w:r>
            <w:r>
              <w:rPr>
                <w:noProof/>
                <w:webHidden/>
              </w:rPr>
              <w:tab/>
            </w:r>
            <w:r>
              <w:rPr>
                <w:noProof/>
                <w:webHidden/>
              </w:rPr>
              <w:fldChar w:fldCharType="begin"/>
            </w:r>
            <w:r>
              <w:rPr>
                <w:noProof/>
                <w:webHidden/>
              </w:rPr>
              <w:instrText xml:space="preserve"> PAGEREF _Toc216382938 \h </w:instrText>
            </w:r>
            <w:r>
              <w:rPr>
                <w:noProof/>
                <w:webHidden/>
              </w:rPr>
            </w:r>
            <w:r>
              <w:rPr>
                <w:noProof/>
                <w:webHidden/>
              </w:rPr>
              <w:fldChar w:fldCharType="separate"/>
            </w:r>
            <w:r>
              <w:rPr>
                <w:noProof/>
                <w:webHidden/>
              </w:rPr>
              <w:t>11</w:t>
            </w:r>
            <w:r>
              <w:rPr>
                <w:noProof/>
                <w:webHidden/>
              </w:rPr>
              <w:fldChar w:fldCharType="end"/>
            </w:r>
          </w:hyperlink>
        </w:p>
        <w:p w14:paraId="10BF1569" w14:textId="21ED0437"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39" w:history="1">
            <w:r w:rsidRPr="00077190">
              <w:rPr>
                <w:rStyle w:val="Hyperlink"/>
                <w:b/>
                <w:bCs/>
                <w:noProof/>
              </w:rPr>
              <w:t>12. Lightning Protection System (LPS) for Explosive Structures</w:t>
            </w:r>
            <w:r>
              <w:rPr>
                <w:noProof/>
                <w:webHidden/>
              </w:rPr>
              <w:tab/>
            </w:r>
            <w:r>
              <w:rPr>
                <w:noProof/>
                <w:webHidden/>
              </w:rPr>
              <w:fldChar w:fldCharType="begin"/>
            </w:r>
            <w:r>
              <w:rPr>
                <w:noProof/>
                <w:webHidden/>
              </w:rPr>
              <w:instrText xml:space="preserve"> PAGEREF _Toc216382939 \h </w:instrText>
            </w:r>
            <w:r>
              <w:rPr>
                <w:noProof/>
                <w:webHidden/>
              </w:rPr>
            </w:r>
            <w:r>
              <w:rPr>
                <w:noProof/>
                <w:webHidden/>
              </w:rPr>
              <w:fldChar w:fldCharType="separate"/>
            </w:r>
            <w:r>
              <w:rPr>
                <w:noProof/>
                <w:webHidden/>
              </w:rPr>
              <w:t>12</w:t>
            </w:r>
            <w:r>
              <w:rPr>
                <w:noProof/>
                <w:webHidden/>
              </w:rPr>
              <w:fldChar w:fldCharType="end"/>
            </w:r>
          </w:hyperlink>
        </w:p>
        <w:p w14:paraId="0DA51B90" w14:textId="2DF2ACF9"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40" w:history="1">
            <w:r w:rsidRPr="00077190">
              <w:rPr>
                <w:rStyle w:val="Hyperlink"/>
                <w:b/>
                <w:bCs/>
                <w:noProof/>
              </w:rPr>
              <w:t>Appendix D –proposed Explosive Limit License (ELL) based on the proximity of infrastructure and other building near to the proposed site.</w:t>
            </w:r>
            <w:r>
              <w:rPr>
                <w:noProof/>
                <w:webHidden/>
              </w:rPr>
              <w:tab/>
            </w:r>
            <w:r>
              <w:rPr>
                <w:noProof/>
                <w:webHidden/>
              </w:rPr>
              <w:fldChar w:fldCharType="begin"/>
            </w:r>
            <w:r>
              <w:rPr>
                <w:noProof/>
                <w:webHidden/>
              </w:rPr>
              <w:instrText xml:space="preserve"> PAGEREF _Toc216382940 \h </w:instrText>
            </w:r>
            <w:r>
              <w:rPr>
                <w:noProof/>
                <w:webHidden/>
              </w:rPr>
            </w:r>
            <w:r>
              <w:rPr>
                <w:noProof/>
                <w:webHidden/>
              </w:rPr>
              <w:fldChar w:fldCharType="separate"/>
            </w:r>
            <w:r>
              <w:rPr>
                <w:noProof/>
                <w:webHidden/>
              </w:rPr>
              <w:t>13</w:t>
            </w:r>
            <w:r>
              <w:rPr>
                <w:noProof/>
                <w:webHidden/>
              </w:rPr>
              <w:fldChar w:fldCharType="end"/>
            </w:r>
          </w:hyperlink>
        </w:p>
        <w:p w14:paraId="121F228E" w14:textId="7B27506A" w:rsidR="00000435" w:rsidRDefault="00000435">
          <w:pPr>
            <w:pStyle w:val="TOC2"/>
            <w:tabs>
              <w:tab w:val="right" w:leader="dot" w:pos="9016"/>
            </w:tabs>
            <w:rPr>
              <w:rFonts w:cstheme="minorBidi"/>
              <w:noProof/>
              <w:kern w:val="2"/>
              <w:sz w:val="24"/>
              <w:szCs w:val="24"/>
              <w:lang w:val="en-GB" w:eastAsia="en-GB"/>
              <w14:ligatures w14:val="standardContextual"/>
            </w:rPr>
          </w:pPr>
          <w:hyperlink w:anchor="_Toc216382941" w:history="1">
            <w:r w:rsidRPr="00077190">
              <w:rPr>
                <w:rStyle w:val="Hyperlink"/>
                <w:b/>
                <w:bCs/>
                <w:noProof/>
              </w:rPr>
              <w:t>Annex E: Additional calculations used to support this report</w:t>
            </w:r>
            <w:r>
              <w:rPr>
                <w:noProof/>
                <w:webHidden/>
              </w:rPr>
              <w:tab/>
            </w:r>
            <w:r>
              <w:rPr>
                <w:noProof/>
                <w:webHidden/>
              </w:rPr>
              <w:fldChar w:fldCharType="begin"/>
            </w:r>
            <w:r>
              <w:rPr>
                <w:noProof/>
                <w:webHidden/>
              </w:rPr>
              <w:instrText xml:space="preserve"> PAGEREF _Toc216382941 \h </w:instrText>
            </w:r>
            <w:r>
              <w:rPr>
                <w:noProof/>
                <w:webHidden/>
              </w:rPr>
            </w:r>
            <w:r>
              <w:rPr>
                <w:noProof/>
                <w:webHidden/>
              </w:rPr>
              <w:fldChar w:fldCharType="separate"/>
            </w:r>
            <w:r>
              <w:rPr>
                <w:noProof/>
                <w:webHidden/>
              </w:rPr>
              <w:t>19</w:t>
            </w:r>
            <w:r>
              <w:rPr>
                <w:noProof/>
                <w:webHidden/>
              </w:rPr>
              <w:fldChar w:fldCharType="end"/>
            </w:r>
          </w:hyperlink>
        </w:p>
        <w:p w14:paraId="4F7D60C0" w14:textId="23208452" w:rsidR="00000435" w:rsidRDefault="00000435">
          <w:pPr>
            <w:pStyle w:val="TOC3"/>
            <w:tabs>
              <w:tab w:val="right" w:leader="dot" w:pos="9016"/>
            </w:tabs>
            <w:rPr>
              <w:rFonts w:cstheme="minorBidi"/>
              <w:noProof/>
              <w:kern w:val="2"/>
              <w:sz w:val="24"/>
              <w:szCs w:val="24"/>
              <w:lang w:val="en-GB" w:eastAsia="en-GB"/>
              <w14:ligatures w14:val="standardContextual"/>
            </w:rPr>
          </w:pPr>
          <w:hyperlink w:anchor="_Toc216382942" w:history="1">
            <w:r w:rsidRPr="00077190">
              <w:rPr>
                <w:rStyle w:val="Hyperlink"/>
                <w:b/>
                <w:bCs/>
                <w:noProof/>
              </w:rPr>
              <w:t>Calculating Inter-magazine distance (IMD) &amp; conversions to coordinates</w:t>
            </w:r>
            <w:r>
              <w:rPr>
                <w:noProof/>
                <w:webHidden/>
              </w:rPr>
              <w:tab/>
            </w:r>
            <w:r>
              <w:rPr>
                <w:noProof/>
                <w:webHidden/>
              </w:rPr>
              <w:fldChar w:fldCharType="begin"/>
            </w:r>
            <w:r>
              <w:rPr>
                <w:noProof/>
                <w:webHidden/>
              </w:rPr>
              <w:instrText xml:space="preserve"> PAGEREF _Toc216382942 \h </w:instrText>
            </w:r>
            <w:r>
              <w:rPr>
                <w:noProof/>
                <w:webHidden/>
              </w:rPr>
            </w:r>
            <w:r>
              <w:rPr>
                <w:noProof/>
                <w:webHidden/>
              </w:rPr>
              <w:fldChar w:fldCharType="separate"/>
            </w:r>
            <w:r>
              <w:rPr>
                <w:noProof/>
                <w:webHidden/>
              </w:rPr>
              <w:t>19</w:t>
            </w:r>
            <w:r>
              <w:rPr>
                <w:noProof/>
                <w:webHidden/>
              </w:rPr>
              <w:fldChar w:fldCharType="end"/>
            </w:r>
          </w:hyperlink>
        </w:p>
        <w:p w14:paraId="17F58450" w14:textId="3E8E8304" w:rsidR="00000435" w:rsidRDefault="00000435">
          <w:pPr>
            <w:pStyle w:val="TOC1"/>
            <w:tabs>
              <w:tab w:val="right" w:leader="dot" w:pos="9016"/>
            </w:tabs>
            <w:rPr>
              <w:rFonts w:cstheme="minorBidi"/>
              <w:noProof/>
              <w:kern w:val="2"/>
              <w:sz w:val="24"/>
              <w:szCs w:val="24"/>
              <w:lang w:val="en-GB" w:eastAsia="en-GB"/>
              <w14:ligatures w14:val="standardContextual"/>
            </w:rPr>
          </w:pPr>
          <w:hyperlink w:anchor="_Toc216382943" w:history="1">
            <w:r w:rsidRPr="00077190">
              <w:rPr>
                <w:rStyle w:val="Hyperlink"/>
                <w:b/>
                <w:bCs/>
                <w:noProof/>
              </w:rPr>
              <w:t>11. References</w:t>
            </w:r>
            <w:r>
              <w:rPr>
                <w:noProof/>
                <w:webHidden/>
              </w:rPr>
              <w:tab/>
            </w:r>
            <w:r>
              <w:rPr>
                <w:noProof/>
                <w:webHidden/>
              </w:rPr>
              <w:fldChar w:fldCharType="begin"/>
            </w:r>
            <w:r>
              <w:rPr>
                <w:noProof/>
                <w:webHidden/>
              </w:rPr>
              <w:instrText xml:space="preserve"> PAGEREF _Toc216382943 \h </w:instrText>
            </w:r>
            <w:r>
              <w:rPr>
                <w:noProof/>
                <w:webHidden/>
              </w:rPr>
            </w:r>
            <w:r>
              <w:rPr>
                <w:noProof/>
                <w:webHidden/>
              </w:rPr>
              <w:fldChar w:fldCharType="separate"/>
            </w:r>
            <w:r>
              <w:rPr>
                <w:noProof/>
                <w:webHidden/>
              </w:rPr>
              <w:t>19</w:t>
            </w:r>
            <w:r>
              <w:rPr>
                <w:noProof/>
                <w:webHidden/>
              </w:rPr>
              <w:fldChar w:fldCharType="end"/>
            </w:r>
          </w:hyperlink>
        </w:p>
        <w:p w14:paraId="65853A1B" w14:textId="40E1AD61" w:rsidR="00CA1D97" w:rsidRPr="00143358" w:rsidRDefault="00CA1D97" w:rsidP="0024786C">
          <w:pPr>
            <w:sectPr w:rsidR="00CA1D97" w:rsidRPr="00143358">
              <w:pgSz w:w="11906" w:h="16838"/>
              <w:pgMar w:top="1440" w:right="1440" w:bottom="1440" w:left="1440" w:header="708" w:footer="708" w:gutter="0"/>
              <w:cols w:space="708"/>
              <w:docGrid w:linePitch="360"/>
            </w:sectPr>
          </w:pPr>
          <w:r w:rsidRPr="00143358">
            <w:rPr>
              <w:b/>
              <w:bCs/>
              <w:noProof/>
            </w:rPr>
            <w:fldChar w:fldCharType="end"/>
          </w:r>
        </w:p>
      </w:sdtContent>
    </w:sdt>
    <w:p w14:paraId="470FFDB7" w14:textId="794CFA41" w:rsidR="000A60BD" w:rsidRPr="00143358" w:rsidRDefault="000A60BD" w:rsidP="00CA1D97">
      <w:pPr>
        <w:outlineLvl w:val="0"/>
        <w:rPr>
          <w:b/>
          <w:bCs/>
          <w:sz w:val="28"/>
          <w:szCs w:val="28"/>
        </w:rPr>
      </w:pPr>
      <w:bookmarkStart w:id="0" w:name="_Toc216382898"/>
      <w:r w:rsidRPr="00143358">
        <w:rPr>
          <w:b/>
          <w:bCs/>
          <w:sz w:val="28"/>
          <w:szCs w:val="28"/>
        </w:rPr>
        <w:lastRenderedPageBreak/>
        <w:t>Table of Figures</w:t>
      </w:r>
      <w:bookmarkEnd w:id="0"/>
      <w:r w:rsidRPr="00143358">
        <w:rPr>
          <w:b/>
          <w:bCs/>
          <w:sz w:val="28"/>
          <w:szCs w:val="28"/>
        </w:rPr>
        <w:t xml:space="preserve"> </w:t>
      </w:r>
    </w:p>
    <w:p w14:paraId="01B3A438" w14:textId="4472E2BB" w:rsidR="007E0D40" w:rsidRDefault="007E0D40">
      <w:pPr>
        <w:pStyle w:val="TableofFigures"/>
        <w:tabs>
          <w:tab w:val="right" w:pos="9016"/>
        </w:tabs>
        <w:rPr>
          <w:rFonts w:eastAsiaTheme="minorEastAsia"/>
          <w:caps w:val="0"/>
          <w:noProof/>
          <w:sz w:val="24"/>
          <w:szCs w:val="24"/>
          <w:lang w:eastAsia="en-GB"/>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216397626" w:history="1">
        <w:r w:rsidRPr="00984A6A">
          <w:rPr>
            <w:rStyle w:val="Hyperlink"/>
            <w:noProof/>
          </w:rPr>
          <w:t>Figure 1: Displays the compatibility mixing rules as outlined by IATG-01.50 Explosive Hazard Classification System [12].</w:t>
        </w:r>
        <w:r>
          <w:rPr>
            <w:noProof/>
            <w:webHidden/>
          </w:rPr>
          <w:tab/>
        </w:r>
        <w:r>
          <w:rPr>
            <w:noProof/>
            <w:webHidden/>
          </w:rPr>
          <w:fldChar w:fldCharType="begin"/>
        </w:r>
        <w:r>
          <w:rPr>
            <w:noProof/>
            <w:webHidden/>
          </w:rPr>
          <w:instrText xml:space="preserve"> PAGEREF _Toc216397626 \h </w:instrText>
        </w:r>
        <w:r>
          <w:rPr>
            <w:noProof/>
            <w:webHidden/>
          </w:rPr>
        </w:r>
        <w:r>
          <w:rPr>
            <w:noProof/>
            <w:webHidden/>
          </w:rPr>
          <w:fldChar w:fldCharType="separate"/>
        </w:r>
        <w:r>
          <w:rPr>
            <w:noProof/>
            <w:webHidden/>
          </w:rPr>
          <w:t>5</w:t>
        </w:r>
        <w:r>
          <w:rPr>
            <w:noProof/>
            <w:webHidden/>
          </w:rPr>
          <w:fldChar w:fldCharType="end"/>
        </w:r>
      </w:hyperlink>
    </w:p>
    <w:p w14:paraId="63AF9809" w14:textId="34E08CFC" w:rsidR="007E0D40" w:rsidRDefault="007E0D40">
      <w:pPr>
        <w:pStyle w:val="TableofFigures"/>
        <w:tabs>
          <w:tab w:val="right" w:pos="9016"/>
        </w:tabs>
        <w:rPr>
          <w:rFonts w:eastAsiaTheme="minorEastAsia"/>
          <w:caps w:val="0"/>
          <w:noProof/>
          <w:sz w:val="24"/>
          <w:szCs w:val="24"/>
          <w:lang w:eastAsia="en-GB"/>
        </w:rPr>
      </w:pPr>
      <w:hyperlink w:anchor="_Toc216397627" w:history="1">
        <w:r w:rsidRPr="00984A6A">
          <w:rPr>
            <w:rStyle w:val="Hyperlink"/>
            <w:noProof/>
          </w:rPr>
          <w:t>Figure 2: Displays the quantity distances for Hazard Division 1.1 (mass explosion hazard) based on the proposed quantities to be stored by BigBang Solutions. Red indicates the Vulnerable Building Distance (VBD), Orange denotes the Inhabited Building Distance (IBD), and the yellow line denotes the Public Routes and Transport Distance (PTRD).</w:t>
        </w:r>
        <w:r>
          <w:rPr>
            <w:noProof/>
            <w:webHidden/>
          </w:rPr>
          <w:tab/>
        </w:r>
        <w:r>
          <w:rPr>
            <w:noProof/>
            <w:webHidden/>
          </w:rPr>
          <w:fldChar w:fldCharType="begin"/>
        </w:r>
        <w:r>
          <w:rPr>
            <w:noProof/>
            <w:webHidden/>
          </w:rPr>
          <w:instrText xml:space="preserve"> PAGEREF _Toc216397627 \h </w:instrText>
        </w:r>
        <w:r>
          <w:rPr>
            <w:noProof/>
            <w:webHidden/>
          </w:rPr>
        </w:r>
        <w:r>
          <w:rPr>
            <w:noProof/>
            <w:webHidden/>
          </w:rPr>
          <w:fldChar w:fldCharType="separate"/>
        </w:r>
        <w:r>
          <w:rPr>
            <w:noProof/>
            <w:webHidden/>
          </w:rPr>
          <w:t>12</w:t>
        </w:r>
        <w:r>
          <w:rPr>
            <w:noProof/>
            <w:webHidden/>
          </w:rPr>
          <w:fldChar w:fldCharType="end"/>
        </w:r>
      </w:hyperlink>
    </w:p>
    <w:p w14:paraId="62688B1A" w14:textId="3EE6E31A" w:rsidR="007E0D40" w:rsidRDefault="007E0D40">
      <w:pPr>
        <w:pStyle w:val="TableofFigures"/>
        <w:tabs>
          <w:tab w:val="right" w:pos="9016"/>
        </w:tabs>
        <w:rPr>
          <w:rFonts w:eastAsiaTheme="minorEastAsia"/>
          <w:caps w:val="0"/>
          <w:noProof/>
          <w:sz w:val="24"/>
          <w:szCs w:val="24"/>
          <w:lang w:eastAsia="en-GB"/>
        </w:rPr>
      </w:pPr>
      <w:hyperlink w:anchor="_Toc216397628" w:history="1">
        <w:r w:rsidRPr="00984A6A">
          <w:rPr>
            <w:rStyle w:val="Hyperlink"/>
            <w:noProof/>
          </w:rPr>
          <w:t>Figure 3: Displays the quantity distances for Hazard Division 1.2.1 (Projection hazard – severe.  e.g. artillery shells) based on the proposed quantities to be stored by BigBang Solutions. Red indicates the Vulnerable Building Distance (VBD), Orange denotes the Inhabited Building Distance (IBD), and the yellow line denotes the Public Transport Routes Distance (PTRD).</w:t>
        </w:r>
        <w:r>
          <w:rPr>
            <w:noProof/>
            <w:webHidden/>
          </w:rPr>
          <w:tab/>
        </w:r>
        <w:r>
          <w:rPr>
            <w:noProof/>
            <w:webHidden/>
          </w:rPr>
          <w:fldChar w:fldCharType="begin"/>
        </w:r>
        <w:r>
          <w:rPr>
            <w:noProof/>
            <w:webHidden/>
          </w:rPr>
          <w:instrText xml:space="preserve"> PAGEREF _Toc216397628 \h </w:instrText>
        </w:r>
        <w:r>
          <w:rPr>
            <w:noProof/>
            <w:webHidden/>
          </w:rPr>
        </w:r>
        <w:r>
          <w:rPr>
            <w:noProof/>
            <w:webHidden/>
          </w:rPr>
          <w:fldChar w:fldCharType="separate"/>
        </w:r>
        <w:r>
          <w:rPr>
            <w:noProof/>
            <w:webHidden/>
          </w:rPr>
          <w:t>12</w:t>
        </w:r>
        <w:r>
          <w:rPr>
            <w:noProof/>
            <w:webHidden/>
          </w:rPr>
          <w:fldChar w:fldCharType="end"/>
        </w:r>
      </w:hyperlink>
    </w:p>
    <w:p w14:paraId="5FAD629F" w14:textId="24774866" w:rsidR="007E0D40" w:rsidRDefault="007E0D40">
      <w:pPr>
        <w:pStyle w:val="TableofFigures"/>
        <w:tabs>
          <w:tab w:val="right" w:pos="9016"/>
        </w:tabs>
        <w:rPr>
          <w:rFonts w:eastAsiaTheme="minorEastAsia"/>
          <w:caps w:val="0"/>
          <w:noProof/>
          <w:sz w:val="24"/>
          <w:szCs w:val="24"/>
          <w:lang w:eastAsia="en-GB"/>
        </w:rPr>
      </w:pPr>
      <w:hyperlink w:anchor="_Toc216397629" w:history="1">
        <w:r w:rsidRPr="00984A6A">
          <w:rPr>
            <w:rStyle w:val="Hyperlink"/>
            <w:noProof/>
          </w:rPr>
          <w:t>Figure 4: Displays the quantity distances for Hazard Division 1.2.2 (Projection Hazard -  low velocity fragments, small munitions packaged appropriately such as hand grenades) based on the proposed quantities to be stored by BigBang Solutions. Red indicates the Vulnerable Building Distance (VBD), Orange denotes the Inhabited Building Distance (IBD), and the yellow line denotes the Public Routes Transport Distance (PTRD).</w:t>
        </w:r>
        <w:r>
          <w:rPr>
            <w:noProof/>
            <w:webHidden/>
          </w:rPr>
          <w:tab/>
        </w:r>
        <w:r>
          <w:rPr>
            <w:noProof/>
            <w:webHidden/>
          </w:rPr>
          <w:fldChar w:fldCharType="begin"/>
        </w:r>
        <w:r>
          <w:rPr>
            <w:noProof/>
            <w:webHidden/>
          </w:rPr>
          <w:instrText xml:space="preserve"> PAGEREF _Toc216397629 \h </w:instrText>
        </w:r>
        <w:r>
          <w:rPr>
            <w:noProof/>
            <w:webHidden/>
          </w:rPr>
        </w:r>
        <w:r>
          <w:rPr>
            <w:noProof/>
            <w:webHidden/>
          </w:rPr>
          <w:fldChar w:fldCharType="separate"/>
        </w:r>
        <w:r>
          <w:rPr>
            <w:noProof/>
            <w:webHidden/>
          </w:rPr>
          <w:t>13</w:t>
        </w:r>
        <w:r>
          <w:rPr>
            <w:noProof/>
            <w:webHidden/>
          </w:rPr>
          <w:fldChar w:fldCharType="end"/>
        </w:r>
      </w:hyperlink>
    </w:p>
    <w:p w14:paraId="19AD6979" w14:textId="06CAF857" w:rsidR="007E0D40" w:rsidRDefault="007E0D40">
      <w:pPr>
        <w:pStyle w:val="TableofFigures"/>
        <w:tabs>
          <w:tab w:val="right" w:pos="9016"/>
        </w:tabs>
        <w:rPr>
          <w:rFonts w:eastAsiaTheme="minorEastAsia"/>
          <w:caps w:val="0"/>
          <w:noProof/>
          <w:sz w:val="24"/>
          <w:szCs w:val="24"/>
          <w:lang w:eastAsia="en-GB"/>
        </w:rPr>
      </w:pPr>
      <w:hyperlink w:anchor="_Toc216397630" w:history="1">
        <w:r w:rsidRPr="00984A6A">
          <w:rPr>
            <w:rStyle w:val="Hyperlink"/>
            <w:noProof/>
          </w:rPr>
          <w:t>Figure 5: Displays the quantity distances for Hazard Division 1.3.1(Mass burning Hazard -  High heat flux, violent burns) based on the proposed quantities to be stored by BigBang Solutions. Red indicates the Vulnerable Building Distance (VBD), Orange denotes the Inhabited Building Distance (IBD), and the yellow line denotes the Public Routes Transport Distance (PTRD).</w:t>
        </w:r>
        <w:r>
          <w:rPr>
            <w:noProof/>
            <w:webHidden/>
          </w:rPr>
          <w:tab/>
        </w:r>
        <w:r>
          <w:rPr>
            <w:noProof/>
            <w:webHidden/>
          </w:rPr>
          <w:fldChar w:fldCharType="begin"/>
        </w:r>
        <w:r>
          <w:rPr>
            <w:noProof/>
            <w:webHidden/>
          </w:rPr>
          <w:instrText xml:space="preserve"> PAGEREF _Toc216397630 \h </w:instrText>
        </w:r>
        <w:r>
          <w:rPr>
            <w:noProof/>
            <w:webHidden/>
          </w:rPr>
        </w:r>
        <w:r>
          <w:rPr>
            <w:noProof/>
            <w:webHidden/>
          </w:rPr>
          <w:fldChar w:fldCharType="separate"/>
        </w:r>
        <w:r>
          <w:rPr>
            <w:noProof/>
            <w:webHidden/>
          </w:rPr>
          <w:t>13</w:t>
        </w:r>
        <w:r>
          <w:rPr>
            <w:noProof/>
            <w:webHidden/>
          </w:rPr>
          <w:fldChar w:fldCharType="end"/>
        </w:r>
      </w:hyperlink>
    </w:p>
    <w:p w14:paraId="2CB3F62A" w14:textId="7A70E95E" w:rsidR="007E0D40" w:rsidRDefault="007E0D40">
      <w:pPr>
        <w:pStyle w:val="TableofFigures"/>
        <w:tabs>
          <w:tab w:val="right" w:pos="9016"/>
        </w:tabs>
        <w:rPr>
          <w:rFonts w:eastAsiaTheme="minorEastAsia"/>
          <w:caps w:val="0"/>
          <w:noProof/>
          <w:sz w:val="24"/>
          <w:szCs w:val="24"/>
          <w:lang w:eastAsia="en-GB"/>
        </w:rPr>
      </w:pPr>
      <w:hyperlink w:anchor="_Toc216397631" w:history="1">
        <w:r w:rsidRPr="00984A6A">
          <w:rPr>
            <w:rStyle w:val="Hyperlink"/>
            <w:noProof/>
          </w:rPr>
          <w:t>Figure 6: Figure 5: Displays the quantity distances for Hazard Division 1.3.1(Mass burning Hazard -  Low heat flux, less violent burns) based on the proposed quantities to be stored by BigBang Solutions. Red indicates the Vulnerable Building Distance (VBD), Orange denotes the Inhabited Building Distance (IBD), and the yellow line denotes the Public Routes Transport Distance (PTRD).</w:t>
        </w:r>
        <w:r>
          <w:rPr>
            <w:noProof/>
            <w:webHidden/>
          </w:rPr>
          <w:tab/>
        </w:r>
        <w:r>
          <w:rPr>
            <w:noProof/>
            <w:webHidden/>
          </w:rPr>
          <w:fldChar w:fldCharType="begin"/>
        </w:r>
        <w:r>
          <w:rPr>
            <w:noProof/>
            <w:webHidden/>
          </w:rPr>
          <w:instrText xml:space="preserve"> PAGEREF _Toc216397631 \h </w:instrText>
        </w:r>
        <w:r>
          <w:rPr>
            <w:noProof/>
            <w:webHidden/>
          </w:rPr>
        </w:r>
        <w:r>
          <w:rPr>
            <w:noProof/>
            <w:webHidden/>
          </w:rPr>
          <w:fldChar w:fldCharType="separate"/>
        </w:r>
        <w:r>
          <w:rPr>
            <w:noProof/>
            <w:webHidden/>
          </w:rPr>
          <w:t>14</w:t>
        </w:r>
        <w:r>
          <w:rPr>
            <w:noProof/>
            <w:webHidden/>
          </w:rPr>
          <w:fldChar w:fldCharType="end"/>
        </w:r>
      </w:hyperlink>
    </w:p>
    <w:p w14:paraId="1C22018C" w14:textId="3450488A" w:rsidR="000A60BD" w:rsidRPr="00143358" w:rsidRDefault="007E0D40" w:rsidP="00A41B6A">
      <w:pPr>
        <w:rPr>
          <w:b/>
          <w:bCs/>
          <w:sz w:val="28"/>
          <w:szCs w:val="28"/>
        </w:rPr>
      </w:pPr>
      <w:r>
        <w:rPr>
          <w:b/>
          <w:bCs/>
          <w:sz w:val="28"/>
          <w:szCs w:val="28"/>
        </w:rPr>
        <w:fldChar w:fldCharType="end"/>
      </w:r>
      <w:bookmarkStart w:id="1" w:name="_Toc216382899"/>
      <w:r w:rsidR="000A60BD" w:rsidRPr="00143358">
        <w:rPr>
          <w:b/>
          <w:bCs/>
          <w:sz w:val="28"/>
          <w:szCs w:val="28"/>
        </w:rPr>
        <w:t>Table of Tables</w:t>
      </w:r>
      <w:bookmarkEnd w:id="1"/>
      <w:r w:rsidR="000A60BD" w:rsidRPr="00143358">
        <w:rPr>
          <w:b/>
          <w:bCs/>
          <w:sz w:val="28"/>
          <w:szCs w:val="28"/>
        </w:rPr>
        <w:t xml:space="preserve"> </w:t>
      </w:r>
    </w:p>
    <w:p w14:paraId="028271B6" w14:textId="01DDBCF5" w:rsidR="00A41B6A" w:rsidRDefault="00A41B6A">
      <w:pPr>
        <w:pStyle w:val="TableofFigures"/>
        <w:tabs>
          <w:tab w:val="right" w:pos="9016"/>
        </w:tabs>
        <w:rPr>
          <w:rFonts w:eastAsiaTheme="minorEastAsia"/>
          <w:caps w:val="0"/>
          <w:noProof/>
          <w:sz w:val="24"/>
          <w:szCs w:val="24"/>
          <w:lang w:eastAsia="en-GB"/>
        </w:rPr>
      </w:pPr>
      <w:r>
        <w:rPr>
          <w:b/>
          <w:bCs/>
          <w:sz w:val="28"/>
          <w:szCs w:val="28"/>
        </w:rPr>
        <w:fldChar w:fldCharType="begin"/>
      </w:r>
      <w:r>
        <w:rPr>
          <w:b/>
          <w:bCs/>
          <w:sz w:val="28"/>
          <w:szCs w:val="28"/>
        </w:rPr>
        <w:instrText xml:space="preserve"> TOC \h \z \c "Table" </w:instrText>
      </w:r>
      <w:r>
        <w:rPr>
          <w:b/>
          <w:bCs/>
          <w:sz w:val="28"/>
          <w:szCs w:val="28"/>
        </w:rPr>
        <w:fldChar w:fldCharType="separate"/>
      </w:r>
      <w:hyperlink w:anchor="_Toc216398461" w:history="1">
        <w:r w:rsidRPr="00887738">
          <w:rPr>
            <w:rStyle w:val="Hyperlink"/>
            <w:noProof/>
          </w:rPr>
          <w:t>Table 1: Displays a proposed storage regime that is feasible, but would require the ESH's proposed by BigBang Storage solutions to hold a higher storage licence.</w:t>
        </w:r>
        <w:r>
          <w:rPr>
            <w:noProof/>
            <w:webHidden/>
          </w:rPr>
          <w:tab/>
        </w:r>
        <w:r>
          <w:rPr>
            <w:noProof/>
            <w:webHidden/>
          </w:rPr>
          <w:fldChar w:fldCharType="begin"/>
        </w:r>
        <w:r>
          <w:rPr>
            <w:noProof/>
            <w:webHidden/>
          </w:rPr>
          <w:instrText xml:space="preserve"> PAGEREF _Toc216398461 \h </w:instrText>
        </w:r>
        <w:r>
          <w:rPr>
            <w:noProof/>
            <w:webHidden/>
          </w:rPr>
        </w:r>
        <w:r>
          <w:rPr>
            <w:noProof/>
            <w:webHidden/>
          </w:rPr>
          <w:fldChar w:fldCharType="separate"/>
        </w:r>
        <w:r>
          <w:rPr>
            <w:noProof/>
            <w:webHidden/>
          </w:rPr>
          <w:t>7</w:t>
        </w:r>
        <w:r>
          <w:rPr>
            <w:noProof/>
            <w:webHidden/>
          </w:rPr>
          <w:fldChar w:fldCharType="end"/>
        </w:r>
      </w:hyperlink>
    </w:p>
    <w:p w14:paraId="6150FF53" w14:textId="4032042E" w:rsidR="00A41B6A" w:rsidRDefault="00A41B6A">
      <w:pPr>
        <w:pStyle w:val="TableofFigures"/>
        <w:tabs>
          <w:tab w:val="right" w:pos="9016"/>
        </w:tabs>
        <w:rPr>
          <w:rFonts w:eastAsiaTheme="minorEastAsia"/>
          <w:caps w:val="0"/>
          <w:noProof/>
          <w:sz w:val="24"/>
          <w:szCs w:val="24"/>
          <w:lang w:eastAsia="en-GB"/>
        </w:rPr>
      </w:pPr>
      <w:hyperlink w:anchor="_Toc216398462" w:history="1">
        <w:r w:rsidRPr="00887738">
          <w:rPr>
            <w:rStyle w:val="Hyperlink"/>
            <w:noProof/>
          </w:rPr>
          <w:t>Table 2: Displays a more optimised storage regime, which would require the construction of a further three ESH's to maintain compliance throughout the planned storage regime.</w:t>
        </w:r>
        <w:r>
          <w:rPr>
            <w:noProof/>
            <w:webHidden/>
          </w:rPr>
          <w:tab/>
        </w:r>
        <w:r>
          <w:rPr>
            <w:noProof/>
            <w:webHidden/>
          </w:rPr>
          <w:fldChar w:fldCharType="begin"/>
        </w:r>
        <w:r>
          <w:rPr>
            <w:noProof/>
            <w:webHidden/>
          </w:rPr>
          <w:instrText xml:space="preserve"> PAGEREF _Toc216398462 \h </w:instrText>
        </w:r>
        <w:r>
          <w:rPr>
            <w:noProof/>
            <w:webHidden/>
          </w:rPr>
        </w:r>
        <w:r>
          <w:rPr>
            <w:noProof/>
            <w:webHidden/>
          </w:rPr>
          <w:fldChar w:fldCharType="separate"/>
        </w:r>
        <w:r>
          <w:rPr>
            <w:noProof/>
            <w:webHidden/>
          </w:rPr>
          <w:t>8</w:t>
        </w:r>
        <w:r>
          <w:rPr>
            <w:noProof/>
            <w:webHidden/>
          </w:rPr>
          <w:fldChar w:fldCharType="end"/>
        </w:r>
      </w:hyperlink>
    </w:p>
    <w:p w14:paraId="7B5FF36F" w14:textId="2C68432D" w:rsidR="00A41B6A" w:rsidRDefault="00A41B6A">
      <w:pPr>
        <w:pStyle w:val="TableofFigures"/>
        <w:tabs>
          <w:tab w:val="right" w:pos="9016"/>
        </w:tabs>
        <w:rPr>
          <w:rFonts w:eastAsiaTheme="minorEastAsia"/>
          <w:caps w:val="0"/>
          <w:noProof/>
          <w:sz w:val="24"/>
          <w:szCs w:val="24"/>
          <w:lang w:eastAsia="en-GB"/>
        </w:rPr>
      </w:pPr>
      <w:hyperlink w:anchor="_Toc216398463" w:history="1">
        <w:r w:rsidRPr="00887738">
          <w:rPr>
            <w:rStyle w:val="Hyperlink"/>
            <w:noProof/>
          </w:rPr>
          <w:t>Table 3: defines a basic and holistic risk assessment based upon the proposed storage</w:t>
        </w:r>
        <w:r>
          <w:rPr>
            <w:noProof/>
            <w:webHidden/>
          </w:rPr>
          <w:tab/>
        </w:r>
        <w:r>
          <w:rPr>
            <w:noProof/>
            <w:webHidden/>
          </w:rPr>
          <w:fldChar w:fldCharType="begin"/>
        </w:r>
        <w:r>
          <w:rPr>
            <w:noProof/>
            <w:webHidden/>
          </w:rPr>
          <w:instrText xml:space="preserve"> PAGEREF _Toc216398463 \h </w:instrText>
        </w:r>
        <w:r>
          <w:rPr>
            <w:noProof/>
            <w:webHidden/>
          </w:rPr>
        </w:r>
        <w:r>
          <w:rPr>
            <w:noProof/>
            <w:webHidden/>
          </w:rPr>
          <w:fldChar w:fldCharType="separate"/>
        </w:r>
        <w:r>
          <w:rPr>
            <w:noProof/>
            <w:webHidden/>
          </w:rPr>
          <w:t>10</w:t>
        </w:r>
        <w:r>
          <w:rPr>
            <w:noProof/>
            <w:webHidden/>
          </w:rPr>
          <w:fldChar w:fldCharType="end"/>
        </w:r>
      </w:hyperlink>
    </w:p>
    <w:p w14:paraId="2B0AE9D4" w14:textId="2CD9A456" w:rsidR="00A41B6A" w:rsidRDefault="00A41B6A">
      <w:pPr>
        <w:pStyle w:val="TableofFigures"/>
        <w:tabs>
          <w:tab w:val="right" w:pos="9016"/>
        </w:tabs>
        <w:rPr>
          <w:rFonts w:eastAsiaTheme="minorEastAsia"/>
          <w:caps w:val="0"/>
          <w:noProof/>
          <w:sz w:val="24"/>
          <w:szCs w:val="24"/>
          <w:lang w:eastAsia="en-GB"/>
        </w:rPr>
      </w:pPr>
      <w:hyperlink w:anchor="_Toc216398464" w:history="1">
        <w:r w:rsidRPr="00887738">
          <w:rPr>
            <w:rStyle w:val="Hyperlink"/>
            <w:noProof/>
          </w:rPr>
          <w:t>Table 4: displays the ESH displacement within the planned PES proposed by Bigband Solutions Ltd, based on Longitudinal displacement mathematics.</w:t>
        </w:r>
        <w:r>
          <w:rPr>
            <w:noProof/>
            <w:webHidden/>
          </w:rPr>
          <w:tab/>
        </w:r>
        <w:r>
          <w:rPr>
            <w:noProof/>
            <w:webHidden/>
          </w:rPr>
          <w:fldChar w:fldCharType="begin"/>
        </w:r>
        <w:r>
          <w:rPr>
            <w:noProof/>
            <w:webHidden/>
          </w:rPr>
          <w:instrText xml:space="preserve"> PAGEREF _Toc216398464 \h </w:instrText>
        </w:r>
        <w:r>
          <w:rPr>
            <w:noProof/>
            <w:webHidden/>
          </w:rPr>
        </w:r>
        <w:r>
          <w:rPr>
            <w:noProof/>
            <w:webHidden/>
          </w:rPr>
          <w:fldChar w:fldCharType="separate"/>
        </w:r>
        <w:r>
          <w:rPr>
            <w:noProof/>
            <w:webHidden/>
          </w:rPr>
          <w:t>24</w:t>
        </w:r>
        <w:r>
          <w:rPr>
            <w:noProof/>
            <w:webHidden/>
          </w:rPr>
          <w:fldChar w:fldCharType="end"/>
        </w:r>
      </w:hyperlink>
    </w:p>
    <w:p w14:paraId="41A19494" w14:textId="0CDA7893" w:rsidR="00A41B6A" w:rsidRDefault="00A41B6A" w:rsidP="00A41B6A">
      <w:pPr>
        <w:rPr>
          <w:b/>
          <w:bCs/>
          <w:sz w:val="28"/>
          <w:szCs w:val="28"/>
        </w:rPr>
      </w:pPr>
      <w:r>
        <w:rPr>
          <w:b/>
          <w:bCs/>
          <w:sz w:val="28"/>
          <w:szCs w:val="28"/>
        </w:rPr>
        <w:fldChar w:fldCharType="end"/>
      </w:r>
      <w:r>
        <w:rPr>
          <w:b/>
          <w:bCs/>
          <w:sz w:val="28"/>
          <w:szCs w:val="28"/>
        </w:rPr>
        <w:t xml:space="preserve">Table of Equations </w:t>
      </w:r>
    </w:p>
    <w:p w14:paraId="7EDDECE3" w14:textId="38C36EB8" w:rsidR="00A41B6A" w:rsidRDefault="00A41B6A">
      <w:pPr>
        <w:pStyle w:val="TableofFigures"/>
        <w:tabs>
          <w:tab w:val="right" w:pos="9016"/>
        </w:tabs>
        <w:rPr>
          <w:rFonts w:eastAsiaTheme="minorEastAsia"/>
          <w:caps w:val="0"/>
          <w:noProof/>
          <w:sz w:val="24"/>
          <w:szCs w:val="24"/>
          <w:lang w:eastAsia="en-GB"/>
        </w:rPr>
      </w:pPr>
      <w:r>
        <w:rPr>
          <w:b/>
          <w:bCs/>
          <w:sz w:val="28"/>
          <w:szCs w:val="28"/>
        </w:rPr>
        <w:fldChar w:fldCharType="begin"/>
      </w:r>
      <w:r>
        <w:rPr>
          <w:b/>
          <w:bCs/>
          <w:sz w:val="28"/>
          <w:szCs w:val="28"/>
        </w:rPr>
        <w:instrText xml:space="preserve"> TOC \h \z \c "Equation" </w:instrText>
      </w:r>
      <w:r>
        <w:rPr>
          <w:b/>
          <w:bCs/>
          <w:sz w:val="28"/>
          <w:szCs w:val="28"/>
        </w:rPr>
        <w:fldChar w:fldCharType="separate"/>
      </w:r>
      <w:hyperlink w:anchor="_Toc216398649" w:history="1">
        <w:r w:rsidRPr="007A5DAB">
          <w:rPr>
            <w:rStyle w:val="Hyperlink"/>
            <w:noProof/>
          </w:rPr>
          <w:t>Equation 1: displays the IATG 20.20 definition of IMD using the Quantity Distance Scaling law. D = distance required from centre to centre. K = the IATG safety constant based upon the hazard division, and protective measure (in this instance, assumed protective measures of a standard Igloo construction, and worst case HD1.1 Mass explosive hazard. And W = the cube root of the total Net Explosive Quantity (NEQ) of explosives in Kilograms. It was established that an Igloo would be categorised as D3, therefore the K value of 3.6 was used.</w:t>
        </w:r>
        <w:r>
          <w:rPr>
            <w:noProof/>
            <w:webHidden/>
          </w:rPr>
          <w:tab/>
        </w:r>
        <w:r>
          <w:rPr>
            <w:noProof/>
            <w:webHidden/>
          </w:rPr>
          <w:fldChar w:fldCharType="begin"/>
        </w:r>
        <w:r>
          <w:rPr>
            <w:noProof/>
            <w:webHidden/>
          </w:rPr>
          <w:instrText xml:space="preserve"> PAGEREF _Toc216398649 \h </w:instrText>
        </w:r>
        <w:r>
          <w:rPr>
            <w:noProof/>
            <w:webHidden/>
          </w:rPr>
        </w:r>
        <w:r>
          <w:rPr>
            <w:noProof/>
            <w:webHidden/>
          </w:rPr>
          <w:fldChar w:fldCharType="separate"/>
        </w:r>
        <w:r>
          <w:rPr>
            <w:noProof/>
            <w:webHidden/>
          </w:rPr>
          <w:t>6</w:t>
        </w:r>
        <w:r>
          <w:rPr>
            <w:noProof/>
            <w:webHidden/>
          </w:rPr>
          <w:fldChar w:fldCharType="end"/>
        </w:r>
      </w:hyperlink>
    </w:p>
    <w:p w14:paraId="22D5BAAD" w14:textId="63D92D01" w:rsidR="00A41B6A" w:rsidRDefault="00A41B6A">
      <w:pPr>
        <w:pStyle w:val="TableofFigures"/>
        <w:tabs>
          <w:tab w:val="right" w:pos="9016"/>
        </w:tabs>
        <w:rPr>
          <w:rFonts w:eastAsiaTheme="minorEastAsia"/>
          <w:caps w:val="0"/>
          <w:noProof/>
          <w:sz w:val="24"/>
          <w:szCs w:val="24"/>
          <w:lang w:eastAsia="en-GB"/>
        </w:rPr>
      </w:pPr>
      <w:hyperlink w:anchor="_Toc216398650" w:history="1">
        <w:r w:rsidRPr="007A5DAB">
          <w:rPr>
            <w:rStyle w:val="Hyperlink"/>
            <w:noProof/>
          </w:rPr>
          <w:t>Equation 2: displays how displacement in meters to degrees longitude at a given latitude was calculated for form Table 4.</w:t>
        </w:r>
        <w:r>
          <w:rPr>
            <w:noProof/>
            <w:webHidden/>
          </w:rPr>
          <w:tab/>
        </w:r>
        <w:r>
          <w:rPr>
            <w:noProof/>
            <w:webHidden/>
          </w:rPr>
          <w:fldChar w:fldCharType="begin"/>
        </w:r>
        <w:r>
          <w:rPr>
            <w:noProof/>
            <w:webHidden/>
          </w:rPr>
          <w:instrText xml:space="preserve"> PAGEREF _Toc216398650 \h </w:instrText>
        </w:r>
        <w:r>
          <w:rPr>
            <w:noProof/>
            <w:webHidden/>
          </w:rPr>
        </w:r>
        <w:r>
          <w:rPr>
            <w:noProof/>
            <w:webHidden/>
          </w:rPr>
          <w:fldChar w:fldCharType="separate"/>
        </w:r>
        <w:r>
          <w:rPr>
            <w:noProof/>
            <w:webHidden/>
          </w:rPr>
          <w:t>24</w:t>
        </w:r>
        <w:r>
          <w:rPr>
            <w:noProof/>
            <w:webHidden/>
          </w:rPr>
          <w:fldChar w:fldCharType="end"/>
        </w:r>
      </w:hyperlink>
    </w:p>
    <w:p w14:paraId="71705E58" w14:textId="77777777" w:rsidR="00A41B6A" w:rsidRDefault="00A41B6A" w:rsidP="00A41B6A">
      <w:pPr>
        <w:rPr>
          <w:b/>
          <w:bCs/>
          <w:sz w:val="28"/>
          <w:szCs w:val="28"/>
        </w:rPr>
      </w:pPr>
      <w:r>
        <w:rPr>
          <w:b/>
          <w:bCs/>
          <w:sz w:val="28"/>
          <w:szCs w:val="28"/>
        </w:rPr>
        <w:fldChar w:fldCharType="end"/>
      </w:r>
      <w:bookmarkStart w:id="2" w:name="_Toc216382900"/>
    </w:p>
    <w:p w14:paraId="7A74DFA1" w14:textId="77C5919E" w:rsidR="0024786C" w:rsidRPr="00143358" w:rsidRDefault="00CA1D97" w:rsidP="00A41B6A">
      <w:pPr>
        <w:rPr>
          <w:b/>
          <w:bCs/>
          <w:sz w:val="28"/>
          <w:szCs w:val="28"/>
        </w:rPr>
      </w:pPr>
      <w:r w:rsidRPr="00143358">
        <w:rPr>
          <w:b/>
          <w:bCs/>
          <w:sz w:val="28"/>
          <w:szCs w:val="28"/>
        </w:rPr>
        <w:lastRenderedPageBreak/>
        <w:t xml:space="preserve">1. </w:t>
      </w:r>
      <w:r w:rsidR="0024786C" w:rsidRPr="00143358">
        <w:rPr>
          <w:b/>
          <w:bCs/>
          <w:sz w:val="28"/>
          <w:szCs w:val="28"/>
        </w:rPr>
        <w:t>Introduction</w:t>
      </w:r>
      <w:bookmarkEnd w:id="2"/>
      <w:r w:rsidR="0024786C" w:rsidRPr="00143358">
        <w:rPr>
          <w:b/>
          <w:bCs/>
          <w:sz w:val="28"/>
          <w:szCs w:val="28"/>
        </w:rPr>
        <w:t xml:space="preserve"> </w:t>
      </w:r>
    </w:p>
    <w:p w14:paraId="48C0D13E" w14:textId="4CE175BB" w:rsidR="00FE31F1" w:rsidRPr="00143358" w:rsidRDefault="00FE31F1" w:rsidP="00FE31F1">
      <w:pPr>
        <w:ind w:firstLine="720"/>
      </w:pPr>
      <w:r w:rsidRPr="00143358">
        <w:t xml:space="preserve">Swansea City and County Council have received a planning application that proposes the construction of </w:t>
      </w:r>
      <w:proofErr w:type="gramStart"/>
      <w:r w:rsidRPr="00143358">
        <w:t>an</w:t>
      </w:r>
      <w:proofErr w:type="gramEnd"/>
      <w:r w:rsidRPr="00143358">
        <w:t xml:space="preserve"> Potential Explosive Site (PES) on designated land within its administrative boundary along part of Swansea City’s sea frontage. This proposal was submitted by </w:t>
      </w:r>
      <w:proofErr w:type="spellStart"/>
      <w:r w:rsidRPr="00143358">
        <w:t>BigBang</w:t>
      </w:r>
      <w:proofErr w:type="spellEnd"/>
      <w:r w:rsidRPr="00143358">
        <w:t xml:space="preserve"> Storage Solutions. It specifically seeks permission to erect five Earth-Covered Explosive Storage Houses (ESH) intended for the storage of mixed classes of ammunition and explosive materials. An earther covered ESH is defined by IATG 04.10 as a ‘Igloo’ construction </w:t>
      </w:r>
      <w:sdt>
        <w:sdtPr>
          <w:id w:val="-1166856211"/>
          <w:citation/>
        </w:sdtPr>
        <w:sdtContent>
          <w:r w:rsidRPr="00143358">
            <w:fldChar w:fldCharType="begin"/>
          </w:r>
          <w:r w:rsidRPr="00143358">
            <w:instrText xml:space="preserve">CITATION Uni21 \l 2057 </w:instrText>
          </w:r>
          <w:r w:rsidRPr="00143358">
            <w:fldChar w:fldCharType="separate"/>
          </w:r>
          <w:r w:rsidR="00C3255F" w:rsidRPr="00C3255F">
            <w:rPr>
              <w:noProof/>
            </w:rPr>
            <w:t>[1]</w:t>
          </w:r>
          <w:r w:rsidRPr="00143358">
            <w:fldChar w:fldCharType="end"/>
          </w:r>
        </w:sdtContent>
      </w:sdt>
      <w:r w:rsidRPr="00143358">
        <w:t xml:space="preserve">. </w:t>
      </w:r>
    </w:p>
    <w:p w14:paraId="28280873" w14:textId="5289E326" w:rsidR="00FE31F1" w:rsidRPr="00143358" w:rsidRDefault="00FE31F1" w:rsidP="00FE31F1">
      <w:pPr>
        <w:ind w:firstLine="720"/>
      </w:pPr>
      <w:r w:rsidRPr="00143358">
        <w:t xml:space="preserve">This type of construction is considered one of the safest means of constructing an ESH, as this type of structure is best designed to reduce the effects of sympathetic detonations between magazines </w:t>
      </w:r>
      <w:sdt>
        <w:sdtPr>
          <w:id w:val="-915557104"/>
          <w:citation/>
        </w:sdtPr>
        <w:sdtContent>
          <w:r w:rsidRPr="00143358">
            <w:fldChar w:fldCharType="begin"/>
          </w:r>
          <w:r w:rsidRPr="00143358">
            <w:instrText xml:space="preserve"> CITATION PWC96 \l 2057 </w:instrText>
          </w:r>
          <w:r w:rsidRPr="00143358">
            <w:fldChar w:fldCharType="separate"/>
          </w:r>
          <w:r w:rsidR="00C3255F" w:rsidRPr="00C3255F">
            <w:rPr>
              <w:noProof/>
            </w:rPr>
            <w:t>[2]</w:t>
          </w:r>
          <w:r w:rsidRPr="00143358">
            <w:fldChar w:fldCharType="end"/>
          </w:r>
        </w:sdtContent>
      </w:sdt>
      <w:sdt>
        <w:sdtPr>
          <w:id w:val="1157801971"/>
          <w:citation/>
        </w:sdtPr>
        <w:sdtContent>
          <w:r w:rsidRPr="00143358">
            <w:fldChar w:fldCharType="begin"/>
          </w:r>
          <w:r w:rsidRPr="00143358">
            <w:instrText xml:space="preserve"> CITATION PWC961 \l 2057 </w:instrText>
          </w:r>
          <w:r w:rsidRPr="00143358">
            <w:fldChar w:fldCharType="separate"/>
          </w:r>
          <w:r w:rsidR="00C3255F">
            <w:rPr>
              <w:noProof/>
            </w:rPr>
            <w:t xml:space="preserve"> </w:t>
          </w:r>
          <w:r w:rsidR="00C3255F" w:rsidRPr="00C3255F">
            <w:rPr>
              <w:noProof/>
            </w:rPr>
            <w:t>[3]</w:t>
          </w:r>
          <w:r w:rsidRPr="00143358">
            <w:fldChar w:fldCharType="end"/>
          </w:r>
        </w:sdtContent>
      </w:sdt>
      <w:sdt>
        <w:sdtPr>
          <w:id w:val="-1914464021"/>
          <w:citation/>
        </w:sdtPr>
        <w:sdtContent>
          <w:r w:rsidRPr="00143358">
            <w:fldChar w:fldCharType="begin"/>
          </w:r>
          <w:r w:rsidRPr="00143358">
            <w:instrText xml:space="preserve"> CITATION USD14 \l 2057 </w:instrText>
          </w:r>
          <w:r w:rsidRPr="00143358">
            <w:fldChar w:fldCharType="separate"/>
          </w:r>
          <w:r w:rsidR="00C3255F">
            <w:rPr>
              <w:noProof/>
            </w:rPr>
            <w:t xml:space="preserve"> </w:t>
          </w:r>
          <w:r w:rsidR="00C3255F" w:rsidRPr="00C3255F">
            <w:rPr>
              <w:noProof/>
            </w:rPr>
            <w:t>[4]</w:t>
          </w:r>
          <w:r w:rsidRPr="00143358">
            <w:fldChar w:fldCharType="end"/>
          </w:r>
        </w:sdtContent>
      </w:sdt>
      <w:r w:rsidRPr="00143358">
        <w:t xml:space="preserve">. The proposal also details that each ESH would be constructed without traverses, suggesting that quantity distance is adequate to not require a traverse </w:t>
      </w:r>
      <w:sdt>
        <w:sdtPr>
          <w:id w:val="928237211"/>
          <w:citation/>
        </w:sdtPr>
        <w:sdtContent>
          <w:r w:rsidRPr="00143358">
            <w:fldChar w:fldCharType="begin"/>
          </w:r>
          <w:r w:rsidRPr="00143358">
            <w:instrText xml:space="preserve"> CITATION Bog17 \l 2057 </w:instrText>
          </w:r>
          <w:r w:rsidRPr="00143358">
            <w:fldChar w:fldCharType="separate"/>
          </w:r>
          <w:r w:rsidR="00C3255F" w:rsidRPr="00C3255F">
            <w:rPr>
              <w:noProof/>
            </w:rPr>
            <w:t>[5]</w:t>
          </w:r>
          <w:r w:rsidRPr="00143358">
            <w:fldChar w:fldCharType="end"/>
          </w:r>
        </w:sdtContent>
      </w:sdt>
      <w:r w:rsidRPr="00143358">
        <w:t xml:space="preserve">. The design described as having directional blast effects perpendicular to the expected source of explosion. Suggesting the point of failure for each ESH (i.e. the doors) will be perpendicular to one another, this in turn reduces the risk of sympathetic reactions between magazines in the event of an accidental initiation of the contents of one magazine </w:t>
      </w:r>
      <w:sdt>
        <w:sdtPr>
          <w:id w:val="-1937205037"/>
          <w:citation/>
        </w:sdtPr>
        <w:sdtContent>
          <w:r w:rsidRPr="00143358">
            <w:fldChar w:fldCharType="begin"/>
          </w:r>
          <w:r w:rsidRPr="00143358">
            <w:instrText xml:space="preserve"> CITATION Ins13 \l 2057 </w:instrText>
          </w:r>
          <w:r w:rsidRPr="00143358">
            <w:fldChar w:fldCharType="separate"/>
          </w:r>
          <w:r w:rsidR="00C3255F" w:rsidRPr="00C3255F">
            <w:rPr>
              <w:noProof/>
            </w:rPr>
            <w:t>[6]</w:t>
          </w:r>
          <w:r w:rsidRPr="00143358">
            <w:fldChar w:fldCharType="end"/>
          </w:r>
        </w:sdtContent>
      </w:sdt>
      <w:sdt>
        <w:sdtPr>
          <w:id w:val="591602353"/>
          <w:citation/>
        </w:sdtPr>
        <w:sdtContent>
          <w:r w:rsidRPr="00143358">
            <w:fldChar w:fldCharType="begin"/>
          </w:r>
          <w:r w:rsidRPr="00143358">
            <w:instrText xml:space="preserve"> CITATION UKM13 \l 2057 </w:instrText>
          </w:r>
          <w:r w:rsidRPr="00143358">
            <w:fldChar w:fldCharType="separate"/>
          </w:r>
          <w:r w:rsidR="00C3255F">
            <w:rPr>
              <w:noProof/>
            </w:rPr>
            <w:t xml:space="preserve"> </w:t>
          </w:r>
          <w:r w:rsidR="00C3255F" w:rsidRPr="00C3255F">
            <w:rPr>
              <w:noProof/>
            </w:rPr>
            <w:t>[7]</w:t>
          </w:r>
          <w:r w:rsidRPr="00143358">
            <w:fldChar w:fldCharType="end"/>
          </w:r>
        </w:sdtContent>
      </w:sdt>
      <w:r w:rsidRPr="00143358">
        <w:t>. The total proposed Net Explosive Quantity (NEQ) for the facility is 7,500 kilograms, distributed across Hazard Divisions (HD) 1.1 to 1.4.</w:t>
      </w:r>
    </w:p>
    <w:p w14:paraId="22D8DDD9" w14:textId="79CC0553" w:rsidR="00FE31F1" w:rsidRPr="00143358" w:rsidRDefault="00FE31F1" w:rsidP="00FE31F1">
      <w:pPr>
        <w:ind w:firstLine="720"/>
      </w:pPr>
      <w:r w:rsidRPr="00143358">
        <w:t xml:space="preserve">There are significant inherent risks associated with explosive materials and therefore the associated storage of such items. As a </w:t>
      </w:r>
      <w:proofErr w:type="gramStart"/>
      <w:r w:rsidRPr="00143358">
        <w:t>result</w:t>
      </w:r>
      <w:proofErr w:type="gramEnd"/>
      <w:r w:rsidRPr="00143358">
        <w:t xml:space="preserve"> this report shall detail an evaluation to ensure compliance with the International Ammunition Technical Guidelines (IATG). This assessment, will consider the principles that are outlined in IATG 02.20 (Quantity-Distance), IATG 02.30 (Storage of Explosive Substances and Articles), IATG 04.10 (Explosive Facilities – Siting and Design), and IATG 05.20 (Risk Management)</w:t>
      </w:r>
      <w:sdt>
        <w:sdtPr>
          <w:id w:val="-1755588288"/>
          <w:citation/>
        </w:sdtPr>
        <w:sdtContent>
          <w:r w:rsidRPr="00143358">
            <w:fldChar w:fldCharType="begin"/>
          </w:r>
          <w:r w:rsidRPr="00143358">
            <w:instrText xml:space="preserve">CITATION Uni21 \l 2057 </w:instrText>
          </w:r>
          <w:r w:rsidRPr="00143358">
            <w:fldChar w:fldCharType="separate"/>
          </w:r>
          <w:r w:rsidR="00C3255F">
            <w:rPr>
              <w:noProof/>
            </w:rPr>
            <w:t xml:space="preserve"> </w:t>
          </w:r>
          <w:r w:rsidR="00C3255F" w:rsidRPr="00C3255F">
            <w:rPr>
              <w:noProof/>
            </w:rPr>
            <w:t>[1]</w:t>
          </w:r>
          <w:r w:rsidRPr="00143358">
            <w:fldChar w:fldCharType="end"/>
          </w:r>
        </w:sdtContent>
      </w:sdt>
      <w:sdt>
        <w:sdtPr>
          <w:id w:val="883452415"/>
          <w:citation/>
        </w:sdtPr>
        <w:sdtContent>
          <w:r w:rsidRPr="00143358">
            <w:fldChar w:fldCharType="begin"/>
          </w:r>
          <w:r w:rsidRPr="00143358">
            <w:instrText xml:space="preserve"> CITATION Uni211 \l 2057 </w:instrText>
          </w:r>
          <w:r w:rsidRPr="00143358">
            <w:fldChar w:fldCharType="separate"/>
          </w:r>
          <w:r w:rsidR="00C3255F">
            <w:rPr>
              <w:noProof/>
            </w:rPr>
            <w:t xml:space="preserve"> </w:t>
          </w:r>
          <w:r w:rsidR="00C3255F" w:rsidRPr="00C3255F">
            <w:rPr>
              <w:noProof/>
            </w:rPr>
            <w:t>[8]</w:t>
          </w:r>
          <w:r w:rsidRPr="00143358">
            <w:fldChar w:fldCharType="end"/>
          </w:r>
        </w:sdtContent>
      </w:sdt>
      <w:sdt>
        <w:sdtPr>
          <w:id w:val="-788821074"/>
          <w:citation/>
        </w:sdtPr>
        <w:sdtContent>
          <w:r w:rsidRPr="00143358">
            <w:fldChar w:fldCharType="begin"/>
          </w:r>
          <w:r w:rsidRPr="00143358">
            <w:instrText xml:space="preserve"> CITATION Uni15 \l 2057 </w:instrText>
          </w:r>
          <w:r w:rsidRPr="00143358">
            <w:fldChar w:fldCharType="separate"/>
          </w:r>
          <w:r w:rsidR="00C3255F">
            <w:rPr>
              <w:noProof/>
            </w:rPr>
            <w:t xml:space="preserve"> </w:t>
          </w:r>
          <w:r w:rsidR="00C3255F" w:rsidRPr="00C3255F">
            <w:rPr>
              <w:noProof/>
            </w:rPr>
            <w:t>[9]</w:t>
          </w:r>
          <w:r w:rsidRPr="00143358">
            <w:fldChar w:fldCharType="end"/>
          </w:r>
        </w:sdtContent>
      </w:sdt>
      <w:r w:rsidRPr="00143358">
        <w:t>. The IATG guidelines are a set of internationally recognised standards that account for the safe storage, handling, and siting of explosive materials, ensuring that potential all hazards to personnel, the public, and infrastructure therefore risks are reduced to As Low As Reasonably Practicable (ALARP)</w:t>
      </w:r>
      <w:sdt>
        <w:sdtPr>
          <w:id w:val="-1415541955"/>
          <w:citation/>
        </w:sdtPr>
        <w:sdtContent>
          <w:r w:rsidRPr="00143358">
            <w:fldChar w:fldCharType="begin"/>
          </w:r>
          <w:r w:rsidRPr="00143358">
            <w:instrText xml:space="preserve">CITATION Uni15 \l 2057 </w:instrText>
          </w:r>
          <w:r w:rsidRPr="00143358">
            <w:fldChar w:fldCharType="separate"/>
          </w:r>
          <w:r w:rsidR="00C3255F">
            <w:rPr>
              <w:noProof/>
            </w:rPr>
            <w:t xml:space="preserve"> </w:t>
          </w:r>
          <w:r w:rsidR="00C3255F" w:rsidRPr="00C3255F">
            <w:rPr>
              <w:noProof/>
            </w:rPr>
            <w:t>[9]</w:t>
          </w:r>
          <w:r w:rsidRPr="00143358">
            <w:fldChar w:fldCharType="end"/>
          </w:r>
        </w:sdtContent>
      </w:sdt>
      <w:r w:rsidRPr="00143358">
        <w:t xml:space="preserve">. </w:t>
      </w:r>
    </w:p>
    <w:p w14:paraId="67897A18" w14:textId="21806E3B" w:rsidR="00FE31F1" w:rsidRPr="00143358" w:rsidRDefault="00FE31F1" w:rsidP="007D2178">
      <w:pPr>
        <w:ind w:firstLine="720"/>
      </w:pPr>
      <w:r w:rsidRPr="00143358">
        <w:t xml:space="preserve">The proximity of the proposed site to a coastal area and the nearby marina, and a busy city introduces additional public safety and operational considerations. This includes the potential exposure of densely populated areas and also critical infrastructure to Blast overpressure, fragmentation hazard, and other structural damage mechanisms characteristic of explosive events </w:t>
      </w:r>
      <w:sdt>
        <w:sdtPr>
          <w:id w:val="-1457408509"/>
          <w:citation/>
        </w:sdtPr>
        <w:sdtContent>
          <w:r w:rsidRPr="00143358">
            <w:fldChar w:fldCharType="begin"/>
          </w:r>
          <w:r w:rsidRPr="00143358">
            <w:instrText xml:space="preserve"> CITATION Ste13 \l 2057 </w:instrText>
          </w:r>
          <w:r w:rsidRPr="00143358">
            <w:fldChar w:fldCharType="separate"/>
          </w:r>
          <w:r w:rsidR="00C3255F" w:rsidRPr="00C3255F">
            <w:rPr>
              <w:noProof/>
            </w:rPr>
            <w:t>[10]</w:t>
          </w:r>
          <w:r w:rsidRPr="00143358">
            <w:fldChar w:fldCharType="end"/>
          </w:r>
        </w:sdtContent>
      </w:sdt>
      <w:r w:rsidRPr="00143358">
        <w:t xml:space="preserve"> </w:t>
      </w:r>
      <w:sdt>
        <w:sdtPr>
          <w:id w:val="1732108177"/>
          <w:citation/>
        </w:sdtPr>
        <w:sdtContent>
          <w:r w:rsidRPr="00143358">
            <w:fldChar w:fldCharType="begin"/>
          </w:r>
          <w:r w:rsidRPr="00143358">
            <w:instrText xml:space="preserve"> CITATION Cor19 \l 2057 </w:instrText>
          </w:r>
          <w:r w:rsidRPr="00143358">
            <w:fldChar w:fldCharType="separate"/>
          </w:r>
          <w:r w:rsidR="00C3255F" w:rsidRPr="00C3255F">
            <w:rPr>
              <w:noProof/>
            </w:rPr>
            <w:t>[11]</w:t>
          </w:r>
          <w:r w:rsidRPr="00143358">
            <w:fldChar w:fldCharType="end"/>
          </w:r>
        </w:sdtContent>
      </w:sdt>
      <w:r w:rsidRPr="00143358">
        <w:t xml:space="preserve">. As such, the review must not only verify the accuracy of the applicant’s proposed safety distances but also evaluate the wider implications for maritime users, transportation networks, and emergency planning. </w:t>
      </w:r>
      <w:proofErr w:type="gramStart"/>
      <w:r w:rsidRPr="00143358">
        <w:t>Therefore</w:t>
      </w:r>
      <w:proofErr w:type="gramEnd"/>
      <w:r w:rsidRPr="00143358">
        <w:t xml:space="preserve"> to demonstrate that the proposed PES can be safely integrated into the nearby surrounding environment adherence to the relevant IATG principles is crucial.  </w:t>
      </w:r>
    </w:p>
    <w:p w14:paraId="6E7684F3" w14:textId="77777777" w:rsidR="007D2178" w:rsidRPr="00143358" w:rsidRDefault="007D2178" w:rsidP="007D2178">
      <w:pPr>
        <w:ind w:firstLine="720"/>
      </w:pPr>
    </w:p>
    <w:p w14:paraId="7F7EDA71" w14:textId="77777777" w:rsidR="00560D93" w:rsidRPr="00143358" w:rsidRDefault="00560D93" w:rsidP="00560D93"/>
    <w:p w14:paraId="5F91E11A" w14:textId="7F2EDA6E" w:rsidR="00FE31F1" w:rsidRPr="00143358" w:rsidRDefault="00560D93" w:rsidP="00CA1D97">
      <w:pPr>
        <w:pStyle w:val="Heading2"/>
        <w:rPr>
          <w:b/>
          <w:bCs/>
          <w:color w:val="auto"/>
          <w:sz w:val="22"/>
          <w:szCs w:val="22"/>
        </w:rPr>
      </w:pPr>
      <w:bookmarkStart w:id="3" w:name="_Toc216382901"/>
      <w:r w:rsidRPr="00143358">
        <w:rPr>
          <w:b/>
          <w:bCs/>
          <w:color w:val="auto"/>
          <w:sz w:val="22"/>
          <w:szCs w:val="22"/>
        </w:rPr>
        <w:t xml:space="preserve">1.2. </w:t>
      </w:r>
      <w:r w:rsidR="00FE31F1" w:rsidRPr="00143358">
        <w:rPr>
          <w:b/>
          <w:bCs/>
          <w:color w:val="auto"/>
          <w:sz w:val="22"/>
          <w:szCs w:val="22"/>
        </w:rPr>
        <w:t>Aim of review:</w:t>
      </w:r>
      <w:bookmarkEnd w:id="3"/>
    </w:p>
    <w:p w14:paraId="698E3801" w14:textId="77777777" w:rsidR="00560D93" w:rsidRPr="00143358" w:rsidRDefault="00FE31F1" w:rsidP="00560D93">
      <w:pPr>
        <w:ind w:firstLine="720"/>
      </w:pPr>
      <w:r w:rsidRPr="00143358">
        <w:t xml:space="preserve">The aim of this report is to identify and present the critical safety considerations associated with the construction of a PES located along the Swansea coastline at the following coordinates 51.61818° N, -3.91886° W. </w:t>
      </w:r>
    </w:p>
    <w:p w14:paraId="6E22F09F" w14:textId="77777777" w:rsidR="00560D93" w:rsidRPr="00143358" w:rsidRDefault="00560D93" w:rsidP="00560D93">
      <w:pPr>
        <w:ind w:firstLine="720"/>
      </w:pPr>
    </w:p>
    <w:p w14:paraId="4ADE02A2" w14:textId="25F9E289" w:rsidR="0024786C" w:rsidRPr="00143358" w:rsidRDefault="00560D93" w:rsidP="00CA1D97">
      <w:pPr>
        <w:pStyle w:val="Heading2"/>
        <w:rPr>
          <w:color w:val="auto"/>
          <w:sz w:val="22"/>
          <w:szCs w:val="22"/>
        </w:rPr>
      </w:pPr>
      <w:bookmarkStart w:id="4" w:name="_Toc216382902"/>
      <w:r w:rsidRPr="00143358">
        <w:rPr>
          <w:b/>
          <w:bCs/>
          <w:color w:val="auto"/>
          <w:sz w:val="22"/>
          <w:szCs w:val="22"/>
        </w:rPr>
        <w:lastRenderedPageBreak/>
        <w:t xml:space="preserve">1.3. </w:t>
      </w:r>
      <w:r w:rsidR="00FE31F1" w:rsidRPr="00143358">
        <w:rPr>
          <w:b/>
          <w:bCs/>
          <w:color w:val="auto"/>
          <w:sz w:val="22"/>
          <w:szCs w:val="22"/>
        </w:rPr>
        <w:t>Objectives of</w:t>
      </w:r>
      <w:r w:rsidR="0024786C" w:rsidRPr="00143358">
        <w:rPr>
          <w:b/>
          <w:bCs/>
          <w:color w:val="auto"/>
          <w:sz w:val="22"/>
          <w:szCs w:val="22"/>
        </w:rPr>
        <w:t xml:space="preserve"> review</w:t>
      </w:r>
      <w:r w:rsidR="00B249C5" w:rsidRPr="00143358">
        <w:rPr>
          <w:b/>
          <w:bCs/>
          <w:color w:val="auto"/>
          <w:sz w:val="22"/>
          <w:szCs w:val="22"/>
        </w:rPr>
        <w:t>:</w:t>
      </w:r>
      <w:bookmarkEnd w:id="4"/>
      <w:r w:rsidR="00B249C5" w:rsidRPr="00143358">
        <w:rPr>
          <w:b/>
          <w:bCs/>
          <w:color w:val="auto"/>
          <w:sz w:val="22"/>
          <w:szCs w:val="22"/>
        </w:rPr>
        <w:t xml:space="preserve"> </w:t>
      </w:r>
    </w:p>
    <w:p w14:paraId="4217D54C" w14:textId="41797B34" w:rsidR="0024786C" w:rsidRPr="00143358" w:rsidRDefault="00FE31F1" w:rsidP="0024786C">
      <w:pPr>
        <w:numPr>
          <w:ilvl w:val="0"/>
          <w:numId w:val="10"/>
        </w:numPr>
      </w:pPr>
      <w:r w:rsidRPr="00143358">
        <w:t xml:space="preserve">Critical review </w:t>
      </w:r>
      <w:proofErr w:type="gramStart"/>
      <w:r w:rsidRPr="00143358">
        <w:t xml:space="preserve">of </w:t>
      </w:r>
      <w:r w:rsidR="0024786C" w:rsidRPr="00143358">
        <w:t xml:space="preserve"> </w:t>
      </w:r>
      <w:r w:rsidRPr="00143358">
        <w:t>Big</w:t>
      </w:r>
      <w:proofErr w:type="gramEnd"/>
      <w:r w:rsidRPr="00143358">
        <w:t xml:space="preserve"> Bang’s</w:t>
      </w:r>
      <w:r w:rsidR="0024786C" w:rsidRPr="00143358">
        <w:t xml:space="preserve"> planning submission, storage schedule, statements on magazine capacity, compatibility codes as submitted, proposed QD distances for vulnerable/inhabited/public traffic routes, marina proximity notes.</w:t>
      </w:r>
    </w:p>
    <w:p w14:paraId="227ABF1C" w14:textId="65F3B004" w:rsidR="00D10BFF" w:rsidRPr="00143358" w:rsidRDefault="00FE31F1" w:rsidP="00D10BFF">
      <w:pPr>
        <w:numPr>
          <w:ilvl w:val="0"/>
          <w:numId w:val="10"/>
        </w:numPr>
      </w:pPr>
      <w:r w:rsidRPr="00143358">
        <w:t xml:space="preserve">To provide advice and support to Swansea City and County Council advice, and stewardship to ensure critical safety parameters can be achieved between Big Bang Storage Solutions, and the local authorities. </w:t>
      </w:r>
    </w:p>
    <w:p w14:paraId="76B50FBD" w14:textId="77777777" w:rsidR="00B249C5" w:rsidRPr="00143358" w:rsidRDefault="00B249C5" w:rsidP="00560D93"/>
    <w:p w14:paraId="61EB3A75" w14:textId="1B57768E" w:rsidR="0024786C" w:rsidRPr="00143358" w:rsidRDefault="00CA1D97" w:rsidP="00CA1D97">
      <w:pPr>
        <w:pStyle w:val="Heading1"/>
        <w:rPr>
          <w:b/>
          <w:bCs/>
          <w:color w:val="auto"/>
          <w:sz w:val="28"/>
          <w:szCs w:val="28"/>
        </w:rPr>
      </w:pPr>
      <w:bookmarkStart w:id="5" w:name="_Toc216382903"/>
      <w:r w:rsidRPr="00143358">
        <w:rPr>
          <w:b/>
          <w:bCs/>
          <w:color w:val="auto"/>
          <w:sz w:val="28"/>
          <w:szCs w:val="28"/>
        </w:rPr>
        <w:t xml:space="preserve">2. </w:t>
      </w:r>
      <w:r w:rsidR="0024786C" w:rsidRPr="00143358">
        <w:rPr>
          <w:b/>
          <w:bCs/>
          <w:color w:val="auto"/>
          <w:sz w:val="28"/>
          <w:szCs w:val="28"/>
        </w:rPr>
        <w:t>Methodology</w:t>
      </w:r>
      <w:bookmarkEnd w:id="5"/>
    </w:p>
    <w:p w14:paraId="7C51D35C" w14:textId="59B54B7E" w:rsidR="00FE31F1" w:rsidRPr="00143358" w:rsidRDefault="00560D93" w:rsidP="000E4A9C">
      <w:pPr>
        <w:pStyle w:val="Heading2"/>
        <w:rPr>
          <w:b/>
          <w:bCs/>
          <w:color w:val="auto"/>
          <w:sz w:val="22"/>
          <w:szCs w:val="22"/>
        </w:rPr>
      </w:pPr>
      <w:bookmarkStart w:id="6" w:name="_Toc216382904"/>
      <w:r w:rsidRPr="00143358">
        <w:rPr>
          <w:b/>
          <w:bCs/>
          <w:color w:val="auto"/>
          <w:sz w:val="22"/>
          <w:szCs w:val="22"/>
        </w:rPr>
        <w:t xml:space="preserve">2.1. </w:t>
      </w:r>
      <w:r w:rsidR="00FE31F1" w:rsidRPr="00143358">
        <w:rPr>
          <w:b/>
          <w:bCs/>
          <w:color w:val="auto"/>
          <w:sz w:val="22"/>
          <w:szCs w:val="22"/>
        </w:rPr>
        <w:t>Review of Applicant Documentation:</w:t>
      </w:r>
      <w:bookmarkEnd w:id="6"/>
      <w:r w:rsidR="00FE31F1" w:rsidRPr="00143358">
        <w:rPr>
          <w:b/>
          <w:bCs/>
          <w:color w:val="auto"/>
          <w:sz w:val="22"/>
          <w:szCs w:val="22"/>
        </w:rPr>
        <w:t xml:space="preserve"> </w:t>
      </w:r>
    </w:p>
    <w:p w14:paraId="6A267AAA" w14:textId="77777777" w:rsidR="00FE31F1" w:rsidRPr="00143358" w:rsidRDefault="00FE31F1" w:rsidP="00FE31F1">
      <w:r w:rsidRPr="00143358">
        <w:t xml:space="preserve">All materials submitted by </w:t>
      </w:r>
      <w:proofErr w:type="spellStart"/>
      <w:r w:rsidRPr="00143358">
        <w:t>BigBang</w:t>
      </w:r>
      <w:proofErr w:type="spellEnd"/>
      <w:r w:rsidRPr="00143358">
        <w:t xml:space="preserve"> Storage Solutions were systematically reviewed, including the proposed site layout, ESH design descriptions, stated Net Explosive Quantity (NEQ) allocations, hazard division breakdowns, and storage regime assumptions. Each document was screened for internal consistency and cross-referenced against IATG requirements.</w:t>
      </w:r>
    </w:p>
    <w:p w14:paraId="613CAA8A" w14:textId="40E5EA61" w:rsidR="00FE31F1" w:rsidRPr="00143358" w:rsidRDefault="00FE31F1" w:rsidP="00FE31F1">
      <w:pPr>
        <w:rPr>
          <w:sz w:val="16"/>
          <w:szCs w:val="16"/>
        </w:rPr>
      </w:pPr>
    </w:p>
    <w:p w14:paraId="6F6767B7" w14:textId="72B321D8" w:rsidR="00FE31F1" w:rsidRPr="00143358" w:rsidRDefault="00560D93" w:rsidP="000E4A9C">
      <w:pPr>
        <w:pStyle w:val="Heading2"/>
        <w:rPr>
          <w:b/>
          <w:bCs/>
          <w:color w:val="auto"/>
          <w:sz w:val="22"/>
          <w:szCs w:val="22"/>
        </w:rPr>
      </w:pPr>
      <w:bookmarkStart w:id="7" w:name="_Toc216382905"/>
      <w:r w:rsidRPr="00143358">
        <w:rPr>
          <w:b/>
          <w:bCs/>
          <w:color w:val="auto"/>
          <w:sz w:val="22"/>
          <w:szCs w:val="22"/>
        </w:rPr>
        <w:t xml:space="preserve">2.2. </w:t>
      </w:r>
      <w:r w:rsidR="00FE31F1" w:rsidRPr="00143358">
        <w:rPr>
          <w:b/>
          <w:bCs/>
          <w:color w:val="auto"/>
          <w:sz w:val="22"/>
          <w:szCs w:val="22"/>
        </w:rPr>
        <w:t>Verification of Stated NEQ and Storage Regime:</w:t>
      </w:r>
      <w:bookmarkEnd w:id="7"/>
    </w:p>
    <w:p w14:paraId="6D02D3C9" w14:textId="43E00D92" w:rsidR="00FE31F1" w:rsidRPr="00143358" w:rsidRDefault="00FE31F1" w:rsidP="00FE31F1">
      <w:r w:rsidRPr="00143358">
        <w:t xml:space="preserve">A </w:t>
      </w:r>
      <w:r w:rsidR="00D03984">
        <w:t xml:space="preserve">simple </w:t>
      </w:r>
      <w:r w:rsidRPr="00143358">
        <w:t>quantitative verification process was applied to confirm the accuracy of the applicant’s declared NEQ:</w:t>
      </w:r>
    </w:p>
    <w:p w14:paraId="2083AD0C" w14:textId="77777777" w:rsidR="00FE31F1" w:rsidRPr="00143358" w:rsidRDefault="00FE31F1" w:rsidP="00FE31F1">
      <w:pPr>
        <w:numPr>
          <w:ilvl w:val="0"/>
          <w:numId w:val="30"/>
        </w:numPr>
      </w:pPr>
      <w:r w:rsidRPr="00143358">
        <w:t>The proposed facility consists of five ESHs, each with a maximum permissible capacity of 1,000 kg, giving a total compliant storage capacity of 5,000 kg.</w:t>
      </w:r>
    </w:p>
    <w:p w14:paraId="769275E7" w14:textId="77777777" w:rsidR="00FE31F1" w:rsidRPr="00143358" w:rsidRDefault="00FE31F1" w:rsidP="00FE31F1">
      <w:pPr>
        <w:numPr>
          <w:ilvl w:val="0"/>
          <w:numId w:val="30"/>
        </w:numPr>
      </w:pPr>
      <w:r w:rsidRPr="00143358">
        <w:t>The applicant’s stated NEQ of 7,500 kg was cross-checked against the per-magazine limits and total storage capacity.</w:t>
      </w:r>
    </w:p>
    <w:p w14:paraId="6BC2293C" w14:textId="77777777" w:rsidR="00FE31F1" w:rsidRPr="00143358" w:rsidRDefault="00FE31F1" w:rsidP="00FE31F1">
      <w:pPr>
        <w:numPr>
          <w:ilvl w:val="0"/>
          <w:numId w:val="30"/>
        </w:numPr>
      </w:pPr>
      <w:r w:rsidRPr="00143358">
        <w:t>This verification confirmed that the planned storage regime exceeds the permissible capacity by 2,500 kg.</w:t>
      </w:r>
    </w:p>
    <w:p w14:paraId="12B4C8A1" w14:textId="77777777" w:rsidR="00FE31F1" w:rsidRPr="00143358" w:rsidRDefault="00FE31F1" w:rsidP="00FE31F1">
      <w:pPr>
        <w:numPr>
          <w:ilvl w:val="0"/>
          <w:numId w:val="30"/>
        </w:numPr>
      </w:pPr>
      <w:r w:rsidRPr="00143358">
        <w:t>The NEQ allocations were also checked against the declared Hazard Divisions (HD 1.1–1.4) to determine whether the total and per-building NEQ complied with IATG-defined storage constraints.</w:t>
      </w:r>
    </w:p>
    <w:p w14:paraId="3C817645" w14:textId="4D721BC4" w:rsidR="00FE31F1" w:rsidRPr="00143358" w:rsidRDefault="00FE31F1" w:rsidP="00FE31F1">
      <w:r w:rsidRPr="00143358">
        <w:t>This stage established that the proposal was not NEQ-compliant under the existing five ESH configuration.</w:t>
      </w:r>
    </w:p>
    <w:p w14:paraId="443EB6D0" w14:textId="77777777" w:rsidR="007D2178" w:rsidRPr="00143358" w:rsidRDefault="007D2178" w:rsidP="00FE31F1">
      <w:pPr>
        <w:rPr>
          <w:b/>
          <w:bCs/>
        </w:rPr>
      </w:pPr>
    </w:p>
    <w:p w14:paraId="0365CD1F" w14:textId="2F64AC9C" w:rsidR="00FE31F1" w:rsidRPr="00143358" w:rsidRDefault="00560D93" w:rsidP="000E4A9C">
      <w:pPr>
        <w:pStyle w:val="Heading2"/>
        <w:rPr>
          <w:b/>
          <w:bCs/>
          <w:color w:val="auto"/>
          <w:sz w:val="22"/>
          <w:szCs w:val="22"/>
        </w:rPr>
      </w:pPr>
      <w:bookmarkStart w:id="8" w:name="_Toc216382906"/>
      <w:r w:rsidRPr="00143358">
        <w:rPr>
          <w:b/>
          <w:bCs/>
          <w:color w:val="auto"/>
          <w:sz w:val="22"/>
          <w:szCs w:val="22"/>
        </w:rPr>
        <w:t xml:space="preserve">2.3. </w:t>
      </w:r>
      <w:r w:rsidR="00FE31F1" w:rsidRPr="00143358">
        <w:rPr>
          <w:b/>
          <w:bCs/>
          <w:color w:val="auto"/>
          <w:sz w:val="22"/>
          <w:szCs w:val="22"/>
        </w:rPr>
        <w:t>Compatibility Assessment Using IATG Mixing Rules:</w:t>
      </w:r>
      <w:bookmarkEnd w:id="8"/>
    </w:p>
    <w:p w14:paraId="737AD003" w14:textId="77777777" w:rsidR="00FE31F1" w:rsidRPr="00143358" w:rsidRDefault="00FE31F1" w:rsidP="00FE31F1">
      <w:r w:rsidRPr="00143358">
        <w:t>A full compatibility assessment was conducted using the IATG compatibility tables for explosive substances and articles:</w:t>
      </w:r>
    </w:p>
    <w:p w14:paraId="498AF44E" w14:textId="2E15C487" w:rsidR="00FE31F1" w:rsidRPr="00143358" w:rsidRDefault="00FE31F1" w:rsidP="00FE31F1">
      <w:pPr>
        <w:numPr>
          <w:ilvl w:val="0"/>
          <w:numId w:val="31"/>
        </w:numPr>
      </w:pPr>
      <w:r w:rsidRPr="00143358">
        <w:t>All compatibility codes assigned to the proposed stores were analysed to determine whether mixed storage within the same ESH was permissible.</w:t>
      </w:r>
    </w:p>
    <w:p w14:paraId="72CB3FDB" w14:textId="2647A3A8" w:rsidR="00FE31F1" w:rsidRPr="00143358" w:rsidRDefault="00FE31F1" w:rsidP="00FE31F1">
      <w:pPr>
        <w:numPr>
          <w:ilvl w:val="0"/>
          <w:numId w:val="31"/>
        </w:numPr>
      </w:pPr>
      <w:r w:rsidRPr="00143358">
        <w:t xml:space="preserve">Several compatibility codes identified in the submission are subject to non-mixing prohibitions, meaning they cannot be co-stored in the same magazine at any quantity. </w:t>
      </w:r>
    </w:p>
    <w:p w14:paraId="7A5DA77F" w14:textId="77777777" w:rsidR="00FE31F1" w:rsidRPr="00143358" w:rsidRDefault="00FE31F1" w:rsidP="00FE31F1">
      <w:pPr>
        <w:numPr>
          <w:ilvl w:val="0"/>
          <w:numId w:val="31"/>
        </w:numPr>
      </w:pPr>
      <w:r w:rsidRPr="00143358">
        <w:lastRenderedPageBreak/>
        <w:t>Under IATG rules, these incompatibilities require segregation into separate storage buildings to prevent cross-hazard escalation and violation of compatibility constraints.</w:t>
      </w:r>
    </w:p>
    <w:p w14:paraId="00853621" w14:textId="77777777" w:rsidR="00FE31F1" w:rsidRPr="00143358" w:rsidRDefault="00FE31F1" w:rsidP="00FE31F1">
      <w:pPr>
        <w:keepNext/>
        <w:jc w:val="center"/>
      </w:pPr>
      <w:r w:rsidRPr="00143358">
        <w:rPr>
          <w:noProof/>
        </w:rPr>
        <w:drawing>
          <wp:inline distT="0" distB="0" distL="0" distR="0" wp14:anchorId="29CC0F29" wp14:editId="17AF9BC2">
            <wp:extent cx="5301343" cy="5253181"/>
            <wp:effectExtent l="0" t="0" r="0" b="5080"/>
            <wp:docPr id="194618958"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8958" name="Picture 1" descr="A chart with different colored squares&#10;&#10;AI-generated content may be incorrect."/>
                    <pic:cNvPicPr/>
                  </pic:nvPicPr>
                  <pic:blipFill>
                    <a:blip r:embed="rId9"/>
                    <a:stretch>
                      <a:fillRect/>
                    </a:stretch>
                  </pic:blipFill>
                  <pic:spPr>
                    <a:xfrm>
                      <a:off x="0" y="0"/>
                      <a:ext cx="5318793" cy="5270473"/>
                    </a:xfrm>
                    <a:prstGeom prst="rect">
                      <a:avLst/>
                    </a:prstGeom>
                  </pic:spPr>
                </pic:pic>
              </a:graphicData>
            </a:graphic>
          </wp:inline>
        </w:drawing>
      </w:r>
    </w:p>
    <w:p w14:paraId="538A0F28" w14:textId="0DE222A6" w:rsidR="00FE31F1" w:rsidRPr="00D03984" w:rsidRDefault="00FE31F1" w:rsidP="000E4A9C">
      <w:pPr>
        <w:pStyle w:val="Caption"/>
        <w:rPr>
          <w:color w:val="auto"/>
        </w:rPr>
      </w:pPr>
      <w:bookmarkStart w:id="9" w:name="_Toc216379432"/>
      <w:bookmarkStart w:id="10" w:name="_Toc216397626"/>
      <w:r w:rsidRPr="00D03984">
        <w:rPr>
          <w:color w:val="auto"/>
        </w:rPr>
        <w:t xml:space="preserve">Figure </w:t>
      </w:r>
      <w:r w:rsidRPr="00D03984">
        <w:rPr>
          <w:color w:val="auto"/>
        </w:rPr>
        <w:fldChar w:fldCharType="begin"/>
      </w:r>
      <w:r w:rsidRPr="00D03984">
        <w:rPr>
          <w:color w:val="auto"/>
        </w:rPr>
        <w:instrText xml:space="preserve"> SEQ Figure \* ARABIC </w:instrText>
      </w:r>
      <w:r w:rsidRPr="00D03984">
        <w:rPr>
          <w:color w:val="auto"/>
        </w:rPr>
        <w:fldChar w:fldCharType="separate"/>
      </w:r>
      <w:r w:rsidR="00AC434F" w:rsidRPr="00D03984">
        <w:rPr>
          <w:noProof/>
          <w:color w:val="auto"/>
        </w:rPr>
        <w:t>1</w:t>
      </w:r>
      <w:r w:rsidRPr="00D03984">
        <w:rPr>
          <w:color w:val="auto"/>
        </w:rPr>
        <w:fldChar w:fldCharType="end"/>
      </w:r>
      <w:r w:rsidRPr="00D03984">
        <w:rPr>
          <w:color w:val="auto"/>
        </w:rPr>
        <w:t>: Displays the compatibility mixing rules as outlined by IATG-01.50 Explosive Hazard Classification System</w:t>
      </w:r>
      <w:r w:rsidR="007D2178" w:rsidRPr="00D03984">
        <w:rPr>
          <w:color w:val="auto"/>
        </w:rPr>
        <w:t xml:space="preserve"> </w:t>
      </w:r>
      <w:bookmarkEnd w:id="9"/>
      <w:sdt>
        <w:sdtPr>
          <w:rPr>
            <w:color w:val="auto"/>
          </w:rPr>
          <w:id w:val="230513290"/>
          <w:citation/>
        </w:sdtPr>
        <w:sdtContent>
          <w:r w:rsidR="007745F4" w:rsidRPr="00D03984">
            <w:rPr>
              <w:color w:val="auto"/>
            </w:rPr>
            <w:fldChar w:fldCharType="begin"/>
          </w:r>
          <w:r w:rsidR="007745F4" w:rsidRPr="00D03984">
            <w:rPr>
              <w:color w:val="auto"/>
            </w:rPr>
            <w:instrText xml:space="preserve"> CITATION Uni219 \l 2057 </w:instrText>
          </w:r>
          <w:r w:rsidR="007745F4" w:rsidRPr="00D03984">
            <w:rPr>
              <w:color w:val="auto"/>
            </w:rPr>
            <w:fldChar w:fldCharType="separate"/>
          </w:r>
          <w:r w:rsidR="00C3255F" w:rsidRPr="00D03984">
            <w:rPr>
              <w:noProof/>
              <w:color w:val="auto"/>
            </w:rPr>
            <w:t>[12]</w:t>
          </w:r>
          <w:r w:rsidR="007745F4" w:rsidRPr="00D03984">
            <w:rPr>
              <w:color w:val="auto"/>
            </w:rPr>
            <w:fldChar w:fldCharType="end"/>
          </w:r>
        </w:sdtContent>
      </w:sdt>
      <w:r w:rsidR="007745F4" w:rsidRPr="00D03984">
        <w:rPr>
          <w:color w:val="auto"/>
        </w:rPr>
        <w:t>.</w:t>
      </w:r>
      <w:bookmarkEnd w:id="10"/>
    </w:p>
    <w:p w14:paraId="75EFA58D" w14:textId="0FF725CC" w:rsidR="00FE31F1" w:rsidRPr="00143358" w:rsidRDefault="00FE31F1" w:rsidP="00FE31F1">
      <w:r w:rsidRPr="00143358">
        <w:t>Based on this assessment, it was determined that a minimum of two additional ESHs would be required for the proposed storage configuration to become compatibility compliant.</w:t>
      </w:r>
    </w:p>
    <w:p w14:paraId="05AEFA27" w14:textId="36B18B10" w:rsidR="00FE31F1" w:rsidRPr="00143358" w:rsidRDefault="00FE31F1" w:rsidP="000E4A9C">
      <w:pPr>
        <w:pStyle w:val="Heading2"/>
        <w:rPr>
          <w:color w:val="auto"/>
          <w:sz w:val="28"/>
          <w:szCs w:val="28"/>
        </w:rPr>
      </w:pPr>
    </w:p>
    <w:p w14:paraId="24BF5B3F" w14:textId="5FCCCC82" w:rsidR="00FE31F1" w:rsidRPr="00143358" w:rsidRDefault="00560D93" w:rsidP="000E4A9C">
      <w:pPr>
        <w:pStyle w:val="Heading2"/>
        <w:rPr>
          <w:b/>
          <w:bCs/>
          <w:color w:val="auto"/>
          <w:sz w:val="22"/>
          <w:szCs w:val="22"/>
        </w:rPr>
      </w:pPr>
      <w:bookmarkStart w:id="11" w:name="_Toc216382907"/>
      <w:r w:rsidRPr="00143358">
        <w:rPr>
          <w:b/>
          <w:bCs/>
          <w:color w:val="auto"/>
          <w:sz w:val="22"/>
          <w:szCs w:val="22"/>
        </w:rPr>
        <w:t xml:space="preserve">2.4. </w:t>
      </w:r>
      <w:r w:rsidR="00FE31F1" w:rsidRPr="00143358">
        <w:rPr>
          <w:b/>
          <w:bCs/>
          <w:color w:val="auto"/>
          <w:sz w:val="22"/>
          <w:szCs w:val="22"/>
        </w:rPr>
        <w:t>Quantity-Distance (QD) Assessment and Mapping</w:t>
      </w:r>
      <w:bookmarkEnd w:id="11"/>
    </w:p>
    <w:p w14:paraId="5C1C58C0" w14:textId="77777777" w:rsidR="00FE31F1" w:rsidRPr="00143358" w:rsidRDefault="00FE31F1" w:rsidP="00FE31F1">
      <w:r w:rsidRPr="00143358">
        <w:t>QD distances were established using the official IATG Toolkit mapping utility. The following steps were completed:</w:t>
      </w:r>
    </w:p>
    <w:p w14:paraId="4685A7EC" w14:textId="77777777" w:rsidR="00FE31F1" w:rsidRPr="00C3255F" w:rsidRDefault="00FE31F1" w:rsidP="00FE31F1">
      <w:pPr>
        <w:numPr>
          <w:ilvl w:val="0"/>
          <w:numId w:val="32"/>
        </w:numPr>
      </w:pPr>
      <w:r w:rsidRPr="00C3255F">
        <w:t>IBD (Inhabited Building Distance), VBD (Vulnerable Building Distance), and PTRD (Public Traffic Route Distance) were generated for the proposed NEQ values.</w:t>
      </w:r>
    </w:p>
    <w:p w14:paraId="1087F156" w14:textId="77777777" w:rsidR="00FE31F1" w:rsidRPr="00143358" w:rsidRDefault="00FE31F1" w:rsidP="00FE31F1">
      <w:pPr>
        <w:numPr>
          <w:ilvl w:val="0"/>
          <w:numId w:val="32"/>
        </w:numPr>
      </w:pPr>
      <w:r w:rsidRPr="00143358">
        <w:t>QD arcs were modelled for each ESH individually and as combined explosive scenarios representing worst-case propagation conditions.</w:t>
      </w:r>
    </w:p>
    <w:p w14:paraId="4A423999" w14:textId="77777777" w:rsidR="00FE31F1" w:rsidRPr="00143358" w:rsidRDefault="00FE31F1" w:rsidP="00FE31F1">
      <w:pPr>
        <w:numPr>
          <w:ilvl w:val="0"/>
          <w:numId w:val="32"/>
        </w:numPr>
      </w:pPr>
      <w:r w:rsidRPr="00143358">
        <w:lastRenderedPageBreak/>
        <w:t>Directional blast effects were considered where applicable, particularly in relation to the proposed ESH orientation, which incorporates a designed structural weak side intended to vent blast perpendicular to adjacent magazines.</w:t>
      </w:r>
    </w:p>
    <w:p w14:paraId="69A875C0" w14:textId="561A4ED6" w:rsidR="00FE31F1" w:rsidRDefault="00FE31F1" w:rsidP="00FE31F1">
      <w:pPr>
        <w:numPr>
          <w:ilvl w:val="0"/>
          <w:numId w:val="32"/>
        </w:numPr>
      </w:pPr>
      <w:r w:rsidRPr="00143358">
        <w:t xml:space="preserve">Directional blast adjustments were applied using the multipliers and principles specified </w:t>
      </w:r>
      <w:r w:rsidRPr="007745F4">
        <w:t>in IATG 04.10</w:t>
      </w:r>
      <w:r w:rsidR="007745F4" w:rsidRPr="007745F4">
        <w:t xml:space="preserve"> </w:t>
      </w:r>
      <w:sdt>
        <w:sdtPr>
          <w:id w:val="725802556"/>
          <w:citation/>
        </w:sdtPr>
        <w:sdtContent>
          <w:r w:rsidR="007745F4" w:rsidRPr="007745F4">
            <w:fldChar w:fldCharType="begin"/>
          </w:r>
          <w:r w:rsidR="007745F4" w:rsidRPr="007745F4">
            <w:instrText xml:space="preserve"> CITATION Uni21 \l 2057 </w:instrText>
          </w:r>
          <w:r w:rsidR="007745F4" w:rsidRPr="007745F4">
            <w:fldChar w:fldCharType="separate"/>
          </w:r>
          <w:r w:rsidR="00C3255F" w:rsidRPr="00C3255F">
            <w:rPr>
              <w:noProof/>
            </w:rPr>
            <w:t>[1]</w:t>
          </w:r>
          <w:r w:rsidR="007745F4" w:rsidRPr="007745F4">
            <w:fldChar w:fldCharType="end"/>
          </w:r>
        </w:sdtContent>
      </w:sdt>
      <w:r w:rsidRPr="007745F4">
        <w:t>.</w:t>
      </w:r>
    </w:p>
    <w:p w14:paraId="269F0C99" w14:textId="3367FCAE" w:rsidR="007745F4" w:rsidRDefault="007745F4" w:rsidP="00FE31F1">
      <w:pPr>
        <w:numPr>
          <w:ilvl w:val="0"/>
          <w:numId w:val="32"/>
        </w:numPr>
      </w:pPr>
      <w:r>
        <w:t xml:space="preserve">Inter Magazine Distances (IMD) was calculated based on the stated NEQ of each magazine </w:t>
      </w:r>
      <w:sdt>
        <w:sdtPr>
          <w:id w:val="-560318739"/>
          <w:citation/>
        </w:sdtPr>
        <w:sdtContent>
          <w:r>
            <w:fldChar w:fldCharType="begin"/>
          </w:r>
          <w:r>
            <w:instrText xml:space="preserve"> CITATION Uni211 \l 2057 </w:instrText>
          </w:r>
          <w:r>
            <w:fldChar w:fldCharType="separate"/>
          </w:r>
          <w:r w:rsidR="00C3255F" w:rsidRPr="00C3255F">
            <w:rPr>
              <w:noProof/>
            </w:rPr>
            <w:t>[8]</w:t>
          </w:r>
          <w:r>
            <w:fldChar w:fldCharType="end"/>
          </w:r>
        </w:sdtContent>
      </w:sdt>
      <w:r>
        <w:t>.</w:t>
      </w:r>
    </w:p>
    <w:p w14:paraId="5AF45B48" w14:textId="77777777" w:rsidR="007745F4" w:rsidRDefault="007745F4" w:rsidP="007745F4">
      <w:pPr>
        <w:keepNext/>
        <w:ind w:left="720"/>
        <w:jc w:val="center"/>
      </w:pPr>
      <w:r>
        <w:rPr>
          <w:noProof/>
        </w:rPr>
        <w:drawing>
          <wp:inline distT="0" distB="0" distL="0" distR="0" wp14:anchorId="4B490884" wp14:editId="660ED3CD">
            <wp:extent cx="1457325" cy="600075"/>
            <wp:effectExtent l="0" t="0" r="9525" b="9525"/>
            <wp:docPr id="373485718" name="Picture 1" descr="A black and white math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85718" name="Picture 1" descr="A black and white math equation&#10;&#10;AI-generated content may be incorrect."/>
                    <pic:cNvPicPr/>
                  </pic:nvPicPr>
                  <pic:blipFill>
                    <a:blip r:embed="rId10"/>
                    <a:stretch>
                      <a:fillRect/>
                    </a:stretch>
                  </pic:blipFill>
                  <pic:spPr>
                    <a:xfrm>
                      <a:off x="0" y="0"/>
                      <a:ext cx="1457325" cy="600075"/>
                    </a:xfrm>
                    <a:prstGeom prst="rect">
                      <a:avLst/>
                    </a:prstGeom>
                  </pic:spPr>
                </pic:pic>
              </a:graphicData>
            </a:graphic>
          </wp:inline>
        </w:drawing>
      </w:r>
    </w:p>
    <w:p w14:paraId="1D4D539A" w14:textId="3D8645FA" w:rsidR="007745F4" w:rsidRPr="00D03984" w:rsidRDefault="007745F4" w:rsidP="007745F4">
      <w:pPr>
        <w:pStyle w:val="Caption"/>
        <w:jc w:val="center"/>
        <w:rPr>
          <w:color w:val="auto"/>
        </w:rPr>
      </w:pPr>
      <w:bookmarkStart w:id="12" w:name="_Toc216398649"/>
      <w:r w:rsidRPr="00D03984">
        <w:t xml:space="preserve">Equation </w:t>
      </w:r>
      <w:r w:rsidRPr="00D03984">
        <w:fldChar w:fldCharType="begin"/>
      </w:r>
      <w:r w:rsidRPr="00D03984">
        <w:instrText xml:space="preserve"> SEQ Equation \* ARABIC </w:instrText>
      </w:r>
      <w:r w:rsidRPr="00D03984">
        <w:fldChar w:fldCharType="separate"/>
      </w:r>
      <w:r w:rsidR="00A41B6A">
        <w:rPr>
          <w:noProof/>
        </w:rPr>
        <w:t>1</w:t>
      </w:r>
      <w:r w:rsidRPr="00D03984">
        <w:fldChar w:fldCharType="end"/>
      </w:r>
      <w:r w:rsidRPr="00D03984">
        <w:t xml:space="preserve">: displays the IATG 20.20 definition of IMD using the Quantity Distance Scaling law. D = distance required from centre to centre. K = the IATG safety constant based upon the hazard division, and protective measure (in this instance, assumed protective measures of a standard Igloo construction, and worst case HD1.1 Mass explosive hazard. And W = the cube root of the total Net Explosive Quantity (NEQ) of explosives in Kilograms. </w:t>
      </w:r>
      <w:r w:rsidR="007C3C30">
        <w:t>It was established that an Igloo would be categorised as D3, therefore the K value of 3.6 was used.</w:t>
      </w:r>
      <w:bookmarkEnd w:id="12"/>
      <w:r w:rsidR="007C3C30">
        <w:t xml:space="preserve"> </w:t>
      </w:r>
    </w:p>
    <w:p w14:paraId="1DE34E53" w14:textId="77777777" w:rsidR="007745F4" w:rsidRDefault="007745F4" w:rsidP="00FE31F1"/>
    <w:p w14:paraId="7EBA386A" w14:textId="3579D4BE" w:rsidR="00FE31F1" w:rsidRPr="00143358" w:rsidRDefault="00FE31F1" w:rsidP="00FE31F1">
      <w:r w:rsidRPr="00143358">
        <w:t>This allowed for a spatial verification of whether the facility, as proposed, satisfied mandatory separation distances.</w:t>
      </w:r>
    </w:p>
    <w:p w14:paraId="7F2827A9" w14:textId="41D7BCB4" w:rsidR="00FE31F1" w:rsidRPr="00143358" w:rsidRDefault="00560D93" w:rsidP="000E4A9C">
      <w:pPr>
        <w:pStyle w:val="Heading2"/>
        <w:rPr>
          <w:b/>
          <w:bCs/>
          <w:color w:val="auto"/>
          <w:sz w:val="22"/>
          <w:szCs w:val="22"/>
        </w:rPr>
      </w:pPr>
      <w:bookmarkStart w:id="13" w:name="_Toc216382908"/>
      <w:r w:rsidRPr="00143358">
        <w:rPr>
          <w:b/>
          <w:bCs/>
          <w:color w:val="auto"/>
          <w:sz w:val="22"/>
          <w:szCs w:val="22"/>
        </w:rPr>
        <w:t xml:space="preserve">2.5. </w:t>
      </w:r>
      <w:r w:rsidR="00FE31F1" w:rsidRPr="00143358">
        <w:rPr>
          <w:b/>
          <w:bCs/>
          <w:color w:val="auto"/>
          <w:sz w:val="22"/>
          <w:szCs w:val="22"/>
        </w:rPr>
        <w:t>Licensing and Regulatory Compliance Modelling</w:t>
      </w:r>
      <w:bookmarkEnd w:id="13"/>
    </w:p>
    <w:p w14:paraId="42867707" w14:textId="77777777" w:rsidR="00FE31F1" w:rsidRPr="00143358" w:rsidRDefault="00FE31F1" w:rsidP="00FE31F1">
      <w:r w:rsidRPr="00143358">
        <w:t>The IATG Licensing Tool was used to assess:</w:t>
      </w:r>
    </w:p>
    <w:p w14:paraId="3B913277" w14:textId="77777777" w:rsidR="00FE31F1" w:rsidRPr="00143358" w:rsidRDefault="00FE31F1" w:rsidP="00FE31F1">
      <w:pPr>
        <w:numPr>
          <w:ilvl w:val="0"/>
          <w:numId w:val="33"/>
        </w:numPr>
      </w:pPr>
      <w:r w:rsidRPr="00143358">
        <w:t xml:space="preserve">whether the </w:t>
      </w:r>
      <w:r w:rsidRPr="007745F4">
        <w:t>proposed per-building NEQ (1,000 kg) aligned</w:t>
      </w:r>
      <w:r w:rsidRPr="00143358">
        <w:t xml:space="preserve"> with licensing limits,</w:t>
      </w:r>
    </w:p>
    <w:p w14:paraId="4C49E0C9" w14:textId="77777777" w:rsidR="00FE31F1" w:rsidRPr="00143358" w:rsidRDefault="00FE31F1" w:rsidP="00FE31F1">
      <w:pPr>
        <w:numPr>
          <w:ilvl w:val="0"/>
          <w:numId w:val="33"/>
        </w:numPr>
      </w:pPr>
      <w:r w:rsidRPr="00143358">
        <w:t>whether the stated inventory and compatibility group distribution could be licensed within the existing building count,</w:t>
      </w:r>
    </w:p>
    <w:p w14:paraId="49416BE4" w14:textId="77777777" w:rsidR="00FE31F1" w:rsidRPr="007745F4" w:rsidRDefault="00FE31F1" w:rsidP="00FE31F1">
      <w:pPr>
        <w:numPr>
          <w:ilvl w:val="0"/>
          <w:numId w:val="33"/>
        </w:numPr>
      </w:pPr>
      <w:r w:rsidRPr="00143358">
        <w:t>and whether the applicant’s proposed operational regime met siting and structural conditions.</w:t>
      </w:r>
    </w:p>
    <w:p w14:paraId="1ABECDD7" w14:textId="2D703AB3" w:rsidR="00FE31F1" w:rsidRPr="00143358" w:rsidRDefault="00FE31F1" w:rsidP="00FE31F1">
      <w:r w:rsidRPr="007745F4">
        <w:t xml:space="preserve">The Licensing Tool confirmed that the applicant’s proposed storage configuration cannot be licensed under IATG rules without increasing the number of ESHs and reducing stored NEQ per incompatibility </w:t>
      </w:r>
      <w:r w:rsidRPr="00143358">
        <w:t>category.</w:t>
      </w:r>
    </w:p>
    <w:p w14:paraId="24EB6B7A" w14:textId="2C2B1B90" w:rsidR="00FE31F1" w:rsidRPr="00143358" w:rsidRDefault="00560D93" w:rsidP="000E4A9C">
      <w:pPr>
        <w:pStyle w:val="Heading2"/>
        <w:rPr>
          <w:b/>
          <w:bCs/>
          <w:color w:val="auto"/>
          <w:sz w:val="22"/>
          <w:szCs w:val="22"/>
        </w:rPr>
      </w:pPr>
      <w:bookmarkStart w:id="14" w:name="_Toc216382909"/>
      <w:r w:rsidRPr="00143358">
        <w:rPr>
          <w:b/>
          <w:bCs/>
          <w:color w:val="auto"/>
          <w:sz w:val="22"/>
          <w:szCs w:val="22"/>
        </w:rPr>
        <w:t xml:space="preserve">2.6. </w:t>
      </w:r>
      <w:r w:rsidR="00FE31F1" w:rsidRPr="00143358">
        <w:rPr>
          <w:b/>
          <w:bCs/>
          <w:color w:val="auto"/>
          <w:sz w:val="22"/>
          <w:szCs w:val="22"/>
        </w:rPr>
        <w:t>Risk Assessment Approach</w:t>
      </w:r>
      <w:bookmarkEnd w:id="14"/>
    </w:p>
    <w:p w14:paraId="7686EDE6" w14:textId="0F5CA016" w:rsidR="00FE31F1" w:rsidRPr="007745F4" w:rsidRDefault="00FE31F1" w:rsidP="00FE31F1">
      <w:r w:rsidRPr="00143358">
        <w:t xml:space="preserve">A combined qualitative and quantitative approach was applied in accordance </w:t>
      </w:r>
      <w:r w:rsidRPr="007745F4">
        <w:t>with IATG 05.20</w:t>
      </w:r>
      <w:r w:rsidR="007745F4">
        <w:t xml:space="preserve"> </w:t>
      </w:r>
      <w:sdt>
        <w:sdtPr>
          <w:id w:val="448973970"/>
          <w:citation/>
        </w:sdtPr>
        <w:sdtContent>
          <w:r w:rsidR="007745F4">
            <w:fldChar w:fldCharType="begin"/>
          </w:r>
          <w:r w:rsidR="007745F4">
            <w:instrText xml:space="preserve"> CITATION Uni15 \l 2057 </w:instrText>
          </w:r>
          <w:r w:rsidR="007745F4">
            <w:fldChar w:fldCharType="separate"/>
          </w:r>
          <w:r w:rsidR="00C3255F" w:rsidRPr="00C3255F">
            <w:rPr>
              <w:noProof/>
            </w:rPr>
            <w:t>[9]</w:t>
          </w:r>
          <w:r w:rsidR="007745F4">
            <w:fldChar w:fldCharType="end"/>
          </w:r>
        </w:sdtContent>
      </w:sdt>
      <w:r w:rsidRPr="007745F4">
        <w:t>:</w:t>
      </w:r>
    </w:p>
    <w:p w14:paraId="316194CE" w14:textId="77777777" w:rsidR="00FE31F1" w:rsidRPr="00143358" w:rsidRDefault="00FE31F1" w:rsidP="00FE31F1">
      <w:pPr>
        <w:numPr>
          <w:ilvl w:val="0"/>
          <w:numId w:val="34"/>
        </w:numPr>
      </w:pPr>
      <w:r w:rsidRPr="00143358">
        <w:t xml:space="preserve">Risks relating to personnel, contractors, the </w:t>
      </w:r>
      <w:proofErr w:type="gramStart"/>
      <w:r w:rsidRPr="00143358">
        <w:t>general public</w:t>
      </w:r>
      <w:proofErr w:type="gramEnd"/>
      <w:r w:rsidRPr="00143358">
        <w:t>, and surrounding infrastructure were evaluated.</w:t>
      </w:r>
    </w:p>
    <w:p w14:paraId="07966D3E" w14:textId="77777777" w:rsidR="00FE31F1" w:rsidRPr="00143358" w:rsidRDefault="00FE31F1" w:rsidP="00FE31F1">
      <w:pPr>
        <w:numPr>
          <w:ilvl w:val="0"/>
          <w:numId w:val="34"/>
        </w:numPr>
      </w:pPr>
      <w:r w:rsidRPr="00143358">
        <w:t>Consideration was given to the proximity of the coast, nearby marina, vessel transit routes, and urban exposure pathways.</w:t>
      </w:r>
    </w:p>
    <w:p w14:paraId="30E9A529" w14:textId="77777777" w:rsidR="00FE31F1" w:rsidRPr="00143358" w:rsidRDefault="00FE31F1" w:rsidP="00FE31F1">
      <w:pPr>
        <w:numPr>
          <w:ilvl w:val="0"/>
          <w:numId w:val="34"/>
        </w:numPr>
      </w:pPr>
      <w:r w:rsidRPr="00143358">
        <w:t>The risk analysis incorporated the effects of potential blast propagation, fire escalation, structural venting, and sympathetic detonation scenarios.</w:t>
      </w:r>
    </w:p>
    <w:p w14:paraId="0E71F43C" w14:textId="77777777" w:rsidR="00FE31F1" w:rsidRPr="00143358" w:rsidRDefault="00FE31F1" w:rsidP="00FE31F1">
      <w:r w:rsidRPr="00143358">
        <w:t>The risk characterisation was benchmarked against ALARP principles.</w:t>
      </w:r>
    </w:p>
    <w:p w14:paraId="44B34936" w14:textId="5DB34188" w:rsidR="00FE31F1" w:rsidRPr="00143358" w:rsidRDefault="00FE31F1" w:rsidP="000E4A9C">
      <w:pPr>
        <w:pStyle w:val="Heading2"/>
        <w:rPr>
          <w:color w:val="auto"/>
          <w:sz w:val="24"/>
          <w:szCs w:val="24"/>
        </w:rPr>
      </w:pPr>
    </w:p>
    <w:p w14:paraId="2D0C64ED" w14:textId="45CBE023" w:rsidR="00FE31F1" w:rsidRPr="00143358" w:rsidRDefault="00560D93" w:rsidP="000E4A9C">
      <w:pPr>
        <w:pStyle w:val="Heading2"/>
        <w:rPr>
          <w:b/>
          <w:bCs/>
          <w:color w:val="auto"/>
          <w:sz w:val="22"/>
          <w:szCs w:val="22"/>
        </w:rPr>
      </w:pPr>
      <w:bookmarkStart w:id="15" w:name="_Toc216382910"/>
      <w:r w:rsidRPr="00143358">
        <w:rPr>
          <w:b/>
          <w:bCs/>
          <w:color w:val="auto"/>
          <w:sz w:val="22"/>
          <w:szCs w:val="22"/>
        </w:rPr>
        <w:t xml:space="preserve">2.7. </w:t>
      </w:r>
      <w:r w:rsidR="00FE31F1" w:rsidRPr="00143358">
        <w:rPr>
          <w:b/>
          <w:bCs/>
          <w:color w:val="auto"/>
          <w:sz w:val="22"/>
          <w:szCs w:val="22"/>
        </w:rPr>
        <w:t>Limitations and Uncertainties</w:t>
      </w:r>
      <w:bookmarkEnd w:id="15"/>
    </w:p>
    <w:p w14:paraId="4F889670" w14:textId="77777777" w:rsidR="00FE31F1" w:rsidRPr="00143358" w:rsidRDefault="00FE31F1" w:rsidP="00FE31F1">
      <w:r w:rsidRPr="00143358">
        <w:t>The assessment recognises limitations arising from:</w:t>
      </w:r>
    </w:p>
    <w:p w14:paraId="46002552" w14:textId="77777777" w:rsidR="00FE31F1" w:rsidRPr="00143358" w:rsidRDefault="00FE31F1" w:rsidP="00FE31F1">
      <w:pPr>
        <w:numPr>
          <w:ilvl w:val="0"/>
          <w:numId w:val="35"/>
        </w:numPr>
      </w:pPr>
      <w:r w:rsidRPr="00143358">
        <w:t>reliance on applicant-supplied data,</w:t>
      </w:r>
    </w:p>
    <w:p w14:paraId="0EA4A471" w14:textId="77777777" w:rsidR="00FE31F1" w:rsidRPr="00143358" w:rsidRDefault="00FE31F1" w:rsidP="00FE31F1">
      <w:pPr>
        <w:numPr>
          <w:ilvl w:val="0"/>
          <w:numId w:val="35"/>
        </w:numPr>
      </w:pPr>
      <w:r w:rsidRPr="00143358">
        <w:t>absence of detailed structural drawings for the proposed ESH design,</w:t>
      </w:r>
    </w:p>
    <w:p w14:paraId="5D453ADF" w14:textId="77777777" w:rsidR="00FE31F1" w:rsidRPr="00143358" w:rsidRDefault="00FE31F1" w:rsidP="00FE31F1">
      <w:pPr>
        <w:numPr>
          <w:ilvl w:val="0"/>
          <w:numId w:val="35"/>
        </w:numPr>
      </w:pPr>
      <w:r w:rsidRPr="00143358">
        <w:t>assumptions inherent in modelling tools (e.g., directional blast effect multipliers),</w:t>
      </w:r>
    </w:p>
    <w:p w14:paraId="43F06337" w14:textId="77777777" w:rsidR="00FE31F1" w:rsidRPr="00143358" w:rsidRDefault="00FE31F1" w:rsidP="00FE31F1">
      <w:pPr>
        <w:numPr>
          <w:ilvl w:val="0"/>
          <w:numId w:val="35"/>
        </w:numPr>
      </w:pPr>
      <w:r w:rsidRPr="00143358">
        <w:t>and external variables such as vessel presence in the marina and public traffic volume variability.</w:t>
      </w:r>
    </w:p>
    <w:p w14:paraId="781B0586" w14:textId="77777777" w:rsidR="00FE31F1" w:rsidRPr="00143358" w:rsidRDefault="00FE31F1" w:rsidP="00FE31F1">
      <w:r w:rsidRPr="00143358">
        <w:t>These limitations are identified and managed within the bounds of the IATG risk-based framework.</w:t>
      </w:r>
    </w:p>
    <w:p w14:paraId="260A1BE4" w14:textId="77777777" w:rsidR="00ED52FC" w:rsidRPr="00143358" w:rsidRDefault="00ED52FC" w:rsidP="00FE31F1"/>
    <w:p w14:paraId="0EC982B5" w14:textId="77777777" w:rsidR="000E4A9C" w:rsidRPr="00143358" w:rsidRDefault="000E4A9C" w:rsidP="00FE31F1"/>
    <w:p w14:paraId="23E34ECF" w14:textId="1F122527" w:rsidR="0024786C" w:rsidRPr="00143358" w:rsidRDefault="00560D93" w:rsidP="000E4A9C">
      <w:pPr>
        <w:pStyle w:val="Heading1"/>
        <w:rPr>
          <w:b/>
          <w:bCs/>
          <w:color w:val="auto"/>
          <w:sz w:val="28"/>
          <w:szCs w:val="28"/>
        </w:rPr>
      </w:pPr>
      <w:bookmarkStart w:id="16" w:name="_Toc216382911"/>
      <w:r w:rsidRPr="00143358">
        <w:rPr>
          <w:b/>
          <w:bCs/>
          <w:color w:val="auto"/>
          <w:sz w:val="28"/>
          <w:szCs w:val="28"/>
        </w:rPr>
        <w:t>3. Results</w:t>
      </w:r>
      <w:r w:rsidR="0024786C" w:rsidRPr="00143358">
        <w:rPr>
          <w:b/>
          <w:bCs/>
          <w:color w:val="auto"/>
          <w:sz w:val="28"/>
          <w:szCs w:val="28"/>
        </w:rPr>
        <w:t xml:space="preserve"> </w:t>
      </w:r>
      <w:r w:rsidR="00B41F43" w:rsidRPr="00143358">
        <w:rPr>
          <w:b/>
          <w:bCs/>
          <w:color w:val="auto"/>
          <w:sz w:val="28"/>
          <w:szCs w:val="28"/>
        </w:rPr>
        <w:t>&amp; Discussion</w:t>
      </w:r>
      <w:bookmarkEnd w:id="16"/>
    </w:p>
    <w:p w14:paraId="4B523A18" w14:textId="39236374" w:rsidR="00000435" w:rsidRDefault="00DC089B" w:rsidP="000E4A9C">
      <w:pPr>
        <w:pStyle w:val="Heading2"/>
        <w:rPr>
          <w:b/>
          <w:bCs/>
          <w:color w:val="auto"/>
          <w:sz w:val="22"/>
          <w:szCs w:val="22"/>
        </w:rPr>
      </w:pPr>
      <w:bookmarkStart w:id="17" w:name="_Toc216382912"/>
      <w:r w:rsidRPr="00143358">
        <w:rPr>
          <w:b/>
          <w:bCs/>
          <w:color w:val="auto"/>
          <w:sz w:val="22"/>
          <w:szCs w:val="22"/>
        </w:rPr>
        <w:t>3</w:t>
      </w:r>
      <w:r w:rsidR="0024786C" w:rsidRPr="00143358">
        <w:rPr>
          <w:b/>
          <w:bCs/>
          <w:color w:val="auto"/>
          <w:sz w:val="22"/>
          <w:szCs w:val="22"/>
        </w:rPr>
        <w:t>.</w:t>
      </w:r>
      <w:proofErr w:type="gramStart"/>
      <w:r w:rsidR="0024786C" w:rsidRPr="00143358">
        <w:rPr>
          <w:b/>
          <w:bCs/>
          <w:color w:val="auto"/>
          <w:sz w:val="22"/>
          <w:szCs w:val="22"/>
        </w:rPr>
        <w:t>1</w:t>
      </w:r>
      <w:r w:rsidRPr="00143358">
        <w:rPr>
          <w:b/>
          <w:bCs/>
          <w:color w:val="auto"/>
          <w:sz w:val="22"/>
          <w:szCs w:val="22"/>
        </w:rPr>
        <w:t>.</w:t>
      </w:r>
      <w:r w:rsidR="00000435">
        <w:rPr>
          <w:b/>
          <w:bCs/>
          <w:color w:val="auto"/>
          <w:sz w:val="22"/>
          <w:szCs w:val="22"/>
        </w:rPr>
        <w:t>Review</w:t>
      </w:r>
      <w:proofErr w:type="gramEnd"/>
      <w:r w:rsidR="00000435">
        <w:rPr>
          <w:b/>
          <w:bCs/>
          <w:color w:val="auto"/>
          <w:sz w:val="22"/>
          <w:szCs w:val="22"/>
        </w:rPr>
        <w:t xml:space="preserve"> of proposed plans</w:t>
      </w:r>
      <w:bookmarkEnd w:id="17"/>
      <w:r w:rsidR="00000435">
        <w:rPr>
          <w:b/>
          <w:bCs/>
          <w:color w:val="auto"/>
          <w:sz w:val="22"/>
          <w:szCs w:val="22"/>
        </w:rPr>
        <w:t xml:space="preserve"> </w:t>
      </w:r>
    </w:p>
    <w:p w14:paraId="4D596723" w14:textId="72912BAC" w:rsidR="00000435" w:rsidRPr="00000435" w:rsidRDefault="00000435" w:rsidP="00000435">
      <w:r>
        <w:t xml:space="preserve">Based on the proposed plans submitted by </w:t>
      </w:r>
      <w:proofErr w:type="spellStart"/>
      <w:r>
        <w:t>BigBang</w:t>
      </w:r>
      <w:proofErr w:type="spellEnd"/>
      <w:r>
        <w:t xml:space="preserve"> Solutions to Swansea City Council several key failures have been identified. These failings have a high potential to severely impact the local community’s safety. </w:t>
      </w:r>
    </w:p>
    <w:p w14:paraId="2A215518" w14:textId="5CE17497" w:rsidR="0024786C" w:rsidRPr="00143358" w:rsidRDefault="00000435" w:rsidP="000E4A9C">
      <w:pPr>
        <w:pStyle w:val="Heading2"/>
        <w:rPr>
          <w:b/>
          <w:bCs/>
          <w:color w:val="auto"/>
          <w:sz w:val="22"/>
          <w:szCs w:val="22"/>
        </w:rPr>
      </w:pPr>
      <w:bookmarkStart w:id="18" w:name="_Toc216382913"/>
      <w:proofErr w:type="gramStart"/>
      <w:r>
        <w:rPr>
          <w:b/>
          <w:bCs/>
          <w:color w:val="auto"/>
          <w:sz w:val="22"/>
          <w:szCs w:val="22"/>
        </w:rPr>
        <w:t xml:space="preserve">3.2 </w:t>
      </w:r>
      <w:r w:rsidR="0024786C" w:rsidRPr="00143358">
        <w:rPr>
          <w:b/>
          <w:bCs/>
          <w:color w:val="auto"/>
          <w:sz w:val="22"/>
          <w:szCs w:val="22"/>
        </w:rPr>
        <w:t xml:space="preserve"> NEQ</w:t>
      </w:r>
      <w:proofErr w:type="gramEnd"/>
      <w:r w:rsidR="0024786C" w:rsidRPr="00143358">
        <w:rPr>
          <w:b/>
          <w:bCs/>
          <w:color w:val="auto"/>
          <w:sz w:val="22"/>
          <w:szCs w:val="22"/>
        </w:rPr>
        <w:t xml:space="preserve"> accounting and magazine capacity</w:t>
      </w:r>
      <w:bookmarkEnd w:id="18"/>
    </w:p>
    <w:p w14:paraId="5BCA4F23" w14:textId="2F925C33" w:rsidR="0024786C" w:rsidRPr="00143358" w:rsidRDefault="0024786C" w:rsidP="0024786C">
      <w:pPr>
        <w:numPr>
          <w:ilvl w:val="0"/>
          <w:numId w:val="12"/>
        </w:numPr>
      </w:pPr>
      <w:r w:rsidRPr="00143358">
        <w:t>Present calculation table: claimed NEQ per HD vs. storage capacity 5 × ESH × 1,000 kg each = 5,000 kg total physical capacity</w:t>
      </w:r>
      <w:r w:rsidR="00D03984">
        <w:t xml:space="preserve">. </w:t>
      </w:r>
    </w:p>
    <w:p w14:paraId="7B4ACE3F" w14:textId="41448906" w:rsidR="0024786C" w:rsidRDefault="0024786C" w:rsidP="0024786C">
      <w:pPr>
        <w:numPr>
          <w:ilvl w:val="0"/>
          <w:numId w:val="12"/>
        </w:numPr>
      </w:pPr>
      <w:r w:rsidRPr="00143358">
        <w:t xml:space="preserve">State the inconsistency: </w:t>
      </w:r>
      <w:proofErr w:type="spellStart"/>
      <w:r w:rsidRPr="00143358">
        <w:t>BigBang</w:t>
      </w:r>
      <w:proofErr w:type="spellEnd"/>
      <w:r w:rsidRPr="00143358">
        <w:t xml:space="preserve"> </w:t>
      </w:r>
      <w:r w:rsidR="00D03984">
        <w:t>aims to store</w:t>
      </w:r>
      <w:r w:rsidRPr="00143358">
        <w:t xml:space="preserve"> 7,500 kg </w:t>
      </w:r>
      <w:r w:rsidR="00D03984">
        <w:t xml:space="preserve">total </w:t>
      </w:r>
      <w:r w:rsidRPr="00143358">
        <w:t>NEQ while magazine capacity (5 × 1,000 kg) indicates only 5,000 kg max storage — therefore the NEQ claimed exceeds their proposed built capacity by 2,500 kg.</w:t>
      </w:r>
    </w:p>
    <w:p w14:paraId="77D2AEC0" w14:textId="77777777" w:rsidR="00110245" w:rsidRDefault="00110245" w:rsidP="00110245">
      <w:pPr>
        <w:ind w:left="720"/>
      </w:pPr>
    </w:p>
    <w:p w14:paraId="77AE7268" w14:textId="77777777" w:rsidR="00405F41" w:rsidRDefault="00405F41" w:rsidP="00110245">
      <w:pPr>
        <w:ind w:left="720"/>
      </w:pPr>
    </w:p>
    <w:p w14:paraId="0158C95E" w14:textId="77777777" w:rsidR="00405F41" w:rsidRPr="00143358" w:rsidRDefault="00405F41" w:rsidP="00110245">
      <w:pPr>
        <w:ind w:left="720"/>
      </w:pPr>
    </w:p>
    <w:p w14:paraId="02AF1995" w14:textId="4B7ABB4F" w:rsidR="0024786C" w:rsidRPr="00143358" w:rsidRDefault="00DC089B" w:rsidP="000E4A9C">
      <w:pPr>
        <w:pStyle w:val="Heading2"/>
        <w:rPr>
          <w:b/>
          <w:bCs/>
          <w:color w:val="auto"/>
          <w:sz w:val="22"/>
          <w:szCs w:val="22"/>
        </w:rPr>
      </w:pPr>
      <w:bookmarkStart w:id="19" w:name="_Toc216382914"/>
      <w:r w:rsidRPr="00143358">
        <w:rPr>
          <w:b/>
          <w:bCs/>
          <w:color w:val="auto"/>
          <w:sz w:val="22"/>
          <w:szCs w:val="22"/>
        </w:rPr>
        <w:t>3</w:t>
      </w:r>
      <w:r w:rsidR="0024786C" w:rsidRPr="00143358">
        <w:rPr>
          <w:b/>
          <w:bCs/>
          <w:color w:val="auto"/>
          <w:sz w:val="22"/>
          <w:szCs w:val="22"/>
        </w:rPr>
        <w:t>.2</w:t>
      </w:r>
      <w:r w:rsidRPr="00143358">
        <w:rPr>
          <w:b/>
          <w:bCs/>
          <w:color w:val="auto"/>
          <w:sz w:val="22"/>
          <w:szCs w:val="22"/>
        </w:rPr>
        <w:t>.</w:t>
      </w:r>
      <w:r w:rsidR="0024786C" w:rsidRPr="00143358">
        <w:rPr>
          <w:b/>
          <w:bCs/>
          <w:color w:val="auto"/>
          <w:sz w:val="22"/>
          <w:szCs w:val="22"/>
        </w:rPr>
        <w:t xml:space="preserve"> Compatibility and aggregation effects</w:t>
      </w:r>
      <w:bookmarkEnd w:id="19"/>
    </w:p>
    <w:p w14:paraId="12752C7E" w14:textId="0EFB824B" w:rsidR="0024786C" w:rsidRDefault="0024786C" w:rsidP="00D03984">
      <w:r w:rsidRPr="00143358">
        <w:t>Summar</w:t>
      </w:r>
      <w:r w:rsidR="00D03984">
        <w:t>y of</w:t>
      </w:r>
      <w:r w:rsidRPr="00143358">
        <w:t xml:space="preserve"> the compatibility codes breakdown</w:t>
      </w:r>
      <w:r w:rsidR="00110245">
        <w:t xml:space="preserve">: </w:t>
      </w:r>
      <w:r w:rsidR="00D03984">
        <w:t xml:space="preserve"> energetics of differing compatibility groups cannot always be stored with other energetics of a different compatibility group. This is predominantly due to a significant increase in the risk of unintended initiation during storage. When in storage there is a likelihood that a sensitive explosive such as 1.1A or 1.1B may lead to the initiation of more powerful explosives that are less sensitive such as 1.1D. As a </w:t>
      </w:r>
      <w:proofErr w:type="gramStart"/>
      <w:r w:rsidR="00D03984">
        <w:t>result</w:t>
      </w:r>
      <w:proofErr w:type="gramEnd"/>
      <w:r w:rsidR="00D03984">
        <w:t xml:space="preserve"> these compatibility groups must be segregated from one another to prevent the chance of united initiation. </w:t>
      </w:r>
    </w:p>
    <w:p w14:paraId="50802698" w14:textId="77777777" w:rsidR="00092BBC" w:rsidRDefault="00092BBC" w:rsidP="00D03984"/>
    <w:p w14:paraId="7C1A6DDA" w14:textId="77777777" w:rsidR="00D03984" w:rsidRDefault="00D03984" w:rsidP="00D03984"/>
    <w:p w14:paraId="739024F5" w14:textId="0E9E5892" w:rsidR="00092BBC" w:rsidRDefault="00092BBC" w:rsidP="00092BBC">
      <w:pPr>
        <w:pStyle w:val="Caption"/>
        <w:keepNext/>
      </w:pPr>
      <w:bookmarkStart w:id="20" w:name="_Toc216398461"/>
      <w:r>
        <w:lastRenderedPageBreak/>
        <w:t xml:space="preserve">Table </w:t>
      </w:r>
      <w:r>
        <w:fldChar w:fldCharType="begin"/>
      </w:r>
      <w:r>
        <w:instrText xml:space="preserve"> SEQ Table \* ARABIC </w:instrText>
      </w:r>
      <w:r>
        <w:fldChar w:fldCharType="separate"/>
      </w:r>
      <w:r w:rsidR="007C3C30">
        <w:rPr>
          <w:noProof/>
        </w:rPr>
        <w:t>1</w:t>
      </w:r>
      <w:r>
        <w:fldChar w:fldCharType="end"/>
      </w:r>
      <w:r>
        <w:t xml:space="preserve">: Displays a proposed storage regime that is </w:t>
      </w:r>
      <w:proofErr w:type="gramStart"/>
      <w:r>
        <w:t>feasible, but</w:t>
      </w:r>
      <w:proofErr w:type="gramEnd"/>
      <w:r>
        <w:t xml:space="preserve"> would require the ESH's proposed by </w:t>
      </w:r>
      <w:proofErr w:type="spellStart"/>
      <w:r>
        <w:t>BigBang</w:t>
      </w:r>
      <w:proofErr w:type="spellEnd"/>
      <w:r>
        <w:t xml:space="preserve"> Storage solutions to hold a higher storage licence.</w:t>
      </w:r>
      <w:bookmarkEnd w:id="20"/>
    </w:p>
    <w:p w14:paraId="6C285301" w14:textId="7A2AA26D" w:rsidR="00092BBC" w:rsidRDefault="00092BBC" w:rsidP="00092BBC">
      <w:pPr>
        <w:jc w:val="center"/>
      </w:pPr>
      <w:r w:rsidRPr="00092BBC">
        <w:drawing>
          <wp:inline distT="0" distB="0" distL="0" distR="0" wp14:anchorId="19FFFEB2" wp14:editId="53404349">
            <wp:extent cx="5040000" cy="2620440"/>
            <wp:effectExtent l="0" t="0" r="8255" b="0"/>
            <wp:docPr id="12670542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0000" cy="2620440"/>
                    </a:xfrm>
                    <a:prstGeom prst="rect">
                      <a:avLst/>
                    </a:prstGeom>
                    <a:noFill/>
                    <a:ln>
                      <a:noFill/>
                    </a:ln>
                  </pic:spPr>
                </pic:pic>
              </a:graphicData>
            </a:graphic>
          </wp:inline>
        </w:drawing>
      </w:r>
    </w:p>
    <w:p w14:paraId="727627A8" w14:textId="37427BE9" w:rsidR="00092BBC" w:rsidRDefault="00092BBC" w:rsidP="00092BBC">
      <w:pPr>
        <w:pStyle w:val="Caption"/>
        <w:keepNext/>
      </w:pPr>
      <w:bookmarkStart w:id="21" w:name="_Toc216398462"/>
      <w:r>
        <w:t xml:space="preserve">Table </w:t>
      </w:r>
      <w:r>
        <w:fldChar w:fldCharType="begin"/>
      </w:r>
      <w:r>
        <w:instrText xml:space="preserve"> SEQ Table \* ARABIC </w:instrText>
      </w:r>
      <w:r>
        <w:fldChar w:fldCharType="separate"/>
      </w:r>
      <w:r w:rsidR="007C3C30">
        <w:rPr>
          <w:noProof/>
        </w:rPr>
        <w:t>2</w:t>
      </w:r>
      <w:r>
        <w:fldChar w:fldCharType="end"/>
      </w:r>
      <w:r>
        <w:t>: Displays a more optimised storage regime, which would require the construction of a further three ESH's to maintain compliance throughout the planned storage regime.</w:t>
      </w:r>
      <w:bookmarkEnd w:id="21"/>
    </w:p>
    <w:p w14:paraId="70FCF0B4" w14:textId="2DDD4975" w:rsidR="00092BBC" w:rsidRDefault="00092BBC" w:rsidP="00092BBC">
      <w:pPr>
        <w:jc w:val="center"/>
      </w:pPr>
      <w:r w:rsidRPr="00092BBC">
        <w:drawing>
          <wp:inline distT="0" distB="0" distL="0" distR="0" wp14:anchorId="5D33AA94" wp14:editId="37EB26E7">
            <wp:extent cx="5040000" cy="4161960"/>
            <wp:effectExtent l="0" t="0" r="8255" b="0"/>
            <wp:docPr id="3426366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0000" cy="4161960"/>
                    </a:xfrm>
                    <a:prstGeom prst="rect">
                      <a:avLst/>
                    </a:prstGeom>
                    <a:noFill/>
                    <a:ln>
                      <a:noFill/>
                    </a:ln>
                  </pic:spPr>
                </pic:pic>
              </a:graphicData>
            </a:graphic>
          </wp:inline>
        </w:drawing>
      </w:r>
    </w:p>
    <w:p w14:paraId="2382923C" w14:textId="5F737F60" w:rsidR="00110245" w:rsidRDefault="00092BBC" w:rsidP="00D03984">
      <w:r>
        <w:t xml:space="preserve">Whilst the </w:t>
      </w:r>
      <w:proofErr w:type="gramStart"/>
      <w:r>
        <w:t>aforementioned provides</w:t>
      </w:r>
      <w:proofErr w:type="gramEnd"/>
      <w:r>
        <w:t xml:space="preserve"> a mechanism for the storage of explosives on this site, neither of the two methods are ideal. In the first example, there would be the requirement to increase the </w:t>
      </w:r>
      <w:r w:rsidR="00405F41">
        <w:t>licence</w:t>
      </w:r>
      <w:r>
        <w:t xml:space="preserve"> conditions for </w:t>
      </w:r>
      <w:r w:rsidR="00405F41">
        <w:t xml:space="preserve">individual buildings, which whilst possible, is not a recommended route to explore. In addition to this this route jeopardises site in terms of both compliance, and operability. The second option ensures compliance in storage and meets the </w:t>
      </w:r>
      <w:r w:rsidR="00405F41">
        <w:lastRenderedPageBreak/>
        <w:t xml:space="preserve">planned 1000kg per ESH, however this also presents an issue with operability where </w:t>
      </w:r>
      <w:proofErr w:type="spellStart"/>
      <w:r w:rsidR="00405F41">
        <w:t>BigBang</w:t>
      </w:r>
      <w:proofErr w:type="spellEnd"/>
      <w:r w:rsidR="00405F41">
        <w:t xml:space="preserve"> solutions would be limited in terms of flexibility of storage and would risk breaching licence conditions. </w:t>
      </w:r>
    </w:p>
    <w:p w14:paraId="71AD4FE3" w14:textId="77777777" w:rsidR="00405F41" w:rsidRDefault="00405F41" w:rsidP="00D03984"/>
    <w:p w14:paraId="4735C5E9" w14:textId="1173E882" w:rsidR="0024786C" w:rsidRPr="00143358" w:rsidRDefault="00DC089B" w:rsidP="000E4A9C">
      <w:pPr>
        <w:pStyle w:val="Heading2"/>
        <w:rPr>
          <w:b/>
          <w:bCs/>
          <w:color w:val="auto"/>
          <w:sz w:val="22"/>
          <w:szCs w:val="22"/>
        </w:rPr>
      </w:pPr>
      <w:bookmarkStart w:id="22" w:name="_Toc216382915"/>
      <w:r w:rsidRPr="00143358">
        <w:rPr>
          <w:b/>
          <w:bCs/>
          <w:color w:val="auto"/>
          <w:sz w:val="22"/>
          <w:szCs w:val="22"/>
        </w:rPr>
        <w:t>3</w:t>
      </w:r>
      <w:r w:rsidR="0024786C" w:rsidRPr="00143358">
        <w:rPr>
          <w:b/>
          <w:bCs/>
          <w:color w:val="auto"/>
          <w:sz w:val="22"/>
          <w:szCs w:val="22"/>
        </w:rPr>
        <w:t>.3</w:t>
      </w:r>
      <w:r w:rsidRPr="00143358">
        <w:rPr>
          <w:b/>
          <w:bCs/>
          <w:color w:val="auto"/>
          <w:sz w:val="22"/>
          <w:szCs w:val="22"/>
        </w:rPr>
        <w:t>.</w:t>
      </w:r>
      <w:r w:rsidR="0024786C" w:rsidRPr="00143358">
        <w:rPr>
          <w:b/>
          <w:bCs/>
          <w:color w:val="auto"/>
          <w:sz w:val="22"/>
          <w:szCs w:val="22"/>
        </w:rPr>
        <w:t xml:space="preserve"> </w:t>
      </w:r>
      <w:r w:rsidR="00000435" w:rsidRPr="00143358">
        <w:rPr>
          <w:b/>
          <w:bCs/>
          <w:color w:val="auto"/>
          <w:sz w:val="22"/>
          <w:szCs w:val="22"/>
        </w:rPr>
        <w:t>Q</w:t>
      </w:r>
      <w:r w:rsidR="00000435">
        <w:rPr>
          <w:b/>
          <w:bCs/>
          <w:color w:val="auto"/>
          <w:sz w:val="22"/>
          <w:szCs w:val="22"/>
        </w:rPr>
        <w:t>uantity Distance (QD)</w:t>
      </w:r>
      <w:r w:rsidR="0024786C" w:rsidRPr="00143358">
        <w:rPr>
          <w:b/>
          <w:bCs/>
          <w:color w:val="auto"/>
          <w:sz w:val="22"/>
          <w:szCs w:val="22"/>
        </w:rPr>
        <w:t xml:space="preserve"> analysis and zoning maps</w:t>
      </w:r>
      <w:bookmarkEnd w:id="22"/>
    </w:p>
    <w:p w14:paraId="74F65CF9" w14:textId="77777777" w:rsidR="0024786C" w:rsidRPr="00143358" w:rsidRDefault="0024786C" w:rsidP="0024786C">
      <w:pPr>
        <w:numPr>
          <w:ilvl w:val="0"/>
          <w:numId w:val="14"/>
        </w:numPr>
      </w:pPr>
      <w:r w:rsidRPr="00143358">
        <w:t xml:space="preserve">Summary of QD modelling results: state which of </w:t>
      </w:r>
      <w:proofErr w:type="spellStart"/>
      <w:r w:rsidRPr="00143358">
        <w:t>BigBang’s</w:t>
      </w:r>
      <w:proofErr w:type="spellEnd"/>
      <w:r w:rsidRPr="00143358">
        <w:t xml:space="preserve"> declared distances are insufficient when the correct NEQ and compatibility effects are applied.</w:t>
      </w:r>
    </w:p>
    <w:p w14:paraId="2A59BACA" w14:textId="316115A0" w:rsidR="0024786C" w:rsidRPr="00143358" w:rsidRDefault="0024786C" w:rsidP="0024786C">
      <w:pPr>
        <w:numPr>
          <w:ilvl w:val="1"/>
          <w:numId w:val="14"/>
        </w:numPr>
      </w:pPr>
      <w:r w:rsidRPr="00143358">
        <w:t xml:space="preserve">Vulnerable building distance claimed = 300m </w:t>
      </w:r>
      <w:r w:rsidR="00405F41">
        <w:t xml:space="preserve">per ESH. Based on the QD mapping found in Annex A, the nearest Vulnerable Buildings are approx. 100m away from the PES. There is significant overlap, meaning that the storage of HD1.1 is not permissible. This is confirmed by the proposed licence found in Annex C. To store 1.1D the nearest Vulnerable building must be at minimum 430m away from the ESH. </w:t>
      </w:r>
    </w:p>
    <w:p w14:paraId="4F5F9473" w14:textId="349628D5" w:rsidR="0024786C" w:rsidRPr="00143358" w:rsidRDefault="0024786C" w:rsidP="0024786C">
      <w:pPr>
        <w:numPr>
          <w:ilvl w:val="1"/>
          <w:numId w:val="14"/>
        </w:numPr>
      </w:pPr>
      <w:r w:rsidRPr="00143358">
        <w:t>Inhabited building claimed = 125</w:t>
      </w:r>
      <w:r w:rsidR="00405F41">
        <w:t xml:space="preserve">m per ESH. Based on the QD mapping </w:t>
      </w:r>
      <w:proofErr w:type="gramStart"/>
      <w:r w:rsidR="00405F41">
        <w:t>aforementioned the</w:t>
      </w:r>
      <w:proofErr w:type="gramEnd"/>
      <w:r w:rsidR="00405F41">
        <w:t xml:space="preserve"> nearest potential Inhabited building is a warehouse adjacent to the proposed PES, this would be approximately 100m away from the PES, again limiting the storage of 1.1, 1.2.1, 1.3.1, and 1.3.2</w:t>
      </w:r>
      <w:r w:rsidR="007E0D40">
        <w:t>. This would limit the site to only store 1.2.2 (small munitions that packaged correctly produce low velocity fragments)</w:t>
      </w:r>
    </w:p>
    <w:p w14:paraId="20CEDB0B" w14:textId="7F8A280C" w:rsidR="0024786C" w:rsidRDefault="0024786C" w:rsidP="0024786C">
      <w:pPr>
        <w:numPr>
          <w:ilvl w:val="1"/>
          <w:numId w:val="14"/>
        </w:numPr>
      </w:pPr>
      <w:r w:rsidRPr="00143358">
        <w:t>Public traffic route claimed</w:t>
      </w:r>
      <w:r w:rsidR="00A7336D" w:rsidRPr="00143358">
        <w:t xml:space="preserve">: </w:t>
      </w:r>
      <w:r w:rsidRPr="00143358">
        <w:t>270 m</w:t>
      </w:r>
      <w:r w:rsidR="00A7336D" w:rsidRPr="00143358">
        <w:t xml:space="preserve"> - Big Bang Storage solutions did not account for the density of traffic along the nearest route. Based on location, it’s estimated that Langdon Road would be classified as a medium density route, expecting </w:t>
      </w:r>
      <w:r w:rsidR="007E0D40">
        <w:t>1-10</w:t>
      </w:r>
      <w:r w:rsidR="00A7336D" w:rsidRPr="00143358">
        <w:t xml:space="preserve"> vehicles per </w:t>
      </w:r>
      <w:r w:rsidR="007E0D40">
        <w:t>hour</w:t>
      </w:r>
      <w:r w:rsidR="00A7336D" w:rsidRPr="00143358">
        <w:t xml:space="preserve">. Whereas Fabian way is a major traffic route that connects Swansea City centre to both the extremities of Swansea, and the wider </w:t>
      </w:r>
      <w:r w:rsidR="004F4F02" w:rsidRPr="00143358">
        <w:t xml:space="preserve">transport routes of Wales, as such this route would be classified as a </w:t>
      </w:r>
      <w:proofErr w:type="gramStart"/>
      <w:r w:rsidR="004F4F02" w:rsidRPr="00143358">
        <w:t>high density</w:t>
      </w:r>
      <w:proofErr w:type="gramEnd"/>
      <w:r w:rsidR="004F4F02" w:rsidRPr="00143358">
        <w:t xml:space="preserve"> route receiving approximately</w:t>
      </w:r>
      <w:r w:rsidR="007E0D40">
        <w:t xml:space="preserve"> 10 or more vehicles per hour. In a </w:t>
      </w:r>
      <w:proofErr w:type="gramStart"/>
      <w:r w:rsidR="007E0D40">
        <w:t>worst case</w:t>
      </w:r>
      <w:proofErr w:type="gramEnd"/>
      <w:r w:rsidR="007E0D40">
        <w:t xml:space="preserve"> scenario where both routes are considered a </w:t>
      </w:r>
      <w:proofErr w:type="gramStart"/>
      <w:r w:rsidR="007E0D40">
        <w:t>high density</w:t>
      </w:r>
      <w:proofErr w:type="gramEnd"/>
      <w:r w:rsidR="007E0D40">
        <w:t xml:space="preserve"> route, then the PTRD provided by </w:t>
      </w:r>
      <w:proofErr w:type="spellStart"/>
      <w:r w:rsidR="007E0D40">
        <w:t>Bigbang</w:t>
      </w:r>
      <w:proofErr w:type="spellEnd"/>
      <w:r w:rsidR="007E0D40">
        <w:t xml:space="preserve"> is incorrect and is 240m away from the PES. This however must be confirmed by surveys of the traffic routes. </w:t>
      </w:r>
    </w:p>
    <w:p w14:paraId="1A1CE8E5" w14:textId="77777777" w:rsidR="007E0D40" w:rsidRPr="00143358" w:rsidRDefault="007E0D40" w:rsidP="007E0D40">
      <w:pPr>
        <w:ind w:left="1440"/>
      </w:pPr>
    </w:p>
    <w:p w14:paraId="1F8E646F" w14:textId="56DF10E5" w:rsidR="0024786C" w:rsidRPr="00143358" w:rsidRDefault="00DC089B" w:rsidP="000E4A9C">
      <w:pPr>
        <w:pStyle w:val="Heading2"/>
        <w:rPr>
          <w:b/>
          <w:bCs/>
          <w:color w:val="auto"/>
          <w:sz w:val="22"/>
          <w:szCs w:val="22"/>
        </w:rPr>
      </w:pPr>
      <w:bookmarkStart w:id="23" w:name="_Toc216382916"/>
      <w:r w:rsidRPr="00143358">
        <w:rPr>
          <w:b/>
          <w:bCs/>
          <w:color w:val="auto"/>
          <w:sz w:val="22"/>
          <w:szCs w:val="22"/>
        </w:rPr>
        <w:t>3.</w:t>
      </w:r>
      <w:r w:rsidR="00B41F43" w:rsidRPr="00143358">
        <w:rPr>
          <w:b/>
          <w:bCs/>
          <w:color w:val="auto"/>
          <w:sz w:val="22"/>
          <w:szCs w:val="22"/>
        </w:rPr>
        <w:t>6</w:t>
      </w:r>
      <w:r w:rsidR="0024786C" w:rsidRPr="00143358">
        <w:rPr>
          <w:b/>
          <w:bCs/>
          <w:color w:val="auto"/>
          <w:sz w:val="22"/>
          <w:szCs w:val="22"/>
        </w:rPr>
        <w:t xml:space="preserve"> Risk evaluation</w:t>
      </w:r>
      <w:bookmarkEnd w:id="23"/>
      <w:r w:rsidR="0024786C" w:rsidRPr="00143358">
        <w:rPr>
          <w:b/>
          <w:bCs/>
          <w:color w:val="auto"/>
          <w:sz w:val="22"/>
          <w:szCs w:val="22"/>
        </w:rPr>
        <w:t xml:space="preserve"> </w:t>
      </w:r>
    </w:p>
    <w:p w14:paraId="319E1154" w14:textId="723593DE" w:rsidR="00B974AB" w:rsidRPr="00143358" w:rsidRDefault="00B974AB" w:rsidP="00B974AB">
      <w:r w:rsidRPr="00143358">
        <w:t xml:space="preserve">Mass-Explosion and Public Safety Risk: The presence of HD 1.1 (mass explosion hazard) introduces a significant and intolerable level of risk to the </w:t>
      </w:r>
      <w:proofErr w:type="gramStart"/>
      <w:r w:rsidRPr="00143358">
        <w:t>general public</w:t>
      </w:r>
      <w:proofErr w:type="gramEnd"/>
      <w:r w:rsidRPr="00143358">
        <w:t xml:space="preserve"> due to the potential for instantaneous, catastrophic blast effects. When combined with the proposed storage quantities of HD 1.2, the site continues to pose a substantial explosive fragmentation hazard capable of affecting persons, property, and critical infrastructure at considerable distances. Under the current proposal, these hazard divisions—particularly at the stated limits—create a level of inherent danger that exceeds acceptable thresholds without robust mitigation and verified separation distances.</w:t>
      </w:r>
    </w:p>
    <w:p w14:paraId="180BA320" w14:textId="4615CD91" w:rsidR="00B974AB" w:rsidRPr="00143358" w:rsidRDefault="00B974AB" w:rsidP="00B974AB">
      <w:pPr>
        <w:ind w:left="720"/>
      </w:pPr>
    </w:p>
    <w:p w14:paraId="1875D6C0" w14:textId="6F35DE2D" w:rsidR="00B974AB" w:rsidRPr="00143358" w:rsidRDefault="00B974AB" w:rsidP="00B41F43">
      <w:pPr>
        <w:pStyle w:val="Heading3"/>
        <w:rPr>
          <w:rFonts w:asciiTheme="majorHAnsi" w:hAnsiTheme="majorHAnsi"/>
          <w:b/>
          <w:bCs/>
          <w:color w:val="auto"/>
          <w:sz w:val="22"/>
          <w:szCs w:val="22"/>
        </w:rPr>
      </w:pPr>
      <w:bookmarkStart w:id="24" w:name="_Toc216382917"/>
      <w:r w:rsidRPr="00143358">
        <w:rPr>
          <w:rFonts w:asciiTheme="majorHAnsi" w:hAnsiTheme="majorHAnsi"/>
          <w:b/>
          <w:bCs/>
          <w:color w:val="auto"/>
          <w:sz w:val="22"/>
          <w:szCs w:val="22"/>
        </w:rPr>
        <w:lastRenderedPageBreak/>
        <w:t>ALARP Statement:</w:t>
      </w:r>
      <w:bookmarkEnd w:id="24"/>
      <w:r w:rsidRPr="00143358">
        <w:rPr>
          <w:rFonts w:asciiTheme="majorHAnsi" w:hAnsiTheme="majorHAnsi"/>
          <w:b/>
          <w:bCs/>
          <w:color w:val="auto"/>
          <w:sz w:val="22"/>
          <w:szCs w:val="22"/>
        </w:rPr>
        <w:t xml:space="preserve"> </w:t>
      </w:r>
    </w:p>
    <w:p w14:paraId="3E542207" w14:textId="23DFDF0B" w:rsidR="00B974AB" w:rsidRPr="00143358" w:rsidRDefault="00B974AB" w:rsidP="00B974AB">
      <w:r w:rsidRPr="00143358">
        <w:t>Based on the current documentation, several key controls (verified Quantity-Distance compliance, compatibility assurance, robust licensing, and emergency planning measures) have not been demonstrated. Consequently, the residual risk cannot be considered ALARP, as further feasible and reasonable precautions are clearly required to attain a tolerable level of safety.</w:t>
      </w:r>
    </w:p>
    <w:p w14:paraId="3CAA2E1A" w14:textId="5E7C7D70" w:rsidR="00B974AB" w:rsidRPr="00143358" w:rsidRDefault="00B974AB" w:rsidP="00B974AB"/>
    <w:p w14:paraId="67B760D4" w14:textId="68E526B9" w:rsidR="00B974AB" w:rsidRPr="00143358" w:rsidRDefault="00B974AB" w:rsidP="000E4A9C">
      <w:pPr>
        <w:pStyle w:val="Heading3"/>
        <w:rPr>
          <w:rFonts w:asciiTheme="majorHAnsi" w:hAnsiTheme="majorHAnsi"/>
          <w:b/>
          <w:bCs/>
          <w:color w:val="auto"/>
          <w:sz w:val="22"/>
          <w:szCs w:val="22"/>
        </w:rPr>
      </w:pPr>
      <w:bookmarkStart w:id="25" w:name="_Toc216382918"/>
      <w:r w:rsidRPr="00143358">
        <w:rPr>
          <w:rFonts w:asciiTheme="majorHAnsi" w:hAnsiTheme="majorHAnsi"/>
          <w:b/>
          <w:bCs/>
          <w:color w:val="auto"/>
          <w:sz w:val="22"/>
          <w:szCs w:val="22"/>
        </w:rPr>
        <w:t>Risk Matrix (Severity vs. Likelihood)</w:t>
      </w:r>
      <w:bookmarkEnd w:id="25"/>
    </w:p>
    <w:p w14:paraId="2BF0EB80" w14:textId="352CFD6E" w:rsidR="00DC089B" w:rsidRPr="00143358" w:rsidRDefault="00DC089B" w:rsidP="00DC089B">
      <w:pPr>
        <w:pStyle w:val="Caption"/>
        <w:keepNext/>
        <w:rPr>
          <w:color w:val="auto"/>
        </w:rPr>
      </w:pPr>
      <w:bookmarkStart w:id="26" w:name="_Toc216398463"/>
      <w:r w:rsidRPr="00143358">
        <w:rPr>
          <w:color w:val="auto"/>
        </w:rPr>
        <w:t xml:space="preserve">Table </w:t>
      </w:r>
      <w:r w:rsidRPr="00143358">
        <w:rPr>
          <w:color w:val="auto"/>
        </w:rPr>
        <w:fldChar w:fldCharType="begin"/>
      </w:r>
      <w:r w:rsidRPr="00143358">
        <w:rPr>
          <w:color w:val="auto"/>
        </w:rPr>
        <w:instrText xml:space="preserve"> SEQ Table \* ARABIC </w:instrText>
      </w:r>
      <w:r w:rsidRPr="00143358">
        <w:rPr>
          <w:color w:val="auto"/>
        </w:rPr>
        <w:fldChar w:fldCharType="separate"/>
      </w:r>
      <w:r w:rsidR="007C3C30">
        <w:rPr>
          <w:noProof/>
          <w:color w:val="auto"/>
        </w:rPr>
        <w:t>3</w:t>
      </w:r>
      <w:r w:rsidRPr="00143358">
        <w:rPr>
          <w:color w:val="auto"/>
        </w:rPr>
        <w:fldChar w:fldCharType="end"/>
      </w:r>
      <w:r w:rsidRPr="00143358">
        <w:rPr>
          <w:color w:val="auto"/>
        </w:rPr>
        <w:t>: defines a basic and holistic risk assessment based upon the proposed storage</w:t>
      </w:r>
      <w:bookmarkEnd w:id="26"/>
      <w:r w:rsidRPr="00143358">
        <w:rPr>
          <w:color w:val="auto"/>
        </w:rPr>
        <w:t xml:space="preserve"> </w:t>
      </w:r>
    </w:p>
    <w:p w14:paraId="59A005D5" w14:textId="63A82248" w:rsidR="00B974AB" w:rsidRPr="00143358" w:rsidRDefault="00DC089B" w:rsidP="00B974AB">
      <w:r w:rsidRPr="00143358">
        <w:rPr>
          <w:noProof/>
        </w:rPr>
        <w:drawing>
          <wp:inline distT="0" distB="0" distL="0" distR="0" wp14:anchorId="345378A9" wp14:editId="5ACCE31F">
            <wp:extent cx="5731510" cy="3372485"/>
            <wp:effectExtent l="0" t="0" r="2540" b="0"/>
            <wp:docPr id="77995437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54371" name="Picture 1" descr="A table with text on it&#10;&#10;AI-generated content may be incorrect."/>
                    <pic:cNvPicPr/>
                  </pic:nvPicPr>
                  <pic:blipFill>
                    <a:blip r:embed="rId13"/>
                    <a:stretch>
                      <a:fillRect/>
                    </a:stretch>
                  </pic:blipFill>
                  <pic:spPr>
                    <a:xfrm>
                      <a:off x="0" y="0"/>
                      <a:ext cx="5731510" cy="3372485"/>
                    </a:xfrm>
                    <a:prstGeom prst="rect">
                      <a:avLst/>
                    </a:prstGeom>
                  </pic:spPr>
                </pic:pic>
              </a:graphicData>
            </a:graphic>
          </wp:inline>
        </w:drawing>
      </w:r>
    </w:p>
    <w:p w14:paraId="07087988" w14:textId="1D597EE7" w:rsidR="0024786C" w:rsidRPr="00143358" w:rsidRDefault="00DC089B" w:rsidP="00B41F43">
      <w:pPr>
        <w:pStyle w:val="Heading1"/>
        <w:rPr>
          <w:b/>
          <w:bCs/>
          <w:color w:val="auto"/>
          <w:sz w:val="28"/>
          <w:szCs w:val="28"/>
        </w:rPr>
      </w:pPr>
      <w:bookmarkStart w:id="27" w:name="_Toc216382919"/>
      <w:r w:rsidRPr="00143358">
        <w:rPr>
          <w:b/>
          <w:bCs/>
          <w:color w:val="auto"/>
          <w:sz w:val="28"/>
          <w:szCs w:val="28"/>
        </w:rPr>
        <w:t>4.0.</w:t>
      </w:r>
      <w:r w:rsidR="0024786C" w:rsidRPr="00143358">
        <w:rPr>
          <w:b/>
          <w:bCs/>
          <w:color w:val="auto"/>
          <w:sz w:val="28"/>
          <w:szCs w:val="28"/>
        </w:rPr>
        <w:t xml:space="preserve"> Recommendations</w:t>
      </w:r>
      <w:bookmarkEnd w:id="27"/>
      <w:r w:rsidR="0024786C" w:rsidRPr="00143358">
        <w:rPr>
          <w:b/>
          <w:bCs/>
          <w:color w:val="auto"/>
          <w:sz w:val="28"/>
          <w:szCs w:val="28"/>
        </w:rPr>
        <w:t xml:space="preserve"> </w:t>
      </w:r>
    </w:p>
    <w:p w14:paraId="1870FA6D" w14:textId="4143E676" w:rsidR="00DA283F" w:rsidRPr="00143358" w:rsidRDefault="00DA283F" w:rsidP="0024786C">
      <w:r w:rsidRPr="00143358">
        <w:t xml:space="preserve">This report has identified several recommendations to propose to Big Bang Storage Solutions. </w:t>
      </w:r>
    </w:p>
    <w:p w14:paraId="6B47015D" w14:textId="6CC7F2DA" w:rsidR="0024786C" w:rsidRPr="00143358" w:rsidRDefault="00B41F43" w:rsidP="00B41F43">
      <w:pPr>
        <w:pStyle w:val="Heading3"/>
        <w:rPr>
          <w:b/>
          <w:bCs/>
          <w:color w:val="auto"/>
          <w:sz w:val="22"/>
          <w:szCs w:val="22"/>
        </w:rPr>
      </w:pPr>
      <w:bookmarkStart w:id="28" w:name="_Toc216382920"/>
      <w:r w:rsidRPr="00143358">
        <w:rPr>
          <w:b/>
          <w:bCs/>
          <w:color w:val="auto"/>
          <w:sz w:val="22"/>
          <w:szCs w:val="22"/>
        </w:rPr>
        <w:t xml:space="preserve">4.1 </w:t>
      </w:r>
      <w:r w:rsidR="0024786C" w:rsidRPr="00143358">
        <w:rPr>
          <w:b/>
          <w:bCs/>
          <w:color w:val="auto"/>
          <w:sz w:val="22"/>
          <w:szCs w:val="22"/>
        </w:rPr>
        <w:t>Immediate</w:t>
      </w:r>
      <w:r w:rsidR="00DA283F" w:rsidRPr="00143358">
        <w:rPr>
          <w:b/>
          <w:bCs/>
          <w:color w:val="auto"/>
          <w:sz w:val="22"/>
          <w:szCs w:val="22"/>
        </w:rPr>
        <w:t xml:space="preserve"> – requiring urgent ratification prior to the issue of permissions to construct:</w:t>
      </w:r>
      <w:bookmarkEnd w:id="28"/>
    </w:p>
    <w:p w14:paraId="1E0C3204" w14:textId="77777777" w:rsidR="0024786C" w:rsidRPr="00143358" w:rsidRDefault="0024786C" w:rsidP="0024786C">
      <w:pPr>
        <w:numPr>
          <w:ilvl w:val="0"/>
          <w:numId w:val="18"/>
        </w:numPr>
      </w:pPr>
      <w:r w:rsidRPr="00143358">
        <w:t>Require corrected NEQ accounting and an updated storage schedule demonstrating magazine capacity matches declared NEQ.</w:t>
      </w:r>
    </w:p>
    <w:p w14:paraId="54E78637" w14:textId="732FB13E" w:rsidR="0024786C" w:rsidRPr="00143358" w:rsidRDefault="0024786C" w:rsidP="0024786C">
      <w:pPr>
        <w:numPr>
          <w:ilvl w:val="0"/>
          <w:numId w:val="18"/>
        </w:numPr>
      </w:pPr>
      <w:r w:rsidRPr="00143358">
        <w:t xml:space="preserve">Require segregation of incompatible sub-divisions per IATG compatibility tables; if segregation not feasible, reduce NEQ </w:t>
      </w:r>
      <w:r w:rsidR="00E726FF" w:rsidRPr="00143358">
        <w:t xml:space="preserve">to a quantity that is permissible. </w:t>
      </w:r>
    </w:p>
    <w:p w14:paraId="5114BFC0" w14:textId="77777777" w:rsidR="0024786C" w:rsidRPr="00143358" w:rsidRDefault="0024786C" w:rsidP="0024786C">
      <w:pPr>
        <w:numPr>
          <w:ilvl w:val="0"/>
          <w:numId w:val="18"/>
        </w:numPr>
      </w:pPr>
      <w:r w:rsidRPr="00143358">
        <w:t>Require resubmission of IATG-compliant QD maps showing combined NEQ and compatibility effects; do not accept claimed distances without verification.</w:t>
      </w:r>
    </w:p>
    <w:p w14:paraId="240D0570" w14:textId="77777777" w:rsidR="0024786C" w:rsidRPr="00143358" w:rsidRDefault="0024786C" w:rsidP="0024786C">
      <w:pPr>
        <w:numPr>
          <w:ilvl w:val="0"/>
          <w:numId w:val="18"/>
        </w:numPr>
      </w:pPr>
      <w:r w:rsidRPr="00143358">
        <w:t>Require an independent OME expert verification (third-party) of the calculations and magazine designs.</w:t>
      </w:r>
    </w:p>
    <w:p w14:paraId="7F11C846" w14:textId="73DD84BA" w:rsidR="0024786C" w:rsidRPr="00143358" w:rsidRDefault="00B41F43" w:rsidP="00B41F43">
      <w:pPr>
        <w:pStyle w:val="Heading3"/>
        <w:rPr>
          <w:b/>
          <w:bCs/>
          <w:color w:val="auto"/>
          <w:sz w:val="22"/>
          <w:szCs w:val="22"/>
        </w:rPr>
      </w:pPr>
      <w:bookmarkStart w:id="29" w:name="_Toc216382921"/>
      <w:r w:rsidRPr="00143358">
        <w:rPr>
          <w:b/>
          <w:bCs/>
          <w:color w:val="auto"/>
          <w:sz w:val="22"/>
          <w:szCs w:val="22"/>
        </w:rPr>
        <w:lastRenderedPageBreak/>
        <w:t xml:space="preserve">4.2 </w:t>
      </w:r>
      <w:r w:rsidR="0024786C" w:rsidRPr="00143358">
        <w:rPr>
          <w:b/>
          <w:bCs/>
          <w:color w:val="auto"/>
          <w:sz w:val="22"/>
          <w:szCs w:val="22"/>
        </w:rPr>
        <w:t xml:space="preserve">Short term </w:t>
      </w:r>
      <w:r w:rsidR="00E726FF" w:rsidRPr="00143358">
        <w:rPr>
          <w:b/>
          <w:bCs/>
          <w:color w:val="auto"/>
          <w:sz w:val="22"/>
          <w:szCs w:val="22"/>
        </w:rPr>
        <w:t>– prior to the construction of site.</w:t>
      </w:r>
      <w:bookmarkEnd w:id="29"/>
      <w:r w:rsidR="00E726FF" w:rsidRPr="00143358">
        <w:rPr>
          <w:b/>
          <w:bCs/>
          <w:color w:val="auto"/>
          <w:sz w:val="22"/>
          <w:szCs w:val="22"/>
        </w:rPr>
        <w:t xml:space="preserve">  </w:t>
      </w:r>
    </w:p>
    <w:p w14:paraId="683D2841" w14:textId="23FD23EF" w:rsidR="0024786C" w:rsidRPr="00143358" w:rsidRDefault="0024786C" w:rsidP="0024786C">
      <w:pPr>
        <w:numPr>
          <w:ilvl w:val="0"/>
          <w:numId w:val="19"/>
        </w:numPr>
      </w:pPr>
      <w:r w:rsidRPr="00143358">
        <w:t>Revise layout so QD arcs do not encroach on inhabited/vulnerable buildings or public routes</w:t>
      </w:r>
      <w:r w:rsidR="007E0D40">
        <w:t>;</w:t>
      </w:r>
      <w:r w:rsidRPr="00143358">
        <w:t xml:space="preserve"> or increase structural protection/earth cover to meet IATG directional provisions with validated calculations.</w:t>
      </w:r>
    </w:p>
    <w:p w14:paraId="0D3E2526" w14:textId="77777777" w:rsidR="0024786C" w:rsidRPr="00143358" w:rsidRDefault="0024786C" w:rsidP="0024786C">
      <w:pPr>
        <w:numPr>
          <w:ilvl w:val="0"/>
          <w:numId w:val="19"/>
        </w:numPr>
      </w:pPr>
      <w:r w:rsidRPr="00143358">
        <w:t>Submit a comprehensive emergency response plan addressing marine evacuation, spill/fires, notification to harbour users, and coordination with local emergency services.</w:t>
      </w:r>
    </w:p>
    <w:p w14:paraId="2423ECFC" w14:textId="6A048D4E" w:rsidR="0024786C" w:rsidRPr="00143358" w:rsidRDefault="0024786C" w:rsidP="0024786C">
      <w:pPr>
        <w:numPr>
          <w:ilvl w:val="0"/>
          <w:numId w:val="19"/>
        </w:numPr>
      </w:pPr>
      <w:r w:rsidRPr="00143358">
        <w:t>Provide security and transport management plan</w:t>
      </w:r>
      <w:r w:rsidR="00E726FF" w:rsidRPr="00143358">
        <w:t xml:space="preserve">, this should detail </w:t>
      </w:r>
      <w:r w:rsidRPr="00143358">
        <w:t xml:space="preserve">routeing, </w:t>
      </w:r>
      <w:r w:rsidR="00E726FF" w:rsidRPr="00143358">
        <w:t xml:space="preserve">timing and transport safety. </w:t>
      </w:r>
    </w:p>
    <w:p w14:paraId="114752A5" w14:textId="7BE71247" w:rsidR="0024786C" w:rsidRPr="00143358" w:rsidRDefault="0024786C" w:rsidP="0024786C">
      <w:pPr>
        <w:numPr>
          <w:ilvl w:val="0"/>
          <w:numId w:val="19"/>
        </w:numPr>
      </w:pPr>
      <w:r w:rsidRPr="00143358">
        <w:t>Obtain final licences/authorisations showing IATG compliance</w:t>
      </w:r>
      <w:r w:rsidR="00E726FF" w:rsidRPr="00143358">
        <w:t xml:space="preserve">. </w:t>
      </w:r>
    </w:p>
    <w:p w14:paraId="783A4846" w14:textId="7E491A9C" w:rsidR="0024786C" w:rsidRPr="00143358" w:rsidRDefault="00B41F43" w:rsidP="00B41F43">
      <w:pPr>
        <w:pStyle w:val="Heading3"/>
        <w:rPr>
          <w:b/>
          <w:bCs/>
          <w:color w:val="auto"/>
          <w:sz w:val="22"/>
          <w:szCs w:val="22"/>
        </w:rPr>
      </w:pPr>
      <w:bookmarkStart w:id="30" w:name="_Toc216382922"/>
      <w:r w:rsidRPr="00143358">
        <w:rPr>
          <w:b/>
          <w:bCs/>
          <w:color w:val="auto"/>
          <w:sz w:val="22"/>
          <w:szCs w:val="22"/>
        </w:rPr>
        <w:t xml:space="preserve">4.3 </w:t>
      </w:r>
      <w:r w:rsidR="0024786C" w:rsidRPr="00143358">
        <w:rPr>
          <w:b/>
          <w:bCs/>
          <w:color w:val="auto"/>
          <w:sz w:val="22"/>
          <w:szCs w:val="22"/>
        </w:rPr>
        <w:t>Medium term / Operational</w:t>
      </w:r>
      <w:bookmarkEnd w:id="30"/>
    </w:p>
    <w:p w14:paraId="6EF39871" w14:textId="77777777" w:rsidR="0024786C" w:rsidRPr="00143358" w:rsidRDefault="0024786C" w:rsidP="0024786C">
      <w:pPr>
        <w:numPr>
          <w:ilvl w:val="0"/>
          <w:numId w:val="20"/>
        </w:numPr>
      </w:pPr>
      <w:r w:rsidRPr="00143358">
        <w:t>Periodic audit and reconciliation of NEQ inventory, with records accessible to the Council/authority.</w:t>
      </w:r>
    </w:p>
    <w:p w14:paraId="122C205D" w14:textId="77777777" w:rsidR="0024786C" w:rsidRPr="00143358" w:rsidRDefault="0024786C" w:rsidP="0024786C">
      <w:pPr>
        <w:numPr>
          <w:ilvl w:val="0"/>
          <w:numId w:val="20"/>
        </w:numPr>
      </w:pPr>
      <w:r w:rsidRPr="00143358">
        <w:t>Training exercises for emergency services with the site operator that include marine scenarios.</w:t>
      </w:r>
    </w:p>
    <w:p w14:paraId="41E24642" w14:textId="18722ACB" w:rsidR="0024786C" w:rsidRPr="00143358" w:rsidRDefault="00E726FF" w:rsidP="0024786C">
      <w:pPr>
        <w:numPr>
          <w:ilvl w:val="0"/>
          <w:numId w:val="20"/>
        </w:numPr>
      </w:pPr>
      <w:r w:rsidRPr="00143358">
        <w:t xml:space="preserve">Operational management planning accounting for harbour transport. </w:t>
      </w:r>
    </w:p>
    <w:p w14:paraId="3B8DDDF8" w14:textId="5A94E672" w:rsidR="00DC089B" w:rsidRPr="00143358" w:rsidRDefault="00DC089B" w:rsidP="00B41F43">
      <w:pPr>
        <w:pStyle w:val="Heading1"/>
        <w:rPr>
          <w:b/>
          <w:bCs/>
          <w:color w:val="auto"/>
          <w:sz w:val="28"/>
          <w:szCs w:val="28"/>
        </w:rPr>
      </w:pPr>
      <w:bookmarkStart w:id="31" w:name="_Toc216382923"/>
      <w:r w:rsidRPr="00143358">
        <w:rPr>
          <w:b/>
          <w:bCs/>
          <w:color w:val="auto"/>
          <w:sz w:val="28"/>
          <w:szCs w:val="28"/>
        </w:rPr>
        <w:t>5.0. Conclusions:</w:t>
      </w:r>
      <w:bookmarkEnd w:id="31"/>
    </w:p>
    <w:p w14:paraId="55215F1B" w14:textId="3CAA33C8" w:rsidR="0024786C" w:rsidRDefault="00DA283F" w:rsidP="0024786C">
      <w:r w:rsidRPr="00143358">
        <w:t xml:space="preserve">There are significant and apparent errors with the proposed licence produced by Big Bang Solutions, not limited to </w:t>
      </w:r>
      <w:r w:rsidR="0024786C" w:rsidRPr="00143358">
        <w:t>NEQ mismatch, compatibility hazard, insufficient verified QD distances, and marina exposure</w:t>
      </w:r>
      <w:r w:rsidRPr="00143358">
        <w:t>. The findings of this report c</w:t>
      </w:r>
      <w:r w:rsidR="0024786C" w:rsidRPr="00143358">
        <w:t>onclude the facility should not be approved in its current form</w:t>
      </w:r>
      <w:r w:rsidRPr="00143358">
        <w:t>. Key areas of concern lay within the scope of proposed storage of HD1.1, and the NEQ proposed of HD1.2</w:t>
      </w:r>
      <w:r w:rsidR="007C3C30">
        <w:t>.1</w:t>
      </w:r>
      <w:r w:rsidRPr="00143358">
        <w:t xml:space="preserve">, where the proposed storage could put untrained persons (members of the public) in significant risk that would not be deemed as low as reasonably practicable. </w:t>
      </w:r>
    </w:p>
    <w:p w14:paraId="4D0E90C8" w14:textId="7EE05139" w:rsidR="00B249C5" w:rsidRPr="00143358" w:rsidRDefault="007C3C30" w:rsidP="0024786C">
      <w:r>
        <w:t xml:space="preserve">It would be permissible to store HD, 1.2.2, 1.3.1, and 1.3.2, however the quantity would be </w:t>
      </w:r>
      <w:r w:rsidR="00A41B6A">
        <w:t xml:space="preserve">many magnitudes lower than what was provided by </w:t>
      </w:r>
      <w:proofErr w:type="spellStart"/>
      <w:r w:rsidR="00A41B6A">
        <w:t>BigBang</w:t>
      </w:r>
      <w:proofErr w:type="spellEnd"/>
      <w:r w:rsidR="00A41B6A">
        <w:t xml:space="preserve"> Storage solutions. </w:t>
      </w:r>
    </w:p>
    <w:p w14:paraId="7C4A6C04" w14:textId="717A8024" w:rsidR="0024786C" w:rsidRPr="00143358" w:rsidRDefault="00B41F43" w:rsidP="00B41F43">
      <w:pPr>
        <w:pStyle w:val="Heading1"/>
        <w:rPr>
          <w:b/>
          <w:bCs/>
          <w:color w:val="auto"/>
          <w:sz w:val="28"/>
          <w:szCs w:val="28"/>
        </w:rPr>
      </w:pPr>
      <w:bookmarkStart w:id="32" w:name="_Toc216382924"/>
      <w:r w:rsidRPr="00143358">
        <w:rPr>
          <w:b/>
          <w:bCs/>
          <w:color w:val="auto"/>
          <w:sz w:val="28"/>
          <w:szCs w:val="28"/>
        </w:rPr>
        <w:t>6.0</w:t>
      </w:r>
      <w:r w:rsidR="0024786C" w:rsidRPr="00143358">
        <w:rPr>
          <w:b/>
          <w:bCs/>
          <w:color w:val="auto"/>
          <w:sz w:val="28"/>
          <w:szCs w:val="28"/>
        </w:rPr>
        <w:t xml:space="preserve"> Appendices</w:t>
      </w:r>
      <w:bookmarkEnd w:id="32"/>
    </w:p>
    <w:p w14:paraId="4E1ED428" w14:textId="77777777" w:rsidR="0024786C" w:rsidRPr="00143358" w:rsidRDefault="0024786C" w:rsidP="0024786C">
      <w:r w:rsidRPr="00143358">
        <w:t>List appendices and what they contain. Keep the safety questions appendix separate and stand-alone as you requested.</w:t>
      </w:r>
    </w:p>
    <w:p w14:paraId="0FBDE25E" w14:textId="77777777" w:rsidR="0024786C" w:rsidRPr="00143358" w:rsidRDefault="0024786C" w:rsidP="0024786C">
      <w:pPr>
        <w:numPr>
          <w:ilvl w:val="0"/>
          <w:numId w:val="21"/>
        </w:numPr>
      </w:pPr>
      <w:r w:rsidRPr="00143358">
        <w:t>Appendix A — IATG QD mapping outputs (high-resolution maps, GIS layers, screenshots from IATG tool)</w:t>
      </w:r>
    </w:p>
    <w:p w14:paraId="02A1EFD7" w14:textId="77777777" w:rsidR="0024786C" w:rsidRPr="00143358" w:rsidRDefault="0024786C" w:rsidP="0024786C">
      <w:pPr>
        <w:numPr>
          <w:ilvl w:val="0"/>
          <w:numId w:val="21"/>
        </w:numPr>
      </w:pPr>
      <w:r w:rsidRPr="00143358">
        <w:t>Appendix B — NEQ and capacity calculation spreadsheets (showing per HD totals, per-magazine allocation, and mismatch calculations)</w:t>
      </w:r>
    </w:p>
    <w:p w14:paraId="197ACDB8" w14:textId="77777777" w:rsidR="0024786C" w:rsidRPr="00143358" w:rsidRDefault="0024786C" w:rsidP="0024786C">
      <w:pPr>
        <w:numPr>
          <w:ilvl w:val="0"/>
          <w:numId w:val="21"/>
        </w:numPr>
      </w:pPr>
      <w:r w:rsidRPr="00143358">
        <w:t xml:space="preserve">Appendix C — Safety &amp; risk-reduction questions for </w:t>
      </w:r>
      <w:proofErr w:type="spellStart"/>
      <w:r w:rsidRPr="00143358">
        <w:t>BigBang</w:t>
      </w:r>
      <w:proofErr w:type="spellEnd"/>
      <w:r w:rsidRPr="00143358">
        <w:t xml:space="preserve"> Storage Solutions (stand-alone) — see full text below</w:t>
      </w:r>
    </w:p>
    <w:p w14:paraId="1732D1AF" w14:textId="3D902C59" w:rsidR="0024786C" w:rsidRPr="00143358" w:rsidRDefault="0024786C" w:rsidP="0024786C">
      <w:pPr>
        <w:numPr>
          <w:ilvl w:val="0"/>
          <w:numId w:val="21"/>
        </w:numPr>
      </w:pPr>
      <w:r w:rsidRPr="00143358">
        <w:t xml:space="preserve">Appendix D — </w:t>
      </w:r>
      <w:r w:rsidR="00903F88" w:rsidRPr="00143358">
        <w:t>L</w:t>
      </w:r>
      <w:r w:rsidRPr="00143358">
        <w:t>icence conditions and information requirements</w:t>
      </w:r>
      <w:r w:rsidR="00903F88" w:rsidRPr="00143358">
        <w:t xml:space="preserve"> based upon the </w:t>
      </w:r>
      <w:proofErr w:type="spellStart"/>
      <w:r w:rsidR="00903F88" w:rsidRPr="00143358">
        <w:t>BigBang</w:t>
      </w:r>
      <w:proofErr w:type="spellEnd"/>
      <w:r w:rsidR="00903F88" w:rsidRPr="00143358">
        <w:t xml:space="preserve"> Solutions 1000kg/ESH.</w:t>
      </w:r>
    </w:p>
    <w:p w14:paraId="68F01DC4" w14:textId="7E558ED6" w:rsidR="0024786C" w:rsidRPr="00143358" w:rsidRDefault="0024786C" w:rsidP="0024786C"/>
    <w:p w14:paraId="4B7112FB" w14:textId="58175345" w:rsidR="00B249C5" w:rsidRPr="00143358" w:rsidRDefault="00B249C5" w:rsidP="00B41F43">
      <w:pPr>
        <w:pStyle w:val="Heading2"/>
        <w:rPr>
          <w:b/>
          <w:bCs/>
          <w:color w:val="auto"/>
          <w:sz w:val="28"/>
          <w:szCs w:val="28"/>
        </w:rPr>
      </w:pPr>
      <w:bookmarkStart w:id="33" w:name="_Toc216382925"/>
      <w:r w:rsidRPr="00143358">
        <w:rPr>
          <w:b/>
          <w:bCs/>
          <w:color w:val="auto"/>
          <w:sz w:val="28"/>
          <w:szCs w:val="28"/>
        </w:rPr>
        <w:t>Appendix A – QD Mapping based upon Big Bang storage solutions proposed storage regimes.</w:t>
      </w:r>
      <w:bookmarkEnd w:id="33"/>
      <w:r w:rsidRPr="00143358">
        <w:rPr>
          <w:b/>
          <w:bCs/>
          <w:color w:val="auto"/>
          <w:sz w:val="28"/>
          <w:szCs w:val="28"/>
        </w:rPr>
        <w:t xml:space="preserve"> </w:t>
      </w:r>
    </w:p>
    <w:p w14:paraId="468099B0" w14:textId="77777777" w:rsidR="00FF556D" w:rsidRDefault="00FF556D" w:rsidP="00FF556D">
      <w:pPr>
        <w:keepNext/>
        <w:jc w:val="center"/>
      </w:pPr>
      <w:r>
        <w:rPr>
          <w:b/>
          <w:bCs/>
          <w:noProof/>
          <w:sz w:val="20"/>
          <w:szCs w:val="20"/>
        </w:rPr>
        <w:drawing>
          <wp:inline distT="0" distB="0" distL="0" distR="0" wp14:anchorId="0E28A698" wp14:editId="1A1355B1">
            <wp:extent cx="4680000" cy="3309840"/>
            <wp:effectExtent l="0" t="0" r="6350" b="5080"/>
            <wp:docPr id="1409446009" name="Picture 2"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46009" name="Picture 2" descr="A aerial view of a city&#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80000" cy="3309840"/>
                    </a:xfrm>
                    <a:prstGeom prst="rect">
                      <a:avLst/>
                    </a:prstGeom>
                  </pic:spPr>
                </pic:pic>
              </a:graphicData>
            </a:graphic>
          </wp:inline>
        </w:drawing>
      </w:r>
    </w:p>
    <w:p w14:paraId="2128929E" w14:textId="005A30BB" w:rsidR="00FF556D" w:rsidRDefault="00FF556D" w:rsidP="00A4184B">
      <w:pPr>
        <w:pStyle w:val="Caption"/>
        <w:jc w:val="center"/>
        <w:rPr>
          <w:b/>
          <w:bCs/>
          <w:sz w:val="20"/>
          <w:szCs w:val="20"/>
        </w:rPr>
      </w:pPr>
      <w:bookmarkStart w:id="34" w:name="_Toc216397627"/>
      <w:r>
        <w:t xml:space="preserve">Figure </w:t>
      </w:r>
      <w:r>
        <w:fldChar w:fldCharType="begin"/>
      </w:r>
      <w:r>
        <w:instrText xml:space="preserve"> SEQ Figure \* ARABIC </w:instrText>
      </w:r>
      <w:r>
        <w:fldChar w:fldCharType="separate"/>
      </w:r>
      <w:r w:rsidR="00AC434F">
        <w:rPr>
          <w:noProof/>
        </w:rPr>
        <w:t>2</w:t>
      </w:r>
      <w:r>
        <w:fldChar w:fldCharType="end"/>
      </w:r>
      <w:r>
        <w:t>: Displays the quantity distances for Hazard Division 1.1 (mass explosion</w:t>
      </w:r>
      <w:r w:rsidR="00A4184B">
        <w:t xml:space="preserve"> hazard</w:t>
      </w:r>
      <w:r>
        <w:t xml:space="preserve">) based on the proposed quantities to be stored by </w:t>
      </w:r>
      <w:proofErr w:type="spellStart"/>
      <w:r>
        <w:t>BigBang</w:t>
      </w:r>
      <w:proofErr w:type="spellEnd"/>
      <w:r>
        <w:t xml:space="preserve"> Solutions. Red indicates the Vulnerable </w:t>
      </w:r>
      <w:r w:rsidR="00A4184B">
        <w:t>Building</w:t>
      </w:r>
      <w:r>
        <w:t xml:space="preserve"> Distance (VBD)</w:t>
      </w:r>
      <w:r w:rsidR="00A4184B">
        <w:t>, Orange denotes the Inhabited Building Distance (IBD), and the yellow line denotes the Public Routes and Transport Distance (PTRD).</w:t>
      </w:r>
      <w:bookmarkEnd w:id="34"/>
      <w:r w:rsidR="00A4184B">
        <w:t xml:space="preserve"> </w:t>
      </w:r>
    </w:p>
    <w:p w14:paraId="39BF4646" w14:textId="77777777" w:rsidR="00A4184B" w:rsidRDefault="00FF556D" w:rsidP="00A4184B">
      <w:pPr>
        <w:keepNext/>
        <w:jc w:val="center"/>
      </w:pPr>
      <w:r>
        <w:rPr>
          <w:b/>
          <w:bCs/>
          <w:noProof/>
          <w:sz w:val="20"/>
          <w:szCs w:val="20"/>
        </w:rPr>
        <w:drawing>
          <wp:inline distT="0" distB="0" distL="0" distR="0" wp14:anchorId="4D1BEA0A" wp14:editId="386BC939">
            <wp:extent cx="4680000" cy="3307320"/>
            <wp:effectExtent l="0" t="0" r="6350" b="7620"/>
            <wp:docPr id="455576059" name="Picture 3"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76059" name="Picture 3" descr="An aerial view of a city&#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80000" cy="3307320"/>
                    </a:xfrm>
                    <a:prstGeom prst="rect">
                      <a:avLst/>
                    </a:prstGeom>
                  </pic:spPr>
                </pic:pic>
              </a:graphicData>
            </a:graphic>
          </wp:inline>
        </w:drawing>
      </w:r>
    </w:p>
    <w:p w14:paraId="6A6DD3AC" w14:textId="699557D4" w:rsidR="00A4184B" w:rsidRDefault="00A4184B" w:rsidP="00A4184B">
      <w:pPr>
        <w:pStyle w:val="Caption"/>
        <w:jc w:val="center"/>
        <w:rPr>
          <w:b/>
          <w:bCs/>
          <w:sz w:val="20"/>
          <w:szCs w:val="20"/>
        </w:rPr>
      </w:pPr>
      <w:bookmarkStart w:id="35" w:name="_Toc216397628"/>
      <w:r>
        <w:t xml:space="preserve">Figure </w:t>
      </w:r>
      <w:r>
        <w:fldChar w:fldCharType="begin"/>
      </w:r>
      <w:r>
        <w:instrText xml:space="preserve"> SEQ Figure \* ARABIC </w:instrText>
      </w:r>
      <w:r>
        <w:fldChar w:fldCharType="separate"/>
      </w:r>
      <w:r w:rsidR="00AC434F">
        <w:rPr>
          <w:noProof/>
        </w:rPr>
        <w:t>3</w:t>
      </w:r>
      <w:r>
        <w:fldChar w:fldCharType="end"/>
      </w:r>
      <w:r>
        <w:t xml:space="preserve">: </w:t>
      </w:r>
      <w:r>
        <w:t>Displays the quantity distances for Hazard Division 1.</w:t>
      </w:r>
      <w:r>
        <w:t>2.1</w:t>
      </w:r>
      <w:r>
        <w:t xml:space="preserve"> (</w:t>
      </w:r>
      <w:r>
        <w:t>Projection hazard – severe.  e.g. artillery shells)</w:t>
      </w:r>
      <w:r>
        <w:t xml:space="preserve"> based on the proposed quantities to be stored by </w:t>
      </w:r>
      <w:proofErr w:type="spellStart"/>
      <w:r>
        <w:t>BigBang</w:t>
      </w:r>
      <w:proofErr w:type="spellEnd"/>
      <w:r>
        <w:t xml:space="preserve"> Solutions. Red indicates the Vulnerable Building Distance (VBD), Orange denotes the Inhabited Building Distance (IBD), and the yellow line denotes the Public</w:t>
      </w:r>
      <w:r>
        <w:t xml:space="preserve"> Transport</w:t>
      </w:r>
      <w:r>
        <w:t xml:space="preserve"> Routes</w:t>
      </w:r>
      <w:r>
        <w:t xml:space="preserve"> </w:t>
      </w:r>
      <w:r>
        <w:t>Distance (PTRD).</w:t>
      </w:r>
      <w:bookmarkEnd w:id="35"/>
      <w:r>
        <w:t xml:space="preserve"> </w:t>
      </w:r>
    </w:p>
    <w:p w14:paraId="1A54401F" w14:textId="77777777" w:rsidR="00A4184B" w:rsidRDefault="00FF556D" w:rsidP="00A4184B">
      <w:pPr>
        <w:keepNext/>
        <w:jc w:val="center"/>
      </w:pPr>
      <w:r>
        <w:rPr>
          <w:b/>
          <w:bCs/>
          <w:noProof/>
          <w:sz w:val="20"/>
          <w:szCs w:val="20"/>
        </w:rPr>
        <w:lastRenderedPageBreak/>
        <w:drawing>
          <wp:inline distT="0" distB="0" distL="0" distR="0" wp14:anchorId="29EA73DE" wp14:editId="4E15E129">
            <wp:extent cx="4680000" cy="3307320"/>
            <wp:effectExtent l="0" t="0" r="6350" b="7620"/>
            <wp:docPr id="871613625" name="Picture 4"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13625" name="Picture 4" descr="An aerial view of a city&#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80000" cy="3307320"/>
                    </a:xfrm>
                    <a:prstGeom prst="rect">
                      <a:avLst/>
                    </a:prstGeom>
                  </pic:spPr>
                </pic:pic>
              </a:graphicData>
            </a:graphic>
          </wp:inline>
        </w:drawing>
      </w:r>
    </w:p>
    <w:p w14:paraId="70CB6BAD" w14:textId="5DF920AC" w:rsidR="00A4184B" w:rsidRDefault="00A4184B" w:rsidP="00A4184B">
      <w:pPr>
        <w:pStyle w:val="Caption"/>
        <w:jc w:val="center"/>
        <w:rPr>
          <w:b/>
          <w:bCs/>
          <w:sz w:val="20"/>
          <w:szCs w:val="20"/>
        </w:rPr>
      </w:pPr>
      <w:bookmarkStart w:id="36" w:name="_Toc216397629"/>
      <w:r>
        <w:t xml:space="preserve">Figure </w:t>
      </w:r>
      <w:r>
        <w:fldChar w:fldCharType="begin"/>
      </w:r>
      <w:r>
        <w:instrText xml:space="preserve"> SEQ Figure \* ARABIC </w:instrText>
      </w:r>
      <w:r>
        <w:fldChar w:fldCharType="separate"/>
      </w:r>
      <w:r w:rsidR="00AC434F">
        <w:rPr>
          <w:noProof/>
        </w:rPr>
        <w:t>4</w:t>
      </w:r>
      <w:r>
        <w:fldChar w:fldCharType="end"/>
      </w:r>
      <w:r>
        <w:t>:</w:t>
      </w:r>
      <w:r w:rsidRPr="00A4184B">
        <w:t xml:space="preserve"> </w:t>
      </w:r>
      <w:r>
        <w:t>Displays the quantity distances for Hazard Division 1.</w:t>
      </w:r>
      <w:r>
        <w:t>2.2</w:t>
      </w:r>
      <w:r>
        <w:t xml:space="preserve"> (</w:t>
      </w:r>
      <w:r>
        <w:t xml:space="preserve">Projection Hazard </w:t>
      </w:r>
      <w:proofErr w:type="gramStart"/>
      <w:r>
        <w:t>-  low</w:t>
      </w:r>
      <w:proofErr w:type="gramEnd"/>
      <w:r>
        <w:t xml:space="preserve"> velocity fragments, small munitions packaged appropriately such as hand grenades) </w:t>
      </w:r>
      <w:r>
        <w:t xml:space="preserve">based on the proposed quantities to be stored by </w:t>
      </w:r>
      <w:proofErr w:type="spellStart"/>
      <w:r>
        <w:t>BigBang</w:t>
      </w:r>
      <w:proofErr w:type="spellEnd"/>
      <w:r>
        <w:t xml:space="preserve"> Solutions. Red indicates the Vulnerable Building Distance (VBD), Orange denotes the Inhabited Building Distance (IBD), and the yellow line denotes the Public Routes </w:t>
      </w:r>
      <w:r>
        <w:t xml:space="preserve">Transport </w:t>
      </w:r>
      <w:r>
        <w:t>Distance (PTRD).</w:t>
      </w:r>
      <w:bookmarkEnd w:id="36"/>
      <w:r>
        <w:t xml:space="preserve"> </w:t>
      </w:r>
    </w:p>
    <w:p w14:paraId="4E3B1F3B" w14:textId="77777777" w:rsidR="00A4184B" w:rsidRDefault="00A4184B" w:rsidP="00A4184B">
      <w:pPr>
        <w:rPr>
          <w:b/>
          <w:bCs/>
          <w:sz w:val="20"/>
          <w:szCs w:val="20"/>
        </w:rPr>
      </w:pPr>
    </w:p>
    <w:p w14:paraId="3647B0C0" w14:textId="77777777" w:rsidR="00A4184B" w:rsidRDefault="00FF556D" w:rsidP="00A4184B">
      <w:pPr>
        <w:keepNext/>
        <w:jc w:val="center"/>
      </w:pPr>
      <w:r>
        <w:rPr>
          <w:b/>
          <w:bCs/>
          <w:noProof/>
          <w:sz w:val="20"/>
          <w:szCs w:val="20"/>
        </w:rPr>
        <w:drawing>
          <wp:inline distT="0" distB="0" distL="0" distR="0" wp14:anchorId="5269DFE1" wp14:editId="5A60C942">
            <wp:extent cx="4680000" cy="3307320"/>
            <wp:effectExtent l="0" t="0" r="6350" b="7620"/>
            <wp:docPr id="998777054" name="Picture 5"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77054" name="Picture 5" descr="A aerial view of a city&#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80000" cy="3307320"/>
                    </a:xfrm>
                    <a:prstGeom prst="rect">
                      <a:avLst/>
                    </a:prstGeom>
                  </pic:spPr>
                </pic:pic>
              </a:graphicData>
            </a:graphic>
          </wp:inline>
        </w:drawing>
      </w:r>
    </w:p>
    <w:p w14:paraId="70A3BAD8" w14:textId="56AC68C3" w:rsidR="00A4184B" w:rsidRDefault="00A4184B" w:rsidP="00A4184B">
      <w:pPr>
        <w:pStyle w:val="Caption"/>
        <w:jc w:val="center"/>
        <w:rPr>
          <w:b/>
          <w:bCs/>
          <w:sz w:val="20"/>
          <w:szCs w:val="20"/>
        </w:rPr>
      </w:pPr>
      <w:bookmarkStart w:id="37" w:name="_Toc216397630"/>
      <w:r>
        <w:t xml:space="preserve">Figure </w:t>
      </w:r>
      <w:r>
        <w:fldChar w:fldCharType="begin"/>
      </w:r>
      <w:r>
        <w:instrText xml:space="preserve"> SEQ Figure \* ARABIC </w:instrText>
      </w:r>
      <w:r>
        <w:fldChar w:fldCharType="separate"/>
      </w:r>
      <w:r w:rsidR="00AC434F">
        <w:rPr>
          <w:noProof/>
        </w:rPr>
        <w:t>5</w:t>
      </w:r>
      <w:r>
        <w:fldChar w:fldCharType="end"/>
      </w:r>
      <w:r>
        <w:t xml:space="preserve">: </w:t>
      </w:r>
      <w:r>
        <w:t>Displays the quantity distances for Hazard Division 1.</w:t>
      </w:r>
      <w:r>
        <w:t>3.1</w:t>
      </w:r>
      <w:r>
        <w:t>(</w:t>
      </w:r>
      <w:r>
        <w:t>Mass burning</w:t>
      </w:r>
      <w:r>
        <w:t xml:space="preserve"> Hazard </w:t>
      </w:r>
      <w:proofErr w:type="gramStart"/>
      <w:r>
        <w:t xml:space="preserve">-  </w:t>
      </w:r>
      <w:r>
        <w:t>High</w:t>
      </w:r>
      <w:proofErr w:type="gramEnd"/>
      <w:r>
        <w:t xml:space="preserve"> heat flux, violent burns</w:t>
      </w:r>
      <w:r>
        <w:t xml:space="preserve">) based on the proposed quantities to be stored by </w:t>
      </w:r>
      <w:proofErr w:type="spellStart"/>
      <w:r>
        <w:t>BigBang</w:t>
      </w:r>
      <w:proofErr w:type="spellEnd"/>
      <w:r>
        <w:t xml:space="preserve"> Solutions. Red indicates the Vulnerable Building Distance (VBD), Orange denotes the Inhabited Building Distance (IBD), and the yellow line denotes the Public Routes Transport Distance (PTRD).</w:t>
      </w:r>
      <w:bookmarkEnd w:id="37"/>
    </w:p>
    <w:p w14:paraId="315186A7" w14:textId="77777777" w:rsidR="00AC434F" w:rsidRDefault="00FF556D" w:rsidP="00AC434F">
      <w:pPr>
        <w:keepNext/>
        <w:jc w:val="center"/>
      </w:pPr>
      <w:r>
        <w:rPr>
          <w:b/>
          <w:bCs/>
          <w:noProof/>
          <w:sz w:val="20"/>
          <w:szCs w:val="20"/>
        </w:rPr>
        <w:lastRenderedPageBreak/>
        <w:drawing>
          <wp:inline distT="0" distB="0" distL="0" distR="0" wp14:anchorId="5326C267" wp14:editId="4944403A">
            <wp:extent cx="4680000" cy="3307320"/>
            <wp:effectExtent l="0" t="0" r="6350" b="7620"/>
            <wp:docPr id="920041203" name="Picture 6"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41203" name="Picture 6" descr="A aerial view of a city&#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80000" cy="3307320"/>
                    </a:xfrm>
                    <a:prstGeom prst="rect">
                      <a:avLst/>
                    </a:prstGeom>
                  </pic:spPr>
                </pic:pic>
              </a:graphicData>
            </a:graphic>
          </wp:inline>
        </w:drawing>
      </w:r>
    </w:p>
    <w:p w14:paraId="4173F710" w14:textId="62B3480E" w:rsidR="00AC434F" w:rsidRDefault="00AC434F" w:rsidP="00AC434F">
      <w:pPr>
        <w:pStyle w:val="Caption"/>
        <w:jc w:val="center"/>
        <w:rPr>
          <w:b/>
          <w:bCs/>
          <w:sz w:val="20"/>
          <w:szCs w:val="20"/>
        </w:rPr>
      </w:pPr>
      <w:bookmarkStart w:id="38" w:name="_Toc216397631"/>
      <w:r>
        <w:t xml:space="preserve">Figure </w:t>
      </w:r>
      <w:r>
        <w:fldChar w:fldCharType="begin"/>
      </w:r>
      <w:r>
        <w:instrText xml:space="preserve"> SEQ Figure \* ARABIC </w:instrText>
      </w:r>
      <w:r>
        <w:fldChar w:fldCharType="separate"/>
      </w:r>
      <w:r>
        <w:rPr>
          <w:noProof/>
        </w:rPr>
        <w:t>6</w:t>
      </w:r>
      <w:r>
        <w:fldChar w:fldCharType="end"/>
      </w:r>
      <w:r>
        <w:t xml:space="preserve">: </w:t>
      </w:r>
      <w:r>
        <w:t xml:space="preserve">Figure </w:t>
      </w:r>
      <w:r>
        <w:fldChar w:fldCharType="begin"/>
      </w:r>
      <w:r>
        <w:instrText xml:space="preserve"> SEQ Figure \* ARABIC </w:instrText>
      </w:r>
      <w:r>
        <w:fldChar w:fldCharType="separate"/>
      </w:r>
      <w:r>
        <w:rPr>
          <w:noProof/>
        </w:rPr>
        <w:t>5</w:t>
      </w:r>
      <w:r>
        <w:fldChar w:fldCharType="end"/>
      </w:r>
      <w:r>
        <w:t xml:space="preserve">: Displays the quantity distances for Hazard Division 1.3.1(Mass burning Hazard -  </w:t>
      </w:r>
      <w:r>
        <w:t>Low</w:t>
      </w:r>
      <w:r>
        <w:t xml:space="preserve"> heat flux, </w:t>
      </w:r>
      <w:r>
        <w:t xml:space="preserve">less </w:t>
      </w:r>
      <w:r>
        <w:t xml:space="preserve">violent burns) based on the proposed quantities to be stored by </w:t>
      </w:r>
      <w:proofErr w:type="spellStart"/>
      <w:r>
        <w:t>BigBang</w:t>
      </w:r>
      <w:proofErr w:type="spellEnd"/>
      <w:r>
        <w:t xml:space="preserve"> Solutions. Red indicates the Vulnerable Building Distance (VBD), Orange denotes the Inhabited Building Distance (IBD), and the yellow line denotes the Public Routes Transport Distance (PTRD).</w:t>
      </w:r>
      <w:bookmarkEnd w:id="38"/>
    </w:p>
    <w:p w14:paraId="36E267F5" w14:textId="18D9EF44" w:rsidR="00B249C5" w:rsidRDefault="00B249C5" w:rsidP="00AC434F">
      <w:pPr>
        <w:pStyle w:val="Caption"/>
        <w:jc w:val="center"/>
        <w:rPr>
          <w:b/>
          <w:bCs/>
          <w:color w:val="auto"/>
          <w:sz w:val="20"/>
          <w:szCs w:val="20"/>
        </w:rPr>
      </w:pPr>
    </w:p>
    <w:p w14:paraId="3AD78360" w14:textId="77777777" w:rsidR="00AC434F" w:rsidRDefault="00AC434F" w:rsidP="00AC434F"/>
    <w:p w14:paraId="07109120" w14:textId="77777777" w:rsidR="00AC434F" w:rsidRDefault="00AC434F" w:rsidP="00AC434F"/>
    <w:p w14:paraId="3D97276B" w14:textId="77777777" w:rsidR="00AC434F" w:rsidRDefault="00AC434F" w:rsidP="00AC434F"/>
    <w:p w14:paraId="3CB9EF28" w14:textId="77777777" w:rsidR="00AC434F" w:rsidRDefault="00AC434F" w:rsidP="00AC434F"/>
    <w:p w14:paraId="6F779B59" w14:textId="77777777" w:rsidR="00AC434F" w:rsidRDefault="00AC434F" w:rsidP="00AC434F"/>
    <w:p w14:paraId="6E5CAFDC" w14:textId="77777777" w:rsidR="00AC434F" w:rsidRDefault="00AC434F" w:rsidP="00AC434F"/>
    <w:p w14:paraId="67B83FC4" w14:textId="77777777" w:rsidR="00AC434F" w:rsidRDefault="00AC434F" w:rsidP="00AC434F"/>
    <w:p w14:paraId="0F5D4522" w14:textId="77777777" w:rsidR="00AC434F" w:rsidRDefault="00AC434F" w:rsidP="00AC434F"/>
    <w:p w14:paraId="4926058C" w14:textId="77777777" w:rsidR="00AC434F" w:rsidRDefault="00AC434F" w:rsidP="00AC434F"/>
    <w:p w14:paraId="2C0DE2F3" w14:textId="77777777" w:rsidR="00AC434F" w:rsidRDefault="00AC434F" w:rsidP="00AC434F"/>
    <w:p w14:paraId="04AE477C" w14:textId="77777777" w:rsidR="00AC434F" w:rsidRDefault="00AC434F" w:rsidP="00AC434F"/>
    <w:p w14:paraId="55A0E3F8" w14:textId="77777777" w:rsidR="00AC434F" w:rsidRDefault="00AC434F" w:rsidP="00AC434F"/>
    <w:p w14:paraId="067DFF2D" w14:textId="77777777" w:rsidR="00AC434F" w:rsidRDefault="00AC434F" w:rsidP="00AC434F"/>
    <w:p w14:paraId="5B2B0CA4" w14:textId="77777777" w:rsidR="00AC434F" w:rsidRDefault="00AC434F" w:rsidP="00AC434F"/>
    <w:p w14:paraId="4C9D8EF5" w14:textId="77777777" w:rsidR="00AC434F" w:rsidRPr="00AC434F" w:rsidRDefault="00AC434F" w:rsidP="00AC434F"/>
    <w:p w14:paraId="1C43CA31" w14:textId="308BCD73" w:rsidR="00B249C5" w:rsidRPr="00143358" w:rsidRDefault="00903F88" w:rsidP="00903F88">
      <w:pPr>
        <w:pStyle w:val="Heading2"/>
        <w:rPr>
          <w:b/>
          <w:bCs/>
          <w:color w:val="auto"/>
          <w:sz w:val="28"/>
          <w:szCs w:val="28"/>
        </w:rPr>
      </w:pPr>
      <w:bookmarkStart w:id="39" w:name="_Toc216382926"/>
      <w:r w:rsidRPr="00143358">
        <w:rPr>
          <w:b/>
          <w:bCs/>
          <w:color w:val="auto"/>
          <w:sz w:val="28"/>
          <w:szCs w:val="28"/>
        </w:rPr>
        <w:lastRenderedPageBreak/>
        <w:t xml:space="preserve">Appendix B - </w:t>
      </w:r>
      <w:r w:rsidRPr="00143358">
        <w:rPr>
          <w:b/>
          <w:bCs/>
          <w:color w:val="auto"/>
          <w:sz w:val="28"/>
          <w:szCs w:val="28"/>
        </w:rPr>
        <w:t>NEQ and capacity calculation spreadsheets</w:t>
      </w:r>
      <w:r w:rsidRPr="00143358">
        <w:rPr>
          <w:b/>
          <w:bCs/>
          <w:color w:val="auto"/>
          <w:sz w:val="28"/>
          <w:szCs w:val="28"/>
        </w:rPr>
        <w:t>.</w:t>
      </w:r>
      <w:bookmarkEnd w:id="39"/>
    </w:p>
    <w:p w14:paraId="2B859309" w14:textId="77777777" w:rsidR="00903F88" w:rsidRPr="00143358" w:rsidRDefault="00903F88" w:rsidP="00903F88"/>
    <w:p w14:paraId="4F0A96DE" w14:textId="6FD8B780" w:rsidR="004F4F02" w:rsidRPr="00143358" w:rsidRDefault="0024786C" w:rsidP="00B41F43">
      <w:pPr>
        <w:pStyle w:val="Heading2"/>
        <w:rPr>
          <w:b/>
          <w:bCs/>
          <w:color w:val="auto"/>
          <w:sz w:val="28"/>
          <w:szCs w:val="28"/>
        </w:rPr>
      </w:pPr>
      <w:bookmarkStart w:id="40" w:name="_Toc216382927"/>
      <w:r w:rsidRPr="00143358">
        <w:rPr>
          <w:b/>
          <w:bCs/>
          <w:color w:val="auto"/>
          <w:sz w:val="28"/>
          <w:szCs w:val="28"/>
        </w:rPr>
        <w:t xml:space="preserve">Appendix C </w:t>
      </w:r>
      <w:proofErr w:type="gramStart"/>
      <w:r w:rsidR="00B249C5" w:rsidRPr="00143358">
        <w:rPr>
          <w:b/>
          <w:bCs/>
          <w:color w:val="auto"/>
          <w:sz w:val="28"/>
          <w:szCs w:val="28"/>
        </w:rPr>
        <w:t xml:space="preserve">–  </w:t>
      </w:r>
      <w:r w:rsidRPr="00143358">
        <w:rPr>
          <w:b/>
          <w:bCs/>
          <w:color w:val="auto"/>
          <w:sz w:val="28"/>
          <w:szCs w:val="28"/>
        </w:rPr>
        <w:t>Safety</w:t>
      </w:r>
      <w:proofErr w:type="gramEnd"/>
      <w:r w:rsidRPr="00143358">
        <w:rPr>
          <w:b/>
          <w:bCs/>
          <w:color w:val="auto"/>
          <w:sz w:val="28"/>
          <w:szCs w:val="28"/>
        </w:rPr>
        <w:t xml:space="preserve"> &amp; risk-reduction questions for </w:t>
      </w:r>
      <w:proofErr w:type="spellStart"/>
      <w:r w:rsidRPr="00143358">
        <w:rPr>
          <w:b/>
          <w:bCs/>
          <w:color w:val="auto"/>
          <w:sz w:val="28"/>
          <w:szCs w:val="28"/>
        </w:rPr>
        <w:t>BigBang</w:t>
      </w:r>
      <w:proofErr w:type="spellEnd"/>
      <w:r w:rsidRPr="00143358">
        <w:rPr>
          <w:b/>
          <w:bCs/>
          <w:color w:val="auto"/>
          <w:sz w:val="28"/>
          <w:szCs w:val="28"/>
        </w:rPr>
        <w:t xml:space="preserve"> Storage Solutions</w:t>
      </w:r>
      <w:bookmarkEnd w:id="40"/>
      <w:r w:rsidRPr="00143358">
        <w:rPr>
          <w:b/>
          <w:bCs/>
          <w:color w:val="auto"/>
          <w:sz w:val="28"/>
          <w:szCs w:val="28"/>
        </w:rPr>
        <w:t xml:space="preserve"> </w:t>
      </w:r>
    </w:p>
    <w:p w14:paraId="7DB3513F" w14:textId="6B434E74" w:rsidR="004F4F02" w:rsidRPr="00143358" w:rsidRDefault="00903F88" w:rsidP="00B41F43">
      <w:pPr>
        <w:pStyle w:val="Heading3"/>
        <w:rPr>
          <w:b/>
          <w:bCs/>
          <w:color w:val="auto"/>
          <w:sz w:val="22"/>
          <w:szCs w:val="22"/>
        </w:rPr>
      </w:pPr>
      <w:bookmarkStart w:id="41" w:name="_Toc216382928"/>
      <w:r w:rsidRPr="00143358">
        <w:rPr>
          <w:b/>
          <w:bCs/>
          <w:color w:val="auto"/>
          <w:sz w:val="22"/>
          <w:szCs w:val="22"/>
        </w:rPr>
        <w:t xml:space="preserve">1. </w:t>
      </w:r>
      <w:r w:rsidR="004F4F02" w:rsidRPr="00143358">
        <w:rPr>
          <w:b/>
          <w:bCs/>
          <w:color w:val="auto"/>
          <w:sz w:val="22"/>
          <w:szCs w:val="22"/>
        </w:rPr>
        <w:t>Siting, NEQ and Vulnerable Populations</w:t>
      </w:r>
      <w:bookmarkEnd w:id="41"/>
    </w:p>
    <w:p w14:paraId="6CB48FB5" w14:textId="7B4C3B45" w:rsidR="004F4F02" w:rsidRPr="00143358" w:rsidRDefault="004F4F02" w:rsidP="004F4F02">
      <w:r w:rsidRPr="00143358">
        <w:t>HD 1.1 Storage Feasibility at the Proposed Location</w:t>
      </w:r>
      <w:r w:rsidRPr="00143358">
        <w:t xml:space="preserve"> - </w:t>
      </w:r>
      <w:r w:rsidRPr="00143358">
        <w:t>Given that QD analysis using IATG 02.20 indicates that residential properties, educational buildings, places of worship, retail premises and manufacturing facilities lie within the Inhabited Building Distance (IBD) for the proposed HD 1.1 NEQ</w:t>
      </w:r>
      <w:r w:rsidR="00000435">
        <w:t xml:space="preserve"> </w:t>
      </w:r>
      <w:sdt>
        <w:sdtPr>
          <w:id w:val="-515922204"/>
          <w:citation/>
        </w:sdtPr>
        <w:sdtContent>
          <w:r w:rsidR="00000435">
            <w:fldChar w:fldCharType="begin"/>
          </w:r>
          <w:r w:rsidR="00000435">
            <w:instrText xml:space="preserve"> CITATION Uni211 \l 2057 </w:instrText>
          </w:r>
          <w:r w:rsidR="00000435">
            <w:fldChar w:fldCharType="separate"/>
          </w:r>
          <w:r w:rsidR="00C3255F" w:rsidRPr="00C3255F">
            <w:rPr>
              <w:noProof/>
            </w:rPr>
            <w:t>[8]</w:t>
          </w:r>
          <w:r w:rsidR="00000435">
            <w:fldChar w:fldCharType="end"/>
          </w:r>
        </w:sdtContent>
      </w:sdt>
      <w:r w:rsidRPr="00143358">
        <w:t>,</w:t>
      </w:r>
      <w:r w:rsidR="00000435">
        <w:t xml:space="preserve"> </w:t>
      </w:r>
      <w:sdt>
        <w:sdtPr>
          <w:id w:val="-1896731920"/>
          <w:citation/>
        </w:sdtPr>
        <w:sdtContent>
          <w:r w:rsidR="00000435">
            <w:fldChar w:fldCharType="begin"/>
          </w:r>
          <w:r w:rsidR="00000435">
            <w:instrText xml:space="preserve"> CITATION Uni151 \l 2057 </w:instrText>
          </w:r>
          <w:r w:rsidR="00000435">
            <w:fldChar w:fldCharType="separate"/>
          </w:r>
          <w:r w:rsidR="00C3255F" w:rsidRPr="00C3255F">
            <w:rPr>
              <w:noProof/>
            </w:rPr>
            <w:t>[13]</w:t>
          </w:r>
          <w:r w:rsidR="00000435">
            <w:fldChar w:fldCharType="end"/>
          </w:r>
        </w:sdtContent>
      </w:sdt>
      <w:r w:rsidRPr="00143358">
        <w:t xml:space="preserve"> could you explain how you consider HD 1.1 materials to be permissible at this location, and whether you acknowledge that current IBD penetration may preclude HD 1.1 storage unless NEQ is reduced or the site configuration is changed?</w:t>
      </w:r>
    </w:p>
    <w:p w14:paraId="65F9F8A8" w14:textId="77777777" w:rsidR="004F4F02" w:rsidRPr="00143358" w:rsidRDefault="004F4F02" w:rsidP="004F4F02">
      <w:pPr>
        <w:rPr>
          <w:b/>
          <w:bCs/>
        </w:rPr>
      </w:pPr>
    </w:p>
    <w:p w14:paraId="41C52012" w14:textId="1AEF6A48" w:rsidR="004F4F02" w:rsidRPr="00143358" w:rsidRDefault="00903F88" w:rsidP="00B41F43">
      <w:pPr>
        <w:pStyle w:val="Heading3"/>
        <w:rPr>
          <w:b/>
          <w:bCs/>
          <w:color w:val="auto"/>
          <w:sz w:val="22"/>
          <w:szCs w:val="22"/>
        </w:rPr>
      </w:pPr>
      <w:bookmarkStart w:id="42" w:name="_Toc216382929"/>
      <w:r w:rsidRPr="00143358">
        <w:rPr>
          <w:b/>
          <w:bCs/>
          <w:color w:val="auto"/>
          <w:sz w:val="22"/>
          <w:szCs w:val="22"/>
        </w:rPr>
        <w:t xml:space="preserve">2. </w:t>
      </w:r>
      <w:r w:rsidR="004F4F02" w:rsidRPr="00143358">
        <w:rPr>
          <w:b/>
          <w:bCs/>
          <w:color w:val="auto"/>
          <w:sz w:val="22"/>
          <w:szCs w:val="22"/>
        </w:rPr>
        <w:t>RF and Electromagnetic Hazards</w:t>
      </w:r>
      <w:bookmarkEnd w:id="42"/>
    </w:p>
    <w:p w14:paraId="3F1BB1A9" w14:textId="27A53819" w:rsidR="004F4F02" w:rsidRPr="00143358" w:rsidRDefault="004F4F02" w:rsidP="004F4F02">
      <w:r w:rsidRPr="00143358">
        <w:t>Radio-Frequency (RF) and HERO Risk Controls</w:t>
      </w:r>
      <w:r w:rsidRPr="00143358">
        <w:t xml:space="preserve"> - </w:t>
      </w:r>
      <w:r w:rsidRPr="00143358">
        <w:t xml:space="preserve">Considering the presence of a telecommunications array approximately 1 km from the proposed facility, and the requirements of IATG 05.60 and HERO guidance regarding susceptibility of certain explosive items to electromagnetic radiation </w:t>
      </w:r>
      <w:sdt>
        <w:sdtPr>
          <w:id w:val="-221984814"/>
          <w:citation/>
        </w:sdtPr>
        <w:sdtContent>
          <w:r w:rsidR="00C73B37">
            <w:fldChar w:fldCharType="begin"/>
          </w:r>
          <w:r w:rsidR="00C73B37">
            <w:instrText xml:space="preserve"> CITATION Uni212 \l 2057 </w:instrText>
          </w:r>
          <w:r w:rsidR="00C73B37">
            <w:fldChar w:fldCharType="separate"/>
          </w:r>
          <w:r w:rsidR="00C3255F" w:rsidRPr="00C3255F">
            <w:rPr>
              <w:noProof/>
            </w:rPr>
            <w:t>[14]</w:t>
          </w:r>
          <w:r w:rsidR="00C73B37">
            <w:fldChar w:fldCharType="end"/>
          </w:r>
        </w:sdtContent>
      </w:sdt>
      <w:r w:rsidRPr="00143358">
        <w:t xml:space="preserve">, </w:t>
      </w:r>
      <w:sdt>
        <w:sdtPr>
          <w:id w:val="1488357392"/>
          <w:citation/>
        </w:sdtPr>
        <w:sdtContent>
          <w:r w:rsidR="00C73B37">
            <w:fldChar w:fldCharType="begin"/>
          </w:r>
          <w:r w:rsidR="00C73B37">
            <w:instrText xml:space="preserve"> CITATION UKD19 \l 2057 </w:instrText>
          </w:r>
          <w:r w:rsidR="00C73B37">
            <w:fldChar w:fldCharType="separate"/>
          </w:r>
          <w:r w:rsidR="00C3255F" w:rsidRPr="00C3255F">
            <w:rPr>
              <w:noProof/>
            </w:rPr>
            <w:t>[15]</w:t>
          </w:r>
          <w:r w:rsidR="00C73B37">
            <w:fldChar w:fldCharType="end"/>
          </w:r>
        </w:sdtContent>
      </w:sdt>
      <w:r w:rsidRPr="00143358">
        <w:t>,</w:t>
      </w:r>
      <w:r w:rsidRPr="00143358">
        <w:t xml:space="preserve"> </w:t>
      </w:r>
      <w:r w:rsidRPr="00143358">
        <w:t>what assessment have you undertaken of RF/HERO risks, and what control measures do you plan to implement to ensure compliance with IATG 05.60?</w:t>
      </w:r>
    </w:p>
    <w:p w14:paraId="247B7BF5" w14:textId="77777777" w:rsidR="004F4F02" w:rsidRPr="00143358" w:rsidRDefault="004F4F02" w:rsidP="004F4F02"/>
    <w:p w14:paraId="304F3E7F" w14:textId="78A9A0E3" w:rsidR="004F4F02" w:rsidRPr="00143358" w:rsidRDefault="00903F88" w:rsidP="00B41F43">
      <w:pPr>
        <w:pStyle w:val="Heading3"/>
        <w:rPr>
          <w:b/>
          <w:bCs/>
          <w:color w:val="auto"/>
          <w:sz w:val="22"/>
          <w:szCs w:val="22"/>
        </w:rPr>
      </w:pPr>
      <w:bookmarkStart w:id="43" w:name="_Toc216382930"/>
      <w:r w:rsidRPr="00143358">
        <w:rPr>
          <w:b/>
          <w:bCs/>
          <w:color w:val="auto"/>
          <w:sz w:val="22"/>
          <w:szCs w:val="22"/>
        </w:rPr>
        <w:t xml:space="preserve">3. </w:t>
      </w:r>
      <w:r w:rsidR="004F4F02" w:rsidRPr="00143358">
        <w:rPr>
          <w:b/>
          <w:bCs/>
          <w:color w:val="auto"/>
          <w:sz w:val="22"/>
          <w:szCs w:val="22"/>
        </w:rPr>
        <w:t>Marine Interface and Mooring Zone</w:t>
      </w:r>
      <w:bookmarkEnd w:id="43"/>
    </w:p>
    <w:p w14:paraId="236B1146" w14:textId="4F38E99C" w:rsidR="004F4F02" w:rsidRPr="00143358" w:rsidRDefault="004F4F02" w:rsidP="004F4F02">
      <w:r w:rsidRPr="00143358">
        <w:t>Interaction with Ship Mooring Operations</w:t>
      </w:r>
      <w:r w:rsidRPr="00143358">
        <w:t xml:space="preserve"> - </w:t>
      </w:r>
      <w:r w:rsidRPr="00143358">
        <w:t xml:space="preserve">Since vessels in adjacent mooring areas may be considered exposed sites under IATG 02.20 and 08.10 </w:t>
      </w:r>
      <w:sdt>
        <w:sdtPr>
          <w:id w:val="-622459915"/>
          <w:citation/>
        </w:sdtPr>
        <w:sdtContent>
          <w:r w:rsidR="00C73B37">
            <w:fldChar w:fldCharType="begin"/>
          </w:r>
          <w:r w:rsidR="00C73B37">
            <w:instrText xml:space="preserve"> CITATION Uni211 \l 2057 </w:instrText>
          </w:r>
          <w:r w:rsidR="00C73B37">
            <w:fldChar w:fldCharType="separate"/>
          </w:r>
          <w:r w:rsidR="00C3255F" w:rsidRPr="00C3255F">
            <w:rPr>
              <w:noProof/>
            </w:rPr>
            <w:t>[8]</w:t>
          </w:r>
          <w:r w:rsidR="00C73B37">
            <w:fldChar w:fldCharType="end"/>
          </w:r>
        </w:sdtContent>
      </w:sdt>
      <w:r w:rsidRPr="00143358">
        <w:t xml:space="preserve">, </w:t>
      </w:r>
      <w:sdt>
        <w:sdtPr>
          <w:id w:val="1318764570"/>
          <w:citation/>
        </w:sdtPr>
        <w:sdtContent>
          <w:r w:rsidR="00C73B37">
            <w:fldChar w:fldCharType="begin"/>
          </w:r>
          <w:r w:rsidR="00C73B37">
            <w:instrText xml:space="preserve"> CITATION Uni11 \l 2057 </w:instrText>
          </w:r>
          <w:r w:rsidR="00C73B37">
            <w:fldChar w:fldCharType="separate"/>
          </w:r>
          <w:r w:rsidR="00C3255F" w:rsidRPr="00C3255F">
            <w:rPr>
              <w:noProof/>
            </w:rPr>
            <w:t>[16]</w:t>
          </w:r>
          <w:r w:rsidR="00C73B37">
            <w:fldChar w:fldCharType="end"/>
          </w:r>
        </w:sdtContent>
      </w:sdt>
      <w:r w:rsidRPr="00143358">
        <w:t>,</w:t>
      </w:r>
      <w:r w:rsidRPr="00143358">
        <w:t xml:space="preserve"> </w:t>
      </w:r>
      <w:r w:rsidRPr="00143358">
        <w:t>how do you intend to maintain situational awareness of vessel movements, and what communication arrangements will you put in place with harbour operators to ensure that storage limits or operational activity can be adjusted whenever third-party vessels enter relevant QD arcs?</w:t>
      </w:r>
    </w:p>
    <w:p w14:paraId="5D82658C" w14:textId="77777777" w:rsidR="004F4F02" w:rsidRPr="00143358" w:rsidRDefault="004F4F02" w:rsidP="004F4F02"/>
    <w:p w14:paraId="6E7E91C2" w14:textId="20B27091" w:rsidR="004F4F02" w:rsidRPr="00143358" w:rsidRDefault="00903F88" w:rsidP="00B41F43">
      <w:pPr>
        <w:pStyle w:val="Heading3"/>
        <w:rPr>
          <w:b/>
          <w:bCs/>
          <w:color w:val="auto"/>
          <w:sz w:val="22"/>
          <w:szCs w:val="22"/>
        </w:rPr>
      </w:pPr>
      <w:bookmarkStart w:id="44" w:name="_Toc216382931"/>
      <w:r w:rsidRPr="00143358">
        <w:rPr>
          <w:b/>
          <w:bCs/>
          <w:color w:val="auto"/>
          <w:sz w:val="22"/>
          <w:szCs w:val="22"/>
        </w:rPr>
        <w:t xml:space="preserve">4. </w:t>
      </w:r>
      <w:r w:rsidR="004F4F02" w:rsidRPr="00143358">
        <w:rPr>
          <w:b/>
          <w:bCs/>
          <w:color w:val="auto"/>
          <w:sz w:val="22"/>
          <w:szCs w:val="22"/>
        </w:rPr>
        <w:t>Storage Configuration and Stacking Limits</w:t>
      </w:r>
      <w:bookmarkEnd w:id="44"/>
    </w:p>
    <w:p w14:paraId="2EB85723" w14:textId="133D61B3" w:rsidR="004F4F02" w:rsidRPr="00143358" w:rsidRDefault="004F4F02" w:rsidP="004F4F02">
      <w:r w:rsidRPr="00143358">
        <w:t>Stacking of Munitions Within the ESHs</w:t>
      </w:r>
      <w:r w:rsidRPr="00143358">
        <w:t xml:space="preserve"> - </w:t>
      </w:r>
      <w:r w:rsidRPr="00143358">
        <w:t xml:space="preserve">IATG 06.20 and 03.10 place specific limits on stacking heights, pallet formations and clearances for ammunition storage </w:t>
      </w:r>
      <w:sdt>
        <w:sdtPr>
          <w:id w:val="-1811085112"/>
          <w:citation/>
        </w:sdtPr>
        <w:sdtContent>
          <w:r w:rsidR="00C73B37">
            <w:fldChar w:fldCharType="begin"/>
          </w:r>
          <w:r w:rsidR="00C73B37">
            <w:instrText xml:space="preserve"> CITATION Uni213 \l 2057 </w:instrText>
          </w:r>
          <w:r w:rsidR="00C73B37">
            <w:fldChar w:fldCharType="separate"/>
          </w:r>
          <w:r w:rsidR="00C3255F" w:rsidRPr="00C3255F">
            <w:rPr>
              <w:noProof/>
            </w:rPr>
            <w:t>[17]</w:t>
          </w:r>
          <w:r w:rsidR="00C73B37">
            <w:fldChar w:fldCharType="end"/>
          </w:r>
        </w:sdtContent>
      </w:sdt>
      <w:r w:rsidRPr="00143358">
        <w:t xml:space="preserve">, </w:t>
      </w:r>
      <w:sdt>
        <w:sdtPr>
          <w:id w:val="-1524466865"/>
          <w:citation/>
        </w:sdtPr>
        <w:sdtContent>
          <w:r w:rsidR="00C73B37">
            <w:fldChar w:fldCharType="begin"/>
          </w:r>
          <w:r w:rsidR="00C73B37">
            <w:instrText xml:space="preserve"> CITATION Uni214 \l 2057 </w:instrText>
          </w:r>
          <w:r w:rsidR="00C73B37">
            <w:fldChar w:fldCharType="separate"/>
          </w:r>
          <w:r w:rsidR="00C3255F" w:rsidRPr="00C3255F">
            <w:rPr>
              <w:noProof/>
            </w:rPr>
            <w:t>[18]</w:t>
          </w:r>
          <w:r w:rsidR="00C73B37">
            <w:fldChar w:fldCharType="end"/>
          </w:r>
        </w:sdtContent>
      </w:sdt>
      <w:r w:rsidRPr="00143358">
        <w:t xml:space="preserve">, </w:t>
      </w:r>
      <w:sdt>
        <w:sdtPr>
          <w:id w:val="1556274127"/>
          <w:citation/>
        </w:sdtPr>
        <w:sdtContent>
          <w:r w:rsidR="00C73B37">
            <w:fldChar w:fldCharType="begin"/>
          </w:r>
          <w:r w:rsidR="00C73B37">
            <w:instrText xml:space="preserve"> CITATION Gen15 \l 2057 </w:instrText>
          </w:r>
          <w:r w:rsidR="00C73B37">
            <w:fldChar w:fldCharType="separate"/>
          </w:r>
          <w:r w:rsidR="00C3255F" w:rsidRPr="00C3255F">
            <w:rPr>
              <w:noProof/>
            </w:rPr>
            <w:t>[19]</w:t>
          </w:r>
          <w:r w:rsidR="00C73B37">
            <w:fldChar w:fldCharType="end"/>
          </w:r>
        </w:sdtContent>
      </w:sdt>
      <w:r w:rsidRPr="00143358">
        <w:t>.</w:t>
      </w:r>
      <w:r w:rsidRPr="00143358">
        <w:t xml:space="preserve"> </w:t>
      </w:r>
      <w:r w:rsidRPr="00143358">
        <w:t>Could you clarify the maximum stacking heights proposed for each munition nature, and explain how you will ensure compliance with manufacturer limits and IATG stacking rules, particularly where these constraints reduce the effective capacity of an ESH?</w:t>
      </w:r>
    </w:p>
    <w:p w14:paraId="70F393DC" w14:textId="77777777" w:rsidR="004F4F02" w:rsidRPr="00143358" w:rsidRDefault="004F4F02" w:rsidP="004F4F02"/>
    <w:p w14:paraId="4B7C4277" w14:textId="3C22F7F4" w:rsidR="004F4F02" w:rsidRPr="00143358" w:rsidRDefault="00903F88" w:rsidP="00B41F43">
      <w:pPr>
        <w:pStyle w:val="Heading3"/>
        <w:rPr>
          <w:b/>
          <w:bCs/>
          <w:color w:val="auto"/>
          <w:sz w:val="22"/>
          <w:szCs w:val="22"/>
        </w:rPr>
      </w:pPr>
      <w:bookmarkStart w:id="45" w:name="_Toc216382932"/>
      <w:r w:rsidRPr="00143358">
        <w:rPr>
          <w:b/>
          <w:bCs/>
          <w:color w:val="auto"/>
          <w:sz w:val="22"/>
          <w:szCs w:val="22"/>
        </w:rPr>
        <w:t xml:space="preserve">5. </w:t>
      </w:r>
      <w:r w:rsidR="004F4F02" w:rsidRPr="00143358">
        <w:rPr>
          <w:b/>
          <w:bCs/>
          <w:color w:val="auto"/>
          <w:sz w:val="22"/>
          <w:szCs w:val="22"/>
        </w:rPr>
        <w:t>Seawater Exposure and Corrosion</w:t>
      </w:r>
      <w:bookmarkEnd w:id="45"/>
    </w:p>
    <w:p w14:paraId="1CCA453B" w14:textId="281EF9D7" w:rsidR="004F4F02" w:rsidRPr="00143358" w:rsidRDefault="004F4F02" w:rsidP="004F4F02">
      <w:r w:rsidRPr="00143358">
        <w:t>Prevention of Seawater and Marine Corrosion Hazards</w:t>
      </w:r>
      <w:r w:rsidRPr="00143358">
        <w:t xml:space="preserve"> - </w:t>
      </w:r>
      <w:r w:rsidRPr="00143358">
        <w:t>Given the recognised impacts of seawater on explosive substances and munition casings</w:t>
      </w:r>
      <w:r w:rsidRPr="00143358">
        <w:t xml:space="preserve">, </w:t>
      </w:r>
      <w:r w:rsidRPr="00143358">
        <w:t xml:space="preserve">including sensitivity changes, stability issues, and advanced corrosion </w:t>
      </w:r>
      <w:sdt>
        <w:sdtPr>
          <w:id w:val="-1771534762"/>
          <w:citation/>
        </w:sdtPr>
        <w:sdtContent>
          <w:r w:rsidR="00C73B37">
            <w:fldChar w:fldCharType="begin"/>
          </w:r>
          <w:r w:rsidR="00C73B37">
            <w:instrText xml:space="preserve"> CITATION Bec18 \l 2057 </w:instrText>
          </w:r>
          <w:r w:rsidR="00C73B37">
            <w:fldChar w:fldCharType="separate"/>
          </w:r>
          <w:r w:rsidR="00C3255F" w:rsidRPr="00C3255F">
            <w:rPr>
              <w:noProof/>
            </w:rPr>
            <w:t>[20]</w:t>
          </w:r>
          <w:r w:rsidR="00C73B37">
            <w:fldChar w:fldCharType="end"/>
          </w:r>
        </w:sdtContent>
      </w:sdt>
      <w:r w:rsidRPr="00143358">
        <w:t xml:space="preserve">, </w:t>
      </w:r>
      <w:sdt>
        <w:sdtPr>
          <w:id w:val="-1406133529"/>
          <w:citation/>
        </w:sdtPr>
        <w:sdtContent>
          <w:r w:rsidR="00C73B37">
            <w:fldChar w:fldCharType="begin"/>
          </w:r>
          <w:r w:rsidR="00C73B37">
            <w:instrText xml:space="preserve"> CITATION MDP20 \l 2057 </w:instrText>
          </w:r>
          <w:r w:rsidR="00C73B37">
            <w:fldChar w:fldCharType="separate"/>
          </w:r>
          <w:r w:rsidR="00C3255F" w:rsidRPr="00C3255F">
            <w:rPr>
              <w:noProof/>
            </w:rPr>
            <w:t>[21]</w:t>
          </w:r>
          <w:r w:rsidR="00C73B37">
            <w:fldChar w:fldCharType="end"/>
          </w:r>
        </w:sdtContent>
      </w:sdt>
      <w:r w:rsidR="00C73B37">
        <w:t>,</w:t>
      </w:r>
      <w:r w:rsidRPr="00143358">
        <w:t xml:space="preserve"> </w:t>
      </w:r>
      <w:r w:rsidRPr="00143358">
        <w:t xml:space="preserve">what engineering, environmental and procedural safeguards will you </w:t>
      </w:r>
      <w:r w:rsidRPr="00143358">
        <w:t xml:space="preserve">plan to </w:t>
      </w:r>
      <w:r w:rsidRPr="00143358">
        <w:t>implement to prevent seawater ingress, manage humidity, and mitigate corrosion risks affecting both the munitions and the storage infrastructure?</w:t>
      </w:r>
    </w:p>
    <w:p w14:paraId="16CEA4C1" w14:textId="77777777" w:rsidR="004F4F02" w:rsidRPr="00143358" w:rsidRDefault="004F4F02" w:rsidP="004F4F02"/>
    <w:p w14:paraId="10933C0F" w14:textId="5459E408" w:rsidR="004F4F02" w:rsidRPr="00143358" w:rsidRDefault="00903F88" w:rsidP="00B41F43">
      <w:pPr>
        <w:pStyle w:val="Heading3"/>
        <w:rPr>
          <w:b/>
          <w:bCs/>
          <w:color w:val="auto"/>
          <w:sz w:val="22"/>
          <w:szCs w:val="22"/>
        </w:rPr>
      </w:pPr>
      <w:bookmarkStart w:id="46" w:name="_Toc216382933"/>
      <w:r w:rsidRPr="00143358">
        <w:rPr>
          <w:b/>
          <w:bCs/>
          <w:color w:val="auto"/>
          <w:sz w:val="22"/>
          <w:szCs w:val="22"/>
        </w:rPr>
        <w:t xml:space="preserve">6. </w:t>
      </w:r>
      <w:r w:rsidR="004F4F02" w:rsidRPr="00143358">
        <w:rPr>
          <w:b/>
          <w:bCs/>
          <w:color w:val="auto"/>
          <w:sz w:val="22"/>
          <w:szCs w:val="22"/>
        </w:rPr>
        <w:t>Transport, Traffic and Public Safety</w:t>
      </w:r>
      <w:bookmarkEnd w:id="46"/>
    </w:p>
    <w:p w14:paraId="35A7FE6A" w14:textId="6E26DC7F" w:rsidR="004F4F02" w:rsidRPr="00143358" w:rsidRDefault="004F4F02" w:rsidP="004F4F02">
      <w:r w:rsidRPr="00143358">
        <w:t>Explosive Transport Through High-Traffic Areas in Swansea</w:t>
      </w:r>
      <w:r w:rsidRPr="00143358">
        <w:t xml:space="preserve"> - </w:t>
      </w:r>
      <w:r w:rsidRPr="00143358">
        <w:t xml:space="preserve">Considering Swansea’s high urban traffic volumes and the recognised public-safety challenges associated with road transport of hazardous goods </w:t>
      </w:r>
      <w:sdt>
        <w:sdtPr>
          <w:id w:val="1966549707"/>
          <w:citation/>
        </w:sdtPr>
        <w:sdtContent>
          <w:r w:rsidR="00C73B37">
            <w:fldChar w:fldCharType="begin"/>
          </w:r>
          <w:r w:rsidR="00C73B37">
            <w:instrText xml:space="preserve"> CITATION Dav98 \l 2057 </w:instrText>
          </w:r>
          <w:r w:rsidR="00C73B37">
            <w:fldChar w:fldCharType="separate"/>
          </w:r>
          <w:r w:rsidR="00C3255F" w:rsidRPr="00C3255F">
            <w:rPr>
              <w:noProof/>
            </w:rPr>
            <w:t>[22]</w:t>
          </w:r>
          <w:r w:rsidR="00C73B37">
            <w:fldChar w:fldCharType="end"/>
          </w:r>
        </w:sdtContent>
      </w:sdt>
      <w:r w:rsidR="007208A9">
        <w:t xml:space="preserve">, </w:t>
      </w:r>
      <w:sdt>
        <w:sdtPr>
          <w:id w:val="-1506438690"/>
          <w:citation/>
        </w:sdtPr>
        <w:sdtContent>
          <w:r w:rsidR="007208A9">
            <w:fldChar w:fldCharType="begin"/>
          </w:r>
          <w:r w:rsidR="007208A9">
            <w:instrText xml:space="preserve"> CITATION Fab05 \l 2057 </w:instrText>
          </w:r>
          <w:r w:rsidR="007208A9">
            <w:fldChar w:fldCharType="separate"/>
          </w:r>
          <w:r w:rsidR="00C3255F" w:rsidRPr="00C3255F">
            <w:rPr>
              <w:noProof/>
            </w:rPr>
            <w:t>[23]</w:t>
          </w:r>
          <w:r w:rsidR="007208A9">
            <w:fldChar w:fldCharType="end"/>
          </w:r>
        </w:sdtContent>
      </w:sdt>
      <w:r w:rsidR="007208A9">
        <w:t xml:space="preserve">, </w:t>
      </w:r>
      <w:sdt>
        <w:sdtPr>
          <w:id w:val="-1404061241"/>
          <w:citation/>
        </w:sdtPr>
        <w:sdtContent>
          <w:r w:rsidR="007208A9">
            <w:fldChar w:fldCharType="begin"/>
          </w:r>
          <w:r w:rsidR="007208A9">
            <w:instrText xml:space="preserve"> CITATION UKH15 \l 2057 </w:instrText>
          </w:r>
          <w:r w:rsidR="007208A9">
            <w:fldChar w:fldCharType="separate"/>
          </w:r>
          <w:r w:rsidR="00C3255F" w:rsidRPr="00C3255F">
            <w:rPr>
              <w:noProof/>
            </w:rPr>
            <w:t>[24]</w:t>
          </w:r>
          <w:r w:rsidR="007208A9">
            <w:fldChar w:fldCharType="end"/>
          </w:r>
        </w:sdtContent>
      </w:sdt>
      <w:r w:rsidRPr="00143358">
        <w:t>,</w:t>
      </w:r>
      <w:r w:rsidRPr="00143358">
        <w:t xml:space="preserve"> </w:t>
      </w:r>
      <w:r w:rsidRPr="00143358">
        <w:t>what transport routes, scheduling measures, escort arrangements and Safe Systems of Work do you propose to minimise public exposure and ensure compliance with IATG 08.10 during movements of explosives to and from the site?</w:t>
      </w:r>
    </w:p>
    <w:p w14:paraId="08D7F803" w14:textId="77777777" w:rsidR="004F4F02" w:rsidRPr="00143358" w:rsidRDefault="004F4F02" w:rsidP="004F4F02"/>
    <w:p w14:paraId="605233D9" w14:textId="0EB2A974" w:rsidR="004F4F02" w:rsidRPr="00143358" w:rsidRDefault="00903F88" w:rsidP="00B41F43">
      <w:pPr>
        <w:pStyle w:val="Heading3"/>
        <w:rPr>
          <w:b/>
          <w:bCs/>
          <w:color w:val="auto"/>
          <w:sz w:val="22"/>
          <w:szCs w:val="22"/>
        </w:rPr>
      </w:pPr>
      <w:bookmarkStart w:id="47" w:name="_Toc216382934"/>
      <w:r w:rsidRPr="00143358">
        <w:rPr>
          <w:b/>
          <w:bCs/>
          <w:color w:val="auto"/>
          <w:sz w:val="22"/>
          <w:szCs w:val="22"/>
        </w:rPr>
        <w:t xml:space="preserve">7. </w:t>
      </w:r>
      <w:r w:rsidR="004F4F02" w:rsidRPr="00143358">
        <w:rPr>
          <w:b/>
          <w:bCs/>
          <w:color w:val="auto"/>
          <w:sz w:val="22"/>
          <w:szCs w:val="22"/>
        </w:rPr>
        <w:t>Processing Facilities and Life-Cycle Assurance</w:t>
      </w:r>
      <w:bookmarkEnd w:id="47"/>
    </w:p>
    <w:p w14:paraId="596D6C4F" w14:textId="08464C84" w:rsidR="004F4F02" w:rsidRPr="00143358" w:rsidRDefault="004F4F02" w:rsidP="004F4F02">
      <w:r w:rsidRPr="00143358">
        <w:t xml:space="preserve">Since IATG 05.20, 07.10 and 07.30 require that processing activities (inspection, conditioning, repair, life-cycle assessment) be conducted in a dedicated APB rather than in storage facilities </w:t>
      </w:r>
      <w:sdt>
        <w:sdtPr>
          <w:id w:val="982887292"/>
          <w:citation/>
        </w:sdtPr>
        <w:sdtContent>
          <w:r w:rsidR="007208A9">
            <w:fldChar w:fldCharType="begin"/>
          </w:r>
          <w:r w:rsidR="007208A9">
            <w:instrText xml:space="preserve"> CITATION Uni15 \l 2057 </w:instrText>
          </w:r>
          <w:r w:rsidR="007208A9">
            <w:fldChar w:fldCharType="separate"/>
          </w:r>
          <w:r w:rsidR="00C3255F" w:rsidRPr="00C3255F">
            <w:rPr>
              <w:noProof/>
            </w:rPr>
            <w:t>[9]</w:t>
          </w:r>
          <w:r w:rsidR="007208A9">
            <w:fldChar w:fldCharType="end"/>
          </w:r>
        </w:sdtContent>
      </w:sdt>
      <w:r w:rsidRPr="00143358">
        <w:t xml:space="preserve">, </w:t>
      </w:r>
      <w:sdt>
        <w:sdtPr>
          <w:id w:val="-153841374"/>
          <w:citation/>
        </w:sdtPr>
        <w:sdtContent>
          <w:r w:rsidR="007208A9">
            <w:fldChar w:fldCharType="begin"/>
          </w:r>
          <w:r w:rsidR="007208A9">
            <w:instrText xml:space="preserve"> CITATION Uni215 \l 2057 </w:instrText>
          </w:r>
          <w:r w:rsidR="007208A9">
            <w:fldChar w:fldCharType="separate"/>
          </w:r>
          <w:r w:rsidR="00C3255F" w:rsidRPr="00C3255F">
            <w:rPr>
              <w:noProof/>
            </w:rPr>
            <w:t>[25]</w:t>
          </w:r>
          <w:r w:rsidR="007208A9">
            <w:fldChar w:fldCharType="end"/>
          </w:r>
        </w:sdtContent>
      </w:sdt>
      <w:r w:rsidRPr="00143358">
        <w:t>,</w:t>
      </w:r>
      <w:r w:rsidRPr="00143358">
        <w:t xml:space="preserve"> </w:t>
      </w:r>
      <w:r w:rsidRPr="00143358">
        <w:t>how do you intend to conduct essential ammunition processing tasks for the munitions stored on site, and can you confirm whether a compliant APB will be added to the facility design or whether these activities will be undertaken off-site?</w:t>
      </w:r>
    </w:p>
    <w:p w14:paraId="6567C8CB" w14:textId="77777777" w:rsidR="004F4F02" w:rsidRPr="00143358" w:rsidRDefault="004F4F02" w:rsidP="004F4F02"/>
    <w:p w14:paraId="47FD0C3A" w14:textId="77777777" w:rsidR="00B41F43" w:rsidRPr="00143358" w:rsidRDefault="004F4F02" w:rsidP="00903F88">
      <w:pPr>
        <w:pStyle w:val="Heading3"/>
        <w:rPr>
          <w:color w:val="auto"/>
          <w:sz w:val="22"/>
          <w:szCs w:val="22"/>
        </w:rPr>
      </w:pPr>
      <w:bookmarkStart w:id="48" w:name="_Toc216382935"/>
      <w:r w:rsidRPr="00143358">
        <w:rPr>
          <w:b/>
          <w:bCs/>
          <w:color w:val="auto"/>
          <w:sz w:val="22"/>
          <w:szCs w:val="22"/>
        </w:rPr>
        <w:t xml:space="preserve">8. </w:t>
      </w:r>
      <w:r w:rsidRPr="00143358">
        <w:rPr>
          <w:b/>
          <w:bCs/>
          <w:color w:val="auto"/>
          <w:sz w:val="22"/>
          <w:szCs w:val="22"/>
        </w:rPr>
        <w:t>Administrative, Welfare and Security Support Buildings</w:t>
      </w:r>
      <w:bookmarkEnd w:id="48"/>
      <w:r w:rsidRPr="00143358">
        <w:rPr>
          <w:color w:val="auto"/>
          <w:sz w:val="22"/>
          <w:szCs w:val="22"/>
        </w:rPr>
        <w:t xml:space="preserve"> </w:t>
      </w:r>
    </w:p>
    <w:p w14:paraId="572BDF6E" w14:textId="5DC3C09B" w:rsidR="004F4F02" w:rsidRPr="00143358" w:rsidRDefault="004F4F02" w:rsidP="004F4F02">
      <w:r w:rsidRPr="00143358">
        <w:t>Office and Administrative Facilities Not Identified in Plans</w:t>
      </w:r>
      <w:r w:rsidRPr="00143358">
        <w:t xml:space="preserve"> - </w:t>
      </w:r>
      <w:r w:rsidRPr="00143358">
        <w:t xml:space="preserve">Given that IATG 06.10, 03.10 and 09.10 require administrative, control and security functions to support safe ammunition storage operations </w:t>
      </w:r>
      <w:sdt>
        <w:sdtPr>
          <w:id w:val="-101107147"/>
          <w:citation/>
        </w:sdtPr>
        <w:sdtContent>
          <w:r w:rsidR="007208A9">
            <w:fldChar w:fldCharType="begin"/>
          </w:r>
          <w:r w:rsidR="007208A9">
            <w:instrText xml:space="preserve"> CITATION Uni216 \l 2057 </w:instrText>
          </w:r>
          <w:r w:rsidR="007208A9">
            <w:fldChar w:fldCharType="separate"/>
          </w:r>
          <w:r w:rsidR="00C3255F" w:rsidRPr="00C3255F">
            <w:rPr>
              <w:noProof/>
            </w:rPr>
            <w:t>[26]</w:t>
          </w:r>
          <w:r w:rsidR="007208A9">
            <w:fldChar w:fldCharType="end"/>
          </w:r>
        </w:sdtContent>
      </w:sdt>
      <w:r w:rsidRPr="00143358">
        <w:t xml:space="preserve">, </w:t>
      </w:r>
      <w:sdt>
        <w:sdtPr>
          <w:id w:val="-1381470104"/>
          <w:citation/>
        </w:sdtPr>
        <w:sdtContent>
          <w:r w:rsidR="007208A9">
            <w:fldChar w:fldCharType="begin"/>
          </w:r>
          <w:r w:rsidR="007208A9">
            <w:instrText xml:space="preserve"> CITATION Uni214 \l 2057 </w:instrText>
          </w:r>
          <w:r w:rsidR="007208A9">
            <w:fldChar w:fldCharType="separate"/>
          </w:r>
          <w:r w:rsidR="00C3255F" w:rsidRPr="00C3255F">
            <w:rPr>
              <w:noProof/>
            </w:rPr>
            <w:t>[18]</w:t>
          </w:r>
          <w:r w:rsidR="007208A9">
            <w:fldChar w:fldCharType="end"/>
          </w:r>
        </w:sdtContent>
      </w:sdt>
      <w:r w:rsidR="007208A9">
        <w:t>,</w:t>
      </w:r>
      <w:r w:rsidRPr="00143358">
        <w:t xml:space="preserve"> </w:t>
      </w:r>
      <w:sdt>
        <w:sdtPr>
          <w:id w:val="1428995273"/>
          <w:citation/>
        </w:sdtPr>
        <w:sdtContent>
          <w:r w:rsidR="007208A9">
            <w:fldChar w:fldCharType="begin"/>
          </w:r>
          <w:r w:rsidR="007208A9">
            <w:instrText xml:space="preserve"> CITATION Bec18 \l 2057 </w:instrText>
          </w:r>
          <w:r w:rsidR="007208A9">
            <w:fldChar w:fldCharType="separate"/>
          </w:r>
          <w:r w:rsidR="00C3255F" w:rsidRPr="00C3255F">
            <w:rPr>
              <w:noProof/>
            </w:rPr>
            <w:t>[20]</w:t>
          </w:r>
          <w:r w:rsidR="007208A9">
            <w:fldChar w:fldCharType="end"/>
          </w:r>
        </w:sdtContent>
      </w:sdt>
      <w:r w:rsidRPr="00143358">
        <w:t>,</w:t>
      </w:r>
      <w:r w:rsidRPr="00143358">
        <w:t xml:space="preserve"> </w:t>
      </w:r>
      <w:r w:rsidRPr="00143358">
        <w:t>where do you intend to locate office, control, welfare and security administration functions, and do you plan to construct a dedicated building outside all relevant QD arcs?</w:t>
      </w:r>
    </w:p>
    <w:p w14:paraId="492764F0" w14:textId="77777777" w:rsidR="004F4F02" w:rsidRPr="00143358" w:rsidRDefault="004F4F02" w:rsidP="004F4F02"/>
    <w:p w14:paraId="5EDC6BF9" w14:textId="77777777" w:rsidR="00903F88" w:rsidRPr="00143358" w:rsidRDefault="004F4F02" w:rsidP="00903F88">
      <w:pPr>
        <w:pStyle w:val="Heading3"/>
        <w:rPr>
          <w:b/>
          <w:bCs/>
          <w:color w:val="auto"/>
          <w:sz w:val="22"/>
          <w:szCs w:val="22"/>
        </w:rPr>
      </w:pPr>
      <w:bookmarkStart w:id="49" w:name="_Toc216382936"/>
      <w:r w:rsidRPr="00143358">
        <w:rPr>
          <w:b/>
          <w:bCs/>
          <w:color w:val="auto"/>
          <w:sz w:val="22"/>
          <w:szCs w:val="22"/>
        </w:rPr>
        <w:t>9.</w:t>
      </w:r>
      <w:r w:rsidRPr="00143358">
        <w:rPr>
          <w:color w:val="auto"/>
          <w:sz w:val="22"/>
          <w:szCs w:val="22"/>
        </w:rPr>
        <w:t xml:space="preserve"> </w:t>
      </w:r>
      <w:r w:rsidRPr="00143358">
        <w:rPr>
          <w:b/>
          <w:bCs/>
          <w:color w:val="auto"/>
          <w:sz w:val="22"/>
          <w:szCs w:val="22"/>
        </w:rPr>
        <w:t>Security Measures in a High-Crime Urban Area</w:t>
      </w:r>
      <w:bookmarkEnd w:id="49"/>
      <w:r w:rsidRPr="00143358">
        <w:rPr>
          <w:b/>
          <w:bCs/>
          <w:color w:val="auto"/>
          <w:sz w:val="22"/>
          <w:szCs w:val="22"/>
        </w:rPr>
        <w:t xml:space="preserve"> </w:t>
      </w:r>
    </w:p>
    <w:p w14:paraId="350C0DA2" w14:textId="31EBAECD" w:rsidR="004F4F02" w:rsidRPr="00143358" w:rsidRDefault="004F4F02" w:rsidP="004F4F02">
      <w:r w:rsidRPr="00143358">
        <w:t>With Swansea’s crime profile higher than the regional average</w:t>
      </w:r>
      <w:r w:rsidR="007208A9">
        <w:t xml:space="preserve"> </w:t>
      </w:r>
      <w:sdt>
        <w:sdtPr>
          <w:id w:val="1052580807"/>
          <w:citation/>
        </w:sdtPr>
        <w:sdtContent>
          <w:r w:rsidR="007208A9">
            <w:fldChar w:fldCharType="begin"/>
          </w:r>
          <w:r w:rsidR="007208A9">
            <w:instrText xml:space="preserve"> CITATION Cri25 \l 2057 </w:instrText>
          </w:r>
          <w:r w:rsidR="007208A9">
            <w:fldChar w:fldCharType="separate"/>
          </w:r>
          <w:r w:rsidR="00C3255F" w:rsidRPr="00C3255F">
            <w:rPr>
              <w:noProof/>
            </w:rPr>
            <w:t>[27]</w:t>
          </w:r>
          <w:r w:rsidR="007208A9">
            <w:fldChar w:fldCharType="end"/>
          </w:r>
        </w:sdtContent>
      </w:sdt>
      <w:r w:rsidRPr="00143358">
        <w:t>, and considering that some ammunition types may be classified as ACTO (Attractive to Criminal or Terrorist Organisations) requiring enhanced protective measures</w:t>
      </w:r>
      <w:r w:rsidR="007208A9">
        <w:t xml:space="preserve"> </w:t>
      </w:r>
      <w:sdt>
        <w:sdtPr>
          <w:id w:val="2065522427"/>
          <w:citation/>
        </w:sdtPr>
        <w:sdtContent>
          <w:r w:rsidR="007208A9">
            <w:fldChar w:fldCharType="begin"/>
          </w:r>
          <w:r w:rsidR="007208A9">
            <w:instrText xml:space="preserve"> CITATION Uni217 \l 2057 </w:instrText>
          </w:r>
          <w:r w:rsidR="007208A9">
            <w:fldChar w:fldCharType="separate"/>
          </w:r>
          <w:r w:rsidR="00C3255F" w:rsidRPr="00C3255F">
            <w:rPr>
              <w:noProof/>
            </w:rPr>
            <w:t>[28]</w:t>
          </w:r>
          <w:r w:rsidR="007208A9">
            <w:fldChar w:fldCharType="end"/>
          </w:r>
        </w:sdtContent>
      </w:sdt>
      <w:r w:rsidRPr="00143358">
        <w:t xml:space="preserve"> what security measures—physical, procedural and personnel—are planned to prevent theft, diversion or interference with ACTO-classified items stored at the facility?</w:t>
      </w:r>
    </w:p>
    <w:p w14:paraId="2A73DD4A" w14:textId="77777777" w:rsidR="004F4F02" w:rsidRPr="00143358" w:rsidRDefault="004F4F02" w:rsidP="004F4F02"/>
    <w:p w14:paraId="7C4E5B3D" w14:textId="77777777" w:rsidR="00903F88" w:rsidRPr="00143358" w:rsidRDefault="004F4F02" w:rsidP="00903F88">
      <w:pPr>
        <w:pStyle w:val="Heading3"/>
        <w:rPr>
          <w:color w:val="auto"/>
          <w:sz w:val="22"/>
          <w:szCs w:val="22"/>
        </w:rPr>
      </w:pPr>
      <w:bookmarkStart w:id="50" w:name="_Toc216382937"/>
      <w:r w:rsidRPr="00143358">
        <w:rPr>
          <w:b/>
          <w:bCs/>
          <w:color w:val="auto"/>
          <w:sz w:val="22"/>
          <w:szCs w:val="22"/>
        </w:rPr>
        <w:t>10. Provision of Fire-Fighting Facilities</w:t>
      </w:r>
      <w:bookmarkEnd w:id="50"/>
      <w:r w:rsidRPr="00143358">
        <w:rPr>
          <w:b/>
          <w:bCs/>
          <w:color w:val="auto"/>
          <w:sz w:val="22"/>
          <w:szCs w:val="22"/>
        </w:rPr>
        <w:t xml:space="preserve"> </w:t>
      </w:r>
      <w:r w:rsidRPr="00143358">
        <w:rPr>
          <w:color w:val="auto"/>
          <w:sz w:val="22"/>
          <w:szCs w:val="22"/>
        </w:rPr>
        <w:t xml:space="preserve"> </w:t>
      </w:r>
    </w:p>
    <w:p w14:paraId="38F50561" w14:textId="64EF5D7F" w:rsidR="004F4F02" w:rsidRPr="00143358" w:rsidRDefault="004F4F02" w:rsidP="004F4F02">
      <w:r w:rsidRPr="00143358">
        <w:t xml:space="preserve">In light of IATG 02.50 and UK explosives-response guidance requiring accessible water supplies, hydrants, and fire-fighting routes for emergency services </w:t>
      </w:r>
      <w:sdt>
        <w:sdtPr>
          <w:id w:val="-1753966739"/>
          <w:citation/>
        </w:sdtPr>
        <w:sdtContent>
          <w:r w:rsidR="00EB7BE5">
            <w:fldChar w:fldCharType="begin"/>
          </w:r>
          <w:r w:rsidR="00EB7BE5">
            <w:instrText xml:space="preserve"> CITATION Uni218 \l 2057 </w:instrText>
          </w:r>
          <w:r w:rsidR="00EB7BE5">
            <w:fldChar w:fldCharType="separate"/>
          </w:r>
          <w:r w:rsidR="00C3255F" w:rsidRPr="00C3255F">
            <w:rPr>
              <w:noProof/>
            </w:rPr>
            <w:t>[29]</w:t>
          </w:r>
          <w:r w:rsidR="00EB7BE5">
            <w:fldChar w:fldCharType="end"/>
          </w:r>
        </w:sdtContent>
      </w:sdt>
      <w:r w:rsidR="00EB7BE5">
        <w:t xml:space="preserve">, </w:t>
      </w:r>
      <w:r w:rsidRPr="00143358">
        <w:t>how will you ensure adequate fire-fighting water capacity, hydrant placement, initial fire-fighting equipment and emergency-service access for all magazines and support areas?</w:t>
      </w:r>
    </w:p>
    <w:p w14:paraId="2ADC21F2" w14:textId="77777777" w:rsidR="004F4F02" w:rsidRPr="00143358" w:rsidRDefault="004F4F02" w:rsidP="004F4F02"/>
    <w:p w14:paraId="2D2083CD" w14:textId="77777777" w:rsidR="00903F88" w:rsidRPr="00143358" w:rsidRDefault="004F4F02" w:rsidP="00903F88">
      <w:pPr>
        <w:pStyle w:val="Heading3"/>
        <w:rPr>
          <w:b/>
          <w:bCs/>
          <w:color w:val="auto"/>
          <w:sz w:val="22"/>
          <w:szCs w:val="22"/>
        </w:rPr>
      </w:pPr>
      <w:bookmarkStart w:id="51" w:name="_Toc216382938"/>
      <w:r w:rsidRPr="00143358">
        <w:rPr>
          <w:b/>
          <w:bCs/>
          <w:color w:val="auto"/>
          <w:sz w:val="22"/>
          <w:szCs w:val="22"/>
        </w:rPr>
        <w:t>11. Heating Controls and Electrical Safety in ESHs</w:t>
      </w:r>
      <w:bookmarkEnd w:id="51"/>
    </w:p>
    <w:p w14:paraId="4A639C3C" w14:textId="3735F95C" w:rsidR="004F4F02" w:rsidRPr="00143358" w:rsidRDefault="004F4F02" w:rsidP="004F4F02">
      <w:r w:rsidRPr="00143358">
        <w:t>IATG 05.40,</w:t>
      </w:r>
      <w:r w:rsidR="00EB7BE5" w:rsidRPr="00143358">
        <w:t xml:space="preserve"> guidance</w:t>
      </w:r>
      <w:r w:rsidRPr="00143358">
        <w:t xml:space="preserve"> </w:t>
      </w:r>
      <w:proofErr w:type="gramStart"/>
      <w:r w:rsidRPr="00143358">
        <w:t>require</w:t>
      </w:r>
      <w:proofErr w:type="gramEnd"/>
      <w:r w:rsidRPr="00143358">
        <w:t xml:space="preserve"> strict control of heating, humidity and electrical equipment to avoid ignition hazards</w:t>
      </w:r>
      <w:r w:rsidR="00EB7BE5">
        <w:t xml:space="preserve"> </w:t>
      </w:r>
      <w:sdt>
        <w:sdtPr>
          <w:id w:val="-171494603"/>
          <w:citation/>
        </w:sdtPr>
        <w:sdtContent>
          <w:r w:rsidR="00C3255F">
            <w:fldChar w:fldCharType="begin"/>
          </w:r>
          <w:r w:rsidR="00C3255F">
            <w:instrText xml:space="preserve"> CITATION Uni2110 \l 2057 </w:instrText>
          </w:r>
          <w:r w:rsidR="00C3255F">
            <w:fldChar w:fldCharType="separate"/>
          </w:r>
          <w:r w:rsidR="00C3255F" w:rsidRPr="00C3255F">
            <w:rPr>
              <w:noProof/>
            </w:rPr>
            <w:t>[30]</w:t>
          </w:r>
          <w:r w:rsidR="00C3255F">
            <w:fldChar w:fldCharType="end"/>
          </w:r>
        </w:sdtContent>
      </w:sdt>
      <w:r w:rsidR="00EB7BE5">
        <w:t>.</w:t>
      </w:r>
      <w:r w:rsidRPr="00143358">
        <w:t xml:space="preserve"> </w:t>
      </w:r>
      <w:r w:rsidRPr="00143358">
        <w:t>What heating, ventilation and electrical-control systems do you propose for the ESHs, and how will you ensure they remain within approved environmental limits and hazardous-area classifications?</w:t>
      </w:r>
    </w:p>
    <w:p w14:paraId="6A6D98B0" w14:textId="77777777" w:rsidR="004F4F02" w:rsidRPr="00143358" w:rsidRDefault="004F4F02" w:rsidP="004F4F02"/>
    <w:p w14:paraId="197595AD" w14:textId="77777777" w:rsidR="00903F88" w:rsidRPr="00143358" w:rsidRDefault="004F4F02" w:rsidP="00903F88">
      <w:pPr>
        <w:pStyle w:val="Heading3"/>
        <w:rPr>
          <w:b/>
          <w:bCs/>
          <w:color w:val="auto"/>
          <w:sz w:val="22"/>
          <w:szCs w:val="22"/>
        </w:rPr>
      </w:pPr>
      <w:bookmarkStart w:id="52" w:name="_Toc216382939"/>
      <w:r w:rsidRPr="00143358">
        <w:rPr>
          <w:b/>
          <w:bCs/>
          <w:color w:val="auto"/>
          <w:sz w:val="22"/>
          <w:szCs w:val="22"/>
        </w:rPr>
        <w:t>12. Lightning Protection System (LPS) for Explosive Structures</w:t>
      </w:r>
      <w:bookmarkEnd w:id="52"/>
    </w:p>
    <w:p w14:paraId="5237A037" w14:textId="16F5B111" w:rsidR="0024786C" w:rsidRPr="00143358" w:rsidRDefault="004F4F02" w:rsidP="004F4F02">
      <w:pPr>
        <w:rPr>
          <w:b/>
          <w:bCs/>
        </w:rPr>
      </w:pPr>
      <w:r w:rsidRPr="00143358">
        <w:t>Given the requirement for lightning protection for explosives facilities under NFPA 780 and defence-sector lightning-safety guidance</w:t>
      </w:r>
      <w:r w:rsidR="00EB7BE5">
        <w:t xml:space="preserve"> </w:t>
      </w:r>
      <w:sdt>
        <w:sdtPr>
          <w:id w:val="275142539"/>
          <w:citation/>
        </w:sdtPr>
        <w:sdtContent>
          <w:r w:rsidR="00EB7BE5">
            <w:fldChar w:fldCharType="begin"/>
          </w:r>
          <w:r w:rsidR="00EB7BE5">
            <w:instrText xml:space="preserve"> CITATION Nat19 \l 2057 </w:instrText>
          </w:r>
          <w:r w:rsidR="00EB7BE5">
            <w:fldChar w:fldCharType="separate"/>
          </w:r>
          <w:r w:rsidR="00C3255F" w:rsidRPr="00C3255F">
            <w:rPr>
              <w:noProof/>
            </w:rPr>
            <w:t>[31]</w:t>
          </w:r>
          <w:r w:rsidR="00EB7BE5">
            <w:fldChar w:fldCharType="end"/>
          </w:r>
        </w:sdtContent>
      </w:sdt>
      <w:r w:rsidR="00EB7BE5">
        <w:t xml:space="preserve">, </w:t>
      </w:r>
      <w:sdt>
        <w:sdtPr>
          <w:id w:val="-2020083732"/>
          <w:citation/>
        </w:sdtPr>
        <w:sdtContent>
          <w:r w:rsidR="00EB7BE5">
            <w:fldChar w:fldCharType="begin"/>
          </w:r>
          <w:r w:rsidR="00EB7BE5">
            <w:instrText xml:space="preserve"> CITATION Hil111 \l 2057 </w:instrText>
          </w:r>
          <w:r w:rsidR="00EB7BE5">
            <w:fldChar w:fldCharType="separate"/>
          </w:r>
          <w:r w:rsidR="00C3255F" w:rsidRPr="00C3255F">
            <w:rPr>
              <w:noProof/>
            </w:rPr>
            <w:t>[32]</w:t>
          </w:r>
          <w:r w:rsidR="00EB7BE5">
            <w:fldChar w:fldCharType="end"/>
          </w:r>
        </w:sdtContent>
      </w:sdt>
      <w:r w:rsidR="00EB7BE5">
        <w:t xml:space="preserve">, </w:t>
      </w:r>
      <w:r w:rsidRPr="00143358">
        <w:t>what form of lightning-protection system will you implement for the ESHs and associated structures, and how will it be designed, tested and maintained over the life of the facility?</w:t>
      </w:r>
    </w:p>
    <w:p w14:paraId="0952E5A3" w14:textId="77777777" w:rsidR="00B974AB" w:rsidRPr="00143358" w:rsidRDefault="00B974AB" w:rsidP="00B842E1"/>
    <w:p w14:paraId="7D771F69" w14:textId="77777777" w:rsidR="00903F88" w:rsidRPr="00143358" w:rsidRDefault="00903F88" w:rsidP="00B842E1"/>
    <w:p w14:paraId="4BB4E3E9" w14:textId="77777777" w:rsidR="00903F88" w:rsidRPr="00143358" w:rsidRDefault="00903F88" w:rsidP="00B842E1"/>
    <w:p w14:paraId="6B01034C" w14:textId="77777777" w:rsidR="00903F88" w:rsidRPr="00143358" w:rsidRDefault="00903F88" w:rsidP="00B842E1"/>
    <w:p w14:paraId="0D893FAE" w14:textId="77777777" w:rsidR="00903F88" w:rsidRPr="00143358" w:rsidRDefault="00903F88" w:rsidP="00B842E1"/>
    <w:p w14:paraId="30E35FB8" w14:textId="77777777" w:rsidR="00903F88" w:rsidRPr="00143358" w:rsidRDefault="00903F88" w:rsidP="00B842E1"/>
    <w:p w14:paraId="19617FEE" w14:textId="77777777" w:rsidR="00903F88" w:rsidRPr="00143358" w:rsidRDefault="00903F88" w:rsidP="00B842E1"/>
    <w:p w14:paraId="55168F62" w14:textId="77777777" w:rsidR="00903F88" w:rsidRPr="00143358" w:rsidRDefault="00903F88" w:rsidP="00B842E1"/>
    <w:p w14:paraId="30BDF83C" w14:textId="77777777" w:rsidR="00903F88" w:rsidRPr="00143358" w:rsidRDefault="00903F88" w:rsidP="00B842E1"/>
    <w:p w14:paraId="3AA60FC3" w14:textId="77777777" w:rsidR="00903F88" w:rsidRPr="00143358" w:rsidRDefault="00903F88" w:rsidP="00B842E1"/>
    <w:p w14:paraId="0D6DF9F3" w14:textId="77777777" w:rsidR="00903F88" w:rsidRPr="00143358" w:rsidRDefault="00903F88" w:rsidP="00B842E1"/>
    <w:p w14:paraId="03DD828B" w14:textId="02ED0100" w:rsidR="00903F88" w:rsidRPr="00143358" w:rsidRDefault="00903F88" w:rsidP="00903F88">
      <w:pPr>
        <w:pStyle w:val="Heading2"/>
        <w:rPr>
          <w:b/>
          <w:bCs/>
          <w:color w:val="auto"/>
          <w:sz w:val="28"/>
          <w:szCs w:val="28"/>
        </w:rPr>
      </w:pPr>
      <w:bookmarkStart w:id="53" w:name="_Toc216382940"/>
      <w:r w:rsidRPr="00143358">
        <w:rPr>
          <w:b/>
          <w:bCs/>
          <w:color w:val="auto"/>
          <w:sz w:val="28"/>
          <w:szCs w:val="28"/>
        </w:rPr>
        <w:lastRenderedPageBreak/>
        <w:t xml:space="preserve">Appendix </w:t>
      </w:r>
      <w:r w:rsidRPr="00143358">
        <w:rPr>
          <w:b/>
          <w:bCs/>
          <w:color w:val="auto"/>
          <w:sz w:val="28"/>
          <w:szCs w:val="28"/>
        </w:rPr>
        <w:t>D</w:t>
      </w:r>
      <w:r w:rsidRPr="00143358">
        <w:rPr>
          <w:b/>
          <w:bCs/>
          <w:color w:val="auto"/>
          <w:sz w:val="28"/>
          <w:szCs w:val="28"/>
        </w:rPr>
        <w:t xml:space="preserve"> –proposed Explosive Limit License (ELL) based on the proximity of infrastructure and other building near to the proposed site.</w:t>
      </w:r>
      <w:bookmarkEnd w:id="53"/>
      <w:r w:rsidRPr="00143358">
        <w:rPr>
          <w:b/>
          <w:bCs/>
          <w:color w:val="auto"/>
          <w:sz w:val="28"/>
          <w:szCs w:val="28"/>
        </w:rPr>
        <w:t xml:space="preserve"> </w:t>
      </w:r>
    </w:p>
    <w:p w14:paraId="45C2BACF" w14:textId="77777777" w:rsidR="00043F90" w:rsidRPr="00143358" w:rsidRDefault="00043F90" w:rsidP="00903F88">
      <w:pPr>
        <w:jc w:val="center"/>
      </w:pPr>
      <w:r w:rsidRPr="00143358">
        <w:rPr>
          <w:noProof/>
        </w:rPr>
        <w:drawing>
          <wp:inline distT="0" distB="0" distL="0" distR="0" wp14:anchorId="20A22DA1" wp14:editId="3E6697A3">
            <wp:extent cx="5395418" cy="7635240"/>
            <wp:effectExtent l="0" t="0" r="0" b="3810"/>
            <wp:docPr id="689550163"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50163" name="Picture 2" descr="A close-up of a documen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642" cy="7642633"/>
                    </a:xfrm>
                    <a:prstGeom prst="rect">
                      <a:avLst/>
                    </a:prstGeom>
                  </pic:spPr>
                </pic:pic>
              </a:graphicData>
            </a:graphic>
          </wp:inline>
        </w:drawing>
      </w:r>
    </w:p>
    <w:p w14:paraId="5A85704A" w14:textId="77777777" w:rsidR="00043F90" w:rsidRPr="00143358" w:rsidRDefault="00043F90" w:rsidP="00043F90">
      <w:r w:rsidRPr="00143358">
        <w:t xml:space="preserve">Figure 1: The Explosive Limit License to be distributed between the 5 different Explosive Store Houses. </w:t>
      </w:r>
    </w:p>
    <w:p w14:paraId="4C319F99" w14:textId="77777777" w:rsidR="00043F90" w:rsidRPr="00143358" w:rsidRDefault="00043F90" w:rsidP="00903F88">
      <w:pPr>
        <w:jc w:val="center"/>
      </w:pPr>
      <w:r w:rsidRPr="00143358">
        <w:rPr>
          <w:noProof/>
        </w:rPr>
        <w:lastRenderedPageBreak/>
        <w:drawing>
          <wp:inline distT="0" distB="0" distL="0" distR="0" wp14:anchorId="5F3BB154" wp14:editId="100ECAB2">
            <wp:extent cx="5731510" cy="8110855"/>
            <wp:effectExtent l="0" t="0" r="2540" b="4445"/>
            <wp:docPr id="1062355416"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55416" name="Picture 3" descr="A close-up of a documen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6C48CD2" w14:textId="77777777" w:rsidR="00043F90" w:rsidRPr="00143358" w:rsidRDefault="00043F90" w:rsidP="00043F90">
      <w:r w:rsidRPr="00143358">
        <w:t xml:space="preserve">Figure 2: The Supplementary </w:t>
      </w:r>
      <w:proofErr w:type="gramStart"/>
      <w:r w:rsidRPr="00143358">
        <w:t>matrix  for</w:t>
      </w:r>
      <w:proofErr w:type="gramEnd"/>
      <w:r w:rsidRPr="00143358">
        <w:t xml:space="preserve"> ESH 1, QD distances were established based on the proximity of civilian population nearby. Therefore D15, and D17 apply to Vulnerable buildings, Inhabited Buildings and Public Routes of Transport respectively.  </w:t>
      </w:r>
    </w:p>
    <w:p w14:paraId="5D5B1EC4" w14:textId="77777777" w:rsidR="00043F90" w:rsidRPr="00143358" w:rsidRDefault="00043F90" w:rsidP="00043F90">
      <w:r w:rsidRPr="00143358">
        <w:rPr>
          <w:noProof/>
        </w:rPr>
        <w:lastRenderedPageBreak/>
        <w:drawing>
          <wp:inline distT="0" distB="0" distL="0" distR="0" wp14:anchorId="2282C6B6" wp14:editId="0E0E08DD">
            <wp:extent cx="5731510" cy="8110855"/>
            <wp:effectExtent l="0" t="0" r="2540" b="4445"/>
            <wp:docPr id="705926757"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926757" name="Picture 4" descr="A close-up of a documen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0BB8342D" w14:textId="77777777" w:rsidR="00043F90" w:rsidRPr="00143358" w:rsidRDefault="00043F90" w:rsidP="00043F90">
      <w:r w:rsidRPr="00143358">
        <w:t xml:space="preserve">Figure 3: The Supplementary </w:t>
      </w:r>
      <w:proofErr w:type="gramStart"/>
      <w:r w:rsidRPr="00143358">
        <w:t>matrix  for</w:t>
      </w:r>
      <w:proofErr w:type="gramEnd"/>
      <w:r w:rsidRPr="00143358">
        <w:t xml:space="preserve"> ESH 2, QD distances were established based on the proximity of civilian population nearby. Therefore D15, and D17 apply to Vulnerable buildings, Inhabited Buildings and Public Routes of Transport. </w:t>
      </w:r>
    </w:p>
    <w:p w14:paraId="34B65633" w14:textId="77777777" w:rsidR="00043F90" w:rsidRPr="00143358" w:rsidRDefault="00043F90" w:rsidP="00043F90">
      <w:r w:rsidRPr="00143358">
        <w:rPr>
          <w:noProof/>
        </w:rPr>
        <w:lastRenderedPageBreak/>
        <w:drawing>
          <wp:inline distT="0" distB="0" distL="0" distR="0" wp14:anchorId="4B76CA78" wp14:editId="274242AD">
            <wp:extent cx="5731510" cy="8110855"/>
            <wp:effectExtent l="0" t="0" r="2540" b="4445"/>
            <wp:docPr id="1232194428" name="Picture 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94428" name="Picture 5" descr="A close-up of a documen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215B0AD" w14:textId="77777777" w:rsidR="00043F90" w:rsidRPr="00143358" w:rsidRDefault="00043F90" w:rsidP="00043F90">
      <w:r w:rsidRPr="00143358">
        <w:t xml:space="preserve">Figure 4: The Supplementary </w:t>
      </w:r>
      <w:proofErr w:type="gramStart"/>
      <w:r w:rsidRPr="00143358">
        <w:t>matrix  for</w:t>
      </w:r>
      <w:proofErr w:type="gramEnd"/>
      <w:r w:rsidRPr="00143358">
        <w:t xml:space="preserve"> ESH 3, QD distances were established based on the proximity of civilian population nearby. Therefore D15, and D17 apply to Vulnerable buildings, Inhabited Buildings and Public Routes of Transport. </w:t>
      </w:r>
    </w:p>
    <w:p w14:paraId="2527C7FF" w14:textId="77777777" w:rsidR="00043F90" w:rsidRPr="00143358" w:rsidRDefault="00043F90" w:rsidP="00043F90">
      <w:r w:rsidRPr="00143358">
        <w:rPr>
          <w:noProof/>
        </w:rPr>
        <w:lastRenderedPageBreak/>
        <w:drawing>
          <wp:inline distT="0" distB="0" distL="0" distR="0" wp14:anchorId="34049B99" wp14:editId="2FD211A1">
            <wp:extent cx="5731510" cy="8110855"/>
            <wp:effectExtent l="0" t="0" r="2540" b="4445"/>
            <wp:docPr id="1046842101" name="Picture 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42101" name="Picture 6" descr="A close-up of a documen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023051BD" w14:textId="77777777" w:rsidR="00043F90" w:rsidRPr="00143358" w:rsidRDefault="00043F90" w:rsidP="00043F90">
      <w:r w:rsidRPr="00143358">
        <w:t xml:space="preserve">Figure 5: The Supplementary </w:t>
      </w:r>
      <w:proofErr w:type="gramStart"/>
      <w:r w:rsidRPr="00143358">
        <w:t>matrix  for</w:t>
      </w:r>
      <w:proofErr w:type="gramEnd"/>
      <w:r w:rsidRPr="00143358">
        <w:t xml:space="preserve"> ESH 4, QD distances were established based on the proximity of civilian population nearby. Therefore D15, and D17 apply to Vulnerable buildings, Inhabited Buildings and Public Routes of Transport. </w:t>
      </w:r>
    </w:p>
    <w:p w14:paraId="12BC79CF" w14:textId="77777777" w:rsidR="00043F90" w:rsidRPr="00143358" w:rsidRDefault="00043F90" w:rsidP="00043F90">
      <w:r w:rsidRPr="00143358">
        <w:rPr>
          <w:noProof/>
        </w:rPr>
        <w:lastRenderedPageBreak/>
        <w:drawing>
          <wp:inline distT="0" distB="0" distL="0" distR="0" wp14:anchorId="28FB072F" wp14:editId="414F6AAB">
            <wp:extent cx="5731510" cy="8110855"/>
            <wp:effectExtent l="0" t="0" r="2540" b="4445"/>
            <wp:docPr id="785953687" name="Picture 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53687" name="Picture 7" descr="A close-up of a documen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20A3E56" w14:textId="67E0DECB" w:rsidR="00043F90" w:rsidRPr="00143358" w:rsidRDefault="00043F90" w:rsidP="00B842E1">
      <w:r w:rsidRPr="00143358">
        <w:t xml:space="preserve">Figure 6: The Supplementary </w:t>
      </w:r>
      <w:proofErr w:type="gramStart"/>
      <w:r w:rsidRPr="00143358">
        <w:t>matrix  for</w:t>
      </w:r>
      <w:proofErr w:type="gramEnd"/>
      <w:r w:rsidRPr="00143358">
        <w:t xml:space="preserve"> ESH 5, QD distances were established based on the proximity of civilian population nearby. Therefore D15, and D17 apply to Vulnerable buildings, Inhabited Buildings and Public Routes of Transport. </w:t>
      </w:r>
    </w:p>
    <w:p w14:paraId="5F1705CB" w14:textId="50378928" w:rsidR="000A60BD" w:rsidRPr="00143358" w:rsidRDefault="000A60BD" w:rsidP="000A60BD">
      <w:pPr>
        <w:pStyle w:val="Heading2"/>
        <w:rPr>
          <w:b/>
          <w:bCs/>
          <w:color w:val="auto"/>
          <w:sz w:val="28"/>
          <w:szCs w:val="28"/>
        </w:rPr>
      </w:pPr>
      <w:bookmarkStart w:id="54" w:name="_Toc216382941"/>
      <w:r w:rsidRPr="00143358">
        <w:rPr>
          <w:b/>
          <w:bCs/>
          <w:color w:val="auto"/>
          <w:sz w:val="28"/>
          <w:szCs w:val="28"/>
        </w:rPr>
        <w:lastRenderedPageBreak/>
        <w:t>Annex E: Additional calculations used to support this report</w:t>
      </w:r>
      <w:bookmarkEnd w:id="54"/>
    </w:p>
    <w:p w14:paraId="734F6E50" w14:textId="7A92DEDB" w:rsidR="000A60BD" w:rsidRPr="00143358" w:rsidRDefault="000A60BD" w:rsidP="000A60BD">
      <w:pPr>
        <w:pStyle w:val="Heading3"/>
        <w:rPr>
          <w:b/>
          <w:bCs/>
          <w:color w:val="auto"/>
          <w:sz w:val="22"/>
          <w:szCs w:val="22"/>
        </w:rPr>
      </w:pPr>
      <w:bookmarkStart w:id="55" w:name="_Toc216382942"/>
      <w:r w:rsidRPr="00143358">
        <w:rPr>
          <w:b/>
          <w:bCs/>
          <w:color w:val="auto"/>
          <w:sz w:val="22"/>
          <w:szCs w:val="22"/>
        </w:rPr>
        <w:t>Calculating Inter-magazine distance (IMD) &amp; conversions to coordinates</w:t>
      </w:r>
      <w:bookmarkEnd w:id="55"/>
      <w:r w:rsidRPr="00143358">
        <w:rPr>
          <w:b/>
          <w:bCs/>
          <w:color w:val="auto"/>
          <w:sz w:val="22"/>
          <w:szCs w:val="22"/>
        </w:rPr>
        <w:t xml:space="preserve"> </w:t>
      </w:r>
    </w:p>
    <w:p w14:paraId="62B69C84" w14:textId="77777777" w:rsidR="007C3C30" w:rsidRPr="00143358" w:rsidRDefault="007C3C30" w:rsidP="007C3C30">
      <w:r w:rsidRPr="00143358">
        <w:t>Convert displacement in meters to degrees longitude at a given latitude:</w:t>
      </w:r>
    </w:p>
    <w:p w14:paraId="44528799" w14:textId="77777777" w:rsidR="00A41B6A" w:rsidRDefault="00A41B6A" w:rsidP="00A41B6A">
      <w:pPr>
        <w:keepNext/>
      </w:pPr>
      <w:r w:rsidRPr="00A41B6A">
        <w:drawing>
          <wp:inline distT="0" distB="0" distL="0" distR="0" wp14:anchorId="29ED3931" wp14:editId="16515601">
            <wp:extent cx="5731510" cy="638175"/>
            <wp:effectExtent l="0" t="0" r="0" b="0"/>
            <wp:docPr id="9120128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638175"/>
                    </a:xfrm>
                    <a:prstGeom prst="rect">
                      <a:avLst/>
                    </a:prstGeom>
                    <a:noFill/>
                    <a:ln>
                      <a:noFill/>
                    </a:ln>
                  </pic:spPr>
                </pic:pic>
              </a:graphicData>
            </a:graphic>
          </wp:inline>
        </w:drawing>
      </w:r>
    </w:p>
    <w:p w14:paraId="04F937EA" w14:textId="6B190B69" w:rsidR="00A41B6A" w:rsidRPr="00143358" w:rsidRDefault="00A41B6A" w:rsidP="00A41B6A">
      <w:bookmarkStart w:id="56" w:name="_Toc216398650"/>
      <w:r>
        <w:t xml:space="preserve">Equation </w:t>
      </w:r>
      <w:r>
        <w:fldChar w:fldCharType="begin"/>
      </w:r>
      <w:r>
        <w:instrText xml:space="preserve"> SEQ Equation \* ARABIC </w:instrText>
      </w:r>
      <w:r>
        <w:fldChar w:fldCharType="separate"/>
      </w:r>
      <w:r>
        <w:rPr>
          <w:noProof/>
        </w:rPr>
        <w:t>2</w:t>
      </w:r>
      <w:r>
        <w:fldChar w:fldCharType="end"/>
      </w:r>
      <w:r>
        <w:t>: displays how</w:t>
      </w:r>
      <w:r w:rsidRPr="00143358">
        <w:t xml:space="preserve"> displacement in meters to degrees longitude at a given latitude</w:t>
      </w:r>
      <w:r>
        <w:t xml:space="preserve"> was calculated for form Table 4.</w:t>
      </w:r>
      <w:bookmarkEnd w:id="56"/>
      <w:r>
        <w:t xml:space="preserve"> </w:t>
      </w:r>
    </w:p>
    <w:p w14:paraId="129F63AD" w14:textId="3CFFED3E" w:rsidR="007C3C30" w:rsidRPr="00143358" w:rsidRDefault="007C3C30" w:rsidP="00A41B6A">
      <w:pPr>
        <w:pStyle w:val="Caption"/>
        <w:rPr>
          <w:color w:val="auto"/>
        </w:rPr>
      </w:pPr>
    </w:p>
    <w:p w14:paraId="5B1D4855" w14:textId="77777777" w:rsidR="007C3C30" w:rsidRPr="00143358" w:rsidRDefault="007C3C30" w:rsidP="007C3C30">
      <m:oMathPara>
        <m:oMath>
          <m:r>
            <m:rPr>
              <m:nor/>
            </m:rPr>
            <m:t>meters per degree longitude</m:t>
          </m:r>
          <m:r>
            <w:rPr>
              <w:rFonts w:ascii="Cambria Math" w:hAnsi="Cambria Math"/>
            </w:rPr>
            <m:t>=</m:t>
          </m:r>
          <m:f>
            <m:fPr>
              <m:ctrlPr>
                <w:rPr>
                  <w:rFonts w:ascii="Cambria Math" w:hAnsi="Cambria Math"/>
                </w:rPr>
              </m:ctrlPr>
            </m:fPr>
            <m:num>
              <m:r>
                <w:rPr>
                  <w:rFonts w:ascii="Cambria Math" w:hAnsi="Cambria Math"/>
                </w:rPr>
                <m:t>π</m:t>
              </m:r>
            </m:num>
            <m:den>
              <m:r>
                <w:rPr>
                  <w:rFonts w:ascii="Cambria Math" w:hAnsi="Cambria Math"/>
                </w:rPr>
                <m:t>180</m:t>
              </m:r>
            </m:den>
          </m:f>
          <m:r>
            <w:rPr>
              <w:rFonts w:ascii="Cambria Math" w:hAnsi="Cambria Math"/>
            </w:rPr>
            <m:t>⋅R⋅</m:t>
          </m:r>
          <m:r>
            <m:rPr>
              <m:sty m:val="p"/>
            </m:rPr>
            <w:rPr>
              <w:rFonts w:ascii="Cambria Math" w:hAnsi="Cambria Math"/>
            </w:rPr>
            <m:t>cos</m:t>
          </m:r>
          <m:r>
            <w:rPr>
              <w:rFonts w:ascii="Cambria Math" w:hAnsi="Cambria Math"/>
            </w:rPr>
            <m:t>⁡(ϕ)</m:t>
          </m:r>
          <m:r>
            <w:rPr>
              <w:rFonts w:ascii="Cambria Math" w:hAnsi="Cambria Math"/>
            </w:rPr>
            <w:br/>
          </m:r>
        </m:oMath>
      </m:oMathPara>
    </w:p>
    <w:p w14:paraId="0D6CD3C7" w14:textId="77777777" w:rsidR="007C3C30" w:rsidRPr="00143358" w:rsidRDefault="007C3C30" w:rsidP="007C3C30">
      <w:pPr>
        <w:numPr>
          <w:ilvl w:val="0"/>
          <w:numId w:val="3"/>
        </w:numPr>
      </w:pPr>
      <m:oMath>
        <m:r>
          <w:rPr>
            <w:rFonts w:ascii="Cambria Math" w:hAnsi="Cambria Math"/>
          </w:rPr>
          <m:t>R=6,371,000</m:t>
        </m:r>
        <m:r>
          <m:rPr>
            <m:nor/>
          </m:rPr>
          <m:t xml:space="preserve"> m</m:t>
        </m:r>
      </m:oMath>
      <w:r w:rsidRPr="00143358">
        <w:t>(Earth radius)</w:t>
      </w:r>
    </w:p>
    <w:p w14:paraId="2305262D" w14:textId="77777777" w:rsidR="007C3C30" w:rsidRPr="00143358" w:rsidRDefault="007C3C30" w:rsidP="007C3C30">
      <w:pPr>
        <w:numPr>
          <w:ilvl w:val="0"/>
          <w:numId w:val="3"/>
        </w:numPr>
      </w:pPr>
      <m:oMath>
        <m:r>
          <w:rPr>
            <w:rFonts w:ascii="Cambria Math" w:hAnsi="Cambria Math"/>
          </w:rPr>
          <m:t>ϕ</m:t>
        </m:r>
      </m:oMath>
      <w:r w:rsidRPr="00143358">
        <w:t>= latitude in radians</w:t>
      </w:r>
    </w:p>
    <w:p w14:paraId="17965E9F" w14:textId="77777777" w:rsidR="007C3C30" w:rsidRPr="00143358" w:rsidRDefault="007C3C30" w:rsidP="007C3C30">
      <w:r w:rsidRPr="00143358">
        <w:t>2. Apply offset to the reference longitude for each ESH:</w:t>
      </w:r>
    </w:p>
    <w:p w14:paraId="7EB8BE2B" w14:textId="77777777" w:rsidR="007C3C30" w:rsidRPr="00143358" w:rsidRDefault="007C3C30" w:rsidP="007C3C30">
      <m:oMathPara>
        <m:oMath>
          <m:sSub>
            <m:sSubPr>
              <m:ctrlPr>
                <w:rPr>
                  <w:rFonts w:ascii="Cambria Math" w:hAnsi="Cambria Math"/>
                </w:rPr>
              </m:ctrlPr>
            </m:sSubPr>
            <m:e>
              <w:proofErr w:type="spellStart"/>
              <m:r>
                <m:rPr>
                  <m:nor/>
                </m:rPr>
                <m:t>lon</m:t>
              </m:r>
              <w:proofErr w:type="spellEnd"/>
            </m:e>
            <m:sub>
              <m:r>
                <m:rPr>
                  <m:nor/>
                </m:rPr>
                <m:t>new</m:t>
              </m:r>
            </m:sub>
          </m:sSub>
          <m:r>
            <w:rPr>
              <w:rFonts w:ascii="Cambria Math" w:hAnsi="Cambria Math"/>
            </w:rPr>
            <m:t>=</m:t>
          </m:r>
          <m:sSub>
            <m:sSubPr>
              <m:ctrlPr>
                <w:rPr>
                  <w:rFonts w:ascii="Cambria Math" w:hAnsi="Cambria Math"/>
                </w:rPr>
              </m:ctrlPr>
            </m:sSubPr>
            <m:e>
              <m:r>
                <m:rPr>
                  <m:nor/>
                </m:rPr>
                <m:t>lon</m:t>
              </m:r>
            </m:e>
            <m:sub>
              <m:r>
                <m:rPr>
                  <m:nor/>
                </m:rPr>
                <m:t>centre</m:t>
              </m:r>
            </m:sub>
          </m:sSub>
          <m:r>
            <w:rPr>
              <w:rFonts w:ascii="Cambria Math" w:hAnsi="Cambria Math"/>
            </w:rPr>
            <m:t>+</m:t>
          </m:r>
          <m:r>
            <m:rPr>
              <m:sty m:val="p"/>
            </m:rPr>
            <w:rPr>
              <w:rFonts w:ascii="Cambria Math" w:hAnsi="Cambria Math"/>
            </w:rPr>
            <m:t>Δ</m:t>
          </m:r>
          <m:r>
            <m:rPr>
              <m:nor/>
            </m:rPr>
            <m:t>lon</m:t>
          </m:r>
          <m:r>
            <w:rPr>
              <w:rFonts w:ascii="Cambria Math" w:hAnsi="Cambria Math"/>
            </w:rPr>
            <w:br/>
          </m:r>
        </m:oMath>
      </m:oMathPara>
    </w:p>
    <w:p w14:paraId="1064719C" w14:textId="7E712E33" w:rsidR="007C3C30" w:rsidRPr="00143358" w:rsidRDefault="007C3C30" w:rsidP="007C3C30">
      <w:pPr>
        <w:numPr>
          <w:ilvl w:val="0"/>
          <w:numId w:val="5"/>
        </w:numPr>
      </w:pPr>
      <w:r w:rsidRPr="00143358">
        <w:t>IMD = 8</w:t>
      </w:r>
      <w:r w:rsidRPr="00143358">
        <w:rPr>
          <w:rFonts w:ascii="Arial" w:hAnsi="Arial" w:cs="Arial"/>
        </w:rPr>
        <w:t> </w:t>
      </w:r>
      <w:r w:rsidRPr="00143358">
        <w:t xml:space="preserve">m (centre-to-centre distance for D3 </w:t>
      </w:r>
      <w:proofErr w:type="gramStart"/>
      <w:r w:rsidRPr="00143358">
        <w:t xml:space="preserve">column)  </w:t>
      </w:r>
      <w:r>
        <w:t>based</w:t>
      </w:r>
      <w:proofErr w:type="gramEnd"/>
      <w:r>
        <w:t xml:space="preserve"> on equation 1. </w:t>
      </w:r>
    </w:p>
    <w:p w14:paraId="4C702550" w14:textId="77777777" w:rsidR="000A60BD" w:rsidRPr="00143358" w:rsidRDefault="000A60BD" w:rsidP="00B842E1"/>
    <w:p w14:paraId="0EEC885C" w14:textId="4C6ADB86" w:rsidR="000A60BD" w:rsidRDefault="000A60BD" w:rsidP="00B842E1"/>
    <w:p w14:paraId="412127ED" w14:textId="1E34446D" w:rsidR="007C3C30" w:rsidRDefault="007C3C30" w:rsidP="007C3C30">
      <w:pPr>
        <w:pStyle w:val="Caption"/>
        <w:keepNext/>
      </w:pPr>
      <w:bookmarkStart w:id="57" w:name="_Toc216398464"/>
      <w:r>
        <w:t xml:space="preserve">Table </w:t>
      </w:r>
      <w:r>
        <w:fldChar w:fldCharType="begin"/>
      </w:r>
      <w:r>
        <w:instrText xml:space="preserve"> SEQ Table \* ARABIC </w:instrText>
      </w:r>
      <w:r>
        <w:fldChar w:fldCharType="separate"/>
      </w:r>
      <w:r>
        <w:rPr>
          <w:noProof/>
        </w:rPr>
        <w:t>4</w:t>
      </w:r>
      <w:r>
        <w:fldChar w:fldCharType="end"/>
      </w:r>
      <w:r>
        <w:t xml:space="preserve">: </w:t>
      </w:r>
      <w:r w:rsidRPr="00437F8B">
        <w:t xml:space="preserve">displays the ESH displacement within the planned PES proposed by </w:t>
      </w:r>
      <w:proofErr w:type="spellStart"/>
      <w:r w:rsidRPr="00437F8B">
        <w:t>Bigband</w:t>
      </w:r>
      <w:proofErr w:type="spellEnd"/>
      <w:r w:rsidRPr="00437F8B">
        <w:t xml:space="preserve"> Solutions Ltd, based on Longitudinal displacement mathematics</w:t>
      </w:r>
      <w:r>
        <w:t>.</w:t>
      </w:r>
      <w:bookmarkEnd w:id="57"/>
    </w:p>
    <w:p w14:paraId="593E2571" w14:textId="5D17BEAE" w:rsidR="007C3C30" w:rsidRDefault="007C3C30" w:rsidP="00B842E1">
      <w:r w:rsidRPr="00143358">
        <w:rPr>
          <w:noProof/>
        </w:rPr>
        <w:drawing>
          <wp:inline distT="0" distB="0" distL="0" distR="0" wp14:anchorId="72FAFC57" wp14:editId="32238CD8">
            <wp:extent cx="5731510" cy="1354455"/>
            <wp:effectExtent l="0" t="0" r="2540" b="0"/>
            <wp:docPr id="104074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354455"/>
                    </a:xfrm>
                    <a:prstGeom prst="rect">
                      <a:avLst/>
                    </a:prstGeom>
                    <a:noFill/>
                    <a:ln>
                      <a:noFill/>
                    </a:ln>
                  </pic:spPr>
                </pic:pic>
              </a:graphicData>
            </a:graphic>
          </wp:inline>
        </w:drawing>
      </w:r>
    </w:p>
    <w:p w14:paraId="731DE644" w14:textId="77777777" w:rsidR="007C3C30" w:rsidRPr="00143358" w:rsidRDefault="007C3C30" w:rsidP="00B842E1"/>
    <w:p w14:paraId="6480DA54" w14:textId="77777777" w:rsidR="000A60BD" w:rsidRDefault="000A60BD" w:rsidP="00B842E1"/>
    <w:p w14:paraId="502BF12C" w14:textId="77777777" w:rsidR="007C3C30" w:rsidRDefault="007C3C30" w:rsidP="00B842E1"/>
    <w:p w14:paraId="08D11AE9" w14:textId="77777777" w:rsidR="007C3C30" w:rsidRDefault="007C3C30" w:rsidP="00B842E1"/>
    <w:p w14:paraId="11515E7E" w14:textId="77777777" w:rsidR="007C3C30" w:rsidRDefault="007C3C30" w:rsidP="00B842E1"/>
    <w:p w14:paraId="09919624" w14:textId="77777777" w:rsidR="007C3C30" w:rsidRPr="00143358" w:rsidRDefault="007C3C30" w:rsidP="00B842E1"/>
    <w:p w14:paraId="47AEFF8E" w14:textId="77777777" w:rsidR="00B974AB" w:rsidRPr="00143358" w:rsidRDefault="00B974AB" w:rsidP="000A60BD">
      <w:pPr>
        <w:pStyle w:val="Heading1"/>
        <w:rPr>
          <w:b/>
          <w:bCs/>
          <w:color w:val="auto"/>
          <w:sz w:val="28"/>
          <w:szCs w:val="28"/>
        </w:rPr>
      </w:pPr>
      <w:bookmarkStart w:id="58" w:name="_Toc216382943"/>
      <w:r w:rsidRPr="00143358">
        <w:rPr>
          <w:b/>
          <w:bCs/>
          <w:color w:val="auto"/>
          <w:sz w:val="28"/>
          <w:szCs w:val="28"/>
        </w:rPr>
        <w:lastRenderedPageBreak/>
        <w:t>11. References</w:t>
      </w:r>
      <w:bookmarkEnd w:id="58"/>
    </w:p>
    <w:sdt>
      <w:sdtPr>
        <w:id w:val="1683082766"/>
        <w:docPartObj>
          <w:docPartGallery w:val="Bibliographies"/>
          <w:docPartUnique/>
        </w:docPartObj>
      </w:sdtPr>
      <w:sdtContent>
        <w:sdt>
          <w:sdtPr>
            <w:id w:val="-573587230"/>
            <w:bibliography/>
          </w:sdtPr>
          <w:sdtContent>
            <w:p w14:paraId="479BFF68" w14:textId="77777777" w:rsidR="00C3255F" w:rsidRDefault="00FE31F1">
              <w:pPr>
                <w:rPr>
                  <w:noProof/>
                </w:rPr>
              </w:pPr>
              <w:r w:rsidRPr="00143358">
                <w:fldChar w:fldCharType="begin"/>
              </w:r>
              <w:r w:rsidRPr="00143358">
                <w:instrText xml:space="preserve"> BIBLIOGRAPHY </w:instrText>
              </w:r>
              <w:r w:rsidRPr="00143358">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C3255F" w14:paraId="62FAC450" w14:textId="77777777">
                <w:trPr>
                  <w:divId w:val="175048491"/>
                  <w:tblCellSpacing w:w="15" w:type="dxa"/>
                </w:trPr>
                <w:tc>
                  <w:tcPr>
                    <w:tcW w:w="50" w:type="pct"/>
                    <w:hideMark/>
                  </w:tcPr>
                  <w:p w14:paraId="08ED8FDE" w14:textId="45617A42" w:rsidR="00C3255F" w:rsidRDefault="00C3255F">
                    <w:pPr>
                      <w:pStyle w:val="Bibliography"/>
                      <w:rPr>
                        <w:noProof/>
                        <w:kern w:val="0"/>
                        <w:sz w:val="24"/>
                        <w:szCs w:val="24"/>
                        <w14:ligatures w14:val="none"/>
                      </w:rPr>
                    </w:pPr>
                    <w:r>
                      <w:rPr>
                        <w:noProof/>
                      </w:rPr>
                      <w:t xml:space="preserve">[1] </w:t>
                    </w:r>
                  </w:p>
                </w:tc>
                <w:tc>
                  <w:tcPr>
                    <w:tcW w:w="0" w:type="auto"/>
                    <w:hideMark/>
                  </w:tcPr>
                  <w:p w14:paraId="1CB4E67B" w14:textId="77777777" w:rsidR="00C3255F" w:rsidRDefault="00C3255F">
                    <w:pPr>
                      <w:pStyle w:val="Bibliography"/>
                      <w:rPr>
                        <w:noProof/>
                      </w:rPr>
                    </w:pPr>
                    <w:r>
                      <w:rPr>
                        <w:noProof/>
                      </w:rPr>
                      <w:t>United Nations Office for Disarmament Affairs (UNODA), “International Ammunition Technical Guidelines (IATG) 04.10: Explosive Facilities – Siting and Design,” United Nations, New York, 2021.</w:t>
                    </w:r>
                  </w:p>
                </w:tc>
              </w:tr>
              <w:tr w:rsidR="00C3255F" w14:paraId="33ADFAF2" w14:textId="77777777">
                <w:trPr>
                  <w:divId w:val="175048491"/>
                  <w:tblCellSpacing w:w="15" w:type="dxa"/>
                </w:trPr>
                <w:tc>
                  <w:tcPr>
                    <w:tcW w:w="50" w:type="pct"/>
                    <w:hideMark/>
                  </w:tcPr>
                  <w:p w14:paraId="494A23C7" w14:textId="77777777" w:rsidR="00C3255F" w:rsidRDefault="00C3255F">
                    <w:pPr>
                      <w:pStyle w:val="Bibliography"/>
                      <w:rPr>
                        <w:noProof/>
                      </w:rPr>
                    </w:pPr>
                    <w:r>
                      <w:rPr>
                        <w:noProof/>
                      </w:rPr>
                      <w:t xml:space="preserve">[2] </w:t>
                    </w:r>
                  </w:p>
                </w:tc>
                <w:tc>
                  <w:tcPr>
                    <w:tcW w:w="0" w:type="auto"/>
                    <w:hideMark/>
                  </w:tcPr>
                  <w:p w14:paraId="3C4B66A7" w14:textId="77777777" w:rsidR="00C3255F" w:rsidRDefault="00C3255F">
                    <w:pPr>
                      <w:pStyle w:val="Bibliography"/>
                      <w:rPr>
                        <w:noProof/>
                      </w:rPr>
                    </w:pPr>
                    <w:r>
                      <w:rPr>
                        <w:noProof/>
                      </w:rPr>
                      <w:t xml:space="preserve">P. W. Cooper, “Chapter 10: Sympathetic Detonation,” in </w:t>
                    </w:r>
                    <w:r>
                      <w:rPr>
                        <w:i/>
                        <w:iCs/>
                        <w:noProof/>
                      </w:rPr>
                      <w:t>Explosives Engineering</w:t>
                    </w:r>
                    <w:r>
                      <w:rPr>
                        <w:noProof/>
                      </w:rPr>
                      <w:t>, Weinheim, Wiley-VCH, 1996, pp. 285-302.</w:t>
                    </w:r>
                  </w:p>
                </w:tc>
              </w:tr>
              <w:tr w:rsidR="00C3255F" w14:paraId="0B8A75CD" w14:textId="77777777">
                <w:trPr>
                  <w:divId w:val="175048491"/>
                  <w:tblCellSpacing w:w="15" w:type="dxa"/>
                </w:trPr>
                <w:tc>
                  <w:tcPr>
                    <w:tcW w:w="50" w:type="pct"/>
                    <w:hideMark/>
                  </w:tcPr>
                  <w:p w14:paraId="3480ED6E" w14:textId="77777777" w:rsidR="00C3255F" w:rsidRDefault="00C3255F">
                    <w:pPr>
                      <w:pStyle w:val="Bibliography"/>
                      <w:rPr>
                        <w:noProof/>
                      </w:rPr>
                    </w:pPr>
                    <w:r>
                      <w:rPr>
                        <w:noProof/>
                      </w:rPr>
                      <w:t xml:space="preserve">[3] </w:t>
                    </w:r>
                  </w:p>
                </w:tc>
                <w:tc>
                  <w:tcPr>
                    <w:tcW w:w="0" w:type="auto"/>
                    <w:hideMark/>
                  </w:tcPr>
                  <w:p w14:paraId="512174CB" w14:textId="77777777" w:rsidR="00C3255F" w:rsidRDefault="00C3255F">
                    <w:pPr>
                      <w:pStyle w:val="Bibliography"/>
                      <w:rPr>
                        <w:noProof/>
                      </w:rPr>
                    </w:pPr>
                    <w:r>
                      <w:rPr>
                        <w:noProof/>
                      </w:rPr>
                      <w:t xml:space="preserve">P. W. Cooper, “Chapter 11: Effects of Groud, Barriers and Mass,” in </w:t>
                    </w:r>
                    <w:r>
                      <w:rPr>
                        <w:i/>
                        <w:iCs/>
                        <w:noProof/>
                      </w:rPr>
                      <w:t>Explosives Engineering</w:t>
                    </w:r>
                    <w:r>
                      <w:rPr>
                        <w:noProof/>
                      </w:rPr>
                      <w:t>, Weinheim, Wiley-VCH, 1996, pp. 315-340.</w:t>
                    </w:r>
                  </w:p>
                </w:tc>
              </w:tr>
              <w:tr w:rsidR="00C3255F" w14:paraId="5A978C94" w14:textId="77777777">
                <w:trPr>
                  <w:divId w:val="175048491"/>
                  <w:tblCellSpacing w:w="15" w:type="dxa"/>
                </w:trPr>
                <w:tc>
                  <w:tcPr>
                    <w:tcW w:w="50" w:type="pct"/>
                    <w:hideMark/>
                  </w:tcPr>
                  <w:p w14:paraId="59D5FC15" w14:textId="77777777" w:rsidR="00C3255F" w:rsidRDefault="00C3255F">
                    <w:pPr>
                      <w:pStyle w:val="Bibliography"/>
                      <w:rPr>
                        <w:noProof/>
                      </w:rPr>
                    </w:pPr>
                    <w:r>
                      <w:rPr>
                        <w:noProof/>
                      </w:rPr>
                      <w:t xml:space="preserve">[4] </w:t>
                    </w:r>
                  </w:p>
                </w:tc>
                <w:tc>
                  <w:tcPr>
                    <w:tcW w:w="0" w:type="auto"/>
                    <w:hideMark/>
                  </w:tcPr>
                  <w:p w14:paraId="01349DD4" w14:textId="77777777" w:rsidR="00C3255F" w:rsidRDefault="00C3255F">
                    <w:pPr>
                      <w:pStyle w:val="Bibliography"/>
                      <w:rPr>
                        <w:noProof/>
                      </w:rPr>
                    </w:pPr>
                    <w:r>
                      <w:rPr>
                        <w:noProof/>
                      </w:rPr>
                      <w:t>U.S. Department of Defence, “UFC 3-340-02 – Structures to Resist the Effects of Accidental Explosions,” USACE/ NAVFAC/ AFCEC, Washington D.C. , 2014.</w:t>
                    </w:r>
                  </w:p>
                </w:tc>
              </w:tr>
              <w:tr w:rsidR="00C3255F" w14:paraId="04FD5D4A" w14:textId="77777777">
                <w:trPr>
                  <w:divId w:val="175048491"/>
                  <w:tblCellSpacing w:w="15" w:type="dxa"/>
                </w:trPr>
                <w:tc>
                  <w:tcPr>
                    <w:tcW w:w="50" w:type="pct"/>
                    <w:hideMark/>
                  </w:tcPr>
                  <w:p w14:paraId="02F8FD4F" w14:textId="77777777" w:rsidR="00C3255F" w:rsidRDefault="00C3255F">
                    <w:pPr>
                      <w:pStyle w:val="Bibliography"/>
                      <w:rPr>
                        <w:noProof/>
                      </w:rPr>
                    </w:pPr>
                    <w:r>
                      <w:rPr>
                        <w:noProof/>
                      </w:rPr>
                      <w:t xml:space="preserve">[5] </w:t>
                    </w:r>
                  </w:p>
                </w:tc>
                <w:tc>
                  <w:tcPr>
                    <w:tcW w:w="0" w:type="auto"/>
                    <w:hideMark/>
                  </w:tcPr>
                  <w:p w14:paraId="251A8216" w14:textId="77777777" w:rsidR="00C3255F" w:rsidRDefault="00C3255F">
                    <w:pPr>
                      <w:pStyle w:val="Bibliography"/>
                      <w:rPr>
                        <w:noProof/>
                      </w:rPr>
                    </w:pPr>
                    <w:r>
                      <w:rPr>
                        <w:noProof/>
                      </w:rPr>
                      <w:t>D. Bogosian and J. Chrostowski, “Comparison of Quantity-Distance Standards for Earth-Covered Magazines in Various National/International Manuals,” BakerRisk &amp; ACTA, San Antonio, TX, 2017.</w:t>
                    </w:r>
                  </w:p>
                </w:tc>
              </w:tr>
              <w:tr w:rsidR="00C3255F" w14:paraId="28DBD84D" w14:textId="77777777">
                <w:trPr>
                  <w:divId w:val="175048491"/>
                  <w:tblCellSpacing w:w="15" w:type="dxa"/>
                </w:trPr>
                <w:tc>
                  <w:tcPr>
                    <w:tcW w:w="50" w:type="pct"/>
                    <w:hideMark/>
                  </w:tcPr>
                  <w:p w14:paraId="06F09B74" w14:textId="77777777" w:rsidR="00C3255F" w:rsidRDefault="00C3255F">
                    <w:pPr>
                      <w:pStyle w:val="Bibliography"/>
                      <w:rPr>
                        <w:noProof/>
                      </w:rPr>
                    </w:pPr>
                    <w:r>
                      <w:rPr>
                        <w:noProof/>
                      </w:rPr>
                      <w:t xml:space="preserve">[6] </w:t>
                    </w:r>
                  </w:p>
                </w:tc>
                <w:tc>
                  <w:tcPr>
                    <w:tcW w:w="0" w:type="auto"/>
                    <w:hideMark/>
                  </w:tcPr>
                  <w:p w14:paraId="57887420" w14:textId="77777777" w:rsidR="00C3255F" w:rsidRDefault="00C3255F">
                    <w:pPr>
                      <w:pStyle w:val="Bibliography"/>
                      <w:rPr>
                        <w:noProof/>
                      </w:rPr>
                    </w:pPr>
                    <w:r>
                      <w:rPr>
                        <w:noProof/>
                      </w:rPr>
                      <w:t>Institute of Makers of Explosives, “Safety Library Publication No. 22: Recommended Practices for the Design and Use of Earth-Covered Magazines,” IME, Washington, D.C. , 2013.</w:t>
                    </w:r>
                  </w:p>
                </w:tc>
              </w:tr>
              <w:tr w:rsidR="00C3255F" w14:paraId="05F82B13" w14:textId="77777777">
                <w:trPr>
                  <w:divId w:val="175048491"/>
                  <w:tblCellSpacing w:w="15" w:type="dxa"/>
                </w:trPr>
                <w:tc>
                  <w:tcPr>
                    <w:tcW w:w="50" w:type="pct"/>
                    <w:hideMark/>
                  </w:tcPr>
                  <w:p w14:paraId="1505D24C" w14:textId="77777777" w:rsidR="00C3255F" w:rsidRDefault="00C3255F">
                    <w:pPr>
                      <w:pStyle w:val="Bibliography"/>
                      <w:rPr>
                        <w:noProof/>
                      </w:rPr>
                    </w:pPr>
                    <w:r>
                      <w:rPr>
                        <w:noProof/>
                      </w:rPr>
                      <w:t xml:space="preserve">[7] </w:t>
                    </w:r>
                  </w:p>
                </w:tc>
                <w:tc>
                  <w:tcPr>
                    <w:tcW w:w="0" w:type="auto"/>
                    <w:hideMark/>
                  </w:tcPr>
                  <w:p w14:paraId="1B617CA9" w14:textId="77777777" w:rsidR="00C3255F" w:rsidRDefault="00C3255F">
                    <w:pPr>
                      <w:pStyle w:val="Bibliography"/>
                      <w:rPr>
                        <w:noProof/>
                      </w:rPr>
                    </w:pPr>
                    <w:r>
                      <w:rPr>
                        <w:noProof/>
                      </w:rPr>
                      <w:t>UK Ministry of Defence, “JSP 482 Edition 4: Buildings Associated with Military Explosives, Chapter 6,” UK Ministry of Defence, London, 2013.</w:t>
                    </w:r>
                  </w:p>
                </w:tc>
              </w:tr>
              <w:tr w:rsidR="00C3255F" w14:paraId="6DDA0372" w14:textId="77777777">
                <w:trPr>
                  <w:divId w:val="175048491"/>
                  <w:tblCellSpacing w:w="15" w:type="dxa"/>
                </w:trPr>
                <w:tc>
                  <w:tcPr>
                    <w:tcW w:w="50" w:type="pct"/>
                    <w:hideMark/>
                  </w:tcPr>
                  <w:p w14:paraId="1C993CEA" w14:textId="77777777" w:rsidR="00C3255F" w:rsidRDefault="00C3255F">
                    <w:pPr>
                      <w:pStyle w:val="Bibliography"/>
                      <w:rPr>
                        <w:noProof/>
                      </w:rPr>
                    </w:pPr>
                    <w:r>
                      <w:rPr>
                        <w:noProof/>
                      </w:rPr>
                      <w:t xml:space="preserve">[8] </w:t>
                    </w:r>
                  </w:p>
                </w:tc>
                <w:tc>
                  <w:tcPr>
                    <w:tcW w:w="0" w:type="auto"/>
                    <w:hideMark/>
                  </w:tcPr>
                  <w:p w14:paraId="3DC29BA6" w14:textId="77777777" w:rsidR="00C3255F" w:rsidRDefault="00C3255F">
                    <w:pPr>
                      <w:pStyle w:val="Bibliography"/>
                      <w:rPr>
                        <w:noProof/>
                      </w:rPr>
                    </w:pPr>
                    <w:r>
                      <w:rPr>
                        <w:noProof/>
                      </w:rPr>
                      <w:t>United Nations Office for Disarmament Affairs (UNODA), “International Ammunition Technical Guidelines (IATG) 02.20: Quantity and Separation Distances,” United Nations, New york, 2021.</w:t>
                    </w:r>
                  </w:p>
                </w:tc>
              </w:tr>
              <w:tr w:rsidR="00C3255F" w14:paraId="1D7141A8" w14:textId="77777777">
                <w:trPr>
                  <w:divId w:val="175048491"/>
                  <w:tblCellSpacing w:w="15" w:type="dxa"/>
                </w:trPr>
                <w:tc>
                  <w:tcPr>
                    <w:tcW w:w="50" w:type="pct"/>
                    <w:hideMark/>
                  </w:tcPr>
                  <w:p w14:paraId="5FC32BF1" w14:textId="77777777" w:rsidR="00C3255F" w:rsidRDefault="00C3255F">
                    <w:pPr>
                      <w:pStyle w:val="Bibliography"/>
                      <w:rPr>
                        <w:noProof/>
                      </w:rPr>
                    </w:pPr>
                    <w:r>
                      <w:rPr>
                        <w:noProof/>
                      </w:rPr>
                      <w:t xml:space="preserve">[9] </w:t>
                    </w:r>
                  </w:p>
                </w:tc>
                <w:tc>
                  <w:tcPr>
                    <w:tcW w:w="0" w:type="auto"/>
                    <w:hideMark/>
                  </w:tcPr>
                  <w:p w14:paraId="5D799C62" w14:textId="77777777" w:rsidR="00C3255F" w:rsidRDefault="00C3255F">
                    <w:pPr>
                      <w:pStyle w:val="Bibliography"/>
                      <w:rPr>
                        <w:noProof/>
                      </w:rPr>
                    </w:pPr>
                    <w:r>
                      <w:rPr>
                        <w:noProof/>
                      </w:rPr>
                      <w:t>United Nations Office for Disarmament Affairs (UNODA), “International Ammunition Technical Guidelines (IATG) 05.20: Types of Buildings for Explosives Storage,” United Nations, New York, 2015.</w:t>
                    </w:r>
                  </w:p>
                </w:tc>
              </w:tr>
              <w:tr w:rsidR="00C3255F" w14:paraId="4CDD9FDC" w14:textId="77777777">
                <w:trPr>
                  <w:divId w:val="175048491"/>
                  <w:tblCellSpacing w:w="15" w:type="dxa"/>
                </w:trPr>
                <w:tc>
                  <w:tcPr>
                    <w:tcW w:w="50" w:type="pct"/>
                    <w:hideMark/>
                  </w:tcPr>
                  <w:p w14:paraId="1CF08CA5" w14:textId="77777777" w:rsidR="00C3255F" w:rsidRDefault="00C3255F">
                    <w:pPr>
                      <w:pStyle w:val="Bibliography"/>
                      <w:rPr>
                        <w:noProof/>
                      </w:rPr>
                    </w:pPr>
                    <w:r>
                      <w:rPr>
                        <w:noProof/>
                      </w:rPr>
                      <w:t xml:space="preserve">[10] </w:t>
                    </w:r>
                  </w:p>
                </w:tc>
                <w:tc>
                  <w:tcPr>
                    <w:tcW w:w="0" w:type="auto"/>
                    <w:hideMark/>
                  </w:tcPr>
                  <w:p w14:paraId="53505BC6" w14:textId="77777777" w:rsidR="00C3255F" w:rsidRDefault="00C3255F">
                    <w:pPr>
                      <w:pStyle w:val="Bibliography"/>
                      <w:rPr>
                        <w:noProof/>
                      </w:rPr>
                    </w:pPr>
                    <w:r>
                      <w:rPr>
                        <w:noProof/>
                      </w:rPr>
                      <w:t xml:space="preserve">M. G. Stewart and J. Mueller, “Risk Assessment of Terrorist Explosive Attacks Against Critical Infrastructure,” </w:t>
                    </w:r>
                    <w:r>
                      <w:rPr>
                        <w:i/>
                        <w:iCs/>
                        <w:noProof/>
                      </w:rPr>
                      <w:t xml:space="preserve">Risk Analysis, </w:t>
                    </w:r>
                    <w:r>
                      <w:rPr>
                        <w:noProof/>
                      </w:rPr>
                      <w:t xml:space="preserve">vol. 33, no. 2, pp. 282-299, 2013. </w:t>
                    </w:r>
                  </w:p>
                </w:tc>
              </w:tr>
              <w:tr w:rsidR="00C3255F" w14:paraId="35386988" w14:textId="77777777">
                <w:trPr>
                  <w:divId w:val="175048491"/>
                  <w:tblCellSpacing w:w="15" w:type="dxa"/>
                </w:trPr>
                <w:tc>
                  <w:tcPr>
                    <w:tcW w:w="50" w:type="pct"/>
                    <w:hideMark/>
                  </w:tcPr>
                  <w:p w14:paraId="6D4A8818" w14:textId="77777777" w:rsidR="00C3255F" w:rsidRDefault="00C3255F">
                    <w:pPr>
                      <w:pStyle w:val="Bibliography"/>
                      <w:rPr>
                        <w:noProof/>
                      </w:rPr>
                    </w:pPr>
                    <w:r>
                      <w:rPr>
                        <w:noProof/>
                      </w:rPr>
                      <w:t xml:space="preserve">[11] </w:t>
                    </w:r>
                  </w:p>
                </w:tc>
                <w:tc>
                  <w:tcPr>
                    <w:tcW w:w="0" w:type="auto"/>
                    <w:hideMark/>
                  </w:tcPr>
                  <w:p w14:paraId="5F54045E" w14:textId="77777777" w:rsidR="00C3255F" w:rsidRDefault="00C3255F">
                    <w:pPr>
                      <w:pStyle w:val="Bibliography"/>
                      <w:rPr>
                        <w:noProof/>
                      </w:rPr>
                    </w:pPr>
                    <w:r>
                      <w:rPr>
                        <w:noProof/>
                      </w:rPr>
                      <w:t xml:space="preserve">D. Cormie, G. Mays and P. Smith, Blast Effects on Buildings, London: ICE Publishing, 2019. </w:t>
                    </w:r>
                  </w:p>
                </w:tc>
              </w:tr>
              <w:tr w:rsidR="00C3255F" w14:paraId="27FB068C" w14:textId="77777777">
                <w:trPr>
                  <w:divId w:val="175048491"/>
                  <w:tblCellSpacing w:w="15" w:type="dxa"/>
                </w:trPr>
                <w:tc>
                  <w:tcPr>
                    <w:tcW w:w="50" w:type="pct"/>
                    <w:hideMark/>
                  </w:tcPr>
                  <w:p w14:paraId="50356903" w14:textId="77777777" w:rsidR="00C3255F" w:rsidRDefault="00C3255F">
                    <w:pPr>
                      <w:pStyle w:val="Bibliography"/>
                      <w:rPr>
                        <w:noProof/>
                      </w:rPr>
                    </w:pPr>
                    <w:r>
                      <w:rPr>
                        <w:noProof/>
                      </w:rPr>
                      <w:t xml:space="preserve">[12] </w:t>
                    </w:r>
                  </w:p>
                </w:tc>
                <w:tc>
                  <w:tcPr>
                    <w:tcW w:w="0" w:type="auto"/>
                    <w:hideMark/>
                  </w:tcPr>
                  <w:p w14:paraId="2C0A736E" w14:textId="77777777" w:rsidR="00C3255F" w:rsidRDefault="00C3255F">
                    <w:pPr>
                      <w:pStyle w:val="Bibliography"/>
                      <w:rPr>
                        <w:noProof/>
                      </w:rPr>
                    </w:pPr>
                    <w:r>
                      <w:rPr>
                        <w:noProof/>
                      </w:rPr>
                      <w:t>United Nations Office for Disarmament Affairs (UNODA), “International Ammunition Technical Guidelines (IATG) 01.50: UN SaferGuard,” United Nations, New York, 2021.</w:t>
                    </w:r>
                  </w:p>
                </w:tc>
              </w:tr>
              <w:tr w:rsidR="00C3255F" w14:paraId="5202E762" w14:textId="77777777">
                <w:trPr>
                  <w:divId w:val="175048491"/>
                  <w:tblCellSpacing w:w="15" w:type="dxa"/>
                </w:trPr>
                <w:tc>
                  <w:tcPr>
                    <w:tcW w:w="50" w:type="pct"/>
                    <w:hideMark/>
                  </w:tcPr>
                  <w:p w14:paraId="6436FC8D" w14:textId="77777777" w:rsidR="00C3255F" w:rsidRDefault="00C3255F">
                    <w:pPr>
                      <w:pStyle w:val="Bibliography"/>
                      <w:rPr>
                        <w:noProof/>
                      </w:rPr>
                    </w:pPr>
                    <w:r>
                      <w:rPr>
                        <w:noProof/>
                      </w:rPr>
                      <w:t xml:space="preserve">[13] </w:t>
                    </w:r>
                  </w:p>
                </w:tc>
                <w:tc>
                  <w:tcPr>
                    <w:tcW w:w="0" w:type="auto"/>
                    <w:hideMark/>
                  </w:tcPr>
                  <w:p w14:paraId="2C83A94E" w14:textId="77777777" w:rsidR="00C3255F" w:rsidRDefault="00C3255F">
                    <w:pPr>
                      <w:pStyle w:val="Bibliography"/>
                      <w:rPr>
                        <w:noProof/>
                      </w:rPr>
                    </w:pPr>
                    <w:r>
                      <w:rPr>
                        <w:noProof/>
                      </w:rPr>
                      <w:t>United Nations Office for Disarmament Affairs (UNODA), “International Ammunition Technical Guidelines (IATG) 05.10: Planning and Siting of Explosives Facilities,” United Nations, New York, 2015.</w:t>
                    </w:r>
                  </w:p>
                </w:tc>
              </w:tr>
              <w:tr w:rsidR="00C3255F" w14:paraId="222D7A65" w14:textId="77777777">
                <w:trPr>
                  <w:divId w:val="175048491"/>
                  <w:tblCellSpacing w:w="15" w:type="dxa"/>
                </w:trPr>
                <w:tc>
                  <w:tcPr>
                    <w:tcW w:w="50" w:type="pct"/>
                    <w:hideMark/>
                  </w:tcPr>
                  <w:p w14:paraId="54737078" w14:textId="77777777" w:rsidR="00C3255F" w:rsidRDefault="00C3255F">
                    <w:pPr>
                      <w:pStyle w:val="Bibliography"/>
                      <w:rPr>
                        <w:noProof/>
                      </w:rPr>
                    </w:pPr>
                    <w:r>
                      <w:rPr>
                        <w:noProof/>
                      </w:rPr>
                      <w:t xml:space="preserve">[14] </w:t>
                    </w:r>
                  </w:p>
                </w:tc>
                <w:tc>
                  <w:tcPr>
                    <w:tcW w:w="0" w:type="auto"/>
                    <w:hideMark/>
                  </w:tcPr>
                  <w:p w14:paraId="6BAE8B93" w14:textId="77777777" w:rsidR="00C3255F" w:rsidRDefault="00C3255F">
                    <w:pPr>
                      <w:pStyle w:val="Bibliography"/>
                      <w:rPr>
                        <w:noProof/>
                      </w:rPr>
                    </w:pPr>
                    <w:r>
                      <w:rPr>
                        <w:noProof/>
                      </w:rPr>
                      <w:t>United Nations Office for Disarmament Affairs (UNODA), “International Ammunition Technical Guidelines (IATG) 05.60: Radio Frequency Hazards,” United Nations, New York, 2021.</w:t>
                    </w:r>
                  </w:p>
                </w:tc>
              </w:tr>
              <w:tr w:rsidR="00C3255F" w14:paraId="2E63E394" w14:textId="77777777">
                <w:trPr>
                  <w:divId w:val="175048491"/>
                  <w:tblCellSpacing w:w="15" w:type="dxa"/>
                </w:trPr>
                <w:tc>
                  <w:tcPr>
                    <w:tcW w:w="50" w:type="pct"/>
                    <w:hideMark/>
                  </w:tcPr>
                  <w:p w14:paraId="45BD2F0F" w14:textId="77777777" w:rsidR="00C3255F" w:rsidRDefault="00C3255F">
                    <w:pPr>
                      <w:pStyle w:val="Bibliography"/>
                      <w:rPr>
                        <w:noProof/>
                      </w:rPr>
                    </w:pPr>
                    <w:r>
                      <w:rPr>
                        <w:noProof/>
                      </w:rPr>
                      <w:lastRenderedPageBreak/>
                      <w:t xml:space="preserve">[15] </w:t>
                    </w:r>
                  </w:p>
                </w:tc>
                <w:tc>
                  <w:tcPr>
                    <w:tcW w:w="0" w:type="auto"/>
                    <w:hideMark/>
                  </w:tcPr>
                  <w:p w14:paraId="05C33F66" w14:textId="77777777" w:rsidR="00C3255F" w:rsidRDefault="00C3255F">
                    <w:pPr>
                      <w:pStyle w:val="Bibliography"/>
                      <w:rPr>
                        <w:noProof/>
                      </w:rPr>
                    </w:pPr>
                    <w:r>
                      <w:rPr>
                        <w:noProof/>
                      </w:rPr>
                      <w:t>UK Defence Safety Authority, “JSP 482: Ministry of Defence Explosives Regulations, Part 2, Chapter 24 – HERO,” DSA, Bristol, 2019.</w:t>
                    </w:r>
                  </w:p>
                </w:tc>
              </w:tr>
              <w:tr w:rsidR="00C3255F" w14:paraId="13F3C435" w14:textId="77777777">
                <w:trPr>
                  <w:divId w:val="175048491"/>
                  <w:tblCellSpacing w:w="15" w:type="dxa"/>
                </w:trPr>
                <w:tc>
                  <w:tcPr>
                    <w:tcW w:w="50" w:type="pct"/>
                    <w:hideMark/>
                  </w:tcPr>
                  <w:p w14:paraId="491E6F18" w14:textId="77777777" w:rsidR="00C3255F" w:rsidRDefault="00C3255F">
                    <w:pPr>
                      <w:pStyle w:val="Bibliography"/>
                      <w:rPr>
                        <w:noProof/>
                      </w:rPr>
                    </w:pPr>
                    <w:r>
                      <w:rPr>
                        <w:noProof/>
                      </w:rPr>
                      <w:t xml:space="preserve">[16] </w:t>
                    </w:r>
                  </w:p>
                </w:tc>
                <w:tc>
                  <w:tcPr>
                    <w:tcW w:w="0" w:type="auto"/>
                    <w:hideMark/>
                  </w:tcPr>
                  <w:p w14:paraId="2F98CCC1" w14:textId="77777777" w:rsidR="00C3255F" w:rsidRDefault="00C3255F">
                    <w:pPr>
                      <w:pStyle w:val="Bibliography"/>
                      <w:rPr>
                        <w:noProof/>
                      </w:rPr>
                    </w:pPr>
                    <w:r>
                      <w:rPr>
                        <w:noProof/>
                      </w:rPr>
                      <w:t>United Nations Office for Disarmament Affairs (UNODA), “International Ammunition Technical Guidelines (IATG) 08.10: Transport of Ammunition,” United Nations, New York, 2011.</w:t>
                    </w:r>
                  </w:p>
                </w:tc>
              </w:tr>
              <w:tr w:rsidR="00C3255F" w14:paraId="513AE4DE" w14:textId="77777777">
                <w:trPr>
                  <w:divId w:val="175048491"/>
                  <w:tblCellSpacing w:w="15" w:type="dxa"/>
                </w:trPr>
                <w:tc>
                  <w:tcPr>
                    <w:tcW w:w="50" w:type="pct"/>
                    <w:hideMark/>
                  </w:tcPr>
                  <w:p w14:paraId="09BAF2A9" w14:textId="77777777" w:rsidR="00C3255F" w:rsidRDefault="00C3255F">
                    <w:pPr>
                      <w:pStyle w:val="Bibliography"/>
                      <w:rPr>
                        <w:noProof/>
                      </w:rPr>
                    </w:pPr>
                    <w:r>
                      <w:rPr>
                        <w:noProof/>
                      </w:rPr>
                      <w:t xml:space="preserve">[17] </w:t>
                    </w:r>
                  </w:p>
                </w:tc>
                <w:tc>
                  <w:tcPr>
                    <w:tcW w:w="0" w:type="auto"/>
                    <w:hideMark/>
                  </w:tcPr>
                  <w:p w14:paraId="63FBE2DB" w14:textId="77777777" w:rsidR="00C3255F" w:rsidRDefault="00C3255F">
                    <w:pPr>
                      <w:pStyle w:val="Bibliography"/>
                      <w:rPr>
                        <w:noProof/>
                      </w:rPr>
                    </w:pPr>
                    <w:r>
                      <w:rPr>
                        <w:noProof/>
                      </w:rPr>
                      <w:t>United Nations Office for Disarmament Affairs (UNODA), “International Ammunition Technical Guidelines (IATG) 06.20: Storage Space Requirements,” United Nations, New York, 2021.</w:t>
                    </w:r>
                  </w:p>
                </w:tc>
              </w:tr>
              <w:tr w:rsidR="00C3255F" w14:paraId="3AD05BC1" w14:textId="77777777">
                <w:trPr>
                  <w:divId w:val="175048491"/>
                  <w:tblCellSpacing w:w="15" w:type="dxa"/>
                </w:trPr>
                <w:tc>
                  <w:tcPr>
                    <w:tcW w:w="50" w:type="pct"/>
                    <w:hideMark/>
                  </w:tcPr>
                  <w:p w14:paraId="5B6AF569" w14:textId="77777777" w:rsidR="00C3255F" w:rsidRDefault="00C3255F">
                    <w:pPr>
                      <w:pStyle w:val="Bibliography"/>
                      <w:rPr>
                        <w:noProof/>
                      </w:rPr>
                    </w:pPr>
                    <w:r>
                      <w:rPr>
                        <w:noProof/>
                      </w:rPr>
                      <w:t xml:space="preserve">[18] </w:t>
                    </w:r>
                  </w:p>
                </w:tc>
                <w:tc>
                  <w:tcPr>
                    <w:tcW w:w="0" w:type="auto"/>
                    <w:hideMark/>
                  </w:tcPr>
                  <w:p w14:paraId="3155920A" w14:textId="77777777" w:rsidR="00C3255F" w:rsidRDefault="00C3255F">
                    <w:pPr>
                      <w:pStyle w:val="Bibliography"/>
                      <w:rPr>
                        <w:noProof/>
                      </w:rPr>
                    </w:pPr>
                    <w:r>
                      <w:rPr>
                        <w:noProof/>
                      </w:rPr>
                      <w:t>United Nations Office for Disarmament Affairs (UNODA), “International Ammunition Technical Guidelines (IATG) 03.10: Inventory Management,” United Nations, 2021, 2021.</w:t>
                    </w:r>
                  </w:p>
                </w:tc>
              </w:tr>
              <w:tr w:rsidR="00C3255F" w14:paraId="1EFC7015" w14:textId="77777777">
                <w:trPr>
                  <w:divId w:val="175048491"/>
                  <w:tblCellSpacing w:w="15" w:type="dxa"/>
                </w:trPr>
                <w:tc>
                  <w:tcPr>
                    <w:tcW w:w="50" w:type="pct"/>
                    <w:hideMark/>
                  </w:tcPr>
                  <w:p w14:paraId="665CD7F3" w14:textId="77777777" w:rsidR="00C3255F" w:rsidRDefault="00C3255F">
                    <w:pPr>
                      <w:pStyle w:val="Bibliography"/>
                      <w:rPr>
                        <w:noProof/>
                      </w:rPr>
                    </w:pPr>
                    <w:r>
                      <w:rPr>
                        <w:noProof/>
                      </w:rPr>
                      <w:t xml:space="preserve">[19] </w:t>
                    </w:r>
                  </w:p>
                </w:tc>
                <w:tc>
                  <w:tcPr>
                    <w:tcW w:w="0" w:type="auto"/>
                    <w:hideMark/>
                  </w:tcPr>
                  <w:p w14:paraId="12D56124" w14:textId="77777777" w:rsidR="00C3255F" w:rsidRDefault="00C3255F">
                    <w:pPr>
                      <w:pStyle w:val="Bibliography"/>
                      <w:rPr>
                        <w:noProof/>
                      </w:rPr>
                    </w:pPr>
                    <w:r>
                      <w:rPr>
                        <w:noProof/>
                      </w:rPr>
                      <w:t>Geneva International Centre for Humanitarian Demining, “PSSM Identification Cards: Stacks, Aisles and Dunnage,” GIHCD, Geneva, 2015.</w:t>
                    </w:r>
                  </w:p>
                </w:tc>
              </w:tr>
              <w:tr w:rsidR="00C3255F" w14:paraId="4F82BF27" w14:textId="77777777">
                <w:trPr>
                  <w:divId w:val="175048491"/>
                  <w:tblCellSpacing w:w="15" w:type="dxa"/>
                </w:trPr>
                <w:tc>
                  <w:tcPr>
                    <w:tcW w:w="50" w:type="pct"/>
                    <w:hideMark/>
                  </w:tcPr>
                  <w:p w14:paraId="55648C7A" w14:textId="77777777" w:rsidR="00C3255F" w:rsidRDefault="00C3255F">
                    <w:pPr>
                      <w:pStyle w:val="Bibliography"/>
                      <w:rPr>
                        <w:noProof/>
                      </w:rPr>
                    </w:pPr>
                    <w:r>
                      <w:rPr>
                        <w:noProof/>
                      </w:rPr>
                      <w:t xml:space="preserve">[20] </w:t>
                    </w:r>
                  </w:p>
                </w:tc>
                <w:tc>
                  <w:tcPr>
                    <w:tcW w:w="0" w:type="auto"/>
                    <w:hideMark/>
                  </w:tcPr>
                  <w:p w14:paraId="0D6DFCAA" w14:textId="77777777" w:rsidR="00C3255F" w:rsidRDefault="00C3255F">
                    <w:pPr>
                      <w:pStyle w:val="Bibliography"/>
                      <w:rPr>
                        <w:noProof/>
                      </w:rPr>
                    </w:pPr>
                    <w:r>
                      <w:rPr>
                        <w:noProof/>
                      </w:rPr>
                      <w:t xml:space="preserve">A. J. Beck and e. al., “Spread, behavior, and ecosystem consequences of conventional munitions compounds in coastal marine waters,” </w:t>
                    </w:r>
                    <w:r>
                      <w:rPr>
                        <w:i/>
                        <w:iCs/>
                        <w:noProof/>
                      </w:rPr>
                      <w:t xml:space="preserve">Frontiers in Marine Science, </w:t>
                    </w:r>
                    <w:r>
                      <w:rPr>
                        <w:noProof/>
                      </w:rPr>
                      <w:t xml:space="preserve">vol. 5, no. 1, p. 141, 2018. </w:t>
                    </w:r>
                  </w:p>
                </w:tc>
              </w:tr>
              <w:tr w:rsidR="00C3255F" w14:paraId="057279CB" w14:textId="77777777">
                <w:trPr>
                  <w:divId w:val="175048491"/>
                  <w:tblCellSpacing w:w="15" w:type="dxa"/>
                </w:trPr>
                <w:tc>
                  <w:tcPr>
                    <w:tcW w:w="50" w:type="pct"/>
                    <w:hideMark/>
                  </w:tcPr>
                  <w:p w14:paraId="65EC1A40" w14:textId="77777777" w:rsidR="00C3255F" w:rsidRDefault="00C3255F">
                    <w:pPr>
                      <w:pStyle w:val="Bibliography"/>
                      <w:rPr>
                        <w:noProof/>
                      </w:rPr>
                    </w:pPr>
                    <w:r>
                      <w:rPr>
                        <w:noProof/>
                      </w:rPr>
                      <w:t xml:space="preserve">[21] </w:t>
                    </w:r>
                  </w:p>
                </w:tc>
                <w:tc>
                  <w:tcPr>
                    <w:tcW w:w="0" w:type="auto"/>
                    <w:hideMark/>
                  </w:tcPr>
                  <w:p w14:paraId="2DB7F659" w14:textId="77777777" w:rsidR="00C3255F" w:rsidRDefault="00C3255F">
                    <w:pPr>
                      <w:pStyle w:val="Bibliography"/>
                      <w:rPr>
                        <w:noProof/>
                      </w:rPr>
                    </w:pPr>
                    <w:r>
                      <w:rPr>
                        <w:noProof/>
                      </w:rPr>
                      <w:t xml:space="preserve">MDPI, “Sea-dumped munitions: Detection, analysis and risk assessment,” </w:t>
                    </w:r>
                    <w:r>
                      <w:rPr>
                        <w:i/>
                        <w:iCs/>
                        <w:noProof/>
                      </w:rPr>
                      <w:t xml:space="preserve">Toxics Journal, </w:t>
                    </w:r>
                    <w:r>
                      <w:rPr>
                        <w:noProof/>
                      </w:rPr>
                      <w:t xml:space="preserve">no. (Special Issue), 2020. </w:t>
                    </w:r>
                  </w:p>
                </w:tc>
              </w:tr>
              <w:tr w:rsidR="00C3255F" w14:paraId="2DAB2B4F" w14:textId="77777777">
                <w:trPr>
                  <w:divId w:val="175048491"/>
                  <w:tblCellSpacing w:w="15" w:type="dxa"/>
                </w:trPr>
                <w:tc>
                  <w:tcPr>
                    <w:tcW w:w="50" w:type="pct"/>
                    <w:hideMark/>
                  </w:tcPr>
                  <w:p w14:paraId="13B722D6" w14:textId="77777777" w:rsidR="00C3255F" w:rsidRDefault="00C3255F">
                    <w:pPr>
                      <w:pStyle w:val="Bibliography"/>
                      <w:rPr>
                        <w:noProof/>
                      </w:rPr>
                    </w:pPr>
                    <w:r>
                      <w:rPr>
                        <w:noProof/>
                      </w:rPr>
                      <w:t xml:space="preserve">[22] </w:t>
                    </w:r>
                  </w:p>
                </w:tc>
                <w:tc>
                  <w:tcPr>
                    <w:tcW w:w="0" w:type="auto"/>
                    <w:hideMark/>
                  </w:tcPr>
                  <w:p w14:paraId="73C02728" w14:textId="77777777" w:rsidR="00C3255F" w:rsidRDefault="00C3255F">
                    <w:pPr>
                      <w:pStyle w:val="Bibliography"/>
                      <w:rPr>
                        <w:noProof/>
                      </w:rPr>
                    </w:pPr>
                    <w:r>
                      <w:rPr>
                        <w:noProof/>
                      </w:rPr>
                      <w:t>P. A. Davies, “A Methodology for the Quantitative Risk Assessment of the Road and Rail Transport of Explosives,” Loughborough University, Loughborough , 1998.</w:t>
                    </w:r>
                  </w:p>
                </w:tc>
              </w:tr>
              <w:tr w:rsidR="00C3255F" w14:paraId="6E568087" w14:textId="77777777">
                <w:trPr>
                  <w:divId w:val="175048491"/>
                  <w:tblCellSpacing w:w="15" w:type="dxa"/>
                </w:trPr>
                <w:tc>
                  <w:tcPr>
                    <w:tcW w:w="50" w:type="pct"/>
                    <w:hideMark/>
                  </w:tcPr>
                  <w:p w14:paraId="1AA94041" w14:textId="77777777" w:rsidR="00C3255F" w:rsidRDefault="00C3255F">
                    <w:pPr>
                      <w:pStyle w:val="Bibliography"/>
                      <w:rPr>
                        <w:noProof/>
                      </w:rPr>
                    </w:pPr>
                    <w:r>
                      <w:rPr>
                        <w:noProof/>
                      </w:rPr>
                      <w:t xml:space="preserve">[23] </w:t>
                    </w:r>
                  </w:p>
                </w:tc>
                <w:tc>
                  <w:tcPr>
                    <w:tcW w:w="0" w:type="auto"/>
                    <w:hideMark/>
                  </w:tcPr>
                  <w:p w14:paraId="6A12CD2F" w14:textId="77777777" w:rsidR="00C3255F" w:rsidRDefault="00C3255F">
                    <w:pPr>
                      <w:pStyle w:val="Bibliography"/>
                      <w:rPr>
                        <w:noProof/>
                      </w:rPr>
                    </w:pPr>
                    <w:r>
                      <w:rPr>
                        <w:noProof/>
                      </w:rPr>
                      <w:t xml:space="preserve">B. Fabiano, F. Curro, A. Pastorino and R. Pastorino, “Dangerous goods transportation by road: from risk analysis to emergency planning,” </w:t>
                    </w:r>
                    <w:r>
                      <w:rPr>
                        <w:i/>
                        <w:iCs/>
                        <w:noProof/>
                      </w:rPr>
                      <w:t xml:space="preserve">Journal of Loss Prevention in the Process Industries, </w:t>
                    </w:r>
                    <w:r>
                      <w:rPr>
                        <w:noProof/>
                      </w:rPr>
                      <w:t xml:space="preserve">vol. 18, no. 1, pp. 403-413, 205. </w:t>
                    </w:r>
                  </w:p>
                </w:tc>
              </w:tr>
              <w:tr w:rsidR="00C3255F" w14:paraId="4AD29ED9" w14:textId="77777777">
                <w:trPr>
                  <w:divId w:val="175048491"/>
                  <w:tblCellSpacing w:w="15" w:type="dxa"/>
                </w:trPr>
                <w:tc>
                  <w:tcPr>
                    <w:tcW w:w="50" w:type="pct"/>
                    <w:hideMark/>
                  </w:tcPr>
                  <w:p w14:paraId="078DAFEF" w14:textId="77777777" w:rsidR="00C3255F" w:rsidRDefault="00C3255F">
                    <w:pPr>
                      <w:pStyle w:val="Bibliography"/>
                      <w:rPr>
                        <w:noProof/>
                      </w:rPr>
                    </w:pPr>
                    <w:r>
                      <w:rPr>
                        <w:noProof/>
                      </w:rPr>
                      <w:t xml:space="preserve">[24] </w:t>
                    </w:r>
                  </w:p>
                </w:tc>
                <w:tc>
                  <w:tcPr>
                    <w:tcW w:w="0" w:type="auto"/>
                    <w:hideMark/>
                  </w:tcPr>
                  <w:p w14:paraId="61A32516" w14:textId="77777777" w:rsidR="00C3255F" w:rsidRDefault="00C3255F">
                    <w:pPr>
                      <w:pStyle w:val="Bibliography"/>
                      <w:rPr>
                        <w:noProof/>
                      </w:rPr>
                    </w:pPr>
                    <w:r>
                      <w:rPr>
                        <w:noProof/>
                      </w:rPr>
                      <w:t>UK Home Office, “Generic Risk Assessment 5.7: Incidents Involving Explosives,” Home Office, London, 2015.</w:t>
                    </w:r>
                  </w:p>
                </w:tc>
              </w:tr>
              <w:tr w:rsidR="00C3255F" w14:paraId="00951B76" w14:textId="77777777">
                <w:trPr>
                  <w:divId w:val="175048491"/>
                  <w:tblCellSpacing w:w="15" w:type="dxa"/>
                </w:trPr>
                <w:tc>
                  <w:tcPr>
                    <w:tcW w:w="50" w:type="pct"/>
                    <w:hideMark/>
                  </w:tcPr>
                  <w:p w14:paraId="0D24CD37" w14:textId="77777777" w:rsidR="00C3255F" w:rsidRDefault="00C3255F">
                    <w:pPr>
                      <w:pStyle w:val="Bibliography"/>
                      <w:rPr>
                        <w:noProof/>
                      </w:rPr>
                    </w:pPr>
                    <w:r>
                      <w:rPr>
                        <w:noProof/>
                      </w:rPr>
                      <w:t xml:space="preserve">[25] </w:t>
                    </w:r>
                  </w:p>
                </w:tc>
                <w:tc>
                  <w:tcPr>
                    <w:tcW w:w="0" w:type="auto"/>
                    <w:hideMark/>
                  </w:tcPr>
                  <w:p w14:paraId="57E17D69" w14:textId="77777777" w:rsidR="00C3255F" w:rsidRDefault="00C3255F">
                    <w:pPr>
                      <w:pStyle w:val="Bibliography"/>
                      <w:rPr>
                        <w:noProof/>
                      </w:rPr>
                    </w:pPr>
                    <w:r>
                      <w:rPr>
                        <w:noProof/>
                      </w:rPr>
                      <w:t>United Nations Office for Disarmament Affairs (UNODA), “International Ammunition Technical Guidelines (IATG) 07.10 and 07.30: Surveillance, Proof and Inspection,” United Nations, New York, 2015-2021.</w:t>
                    </w:r>
                  </w:p>
                </w:tc>
              </w:tr>
              <w:tr w:rsidR="00C3255F" w14:paraId="1F462F31" w14:textId="77777777">
                <w:trPr>
                  <w:divId w:val="175048491"/>
                  <w:tblCellSpacing w:w="15" w:type="dxa"/>
                </w:trPr>
                <w:tc>
                  <w:tcPr>
                    <w:tcW w:w="50" w:type="pct"/>
                    <w:hideMark/>
                  </w:tcPr>
                  <w:p w14:paraId="734B2A12" w14:textId="77777777" w:rsidR="00C3255F" w:rsidRDefault="00C3255F">
                    <w:pPr>
                      <w:pStyle w:val="Bibliography"/>
                      <w:rPr>
                        <w:noProof/>
                      </w:rPr>
                    </w:pPr>
                    <w:r>
                      <w:rPr>
                        <w:noProof/>
                      </w:rPr>
                      <w:t xml:space="preserve">[26] </w:t>
                    </w:r>
                  </w:p>
                </w:tc>
                <w:tc>
                  <w:tcPr>
                    <w:tcW w:w="0" w:type="auto"/>
                    <w:hideMark/>
                  </w:tcPr>
                  <w:p w14:paraId="2599FB30" w14:textId="77777777" w:rsidR="00C3255F" w:rsidRDefault="00C3255F">
                    <w:pPr>
                      <w:pStyle w:val="Bibliography"/>
                      <w:rPr>
                        <w:noProof/>
                      </w:rPr>
                    </w:pPr>
                    <w:r>
                      <w:rPr>
                        <w:noProof/>
                      </w:rPr>
                      <w:t>United Nations Office for Disarmament Affairs (UNODA), “International Ammunition Technical Guidelines (IATG) 06.10: Control of Explosives Facilities,” United Nations, 2021, 2021.</w:t>
                    </w:r>
                  </w:p>
                </w:tc>
              </w:tr>
              <w:tr w:rsidR="00C3255F" w14:paraId="447A78FA" w14:textId="77777777">
                <w:trPr>
                  <w:divId w:val="175048491"/>
                  <w:tblCellSpacing w:w="15" w:type="dxa"/>
                </w:trPr>
                <w:tc>
                  <w:tcPr>
                    <w:tcW w:w="50" w:type="pct"/>
                    <w:hideMark/>
                  </w:tcPr>
                  <w:p w14:paraId="628D1A9A" w14:textId="77777777" w:rsidR="00C3255F" w:rsidRDefault="00C3255F">
                    <w:pPr>
                      <w:pStyle w:val="Bibliography"/>
                      <w:rPr>
                        <w:noProof/>
                      </w:rPr>
                    </w:pPr>
                    <w:r>
                      <w:rPr>
                        <w:noProof/>
                      </w:rPr>
                      <w:t xml:space="preserve">[27] </w:t>
                    </w:r>
                  </w:p>
                </w:tc>
                <w:tc>
                  <w:tcPr>
                    <w:tcW w:w="0" w:type="auto"/>
                    <w:hideMark/>
                  </w:tcPr>
                  <w:p w14:paraId="5A4281CD" w14:textId="77777777" w:rsidR="00C3255F" w:rsidRDefault="00C3255F">
                    <w:pPr>
                      <w:pStyle w:val="Bibliography"/>
                      <w:rPr>
                        <w:noProof/>
                      </w:rPr>
                    </w:pPr>
                    <w:r>
                      <w:rPr>
                        <w:noProof/>
                      </w:rPr>
                      <w:t>CrimeRate.co.uk, “Swansea Crime and Safety Statistics,” 2025. [Online]. Available: https://www.crimerate.co.uk. [Accessed 01 December 2025].</w:t>
                    </w:r>
                  </w:p>
                </w:tc>
              </w:tr>
              <w:tr w:rsidR="00C3255F" w14:paraId="7BEC5251" w14:textId="77777777">
                <w:trPr>
                  <w:divId w:val="175048491"/>
                  <w:tblCellSpacing w:w="15" w:type="dxa"/>
                </w:trPr>
                <w:tc>
                  <w:tcPr>
                    <w:tcW w:w="50" w:type="pct"/>
                    <w:hideMark/>
                  </w:tcPr>
                  <w:p w14:paraId="297FF10E" w14:textId="77777777" w:rsidR="00C3255F" w:rsidRDefault="00C3255F">
                    <w:pPr>
                      <w:pStyle w:val="Bibliography"/>
                      <w:rPr>
                        <w:noProof/>
                      </w:rPr>
                    </w:pPr>
                    <w:r>
                      <w:rPr>
                        <w:noProof/>
                      </w:rPr>
                      <w:t xml:space="preserve">[28] </w:t>
                    </w:r>
                  </w:p>
                </w:tc>
                <w:tc>
                  <w:tcPr>
                    <w:tcW w:w="0" w:type="auto"/>
                    <w:hideMark/>
                  </w:tcPr>
                  <w:p w14:paraId="2C4F5E95" w14:textId="77777777" w:rsidR="00C3255F" w:rsidRDefault="00C3255F">
                    <w:pPr>
                      <w:pStyle w:val="Bibliography"/>
                      <w:rPr>
                        <w:noProof/>
                      </w:rPr>
                    </w:pPr>
                    <w:r>
                      <w:rPr>
                        <w:noProof/>
                      </w:rPr>
                      <w:t>United Nations Office for Disarmament Affairs (UNODA), “International Ammunition Technical Guidelines (IATG) 09.10: Security Principles and Systems,” New York, New York, 2021.</w:t>
                    </w:r>
                  </w:p>
                </w:tc>
              </w:tr>
              <w:tr w:rsidR="00C3255F" w14:paraId="703DBAFB" w14:textId="77777777">
                <w:trPr>
                  <w:divId w:val="175048491"/>
                  <w:tblCellSpacing w:w="15" w:type="dxa"/>
                </w:trPr>
                <w:tc>
                  <w:tcPr>
                    <w:tcW w:w="50" w:type="pct"/>
                    <w:hideMark/>
                  </w:tcPr>
                  <w:p w14:paraId="341EE59D" w14:textId="77777777" w:rsidR="00C3255F" w:rsidRDefault="00C3255F">
                    <w:pPr>
                      <w:pStyle w:val="Bibliography"/>
                      <w:rPr>
                        <w:noProof/>
                      </w:rPr>
                    </w:pPr>
                    <w:r>
                      <w:rPr>
                        <w:noProof/>
                      </w:rPr>
                      <w:lastRenderedPageBreak/>
                      <w:t xml:space="preserve">[29] </w:t>
                    </w:r>
                  </w:p>
                </w:tc>
                <w:tc>
                  <w:tcPr>
                    <w:tcW w:w="0" w:type="auto"/>
                    <w:hideMark/>
                  </w:tcPr>
                  <w:p w14:paraId="205B7900" w14:textId="77777777" w:rsidR="00C3255F" w:rsidRDefault="00C3255F">
                    <w:pPr>
                      <w:pStyle w:val="Bibliography"/>
                      <w:rPr>
                        <w:noProof/>
                      </w:rPr>
                    </w:pPr>
                    <w:r>
                      <w:rPr>
                        <w:noProof/>
                      </w:rPr>
                      <w:t>United Nations Office for Disarmament Affairs (UNODA), “International Ammunition Technical Guidelines (IATG) 02.50: Fire Safety,” United Nations, New York, 2021.</w:t>
                    </w:r>
                  </w:p>
                </w:tc>
              </w:tr>
              <w:tr w:rsidR="00C3255F" w14:paraId="763317EF" w14:textId="77777777">
                <w:trPr>
                  <w:divId w:val="175048491"/>
                  <w:tblCellSpacing w:w="15" w:type="dxa"/>
                </w:trPr>
                <w:tc>
                  <w:tcPr>
                    <w:tcW w:w="50" w:type="pct"/>
                    <w:hideMark/>
                  </w:tcPr>
                  <w:p w14:paraId="0B3B220D" w14:textId="77777777" w:rsidR="00C3255F" w:rsidRDefault="00C3255F">
                    <w:pPr>
                      <w:pStyle w:val="Bibliography"/>
                      <w:rPr>
                        <w:noProof/>
                      </w:rPr>
                    </w:pPr>
                    <w:r>
                      <w:rPr>
                        <w:noProof/>
                      </w:rPr>
                      <w:t xml:space="preserve">[30] </w:t>
                    </w:r>
                  </w:p>
                </w:tc>
                <w:tc>
                  <w:tcPr>
                    <w:tcW w:w="0" w:type="auto"/>
                    <w:hideMark/>
                  </w:tcPr>
                  <w:p w14:paraId="769611BB" w14:textId="77777777" w:rsidR="00C3255F" w:rsidRDefault="00C3255F">
                    <w:pPr>
                      <w:pStyle w:val="Bibliography"/>
                      <w:rPr>
                        <w:noProof/>
                      </w:rPr>
                    </w:pPr>
                    <w:r>
                      <w:rPr>
                        <w:noProof/>
                      </w:rPr>
                      <w:t>United Nations Office for Disarmament Affairs (UNODA), “International Ammunition Technical Guidelines (IATG) 05.40: Electrical Installations,” United Nation, 2021, 2021.</w:t>
                    </w:r>
                  </w:p>
                </w:tc>
              </w:tr>
              <w:tr w:rsidR="00C3255F" w14:paraId="41C6B98D" w14:textId="77777777">
                <w:trPr>
                  <w:divId w:val="175048491"/>
                  <w:tblCellSpacing w:w="15" w:type="dxa"/>
                </w:trPr>
                <w:tc>
                  <w:tcPr>
                    <w:tcW w:w="50" w:type="pct"/>
                    <w:hideMark/>
                  </w:tcPr>
                  <w:p w14:paraId="212A2656" w14:textId="77777777" w:rsidR="00C3255F" w:rsidRDefault="00C3255F">
                    <w:pPr>
                      <w:pStyle w:val="Bibliography"/>
                      <w:rPr>
                        <w:noProof/>
                      </w:rPr>
                    </w:pPr>
                    <w:r>
                      <w:rPr>
                        <w:noProof/>
                      </w:rPr>
                      <w:t xml:space="preserve">[31] </w:t>
                    </w:r>
                  </w:p>
                </w:tc>
                <w:tc>
                  <w:tcPr>
                    <w:tcW w:w="0" w:type="auto"/>
                    <w:hideMark/>
                  </w:tcPr>
                  <w:p w14:paraId="690D641E" w14:textId="77777777" w:rsidR="00C3255F" w:rsidRDefault="00C3255F">
                    <w:pPr>
                      <w:pStyle w:val="Bibliography"/>
                      <w:rPr>
                        <w:noProof/>
                      </w:rPr>
                    </w:pPr>
                    <w:r>
                      <w:rPr>
                        <w:noProof/>
                      </w:rPr>
                      <w:t>National Fire Protection Association, “NFPA 780: Standard for the Installation of Lightning Protection Systems,” NFPA, Quincy, MA, 2019.</w:t>
                    </w:r>
                  </w:p>
                </w:tc>
              </w:tr>
              <w:tr w:rsidR="00C3255F" w14:paraId="45C2D5F7" w14:textId="77777777">
                <w:trPr>
                  <w:divId w:val="175048491"/>
                  <w:tblCellSpacing w:w="15" w:type="dxa"/>
                </w:trPr>
                <w:tc>
                  <w:tcPr>
                    <w:tcW w:w="50" w:type="pct"/>
                    <w:hideMark/>
                  </w:tcPr>
                  <w:p w14:paraId="7FC92A37" w14:textId="77777777" w:rsidR="00C3255F" w:rsidRDefault="00C3255F">
                    <w:pPr>
                      <w:pStyle w:val="Bibliography"/>
                      <w:rPr>
                        <w:noProof/>
                      </w:rPr>
                    </w:pPr>
                    <w:r>
                      <w:rPr>
                        <w:noProof/>
                      </w:rPr>
                      <w:t xml:space="preserve">[32] </w:t>
                    </w:r>
                  </w:p>
                </w:tc>
                <w:tc>
                  <w:tcPr>
                    <w:tcW w:w="0" w:type="auto"/>
                    <w:hideMark/>
                  </w:tcPr>
                  <w:p w14:paraId="63657192" w14:textId="77777777" w:rsidR="00C3255F" w:rsidRDefault="00C3255F">
                    <w:pPr>
                      <w:pStyle w:val="Bibliography"/>
                      <w:rPr>
                        <w:noProof/>
                      </w:rPr>
                    </w:pPr>
                    <w:r>
                      <w:rPr>
                        <w:noProof/>
                      </w:rPr>
                      <w:t>R. E. Hileman, “Lightning Protection at Military Explosives Storage Facilities,” Vaisala, 2011.</w:t>
                    </w:r>
                  </w:p>
                </w:tc>
              </w:tr>
              <w:tr w:rsidR="00C3255F" w14:paraId="15A0D11E" w14:textId="77777777">
                <w:trPr>
                  <w:divId w:val="175048491"/>
                  <w:tblCellSpacing w:w="15" w:type="dxa"/>
                </w:trPr>
                <w:tc>
                  <w:tcPr>
                    <w:tcW w:w="50" w:type="pct"/>
                    <w:hideMark/>
                  </w:tcPr>
                  <w:p w14:paraId="5E973C18" w14:textId="77777777" w:rsidR="00C3255F" w:rsidRDefault="00C3255F">
                    <w:pPr>
                      <w:pStyle w:val="Bibliography"/>
                      <w:rPr>
                        <w:noProof/>
                      </w:rPr>
                    </w:pPr>
                    <w:r>
                      <w:rPr>
                        <w:noProof/>
                      </w:rPr>
                      <w:t xml:space="preserve">[33] </w:t>
                    </w:r>
                  </w:p>
                </w:tc>
                <w:tc>
                  <w:tcPr>
                    <w:tcW w:w="0" w:type="auto"/>
                    <w:hideMark/>
                  </w:tcPr>
                  <w:p w14:paraId="6AE95CFA" w14:textId="77777777" w:rsidR="00C3255F" w:rsidRDefault="00C3255F">
                    <w:pPr>
                      <w:pStyle w:val="Bibliography"/>
                      <w:rPr>
                        <w:noProof/>
                      </w:rPr>
                    </w:pPr>
                    <w:r>
                      <w:rPr>
                        <w:noProof/>
                      </w:rPr>
                      <w:t>R. E. Hileman, “Lightning Protection at Military Explosives Storage Facilities,” Vaisala, 2011.</w:t>
                    </w:r>
                  </w:p>
                </w:tc>
              </w:tr>
            </w:tbl>
            <w:p w14:paraId="55832DC2" w14:textId="77777777" w:rsidR="00C3255F" w:rsidRDefault="00C3255F">
              <w:pPr>
                <w:divId w:val="175048491"/>
                <w:rPr>
                  <w:rFonts w:eastAsia="Times New Roman"/>
                  <w:noProof/>
                </w:rPr>
              </w:pPr>
            </w:p>
            <w:p w14:paraId="77C2DE53" w14:textId="63A841AD" w:rsidR="00FE31F1" w:rsidRPr="00143358" w:rsidRDefault="00FE31F1">
              <w:r w:rsidRPr="00143358">
                <w:rPr>
                  <w:b/>
                  <w:bCs/>
                  <w:noProof/>
                </w:rPr>
                <w:fldChar w:fldCharType="end"/>
              </w:r>
            </w:p>
          </w:sdtContent>
        </w:sdt>
      </w:sdtContent>
    </w:sdt>
    <w:p w14:paraId="5EA43478" w14:textId="77777777" w:rsidR="00FE31F1" w:rsidRPr="00143358" w:rsidRDefault="00FE31F1" w:rsidP="00B974AB">
      <w:pPr>
        <w:rPr>
          <w:b/>
          <w:bCs/>
        </w:rPr>
      </w:pPr>
    </w:p>
    <w:p w14:paraId="5C3711B4" w14:textId="77777777" w:rsidR="00B974AB" w:rsidRPr="00143358" w:rsidRDefault="00B974AB" w:rsidP="00B842E1"/>
    <w:p w14:paraId="487B9AF4" w14:textId="77777777" w:rsidR="00B842E1" w:rsidRPr="00143358" w:rsidRDefault="00B842E1">
      <w:pPr>
        <w:rPr>
          <w:b/>
          <w:bCs/>
        </w:rPr>
      </w:pPr>
    </w:p>
    <w:p w14:paraId="68680A49" w14:textId="77777777" w:rsidR="001E50CE" w:rsidRPr="00143358" w:rsidRDefault="001E50CE"/>
    <w:sectPr w:rsidR="001E50CE" w:rsidRPr="00143358" w:rsidSect="00CA1D97">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50BEC" w14:textId="77777777" w:rsidR="00294145" w:rsidRDefault="00294145" w:rsidP="00CA1D97">
      <w:pPr>
        <w:spacing w:after="0" w:line="240" w:lineRule="auto"/>
      </w:pPr>
      <w:r>
        <w:separator/>
      </w:r>
    </w:p>
  </w:endnote>
  <w:endnote w:type="continuationSeparator" w:id="0">
    <w:p w14:paraId="66B51BCD" w14:textId="77777777" w:rsidR="00294145" w:rsidRDefault="00294145" w:rsidP="00CA1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8105210"/>
      <w:docPartObj>
        <w:docPartGallery w:val="Page Numbers (Bottom of Page)"/>
        <w:docPartUnique/>
      </w:docPartObj>
    </w:sdtPr>
    <w:sdtEndPr>
      <w:rPr>
        <w:noProof/>
      </w:rPr>
    </w:sdtEndPr>
    <w:sdtContent>
      <w:p w14:paraId="0089919B" w14:textId="39C4BF2F" w:rsidR="00CA1D97" w:rsidRDefault="00CA1D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79E777" w14:textId="77777777" w:rsidR="00CA1D97" w:rsidRDefault="00CA1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C1CB6" w14:textId="77777777" w:rsidR="00294145" w:rsidRDefault="00294145" w:rsidP="00CA1D97">
      <w:pPr>
        <w:spacing w:after="0" w:line="240" w:lineRule="auto"/>
      </w:pPr>
      <w:r>
        <w:separator/>
      </w:r>
    </w:p>
  </w:footnote>
  <w:footnote w:type="continuationSeparator" w:id="0">
    <w:p w14:paraId="2B18D418" w14:textId="77777777" w:rsidR="00294145" w:rsidRDefault="00294145" w:rsidP="00CA1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9D9"/>
    <w:multiLevelType w:val="multilevel"/>
    <w:tmpl w:val="7C02C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E1825"/>
    <w:multiLevelType w:val="multilevel"/>
    <w:tmpl w:val="FC82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156DD"/>
    <w:multiLevelType w:val="multilevel"/>
    <w:tmpl w:val="4726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B25DC"/>
    <w:multiLevelType w:val="multilevel"/>
    <w:tmpl w:val="5476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30D48"/>
    <w:multiLevelType w:val="multilevel"/>
    <w:tmpl w:val="6B92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A05A4"/>
    <w:multiLevelType w:val="multilevel"/>
    <w:tmpl w:val="40681F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E3550B"/>
    <w:multiLevelType w:val="multilevel"/>
    <w:tmpl w:val="4BECFF8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110801"/>
    <w:multiLevelType w:val="hybridMultilevel"/>
    <w:tmpl w:val="766A326E"/>
    <w:lvl w:ilvl="0" w:tplc="E794D194">
      <w:numFmt w:val="bullet"/>
      <w:lvlText w:val="-"/>
      <w:lvlJc w:val="left"/>
      <w:pPr>
        <w:ind w:left="764" w:hanging="360"/>
      </w:pPr>
      <w:rPr>
        <w:rFonts w:ascii="Aptos" w:eastAsiaTheme="minorHAnsi" w:hAnsi="Aptos" w:cstheme="minorBidi"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8" w15:restartNumberingAfterBreak="0">
    <w:nsid w:val="172810B8"/>
    <w:multiLevelType w:val="multilevel"/>
    <w:tmpl w:val="4DA05D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AE0BEB"/>
    <w:multiLevelType w:val="multilevel"/>
    <w:tmpl w:val="B13CEF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0B3E24"/>
    <w:multiLevelType w:val="multilevel"/>
    <w:tmpl w:val="6CAA1A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403E97"/>
    <w:multiLevelType w:val="multilevel"/>
    <w:tmpl w:val="C688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E35ECC"/>
    <w:multiLevelType w:val="hybridMultilevel"/>
    <w:tmpl w:val="82AED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90AF9"/>
    <w:multiLevelType w:val="multilevel"/>
    <w:tmpl w:val="4830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03371"/>
    <w:multiLevelType w:val="multilevel"/>
    <w:tmpl w:val="7B165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72665"/>
    <w:multiLevelType w:val="hybridMultilevel"/>
    <w:tmpl w:val="35B24778"/>
    <w:lvl w:ilvl="0" w:tplc="B6E0475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624AD6"/>
    <w:multiLevelType w:val="multilevel"/>
    <w:tmpl w:val="7BE0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7489E"/>
    <w:multiLevelType w:val="multilevel"/>
    <w:tmpl w:val="1A58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5B407B"/>
    <w:multiLevelType w:val="multilevel"/>
    <w:tmpl w:val="DE90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257AB9"/>
    <w:multiLevelType w:val="multilevel"/>
    <w:tmpl w:val="B964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97ABF"/>
    <w:multiLevelType w:val="multilevel"/>
    <w:tmpl w:val="685C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2C72E4"/>
    <w:multiLevelType w:val="multilevel"/>
    <w:tmpl w:val="A4EA14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477783"/>
    <w:multiLevelType w:val="multilevel"/>
    <w:tmpl w:val="65AE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C2E02"/>
    <w:multiLevelType w:val="multilevel"/>
    <w:tmpl w:val="6F3C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C0076B"/>
    <w:multiLevelType w:val="hybridMultilevel"/>
    <w:tmpl w:val="54A49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842846"/>
    <w:multiLevelType w:val="multilevel"/>
    <w:tmpl w:val="8D58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CD4727"/>
    <w:multiLevelType w:val="multilevel"/>
    <w:tmpl w:val="BD48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1020D4"/>
    <w:multiLevelType w:val="multilevel"/>
    <w:tmpl w:val="5000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923E67"/>
    <w:multiLevelType w:val="hybridMultilevel"/>
    <w:tmpl w:val="8FDC563E"/>
    <w:lvl w:ilvl="0" w:tplc="E794D1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A252EB"/>
    <w:multiLevelType w:val="multilevel"/>
    <w:tmpl w:val="720EF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980810"/>
    <w:multiLevelType w:val="multilevel"/>
    <w:tmpl w:val="DC94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9B6DD1"/>
    <w:multiLevelType w:val="hybridMultilevel"/>
    <w:tmpl w:val="9A309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373FF5"/>
    <w:multiLevelType w:val="multilevel"/>
    <w:tmpl w:val="D43EFF8A"/>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430AB1"/>
    <w:multiLevelType w:val="multilevel"/>
    <w:tmpl w:val="AEC41FE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7E0D61"/>
    <w:multiLevelType w:val="multilevel"/>
    <w:tmpl w:val="F8E0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C13F2"/>
    <w:multiLevelType w:val="hybridMultilevel"/>
    <w:tmpl w:val="1F9AC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1D7400"/>
    <w:multiLevelType w:val="multilevel"/>
    <w:tmpl w:val="DD50C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E96BA5"/>
    <w:multiLevelType w:val="multilevel"/>
    <w:tmpl w:val="DB0AB47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8C50EB"/>
    <w:multiLevelType w:val="multilevel"/>
    <w:tmpl w:val="1F205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4A032F"/>
    <w:multiLevelType w:val="multilevel"/>
    <w:tmpl w:val="91E8E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CD55E7"/>
    <w:multiLevelType w:val="multilevel"/>
    <w:tmpl w:val="9EA0E33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6343300">
    <w:abstractNumId w:val="28"/>
  </w:num>
  <w:num w:numId="2" w16cid:durableId="1274941652">
    <w:abstractNumId w:val="15"/>
  </w:num>
  <w:num w:numId="3" w16cid:durableId="1234700350">
    <w:abstractNumId w:val="2"/>
  </w:num>
  <w:num w:numId="4" w16cid:durableId="361131300">
    <w:abstractNumId w:val="17"/>
  </w:num>
  <w:num w:numId="5" w16cid:durableId="1395663065">
    <w:abstractNumId w:val="27"/>
  </w:num>
  <w:num w:numId="6" w16cid:durableId="1610505690">
    <w:abstractNumId w:val="12"/>
  </w:num>
  <w:num w:numId="7" w16cid:durableId="1805542416">
    <w:abstractNumId w:val="7"/>
  </w:num>
  <w:num w:numId="8" w16cid:durableId="1637951899">
    <w:abstractNumId w:val="3"/>
  </w:num>
  <w:num w:numId="9" w16cid:durableId="200747425">
    <w:abstractNumId w:val="25"/>
  </w:num>
  <w:num w:numId="10" w16cid:durableId="319233473">
    <w:abstractNumId w:val="18"/>
  </w:num>
  <w:num w:numId="11" w16cid:durableId="1727070560">
    <w:abstractNumId w:val="14"/>
  </w:num>
  <w:num w:numId="12" w16cid:durableId="1829593283">
    <w:abstractNumId w:val="34"/>
  </w:num>
  <w:num w:numId="13" w16cid:durableId="1046489870">
    <w:abstractNumId w:val="30"/>
  </w:num>
  <w:num w:numId="14" w16cid:durableId="948661616">
    <w:abstractNumId w:val="36"/>
  </w:num>
  <w:num w:numId="15" w16cid:durableId="1855682979">
    <w:abstractNumId w:val="13"/>
  </w:num>
  <w:num w:numId="16" w16cid:durableId="302391482">
    <w:abstractNumId w:val="23"/>
  </w:num>
  <w:num w:numId="17" w16cid:durableId="1924297941">
    <w:abstractNumId w:val="22"/>
  </w:num>
  <w:num w:numId="18" w16cid:durableId="614563234">
    <w:abstractNumId w:val="29"/>
  </w:num>
  <w:num w:numId="19" w16cid:durableId="502279070">
    <w:abstractNumId w:val="0"/>
  </w:num>
  <w:num w:numId="20" w16cid:durableId="1992365791">
    <w:abstractNumId w:val="38"/>
  </w:num>
  <w:num w:numId="21" w16cid:durableId="743189206">
    <w:abstractNumId w:val="11"/>
  </w:num>
  <w:num w:numId="22" w16cid:durableId="483937455">
    <w:abstractNumId w:val="39"/>
  </w:num>
  <w:num w:numId="23" w16cid:durableId="1661158819">
    <w:abstractNumId w:val="9"/>
  </w:num>
  <w:num w:numId="24" w16cid:durableId="225336298">
    <w:abstractNumId w:val="21"/>
  </w:num>
  <w:num w:numId="25" w16cid:durableId="148597093">
    <w:abstractNumId w:val="33"/>
  </w:num>
  <w:num w:numId="26" w16cid:durableId="523596704">
    <w:abstractNumId w:val="8"/>
  </w:num>
  <w:num w:numId="27" w16cid:durableId="62874496">
    <w:abstractNumId w:val="10"/>
  </w:num>
  <w:num w:numId="28" w16cid:durableId="1009019990">
    <w:abstractNumId w:val="37"/>
  </w:num>
  <w:num w:numId="29" w16cid:durableId="2093576171">
    <w:abstractNumId w:val="40"/>
  </w:num>
  <w:num w:numId="30" w16cid:durableId="1185749271">
    <w:abstractNumId w:val="26"/>
  </w:num>
  <w:num w:numId="31" w16cid:durableId="268974815">
    <w:abstractNumId w:val="20"/>
  </w:num>
  <w:num w:numId="32" w16cid:durableId="548225486">
    <w:abstractNumId w:val="19"/>
  </w:num>
  <w:num w:numId="33" w16cid:durableId="717357602">
    <w:abstractNumId w:val="16"/>
  </w:num>
  <w:num w:numId="34" w16cid:durableId="1392314768">
    <w:abstractNumId w:val="1"/>
  </w:num>
  <w:num w:numId="35" w16cid:durableId="746730807">
    <w:abstractNumId w:val="4"/>
  </w:num>
  <w:num w:numId="36" w16cid:durableId="695934485">
    <w:abstractNumId w:val="6"/>
  </w:num>
  <w:num w:numId="37" w16cid:durableId="851644421">
    <w:abstractNumId w:val="31"/>
  </w:num>
  <w:num w:numId="38" w16cid:durableId="339435564">
    <w:abstractNumId w:val="5"/>
  </w:num>
  <w:num w:numId="39" w16cid:durableId="162353600">
    <w:abstractNumId w:val="32"/>
  </w:num>
  <w:num w:numId="40" w16cid:durableId="1592808733">
    <w:abstractNumId w:val="35"/>
  </w:num>
  <w:num w:numId="41" w16cid:durableId="24827351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CE"/>
    <w:rsid w:val="00000435"/>
    <w:rsid w:val="00035C91"/>
    <w:rsid w:val="00043F90"/>
    <w:rsid w:val="00052132"/>
    <w:rsid w:val="00054775"/>
    <w:rsid w:val="00064145"/>
    <w:rsid w:val="00066E40"/>
    <w:rsid w:val="00092BBC"/>
    <w:rsid w:val="000A60BD"/>
    <w:rsid w:val="000E4A9C"/>
    <w:rsid w:val="00103692"/>
    <w:rsid w:val="00110245"/>
    <w:rsid w:val="001112E5"/>
    <w:rsid w:val="001353F8"/>
    <w:rsid w:val="00143358"/>
    <w:rsid w:val="001923EB"/>
    <w:rsid w:val="001E50CE"/>
    <w:rsid w:val="00216844"/>
    <w:rsid w:val="0024786C"/>
    <w:rsid w:val="0026212E"/>
    <w:rsid w:val="00294145"/>
    <w:rsid w:val="002A6BAA"/>
    <w:rsid w:val="00386F2E"/>
    <w:rsid w:val="003948FE"/>
    <w:rsid w:val="003A03F1"/>
    <w:rsid w:val="003B154B"/>
    <w:rsid w:val="003E3AAE"/>
    <w:rsid w:val="003F3832"/>
    <w:rsid w:val="00405F41"/>
    <w:rsid w:val="004064FB"/>
    <w:rsid w:val="00466F70"/>
    <w:rsid w:val="004766E4"/>
    <w:rsid w:val="004B2E66"/>
    <w:rsid w:val="004B5806"/>
    <w:rsid w:val="004F4F02"/>
    <w:rsid w:val="00521FCB"/>
    <w:rsid w:val="00541E75"/>
    <w:rsid w:val="00560D93"/>
    <w:rsid w:val="00595C66"/>
    <w:rsid w:val="00624456"/>
    <w:rsid w:val="00626261"/>
    <w:rsid w:val="006801DC"/>
    <w:rsid w:val="006A1F18"/>
    <w:rsid w:val="007208A9"/>
    <w:rsid w:val="00727D75"/>
    <w:rsid w:val="007745F4"/>
    <w:rsid w:val="007A74FD"/>
    <w:rsid w:val="007C15A0"/>
    <w:rsid w:val="007C3C30"/>
    <w:rsid w:val="007D2178"/>
    <w:rsid w:val="007E0D40"/>
    <w:rsid w:val="0084493B"/>
    <w:rsid w:val="008961B4"/>
    <w:rsid w:val="00903F88"/>
    <w:rsid w:val="0097279D"/>
    <w:rsid w:val="00974273"/>
    <w:rsid w:val="00974874"/>
    <w:rsid w:val="009777D7"/>
    <w:rsid w:val="00987041"/>
    <w:rsid w:val="009A4680"/>
    <w:rsid w:val="009D094E"/>
    <w:rsid w:val="009E0C84"/>
    <w:rsid w:val="00A4184B"/>
    <w:rsid w:val="00A41B6A"/>
    <w:rsid w:val="00A7336D"/>
    <w:rsid w:val="00AC434F"/>
    <w:rsid w:val="00B17D56"/>
    <w:rsid w:val="00B249C5"/>
    <w:rsid w:val="00B41F43"/>
    <w:rsid w:val="00B51F59"/>
    <w:rsid w:val="00B842E1"/>
    <w:rsid w:val="00B974AB"/>
    <w:rsid w:val="00BA0DB7"/>
    <w:rsid w:val="00BA3395"/>
    <w:rsid w:val="00BA5433"/>
    <w:rsid w:val="00BB2030"/>
    <w:rsid w:val="00C0490B"/>
    <w:rsid w:val="00C3255F"/>
    <w:rsid w:val="00C34AE1"/>
    <w:rsid w:val="00C73B37"/>
    <w:rsid w:val="00CA1D97"/>
    <w:rsid w:val="00CA36EF"/>
    <w:rsid w:val="00D03984"/>
    <w:rsid w:val="00D10BFF"/>
    <w:rsid w:val="00D3572A"/>
    <w:rsid w:val="00D574D6"/>
    <w:rsid w:val="00D6382B"/>
    <w:rsid w:val="00D663B5"/>
    <w:rsid w:val="00D95277"/>
    <w:rsid w:val="00DA283F"/>
    <w:rsid w:val="00DA755A"/>
    <w:rsid w:val="00DC089B"/>
    <w:rsid w:val="00DC7FF6"/>
    <w:rsid w:val="00DE648B"/>
    <w:rsid w:val="00DF3582"/>
    <w:rsid w:val="00E26044"/>
    <w:rsid w:val="00E726FF"/>
    <w:rsid w:val="00E80372"/>
    <w:rsid w:val="00EB7BE5"/>
    <w:rsid w:val="00ED52FC"/>
    <w:rsid w:val="00EE55B5"/>
    <w:rsid w:val="00FA1D0F"/>
    <w:rsid w:val="00FE31F1"/>
    <w:rsid w:val="00FE3FBE"/>
    <w:rsid w:val="00FF5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BC726"/>
  <w15:chartTrackingRefBased/>
  <w15:docId w15:val="{3741D74A-B9D4-40C1-BD77-A563648D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0CE"/>
    <w:rPr>
      <w:rFonts w:eastAsiaTheme="majorEastAsia" w:cstheme="majorBidi"/>
      <w:color w:val="272727" w:themeColor="text1" w:themeTint="D8"/>
    </w:rPr>
  </w:style>
  <w:style w:type="paragraph" w:styleId="Title">
    <w:name w:val="Title"/>
    <w:basedOn w:val="Normal"/>
    <w:next w:val="Normal"/>
    <w:link w:val="TitleChar"/>
    <w:uiPriority w:val="10"/>
    <w:qFormat/>
    <w:rsid w:val="001E5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0CE"/>
    <w:pPr>
      <w:spacing w:before="160"/>
      <w:jc w:val="center"/>
    </w:pPr>
    <w:rPr>
      <w:i/>
      <w:iCs/>
      <w:color w:val="404040" w:themeColor="text1" w:themeTint="BF"/>
    </w:rPr>
  </w:style>
  <w:style w:type="character" w:customStyle="1" w:styleId="QuoteChar">
    <w:name w:val="Quote Char"/>
    <w:basedOn w:val="DefaultParagraphFont"/>
    <w:link w:val="Quote"/>
    <w:uiPriority w:val="29"/>
    <w:rsid w:val="001E50CE"/>
    <w:rPr>
      <w:i/>
      <w:iCs/>
      <w:color w:val="404040" w:themeColor="text1" w:themeTint="BF"/>
    </w:rPr>
  </w:style>
  <w:style w:type="paragraph" w:styleId="ListParagraph">
    <w:name w:val="List Paragraph"/>
    <w:basedOn w:val="Normal"/>
    <w:uiPriority w:val="34"/>
    <w:qFormat/>
    <w:rsid w:val="001E50CE"/>
    <w:pPr>
      <w:ind w:left="720"/>
      <w:contextualSpacing/>
    </w:pPr>
  </w:style>
  <w:style w:type="character" w:styleId="IntenseEmphasis">
    <w:name w:val="Intense Emphasis"/>
    <w:basedOn w:val="DefaultParagraphFont"/>
    <w:uiPriority w:val="21"/>
    <w:qFormat/>
    <w:rsid w:val="001E50CE"/>
    <w:rPr>
      <w:i/>
      <w:iCs/>
      <w:color w:val="0F4761" w:themeColor="accent1" w:themeShade="BF"/>
    </w:rPr>
  </w:style>
  <w:style w:type="paragraph" w:styleId="IntenseQuote">
    <w:name w:val="Intense Quote"/>
    <w:basedOn w:val="Normal"/>
    <w:next w:val="Normal"/>
    <w:link w:val="IntenseQuoteChar"/>
    <w:uiPriority w:val="30"/>
    <w:qFormat/>
    <w:rsid w:val="001E5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0CE"/>
    <w:rPr>
      <w:i/>
      <w:iCs/>
      <w:color w:val="0F4761" w:themeColor="accent1" w:themeShade="BF"/>
    </w:rPr>
  </w:style>
  <w:style w:type="character" w:styleId="IntenseReference">
    <w:name w:val="Intense Reference"/>
    <w:basedOn w:val="DefaultParagraphFont"/>
    <w:uiPriority w:val="32"/>
    <w:qFormat/>
    <w:rsid w:val="001E50CE"/>
    <w:rPr>
      <w:b/>
      <w:bCs/>
      <w:smallCaps/>
      <w:color w:val="0F4761" w:themeColor="accent1" w:themeShade="BF"/>
      <w:spacing w:val="5"/>
    </w:rPr>
  </w:style>
  <w:style w:type="table" w:styleId="TableGrid">
    <w:name w:val="Table Grid"/>
    <w:basedOn w:val="TableNormal"/>
    <w:uiPriority w:val="39"/>
    <w:rsid w:val="00E80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E803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E80372"/>
    <w:pPr>
      <w:spacing w:after="200" w:line="240" w:lineRule="auto"/>
    </w:pPr>
    <w:rPr>
      <w:i/>
      <w:iCs/>
      <w:color w:val="0E2841" w:themeColor="text2"/>
      <w:sz w:val="18"/>
      <w:szCs w:val="18"/>
    </w:rPr>
  </w:style>
  <w:style w:type="character" w:styleId="Hyperlink">
    <w:name w:val="Hyperlink"/>
    <w:basedOn w:val="DefaultParagraphFont"/>
    <w:uiPriority w:val="99"/>
    <w:unhideWhenUsed/>
    <w:rsid w:val="00052132"/>
    <w:rPr>
      <w:color w:val="467886" w:themeColor="hyperlink"/>
      <w:u w:val="single"/>
    </w:rPr>
  </w:style>
  <w:style w:type="character" w:styleId="UnresolvedMention">
    <w:name w:val="Unresolved Mention"/>
    <w:basedOn w:val="DefaultParagraphFont"/>
    <w:uiPriority w:val="99"/>
    <w:semiHidden/>
    <w:unhideWhenUsed/>
    <w:rsid w:val="00052132"/>
    <w:rPr>
      <w:color w:val="605E5C"/>
      <w:shd w:val="clear" w:color="auto" w:fill="E1DFDD"/>
    </w:rPr>
  </w:style>
  <w:style w:type="table" w:styleId="GridTable6Colorful">
    <w:name w:val="Grid Table 6 Colorful"/>
    <w:basedOn w:val="TableNormal"/>
    <w:uiPriority w:val="51"/>
    <w:rsid w:val="00B974A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FE31F1"/>
  </w:style>
  <w:style w:type="paragraph" w:styleId="TOCHeading">
    <w:name w:val="TOC Heading"/>
    <w:basedOn w:val="Heading1"/>
    <w:next w:val="Normal"/>
    <w:uiPriority w:val="39"/>
    <w:unhideWhenUsed/>
    <w:qFormat/>
    <w:rsid w:val="00CA1D9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CA1D9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A1D9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A1D97"/>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CA1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D97"/>
  </w:style>
  <w:style w:type="paragraph" w:styleId="Footer">
    <w:name w:val="footer"/>
    <w:basedOn w:val="Normal"/>
    <w:link w:val="FooterChar"/>
    <w:uiPriority w:val="99"/>
    <w:unhideWhenUsed/>
    <w:rsid w:val="00CA1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D97"/>
  </w:style>
  <w:style w:type="paragraph" w:styleId="TableofFigures">
    <w:name w:val="table of figures"/>
    <w:basedOn w:val="Normal"/>
    <w:next w:val="Normal"/>
    <w:uiPriority w:val="99"/>
    <w:unhideWhenUsed/>
    <w:rsid w:val="000E4A9C"/>
    <w:pPr>
      <w:spacing w:after="0"/>
      <w:ind w:left="440" w:hanging="440"/>
    </w:pPr>
    <w:rPr>
      <w:caps/>
      <w:sz w:val="20"/>
      <w:szCs w:val="20"/>
    </w:rPr>
  </w:style>
  <w:style w:type="table" w:styleId="TableGridLight">
    <w:name w:val="Grid Table Light"/>
    <w:basedOn w:val="TableNormal"/>
    <w:uiPriority w:val="40"/>
    <w:rsid w:val="001102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102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92BB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009">
      <w:bodyDiv w:val="1"/>
      <w:marLeft w:val="0"/>
      <w:marRight w:val="0"/>
      <w:marTop w:val="0"/>
      <w:marBottom w:val="0"/>
      <w:divBdr>
        <w:top w:val="none" w:sz="0" w:space="0" w:color="auto"/>
        <w:left w:val="none" w:sz="0" w:space="0" w:color="auto"/>
        <w:bottom w:val="none" w:sz="0" w:space="0" w:color="auto"/>
        <w:right w:val="none" w:sz="0" w:space="0" w:color="auto"/>
      </w:divBdr>
    </w:div>
    <w:div w:id="12347079">
      <w:bodyDiv w:val="1"/>
      <w:marLeft w:val="0"/>
      <w:marRight w:val="0"/>
      <w:marTop w:val="0"/>
      <w:marBottom w:val="0"/>
      <w:divBdr>
        <w:top w:val="none" w:sz="0" w:space="0" w:color="auto"/>
        <w:left w:val="none" w:sz="0" w:space="0" w:color="auto"/>
        <w:bottom w:val="none" w:sz="0" w:space="0" w:color="auto"/>
        <w:right w:val="none" w:sz="0" w:space="0" w:color="auto"/>
      </w:divBdr>
    </w:div>
    <w:div w:id="16081362">
      <w:bodyDiv w:val="1"/>
      <w:marLeft w:val="0"/>
      <w:marRight w:val="0"/>
      <w:marTop w:val="0"/>
      <w:marBottom w:val="0"/>
      <w:divBdr>
        <w:top w:val="none" w:sz="0" w:space="0" w:color="auto"/>
        <w:left w:val="none" w:sz="0" w:space="0" w:color="auto"/>
        <w:bottom w:val="none" w:sz="0" w:space="0" w:color="auto"/>
        <w:right w:val="none" w:sz="0" w:space="0" w:color="auto"/>
      </w:divBdr>
    </w:div>
    <w:div w:id="41447108">
      <w:bodyDiv w:val="1"/>
      <w:marLeft w:val="0"/>
      <w:marRight w:val="0"/>
      <w:marTop w:val="0"/>
      <w:marBottom w:val="0"/>
      <w:divBdr>
        <w:top w:val="none" w:sz="0" w:space="0" w:color="auto"/>
        <w:left w:val="none" w:sz="0" w:space="0" w:color="auto"/>
        <w:bottom w:val="none" w:sz="0" w:space="0" w:color="auto"/>
        <w:right w:val="none" w:sz="0" w:space="0" w:color="auto"/>
      </w:divBdr>
    </w:div>
    <w:div w:id="48768458">
      <w:bodyDiv w:val="1"/>
      <w:marLeft w:val="0"/>
      <w:marRight w:val="0"/>
      <w:marTop w:val="0"/>
      <w:marBottom w:val="0"/>
      <w:divBdr>
        <w:top w:val="none" w:sz="0" w:space="0" w:color="auto"/>
        <w:left w:val="none" w:sz="0" w:space="0" w:color="auto"/>
        <w:bottom w:val="none" w:sz="0" w:space="0" w:color="auto"/>
        <w:right w:val="none" w:sz="0" w:space="0" w:color="auto"/>
      </w:divBdr>
    </w:div>
    <w:div w:id="68813906">
      <w:bodyDiv w:val="1"/>
      <w:marLeft w:val="0"/>
      <w:marRight w:val="0"/>
      <w:marTop w:val="0"/>
      <w:marBottom w:val="0"/>
      <w:divBdr>
        <w:top w:val="none" w:sz="0" w:space="0" w:color="auto"/>
        <w:left w:val="none" w:sz="0" w:space="0" w:color="auto"/>
        <w:bottom w:val="none" w:sz="0" w:space="0" w:color="auto"/>
        <w:right w:val="none" w:sz="0" w:space="0" w:color="auto"/>
      </w:divBdr>
    </w:div>
    <w:div w:id="87621842">
      <w:bodyDiv w:val="1"/>
      <w:marLeft w:val="0"/>
      <w:marRight w:val="0"/>
      <w:marTop w:val="0"/>
      <w:marBottom w:val="0"/>
      <w:divBdr>
        <w:top w:val="none" w:sz="0" w:space="0" w:color="auto"/>
        <w:left w:val="none" w:sz="0" w:space="0" w:color="auto"/>
        <w:bottom w:val="none" w:sz="0" w:space="0" w:color="auto"/>
        <w:right w:val="none" w:sz="0" w:space="0" w:color="auto"/>
      </w:divBdr>
    </w:div>
    <w:div w:id="107166517">
      <w:bodyDiv w:val="1"/>
      <w:marLeft w:val="0"/>
      <w:marRight w:val="0"/>
      <w:marTop w:val="0"/>
      <w:marBottom w:val="0"/>
      <w:divBdr>
        <w:top w:val="none" w:sz="0" w:space="0" w:color="auto"/>
        <w:left w:val="none" w:sz="0" w:space="0" w:color="auto"/>
        <w:bottom w:val="none" w:sz="0" w:space="0" w:color="auto"/>
        <w:right w:val="none" w:sz="0" w:space="0" w:color="auto"/>
      </w:divBdr>
    </w:div>
    <w:div w:id="112329908">
      <w:bodyDiv w:val="1"/>
      <w:marLeft w:val="0"/>
      <w:marRight w:val="0"/>
      <w:marTop w:val="0"/>
      <w:marBottom w:val="0"/>
      <w:divBdr>
        <w:top w:val="none" w:sz="0" w:space="0" w:color="auto"/>
        <w:left w:val="none" w:sz="0" w:space="0" w:color="auto"/>
        <w:bottom w:val="none" w:sz="0" w:space="0" w:color="auto"/>
        <w:right w:val="none" w:sz="0" w:space="0" w:color="auto"/>
      </w:divBdr>
    </w:div>
    <w:div w:id="132984888">
      <w:bodyDiv w:val="1"/>
      <w:marLeft w:val="0"/>
      <w:marRight w:val="0"/>
      <w:marTop w:val="0"/>
      <w:marBottom w:val="0"/>
      <w:divBdr>
        <w:top w:val="none" w:sz="0" w:space="0" w:color="auto"/>
        <w:left w:val="none" w:sz="0" w:space="0" w:color="auto"/>
        <w:bottom w:val="none" w:sz="0" w:space="0" w:color="auto"/>
        <w:right w:val="none" w:sz="0" w:space="0" w:color="auto"/>
      </w:divBdr>
    </w:div>
    <w:div w:id="135805325">
      <w:bodyDiv w:val="1"/>
      <w:marLeft w:val="0"/>
      <w:marRight w:val="0"/>
      <w:marTop w:val="0"/>
      <w:marBottom w:val="0"/>
      <w:divBdr>
        <w:top w:val="none" w:sz="0" w:space="0" w:color="auto"/>
        <w:left w:val="none" w:sz="0" w:space="0" w:color="auto"/>
        <w:bottom w:val="none" w:sz="0" w:space="0" w:color="auto"/>
        <w:right w:val="none" w:sz="0" w:space="0" w:color="auto"/>
      </w:divBdr>
    </w:div>
    <w:div w:id="138151737">
      <w:bodyDiv w:val="1"/>
      <w:marLeft w:val="0"/>
      <w:marRight w:val="0"/>
      <w:marTop w:val="0"/>
      <w:marBottom w:val="0"/>
      <w:divBdr>
        <w:top w:val="none" w:sz="0" w:space="0" w:color="auto"/>
        <w:left w:val="none" w:sz="0" w:space="0" w:color="auto"/>
        <w:bottom w:val="none" w:sz="0" w:space="0" w:color="auto"/>
        <w:right w:val="none" w:sz="0" w:space="0" w:color="auto"/>
      </w:divBdr>
    </w:div>
    <w:div w:id="145636318">
      <w:bodyDiv w:val="1"/>
      <w:marLeft w:val="0"/>
      <w:marRight w:val="0"/>
      <w:marTop w:val="0"/>
      <w:marBottom w:val="0"/>
      <w:divBdr>
        <w:top w:val="none" w:sz="0" w:space="0" w:color="auto"/>
        <w:left w:val="none" w:sz="0" w:space="0" w:color="auto"/>
        <w:bottom w:val="none" w:sz="0" w:space="0" w:color="auto"/>
        <w:right w:val="none" w:sz="0" w:space="0" w:color="auto"/>
      </w:divBdr>
    </w:div>
    <w:div w:id="165829779">
      <w:bodyDiv w:val="1"/>
      <w:marLeft w:val="0"/>
      <w:marRight w:val="0"/>
      <w:marTop w:val="0"/>
      <w:marBottom w:val="0"/>
      <w:divBdr>
        <w:top w:val="none" w:sz="0" w:space="0" w:color="auto"/>
        <w:left w:val="none" w:sz="0" w:space="0" w:color="auto"/>
        <w:bottom w:val="none" w:sz="0" w:space="0" w:color="auto"/>
        <w:right w:val="none" w:sz="0" w:space="0" w:color="auto"/>
      </w:divBdr>
    </w:div>
    <w:div w:id="175048491">
      <w:bodyDiv w:val="1"/>
      <w:marLeft w:val="0"/>
      <w:marRight w:val="0"/>
      <w:marTop w:val="0"/>
      <w:marBottom w:val="0"/>
      <w:divBdr>
        <w:top w:val="none" w:sz="0" w:space="0" w:color="auto"/>
        <w:left w:val="none" w:sz="0" w:space="0" w:color="auto"/>
        <w:bottom w:val="none" w:sz="0" w:space="0" w:color="auto"/>
        <w:right w:val="none" w:sz="0" w:space="0" w:color="auto"/>
      </w:divBdr>
    </w:div>
    <w:div w:id="179200379">
      <w:bodyDiv w:val="1"/>
      <w:marLeft w:val="0"/>
      <w:marRight w:val="0"/>
      <w:marTop w:val="0"/>
      <w:marBottom w:val="0"/>
      <w:divBdr>
        <w:top w:val="none" w:sz="0" w:space="0" w:color="auto"/>
        <w:left w:val="none" w:sz="0" w:space="0" w:color="auto"/>
        <w:bottom w:val="none" w:sz="0" w:space="0" w:color="auto"/>
        <w:right w:val="none" w:sz="0" w:space="0" w:color="auto"/>
      </w:divBdr>
    </w:div>
    <w:div w:id="187524379">
      <w:bodyDiv w:val="1"/>
      <w:marLeft w:val="0"/>
      <w:marRight w:val="0"/>
      <w:marTop w:val="0"/>
      <w:marBottom w:val="0"/>
      <w:divBdr>
        <w:top w:val="none" w:sz="0" w:space="0" w:color="auto"/>
        <w:left w:val="none" w:sz="0" w:space="0" w:color="auto"/>
        <w:bottom w:val="none" w:sz="0" w:space="0" w:color="auto"/>
        <w:right w:val="none" w:sz="0" w:space="0" w:color="auto"/>
      </w:divBdr>
    </w:div>
    <w:div w:id="197012238">
      <w:bodyDiv w:val="1"/>
      <w:marLeft w:val="0"/>
      <w:marRight w:val="0"/>
      <w:marTop w:val="0"/>
      <w:marBottom w:val="0"/>
      <w:divBdr>
        <w:top w:val="none" w:sz="0" w:space="0" w:color="auto"/>
        <w:left w:val="none" w:sz="0" w:space="0" w:color="auto"/>
        <w:bottom w:val="none" w:sz="0" w:space="0" w:color="auto"/>
        <w:right w:val="none" w:sz="0" w:space="0" w:color="auto"/>
      </w:divBdr>
    </w:div>
    <w:div w:id="223495008">
      <w:bodyDiv w:val="1"/>
      <w:marLeft w:val="0"/>
      <w:marRight w:val="0"/>
      <w:marTop w:val="0"/>
      <w:marBottom w:val="0"/>
      <w:divBdr>
        <w:top w:val="none" w:sz="0" w:space="0" w:color="auto"/>
        <w:left w:val="none" w:sz="0" w:space="0" w:color="auto"/>
        <w:bottom w:val="none" w:sz="0" w:space="0" w:color="auto"/>
        <w:right w:val="none" w:sz="0" w:space="0" w:color="auto"/>
      </w:divBdr>
    </w:div>
    <w:div w:id="233782719">
      <w:bodyDiv w:val="1"/>
      <w:marLeft w:val="0"/>
      <w:marRight w:val="0"/>
      <w:marTop w:val="0"/>
      <w:marBottom w:val="0"/>
      <w:divBdr>
        <w:top w:val="none" w:sz="0" w:space="0" w:color="auto"/>
        <w:left w:val="none" w:sz="0" w:space="0" w:color="auto"/>
        <w:bottom w:val="none" w:sz="0" w:space="0" w:color="auto"/>
        <w:right w:val="none" w:sz="0" w:space="0" w:color="auto"/>
      </w:divBdr>
    </w:div>
    <w:div w:id="236719179">
      <w:bodyDiv w:val="1"/>
      <w:marLeft w:val="0"/>
      <w:marRight w:val="0"/>
      <w:marTop w:val="0"/>
      <w:marBottom w:val="0"/>
      <w:divBdr>
        <w:top w:val="none" w:sz="0" w:space="0" w:color="auto"/>
        <w:left w:val="none" w:sz="0" w:space="0" w:color="auto"/>
        <w:bottom w:val="none" w:sz="0" w:space="0" w:color="auto"/>
        <w:right w:val="none" w:sz="0" w:space="0" w:color="auto"/>
      </w:divBdr>
    </w:div>
    <w:div w:id="297998006">
      <w:bodyDiv w:val="1"/>
      <w:marLeft w:val="0"/>
      <w:marRight w:val="0"/>
      <w:marTop w:val="0"/>
      <w:marBottom w:val="0"/>
      <w:divBdr>
        <w:top w:val="none" w:sz="0" w:space="0" w:color="auto"/>
        <w:left w:val="none" w:sz="0" w:space="0" w:color="auto"/>
        <w:bottom w:val="none" w:sz="0" w:space="0" w:color="auto"/>
        <w:right w:val="none" w:sz="0" w:space="0" w:color="auto"/>
      </w:divBdr>
    </w:div>
    <w:div w:id="314457107">
      <w:bodyDiv w:val="1"/>
      <w:marLeft w:val="0"/>
      <w:marRight w:val="0"/>
      <w:marTop w:val="0"/>
      <w:marBottom w:val="0"/>
      <w:divBdr>
        <w:top w:val="none" w:sz="0" w:space="0" w:color="auto"/>
        <w:left w:val="none" w:sz="0" w:space="0" w:color="auto"/>
        <w:bottom w:val="none" w:sz="0" w:space="0" w:color="auto"/>
        <w:right w:val="none" w:sz="0" w:space="0" w:color="auto"/>
      </w:divBdr>
    </w:div>
    <w:div w:id="352004188">
      <w:bodyDiv w:val="1"/>
      <w:marLeft w:val="0"/>
      <w:marRight w:val="0"/>
      <w:marTop w:val="0"/>
      <w:marBottom w:val="0"/>
      <w:divBdr>
        <w:top w:val="none" w:sz="0" w:space="0" w:color="auto"/>
        <w:left w:val="none" w:sz="0" w:space="0" w:color="auto"/>
        <w:bottom w:val="none" w:sz="0" w:space="0" w:color="auto"/>
        <w:right w:val="none" w:sz="0" w:space="0" w:color="auto"/>
      </w:divBdr>
    </w:div>
    <w:div w:id="374890635">
      <w:bodyDiv w:val="1"/>
      <w:marLeft w:val="0"/>
      <w:marRight w:val="0"/>
      <w:marTop w:val="0"/>
      <w:marBottom w:val="0"/>
      <w:divBdr>
        <w:top w:val="none" w:sz="0" w:space="0" w:color="auto"/>
        <w:left w:val="none" w:sz="0" w:space="0" w:color="auto"/>
        <w:bottom w:val="none" w:sz="0" w:space="0" w:color="auto"/>
        <w:right w:val="none" w:sz="0" w:space="0" w:color="auto"/>
      </w:divBdr>
    </w:div>
    <w:div w:id="385446663">
      <w:bodyDiv w:val="1"/>
      <w:marLeft w:val="0"/>
      <w:marRight w:val="0"/>
      <w:marTop w:val="0"/>
      <w:marBottom w:val="0"/>
      <w:divBdr>
        <w:top w:val="none" w:sz="0" w:space="0" w:color="auto"/>
        <w:left w:val="none" w:sz="0" w:space="0" w:color="auto"/>
        <w:bottom w:val="none" w:sz="0" w:space="0" w:color="auto"/>
        <w:right w:val="none" w:sz="0" w:space="0" w:color="auto"/>
      </w:divBdr>
    </w:div>
    <w:div w:id="386690401">
      <w:bodyDiv w:val="1"/>
      <w:marLeft w:val="0"/>
      <w:marRight w:val="0"/>
      <w:marTop w:val="0"/>
      <w:marBottom w:val="0"/>
      <w:divBdr>
        <w:top w:val="none" w:sz="0" w:space="0" w:color="auto"/>
        <w:left w:val="none" w:sz="0" w:space="0" w:color="auto"/>
        <w:bottom w:val="none" w:sz="0" w:space="0" w:color="auto"/>
        <w:right w:val="none" w:sz="0" w:space="0" w:color="auto"/>
      </w:divBdr>
    </w:div>
    <w:div w:id="388963663">
      <w:bodyDiv w:val="1"/>
      <w:marLeft w:val="0"/>
      <w:marRight w:val="0"/>
      <w:marTop w:val="0"/>
      <w:marBottom w:val="0"/>
      <w:divBdr>
        <w:top w:val="none" w:sz="0" w:space="0" w:color="auto"/>
        <w:left w:val="none" w:sz="0" w:space="0" w:color="auto"/>
        <w:bottom w:val="none" w:sz="0" w:space="0" w:color="auto"/>
        <w:right w:val="none" w:sz="0" w:space="0" w:color="auto"/>
      </w:divBdr>
    </w:div>
    <w:div w:id="393625998">
      <w:bodyDiv w:val="1"/>
      <w:marLeft w:val="0"/>
      <w:marRight w:val="0"/>
      <w:marTop w:val="0"/>
      <w:marBottom w:val="0"/>
      <w:divBdr>
        <w:top w:val="none" w:sz="0" w:space="0" w:color="auto"/>
        <w:left w:val="none" w:sz="0" w:space="0" w:color="auto"/>
        <w:bottom w:val="none" w:sz="0" w:space="0" w:color="auto"/>
        <w:right w:val="none" w:sz="0" w:space="0" w:color="auto"/>
      </w:divBdr>
    </w:div>
    <w:div w:id="404258422">
      <w:bodyDiv w:val="1"/>
      <w:marLeft w:val="0"/>
      <w:marRight w:val="0"/>
      <w:marTop w:val="0"/>
      <w:marBottom w:val="0"/>
      <w:divBdr>
        <w:top w:val="none" w:sz="0" w:space="0" w:color="auto"/>
        <w:left w:val="none" w:sz="0" w:space="0" w:color="auto"/>
        <w:bottom w:val="none" w:sz="0" w:space="0" w:color="auto"/>
        <w:right w:val="none" w:sz="0" w:space="0" w:color="auto"/>
      </w:divBdr>
    </w:div>
    <w:div w:id="404692174">
      <w:bodyDiv w:val="1"/>
      <w:marLeft w:val="0"/>
      <w:marRight w:val="0"/>
      <w:marTop w:val="0"/>
      <w:marBottom w:val="0"/>
      <w:divBdr>
        <w:top w:val="none" w:sz="0" w:space="0" w:color="auto"/>
        <w:left w:val="none" w:sz="0" w:space="0" w:color="auto"/>
        <w:bottom w:val="none" w:sz="0" w:space="0" w:color="auto"/>
        <w:right w:val="none" w:sz="0" w:space="0" w:color="auto"/>
      </w:divBdr>
    </w:div>
    <w:div w:id="420610215">
      <w:bodyDiv w:val="1"/>
      <w:marLeft w:val="0"/>
      <w:marRight w:val="0"/>
      <w:marTop w:val="0"/>
      <w:marBottom w:val="0"/>
      <w:divBdr>
        <w:top w:val="none" w:sz="0" w:space="0" w:color="auto"/>
        <w:left w:val="none" w:sz="0" w:space="0" w:color="auto"/>
        <w:bottom w:val="none" w:sz="0" w:space="0" w:color="auto"/>
        <w:right w:val="none" w:sz="0" w:space="0" w:color="auto"/>
      </w:divBdr>
    </w:div>
    <w:div w:id="462577929">
      <w:bodyDiv w:val="1"/>
      <w:marLeft w:val="0"/>
      <w:marRight w:val="0"/>
      <w:marTop w:val="0"/>
      <w:marBottom w:val="0"/>
      <w:divBdr>
        <w:top w:val="none" w:sz="0" w:space="0" w:color="auto"/>
        <w:left w:val="none" w:sz="0" w:space="0" w:color="auto"/>
        <w:bottom w:val="none" w:sz="0" w:space="0" w:color="auto"/>
        <w:right w:val="none" w:sz="0" w:space="0" w:color="auto"/>
      </w:divBdr>
    </w:div>
    <w:div w:id="463305739">
      <w:bodyDiv w:val="1"/>
      <w:marLeft w:val="0"/>
      <w:marRight w:val="0"/>
      <w:marTop w:val="0"/>
      <w:marBottom w:val="0"/>
      <w:divBdr>
        <w:top w:val="none" w:sz="0" w:space="0" w:color="auto"/>
        <w:left w:val="none" w:sz="0" w:space="0" w:color="auto"/>
        <w:bottom w:val="none" w:sz="0" w:space="0" w:color="auto"/>
        <w:right w:val="none" w:sz="0" w:space="0" w:color="auto"/>
      </w:divBdr>
    </w:div>
    <w:div w:id="466358702">
      <w:bodyDiv w:val="1"/>
      <w:marLeft w:val="0"/>
      <w:marRight w:val="0"/>
      <w:marTop w:val="0"/>
      <w:marBottom w:val="0"/>
      <w:divBdr>
        <w:top w:val="none" w:sz="0" w:space="0" w:color="auto"/>
        <w:left w:val="none" w:sz="0" w:space="0" w:color="auto"/>
        <w:bottom w:val="none" w:sz="0" w:space="0" w:color="auto"/>
        <w:right w:val="none" w:sz="0" w:space="0" w:color="auto"/>
      </w:divBdr>
    </w:div>
    <w:div w:id="468519366">
      <w:bodyDiv w:val="1"/>
      <w:marLeft w:val="0"/>
      <w:marRight w:val="0"/>
      <w:marTop w:val="0"/>
      <w:marBottom w:val="0"/>
      <w:divBdr>
        <w:top w:val="none" w:sz="0" w:space="0" w:color="auto"/>
        <w:left w:val="none" w:sz="0" w:space="0" w:color="auto"/>
        <w:bottom w:val="none" w:sz="0" w:space="0" w:color="auto"/>
        <w:right w:val="none" w:sz="0" w:space="0" w:color="auto"/>
      </w:divBdr>
    </w:div>
    <w:div w:id="470439160">
      <w:bodyDiv w:val="1"/>
      <w:marLeft w:val="0"/>
      <w:marRight w:val="0"/>
      <w:marTop w:val="0"/>
      <w:marBottom w:val="0"/>
      <w:divBdr>
        <w:top w:val="none" w:sz="0" w:space="0" w:color="auto"/>
        <w:left w:val="none" w:sz="0" w:space="0" w:color="auto"/>
        <w:bottom w:val="none" w:sz="0" w:space="0" w:color="auto"/>
        <w:right w:val="none" w:sz="0" w:space="0" w:color="auto"/>
      </w:divBdr>
    </w:div>
    <w:div w:id="474029286">
      <w:bodyDiv w:val="1"/>
      <w:marLeft w:val="0"/>
      <w:marRight w:val="0"/>
      <w:marTop w:val="0"/>
      <w:marBottom w:val="0"/>
      <w:divBdr>
        <w:top w:val="none" w:sz="0" w:space="0" w:color="auto"/>
        <w:left w:val="none" w:sz="0" w:space="0" w:color="auto"/>
        <w:bottom w:val="none" w:sz="0" w:space="0" w:color="auto"/>
        <w:right w:val="none" w:sz="0" w:space="0" w:color="auto"/>
      </w:divBdr>
    </w:div>
    <w:div w:id="475345264">
      <w:bodyDiv w:val="1"/>
      <w:marLeft w:val="0"/>
      <w:marRight w:val="0"/>
      <w:marTop w:val="0"/>
      <w:marBottom w:val="0"/>
      <w:divBdr>
        <w:top w:val="none" w:sz="0" w:space="0" w:color="auto"/>
        <w:left w:val="none" w:sz="0" w:space="0" w:color="auto"/>
        <w:bottom w:val="none" w:sz="0" w:space="0" w:color="auto"/>
        <w:right w:val="none" w:sz="0" w:space="0" w:color="auto"/>
      </w:divBdr>
    </w:div>
    <w:div w:id="475757379">
      <w:bodyDiv w:val="1"/>
      <w:marLeft w:val="0"/>
      <w:marRight w:val="0"/>
      <w:marTop w:val="0"/>
      <w:marBottom w:val="0"/>
      <w:divBdr>
        <w:top w:val="none" w:sz="0" w:space="0" w:color="auto"/>
        <w:left w:val="none" w:sz="0" w:space="0" w:color="auto"/>
        <w:bottom w:val="none" w:sz="0" w:space="0" w:color="auto"/>
        <w:right w:val="none" w:sz="0" w:space="0" w:color="auto"/>
      </w:divBdr>
    </w:div>
    <w:div w:id="478349321">
      <w:bodyDiv w:val="1"/>
      <w:marLeft w:val="0"/>
      <w:marRight w:val="0"/>
      <w:marTop w:val="0"/>
      <w:marBottom w:val="0"/>
      <w:divBdr>
        <w:top w:val="none" w:sz="0" w:space="0" w:color="auto"/>
        <w:left w:val="none" w:sz="0" w:space="0" w:color="auto"/>
        <w:bottom w:val="none" w:sz="0" w:space="0" w:color="auto"/>
        <w:right w:val="none" w:sz="0" w:space="0" w:color="auto"/>
      </w:divBdr>
    </w:div>
    <w:div w:id="522938228">
      <w:bodyDiv w:val="1"/>
      <w:marLeft w:val="0"/>
      <w:marRight w:val="0"/>
      <w:marTop w:val="0"/>
      <w:marBottom w:val="0"/>
      <w:divBdr>
        <w:top w:val="none" w:sz="0" w:space="0" w:color="auto"/>
        <w:left w:val="none" w:sz="0" w:space="0" w:color="auto"/>
        <w:bottom w:val="none" w:sz="0" w:space="0" w:color="auto"/>
        <w:right w:val="none" w:sz="0" w:space="0" w:color="auto"/>
      </w:divBdr>
    </w:div>
    <w:div w:id="523330201">
      <w:bodyDiv w:val="1"/>
      <w:marLeft w:val="0"/>
      <w:marRight w:val="0"/>
      <w:marTop w:val="0"/>
      <w:marBottom w:val="0"/>
      <w:divBdr>
        <w:top w:val="none" w:sz="0" w:space="0" w:color="auto"/>
        <w:left w:val="none" w:sz="0" w:space="0" w:color="auto"/>
        <w:bottom w:val="none" w:sz="0" w:space="0" w:color="auto"/>
        <w:right w:val="none" w:sz="0" w:space="0" w:color="auto"/>
      </w:divBdr>
    </w:div>
    <w:div w:id="527137413">
      <w:bodyDiv w:val="1"/>
      <w:marLeft w:val="0"/>
      <w:marRight w:val="0"/>
      <w:marTop w:val="0"/>
      <w:marBottom w:val="0"/>
      <w:divBdr>
        <w:top w:val="none" w:sz="0" w:space="0" w:color="auto"/>
        <w:left w:val="none" w:sz="0" w:space="0" w:color="auto"/>
        <w:bottom w:val="none" w:sz="0" w:space="0" w:color="auto"/>
        <w:right w:val="none" w:sz="0" w:space="0" w:color="auto"/>
      </w:divBdr>
    </w:div>
    <w:div w:id="536091600">
      <w:bodyDiv w:val="1"/>
      <w:marLeft w:val="0"/>
      <w:marRight w:val="0"/>
      <w:marTop w:val="0"/>
      <w:marBottom w:val="0"/>
      <w:divBdr>
        <w:top w:val="none" w:sz="0" w:space="0" w:color="auto"/>
        <w:left w:val="none" w:sz="0" w:space="0" w:color="auto"/>
        <w:bottom w:val="none" w:sz="0" w:space="0" w:color="auto"/>
        <w:right w:val="none" w:sz="0" w:space="0" w:color="auto"/>
      </w:divBdr>
    </w:div>
    <w:div w:id="562570546">
      <w:bodyDiv w:val="1"/>
      <w:marLeft w:val="0"/>
      <w:marRight w:val="0"/>
      <w:marTop w:val="0"/>
      <w:marBottom w:val="0"/>
      <w:divBdr>
        <w:top w:val="none" w:sz="0" w:space="0" w:color="auto"/>
        <w:left w:val="none" w:sz="0" w:space="0" w:color="auto"/>
        <w:bottom w:val="none" w:sz="0" w:space="0" w:color="auto"/>
        <w:right w:val="none" w:sz="0" w:space="0" w:color="auto"/>
      </w:divBdr>
    </w:div>
    <w:div w:id="568926960">
      <w:bodyDiv w:val="1"/>
      <w:marLeft w:val="0"/>
      <w:marRight w:val="0"/>
      <w:marTop w:val="0"/>
      <w:marBottom w:val="0"/>
      <w:divBdr>
        <w:top w:val="none" w:sz="0" w:space="0" w:color="auto"/>
        <w:left w:val="none" w:sz="0" w:space="0" w:color="auto"/>
        <w:bottom w:val="none" w:sz="0" w:space="0" w:color="auto"/>
        <w:right w:val="none" w:sz="0" w:space="0" w:color="auto"/>
      </w:divBdr>
    </w:div>
    <w:div w:id="572860558">
      <w:bodyDiv w:val="1"/>
      <w:marLeft w:val="0"/>
      <w:marRight w:val="0"/>
      <w:marTop w:val="0"/>
      <w:marBottom w:val="0"/>
      <w:divBdr>
        <w:top w:val="none" w:sz="0" w:space="0" w:color="auto"/>
        <w:left w:val="none" w:sz="0" w:space="0" w:color="auto"/>
        <w:bottom w:val="none" w:sz="0" w:space="0" w:color="auto"/>
        <w:right w:val="none" w:sz="0" w:space="0" w:color="auto"/>
      </w:divBdr>
    </w:div>
    <w:div w:id="579027400">
      <w:bodyDiv w:val="1"/>
      <w:marLeft w:val="0"/>
      <w:marRight w:val="0"/>
      <w:marTop w:val="0"/>
      <w:marBottom w:val="0"/>
      <w:divBdr>
        <w:top w:val="none" w:sz="0" w:space="0" w:color="auto"/>
        <w:left w:val="none" w:sz="0" w:space="0" w:color="auto"/>
        <w:bottom w:val="none" w:sz="0" w:space="0" w:color="auto"/>
        <w:right w:val="none" w:sz="0" w:space="0" w:color="auto"/>
      </w:divBdr>
    </w:div>
    <w:div w:id="588924417">
      <w:bodyDiv w:val="1"/>
      <w:marLeft w:val="0"/>
      <w:marRight w:val="0"/>
      <w:marTop w:val="0"/>
      <w:marBottom w:val="0"/>
      <w:divBdr>
        <w:top w:val="none" w:sz="0" w:space="0" w:color="auto"/>
        <w:left w:val="none" w:sz="0" w:space="0" w:color="auto"/>
        <w:bottom w:val="none" w:sz="0" w:space="0" w:color="auto"/>
        <w:right w:val="none" w:sz="0" w:space="0" w:color="auto"/>
      </w:divBdr>
    </w:div>
    <w:div w:id="602148804">
      <w:bodyDiv w:val="1"/>
      <w:marLeft w:val="0"/>
      <w:marRight w:val="0"/>
      <w:marTop w:val="0"/>
      <w:marBottom w:val="0"/>
      <w:divBdr>
        <w:top w:val="none" w:sz="0" w:space="0" w:color="auto"/>
        <w:left w:val="none" w:sz="0" w:space="0" w:color="auto"/>
        <w:bottom w:val="none" w:sz="0" w:space="0" w:color="auto"/>
        <w:right w:val="none" w:sz="0" w:space="0" w:color="auto"/>
      </w:divBdr>
    </w:div>
    <w:div w:id="606473789">
      <w:bodyDiv w:val="1"/>
      <w:marLeft w:val="0"/>
      <w:marRight w:val="0"/>
      <w:marTop w:val="0"/>
      <w:marBottom w:val="0"/>
      <w:divBdr>
        <w:top w:val="none" w:sz="0" w:space="0" w:color="auto"/>
        <w:left w:val="none" w:sz="0" w:space="0" w:color="auto"/>
        <w:bottom w:val="none" w:sz="0" w:space="0" w:color="auto"/>
        <w:right w:val="none" w:sz="0" w:space="0" w:color="auto"/>
      </w:divBdr>
    </w:div>
    <w:div w:id="627930586">
      <w:bodyDiv w:val="1"/>
      <w:marLeft w:val="0"/>
      <w:marRight w:val="0"/>
      <w:marTop w:val="0"/>
      <w:marBottom w:val="0"/>
      <w:divBdr>
        <w:top w:val="none" w:sz="0" w:space="0" w:color="auto"/>
        <w:left w:val="none" w:sz="0" w:space="0" w:color="auto"/>
        <w:bottom w:val="none" w:sz="0" w:space="0" w:color="auto"/>
        <w:right w:val="none" w:sz="0" w:space="0" w:color="auto"/>
      </w:divBdr>
    </w:div>
    <w:div w:id="638148097">
      <w:bodyDiv w:val="1"/>
      <w:marLeft w:val="0"/>
      <w:marRight w:val="0"/>
      <w:marTop w:val="0"/>
      <w:marBottom w:val="0"/>
      <w:divBdr>
        <w:top w:val="none" w:sz="0" w:space="0" w:color="auto"/>
        <w:left w:val="none" w:sz="0" w:space="0" w:color="auto"/>
        <w:bottom w:val="none" w:sz="0" w:space="0" w:color="auto"/>
        <w:right w:val="none" w:sz="0" w:space="0" w:color="auto"/>
      </w:divBdr>
    </w:div>
    <w:div w:id="666323931">
      <w:bodyDiv w:val="1"/>
      <w:marLeft w:val="0"/>
      <w:marRight w:val="0"/>
      <w:marTop w:val="0"/>
      <w:marBottom w:val="0"/>
      <w:divBdr>
        <w:top w:val="none" w:sz="0" w:space="0" w:color="auto"/>
        <w:left w:val="none" w:sz="0" w:space="0" w:color="auto"/>
        <w:bottom w:val="none" w:sz="0" w:space="0" w:color="auto"/>
        <w:right w:val="none" w:sz="0" w:space="0" w:color="auto"/>
      </w:divBdr>
    </w:div>
    <w:div w:id="682590139">
      <w:bodyDiv w:val="1"/>
      <w:marLeft w:val="0"/>
      <w:marRight w:val="0"/>
      <w:marTop w:val="0"/>
      <w:marBottom w:val="0"/>
      <w:divBdr>
        <w:top w:val="none" w:sz="0" w:space="0" w:color="auto"/>
        <w:left w:val="none" w:sz="0" w:space="0" w:color="auto"/>
        <w:bottom w:val="none" w:sz="0" w:space="0" w:color="auto"/>
        <w:right w:val="none" w:sz="0" w:space="0" w:color="auto"/>
      </w:divBdr>
    </w:div>
    <w:div w:id="722406186">
      <w:bodyDiv w:val="1"/>
      <w:marLeft w:val="0"/>
      <w:marRight w:val="0"/>
      <w:marTop w:val="0"/>
      <w:marBottom w:val="0"/>
      <w:divBdr>
        <w:top w:val="none" w:sz="0" w:space="0" w:color="auto"/>
        <w:left w:val="none" w:sz="0" w:space="0" w:color="auto"/>
        <w:bottom w:val="none" w:sz="0" w:space="0" w:color="auto"/>
        <w:right w:val="none" w:sz="0" w:space="0" w:color="auto"/>
      </w:divBdr>
    </w:div>
    <w:div w:id="723990646">
      <w:bodyDiv w:val="1"/>
      <w:marLeft w:val="0"/>
      <w:marRight w:val="0"/>
      <w:marTop w:val="0"/>
      <w:marBottom w:val="0"/>
      <w:divBdr>
        <w:top w:val="none" w:sz="0" w:space="0" w:color="auto"/>
        <w:left w:val="none" w:sz="0" w:space="0" w:color="auto"/>
        <w:bottom w:val="none" w:sz="0" w:space="0" w:color="auto"/>
        <w:right w:val="none" w:sz="0" w:space="0" w:color="auto"/>
      </w:divBdr>
    </w:div>
    <w:div w:id="742534447">
      <w:bodyDiv w:val="1"/>
      <w:marLeft w:val="0"/>
      <w:marRight w:val="0"/>
      <w:marTop w:val="0"/>
      <w:marBottom w:val="0"/>
      <w:divBdr>
        <w:top w:val="none" w:sz="0" w:space="0" w:color="auto"/>
        <w:left w:val="none" w:sz="0" w:space="0" w:color="auto"/>
        <w:bottom w:val="none" w:sz="0" w:space="0" w:color="auto"/>
        <w:right w:val="none" w:sz="0" w:space="0" w:color="auto"/>
      </w:divBdr>
    </w:div>
    <w:div w:id="748698531">
      <w:bodyDiv w:val="1"/>
      <w:marLeft w:val="0"/>
      <w:marRight w:val="0"/>
      <w:marTop w:val="0"/>
      <w:marBottom w:val="0"/>
      <w:divBdr>
        <w:top w:val="none" w:sz="0" w:space="0" w:color="auto"/>
        <w:left w:val="none" w:sz="0" w:space="0" w:color="auto"/>
        <w:bottom w:val="none" w:sz="0" w:space="0" w:color="auto"/>
        <w:right w:val="none" w:sz="0" w:space="0" w:color="auto"/>
      </w:divBdr>
    </w:div>
    <w:div w:id="755713952">
      <w:bodyDiv w:val="1"/>
      <w:marLeft w:val="0"/>
      <w:marRight w:val="0"/>
      <w:marTop w:val="0"/>
      <w:marBottom w:val="0"/>
      <w:divBdr>
        <w:top w:val="none" w:sz="0" w:space="0" w:color="auto"/>
        <w:left w:val="none" w:sz="0" w:space="0" w:color="auto"/>
        <w:bottom w:val="none" w:sz="0" w:space="0" w:color="auto"/>
        <w:right w:val="none" w:sz="0" w:space="0" w:color="auto"/>
      </w:divBdr>
    </w:div>
    <w:div w:id="780027773">
      <w:bodyDiv w:val="1"/>
      <w:marLeft w:val="0"/>
      <w:marRight w:val="0"/>
      <w:marTop w:val="0"/>
      <w:marBottom w:val="0"/>
      <w:divBdr>
        <w:top w:val="none" w:sz="0" w:space="0" w:color="auto"/>
        <w:left w:val="none" w:sz="0" w:space="0" w:color="auto"/>
        <w:bottom w:val="none" w:sz="0" w:space="0" w:color="auto"/>
        <w:right w:val="none" w:sz="0" w:space="0" w:color="auto"/>
      </w:divBdr>
    </w:div>
    <w:div w:id="788621919">
      <w:bodyDiv w:val="1"/>
      <w:marLeft w:val="0"/>
      <w:marRight w:val="0"/>
      <w:marTop w:val="0"/>
      <w:marBottom w:val="0"/>
      <w:divBdr>
        <w:top w:val="none" w:sz="0" w:space="0" w:color="auto"/>
        <w:left w:val="none" w:sz="0" w:space="0" w:color="auto"/>
        <w:bottom w:val="none" w:sz="0" w:space="0" w:color="auto"/>
        <w:right w:val="none" w:sz="0" w:space="0" w:color="auto"/>
      </w:divBdr>
    </w:div>
    <w:div w:id="795484418">
      <w:bodyDiv w:val="1"/>
      <w:marLeft w:val="0"/>
      <w:marRight w:val="0"/>
      <w:marTop w:val="0"/>
      <w:marBottom w:val="0"/>
      <w:divBdr>
        <w:top w:val="none" w:sz="0" w:space="0" w:color="auto"/>
        <w:left w:val="none" w:sz="0" w:space="0" w:color="auto"/>
        <w:bottom w:val="none" w:sz="0" w:space="0" w:color="auto"/>
        <w:right w:val="none" w:sz="0" w:space="0" w:color="auto"/>
      </w:divBdr>
    </w:div>
    <w:div w:id="818307879">
      <w:bodyDiv w:val="1"/>
      <w:marLeft w:val="0"/>
      <w:marRight w:val="0"/>
      <w:marTop w:val="0"/>
      <w:marBottom w:val="0"/>
      <w:divBdr>
        <w:top w:val="none" w:sz="0" w:space="0" w:color="auto"/>
        <w:left w:val="none" w:sz="0" w:space="0" w:color="auto"/>
        <w:bottom w:val="none" w:sz="0" w:space="0" w:color="auto"/>
        <w:right w:val="none" w:sz="0" w:space="0" w:color="auto"/>
      </w:divBdr>
    </w:div>
    <w:div w:id="822814390">
      <w:bodyDiv w:val="1"/>
      <w:marLeft w:val="0"/>
      <w:marRight w:val="0"/>
      <w:marTop w:val="0"/>
      <w:marBottom w:val="0"/>
      <w:divBdr>
        <w:top w:val="none" w:sz="0" w:space="0" w:color="auto"/>
        <w:left w:val="none" w:sz="0" w:space="0" w:color="auto"/>
        <w:bottom w:val="none" w:sz="0" w:space="0" w:color="auto"/>
        <w:right w:val="none" w:sz="0" w:space="0" w:color="auto"/>
      </w:divBdr>
    </w:div>
    <w:div w:id="825241928">
      <w:bodyDiv w:val="1"/>
      <w:marLeft w:val="0"/>
      <w:marRight w:val="0"/>
      <w:marTop w:val="0"/>
      <w:marBottom w:val="0"/>
      <w:divBdr>
        <w:top w:val="none" w:sz="0" w:space="0" w:color="auto"/>
        <w:left w:val="none" w:sz="0" w:space="0" w:color="auto"/>
        <w:bottom w:val="none" w:sz="0" w:space="0" w:color="auto"/>
        <w:right w:val="none" w:sz="0" w:space="0" w:color="auto"/>
      </w:divBdr>
    </w:div>
    <w:div w:id="829062933">
      <w:bodyDiv w:val="1"/>
      <w:marLeft w:val="0"/>
      <w:marRight w:val="0"/>
      <w:marTop w:val="0"/>
      <w:marBottom w:val="0"/>
      <w:divBdr>
        <w:top w:val="none" w:sz="0" w:space="0" w:color="auto"/>
        <w:left w:val="none" w:sz="0" w:space="0" w:color="auto"/>
        <w:bottom w:val="none" w:sz="0" w:space="0" w:color="auto"/>
        <w:right w:val="none" w:sz="0" w:space="0" w:color="auto"/>
      </w:divBdr>
    </w:div>
    <w:div w:id="829249063">
      <w:bodyDiv w:val="1"/>
      <w:marLeft w:val="0"/>
      <w:marRight w:val="0"/>
      <w:marTop w:val="0"/>
      <w:marBottom w:val="0"/>
      <w:divBdr>
        <w:top w:val="none" w:sz="0" w:space="0" w:color="auto"/>
        <w:left w:val="none" w:sz="0" w:space="0" w:color="auto"/>
        <w:bottom w:val="none" w:sz="0" w:space="0" w:color="auto"/>
        <w:right w:val="none" w:sz="0" w:space="0" w:color="auto"/>
      </w:divBdr>
    </w:div>
    <w:div w:id="834221416">
      <w:bodyDiv w:val="1"/>
      <w:marLeft w:val="0"/>
      <w:marRight w:val="0"/>
      <w:marTop w:val="0"/>
      <w:marBottom w:val="0"/>
      <w:divBdr>
        <w:top w:val="none" w:sz="0" w:space="0" w:color="auto"/>
        <w:left w:val="none" w:sz="0" w:space="0" w:color="auto"/>
        <w:bottom w:val="none" w:sz="0" w:space="0" w:color="auto"/>
        <w:right w:val="none" w:sz="0" w:space="0" w:color="auto"/>
      </w:divBdr>
    </w:div>
    <w:div w:id="861824104">
      <w:bodyDiv w:val="1"/>
      <w:marLeft w:val="0"/>
      <w:marRight w:val="0"/>
      <w:marTop w:val="0"/>
      <w:marBottom w:val="0"/>
      <w:divBdr>
        <w:top w:val="none" w:sz="0" w:space="0" w:color="auto"/>
        <w:left w:val="none" w:sz="0" w:space="0" w:color="auto"/>
        <w:bottom w:val="none" w:sz="0" w:space="0" w:color="auto"/>
        <w:right w:val="none" w:sz="0" w:space="0" w:color="auto"/>
      </w:divBdr>
    </w:div>
    <w:div w:id="877280487">
      <w:bodyDiv w:val="1"/>
      <w:marLeft w:val="0"/>
      <w:marRight w:val="0"/>
      <w:marTop w:val="0"/>
      <w:marBottom w:val="0"/>
      <w:divBdr>
        <w:top w:val="none" w:sz="0" w:space="0" w:color="auto"/>
        <w:left w:val="none" w:sz="0" w:space="0" w:color="auto"/>
        <w:bottom w:val="none" w:sz="0" w:space="0" w:color="auto"/>
        <w:right w:val="none" w:sz="0" w:space="0" w:color="auto"/>
      </w:divBdr>
    </w:div>
    <w:div w:id="883520246">
      <w:bodyDiv w:val="1"/>
      <w:marLeft w:val="0"/>
      <w:marRight w:val="0"/>
      <w:marTop w:val="0"/>
      <w:marBottom w:val="0"/>
      <w:divBdr>
        <w:top w:val="none" w:sz="0" w:space="0" w:color="auto"/>
        <w:left w:val="none" w:sz="0" w:space="0" w:color="auto"/>
        <w:bottom w:val="none" w:sz="0" w:space="0" w:color="auto"/>
        <w:right w:val="none" w:sz="0" w:space="0" w:color="auto"/>
      </w:divBdr>
    </w:div>
    <w:div w:id="893855152">
      <w:bodyDiv w:val="1"/>
      <w:marLeft w:val="0"/>
      <w:marRight w:val="0"/>
      <w:marTop w:val="0"/>
      <w:marBottom w:val="0"/>
      <w:divBdr>
        <w:top w:val="none" w:sz="0" w:space="0" w:color="auto"/>
        <w:left w:val="none" w:sz="0" w:space="0" w:color="auto"/>
        <w:bottom w:val="none" w:sz="0" w:space="0" w:color="auto"/>
        <w:right w:val="none" w:sz="0" w:space="0" w:color="auto"/>
      </w:divBdr>
    </w:div>
    <w:div w:id="898635370">
      <w:bodyDiv w:val="1"/>
      <w:marLeft w:val="0"/>
      <w:marRight w:val="0"/>
      <w:marTop w:val="0"/>
      <w:marBottom w:val="0"/>
      <w:divBdr>
        <w:top w:val="none" w:sz="0" w:space="0" w:color="auto"/>
        <w:left w:val="none" w:sz="0" w:space="0" w:color="auto"/>
        <w:bottom w:val="none" w:sz="0" w:space="0" w:color="auto"/>
        <w:right w:val="none" w:sz="0" w:space="0" w:color="auto"/>
      </w:divBdr>
    </w:div>
    <w:div w:id="902058648">
      <w:bodyDiv w:val="1"/>
      <w:marLeft w:val="0"/>
      <w:marRight w:val="0"/>
      <w:marTop w:val="0"/>
      <w:marBottom w:val="0"/>
      <w:divBdr>
        <w:top w:val="none" w:sz="0" w:space="0" w:color="auto"/>
        <w:left w:val="none" w:sz="0" w:space="0" w:color="auto"/>
        <w:bottom w:val="none" w:sz="0" w:space="0" w:color="auto"/>
        <w:right w:val="none" w:sz="0" w:space="0" w:color="auto"/>
      </w:divBdr>
    </w:div>
    <w:div w:id="927159773">
      <w:bodyDiv w:val="1"/>
      <w:marLeft w:val="0"/>
      <w:marRight w:val="0"/>
      <w:marTop w:val="0"/>
      <w:marBottom w:val="0"/>
      <w:divBdr>
        <w:top w:val="none" w:sz="0" w:space="0" w:color="auto"/>
        <w:left w:val="none" w:sz="0" w:space="0" w:color="auto"/>
        <w:bottom w:val="none" w:sz="0" w:space="0" w:color="auto"/>
        <w:right w:val="none" w:sz="0" w:space="0" w:color="auto"/>
      </w:divBdr>
    </w:div>
    <w:div w:id="941186884">
      <w:bodyDiv w:val="1"/>
      <w:marLeft w:val="0"/>
      <w:marRight w:val="0"/>
      <w:marTop w:val="0"/>
      <w:marBottom w:val="0"/>
      <w:divBdr>
        <w:top w:val="none" w:sz="0" w:space="0" w:color="auto"/>
        <w:left w:val="none" w:sz="0" w:space="0" w:color="auto"/>
        <w:bottom w:val="none" w:sz="0" w:space="0" w:color="auto"/>
        <w:right w:val="none" w:sz="0" w:space="0" w:color="auto"/>
      </w:divBdr>
    </w:div>
    <w:div w:id="944073664">
      <w:bodyDiv w:val="1"/>
      <w:marLeft w:val="0"/>
      <w:marRight w:val="0"/>
      <w:marTop w:val="0"/>
      <w:marBottom w:val="0"/>
      <w:divBdr>
        <w:top w:val="none" w:sz="0" w:space="0" w:color="auto"/>
        <w:left w:val="none" w:sz="0" w:space="0" w:color="auto"/>
        <w:bottom w:val="none" w:sz="0" w:space="0" w:color="auto"/>
        <w:right w:val="none" w:sz="0" w:space="0" w:color="auto"/>
      </w:divBdr>
    </w:div>
    <w:div w:id="944845383">
      <w:bodyDiv w:val="1"/>
      <w:marLeft w:val="0"/>
      <w:marRight w:val="0"/>
      <w:marTop w:val="0"/>
      <w:marBottom w:val="0"/>
      <w:divBdr>
        <w:top w:val="none" w:sz="0" w:space="0" w:color="auto"/>
        <w:left w:val="none" w:sz="0" w:space="0" w:color="auto"/>
        <w:bottom w:val="none" w:sz="0" w:space="0" w:color="auto"/>
        <w:right w:val="none" w:sz="0" w:space="0" w:color="auto"/>
      </w:divBdr>
    </w:div>
    <w:div w:id="947736569">
      <w:bodyDiv w:val="1"/>
      <w:marLeft w:val="0"/>
      <w:marRight w:val="0"/>
      <w:marTop w:val="0"/>
      <w:marBottom w:val="0"/>
      <w:divBdr>
        <w:top w:val="none" w:sz="0" w:space="0" w:color="auto"/>
        <w:left w:val="none" w:sz="0" w:space="0" w:color="auto"/>
        <w:bottom w:val="none" w:sz="0" w:space="0" w:color="auto"/>
        <w:right w:val="none" w:sz="0" w:space="0" w:color="auto"/>
      </w:divBdr>
    </w:div>
    <w:div w:id="972516637">
      <w:bodyDiv w:val="1"/>
      <w:marLeft w:val="0"/>
      <w:marRight w:val="0"/>
      <w:marTop w:val="0"/>
      <w:marBottom w:val="0"/>
      <w:divBdr>
        <w:top w:val="none" w:sz="0" w:space="0" w:color="auto"/>
        <w:left w:val="none" w:sz="0" w:space="0" w:color="auto"/>
        <w:bottom w:val="none" w:sz="0" w:space="0" w:color="auto"/>
        <w:right w:val="none" w:sz="0" w:space="0" w:color="auto"/>
      </w:divBdr>
    </w:div>
    <w:div w:id="1004476736">
      <w:bodyDiv w:val="1"/>
      <w:marLeft w:val="0"/>
      <w:marRight w:val="0"/>
      <w:marTop w:val="0"/>
      <w:marBottom w:val="0"/>
      <w:divBdr>
        <w:top w:val="none" w:sz="0" w:space="0" w:color="auto"/>
        <w:left w:val="none" w:sz="0" w:space="0" w:color="auto"/>
        <w:bottom w:val="none" w:sz="0" w:space="0" w:color="auto"/>
        <w:right w:val="none" w:sz="0" w:space="0" w:color="auto"/>
      </w:divBdr>
    </w:div>
    <w:div w:id="1042441595">
      <w:bodyDiv w:val="1"/>
      <w:marLeft w:val="0"/>
      <w:marRight w:val="0"/>
      <w:marTop w:val="0"/>
      <w:marBottom w:val="0"/>
      <w:divBdr>
        <w:top w:val="none" w:sz="0" w:space="0" w:color="auto"/>
        <w:left w:val="none" w:sz="0" w:space="0" w:color="auto"/>
        <w:bottom w:val="none" w:sz="0" w:space="0" w:color="auto"/>
        <w:right w:val="none" w:sz="0" w:space="0" w:color="auto"/>
      </w:divBdr>
    </w:div>
    <w:div w:id="1042904620">
      <w:bodyDiv w:val="1"/>
      <w:marLeft w:val="0"/>
      <w:marRight w:val="0"/>
      <w:marTop w:val="0"/>
      <w:marBottom w:val="0"/>
      <w:divBdr>
        <w:top w:val="none" w:sz="0" w:space="0" w:color="auto"/>
        <w:left w:val="none" w:sz="0" w:space="0" w:color="auto"/>
        <w:bottom w:val="none" w:sz="0" w:space="0" w:color="auto"/>
        <w:right w:val="none" w:sz="0" w:space="0" w:color="auto"/>
      </w:divBdr>
    </w:div>
    <w:div w:id="1080520034">
      <w:bodyDiv w:val="1"/>
      <w:marLeft w:val="0"/>
      <w:marRight w:val="0"/>
      <w:marTop w:val="0"/>
      <w:marBottom w:val="0"/>
      <w:divBdr>
        <w:top w:val="none" w:sz="0" w:space="0" w:color="auto"/>
        <w:left w:val="none" w:sz="0" w:space="0" w:color="auto"/>
        <w:bottom w:val="none" w:sz="0" w:space="0" w:color="auto"/>
        <w:right w:val="none" w:sz="0" w:space="0" w:color="auto"/>
      </w:divBdr>
    </w:div>
    <w:div w:id="1085802896">
      <w:bodyDiv w:val="1"/>
      <w:marLeft w:val="0"/>
      <w:marRight w:val="0"/>
      <w:marTop w:val="0"/>
      <w:marBottom w:val="0"/>
      <w:divBdr>
        <w:top w:val="none" w:sz="0" w:space="0" w:color="auto"/>
        <w:left w:val="none" w:sz="0" w:space="0" w:color="auto"/>
        <w:bottom w:val="none" w:sz="0" w:space="0" w:color="auto"/>
        <w:right w:val="none" w:sz="0" w:space="0" w:color="auto"/>
      </w:divBdr>
    </w:div>
    <w:div w:id="1090270561">
      <w:bodyDiv w:val="1"/>
      <w:marLeft w:val="0"/>
      <w:marRight w:val="0"/>
      <w:marTop w:val="0"/>
      <w:marBottom w:val="0"/>
      <w:divBdr>
        <w:top w:val="none" w:sz="0" w:space="0" w:color="auto"/>
        <w:left w:val="none" w:sz="0" w:space="0" w:color="auto"/>
        <w:bottom w:val="none" w:sz="0" w:space="0" w:color="auto"/>
        <w:right w:val="none" w:sz="0" w:space="0" w:color="auto"/>
      </w:divBdr>
    </w:div>
    <w:div w:id="1099718623">
      <w:bodyDiv w:val="1"/>
      <w:marLeft w:val="0"/>
      <w:marRight w:val="0"/>
      <w:marTop w:val="0"/>
      <w:marBottom w:val="0"/>
      <w:divBdr>
        <w:top w:val="none" w:sz="0" w:space="0" w:color="auto"/>
        <w:left w:val="none" w:sz="0" w:space="0" w:color="auto"/>
        <w:bottom w:val="none" w:sz="0" w:space="0" w:color="auto"/>
        <w:right w:val="none" w:sz="0" w:space="0" w:color="auto"/>
      </w:divBdr>
    </w:div>
    <w:div w:id="1136795767">
      <w:bodyDiv w:val="1"/>
      <w:marLeft w:val="0"/>
      <w:marRight w:val="0"/>
      <w:marTop w:val="0"/>
      <w:marBottom w:val="0"/>
      <w:divBdr>
        <w:top w:val="none" w:sz="0" w:space="0" w:color="auto"/>
        <w:left w:val="none" w:sz="0" w:space="0" w:color="auto"/>
        <w:bottom w:val="none" w:sz="0" w:space="0" w:color="auto"/>
        <w:right w:val="none" w:sz="0" w:space="0" w:color="auto"/>
      </w:divBdr>
    </w:div>
    <w:div w:id="1152790283">
      <w:bodyDiv w:val="1"/>
      <w:marLeft w:val="0"/>
      <w:marRight w:val="0"/>
      <w:marTop w:val="0"/>
      <w:marBottom w:val="0"/>
      <w:divBdr>
        <w:top w:val="none" w:sz="0" w:space="0" w:color="auto"/>
        <w:left w:val="none" w:sz="0" w:space="0" w:color="auto"/>
        <w:bottom w:val="none" w:sz="0" w:space="0" w:color="auto"/>
        <w:right w:val="none" w:sz="0" w:space="0" w:color="auto"/>
      </w:divBdr>
    </w:div>
    <w:div w:id="1153374909">
      <w:bodyDiv w:val="1"/>
      <w:marLeft w:val="0"/>
      <w:marRight w:val="0"/>
      <w:marTop w:val="0"/>
      <w:marBottom w:val="0"/>
      <w:divBdr>
        <w:top w:val="none" w:sz="0" w:space="0" w:color="auto"/>
        <w:left w:val="none" w:sz="0" w:space="0" w:color="auto"/>
        <w:bottom w:val="none" w:sz="0" w:space="0" w:color="auto"/>
        <w:right w:val="none" w:sz="0" w:space="0" w:color="auto"/>
      </w:divBdr>
    </w:div>
    <w:div w:id="1156454218">
      <w:bodyDiv w:val="1"/>
      <w:marLeft w:val="0"/>
      <w:marRight w:val="0"/>
      <w:marTop w:val="0"/>
      <w:marBottom w:val="0"/>
      <w:divBdr>
        <w:top w:val="none" w:sz="0" w:space="0" w:color="auto"/>
        <w:left w:val="none" w:sz="0" w:space="0" w:color="auto"/>
        <w:bottom w:val="none" w:sz="0" w:space="0" w:color="auto"/>
        <w:right w:val="none" w:sz="0" w:space="0" w:color="auto"/>
      </w:divBdr>
    </w:div>
    <w:div w:id="1173572729">
      <w:bodyDiv w:val="1"/>
      <w:marLeft w:val="0"/>
      <w:marRight w:val="0"/>
      <w:marTop w:val="0"/>
      <w:marBottom w:val="0"/>
      <w:divBdr>
        <w:top w:val="none" w:sz="0" w:space="0" w:color="auto"/>
        <w:left w:val="none" w:sz="0" w:space="0" w:color="auto"/>
        <w:bottom w:val="none" w:sz="0" w:space="0" w:color="auto"/>
        <w:right w:val="none" w:sz="0" w:space="0" w:color="auto"/>
      </w:divBdr>
    </w:div>
    <w:div w:id="1178470238">
      <w:bodyDiv w:val="1"/>
      <w:marLeft w:val="0"/>
      <w:marRight w:val="0"/>
      <w:marTop w:val="0"/>
      <w:marBottom w:val="0"/>
      <w:divBdr>
        <w:top w:val="none" w:sz="0" w:space="0" w:color="auto"/>
        <w:left w:val="none" w:sz="0" w:space="0" w:color="auto"/>
        <w:bottom w:val="none" w:sz="0" w:space="0" w:color="auto"/>
        <w:right w:val="none" w:sz="0" w:space="0" w:color="auto"/>
      </w:divBdr>
    </w:div>
    <w:div w:id="1228347771">
      <w:bodyDiv w:val="1"/>
      <w:marLeft w:val="0"/>
      <w:marRight w:val="0"/>
      <w:marTop w:val="0"/>
      <w:marBottom w:val="0"/>
      <w:divBdr>
        <w:top w:val="none" w:sz="0" w:space="0" w:color="auto"/>
        <w:left w:val="none" w:sz="0" w:space="0" w:color="auto"/>
        <w:bottom w:val="none" w:sz="0" w:space="0" w:color="auto"/>
        <w:right w:val="none" w:sz="0" w:space="0" w:color="auto"/>
      </w:divBdr>
    </w:div>
    <w:div w:id="1232930856">
      <w:bodyDiv w:val="1"/>
      <w:marLeft w:val="0"/>
      <w:marRight w:val="0"/>
      <w:marTop w:val="0"/>
      <w:marBottom w:val="0"/>
      <w:divBdr>
        <w:top w:val="none" w:sz="0" w:space="0" w:color="auto"/>
        <w:left w:val="none" w:sz="0" w:space="0" w:color="auto"/>
        <w:bottom w:val="none" w:sz="0" w:space="0" w:color="auto"/>
        <w:right w:val="none" w:sz="0" w:space="0" w:color="auto"/>
      </w:divBdr>
    </w:div>
    <w:div w:id="1244997771">
      <w:bodyDiv w:val="1"/>
      <w:marLeft w:val="0"/>
      <w:marRight w:val="0"/>
      <w:marTop w:val="0"/>
      <w:marBottom w:val="0"/>
      <w:divBdr>
        <w:top w:val="none" w:sz="0" w:space="0" w:color="auto"/>
        <w:left w:val="none" w:sz="0" w:space="0" w:color="auto"/>
        <w:bottom w:val="none" w:sz="0" w:space="0" w:color="auto"/>
        <w:right w:val="none" w:sz="0" w:space="0" w:color="auto"/>
      </w:divBdr>
    </w:div>
    <w:div w:id="1261068254">
      <w:bodyDiv w:val="1"/>
      <w:marLeft w:val="0"/>
      <w:marRight w:val="0"/>
      <w:marTop w:val="0"/>
      <w:marBottom w:val="0"/>
      <w:divBdr>
        <w:top w:val="none" w:sz="0" w:space="0" w:color="auto"/>
        <w:left w:val="none" w:sz="0" w:space="0" w:color="auto"/>
        <w:bottom w:val="none" w:sz="0" w:space="0" w:color="auto"/>
        <w:right w:val="none" w:sz="0" w:space="0" w:color="auto"/>
      </w:divBdr>
    </w:div>
    <w:div w:id="1264724621">
      <w:bodyDiv w:val="1"/>
      <w:marLeft w:val="0"/>
      <w:marRight w:val="0"/>
      <w:marTop w:val="0"/>
      <w:marBottom w:val="0"/>
      <w:divBdr>
        <w:top w:val="none" w:sz="0" w:space="0" w:color="auto"/>
        <w:left w:val="none" w:sz="0" w:space="0" w:color="auto"/>
        <w:bottom w:val="none" w:sz="0" w:space="0" w:color="auto"/>
        <w:right w:val="none" w:sz="0" w:space="0" w:color="auto"/>
      </w:divBdr>
    </w:div>
    <w:div w:id="1285816822">
      <w:bodyDiv w:val="1"/>
      <w:marLeft w:val="0"/>
      <w:marRight w:val="0"/>
      <w:marTop w:val="0"/>
      <w:marBottom w:val="0"/>
      <w:divBdr>
        <w:top w:val="none" w:sz="0" w:space="0" w:color="auto"/>
        <w:left w:val="none" w:sz="0" w:space="0" w:color="auto"/>
        <w:bottom w:val="none" w:sz="0" w:space="0" w:color="auto"/>
        <w:right w:val="none" w:sz="0" w:space="0" w:color="auto"/>
      </w:divBdr>
    </w:div>
    <w:div w:id="1322200817">
      <w:bodyDiv w:val="1"/>
      <w:marLeft w:val="0"/>
      <w:marRight w:val="0"/>
      <w:marTop w:val="0"/>
      <w:marBottom w:val="0"/>
      <w:divBdr>
        <w:top w:val="none" w:sz="0" w:space="0" w:color="auto"/>
        <w:left w:val="none" w:sz="0" w:space="0" w:color="auto"/>
        <w:bottom w:val="none" w:sz="0" w:space="0" w:color="auto"/>
        <w:right w:val="none" w:sz="0" w:space="0" w:color="auto"/>
      </w:divBdr>
    </w:div>
    <w:div w:id="1324697973">
      <w:bodyDiv w:val="1"/>
      <w:marLeft w:val="0"/>
      <w:marRight w:val="0"/>
      <w:marTop w:val="0"/>
      <w:marBottom w:val="0"/>
      <w:divBdr>
        <w:top w:val="none" w:sz="0" w:space="0" w:color="auto"/>
        <w:left w:val="none" w:sz="0" w:space="0" w:color="auto"/>
        <w:bottom w:val="none" w:sz="0" w:space="0" w:color="auto"/>
        <w:right w:val="none" w:sz="0" w:space="0" w:color="auto"/>
      </w:divBdr>
    </w:div>
    <w:div w:id="1324895392">
      <w:bodyDiv w:val="1"/>
      <w:marLeft w:val="0"/>
      <w:marRight w:val="0"/>
      <w:marTop w:val="0"/>
      <w:marBottom w:val="0"/>
      <w:divBdr>
        <w:top w:val="none" w:sz="0" w:space="0" w:color="auto"/>
        <w:left w:val="none" w:sz="0" w:space="0" w:color="auto"/>
        <w:bottom w:val="none" w:sz="0" w:space="0" w:color="auto"/>
        <w:right w:val="none" w:sz="0" w:space="0" w:color="auto"/>
      </w:divBdr>
    </w:div>
    <w:div w:id="1327249700">
      <w:bodyDiv w:val="1"/>
      <w:marLeft w:val="0"/>
      <w:marRight w:val="0"/>
      <w:marTop w:val="0"/>
      <w:marBottom w:val="0"/>
      <w:divBdr>
        <w:top w:val="none" w:sz="0" w:space="0" w:color="auto"/>
        <w:left w:val="none" w:sz="0" w:space="0" w:color="auto"/>
        <w:bottom w:val="none" w:sz="0" w:space="0" w:color="auto"/>
        <w:right w:val="none" w:sz="0" w:space="0" w:color="auto"/>
      </w:divBdr>
    </w:div>
    <w:div w:id="1334409109">
      <w:bodyDiv w:val="1"/>
      <w:marLeft w:val="0"/>
      <w:marRight w:val="0"/>
      <w:marTop w:val="0"/>
      <w:marBottom w:val="0"/>
      <w:divBdr>
        <w:top w:val="none" w:sz="0" w:space="0" w:color="auto"/>
        <w:left w:val="none" w:sz="0" w:space="0" w:color="auto"/>
        <w:bottom w:val="none" w:sz="0" w:space="0" w:color="auto"/>
        <w:right w:val="none" w:sz="0" w:space="0" w:color="auto"/>
      </w:divBdr>
    </w:div>
    <w:div w:id="1360080476">
      <w:bodyDiv w:val="1"/>
      <w:marLeft w:val="0"/>
      <w:marRight w:val="0"/>
      <w:marTop w:val="0"/>
      <w:marBottom w:val="0"/>
      <w:divBdr>
        <w:top w:val="none" w:sz="0" w:space="0" w:color="auto"/>
        <w:left w:val="none" w:sz="0" w:space="0" w:color="auto"/>
        <w:bottom w:val="none" w:sz="0" w:space="0" w:color="auto"/>
        <w:right w:val="none" w:sz="0" w:space="0" w:color="auto"/>
      </w:divBdr>
    </w:div>
    <w:div w:id="1361663700">
      <w:bodyDiv w:val="1"/>
      <w:marLeft w:val="0"/>
      <w:marRight w:val="0"/>
      <w:marTop w:val="0"/>
      <w:marBottom w:val="0"/>
      <w:divBdr>
        <w:top w:val="none" w:sz="0" w:space="0" w:color="auto"/>
        <w:left w:val="none" w:sz="0" w:space="0" w:color="auto"/>
        <w:bottom w:val="none" w:sz="0" w:space="0" w:color="auto"/>
        <w:right w:val="none" w:sz="0" w:space="0" w:color="auto"/>
      </w:divBdr>
    </w:div>
    <w:div w:id="1368720731">
      <w:bodyDiv w:val="1"/>
      <w:marLeft w:val="0"/>
      <w:marRight w:val="0"/>
      <w:marTop w:val="0"/>
      <w:marBottom w:val="0"/>
      <w:divBdr>
        <w:top w:val="none" w:sz="0" w:space="0" w:color="auto"/>
        <w:left w:val="none" w:sz="0" w:space="0" w:color="auto"/>
        <w:bottom w:val="none" w:sz="0" w:space="0" w:color="auto"/>
        <w:right w:val="none" w:sz="0" w:space="0" w:color="auto"/>
      </w:divBdr>
    </w:div>
    <w:div w:id="1379165269">
      <w:bodyDiv w:val="1"/>
      <w:marLeft w:val="0"/>
      <w:marRight w:val="0"/>
      <w:marTop w:val="0"/>
      <w:marBottom w:val="0"/>
      <w:divBdr>
        <w:top w:val="none" w:sz="0" w:space="0" w:color="auto"/>
        <w:left w:val="none" w:sz="0" w:space="0" w:color="auto"/>
        <w:bottom w:val="none" w:sz="0" w:space="0" w:color="auto"/>
        <w:right w:val="none" w:sz="0" w:space="0" w:color="auto"/>
      </w:divBdr>
    </w:div>
    <w:div w:id="1393427866">
      <w:bodyDiv w:val="1"/>
      <w:marLeft w:val="0"/>
      <w:marRight w:val="0"/>
      <w:marTop w:val="0"/>
      <w:marBottom w:val="0"/>
      <w:divBdr>
        <w:top w:val="none" w:sz="0" w:space="0" w:color="auto"/>
        <w:left w:val="none" w:sz="0" w:space="0" w:color="auto"/>
        <w:bottom w:val="none" w:sz="0" w:space="0" w:color="auto"/>
        <w:right w:val="none" w:sz="0" w:space="0" w:color="auto"/>
      </w:divBdr>
    </w:div>
    <w:div w:id="1399088405">
      <w:bodyDiv w:val="1"/>
      <w:marLeft w:val="0"/>
      <w:marRight w:val="0"/>
      <w:marTop w:val="0"/>
      <w:marBottom w:val="0"/>
      <w:divBdr>
        <w:top w:val="none" w:sz="0" w:space="0" w:color="auto"/>
        <w:left w:val="none" w:sz="0" w:space="0" w:color="auto"/>
        <w:bottom w:val="none" w:sz="0" w:space="0" w:color="auto"/>
        <w:right w:val="none" w:sz="0" w:space="0" w:color="auto"/>
      </w:divBdr>
    </w:div>
    <w:div w:id="1400326338">
      <w:bodyDiv w:val="1"/>
      <w:marLeft w:val="0"/>
      <w:marRight w:val="0"/>
      <w:marTop w:val="0"/>
      <w:marBottom w:val="0"/>
      <w:divBdr>
        <w:top w:val="none" w:sz="0" w:space="0" w:color="auto"/>
        <w:left w:val="none" w:sz="0" w:space="0" w:color="auto"/>
        <w:bottom w:val="none" w:sz="0" w:space="0" w:color="auto"/>
        <w:right w:val="none" w:sz="0" w:space="0" w:color="auto"/>
      </w:divBdr>
    </w:div>
    <w:div w:id="1420177834">
      <w:bodyDiv w:val="1"/>
      <w:marLeft w:val="0"/>
      <w:marRight w:val="0"/>
      <w:marTop w:val="0"/>
      <w:marBottom w:val="0"/>
      <w:divBdr>
        <w:top w:val="none" w:sz="0" w:space="0" w:color="auto"/>
        <w:left w:val="none" w:sz="0" w:space="0" w:color="auto"/>
        <w:bottom w:val="none" w:sz="0" w:space="0" w:color="auto"/>
        <w:right w:val="none" w:sz="0" w:space="0" w:color="auto"/>
      </w:divBdr>
    </w:div>
    <w:div w:id="1421678257">
      <w:bodyDiv w:val="1"/>
      <w:marLeft w:val="0"/>
      <w:marRight w:val="0"/>
      <w:marTop w:val="0"/>
      <w:marBottom w:val="0"/>
      <w:divBdr>
        <w:top w:val="none" w:sz="0" w:space="0" w:color="auto"/>
        <w:left w:val="none" w:sz="0" w:space="0" w:color="auto"/>
        <w:bottom w:val="none" w:sz="0" w:space="0" w:color="auto"/>
        <w:right w:val="none" w:sz="0" w:space="0" w:color="auto"/>
      </w:divBdr>
    </w:div>
    <w:div w:id="1445691372">
      <w:bodyDiv w:val="1"/>
      <w:marLeft w:val="0"/>
      <w:marRight w:val="0"/>
      <w:marTop w:val="0"/>
      <w:marBottom w:val="0"/>
      <w:divBdr>
        <w:top w:val="none" w:sz="0" w:space="0" w:color="auto"/>
        <w:left w:val="none" w:sz="0" w:space="0" w:color="auto"/>
        <w:bottom w:val="none" w:sz="0" w:space="0" w:color="auto"/>
        <w:right w:val="none" w:sz="0" w:space="0" w:color="auto"/>
      </w:divBdr>
    </w:div>
    <w:div w:id="1455754708">
      <w:bodyDiv w:val="1"/>
      <w:marLeft w:val="0"/>
      <w:marRight w:val="0"/>
      <w:marTop w:val="0"/>
      <w:marBottom w:val="0"/>
      <w:divBdr>
        <w:top w:val="none" w:sz="0" w:space="0" w:color="auto"/>
        <w:left w:val="none" w:sz="0" w:space="0" w:color="auto"/>
        <w:bottom w:val="none" w:sz="0" w:space="0" w:color="auto"/>
        <w:right w:val="none" w:sz="0" w:space="0" w:color="auto"/>
      </w:divBdr>
    </w:div>
    <w:div w:id="1470903261">
      <w:bodyDiv w:val="1"/>
      <w:marLeft w:val="0"/>
      <w:marRight w:val="0"/>
      <w:marTop w:val="0"/>
      <w:marBottom w:val="0"/>
      <w:divBdr>
        <w:top w:val="none" w:sz="0" w:space="0" w:color="auto"/>
        <w:left w:val="none" w:sz="0" w:space="0" w:color="auto"/>
        <w:bottom w:val="none" w:sz="0" w:space="0" w:color="auto"/>
        <w:right w:val="none" w:sz="0" w:space="0" w:color="auto"/>
      </w:divBdr>
    </w:div>
    <w:div w:id="1521161693">
      <w:bodyDiv w:val="1"/>
      <w:marLeft w:val="0"/>
      <w:marRight w:val="0"/>
      <w:marTop w:val="0"/>
      <w:marBottom w:val="0"/>
      <w:divBdr>
        <w:top w:val="none" w:sz="0" w:space="0" w:color="auto"/>
        <w:left w:val="none" w:sz="0" w:space="0" w:color="auto"/>
        <w:bottom w:val="none" w:sz="0" w:space="0" w:color="auto"/>
        <w:right w:val="none" w:sz="0" w:space="0" w:color="auto"/>
      </w:divBdr>
    </w:div>
    <w:div w:id="1532567357">
      <w:bodyDiv w:val="1"/>
      <w:marLeft w:val="0"/>
      <w:marRight w:val="0"/>
      <w:marTop w:val="0"/>
      <w:marBottom w:val="0"/>
      <w:divBdr>
        <w:top w:val="none" w:sz="0" w:space="0" w:color="auto"/>
        <w:left w:val="none" w:sz="0" w:space="0" w:color="auto"/>
        <w:bottom w:val="none" w:sz="0" w:space="0" w:color="auto"/>
        <w:right w:val="none" w:sz="0" w:space="0" w:color="auto"/>
      </w:divBdr>
    </w:div>
    <w:div w:id="1547063977">
      <w:bodyDiv w:val="1"/>
      <w:marLeft w:val="0"/>
      <w:marRight w:val="0"/>
      <w:marTop w:val="0"/>
      <w:marBottom w:val="0"/>
      <w:divBdr>
        <w:top w:val="none" w:sz="0" w:space="0" w:color="auto"/>
        <w:left w:val="none" w:sz="0" w:space="0" w:color="auto"/>
        <w:bottom w:val="none" w:sz="0" w:space="0" w:color="auto"/>
        <w:right w:val="none" w:sz="0" w:space="0" w:color="auto"/>
      </w:divBdr>
    </w:div>
    <w:div w:id="1548029488">
      <w:bodyDiv w:val="1"/>
      <w:marLeft w:val="0"/>
      <w:marRight w:val="0"/>
      <w:marTop w:val="0"/>
      <w:marBottom w:val="0"/>
      <w:divBdr>
        <w:top w:val="none" w:sz="0" w:space="0" w:color="auto"/>
        <w:left w:val="none" w:sz="0" w:space="0" w:color="auto"/>
        <w:bottom w:val="none" w:sz="0" w:space="0" w:color="auto"/>
        <w:right w:val="none" w:sz="0" w:space="0" w:color="auto"/>
      </w:divBdr>
    </w:div>
    <w:div w:id="1571964598">
      <w:bodyDiv w:val="1"/>
      <w:marLeft w:val="0"/>
      <w:marRight w:val="0"/>
      <w:marTop w:val="0"/>
      <w:marBottom w:val="0"/>
      <w:divBdr>
        <w:top w:val="none" w:sz="0" w:space="0" w:color="auto"/>
        <w:left w:val="none" w:sz="0" w:space="0" w:color="auto"/>
        <w:bottom w:val="none" w:sz="0" w:space="0" w:color="auto"/>
        <w:right w:val="none" w:sz="0" w:space="0" w:color="auto"/>
      </w:divBdr>
    </w:div>
    <w:div w:id="1573392461">
      <w:bodyDiv w:val="1"/>
      <w:marLeft w:val="0"/>
      <w:marRight w:val="0"/>
      <w:marTop w:val="0"/>
      <w:marBottom w:val="0"/>
      <w:divBdr>
        <w:top w:val="none" w:sz="0" w:space="0" w:color="auto"/>
        <w:left w:val="none" w:sz="0" w:space="0" w:color="auto"/>
        <w:bottom w:val="none" w:sz="0" w:space="0" w:color="auto"/>
        <w:right w:val="none" w:sz="0" w:space="0" w:color="auto"/>
      </w:divBdr>
    </w:div>
    <w:div w:id="1573812879">
      <w:bodyDiv w:val="1"/>
      <w:marLeft w:val="0"/>
      <w:marRight w:val="0"/>
      <w:marTop w:val="0"/>
      <w:marBottom w:val="0"/>
      <w:divBdr>
        <w:top w:val="none" w:sz="0" w:space="0" w:color="auto"/>
        <w:left w:val="none" w:sz="0" w:space="0" w:color="auto"/>
        <w:bottom w:val="none" w:sz="0" w:space="0" w:color="auto"/>
        <w:right w:val="none" w:sz="0" w:space="0" w:color="auto"/>
      </w:divBdr>
    </w:div>
    <w:div w:id="1600407065">
      <w:bodyDiv w:val="1"/>
      <w:marLeft w:val="0"/>
      <w:marRight w:val="0"/>
      <w:marTop w:val="0"/>
      <w:marBottom w:val="0"/>
      <w:divBdr>
        <w:top w:val="none" w:sz="0" w:space="0" w:color="auto"/>
        <w:left w:val="none" w:sz="0" w:space="0" w:color="auto"/>
        <w:bottom w:val="none" w:sz="0" w:space="0" w:color="auto"/>
        <w:right w:val="none" w:sz="0" w:space="0" w:color="auto"/>
      </w:divBdr>
    </w:div>
    <w:div w:id="1614702144">
      <w:bodyDiv w:val="1"/>
      <w:marLeft w:val="0"/>
      <w:marRight w:val="0"/>
      <w:marTop w:val="0"/>
      <w:marBottom w:val="0"/>
      <w:divBdr>
        <w:top w:val="none" w:sz="0" w:space="0" w:color="auto"/>
        <w:left w:val="none" w:sz="0" w:space="0" w:color="auto"/>
        <w:bottom w:val="none" w:sz="0" w:space="0" w:color="auto"/>
        <w:right w:val="none" w:sz="0" w:space="0" w:color="auto"/>
      </w:divBdr>
    </w:div>
    <w:div w:id="1616523323">
      <w:bodyDiv w:val="1"/>
      <w:marLeft w:val="0"/>
      <w:marRight w:val="0"/>
      <w:marTop w:val="0"/>
      <w:marBottom w:val="0"/>
      <w:divBdr>
        <w:top w:val="none" w:sz="0" w:space="0" w:color="auto"/>
        <w:left w:val="none" w:sz="0" w:space="0" w:color="auto"/>
        <w:bottom w:val="none" w:sz="0" w:space="0" w:color="auto"/>
        <w:right w:val="none" w:sz="0" w:space="0" w:color="auto"/>
      </w:divBdr>
    </w:div>
    <w:div w:id="1619750634">
      <w:bodyDiv w:val="1"/>
      <w:marLeft w:val="0"/>
      <w:marRight w:val="0"/>
      <w:marTop w:val="0"/>
      <w:marBottom w:val="0"/>
      <w:divBdr>
        <w:top w:val="none" w:sz="0" w:space="0" w:color="auto"/>
        <w:left w:val="none" w:sz="0" w:space="0" w:color="auto"/>
        <w:bottom w:val="none" w:sz="0" w:space="0" w:color="auto"/>
        <w:right w:val="none" w:sz="0" w:space="0" w:color="auto"/>
      </w:divBdr>
    </w:div>
    <w:div w:id="1623028974">
      <w:bodyDiv w:val="1"/>
      <w:marLeft w:val="0"/>
      <w:marRight w:val="0"/>
      <w:marTop w:val="0"/>
      <w:marBottom w:val="0"/>
      <w:divBdr>
        <w:top w:val="none" w:sz="0" w:space="0" w:color="auto"/>
        <w:left w:val="none" w:sz="0" w:space="0" w:color="auto"/>
        <w:bottom w:val="none" w:sz="0" w:space="0" w:color="auto"/>
        <w:right w:val="none" w:sz="0" w:space="0" w:color="auto"/>
      </w:divBdr>
    </w:div>
    <w:div w:id="1660694414">
      <w:bodyDiv w:val="1"/>
      <w:marLeft w:val="0"/>
      <w:marRight w:val="0"/>
      <w:marTop w:val="0"/>
      <w:marBottom w:val="0"/>
      <w:divBdr>
        <w:top w:val="none" w:sz="0" w:space="0" w:color="auto"/>
        <w:left w:val="none" w:sz="0" w:space="0" w:color="auto"/>
        <w:bottom w:val="none" w:sz="0" w:space="0" w:color="auto"/>
        <w:right w:val="none" w:sz="0" w:space="0" w:color="auto"/>
      </w:divBdr>
    </w:div>
    <w:div w:id="1688290748">
      <w:bodyDiv w:val="1"/>
      <w:marLeft w:val="0"/>
      <w:marRight w:val="0"/>
      <w:marTop w:val="0"/>
      <w:marBottom w:val="0"/>
      <w:divBdr>
        <w:top w:val="none" w:sz="0" w:space="0" w:color="auto"/>
        <w:left w:val="none" w:sz="0" w:space="0" w:color="auto"/>
        <w:bottom w:val="none" w:sz="0" w:space="0" w:color="auto"/>
        <w:right w:val="none" w:sz="0" w:space="0" w:color="auto"/>
      </w:divBdr>
    </w:div>
    <w:div w:id="1724593185">
      <w:bodyDiv w:val="1"/>
      <w:marLeft w:val="0"/>
      <w:marRight w:val="0"/>
      <w:marTop w:val="0"/>
      <w:marBottom w:val="0"/>
      <w:divBdr>
        <w:top w:val="none" w:sz="0" w:space="0" w:color="auto"/>
        <w:left w:val="none" w:sz="0" w:space="0" w:color="auto"/>
        <w:bottom w:val="none" w:sz="0" w:space="0" w:color="auto"/>
        <w:right w:val="none" w:sz="0" w:space="0" w:color="auto"/>
      </w:divBdr>
    </w:div>
    <w:div w:id="1731152850">
      <w:bodyDiv w:val="1"/>
      <w:marLeft w:val="0"/>
      <w:marRight w:val="0"/>
      <w:marTop w:val="0"/>
      <w:marBottom w:val="0"/>
      <w:divBdr>
        <w:top w:val="none" w:sz="0" w:space="0" w:color="auto"/>
        <w:left w:val="none" w:sz="0" w:space="0" w:color="auto"/>
        <w:bottom w:val="none" w:sz="0" w:space="0" w:color="auto"/>
        <w:right w:val="none" w:sz="0" w:space="0" w:color="auto"/>
      </w:divBdr>
    </w:div>
    <w:div w:id="1769815319">
      <w:bodyDiv w:val="1"/>
      <w:marLeft w:val="0"/>
      <w:marRight w:val="0"/>
      <w:marTop w:val="0"/>
      <w:marBottom w:val="0"/>
      <w:divBdr>
        <w:top w:val="none" w:sz="0" w:space="0" w:color="auto"/>
        <w:left w:val="none" w:sz="0" w:space="0" w:color="auto"/>
        <w:bottom w:val="none" w:sz="0" w:space="0" w:color="auto"/>
        <w:right w:val="none" w:sz="0" w:space="0" w:color="auto"/>
      </w:divBdr>
    </w:div>
    <w:div w:id="1786466063">
      <w:bodyDiv w:val="1"/>
      <w:marLeft w:val="0"/>
      <w:marRight w:val="0"/>
      <w:marTop w:val="0"/>
      <w:marBottom w:val="0"/>
      <w:divBdr>
        <w:top w:val="none" w:sz="0" w:space="0" w:color="auto"/>
        <w:left w:val="none" w:sz="0" w:space="0" w:color="auto"/>
        <w:bottom w:val="none" w:sz="0" w:space="0" w:color="auto"/>
        <w:right w:val="none" w:sz="0" w:space="0" w:color="auto"/>
      </w:divBdr>
    </w:div>
    <w:div w:id="1787772417">
      <w:bodyDiv w:val="1"/>
      <w:marLeft w:val="0"/>
      <w:marRight w:val="0"/>
      <w:marTop w:val="0"/>
      <w:marBottom w:val="0"/>
      <w:divBdr>
        <w:top w:val="none" w:sz="0" w:space="0" w:color="auto"/>
        <w:left w:val="none" w:sz="0" w:space="0" w:color="auto"/>
        <w:bottom w:val="none" w:sz="0" w:space="0" w:color="auto"/>
        <w:right w:val="none" w:sz="0" w:space="0" w:color="auto"/>
      </w:divBdr>
    </w:div>
    <w:div w:id="1811243376">
      <w:bodyDiv w:val="1"/>
      <w:marLeft w:val="0"/>
      <w:marRight w:val="0"/>
      <w:marTop w:val="0"/>
      <w:marBottom w:val="0"/>
      <w:divBdr>
        <w:top w:val="none" w:sz="0" w:space="0" w:color="auto"/>
        <w:left w:val="none" w:sz="0" w:space="0" w:color="auto"/>
        <w:bottom w:val="none" w:sz="0" w:space="0" w:color="auto"/>
        <w:right w:val="none" w:sz="0" w:space="0" w:color="auto"/>
      </w:divBdr>
    </w:div>
    <w:div w:id="1814329448">
      <w:bodyDiv w:val="1"/>
      <w:marLeft w:val="0"/>
      <w:marRight w:val="0"/>
      <w:marTop w:val="0"/>
      <w:marBottom w:val="0"/>
      <w:divBdr>
        <w:top w:val="none" w:sz="0" w:space="0" w:color="auto"/>
        <w:left w:val="none" w:sz="0" w:space="0" w:color="auto"/>
        <w:bottom w:val="none" w:sz="0" w:space="0" w:color="auto"/>
        <w:right w:val="none" w:sz="0" w:space="0" w:color="auto"/>
      </w:divBdr>
    </w:div>
    <w:div w:id="1867866169">
      <w:bodyDiv w:val="1"/>
      <w:marLeft w:val="0"/>
      <w:marRight w:val="0"/>
      <w:marTop w:val="0"/>
      <w:marBottom w:val="0"/>
      <w:divBdr>
        <w:top w:val="none" w:sz="0" w:space="0" w:color="auto"/>
        <w:left w:val="none" w:sz="0" w:space="0" w:color="auto"/>
        <w:bottom w:val="none" w:sz="0" w:space="0" w:color="auto"/>
        <w:right w:val="none" w:sz="0" w:space="0" w:color="auto"/>
      </w:divBdr>
    </w:div>
    <w:div w:id="1872112667">
      <w:bodyDiv w:val="1"/>
      <w:marLeft w:val="0"/>
      <w:marRight w:val="0"/>
      <w:marTop w:val="0"/>
      <w:marBottom w:val="0"/>
      <w:divBdr>
        <w:top w:val="none" w:sz="0" w:space="0" w:color="auto"/>
        <w:left w:val="none" w:sz="0" w:space="0" w:color="auto"/>
        <w:bottom w:val="none" w:sz="0" w:space="0" w:color="auto"/>
        <w:right w:val="none" w:sz="0" w:space="0" w:color="auto"/>
      </w:divBdr>
    </w:div>
    <w:div w:id="1931742566">
      <w:bodyDiv w:val="1"/>
      <w:marLeft w:val="0"/>
      <w:marRight w:val="0"/>
      <w:marTop w:val="0"/>
      <w:marBottom w:val="0"/>
      <w:divBdr>
        <w:top w:val="none" w:sz="0" w:space="0" w:color="auto"/>
        <w:left w:val="none" w:sz="0" w:space="0" w:color="auto"/>
        <w:bottom w:val="none" w:sz="0" w:space="0" w:color="auto"/>
        <w:right w:val="none" w:sz="0" w:space="0" w:color="auto"/>
      </w:divBdr>
    </w:div>
    <w:div w:id="1932277966">
      <w:bodyDiv w:val="1"/>
      <w:marLeft w:val="0"/>
      <w:marRight w:val="0"/>
      <w:marTop w:val="0"/>
      <w:marBottom w:val="0"/>
      <w:divBdr>
        <w:top w:val="none" w:sz="0" w:space="0" w:color="auto"/>
        <w:left w:val="none" w:sz="0" w:space="0" w:color="auto"/>
        <w:bottom w:val="none" w:sz="0" w:space="0" w:color="auto"/>
        <w:right w:val="none" w:sz="0" w:space="0" w:color="auto"/>
      </w:divBdr>
    </w:div>
    <w:div w:id="1947038800">
      <w:bodyDiv w:val="1"/>
      <w:marLeft w:val="0"/>
      <w:marRight w:val="0"/>
      <w:marTop w:val="0"/>
      <w:marBottom w:val="0"/>
      <w:divBdr>
        <w:top w:val="none" w:sz="0" w:space="0" w:color="auto"/>
        <w:left w:val="none" w:sz="0" w:space="0" w:color="auto"/>
        <w:bottom w:val="none" w:sz="0" w:space="0" w:color="auto"/>
        <w:right w:val="none" w:sz="0" w:space="0" w:color="auto"/>
      </w:divBdr>
    </w:div>
    <w:div w:id="1961842306">
      <w:bodyDiv w:val="1"/>
      <w:marLeft w:val="0"/>
      <w:marRight w:val="0"/>
      <w:marTop w:val="0"/>
      <w:marBottom w:val="0"/>
      <w:divBdr>
        <w:top w:val="none" w:sz="0" w:space="0" w:color="auto"/>
        <w:left w:val="none" w:sz="0" w:space="0" w:color="auto"/>
        <w:bottom w:val="none" w:sz="0" w:space="0" w:color="auto"/>
        <w:right w:val="none" w:sz="0" w:space="0" w:color="auto"/>
      </w:divBdr>
    </w:div>
    <w:div w:id="1979143196">
      <w:bodyDiv w:val="1"/>
      <w:marLeft w:val="0"/>
      <w:marRight w:val="0"/>
      <w:marTop w:val="0"/>
      <w:marBottom w:val="0"/>
      <w:divBdr>
        <w:top w:val="none" w:sz="0" w:space="0" w:color="auto"/>
        <w:left w:val="none" w:sz="0" w:space="0" w:color="auto"/>
        <w:bottom w:val="none" w:sz="0" w:space="0" w:color="auto"/>
        <w:right w:val="none" w:sz="0" w:space="0" w:color="auto"/>
      </w:divBdr>
    </w:div>
    <w:div w:id="1990599100">
      <w:bodyDiv w:val="1"/>
      <w:marLeft w:val="0"/>
      <w:marRight w:val="0"/>
      <w:marTop w:val="0"/>
      <w:marBottom w:val="0"/>
      <w:divBdr>
        <w:top w:val="none" w:sz="0" w:space="0" w:color="auto"/>
        <w:left w:val="none" w:sz="0" w:space="0" w:color="auto"/>
        <w:bottom w:val="none" w:sz="0" w:space="0" w:color="auto"/>
        <w:right w:val="none" w:sz="0" w:space="0" w:color="auto"/>
      </w:divBdr>
    </w:div>
    <w:div w:id="1997568950">
      <w:bodyDiv w:val="1"/>
      <w:marLeft w:val="0"/>
      <w:marRight w:val="0"/>
      <w:marTop w:val="0"/>
      <w:marBottom w:val="0"/>
      <w:divBdr>
        <w:top w:val="none" w:sz="0" w:space="0" w:color="auto"/>
        <w:left w:val="none" w:sz="0" w:space="0" w:color="auto"/>
        <w:bottom w:val="none" w:sz="0" w:space="0" w:color="auto"/>
        <w:right w:val="none" w:sz="0" w:space="0" w:color="auto"/>
      </w:divBdr>
    </w:div>
    <w:div w:id="2050252518">
      <w:bodyDiv w:val="1"/>
      <w:marLeft w:val="0"/>
      <w:marRight w:val="0"/>
      <w:marTop w:val="0"/>
      <w:marBottom w:val="0"/>
      <w:divBdr>
        <w:top w:val="none" w:sz="0" w:space="0" w:color="auto"/>
        <w:left w:val="none" w:sz="0" w:space="0" w:color="auto"/>
        <w:bottom w:val="none" w:sz="0" w:space="0" w:color="auto"/>
        <w:right w:val="none" w:sz="0" w:space="0" w:color="auto"/>
      </w:divBdr>
    </w:div>
    <w:div w:id="2063745824">
      <w:bodyDiv w:val="1"/>
      <w:marLeft w:val="0"/>
      <w:marRight w:val="0"/>
      <w:marTop w:val="0"/>
      <w:marBottom w:val="0"/>
      <w:divBdr>
        <w:top w:val="none" w:sz="0" w:space="0" w:color="auto"/>
        <w:left w:val="none" w:sz="0" w:space="0" w:color="auto"/>
        <w:bottom w:val="none" w:sz="0" w:space="0" w:color="auto"/>
        <w:right w:val="none" w:sz="0" w:space="0" w:color="auto"/>
      </w:divBdr>
    </w:div>
    <w:div w:id="2070297877">
      <w:bodyDiv w:val="1"/>
      <w:marLeft w:val="0"/>
      <w:marRight w:val="0"/>
      <w:marTop w:val="0"/>
      <w:marBottom w:val="0"/>
      <w:divBdr>
        <w:top w:val="none" w:sz="0" w:space="0" w:color="auto"/>
        <w:left w:val="none" w:sz="0" w:space="0" w:color="auto"/>
        <w:bottom w:val="none" w:sz="0" w:space="0" w:color="auto"/>
        <w:right w:val="none" w:sz="0" w:space="0" w:color="auto"/>
      </w:divBdr>
    </w:div>
    <w:div w:id="2083215242">
      <w:bodyDiv w:val="1"/>
      <w:marLeft w:val="0"/>
      <w:marRight w:val="0"/>
      <w:marTop w:val="0"/>
      <w:marBottom w:val="0"/>
      <w:divBdr>
        <w:top w:val="none" w:sz="0" w:space="0" w:color="auto"/>
        <w:left w:val="none" w:sz="0" w:space="0" w:color="auto"/>
        <w:bottom w:val="none" w:sz="0" w:space="0" w:color="auto"/>
        <w:right w:val="none" w:sz="0" w:space="0" w:color="auto"/>
      </w:divBdr>
    </w:div>
    <w:div w:id="2095741041">
      <w:bodyDiv w:val="1"/>
      <w:marLeft w:val="0"/>
      <w:marRight w:val="0"/>
      <w:marTop w:val="0"/>
      <w:marBottom w:val="0"/>
      <w:divBdr>
        <w:top w:val="none" w:sz="0" w:space="0" w:color="auto"/>
        <w:left w:val="none" w:sz="0" w:space="0" w:color="auto"/>
        <w:bottom w:val="none" w:sz="0" w:space="0" w:color="auto"/>
        <w:right w:val="none" w:sz="0" w:space="0" w:color="auto"/>
      </w:divBdr>
    </w:div>
    <w:div w:id="2098280261">
      <w:bodyDiv w:val="1"/>
      <w:marLeft w:val="0"/>
      <w:marRight w:val="0"/>
      <w:marTop w:val="0"/>
      <w:marBottom w:val="0"/>
      <w:divBdr>
        <w:top w:val="none" w:sz="0" w:space="0" w:color="auto"/>
        <w:left w:val="none" w:sz="0" w:space="0" w:color="auto"/>
        <w:bottom w:val="none" w:sz="0" w:space="0" w:color="auto"/>
        <w:right w:val="none" w:sz="0" w:space="0" w:color="auto"/>
      </w:divBdr>
    </w:div>
    <w:div w:id="214068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PWC96</b:Tag>
    <b:SourceType>BookSection</b:SourceType>
    <b:Guid>{6BD77B24-8909-44FC-8A83-C586F475D6E6}</b:Guid>
    <b:Title>Chapter 10: Sympathetic Detonation</b:Title>
    <b:Year>1996</b:Year>
    <b:Publisher>Wiley-VCH</b:Publisher>
    <b:City>Weinheim</b:City>
    <b:Author>
      <b:Author>
        <b:NameList>
          <b:Person>
            <b:Last>Cooper</b:Last>
            <b:First>P.</b:First>
            <b:Middle>W.</b:Middle>
          </b:Person>
        </b:NameList>
      </b:Author>
    </b:Author>
    <b:BookTitle>Explosives Engineering</b:BookTitle>
    <b:Pages>285-302</b:Pages>
    <b:RefOrder>2</b:RefOrder>
  </b:Source>
  <b:Source>
    <b:Tag>PWC961</b:Tag>
    <b:SourceType>BookSection</b:SourceType>
    <b:Guid>{9B44A858-E20D-450D-B9D8-49788AF84339}</b:Guid>
    <b:Author>
      <b:Author>
        <b:NameList>
          <b:Person>
            <b:Last>Cooper</b:Last>
            <b:First>P.</b:First>
            <b:Middle>W.</b:Middle>
          </b:Person>
        </b:NameList>
      </b:Author>
    </b:Author>
    <b:Title>Chapter 11: Effects of Groud, Barriers and Mass</b:Title>
    <b:BookTitle>Explosives Engineering</b:BookTitle>
    <b:Year>1996</b:Year>
    <b:Pages>315-340</b:Pages>
    <b:City>Weinheim</b:City>
    <b:Publisher>Wiley-VCH</b:Publisher>
    <b:RefOrder>3</b:RefOrder>
  </b:Source>
  <b:Source>
    <b:Tag>USD14</b:Tag>
    <b:SourceType>Report</b:SourceType>
    <b:Guid>{EE72A119-2D76-41B3-B85C-00A7403BF23D}</b:Guid>
    <b:Title>UFC 3-340-02 – Structures to Resist the Effects of Accidental Explosions</b:Title>
    <b:Year>2014</b:Year>
    <b:City>Washington D.C. </b:City>
    <b:Publisher>USACE/ NAVFAC/ AFCEC</b:Publisher>
    <b:Author>
      <b:Author>
        <b:Corporate>U.S. Department of Defence</b:Corporate>
      </b:Author>
    </b:Author>
    <b:RefOrder>4</b:RefOrder>
  </b:Source>
  <b:Source>
    <b:Tag>Bog17</b:Tag>
    <b:SourceType>Report</b:SourceType>
    <b:Guid>{F7B39324-88E1-4296-8562-875278C243B1}</b:Guid>
    <b:Author>
      <b:Author>
        <b:NameList>
          <b:Person>
            <b:Last>Bogosian</b:Last>
            <b:First>D.</b:First>
          </b:Person>
          <b:Person>
            <b:Last>Chrostowski</b:Last>
            <b:First>J.</b:First>
          </b:Person>
        </b:NameList>
      </b:Author>
    </b:Author>
    <b:Title>Comparison of Quantity-Distance Standards for Earth-Covered Magazines in Various National/International Manuals</b:Title>
    <b:Year>2017</b:Year>
    <b:Publisher>BakerRisk &amp; ACTA</b:Publisher>
    <b:City>San Antonio, TX</b:City>
    <b:RefOrder>5</b:RefOrder>
  </b:Source>
  <b:Source>
    <b:Tag>Ins13</b:Tag>
    <b:SourceType>Report</b:SourceType>
    <b:Guid>{20F7BFE2-B8EF-4CC8-A8AA-FF328A611B93}</b:Guid>
    <b:Author>
      <b:Author>
        <b:Corporate>Institute of Makers of Explosives</b:Corporate>
      </b:Author>
    </b:Author>
    <b:Title>Safety Library Publication No. 22: Recommended Practices for the Design and Use of Earth-Covered Magazines</b:Title>
    <b:Year>2013</b:Year>
    <b:Publisher>IME</b:Publisher>
    <b:City>Washington, D.C. </b:City>
    <b:RefOrder>6</b:RefOrder>
  </b:Source>
  <b:Source>
    <b:Tag>UKM13</b:Tag>
    <b:SourceType>Report</b:SourceType>
    <b:Guid>{60B7FD9E-BB43-476F-91A0-D3AA8FE201CD}</b:Guid>
    <b:Author>
      <b:Author>
        <b:Corporate>UK Ministry of Defence</b:Corporate>
      </b:Author>
    </b:Author>
    <b:Title>JSP 482 Edition 4: Buildings Associated with Military Explosives, Chapter 6</b:Title>
    <b:Year>2013</b:Year>
    <b:Publisher>UK Ministry of Defence</b:Publisher>
    <b:City>London</b:City>
    <b:RefOrder>7</b:RefOrder>
  </b:Source>
  <b:Source>
    <b:Tag>Ste13</b:Tag>
    <b:SourceType>JournalArticle</b:SourceType>
    <b:Guid>{8718B5E2-6AFB-441C-9C5F-DFE43737094C}</b:Guid>
    <b:Title>Risk Assessment of Terrorist Explosive Attacks Against Critical Infrastructure</b:Title>
    <b:Year>2013</b:Year>
    <b:Author>
      <b:Author>
        <b:NameList>
          <b:Person>
            <b:Last>Stewart</b:Last>
            <b:First>Mark</b:First>
            <b:Middle>G.</b:Middle>
          </b:Person>
          <b:Person>
            <b:Last>Mueller</b:Last>
            <b:First>John</b:First>
          </b:Person>
        </b:NameList>
      </b:Author>
    </b:Author>
    <b:JournalName>Risk Analysis</b:JournalName>
    <b:Pages>282-299</b:Pages>
    <b:Volume>33</b:Volume>
    <b:Issue>2</b:Issue>
    <b:RefOrder>10</b:RefOrder>
  </b:Source>
  <b:Source>
    <b:Tag>Uni211</b:Tag>
    <b:SourceType>Report</b:SourceType>
    <b:Guid>{A8BAEFC1-B8B8-4EB1-AF4B-4614E59C7996}</b:Guid>
    <b:Title>International Ammunition Technical Guidelines (IATG) 02.20: Quantity and Separation Distances</b:Title>
    <b:Year>2021</b:Year>
    <b:Author>
      <b:Author>
        <b:Corporate>United Nations Office for Disarmament Affairs (UNODA)</b:Corporate>
      </b:Author>
    </b:Author>
    <b:Publisher>United Nations</b:Publisher>
    <b:City>New york</b:City>
    <b:RefOrder>8</b:RefOrder>
  </b:Source>
  <b:Source>
    <b:Tag>Uni21</b:Tag>
    <b:SourceType>Report</b:SourceType>
    <b:Guid>{7EA5E9AB-69FB-4C3D-A03B-F7760442A27B}</b:Guid>
    <b:Year>2021</b:Year>
    <b:Author>
      <b:Author>
        <b:Corporate>United Nations Office for Disarmament Affairs (UNODA)</b:Corporate>
      </b:Author>
    </b:Author>
    <b:Title>International Ammunition Technical Guidelines (IATG) 04.10: Explosive Facilities – Siting and Design</b:Title>
    <b:City>New York</b:City>
    <b:Publisher>United Nations</b:Publisher>
    <b:Pages>Section 7.2 &amp; 9.4</b:Pages>
    <b:BookTitle>International Ammunition Technical Guidelines (IATG) 04.10</b:BookTitle>
    <b:RefOrder>1</b:RefOrder>
  </b:Source>
  <b:Source>
    <b:Tag>Uni15</b:Tag>
    <b:SourceType>Report</b:SourceType>
    <b:Guid>{CC8E1F85-5BA7-4C40-8FE7-A5A9B884D9BB}</b:Guid>
    <b:Author>
      <b:Author>
        <b:Corporate>United Nations Office for Disarmament Affairs (UNODA)</b:Corporate>
      </b:Author>
    </b:Author>
    <b:Title>International Ammunition Technical Guidelines (IATG) 05.20: Types of Buildings for Explosives Storage</b:Title>
    <b:Year>2015</b:Year>
    <b:Publisher>United Nations</b:Publisher>
    <b:City>New York</b:City>
    <b:RefOrder>9</b:RefOrder>
  </b:Source>
  <b:Source>
    <b:Tag>Cor19</b:Tag>
    <b:SourceType>Book</b:SourceType>
    <b:Guid>{73506A21-11E4-4D00-806D-5208C8976FC1}</b:Guid>
    <b:Author>
      <b:Author>
        <b:NameList>
          <b:Person>
            <b:Last>Cormie</b:Last>
            <b:First>David</b:First>
          </b:Person>
          <b:Person>
            <b:Last>Mays</b:Last>
            <b:First>Graham</b:First>
          </b:Person>
          <b:Person>
            <b:Last>Smith</b:Last>
            <b:First>Peter</b:First>
          </b:Person>
        </b:NameList>
      </b:Author>
    </b:Author>
    <b:Title>Blast Effects on Buildings</b:Title>
    <b:Year>2019</b:Year>
    <b:Publisher>ICE Publishing</b:Publisher>
    <b:City>London</b:City>
    <b:RefOrder>11</b:RefOrder>
  </b:Source>
  <b:Source>
    <b:Tag>Uni151</b:Tag>
    <b:SourceType>Report</b:SourceType>
    <b:Guid>{8EFCE1C8-F90D-4B22-9507-92A35717B9E5}</b:Guid>
    <b:Author>
      <b:Author>
        <b:Corporate>United Nations Office for Disarmament Affairs (UNODA)</b:Corporate>
      </b:Author>
    </b:Author>
    <b:Title>International Ammunition Technical Guidelines (IATG) 05.10: Planning and Siting of Explosives Facilities</b:Title>
    <b:Year>2015</b:Year>
    <b:Publisher>United Nations</b:Publisher>
    <b:City>New York</b:City>
    <b:RefOrder>13</b:RefOrder>
  </b:Source>
  <b:Source>
    <b:Tag>Uni212</b:Tag>
    <b:SourceType>Report</b:SourceType>
    <b:Guid>{FE227E88-02AA-4CC9-AA35-12E5B89B625A}</b:Guid>
    <b:Author>
      <b:Author>
        <b:Corporate>United Nations Office for Disarmament Affairs (UNODA)</b:Corporate>
      </b:Author>
    </b:Author>
    <b:Title>International Ammunition Technical Guidelines (IATG) 05.60: Radio Frequency Hazards</b:Title>
    <b:Year>2021</b:Year>
    <b:Publisher>United Nations</b:Publisher>
    <b:City>New York</b:City>
    <b:RefOrder>14</b:RefOrder>
  </b:Source>
  <b:Source>
    <b:Tag>UKD19</b:Tag>
    <b:SourceType>Report</b:SourceType>
    <b:Guid>{B9C905E2-F6BF-4B7A-851E-CD3E2701837A}</b:Guid>
    <b:Author>
      <b:Author>
        <b:Corporate>UK Defence Safety Authority</b:Corporate>
      </b:Author>
    </b:Author>
    <b:Title>JSP 482: Ministry of Defence Explosives Regulations, Part 2, Chapter 24 – HERO</b:Title>
    <b:Year>2019</b:Year>
    <b:Publisher>DSA</b:Publisher>
    <b:City>Bristol</b:City>
    <b:RefOrder>15</b:RefOrder>
  </b:Source>
  <b:Source>
    <b:Tag>Uni11</b:Tag>
    <b:SourceType>Report</b:SourceType>
    <b:Guid>{594A10C4-65AB-44D0-B927-7BD1E65D9EAC}</b:Guid>
    <b:Author>
      <b:Author>
        <b:Corporate>United Nations Office for Disarmament Affairs (UNODA)</b:Corporate>
      </b:Author>
    </b:Author>
    <b:Title>International Ammunition Technical Guidelines (IATG) 08.10: Transport of Ammunition</b:Title>
    <b:Year>2011</b:Year>
    <b:Publisher>United Nations</b:Publisher>
    <b:City>New York</b:City>
    <b:RefOrder>16</b:RefOrder>
  </b:Source>
  <b:Source>
    <b:Tag>Uni213</b:Tag>
    <b:SourceType>Report</b:SourceType>
    <b:Guid>{A3BDD0D2-A252-4A33-A91A-0470673D72E3}</b:Guid>
    <b:Author>
      <b:Author>
        <b:Corporate>United Nations Office for Disarmament Affairs (UNODA)</b:Corporate>
      </b:Author>
    </b:Author>
    <b:Title>International Ammunition Technical Guidelines (IATG) 06.20: Storage Space Requirements</b:Title>
    <b:Year>2021</b:Year>
    <b:Publisher>United Nations</b:Publisher>
    <b:City>New York</b:City>
    <b:RefOrder>17</b:RefOrder>
  </b:Source>
  <b:Source>
    <b:Tag>Uni214</b:Tag>
    <b:SourceType>Report</b:SourceType>
    <b:Guid>{CAFB1CA2-220B-4B30-8709-4B40DF054885}</b:Guid>
    <b:Author>
      <b:Author>
        <b:Corporate>United Nations Office for Disarmament Affairs (UNODA)</b:Corporate>
      </b:Author>
    </b:Author>
    <b:Title>International Ammunition Technical Guidelines (IATG) 03.10: Inventory Management</b:Title>
    <b:Year>2021</b:Year>
    <b:Publisher>United Nations</b:Publisher>
    <b:City>2021</b:City>
    <b:RefOrder>18</b:RefOrder>
  </b:Source>
  <b:Source>
    <b:Tag>Gen15</b:Tag>
    <b:SourceType>Report</b:SourceType>
    <b:Guid>{87A4677B-126C-477D-B67F-832B0CD18747}</b:Guid>
    <b:Author>
      <b:Author>
        <b:Corporate>Geneva International Centre for Humanitarian Demining</b:Corporate>
      </b:Author>
    </b:Author>
    <b:Title>PSSM Identification Cards: Stacks, Aisles and Dunnage</b:Title>
    <b:Year>2015</b:Year>
    <b:Publisher>GIHCD</b:Publisher>
    <b:City>Geneva</b:City>
    <b:RefOrder>19</b:RefOrder>
  </b:Source>
  <b:Source>
    <b:Tag>Bec18</b:Tag>
    <b:SourceType>JournalArticle</b:SourceType>
    <b:Guid>{F4AED3E4-B113-4604-948D-B550CE2B08E5}</b:Guid>
    <b:Author>
      <b:Author>
        <b:NameList>
          <b:Person>
            <b:Last>Beck</b:Last>
            <b:First>A.</b:First>
            <b:Middle>J.</b:Middle>
          </b:Person>
          <b:Person>
            <b:Last>al.</b:Last>
            <b:First>et</b:First>
          </b:Person>
        </b:NameList>
      </b:Author>
    </b:Author>
    <b:Title>Spread, behavior, and ecosystem consequences of conventional munitions compounds in coastal marine waters</b:Title>
    <b:Year>2018</b:Year>
    <b:JournalName>Frontiers in Marine Science</b:JournalName>
    <b:Pages>141</b:Pages>
    <b:Volume>5</b:Volume>
    <b:Issue>1</b:Issue>
    <b:RefOrder>20</b:RefOrder>
  </b:Source>
  <b:Source>
    <b:Tag>MDP20</b:Tag>
    <b:SourceType>JournalArticle</b:SourceType>
    <b:Guid>{4CD4DACF-179A-47DD-8643-FC15591D6484}</b:Guid>
    <b:Author>
      <b:Author>
        <b:Corporate>MDPI</b:Corporate>
      </b:Author>
    </b:Author>
    <b:Title>Sea-dumped munitions: Detection, analysis and risk assessment </b:Title>
    <b:JournalName>Toxics Journal</b:JournalName>
    <b:Year>2020</b:Year>
    <b:Issue>(Special Issue)</b:Issue>
    <b:RefOrder>21</b:RefOrder>
  </b:Source>
  <b:Source>
    <b:Tag>Dav98</b:Tag>
    <b:SourceType>Report</b:SourceType>
    <b:Guid>{6012836F-7162-40B8-A805-62918091361A}</b:Guid>
    <b:Author>
      <b:Author>
        <b:NameList>
          <b:Person>
            <b:Last>Davies</b:Last>
            <b:First>P.</b:First>
            <b:Middle>A.</b:Middle>
          </b:Person>
        </b:NameList>
      </b:Author>
    </b:Author>
    <b:Title>A Methodology for the Quantitative Risk Assessment of the Road and Rail Transport of Explosives</b:Title>
    <b:Year>1998</b:Year>
    <b:Publisher>Loughborough University</b:Publisher>
    <b:City>Loughborough </b:City>
    <b:RefOrder>22</b:RefOrder>
  </b:Source>
  <b:Source>
    <b:Tag>Fab05</b:Tag>
    <b:SourceType>JournalArticle</b:SourceType>
    <b:Guid>{7CF9DF63-1524-4744-B27E-B5E670EBFC06}</b:Guid>
    <b:Title>Dangerous goods transportation by road: from risk analysis to emergency planning</b:Title>
    <b:Year>205</b:Year>
    <b:Author>
      <b:Author>
        <b:NameList>
          <b:Person>
            <b:Last>Fabiano</b:Last>
            <b:First>B.</b:First>
          </b:Person>
          <b:Person>
            <b:Last>Curro</b:Last>
            <b:First>F.</b:First>
          </b:Person>
          <b:Person>
            <b:Last>Pastorino</b:Last>
            <b:First>A.</b:First>
          </b:Person>
          <b:Person>
            <b:Last>Pastorino</b:Last>
            <b:First>R.</b:First>
          </b:Person>
        </b:NameList>
      </b:Author>
    </b:Author>
    <b:JournalName>Journal of Loss Prevention in the Process Industries</b:JournalName>
    <b:Pages>403-413</b:Pages>
    <b:Volume>18</b:Volume>
    <b:Issue>1</b:Issue>
    <b:RefOrder>23</b:RefOrder>
  </b:Source>
  <b:Source>
    <b:Tag>UKH15</b:Tag>
    <b:SourceType>Report</b:SourceType>
    <b:Guid>{B6611C57-8A05-448E-9507-29AE2E76D585}</b:Guid>
    <b:Title>Generic Risk Assessment 5.7: Incidents Involving Explosives</b:Title>
    <b:Year>2015</b:Year>
    <b:Author>
      <b:Author>
        <b:Corporate>UK Home Office</b:Corporate>
      </b:Author>
    </b:Author>
    <b:Publisher>Home Office</b:Publisher>
    <b:City>London</b:City>
    <b:RefOrder>24</b:RefOrder>
  </b:Source>
  <b:Source>
    <b:Tag>Uni215</b:Tag>
    <b:SourceType>Report</b:SourceType>
    <b:Guid>{00536C4A-11E5-4340-A939-3DA4F02AE672}</b:Guid>
    <b:Author>
      <b:Author>
        <b:Corporate>United Nations Office for Disarmament Affairs (UNODA)</b:Corporate>
      </b:Author>
    </b:Author>
    <b:Title>International Ammunition Technical Guidelines (IATG) 07.10 and 07.30: Surveillance, Proof and Inspection</b:Title>
    <b:Year>2015-2021</b:Year>
    <b:Publisher>United Nations</b:Publisher>
    <b:City>New York</b:City>
    <b:RefOrder>25</b:RefOrder>
  </b:Source>
  <b:Source>
    <b:Tag>Uni216</b:Tag>
    <b:SourceType>Report</b:SourceType>
    <b:Guid>{EB2522B8-09F8-496A-9967-0652B5F9FA0D}</b:Guid>
    <b:Author>
      <b:Author>
        <b:Corporate>United Nations Office for Disarmament Affairs (UNODA)</b:Corporate>
      </b:Author>
    </b:Author>
    <b:Title>International Ammunition Technical Guidelines (IATG) 06.10: Control of Explosives Facilities</b:Title>
    <b:Year>2021</b:Year>
    <b:Publisher>United Nations</b:Publisher>
    <b:City>2021</b:City>
    <b:RefOrder>26</b:RefOrder>
  </b:Source>
  <b:Source>
    <b:Tag>Uni217</b:Tag>
    <b:SourceType>Report</b:SourceType>
    <b:Guid>{0F3E4BBC-ED22-441A-9C09-809B6BE2BED0}</b:Guid>
    <b:Author>
      <b:Author>
        <b:Corporate>United Nations Office for Disarmament Affairs (UNODA)</b:Corporate>
      </b:Author>
    </b:Author>
    <b:Title>International Ammunition Technical Guidelines (IATG) 09.10: Security Principles and Systems</b:Title>
    <b:Year>2021</b:Year>
    <b:Publisher>New York</b:Publisher>
    <b:City>New York</b:City>
    <b:RefOrder>28</b:RefOrder>
  </b:Source>
  <b:Source>
    <b:Tag>Cri25</b:Tag>
    <b:SourceType>InternetSite</b:SourceType>
    <b:Guid>{31F6E823-7BB9-473D-8D0C-AFCCDFFC93E3}</b:Guid>
    <b:Title>Swansea Crime and Safety Statistics</b:Title>
    <b:Year>2025</b:Year>
    <b:YearAccessed>2025</b:YearAccessed>
    <b:MonthAccessed>December</b:MonthAccessed>
    <b:DayAccessed>01</b:DayAccessed>
    <b:URL>https://www.crimerate.co.uk</b:URL>
    <b:Author>
      <b:Author>
        <b:Corporate>CrimeRate.co.uk</b:Corporate>
      </b:Author>
    </b:Author>
    <b:RefOrder>27</b:RefOrder>
  </b:Source>
  <b:Source>
    <b:Tag>Uni218</b:Tag>
    <b:SourceType>Report</b:SourceType>
    <b:Guid>{6F948274-8CA2-4C8B-9996-68BF57F1B312}</b:Guid>
    <b:Author>
      <b:Author>
        <b:Corporate>United Nations Office for Disarmament Affairs (UNODA)</b:Corporate>
      </b:Author>
    </b:Author>
    <b:Title>International Ammunition Technical Guidelines (IATG) 02.50: Fire Safety</b:Title>
    <b:Year>2021</b:Year>
    <b:Publisher>United Nations</b:Publisher>
    <b:City>New York</b:City>
    <b:RefOrder>29</b:RefOrder>
  </b:Source>
  <b:Source>
    <b:Tag>Hil11</b:Tag>
    <b:SourceType>Report</b:SourceType>
    <b:Guid>{5EBA23E7-9F6F-426E-86AC-9856ABFB5916}</b:Guid>
    <b:Author>
      <b:Author>
        <b:NameList>
          <b:Person>
            <b:Last>Hileman</b:Last>
            <b:First>R.</b:First>
            <b:Middle>E.</b:Middle>
          </b:Person>
        </b:NameList>
      </b:Author>
    </b:Author>
    <b:Title>Lightning Protection at Military Explosives Storage Facilities</b:Title>
    <b:Year>2011</b:Year>
    <b:Publisher>Vaisala</b:Publisher>
    <b:RefOrder>33</b:RefOrder>
  </b:Source>
  <b:Source>
    <b:Tag>Nat19</b:Tag>
    <b:SourceType>Report</b:SourceType>
    <b:Guid>{292C5D22-E0F4-4441-ADB8-9F51753F31A1}</b:Guid>
    <b:Author>
      <b:Author>
        <b:Corporate>National Fire Protection Association</b:Corporate>
      </b:Author>
    </b:Author>
    <b:Title>NFPA 780: Standard for the Installation of Lightning Protection Systems</b:Title>
    <b:Year>2019</b:Year>
    <b:Publisher>NFPA</b:Publisher>
    <b:City>Quincy, MA</b:City>
    <b:RefOrder>31</b:RefOrder>
  </b:Source>
  <b:Source>
    <b:Tag>Hil111</b:Tag>
    <b:SourceType>Report</b:SourceType>
    <b:Guid>{B24C1C89-5FD9-4668-A5E7-425D2E44EABD}</b:Guid>
    <b:Author>
      <b:Author>
        <b:NameList>
          <b:Person>
            <b:Last>Hileman</b:Last>
            <b:First>R.</b:First>
            <b:Middle>E.</b:Middle>
          </b:Person>
        </b:NameList>
      </b:Author>
    </b:Author>
    <b:Title>Lightning Protection at Military Explosives Storage Facilities</b:Title>
    <b:Year>2011</b:Year>
    <b:Publisher>Vaisala</b:Publisher>
    <b:RefOrder>32</b:RefOrder>
  </b:Source>
  <b:Source>
    <b:Tag>Uni219</b:Tag>
    <b:SourceType>Report</b:SourceType>
    <b:Guid>{C09771B3-C12C-4BAE-81C9-A932AC73683E}</b:Guid>
    <b:Author>
      <b:Author>
        <b:Corporate>United Nations Office for Disarmament Affairs (UNODA)</b:Corporate>
      </b:Author>
    </b:Author>
    <b:Title>International Ammunition Technical Guidelines (IATG) 01.50: UN SaferGuard</b:Title>
    <b:Year>2021</b:Year>
    <b:Publisher>United Nations</b:Publisher>
    <b:City>New York</b:City>
    <b:RefOrder>12</b:RefOrder>
  </b:Source>
  <b:Source>
    <b:Tag>Uni2110</b:Tag>
    <b:SourceType>Report</b:SourceType>
    <b:Guid>{7CA960B5-8996-4E03-AB8B-45C710C77B12}</b:Guid>
    <b:Author>
      <b:Author>
        <b:Corporate>United Nations Office for Disarmament Affairs (UNODA)</b:Corporate>
      </b:Author>
    </b:Author>
    <b:Title>International Ammunition Technical Guidelines (IATG) 05.40: Electrical Installations</b:Title>
    <b:Year>2021</b:Year>
    <b:Publisher>United Nation</b:Publisher>
    <b:City>2021</b:City>
    <b:RefOrder>30</b:RefOrder>
  </b:Source>
</b:Sources>
</file>

<file path=customXml/itemProps1.xml><?xml version="1.0" encoding="utf-8"?>
<ds:datastoreItem xmlns:ds="http://schemas.openxmlformats.org/officeDocument/2006/customXml" ds:itemID="{514B1E03-1C2B-4108-BBF9-00B5ACDE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41116</TotalTime>
  <Pages>29</Pages>
  <Words>6687</Words>
  <Characters>38652</Characters>
  <Application>Microsoft Office Word</Application>
  <DocSecurity>0</DocSecurity>
  <Lines>898</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McAngus (2113123)</dc:creator>
  <cp:keywords/>
  <dc:description/>
  <cp:lastModifiedBy>Stephen McAngus (2113123)</cp:lastModifiedBy>
  <cp:revision>42</cp:revision>
  <dcterms:created xsi:type="dcterms:W3CDTF">2025-11-12T09:49:00Z</dcterms:created>
  <dcterms:modified xsi:type="dcterms:W3CDTF">2025-12-12T02:26:00Z</dcterms:modified>
</cp:coreProperties>
</file>