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DD934" w14:textId="0A8724E5" w:rsidR="00FD68C5" w:rsidRPr="00556B8D" w:rsidRDefault="00FD68C5" w:rsidP="00FD68C5">
      <w:pPr>
        <w:jc w:val="center"/>
        <w:rPr>
          <w:rFonts w:ascii="Arial" w:hAnsi="Arial" w:cs="Arial"/>
          <w:sz w:val="72"/>
          <w:szCs w:val="72"/>
        </w:rPr>
      </w:pPr>
      <w:r w:rsidRPr="00556B8D">
        <w:rPr>
          <w:rFonts w:ascii="Arial" w:hAnsi="Arial" w:cs="Arial"/>
          <w:sz w:val="72"/>
          <w:szCs w:val="72"/>
        </w:rPr>
        <w:t>LCLM500</w:t>
      </w:r>
      <w:r>
        <w:rPr>
          <w:rFonts w:ascii="Arial" w:hAnsi="Arial" w:cs="Arial"/>
          <w:sz w:val="72"/>
          <w:szCs w:val="72"/>
        </w:rPr>
        <w:t>5</w:t>
      </w:r>
      <w:r w:rsidRPr="00556B8D">
        <w:rPr>
          <w:rFonts w:ascii="Arial" w:hAnsi="Arial" w:cs="Arial"/>
          <w:sz w:val="72"/>
          <w:szCs w:val="72"/>
        </w:rPr>
        <w:t xml:space="preserve"> – </w:t>
      </w:r>
      <w:r>
        <w:rPr>
          <w:rFonts w:ascii="Arial" w:hAnsi="Arial" w:cs="Arial"/>
          <w:sz w:val="72"/>
          <w:szCs w:val="72"/>
        </w:rPr>
        <w:t>Organisational Culture</w:t>
      </w:r>
    </w:p>
    <w:p w14:paraId="4AF26400" w14:textId="77777777" w:rsidR="00FD68C5" w:rsidRPr="00556B8D" w:rsidRDefault="00FD68C5" w:rsidP="00FD68C5">
      <w:pPr>
        <w:jc w:val="center"/>
        <w:rPr>
          <w:rFonts w:ascii="Arial" w:hAnsi="Arial" w:cs="Arial"/>
          <w:sz w:val="72"/>
          <w:szCs w:val="72"/>
        </w:rPr>
      </w:pPr>
    </w:p>
    <w:p w14:paraId="4FF3321C" w14:textId="35C74D19" w:rsidR="00FD68C5" w:rsidRDefault="00FD68C5" w:rsidP="00FD68C5">
      <w:pPr>
        <w:jc w:val="center"/>
        <w:rPr>
          <w:rFonts w:ascii="Arial" w:hAnsi="Arial" w:cs="Arial"/>
          <w:sz w:val="72"/>
          <w:szCs w:val="72"/>
        </w:rPr>
      </w:pPr>
      <w:r w:rsidRPr="007637DB">
        <w:rPr>
          <w:rFonts w:ascii="Arial" w:hAnsi="Arial" w:cs="Arial"/>
          <w:sz w:val="72"/>
          <w:szCs w:val="72"/>
        </w:rPr>
        <w:t xml:space="preserve">Component </w:t>
      </w:r>
      <w:r>
        <w:rPr>
          <w:rFonts w:ascii="Arial" w:hAnsi="Arial" w:cs="Arial"/>
          <w:sz w:val="72"/>
          <w:szCs w:val="72"/>
        </w:rPr>
        <w:t xml:space="preserve">1 </w:t>
      </w:r>
      <w:r w:rsidRPr="007637DB">
        <w:rPr>
          <w:rFonts w:ascii="Arial" w:hAnsi="Arial" w:cs="Arial"/>
          <w:sz w:val="72"/>
          <w:szCs w:val="72"/>
        </w:rPr>
        <w:t>- Individual Report</w:t>
      </w:r>
    </w:p>
    <w:p w14:paraId="3FD63B68" w14:textId="77777777" w:rsidR="00FD68C5" w:rsidRPr="00556B8D" w:rsidRDefault="00FD68C5" w:rsidP="00FD68C5">
      <w:pPr>
        <w:jc w:val="center"/>
        <w:rPr>
          <w:rFonts w:ascii="Arial" w:hAnsi="Arial" w:cs="Arial"/>
          <w:sz w:val="72"/>
          <w:szCs w:val="72"/>
        </w:rPr>
      </w:pPr>
    </w:p>
    <w:p w14:paraId="18B1D974" w14:textId="77777777" w:rsidR="00FD68C5" w:rsidRPr="00556B8D" w:rsidRDefault="00FD68C5" w:rsidP="00FD68C5">
      <w:pPr>
        <w:jc w:val="center"/>
        <w:rPr>
          <w:rFonts w:ascii="Arial" w:hAnsi="Arial" w:cs="Arial"/>
          <w:sz w:val="72"/>
          <w:szCs w:val="72"/>
        </w:rPr>
      </w:pPr>
      <w:r w:rsidRPr="00556B8D">
        <w:rPr>
          <w:rFonts w:ascii="Arial" w:hAnsi="Arial" w:cs="Arial"/>
          <w:sz w:val="72"/>
          <w:szCs w:val="72"/>
        </w:rPr>
        <w:t>L Paige Wallace – Alleyne</w:t>
      </w:r>
    </w:p>
    <w:p w14:paraId="79EFF45B" w14:textId="77777777" w:rsidR="00FD68C5" w:rsidRDefault="00FD68C5" w:rsidP="00FD68C5">
      <w:pPr>
        <w:jc w:val="center"/>
        <w:rPr>
          <w:rFonts w:ascii="Arial" w:hAnsi="Arial" w:cs="Arial"/>
          <w:sz w:val="72"/>
          <w:szCs w:val="72"/>
        </w:rPr>
      </w:pPr>
      <w:r w:rsidRPr="00556B8D">
        <w:rPr>
          <w:rFonts w:ascii="Arial" w:hAnsi="Arial" w:cs="Arial"/>
          <w:sz w:val="72"/>
          <w:szCs w:val="72"/>
        </w:rPr>
        <w:t>2336338</w:t>
      </w:r>
    </w:p>
    <w:p w14:paraId="057E3043" w14:textId="77777777" w:rsidR="00FD68C5" w:rsidRDefault="00FD68C5" w:rsidP="00FD68C5">
      <w:pPr>
        <w:jc w:val="center"/>
        <w:rPr>
          <w:rFonts w:ascii="Arial" w:hAnsi="Arial" w:cs="Arial"/>
          <w:sz w:val="72"/>
          <w:szCs w:val="72"/>
        </w:rPr>
      </w:pPr>
    </w:p>
    <w:p w14:paraId="550E2EB7" w14:textId="119EA855" w:rsidR="00FD68C5" w:rsidRDefault="00FD68C5" w:rsidP="00FD68C5">
      <w:pPr>
        <w:jc w:val="center"/>
        <w:rPr>
          <w:rFonts w:ascii="Arial" w:hAnsi="Arial" w:cs="Arial"/>
          <w:sz w:val="48"/>
          <w:szCs w:val="48"/>
        </w:rPr>
      </w:pPr>
      <w:r>
        <w:rPr>
          <w:rFonts w:ascii="Arial" w:hAnsi="Arial" w:cs="Arial"/>
          <w:sz w:val="48"/>
          <w:szCs w:val="48"/>
        </w:rPr>
        <w:t>David Oyebisi</w:t>
      </w:r>
    </w:p>
    <w:p w14:paraId="1C22FB0C" w14:textId="7733E75F" w:rsidR="00FD68C5" w:rsidRPr="007637DB" w:rsidRDefault="00FD68C5" w:rsidP="00FD68C5">
      <w:pPr>
        <w:jc w:val="center"/>
        <w:rPr>
          <w:rFonts w:ascii="Arial" w:hAnsi="Arial" w:cs="Arial"/>
          <w:sz w:val="72"/>
          <w:szCs w:val="72"/>
        </w:rPr>
      </w:pPr>
      <w:r>
        <w:rPr>
          <w:rFonts w:ascii="Arial" w:hAnsi="Arial" w:cs="Arial"/>
          <w:sz w:val="48"/>
          <w:szCs w:val="48"/>
        </w:rPr>
        <w:t>Rameses Manalang</w:t>
      </w:r>
    </w:p>
    <w:p w14:paraId="70C5B55D" w14:textId="77777777" w:rsidR="00FD68C5" w:rsidRDefault="00FD68C5" w:rsidP="006E795F">
      <w:pPr>
        <w:pStyle w:val="Heading2"/>
      </w:pPr>
    </w:p>
    <w:p w14:paraId="351393D1" w14:textId="77777777" w:rsidR="00FD68C5" w:rsidRDefault="00FD68C5" w:rsidP="006E795F">
      <w:pPr>
        <w:pStyle w:val="Heading2"/>
      </w:pPr>
    </w:p>
    <w:p w14:paraId="18C72E2F" w14:textId="77777777" w:rsidR="00A86626" w:rsidRDefault="00A86626" w:rsidP="006E795F">
      <w:pPr>
        <w:pStyle w:val="Heading2"/>
      </w:pPr>
    </w:p>
    <w:p w14:paraId="702E117F" w14:textId="34681A56" w:rsidR="00D4610B" w:rsidRPr="006E795F" w:rsidRDefault="00D4610B" w:rsidP="006E795F">
      <w:pPr>
        <w:pStyle w:val="Heading2"/>
      </w:pPr>
      <w:r w:rsidRPr="006E795F">
        <w:t>Introduction</w:t>
      </w:r>
    </w:p>
    <w:p w14:paraId="32621E7D" w14:textId="77777777" w:rsidR="00D4610B" w:rsidRPr="006E795F" w:rsidRDefault="00D4610B" w:rsidP="006E795F">
      <w:pPr>
        <w:spacing w:line="360" w:lineRule="auto"/>
        <w:jc w:val="both"/>
        <w:rPr>
          <w:rFonts w:ascii="Arial" w:hAnsi="Arial" w:cs="Arial"/>
          <w:sz w:val="22"/>
          <w:szCs w:val="22"/>
        </w:rPr>
      </w:pPr>
      <w:r w:rsidRPr="006E795F">
        <w:rPr>
          <w:rFonts w:ascii="Arial" w:hAnsi="Arial" w:cs="Arial"/>
          <w:sz w:val="22"/>
          <w:szCs w:val="22"/>
        </w:rPr>
        <w:t>Organisational culture encompasses the shared values, beliefs, assumptions and behavioural expectations that influence how organisational members interpret situations and act within the workplace. Mullins and Christy (2016) describe culture as reflecting ‘how things are done around here’, arguing that it can shape organisational processes including structure, decision-making, employee behaviour, motivation and management control. This influence remains significant because contemporary research identifies organisational culture as a multidimensional phenomenon that can affect organisational effectiveness, innovation and adaptation (Bogale and Debela, 2024; Vargas-Halabi and Yagüe-Perales, 2024).</w:t>
      </w:r>
    </w:p>
    <w:p w14:paraId="793863DE" w14:textId="77777777" w:rsidR="00D4610B" w:rsidRPr="006E795F" w:rsidRDefault="00D4610B" w:rsidP="006E795F">
      <w:pPr>
        <w:spacing w:line="360" w:lineRule="auto"/>
        <w:jc w:val="both"/>
        <w:rPr>
          <w:rFonts w:ascii="Arial" w:hAnsi="Arial" w:cs="Arial"/>
          <w:sz w:val="22"/>
          <w:szCs w:val="22"/>
        </w:rPr>
      </w:pPr>
      <w:r w:rsidRPr="006E795F">
        <w:rPr>
          <w:rFonts w:ascii="Arial" w:hAnsi="Arial" w:cs="Arial"/>
          <w:sz w:val="22"/>
          <w:szCs w:val="22"/>
        </w:rPr>
        <w:t>Toyota Motor Corporation provides a particularly relevant case because its organisational identity is closely associated with the Toyota Way and Toyota Production System, including continuous improvement (</w:t>
      </w:r>
      <w:r w:rsidRPr="006E795F">
        <w:rPr>
          <w:rFonts w:ascii="Arial" w:hAnsi="Arial" w:cs="Arial"/>
          <w:i/>
          <w:iCs/>
          <w:sz w:val="22"/>
          <w:szCs w:val="22"/>
        </w:rPr>
        <w:t>kaizen</w:t>
      </w:r>
      <w:r w:rsidRPr="006E795F">
        <w:rPr>
          <w:rFonts w:ascii="Arial" w:hAnsi="Arial" w:cs="Arial"/>
          <w:sz w:val="22"/>
          <w:szCs w:val="22"/>
        </w:rPr>
        <w:t>), respect for people, standardised working practices and workplace-based problem-solving. However, Toyota is simultaneously responding to technological disruption, changing mobility expectations and governance challenges, creating potential tensions between established cultural strengths and the need for organisational transformation.</w:t>
      </w:r>
    </w:p>
    <w:p w14:paraId="035C4047" w14:textId="77777777" w:rsidR="00D4610B" w:rsidRPr="006E795F" w:rsidRDefault="00D4610B" w:rsidP="006E795F">
      <w:pPr>
        <w:spacing w:line="360" w:lineRule="auto"/>
        <w:jc w:val="both"/>
        <w:rPr>
          <w:rFonts w:ascii="Arial" w:hAnsi="Arial" w:cs="Arial"/>
          <w:sz w:val="22"/>
          <w:szCs w:val="22"/>
        </w:rPr>
      </w:pPr>
      <w:r w:rsidRPr="006E795F">
        <w:rPr>
          <w:rFonts w:ascii="Arial" w:hAnsi="Arial" w:cs="Arial"/>
          <w:sz w:val="22"/>
          <w:szCs w:val="22"/>
        </w:rPr>
        <w:t>This report critically evaluates how Toyota’s organisational culture influences its structure, decision-making, environmental adaptability and performance. Schein’s organisational culture model and relevant cultural typologies are applied to identify Toyota’s prevailing cultural characteristics. The report argues that Toyota’s culture predominantly enables organisational effectiveness through learning, operational discipline and continuous improvement, while also recognising that deeply embedded assumptions and conformity can become barriers when effective challenge, oversight and rapid adaptation are required.</w:t>
      </w:r>
    </w:p>
    <w:p w14:paraId="72BC8BB7" w14:textId="06FE04F7" w:rsidR="00D4610B" w:rsidRPr="006E795F" w:rsidRDefault="00D4610B" w:rsidP="006E795F">
      <w:pPr>
        <w:pStyle w:val="Heading2"/>
        <w:spacing w:line="360" w:lineRule="auto"/>
        <w:jc w:val="both"/>
        <w:rPr>
          <w:sz w:val="22"/>
          <w:szCs w:val="22"/>
        </w:rPr>
      </w:pPr>
    </w:p>
    <w:p w14:paraId="573E1810" w14:textId="77777777" w:rsidR="00D4610B" w:rsidRPr="006E795F" w:rsidRDefault="00D4610B" w:rsidP="006E795F">
      <w:pPr>
        <w:pStyle w:val="Heading2"/>
      </w:pPr>
      <w:r w:rsidRPr="006E795F">
        <w:t>Organisational Culture, Structure and Decision-Making</w:t>
      </w:r>
    </w:p>
    <w:p w14:paraId="042E000C" w14:textId="77777777" w:rsidR="00D4610B" w:rsidRPr="006E795F" w:rsidRDefault="00D4610B" w:rsidP="006E795F">
      <w:pPr>
        <w:spacing w:line="360" w:lineRule="auto"/>
        <w:jc w:val="both"/>
        <w:rPr>
          <w:sz w:val="22"/>
          <w:szCs w:val="22"/>
        </w:rPr>
      </w:pPr>
      <w:r w:rsidRPr="006E795F">
        <w:rPr>
          <w:sz w:val="22"/>
          <w:szCs w:val="22"/>
        </w:rPr>
        <w:t xml:space="preserve">Organisational structure establishes formal relationships of authority and responsibility, but organisational culture influences how those arrangements operate in practice. Contemporary research demonstrates that culture interacts with structural characteristics such as centralisation and can shape organisational decision-making routines (Szukits and Móricz, 2024; </w:t>
      </w:r>
      <w:r w:rsidRPr="006E795F">
        <w:rPr>
          <w:sz w:val="22"/>
          <w:szCs w:val="22"/>
        </w:rPr>
        <w:lastRenderedPageBreak/>
        <w:t>Rabhi et al., 2023). This supports Mullins and Christy’s (2016) argument that organisational culture influences not only employee behaviour but also structural and managerial processes. At Toyota, this relationship is particularly visible because principles of continuous improvement (</w:t>
      </w:r>
      <w:r w:rsidRPr="006E795F">
        <w:rPr>
          <w:i/>
          <w:iCs/>
          <w:sz w:val="22"/>
          <w:szCs w:val="22"/>
        </w:rPr>
        <w:t>kaizen</w:t>
      </w:r>
      <w:r w:rsidRPr="006E795F">
        <w:rPr>
          <w:sz w:val="22"/>
          <w:szCs w:val="22"/>
        </w:rPr>
        <w:t>), direct observation (</w:t>
      </w:r>
      <w:r w:rsidRPr="006E795F">
        <w:rPr>
          <w:i/>
          <w:iCs/>
          <w:sz w:val="22"/>
          <w:szCs w:val="22"/>
        </w:rPr>
        <w:t>genchi genbutsu</w:t>
      </w:r>
      <w:r w:rsidRPr="006E795F">
        <w:rPr>
          <w:sz w:val="22"/>
          <w:szCs w:val="22"/>
        </w:rPr>
        <w:t>), teamwork and respect for people encourage decisions to incorporate knowledge generated at operational level.</w:t>
      </w:r>
    </w:p>
    <w:p w14:paraId="73C484DA" w14:textId="77777777" w:rsidR="00D4610B" w:rsidRPr="006E795F" w:rsidRDefault="00D4610B" w:rsidP="006E795F">
      <w:pPr>
        <w:spacing w:line="360" w:lineRule="auto"/>
        <w:jc w:val="both"/>
        <w:rPr>
          <w:sz w:val="22"/>
          <w:szCs w:val="22"/>
        </w:rPr>
      </w:pPr>
      <w:r w:rsidRPr="006E795F">
        <w:rPr>
          <w:sz w:val="22"/>
          <w:szCs w:val="22"/>
        </w:rPr>
        <w:t xml:space="preserve">Toyota nevertheless combines employee participation with considerable formalisation. The Toyota Production System relies upon standardised work, clearly established processes and disciplined problem-solving. Standardisation can strengthen organisational control by creating common expectations and making deviations identifiable, while </w:t>
      </w:r>
      <w:r w:rsidRPr="006E795F">
        <w:rPr>
          <w:i/>
          <w:iCs/>
          <w:sz w:val="22"/>
          <w:szCs w:val="22"/>
        </w:rPr>
        <w:t>kaizen</w:t>
      </w:r>
      <w:r w:rsidRPr="006E795F">
        <w:rPr>
          <w:sz w:val="22"/>
          <w:szCs w:val="22"/>
        </w:rPr>
        <w:t xml:space="preserve"> encourages employees to question how existing processes can be improved. Toyota therefore demonstrates an important cultural tension: employees are expected to follow established standards while simultaneously being encouraged to improve them. Rather than representing a purely centralised hierarchy, decision-making consequently involves interaction between formal managerial authority and workplace-based knowledge.</w:t>
      </w:r>
    </w:p>
    <w:p w14:paraId="55299DC0" w14:textId="77777777" w:rsidR="00D4610B" w:rsidRPr="006E795F" w:rsidRDefault="00D4610B" w:rsidP="006E795F">
      <w:pPr>
        <w:spacing w:line="360" w:lineRule="auto"/>
        <w:jc w:val="both"/>
        <w:rPr>
          <w:sz w:val="22"/>
          <w:szCs w:val="22"/>
        </w:rPr>
      </w:pPr>
      <w:r w:rsidRPr="006E795F">
        <w:rPr>
          <w:sz w:val="22"/>
          <w:szCs w:val="22"/>
        </w:rPr>
        <w:t>Toyota’s recent governance reforms reinforce this relationship between cultural expectations and formal structure. In 2025, the company transitioned to an Audit and Supervisory Committee structure, with independent outside directors comprising half of its ten-member board. The reform enables greater delegation of important business-execution decisions to executive management while allowing the Board to concentrate more strongly on monitoring and supervision (Toyota Motor Corporation, 2025a). Toyota explicitly associated these changes with faster decision-making and its transformation into a mobility company. This indicates that structure is being adapted to preserve responsiveness as the organisation becomes more technologically complex. Toyota’s 2025 Integrated Report subsequently reported that clearer responsibilities and a more compact governance structure had increased decision-making speed (Toyota Motor Corporation, 2026).</w:t>
      </w:r>
    </w:p>
    <w:p w14:paraId="3895A0A6" w14:textId="77777777" w:rsidR="00D4610B" w:rsidRPr="006E795F" w:rsidRDefault="00D4610B" w:rsidP="006E795F">
      <w:pPr>
        <w:spacing w:line="360" w:lineRule="auto"/>
        <w:jc w:val="both"/>
        <w:rPr>
          <w:sz w:val="22"/>
          <w:szCs w:val="22"/>
        </w:rPr>
      </w:pPr>
      <w:r w:rsidRPr="006E795F">
        <w:rPr>
          <w:sz w:val="22"/>
          <w:szCs w:val="22"/>
        </w:rPr>
        <w:t xml:space="preserve">However, decentralisation and a strong problem-solving culture do not automatically ensure effective decisions. Toyota’s certification irregularities exposed weaknesses in management involvement, responsibilities, record-keeping and communication. The company’s subsequent reforms increased management presence at operational sites and strengthened systems intended to identify abnormalities and ensure appropriate action (Toyota Motor Corporation, 2025b). This creates an important contradiction: </w:t>
      </w:r>
      <w:r w:rsidRPr="006E795F">
        <w:rPr>
          <w:i/>
          <w:iCs/>
          <w:sz w:val="22"/>
          <w:szCs w:val="22"/>
        </w:rPr>
        <w:t>genchi genbutsu</w:t>
      </w:r>
      <w:r w:rsidRPr="006E795F">
        <w:rPr>
          <w:sz w:val="22"/>
          <w:szCs w:val="22"/>
        </w:rPr>
        <w:t xml:space="preserve"> promotes direct managerial understanding of workplace conditions, yet insufficient management involvement contributed to </w:t>
      </w:r>
      <w:r w:rsidRPr="006E795F">
        <w:rPr>
          <w:sz w:val="22"/>
          <w:szCs w:val="22"/>
        </w:rPr>
        <w:lastRenderedPageBreak/>
        <w:t>failures in an area where such oversight was necessary. Culture can therefore influence desired decision-making behaviour without guaranteeing that it occurs consistently.</w:t>
      </w:r>
    </w:p>
    <w:p w14:paraId="5F40C83C" w14:textId="77777777" w:rsidR="00D4610B" w:rsidRPr="006E795F" w:rsidRDefault="00D4610B" w:rsidP="006E795F">
      <w:pPr>
        <w:spacing w:line="360" w:lineRule="auto"/>
        <w:jc w:val="both"/>
        <w:rPr>
          <w:sz w:val="22"/>
          <w:szCs w:val="22"/>
        </w:rPr>
      </w:pPr>
      <w:r w:rsidRPr="006E795F">
        <w:rPr>
          <w:sz w:val="22"/>
          <w:szCs w:val="22"/>
        </w:rPr>
        <w:t xml:space="preserve">Toyota’s culture ultimately supports a </w:t>
      </w:r>
      <w:r w:rsidRPr="006E795F">
        <w:rPr>
          <w:b/>
          <w:bCs/>
          <w:sz w:val="22"/>
          <w:szCs w:val="22"/>
        </w:rPr>
        <w:t>hybrid structural approach</w:t>
      </w:r>
      <w:r w:rsidRPr="006E795F">
        <w:rPr>
          <w:sz w:val="22"/>
          <w:szCs w:val="22"/>
        </w:rPr>
        <w:t xml:space="preserve">. Formalisation and hierarchy provide coordination and quality control, while </w:t>
      </w:r>
      <w:r w:rsidRPr="006E795F">
        <w:rPr>
          <w:i/>
          <w:iCs/>
          <w:sz w:val="22"/>
          <w:szCs w:val="22"/>
        </w:rPr>
        <w:t>kaizen</w:t>
      </w:r>
      <w:r w:rsidRPr="006E795F">
        <w:rPr>
          <w:sz w:val="22"/>
          <w:szCs w:val="22"/>
        </w:rPr>
        <w:t xml:space="preserve"> and </w:t>
      </w:r>
      <w:r w:rsidRPr="006E795F">
        <w:rPr>
          <w:i/>
          <w:iCs/>
          <w:sz w:val="22"/>
          <w:szCs w:val="22"/>
        </w:rPr>
        <w:t>genchi genbutsu</w:t>
      </w:r>
      <w:r w:rsidRPr="006E795F">
        <w:rPr>
          <w:sz w:val="22"/>
          <w:szCs w:val="22"/>
        </w:rPr>
        <w:t xml:space="preserve"> encourage operational participation and evidence-based problem-solving. This combination can improve responsiveness and organisational learning, but only where upward communication and governance mechanisms allow employees and managers to challenge established assumptions. Toyota therefore demonstrates that culture and structure are mutually reinforcing rather than separate organisational characteristics; when aligned they facilitate effective decisions, whereas misalignment can create significant governance risks.</w:t>
      </w:r>
    </w:p>
    <w:p w14:paraId="25897E2C" w14:textId="25FD71A8" w:rsidR="00D4610B" w:rsidRPr="006E795F" w:rsidRDefault="00D4610B" w:rsidP="006E795F">
      <w:pPr>
        <w:pStyle w:val="Heading2"/>
        <w:spacing w:line="360" w:lineRule="auto"/>
        <w:jc w:val="both"/>
        <w:rPr>
          <w:sz w:val="22"/>
          <w:szCs w:val="22"/>
        </w:rPr>
      </w:pPr>
    </w:p>
    <w:p w14:paraId="15974BA4" w14:textId="77777777" w:rsidR="00D4610B" w:rsidRPr="006E795F" w:rsidRDefault="00D4610B" w:rsidP="006E795F">
      <w:pPr>
        <w:pStyle w:val="Heading2"/>
      </w:pPr>
      <w:r w:rsidRPr="006E795F">
        <w:t>Identifying Toyota’s Organisational Culture</w:t>
      </w:r>
    </w:p>
    <w:p w14:paraId="683D82C1" w14:textId="77777777" w:rsidR="00D4610B" w:rsidRPr="006E795F" w:rsidRDefault="00D4610B" w:rsidP="006E795F">
      <w:pPr>
        <w:spacing w:line="360" w:lineRule="auto"/>
        <w:jc w:val="both"/>
        <w:rPr>
          <w:sz w:val="22"/>
          <w:szCs w:val="22"/>
        </w:rPr>
      </w:pPr>
      <w:r w:rsidRPr="006E795F">
        <w:rPr>
          <w:sz w:val="22"/>
          <w:szCs w:val="22"/>
        </w:rPr>
        <w:t>Identifying organisational culture requires analysis beyond formally stated corporate values because culture also exists through routine behaviours and underlying assumptions. Schein and Schein’s (2017) three-level model distinguishes between observable artefacts, espoused beliefs and values, and basic underlying assumptions. Although the model predates much of the contemporary literature used in this report, it remains useful as a seminal framework for examining how visible organisational practices can reflect deeper cultural meanings. Applied to Toyota, it demonstrates that the Toyota Way operates not simply as a statement of values but through routines that influence everyday organisational behaviour.</w:t>
      </w:r>
    </w:p>
    <w:p w14:paraId="1ACE1E73" w14:textId="77777777" w:rsidR="00D4610B" w:rsidRPr="006E795F" w:rsidRDefault="00D4610B" w:rsidP="006E795F">
      <w:pPr>
        <w:spacing w:line="360" w:lineRule="auto"/>
        <w:jc w:val="both"/>
        <w:rPr>
          <w:sz w:val="22"/>
          <w:szCs w:val="22"/>
        </w:rPr>
      </w:pPr>
      <w:r w:rsidRPr="006E795F">
        <w:rPr>
          <w:sz w:val="22"/>
          <w:szCs w:val="22"/>
        </w:rPr>
        <w:t xml:space="preserve">At the </w:t>
      </w:r>
      <w:r w:rsidRPr="006E795F">
        <w:rPr>
          <w:b/>
          <w:bCs/>
          <w:sz w:val="22"/>
          <w:szCs w:val="22"/>
        </w:rPr>
        <w:t>artefact level</w:t>
      </w:r>
      <w:r w:rsidRPr="006E795F">
        <w:rPr>
          <w:sz w:val="22"/>
          <w:szCs w:val="22"/>
        </w:rPr>
        <w:t>, Toyota’s culture is visible through standardised work, visual management, team-based problem-solving and continuous-improvement practices associated with the Toyota Production System. These observable practices communicate expectations concerning discipline, quality and employee participation. Contemporary evidence indicates that employee involvement remains important to lean manufacturing because employees contribute operational knowledge required for sustained improvement (Medeiros et al., 2025). Toyota’s artefacts therefore reveal an apparent paradox: standardisation establishes consistency, yet the same standards provide a baseline from which employees are expected to identify and implement improvements.</w:t>
      </w:r>
    </w:p>
    <w:p w14:paraId="7072F0AD" w14:textId="77777777" w:rsidR="00D4610B" w:rsidRPr="006E795F" w:rsidRDefault="00D4610B" w:rsidP="006E795F">
      <w:pPr>
        <w:spacing w:line="360" w:lineRule="auto"/>
        <w:jc w:val="both"/>
        <w:rPr>
          <w:sz w:val="22"/>
          <w:szCs w:val="22"/>
        </w:rPr>
      </w:pPr>
      <w:r w:rsidRPr="006E795F">
        <w:rPr>
          <w:sz w:val="22"/>
          <w:szCs w:val="22"/>
        </w:rPr>
        <w:t xml:space="preserve">At the level of </w:t>
      </w:r>
      <w:r w:rsidRPr="006E795F">
        <w:rPr>
          <w:b/>
          <w:bCs/>
          <w:sz w:val="22"/>
          <w:szCs w:val="22"/>
        </w:rPr>
        <w:t>espoused values</w:t>
      </w:r>
      <w:r w:rsidRPr="006E795F">
        <w:rPr>
          <w:sz w:val="22"/>
          <w:szCs w:val="22"/>
        </w:rPr>
        <w:t xml:space="preserve">, the Toyota Way emphasises principles including integrity, improvement, developing people, respect and understanding situations through careful observation (Toyota Motor Corporation, 2026). Two particularly embedded principles are </w:t>
      </w:r>
      <w:r w:rsidRPr="006E795F">
        <w:rPr>
          <w:i/>
          <w:iCs/>
          <w:sz w:val="22"/>
          <w:szCs w:val="22"/>
        </w:rPr>
        <w:t>kaizen</w:t>
      </w:r>
      <w:r w:rsidRPr="006E795F">
        <w:rPr>
          <w:sz w:val="22"/>
          <w:szCs w:val="22"/>
        </w:rPr>
        <w:t xml:space="preserve"> </w:t>
      </w:r>
      <w:r w:rsidRPr="006E795F">
        <w:rPr>
          <w:sz w:val="22"/>
          <w:szCs w:val="22"/>
        </w:rPr>
        <w:lastRenderedPageBreak/>
        <w:t xml:space="preserve">and </w:t>
      </w:r>
      <w:r w:rsidRPr="006E795F">
        <w:rPr>
          <w:i/>
          <w:iCs/>
          <w:sz w:val="22"/>
          <w:szCs w:val="22"/>
        </w:rPr>
        <w:t>genchi genbutsu</w:t>
      </w:r>
      <w:r w:rsidRPr="006E795F">
        <w:rPr>
          <w:sz w:val="22"/>
          <w:szCs w:val="22"/>
        </w:rPr>
        <w:t>. Vanichchinchai (2022) found that the Toyota Way positively influenced manufacturing agility among automotive-parts manufacturers, supporting the argument that these cultural principles can have practical organisational consequences. However, not every Toyota Way dimension significantly improved every aspect of agility. Toyota’s stated values should therefore not be interpreted as universally beneficial simply because they are culturally established.</w:t>
      </w:r>
    </w:p>
    <w:p w14:paraId="048800F5" w14:textId="77777777" w:rsidR="00D4610B" w:rsidRPr="006E795F" w:rsidRDefault="00D4610B" w:rsidP="006E795F">
      <w:pPr>
        <w:spacing w:line="360" w:lineRule="auto"/>
        <w:jc w:val="both"/>
        <w:rPr>
          <w:sz w:val="22"/>
          <w:szCs w:val="22"/>
        </w:rPr>
      </w:pPr>
      <w:r w:rsidRPr="006E795F">
        <w:rPr>
          <w:sz w:val="22"/>
          <w:szCs w:val="22"/>
        </w:rPr>
        <w:t xml:space="preserve">Schein’s deepest level concerns </w:t>
      </w:r>
      <w:r w:rsidRPr="006E795F">
        <w:rPr>
          <w:b/>
          <w:bCs/>
          <w:sz w:val="22"/>
          <w:szCs w:val="22"/>
        </w:rPr>
        <w:t>basic underlying assumptions</w:t>
      </w:r>
      <w:r w:rsidRPr="006E795F">
        <w:rPr>
          <w:sz w:val="22"/>
          <w:szCs w:val="22"/>
        </w:rPr>
        <w:t xml:space="preserve"> that organisational members may eventually regard as self-evident. Within Toyota, these include assumptions that processes can always be improved, problems should be made visible, decisions should be informed by direct observation and organisational knowledge should be developed collectively. Palhau et al. (2024) similarly associate Toyota Way practices with sustainable organisational development and continuous improvement. Nevertheless, deeply embedded assumptions can also become difficult to challenge. Toyota’s certification irregularities reveal a gap between espoused and enacted culture: principles of integrity, workplace observation and problem-solving existed formally while failures in oversight and compliance nevertheless occurred. Schein’s model is particularly valuable here because it prevents visible corporate statements from being treated automatically as evidence of actual behaviour.</w:t>
      </w:r>
    </w:p>
    <w:p w14:paraId="70995DE4" w14:textId="77777777" w:rsidR="00D4610B" w:rsidRPr="006E795F" w:rsidRDefault="00D4610B" w:rsidP="006E795F">
      <w:pPr>
        <w:spacing w:line="360" w:lineRule="auto"/>
        <w:jc w:val="both"/>
        <w:rPr>
          <w:sz w:val="22"/>
          <w:szCs w:val="22"/>
        </w:rPr>
      </w:pPr>
      <w:r w:rsidRPr="006E795F">
        <w:rPr>
          <w:sz w:val="22"/>
          <w:szCs w:val="22"/>
        </w:rPr>
        <w:t xml:space="preserve">Handy’s cultural typology provides a complementary perspective. Toyota exhibits substantial </w:t>
      </w:r>
      <w:r w:rsidRPr="006E795F">
        <w:rPr>
          <w:b/>
          <w:bCs/>
          <w:sz w:val="22"/>
          <w:szCs w:val="22"/>
        </w:rPr>
        <w:t>role-culture</w:t>
      </w:r>
      <w:r w:rsidRPr="006E795F">
        <w:rPr>
          <w:sz w:val="22"/>
          <w:szCs w:val="22"/>
        </w:rPr>
        <w:t xml:space="preserve"> characteristics through formal procedures, standardisation, specialist responsibilities and organisational discipline. However, defining Toyota exclusively as a role culture would underestimate its reliance on collaborative problem-solving and employee expertise. Improvement teams and cross-functional cooperation also demonstrate </w:t>
      </w:r>
      <w:r w:rsidRPr="006E795F">
        <w:rPr>
          <w:b/>
          <w:bCs/>
          <w:sz w:val="22"/>
          <w:szCs w:val="22"/>
        </w:rPr>
        <w:t>task-culture</w:t>
      </w:r>
      <w:r w:rsidRPr="006E795F">
        <w:rPr>
          <w:sz w:val="22"/>
          <w:szCs w:val="22"/>
        </w:rPr>
        <w:t xml:space="preserve"> characteristics, where expertise is mobilised to address particular organisational problems. Toyota is therefore better understood as a hybrid of role and task culture, with role characteristics providing stability and task characteristics facilitating learning and improvement.</w:t>
      </w:r>
    </w:p>
    <w:p w14:paraId="46B3D815" w14:textId="77777777" w:rsidR="00D4610B" w:rsidRPr="006E795F" w:rsidRDefault="00D4610B" w:rsidP="006E795F">
      <w:pPr>
        <w:spacing w:line="360" w:lineRule="auto"/>
        <w:jc w:val="both"/>
        <w:rPr>
          <w:sz w:val="22"/>
          <w:szCs w:val="22"/>
        </w:rPr>
      </w:pPr>
      <w:r w:rsidRPr="006E795F">
        <w:rPr>
          <w:sz w:val="22"/>
          <w:szCs w:val="22"/>
        </w:rPr>
        <w:t>However, cultural typologies have limitations when applied to a multinational organisation. Muniz et al. (2024), examining Toyota managers in Japan and Brazil, found that cross-cultural context influenced aspects of knowledge-sharing intention. This suggests that Toyota’s corporate culture may not be experienced identically across national settings. Hofstede’s cultural dimensions could provide additional national context, but using national averages to predict individual employee behaviour risks oversimplification and stereotyping.</w:t>
      </w:r>
    </w:p>
    <w:p w14:paraId="42A2B716" w14:textId="562DA6B5" w:rsidR="006E795F" w:rsidRPr="006E795F" w:rsidRDefault="00D4610B" w:rsidP="006E795F">
      <w:pPr>
        <w:spacing w:line="360" w:lineRule="auto"/>
        <w:jc w:val="both"/>
        <w:rPr>
          <w:sz w:val="22"/>
          <w:szCs w:val="22"/>
        </w:rPr>
      </w:pPr>
      <w:r w:rsidRPr="006E795F">
        <w:rPr>
          <w:sz w:val="22"/>
          <w:szCs w:val="22"/>
        </w:rPr>
        <w:t xml:space="preserve">Overall, Toyota’s prevailing culture is best characterised as a </w:t>
      </w:r>
      <w:r w:rsidRPr="006E795F">
        <w:rPr>
          <w:b/>
          <w:bCs/>
          <w:sz w:val="22"/>
          <w:szCs w:val="22"/>
        </w:rPr>
        <w:t>strong, process-oriented hybrid culture</w:t>
      </w:r>
      <w:r w:rsidRPr="006E795F">
        <w:rPr>
          <w:sz w:val="22"/>
          <w:szCs w:val="22"/>
        </w:rPr>
        <w:t xml:space="preserve">, combining role-based discipline with task-based problem-solving and underpinned by </w:t>
      </w:r>
      <w:r w:rsidRPr="006E795F">
        <w:rPr>
          <w:sz w:val="22"/>
          <w:szCs w:val="22"/>
        </w:rPr>
        <w:lastRenderedPageBreak/>
        <w:t>continuous improvement, respect for people and organisational learning. Schein explains the depth through which these principles become embedded, while Handy helps identify competing cultural characteristics. Neither model completely captures Toyota’s complexity, but together they demonstrate why cultural consistency can simultaneously create operational strength and resistance to challenge.</w:t>
      </w:r>
    </w:p>
    <w:p w14:paraId="0656938A" w14:textId="77777777" w:rsidR="00D4610B" w:rsidRPr="006E795F" w:rsidRDefault="00D4610B" w:rsidP="006E795F">
      <w:pPr>
        <w:pStyle w:val="Heading1"/>
      </w:pPr>
      <w:r w:rsidRPr="006E795F">
        <w:t>Organisational Culture and Adaptation to the External Environment</w:t>
      </w:r>
    </w:p>
    <w:p w14:paraId="4266CEE7" w14:textId="77777777" w:rsidR="00D4610B" w:rsidRPr="006E795F" w:rsidRDefault="00D4610B" w:rsidP="006E795F">
      <w:pPr>
        <w:spacing w:line="360" w:lineRule="auto"/>
        <w:jc w:val="both"/>
        <w:rPr>
          <w:sz w:val="22"/>
          <w:szCs w:val="22"/>
        </w:rPr>
      </w:pPr>
      <w:r w:rsidRPr="006E795F">
        <w:rPr>
          <w:sz w:val="22"/>
          <w:szCs w:val="22"/>
        </w:rPr>
        <w:t>Organisations increasingly operate within environments characterised by technological disruption, regulatory change, sustainability pressures and evolving customer expectations. Organisational culture can influence whether firms respond effectively because shared assumptions affect employees’ willingness to learn, experiment and modify established practices. Corritore, Goldberg and Srivastava (2024) argue that culture can both promote and constrain adaptation depending on how organisational members balance established traditions with innovation. For Toyota, this tension is significant because the automotive industry is undergoing major changes involving electrification, artificial intelligence (AI), software-defined vehicles, autonomous technologies and carbon neutrality.</w:t>
      </w:r>
    </w:p>
    <w:p w14:paraId="7D1C4F7A" w14:textId="77777777" w:rsidR="00D4610B" w:rsidRPr="006E795F" w:rsidRDefault="00D4610B" w:rsidP="006E795F">
      <w:pPr>
        <w:spacing w:line="360" w:lineRule="auto"/>
        <w:jc w:val="both"/>
        <w:rPr>
          <w:sz w:val="22"/>
          <w:szCs w:val="22"/>
        </w:rPr>
      </w:pPr>
      <w:r w:rsidRPr="006E795F">
        <w:rPr>
          <w:sz w:val="22"/>
          <w:szCs w:val="22"/>
        </w:rPr>
        <w:t xml:space="preserve">Toyota’s continuous-improvement culture provides an important foundation for responding to these pressures. Gutierrez et al. (2022), using evidence from 153 manufacturing firms across 34 countries, found that lean practices and learning-oriented lean cultures contribute to dynamic capabilities that enable organisations to sense environmental developments, seize opportunities and transform processes. This supports the argument that </w:t>
      </w:r>
      <w:r w:rsidRPr="006E795F">
        <w:rPr>
          <w:i/>
          <w:iCs/>
          <w:sz w:val="22"/>
          <w:szCs w:val="22"/>
        </w:rPr>
        <w:t>kaizen</w:t>
      </w:r>
      <w:r w:rsidRPr="006E795F">
        <w:rPr>
          <w:sz w:val="22"/>
          <w:szCs w:val="22"/>
        </w:rPr>
        <w:t xml:space="preserve"> can contribute to adaptation rather than solely operational efficiency. Toyota can therefore leverage established problem-solving routines to continually reassess products, processes and capabilities as external conditions evolve.</w:t>
      </w:r>
    </w:p>
    <w:p w14:paraId="4221FA2D" w14:textId="77777777" w:rsidR="00D4610B" w:rsidRPr="006E795F" w:rsidRDefault="00D4610B" w:rsidP="006E795F">
      <w:pPr>
        <w:spacing w:line="360" w:lineRule="auto"/>
        <w:jc w:val="both"/>
        <w:rPr>
          <w:sz w:val="22"/>
          <w:szCs w:val="22"/>
        </w:rPr>
      </w:pPr>
      <w:r w:rsidRPr="006E795F">
        <w:rPr>
          <w:sz w:val="22"/>
          <w:szCs w:val="22"/>
        </w:rPr>
        <w:t xml:space="preserve">This is evident in Toyota’s response to digital technological change. In 2025, Toyota and four other Toyota Group companies established the Toyota Software Academy to develop employees with combined software and hardware expertise. Toyota also launched the Global AI Accelerator to expand AI research, development and implementation across areas including manufacturing, autonomous driving, robotics and vehicle engineering (Toyota Motor Corporation, 2025c). Significantly, Toyota connected these initiatives with </w:t>
      </w:r>
      <w:r w:rsidRPr="006E795F">
        <w:rPr>
          <w:i/>
          <w:iCs/>
          <w:sz w:val="22"/>
          <w:szCs w:val="22"/>
        </w:rPr>
        <w:t>jidoka</w:t>
      </w:r>
      <w:r w:rsidRPr="006E795F">
        <w:rPr>
          <w:sz w:val="22"/>
          <w:szCs w:val="22"/>
        </w:rPr>
        <w:t xml:space="preserve">, traditionally understood as automation with a human element. This demonstrates cultural adaptation through </w:t>
      </w:r>
      <w:r w:rsidRPr="006E795F">
        <w:rPr>
          <w:b/>
          <w:bCs/>
          <w:sz w:val="22"/>
          <w:szCs w:val="22"/>
        </w:rPr>
        <w:t>reinterpretation rather than abandonment</w:t>
      </w:r>
      <w:r w:rsidRPr="006E795F">
        <w:rPr>
          <w:sz w:val="22"/>
          <w:szCs w:val="22"/>
        </w:rPr>
        <w:t xml:space="preserve">: an established Toyota principle is being extended </w:t>
      </w:r>
      <w:r w:rsidRPr="006E795F">
        <w:rPr>
          <w:sz w:val="22"/>
          <w:szCs w:val="22"/>
        </w:rPr>
        <w:lastRenderedPageBreak/>
        <w:t>into AI-intensive operations. Such continuity may reduce employee resistance because technological transformation is framed through familiar cultural assumptions.</w:t>
      </w:r>
    </w:p>
    <w:p w14:paraId="2C8757C1" w14:textId="77777777" w:rsidR="00D4610B" w:rsidRPr="006E795F" w:rsidRDefault="00D4610B" w:rsidP="006E795F">
      <w:pPr>
        <w:spacing w:line="360" w:lineRule="auto"/>
        <w:jc w:val="both"/>
        <w:rPr>
          <w:sz w:val="22"/>
          <w:szCs w:val="22"/>
        </w:rPr>
      </w:pPr>
      <w:r w:rsidRPr="006E795F">
        <w:rPr>
          <w:sz w:val="22"/>
          <w:szCs w:val="22"/>
        </w:rPr>
        <w:t xml:space="preserve">Toyota also uses localisation to respond to differing external market conditions. Its multi-pathway approach to carbon neutrality includes battery-electric, hybrid and other powertrain technologies tailored to differing regional requirements. In 2025, Toyota announced a wholly owned Shanghai operation to develop and manufacture battery-electric vehicles and batteries, stating that products needed to reach Chinese customers more rapidly within a market experiencing strong demand for new-energy vehicles (Toyota Motor Corporation, 2025d). This reflects </w:t>
      </w:r>
      <w:r w:rsidRPr="006E795F">
        <w:rPr>
          <w:i/>
          <w:iCs/>
          <w:sz w:val="22"/>
          <w:szCs w:val="22"/>
        </w:rPr>
        <w:t>genchi genbutsu</w:t>
      </w:r>
      <w:r w:rsidRPr="006E795F">
        <w:rPr>
          <w:sz w:val="22"/>
          <w:szCs w:val="22"/>
        </w:rPr>
        <w:t xml:space="preserve"> at a strategic level: understanding local conditions and placing capabilities closer to the market rather than imposing an entirely standardised global response.</w:t>
      </w:r>
    </w:p>
    <w:p w14:paraId="5F3E64EC" w14:textId="77777777" w:rsidR="00D4610B" w:rsidRPr="006E795F" w:rsidRDefault="00D4610B" w:rsidP="006E795F">
      <w:pPr>
        <w:spacing w:line="360" w:lineRule="auto"/>
        <w:jc w:val="both"/>
        <w:rPr>
          <w:sz w:val="22"/>
          <w:szCs w:val="22"/>
        </w:rPr>
      </w:pPr>
      <w:r w:rsidRPr="006E795F">
        <w:rPr>
          <w:sz w:val="22"/>
          <w:szCs w:val="22"/>
        </w:rPr>
        <w:t>However, Toyota’s culture also creates potential constraints. Continuous improvement traditionally favours cumulative learning and incremental refinement, whereas disruptive technologies can require rapid experimentation and departure from established competencies. Corritore, Goldberg and Srivastava (2024) demonstrate theoretically that organisational adaptation involves balancing innovation against adherence to tradition. Toyota therefore faces a cultural paradox: the routines that historically supported manufacturing excellence may become restrictive if employees privilege proven approaches when technological change demands fundamentally different ones.</w:t>
      </w:r>
    </w:p>
    <w:p w14:paraId="77B29B75" w14:textId="77777777" w:rsidR="00D4610B" w:rsidRPr="006E795F" w:rsidRDefault="00D4610B" w:rsidP="006E795F">
      <w:pPr>
        <w:spacing w:line="360" w:lineRule="auto"/>
        <w:jc w:val="both"/>
        <w:rPr>
          <w:sz w:val="22"/>
          <w:szCs w:val="22"/>
        </w:rPr>
      </w:pPr>
      <w:r w:rsidRPr="006E795F">
        <w:rPr>
          <w:sz w:val="22"/>
          <w:szCs w:val="22"/>
        </w:rPr>
        <w:t xml:space="preserve">Overall, Toyota leverages its culture effectively through learning, localisation and capability development. Nevertheless, </w:t>
      </w:r>
      <w:r w:rsidRPr="006E795F">
        <w:rPr>
          <w:i/>
          <w:iCs/>
          <w:sz w:val="22"/>
          <w:szCs w:val="22"/>
        </w:rPr>
        <w:t>kaizen</w:t>
      </w:r>
      <w:r w:rsidRPr="006E795F">
        <w:rPr>
          <w:sz w:val="22"/>
          <w:szCs w:val="22"/>
        </w:rPr>
        <w:t xml:space="preserve"> alone cannot guarantee successful adaptation. Toyota must combine exploitation of its established cultural strengths with greater exploratory innovation, ensuring that traditions function as foundations for change rather than constraints upon it.</w:t>
      </w:r>
    </w:p>
    <w:p w14:paraId="2FFB5825" w14:textId="77569331" w:rsidR="00D4610B" w:rsidRPr="006E795F" w:rsidRDefault="00D4610B" w:rsidP="006E795F">
      <w:pPr>
        <w:pStyle w:val="Heading2"/>
        <w:spacing w:line="360" w:lineRule="auto"/>
        <w:jc w:val="both"/>
        <w:rPr>
          <w:sz w:val="22"/>
          <w:szCs w:val="22"/>
        </w:rPr>
      </w:pPr>
    </w:p>
    <w:p w14:paraId="0FC404F9" w14:textId="77777777" w:rsidR="00D4610B" w:rsidRPr="006E795F" w:rsidRDefault="00D4610B" w:rsidP="006E795F">
      <w:pPr>
        <w:pStyle w:val="Heading2"/>
      </w:pPr>
      <w:r w:rsidRPr="006E795F">
        <w:t>Organisational Culture as a Barrier or Enabler</w:t>
      </w:r>
    </w:p>
    <w:p w14:paraId="6DFF8365" w14:textId="77777777" w:rsidR="00D4610B" w:rsidRPr="006E795F" w:rsidRDefault="00D4610B" w:rsidP="006E795F">
      <w:pPr>
        <w:spacing w:line="360" w:lineRule="auto"/>
        <w:jc w:val="both"/>
        <w:rPr>
          <w:sz w:val="22"/>
          <w:szCs w:val="22"/>
        </w:rPr>
      </w:pPr>
      <w:r w:rsidRPr="006E795F">
        <w:rPr>
          <w:sz w:val="22"/>
          <w:szCs w:val="22"/>
        </w:rPr>
        <w:t>A strong organisational culture can enable effective functioning by creating shared expectations, coordinating behaviour and providing employees with a common basis for decision-making. However, cultural strength can become restrictive when conformity discourages employees from challenging established practices. Toyota demonstrates both effects, meaning its culture should be evaluated according to how its values operate in practice rather than simply how strongly employees are expected to share them.</w:t>
      </w:r>
    </w:p>
    <w:p w14:paraId="7E60A9B5" w14:textId="77777777" w:rsidR="00D4610B" w:rsidRPr="006E795F" w:rsidRDefault="00D4610B" w:rsidP="006E795F">
      <w:pPr>
        <w:spacing w:line="360" w:lineRule="auto"/>
        <w:jc w:val="both"/>
        <w:rPr>
          <w:sz w:val="22"/>
          <w:szCs w:val="22"/>
        </w:rPr>
      </w:pPr>
      <w:r w:rsidRPr="006E795F">
        <w:rPr>
          <w:sz w:val="22"/>
          <w:szCs w:val="22"/>
        </w:rPr>
        <w:t xml:space="preserve">Toyota’s culture acts as an important </w:t>
      </w:r>
      <w:r w:rsidRPr="006E795F">
        <w:rPr>
          <w:b/>
          <w:bCs/>
          <w:sz w:val="22"/>
          <w:szCs w:val="22"/>
        </w:rPr>
        <w:t>enabler</w:t>
      </w:r>
      <w:r w:rsidRPr="006E795F">
        <w:rPr>
          <w:sz w:val="22"/>
          <w:szCs w:val="22"/>
        </w:rPr>
        <w:t xml:space="preserve"> through continuous improvement, standardisation, employee participation and collective problem-solving. The Toyota Production </w:t>
      </w:r>
      <w:r w:rsidRPr="006E795F">
        <w:rPr>
          <w:sz w:val="22"/>
          <w:szCs w:val="22"/>
        </w:rPr>
        <w:lastRenderedPageBreak/>
        <w:t xml:space="preserve">System creates common working principles across complex operations, while </w:t>
      </w:r>
      <w:r w:rsidRPr="006E795F">
        <w:rPr>
          <w:i/>
          <w:iCs/>
          <w:sz w:val="22"/>
          <w:szCs w:val="22"/>
        </w:rPr>
        <w:t>kaizen</w:t>
      </w:r>
      <w:r w:rsidRPr="006E795F">
        <w:rPr>
          <w:sz w:val="22"/>
          <w:szCs w:val="22"/>
        </w:rPr>
        <w:t xml:space="preserve"> encourages employees to identify inefficiencies and contribute to improvement. Bogale and Debela’s (2024) systematic review identifies employee involvement, teamwork and innovation among important dimensions through which organisational culture can influence organisational outcomes. Within Toyota, cultural consistency can therefore reduce ambiguity while allowing operational knowledge to contribute to organisational learning.</w:t>
      </w:r>
    </w:p>
    <w:p w14:paraId="5D5B73DF" w14:textId="77777777" w:rsidR="00D4610B" w:rsidRPr="006E795F" w:rsidRDefault="00D4610B" w:rsidP="006E795F">
      <w:pPr>
        <w:spacing w:line="360" w:lineRule="auto"/>
        <w:jc w:val="both"/>
        <w:rPr>
          <w:sz w:val="22"/>
          <w:szCs w:val="22"/>
        </w:rPr>
      </w:pPr>
      <w:r w:rsidRPr="006E795F">
        <w:rPr>
          <w:sz w:val="22"/>
          <w:szCs w:val="22"/>
        </w:rPr>
        <w:t xml:space="preserve">However, Toyota’s certification irregularities demonstrate how cultural systems can also become </w:t>
      </w:r>
      <w:r w:rsidRPr="006E795F">
        <w:rPr>
          <w:b/>
          <w:bCs/>
          <w:sz w:val="22"/>
          <w:szCs w:val="22"/>
        </w:rPr>
        <w:t>barriers</w:t>
      </w:r>
      <w:r w:rsidRPr="006E795F">
        <w:rPr>
          <w:sz w:val="22"/>
          <w:szCs w:val="22"/>
        </w:rPr>
        <w:t xml:space="preserve"> when established assumptions are insufficiently challenged. In 2024, Toyota acknowledged unclear certification rules, insufficient resource management and inadequate management understanding and involvement in certification processes. Japan’s Ministry of Land, Infrastructure, Transport and Tourism consequently issued a correction order requiring fundamental reforms (Toyota Motor Corporation, 2024). These failures are significant because they contradict Toyota’s espoused commitments to integrity, </w:t>
      </w:r>
      <w:r w:rsidRPr="006E795F">
        <w:rPr>
          <w:i/>
          <w:iCs/>
          <w:sz w:val="22"/>
          <w:szCs w:val="22"/>
        </w:rPr>
        <w:t>genchi genbutsu</w:t>
      </w:r>
      <w:r w:rsidRPr="006E795F">
        <w:rPr>
          <w:sz w:val="22"/>
          <w:szCs w:val="22"/>
        </w:rPr>
        <w:t xml:space="preserve"> and identifying abnormalities. The problem was therefore not an absence of cultural principles but a failure to translate them consistently into organisational behaviour.</w:t>
      </w:r>
    </w:p>
    <w:p w14:paraId="18791A3D" w14:textId="77777777" w:rsidR="00D4610B" w:rsidRPr="006E795F" w:rsidRDefault="00D4610B" w:rsidP="006E795F">
      <w:pPr>
        <w:spacing w:line="360" w:lineRule="auto"/>
        <w:jc w:val="both"/>
        <w:rPr>
          <w:sz w:val="22"/>
          <w:szCs w:val="22"/>
        </w:rPr>
      </w:pPr>
      <w:r w:rsidRPr="006E795F">
        <w:rPr>
          <w:sz w:val="22"/>
          <w:szCs w:val="22"/>
        </w:rPr>
        <w:t>Employee voice provides an important explanation for this risk. Morrison (2023) argues that whether employees speak up or remain silent has significant organisational consequences, while Mohammad, Nazir and Mufti’s (2023) systematic review demonstrates that organisational norms and practices can operate as important facilitators or inhibitors of employee voice. A culture that values discipline and established procedures may therefore unintentionally discourage challenge if employees perceive questioning existing practices as socially or professionally risky. This does not establish that employee silence caused Toyota’s certification failures; rather, it identifies a credible cultural risk requiring organisational safeguards.</w:t>
      </w:r>
    </w:p>
    <w:p w14:paraId="78F06309" w14:textId="77777777" w:rsidR="00D4610B" w:rsidRPr="006E795F" w:rsidRDefault="00D4610B" w:rsidP="006E795F">
      <w:pPr>
        <w:spacing w:line="360" w:lineRule="auto"/>
        <w:jc w:val="both"/>
        <w:rPr>
          <w:sz w:val="22"/>
          <w:szCs w:val="22"/>
        </w:rPr>
      </w:pPr>
      <w:r w:rsidRPr="006E795F">
        <w:rPr>
          <w:sz w:val="22"/>
          <w:szCs w:val="22"/>
        </w:rPr>
        <w:t xml:space="preserve">Toyota’s response illustrates how culture can subsequently facilitate corrective change. By 2025, reforms included greater management presence at the </w:t>
      </w:r>
      <w:r w:rsidRPr="006E795F">
        <w:rPr>
          <w:i/>
          <w:iCs/>
          <w:sz w:val="22"/>
          <w:szCs w:val="22"/>
        </w:rPr>
        <w:t>genba</w:t>
      </w:r>
      <w:r w:rsidRPr="006E795F">
        <w:rPr>
          <w:sz w:val="22"/>
          <w:szCs w:val="22"/>
        </w:rPr>
        <w:t>, clearer responsibility for certification processes, stronger checks at development milestones and continuing communication between management and employees (Toyota Motor Corporation, 2025e). Toyota’s Integrated Report also emphasises creating conditions in which employees feel comfortable speaking up when problems occur (Toyota Motor Corporation, 2026). These measures effectively attempt to align enacted behaviour more closely with Toyota’s stated cultural values. citeturn0search0turn0search24</w:t>
      </w:r>
    </w:p>
    <w:p w14:paraId="3914380C" w14:textId="77777777" w:rsidR="00D4610B" w:rsidRPr="006E795F" w:rsidRDefault="00D4610B" w:rsidP="006E795F">
      <w:pPr>
        <w:spacing w:line="360" w:lineRule="auto"/>
        <w:jc w:val="both"/>
        <w:rPr>
          <w:sz w:val="22"/>
          <w:szCs w:val="22"/>
        </w:rPr>
      </w:pPr>
      <w:r w:rsidRPr="006E795F">
        <w:rPr>
          <w:sz w:val="22"/>
          <w:szCs w:val="22"/>
        </w:rPr>
        <w:t xml:space="preserve">Overall, Toyota’s organisational culture is </w:t>
      </w:r>
      <w:r w:rsidRPr="006E795F">
        <w:rPr>
          <w:b/>
          <w:bCs/>
          <w:sz w:val="22"/>
          <w:szCs w:val="22"/>
        </w:rPr>
        <w:t>predominantly an enabler</w:t>
      </w:r>
      <w:r w:rsidRPr="006E795F">
        <w:rPr>
          <w:sz w:val="22"/>
          <w:szCs w:val="22"/>
        </w:rPr>
        <w:t xml:space="preserve">, because shared principles support coordination, learning and continuous improvement. However, this conclusion is </w:t>
      </w:r>
      <w:r w:rsidRPr="006E795F">
        <w:rPr>
          <w:sz w:val="22"/>
          <w:szCs w:val="22"/>
        </w:rPr>
        <w:lastRenderedPageBreak/>
        <w:t>conditional. Cultural cohesion becomes a barrier where respect for established routines develops into conformity or insufficient upward challenge. Effective functioning therefore requires Toyota not merely to preserve its strong culture, but to institutionalise employee voice, independent scrutiny and managerial accountability alongside it.</w:t>
      </w:r>
    </w:p>
    <w:p w14:paraId="2D864219" w14:textId="4F59B496" w:rsidR="00D4610B" w:rsidRPr="006E795F" w:rsidRDefault="00D4610B" w:rsidP="006E795F">
      <w:pPr>
        <w:pStyle w:val="Heading2"/>
        <w:spacing w:line="360" w:lineRule="auto"/>
        <w:jc w:val="both"/>
        <w:rPr>
          <w:sz w:val="22"/>
          <w:szCs w:val="22"/>
        </w:rPr>
      </w:pPr>
    </w:p>
    <w:p w14:paraId="523D18A5" w14:textId="77777777" w:rsidR="00D4610B" w:rsidRPr="006E795F" w:rsidRDefault="00D4610B" w:rsidP="006E795F">
      <w:pPr>
        <w:pStyle w:val="Heading2"/>
      </w:pPr>
      <w:r w:rsidRPr="006E795F">
        <w:t>Impact of Organisational Culture on Organisational Performance</w:t>
      </w:r>
    </w:p>
    <w:p w14:paraId="0CE76350" w14:textId="77777777" w:rsidR="00D4610B" w:rsidRPr="006E795F" w:rsidRDefault="00D4610B" w:rsidP="006E795F">
      <w:pPr>
        <w:spacing w:line="360" w:lineRule="auto"/>
        <w:jc w:val="both"/>
        <w:rPr>
          <w:sz w:val="22"/>
          <w:szCs w:val="22"/>
        </w:rPr>
      </w:pPr>
      <w:r w:rsidRPr="006E795F">
        <w:rPr>
          <w:sz w:val="22"/>
          <w:szCs w:val="22"/>
        </w:rPr>
        <w:t>Organisational culture can influence performance through employee behaviour, knowledge sharing, operational efficiency, innovation and responsiveness. However, the relationship is not automatically positive. O’Reilly, Cao and Sull (2024), using data from 309 large organisations, found that different cultural characteristics have different associations with objective measures of firm performance. Similarly, Liu, Tsui and Kianto’s (2021) meta-analysis found a positive relationship between knowledge-friendly organisational culture and both financial and non-financial performance. These findings suggest that performance depends upon the characteristics promoted by a culture rather than simply its strength.</w:t>
      </w:r>
    </w:p>
    <w:p w14:paraId="23D9A0B9" w14:textId="77777777" w:rsidR="00D4610B" w:rsidRPr="006E795F" w:rsidRDefault="00D4610B" w:rsidP="006E795F">
      <w:pPr>
        <w:spacing w:line="360" w:lineRule="auto"/>
        <w:jc w:val="both"/>
        <w:rPr>
          <w:sz w:val="22"/>
          <w:szCs w:val="22"/>
        </w:rPr>
      </w:pPr>
      <w:r w:rsidRPr="006E795F">
        <w:rPr>
          <w:sz w:val="22"/>
          <w:szCs w:val="22"/>
        </w:rPr>
        <w:t xml:space="preserve">Toyota’s culture has historically supported </w:t>
      </w:r>
      <w:r w:rsidRPr="006E795F">
        <w:rPr>
          <w:b/>
          <w:bCs/>
          <w:sz w:val="22"/>
          <w:szCs w:val="22"/>
        </w:rPr>
        <w:t>operational performance</w:t>
      </w:r>
      <w:r w:rsidRPr="006E795F">
        <w:rPr>
          <w:sz w:val="22"/>
          <w:szCs w:val="22"/>
        </w:rPr>
        <w:t xml:space="preserve"> through the interaction of standardisation and </w:t>
      </w:r>
      <w:r w:rsidRPr="006E795F">
        <w:rPr>
          <w:i/>
          <w:iCs/>
          <w:sz w:val="22"/>
          <w:szCs w:val="22"/>
        </w:rPr>
        <w:t>kaizen</w:t>
      </w:r>
      <w:r w:rsidRPr="006E795F">
        <w:rPr>
          <w:sz w:val="22"/>
          <w:szCs w:val="22"/>
        </w:rPr>
        <w:t>. Standardised work creates consistency and makes inefficiencies visible, while continuous improvement encourages accumulated employee knowledge to refine existing processes. Medeiros et al. (2025) emphasise the importance of employee involvement within lean manufacturing, supporting the view that operational improvement depends upon employee participation rather than technical processes alone. Toyota’s culture can therefore generate value by embedding problem-solving behaviour throughout operations.</w:t>
      </w:r>
    </w:p>
    <w:p w14:paraId="6EF79692" w14:textId="77777777" w:rsidR="00D4610B" w:rsidRPr="006E795F" w:rsidRDefault="00D4610B" w:rsidP="006E795F">
      <w:pPr>
        <w:spacing w:line="360" w:lineRule="auto"/>
        <w:jc w:val="both"/>
        <w:rPr>
          <w:sz w:val="22"/>
          <w:szCs w:val="22"/>
        </w:rPr>
      </w:pPr>
      <w:r w:rsidRPr="006E795F">
        <w:rPr>
          <w:sz w:val="22"/>
          <w:szCs w:val="22"/>
        </w:rPr>
        <w:t xml:space="preserve">Culture can also influence </w:t>
      </w:r>
      <w:r w:rsidRPr="006E795F">
        <w:rPr>
          <w:b/>
          <w:bCs/>
          <w:sz w:val="22"/>
          <w:szCs w:val="22"/>
        </w:rPr>
        <w:t>innovation and strategic performance</w:t>
      </w:r>
      <w:r w:rsidRPr="006E795F">
        <w:rPr>
          <w:sz w:val="22"/>
          <w:szCs w:val="22"/>
        </w:rPr>
        <w:t>. The knowledge-sharing and learning behaviours embedded within the Toyota Way can support the development and transfer of organisational capabilities. Vanichchinchai (2022) found positive relationships between the Toyota Way and manufacturing agility, while Gutierrez et al. (2022) demonstrate that learning-oriented lean cultures can contribute to dynamic capabilities and process innovation. These characteristics are particularly valuable as Toyota expands into software, AI and new mobility technologies.</w:t>
      </w:r>
    </w:p>
    <w:p w14:paraId="2B58562D" w14:textId="77777777" w:rsidR="00D4610B" w:rsidRPr="006E795F" w:rsidRDefault="00D4610B" w:rsidP="006E795F">
      <w:pPr>
        <w:spacing w:line="360" w:lineRule="auto"/>
        <w:jc w:val="both"/>
        <w:rPr>
          <w:sz w:val="22"/>
          <w:szCs w:val="22"/>
        </w:rPr>
      </w:pPr>
      <w:r w:rsidRPr="006E795F">
        <w:rPr>
          <w:sz w:val="22"/>
          <w:szCs w:val="22"/>
        </w:rPr>
        <w:t xml:space="preserve">Nevertheless, Toyota demonstrates why performance cannot be assessed exclusively through productivity or financial outcomes. Certification failures created regulatory intervention and potential reputational consequences, demonstrating that cultural or governance weaknesses can undermine stakeholder trust even where operational capabilities remain strong. </w:t>
      </w:r>
      <w:r w:rsidRPr="006E795F">
        <w:rPr>
          <w:sz w:val="22"/>
          <w:szCs w:val="22"/>
        </w:rPr>
        <w:lastRenderedPageBreak/>
        <w:t>Furthermore, Wang et al.’s (2023) meta-analysis found that different organisational culture types produce different performance effects, with hierarchical culture showing weaker performance effects than more innovation-oriented forms. Toyota’s strong role-culture characteristics may therefore provide consistency while becoming less advantageous where innovation and speed are strategically critical.</w:t>
      </w:r>
    </w:p>
    <w:p w14:paraId="536E4A7A" w14:textId="55997BD9" w:rsidR="006E795F" w:rsidRDefault="00D4610B" w:rsidP="006E795F">
      <w:pPr>
        <w:spacing w:line="360" w:lineRule="auto"/>
        <w:jc w:val="both"/>
        <w:rPr>
          <w:sz w:val="22"/>
          <w:szCs w:val="22"/>
        </w:rPr>
      </w:pPr>
      <w:r w:rsidRPr="006E795F">
        <w:rPr>
          <w:sz w:val="22"/>
          <w:szCs w:val="22"/>
        </w:rPr>
        <w:t xml:space="preserve">Overall, Toyota’s culture represents an important performance resource because it supports efficiency, learning and problem-solving. Its future contribution to performance, however, depends upon maintaining these capabilities while strengthening innovation, employee challenge and governance. Culture should therefore be understood as a </w:t>
      </w:r>
      <w:r w:rsidRPr="006E795F">
        <w:rPr>
          <w:b/>
          <w:bCs/>
          <w:sz w:val="22"/>
          <w:szCs w:val="22"/>
        </w:rPr>
        <w:t>contingent performance mechanism</w:t>
      </w:r>
      <w:r w:rsidRPr="006E795F">
        <w:rPr>
          <w:sz w:val="22"/>
          <w:szCs w:val="22"/>
        </w:rPr>
        <w:t xml:space="preserve"> whose value depends upon alignment with Toyota’s changing strategic environment.</w:t>
      </w:r>
    </w:p>
    <w:p w14:paraId="0064F6FB" w14:textId="77777777" w:rsidR="006E795F" w:rsidRPr="006E795F" w:rsidRDefault="006E795F" w:rsidP="006E795F">
      <w:pPr>
        <w:spacing w:line="360" w:lineRule="auto"/>
        <w:jc w:val="both"/>
        <w:rPr>
          <w:sz w:val="22"/>
          <w:szCs w:val="22"/>
        </w:rPr>
      </w:pPr>
    </w:p>
    <w:p w14:paraId="16724178" w14:textId="77777777" w:rsidR="006E795F" w:rsidRPr="006E795F" w:rsidRDefault="006E795F" w:rsidP="006E795F">
      <w:pPr>
        <w:pStyle w:val="Heading2"/>
      </w:pPr>
      <w:r w:rsidRPr="006E795F">
        <w:t>Evidence-Based Recommendations</w:t>
      </w:r>
    </w:p>
    <w:p w14:paraId="38464ACC" w14:textId="77777777" w:rsidR="006E795F" w:rsidRPr="006E795F" w:rsidRDefault="006E795F" w:rsidP="006E795F">
      <w:pPr>
        <w:spacing w:line="360" w:lineRule="auto"/>
        <w:jc w:val="both"/>
        <w:rPr>
          <w:sz w:val="22"/>
          <w:szCs w:val="22"/>
        </w:rPr>
      </w:pPr>
      <w:r w:rsidRPr="006E795F">
        <w:rPr>
          <w:sz w:val="22"/>
          <w:szCs w:val="22"/>
        </w:rPr>
        <w:t xml:space="preserve">The analysis indicates that Toyota should </w:t>
      </w:r>
      <w:r w:rsidRPr="006E795F">
        <w:rPr>
          <w:b/>
          <w:bCs/>
          <w:sz w:val="22"/>
          <w:szCs w:val="22"/>
        </w:rPr>
        <w:t>evolve rather than replace its existing culture</w:t>
      </w:r>
      <w:r w:rsidRPr="006E795F">
        <w:rPr>
          <w:sz w:val="22"/>
          <w:szCs w:val="22"/>
        </w:rPr>
        <w:t>. Its core principles continue to support operational performance, but cultural development is required in three areas.</w:t>
      </w:r>
    </w:p>
    <w:p w14:paraId="7BB04268" w14:textId="77777777" w:rsidR="006E795F" w:rsidRPr="006E795F" w:rsidRDefault="006E795F" w:rsidP="006E795F">
      <w:pPr>
        <w:spacing w:line="360" w:lineRule="auto"/>
        <w:jc w:val="both"/>
        <w:rPr>
          <w:sz w:val="22"/>
          <w:szCs w:val="22"/>
        </w:rPr>
      </w:pPr>
      <w:r w:rsidRPr="006E795F">
        <w:rPr>
          <w:b/>
          <w:bCs/>
          <w:sz w:val="22"/>
          <w:szCs w:val="22"/>
        </w:rPr>
        <w:t xml:space="preserve">First, Toyota should institutionalise constructive employee challenge alongside </w:t>
      </w:r>
      <w:r w:rsidRPr="006E795F">
        <w:rPr>
          <w:b/>
          <w:bCs/>
          <w:i/>
          <w:iCs/>
          <w:sz w:val="22"/>
          <w:szCs w:val="22"/>
        </w:rPr>
        <w:t>kaizen</w:t>
      </w:r>
      <w:r w:rsidRPr="006E795F">
        <w:rPr>
          <w:b/>
          <w:bCs/>
          <w:sz w:val="22"/>
          <w:szCs w:val="22"/>
        </w:rPr>
        <w:t>.</w:t>
      </w:r>
      <w:r w:rsidRPr="006E795F">
        <w:rPr>
          <w:sz w:val="22"/>
          <w:szCs w:val="22"/>
        </w:rPr>
        <w:t xml:space="preserve"> The certification irregularities demonstrate that identifying operational problems is insufficient if employees cannot confidently challenge established assumptions or escalate concerns. Toyota should strengthen protected employee-voice mechanisms, incorporate upward challenge into leadership evaluation and routinely examine whether concerns raised at the </w:t>
      </w:r>
      <w:r w:rsidRPr="006E795F">
        <w:rPr>
          <w:i/>
          <w:iCs/>
          <w:sz w:val="22"/>
          <w:szCs w:val="22"/>
        </w:rPr>
        <w:t>genba</w:t>
      </w:r>
      <w:r w:rsidRPr="006E795F">
        <w:rPr>
          <w:sz w:val="22"/>
          <w:szCs w:val="22"/>
        </w:rPr>
        <w:t xml:space="preserve"> receive appropriate managerial responses. Morrison (2023) demonstrates that employee voice can provide organisations with information required to identify problems and improve functioning, while Mohammad, Nazir and Mufti (2023) identify organisational practices and norms as important influences on whether employees speak up. Making constructive challenge an explicit component of the Toyota Way would therefore reduce conformity risk without weakening cultural cohesion.</w:t>
      </w:r>
    </w:p>
    <w:p w14:paraId="33F088DE" w14:textId="77777777" w:rsidR="006E795F" w:rsidRPr="006E795F" w:rsidRDefault="006E795F" w:rsidP="006E795F">
      <w:pPr>
        <w:spacing w:line="360" w:lineRule="auto"/>
        <w:jc w:val="both"/>
        <w:rPr>
          <w:sz w:val="22"/>
          <w:szCs w:val="22"/>
        </w:rPr>
      </w:pPr>
      <w:r w:rsidRPr="006E795F">
        <w:rPr>
          <w:b/>
          <w:bCs/>
          <w:sz w:val="22"/>
          <w:szCs w:val="22"/>
        </w:rPr>
        <w:t>Second, Toyota should maintain stronger independent governance and cross-functional accountability.</w:t>
      </w:r>
      <w:r w:rsidRPr="006E795F">
        <w:rPr>
          <w:sz w:val="22"/>
          <w:szCs w:val="22"/>
        </w:rPr>
        <w:t xml:space="preserve"> Post-certification reforms involving clearer responsibilities, management involvement and additional checks should become permanent organisational routines rather than temporary corrective measures. Periodic independent reviews should examine whether Toyota’s espoused values are being enacted across operational units. This recommendation </w:t>
      </w:r>
      <w:r w:rsidRPr="006E795F">
        <w:rPr>
          <w:sz w:val="22"/>
          <w:szCs w:val="22"/>
        </w:rPr>
        <w:lastRenderedPageBreak/>
        <w:t>reflects Schein and Schein’s (2017) distinction between visible organisational practices and deeper assumptions: governance mechanisms can expose situations where stated cultural values and actual behaviour diverge.</w:t>
      </w:r>
    </w:p>
    <w:p w14:paraId="2DBF7482" w14:textId="77777777" w:rsidR="006E795F" w:rsidRPr="006E795F" w:rsidRDefault="006E795F" w:rsidP="006E795F">
      <w:pPr>
        <w:spacing w:line="360" w:lineRule="auto"/>
        <w:jc w:val="both"/>
        <w:rPr>
          <w:sz w:val="22"/>
          <w:szCs w:val="22"/>
        </w:rPr>
      </w:pPr>
      <w:r w:rsidRPr="006E795F">
        <w:rPr>
          <w:b/>
          <w:bCs/>
          <w:sz w:val="22"/>
          <w:szCs w:val="22"/>
        </w:rPr>
        <w:t>Third, Toyota should deliberately balance incremental improvement with exploratory innovation.</w:t>
      </w:r>
      <w:r w:rsidRPr="006E795F">
        <w:rPr>
          <w:sz w:val="22"/>
          <w:szCs w:val="22"/>
        </w:rPr>
        <w:t xml:space="preserve"> </w:t>
      </w:r>
      <w:r w:rsidRPr="006E795F">
        <w:rPr>
          <w:i/>
          <w:iCs/>
          <w:sz w:val="22"/>
          <w:szCs w:val="22"/>
        </w:rPr>
        <w:t>Kaizen</w:t>
      </w:r>
      <w:r w:rsidRPr="006E795F">
        <w:rPr>
          <w:sz w:val="22"/>
          <w:szCs w:val="22"/>
        </w:rPr>
        <w:t xml:space="preserve"> remains valuable for refining established capabilities, but AI, software-defined vehicles, autonomous technologies and electrification may require experimentation beyond existing routines. Toyota should expand autonomous cross-functional teams combining manufacturing, software and mobility expertise and provide protected resources for higher-risk experimentation. Gutierrez et al. (2022) demonstrate the importance of learning-oriented cultures for dynamic capabilities, while Wang et al. (2023) show stronger performance effects for innovation-oriented cultures than hierarchical forms. Strengthening task-oriented and exploratory characteristics would therefore complement Toyota’s process discipline and improve adaptability.</w:t>
      </w:r>
    </w:p>
    <w:p w14:paraId="2E8F71E4" w14:textId="50110262" w:rsidR="006E795F" w:rsidRPr="006E795F" w:rsidRDefault="006E795F" w:rsidP="006E795F">
      <w:pPr>
        <w:spacing w:line="360" w:lineRule="auto"/>
        <w:jc w:val="both"/>
        <w:rPr>
          <w:sz w:val="22"/>
          <w:szCs w:val="22"/>
        </w:rPr>
      </w:pPr>
      <w:r w:rsidRPr="006E795F">
        <w:rPr>
          <w:sz w:val="22"/>
          <w:szCs w:val="22"/>
        </w:rPr>
        <w:t>Collectively, these recommendations would preserve Toyota’s cultural strengths while reducing conformity, governance and rigidity risks, improving the alignment between organisational culture and its increasingly technology-intensive competitive environment.</w:t>
      </w:r>
    </w:p>
    <w:p w14:paraId="2713E908" w14:textId="3C63A7EB" w:rsidR="006E795F" w:rsidRPr="006E795F" w:rsidRDefault="006E795F" w:rsidP="006E795F">
      <w:pPr>
        <w:pStyle w:val="Heading2"/>
        <w:spacing w:line="360" w:lineRule="auto"/>
        <w:jc w:val="both"/>
        <w:rPr>
          <w:sz w:val="22"/>
          <w:szCs w:val="22"/>
        </w:rPr>
      </w:pPr>
    </w:p>
    <w:p w14:paraId="14BD26BF" w14:textId="77777777" w:rsidR="006E795F" w:rsidRPr="006E795F" w:rsidRDefault="006E795F" w:rsidP="006E795F">
      <w:pPr>
        <w:pStyle w:val="Heading2"/>
      </w:pPr>
      <w:r w:rsidRPr="006E795F">
        <w:t>Conclusion</w:t>
      </w:r>
    </w:p>
    <w:p w14:paraId="378434DF" w14:textId="77777777" w:rsidR="006E795F" w:rsidRPr="006E795F" w:rsidRDefault="006E795F" w:rsidP="006E795F">
      <w:pPr>
        <w:spacing w:line="360" w:lineRule="auto"/>
        <w:jc w:val="both"/>
        <w:rPr>
          <w:sz w:val="22"/>
          <w:szCs w:val="22"/>
        </w:rPr>
      </w:pPr>
      <w:r w:rsidRPr="006E795F">
        <w:rPr>
          <w:sz w:val="22"/>
          <w:szCs w:val="22"/>
        </w:rPr>
        <w:t xml:space="preserve">This report has demonstrated that organisational culture significantly influences Toyota’s structure, decision-making, adaptability and performance, supporting Mullins and Christy’s (2016) argument that culture shapes fundamental organisational processes. Toyota’s prevailing culture is best understood as a strong, process-oriented hybrid combining role-based discipline with task-based problem-solving, underpinned by </w:t>
      </w:r>
      <w:r w:rsidRPr="006E795F">
        <w:rPr>
          <w:i/>
          <w:iCs/>
          <w:sz w:val="22"/>
          <w:szCs w:val="22"/>
        </w:rPr>
        <w:t>kaizen</w:t>
      </w:r>
      <w:r w:rsidRPr="006E795F">
        <w:rPr>
          <w:sz w:val="22"/>
          <w:szCs w:val="22"/>
        </w:rPr>
        <w:t xml:space="preserve">, </w:t>
      </w:r>
      <w:r w:rsidRPr="006E795F">
        <w:rPr>
          <w:i/>
          <w:iCs/>
          <w:sz w:val="22"/>
          <w:szCs w:val="22"/>
        </w:rPr>
        <w:t>genchi genbutsu</w:t>
      </w:r>
      <w:r w:rsidRPr="006E795F">
        <w:rPr>
          <w:sz w:val="22"/>
          <w:szCs w:val="22"/>
        </w:rPr>
        <w:t>, respect for people and organisational learning.</w:t>
      </w:r>
    </w:p>
    <w:p w14:paraId="65ED0D6D" w14:textId="77777777" w:rsidR="006E795F" w:rsidRPr="006E795F" w:rsidRDefault="006E795F" w:rsidP="006E795F">
      <w:pPr>
        <w:spacing w:line="360" w:lineRule="auto"/>
        <w:jc w:val="both"/>
        <w:rPr>
          <w:sz w:val="22"/>
          <w:szCs w:val="22"/>
        </w:rPr>
      </w:pPr>
      <w:r w:rsidRPr="006E795F">
        <w:rPr>
          <w:sz w:val="22"/>
          <w:szCs w:val="22"/>
        </w:rPr>
        <w:t xml:space="preserve">Overall, Toyota’s culture is predominantly an </w:t>
      </w:r>
      <w:r w:rsidRPr="006E795F">
        <w:rPr>
          <w:b/>
          <w:bCs/>
          <w:sz w:val="22"/>
          <w:szCs w:val="22"/>
        </w:rPr>
        <w:t>enabler of effective organisational functioning</w:t>
      </w:r>
      <w:r w:rsidRPr="006E795F">
        <w:rPr>
          <w:sz w:val="22"/>
          <w:szCs w:val="22"/>
        </w:rPr>
        <w:t>. Standardisation and continuous improvement support operational efficiency and organisational learning, while Toyota’s problem-solving philosophy provides a foundation for responding to environmental change. However, certification failures demonstrate that strong cultural assumptions can become barriers where conformity, insufficient challenge and weaknesses in managerial oversight emerge. Furthermore, technological disruption means that incremental improvement cannot substitute entirely for exploratory innovation.</w:t>
      </w:r>
    </w:p>
    <w:p w14:paraId="5228F433" w14:textId="77777777" w:rsidR="006E795F" w:rsidRPr="006E795F" w:rsidRDefault="006E795F" w:rsidP="006E795F">
      <w:pPr>
        <w:spacing w:line="360" w:lineRule="auto"/>
        <w:jc w:val="both"/>
        <w:rPr>
          <w:sz w:val="22"/>
          <w:szCs w:val="22"/>
        </w:rPr>
      </w:pPr>
      <w:r w:rsidRPr="006E795F">
        <w:rPr>
          <w:sz w:val="22"/>
          <w:szCs w:val="22"/>
        </w:rPr>
        <w:lastRenderedPageBreak/>
        <w:t>Toyota should therefore preserve rather than abandon its established cultural strengths while developing stronger employee voice, independent governance and experimentation. Ultimately, Toyota’s future performance will depend not upon maintaining cultural consistency for its own sake, but upon ensuring that its culture continues to evolve alongside the increasingly technology-driven global automotive environment.</w:t>
      </w:r>
    </w:p>
    <w:p w14:paraId="36CD01D4" w14:textId="7348D772" w:rsidR="00D4610B" w:rsidRDefault="00D4610B" w:rsidP="006E795F">
      <w:pPr>
        <w:spacing w:line="360" w:lineRule="auto"/>
        <w:jc w:val="both"/>
        <w:rPr>
          <w:sz w:val="22"/>
          <w:szCs w:val="22"/>
        </w:rPr>
      </w:pPr>
    </w:p>
    <w:p w14:paraId="1D758DAB" w14:textId="77777777" w:rsidR="00F7624A" w:rsidRDefault="00F7624A" w:rsidP="006E795F">
      <w:pPr>
        <w:spacing w:line="360" w:lineRule="auto"/>
        <w:jc w:val="both"/>
        <w:rPr>
          <w:sz w:val="22"/>
          <w:szCs w:val="22"/>
        </w:rPr>
      </w:pPr>
    </w:p>
    <w:p w14:paraId="48C618B9" w14:textId="77777777" w:rsidR="00F7624A" w:rsidRDefault="00F7624A" w:rsidP="006E795F">
      <w:pPr>
        <w:spacing w:line="360" w:lineRule="auto"/>
        <w:jc w:val="both"/>
        <w:rPr>
          <w:sz w:val="22"/>
          <w:szCs w:val="22"/>
        </w:rPr>
      </w:pPr>
    </w:p>
    <w:p w14:paraId="4BA228BA" w14:textId="77777777" w:rsidR="00F7624A" w:rsidRDefault="00F7624A" w:rsidP="006E795F">
      <w:pPr>
        <w:spacing w:line="360" w:lineRule="auto"/>
        <w:jc w:val="both"/>
        <w:rPr>
          <w:sz w:val="22"/>
          <w:szCs w:val="22"/>
        </w:rPr>
      </w:pPr>
    </w:p>
    <w:p w14:paraId="76EF2289" w14:textId="77777777" w:rsidR="00F7624A" w:rsidRDefault="00F7624A" w:rsidP="006E795F">
      <w:pPr>
        <w:spacing w:line="360" w:lineRule="auto"/>
        <w:jc w:val="both"/>
        <w:rPr>
          <w:sz w:val="22"/>
          <w:szCs w:val="22"/>
        </w:rPr>
      </w:pPr>
    </w:p>
    <w:p w14:paraId="3CEC97B4" w14:textId="77777777" w:rsidR="00F7624A" w:rsidRDefault="00F7624A" w:rsidP="006E795F">
      <w:pPr>
        <w:spacing w:line="360" w:lineRule="auto"/>
        <w:jc w:val="both"/>
        <w:rPr>
          <w:sz w:val="22"/>
          <w:szCs w:val="22"/>
        </w:rPr>
      </w:pPr>
    </w:p>
    <w:p w14:paraId="0BC3C31E" w14:textId="77777777" w:rsidR="00F7624A" w:rsidRDefault="00F7624A" w:rsidP="006E795F">
      <w:pPr>
        <w:spacing w:line="360" w:lineRule="auto"/>
        <w:jc w:val="both"/>
        <w:rPr>
          <w:sz w:val="22"/>
          <w:szCs w:val="22"/>
        </w:rPr>
      </w:pPr>
    </w:p>
    <w:p w14:paraId="40460478" w14:textId="77777777" w:rsidR="00F7624A" w:rsidRDefault="00F7624A" w:rsidP="006E795F">
      <w:pPr>
        <w:spacing w:line="360" w:lineRule="auto"/>
        <w:jc w:val="both"/>
        <w:rPr>
          <w:sz w:val="22"/>
          <w:szCs w:val="22"/>
        </w:rPr>
      </w:pPr>
    </w:p>
    <w:p w14:paraId="29DF5B66" w14:textId="77777777" w:rsidR="00F7624A" w:rsidRDefault="00F7624A" w:rsidP="006E795F">
      <w:pPr>
        <w:spacing w:line="360" w:lineRule="auto"/>
        <w:jc w:val="both"/>
        <w:rPr>
          <w:sz w:val="22"/>
          <w:szCs w:val="22"/>
        </w:rPr>
      </w:pPr>
    </w:p>
    <w:p w14:paraId="4A7D0CD5" w14:textId="77777777" w:rsidR="00F7624A" w:rsidRDefault="00F7624A" w:rsidP="006E795F">
      <w:pPr>
        <w:spacing w:line="360" w:lineRule="auto"/>
        <w:jc w:val="both"/>
        <w:rPr>
          <w:sz w:val="22"/>
          <w:szCs w:val="22"/>
        </w:rPr>
      </w:pPr>
    </w:p>
    <w:p w14:paraId="61F1AF65" w14:textId="77777777" w:rsidR="00F7624A" w:rsidRDefault="00F7624A" w:rsidP="006E795F">
      <w:pPr>
        <w:spacing w:line="360" w:lineRule="auto"/>
        <w:jc w:val="both"/>
        <w:rPr>
          <w:sz w:val="22"/>
          <w:szCs w:val="22"/>
        </w:rPr>
      </w:pPr>
    </w:p>
    <w:p w14:paraId="018C6760" w14:textId="77777777" w:rsidR="00F7624A" w:rsidRDefault="00F7624A" w:rsidP="006E795F">
      <w:pPr>
        <w:spacing w:line="360" w:lineRule="auto"/>
        <w:jc w:val="both"/>
        <w:rPr>
          <w:sz w:val="22"/>
          <w:szCs w:val="22"/>
        </w:rPr>
      </w:pPr>
    </w:p>
    <w:p w14:paraId="31D9273B" w14:textId="77777777" w:rsidR="00F7624A" w:rsidRDefault="00F7624A" w:rsidP="006E795F">
      <w:pPr>
        <w:spacing w:line="360" w:lineRule="auto"/>
        <w:jc w:val="both"/>
        <w:rPr>
          <w:sz w:val="22"/>
          <w:szCs w:val="22"/>
        </w:rPr>
      </w:pPr>
    </w:p>
    <w:p w14:paraId="37AD3DFE" w14:textId="77777777" w:rsidR="00F7624A" w:rsidRDefault="00F7624A" w:rsidP="006E795F">
      <w:pPr>
        <w:spacing w:line="360" w:lineRule="auto"/>
        <w:jc w:val="both"/>
        <w:rPr>
          <w:sz w:val="22"/>
          <w:szCs w:val="22"/>
        </w:rPr>
      </w:pPr>
    </w:p>
    <w:p w14:paraId="2B0994D4" w14:textId="77777777" w:rsidR="00F7624A" w:rsidRDefault="00F7624A" w:rsidP="006E795F">
      <w:pPr>
        <w:spacing w:line="360" w:lineRule="auto"/>
        <w:jc w:val="both"/>
        <w:rPr>
          <w:sz w:val="22"/>
          <w:szCs w:val="22"/>
        </w:rPr>
      </w:pPr>
    </w:p>
    <w:p w14:paraId="629A7D7D" w14:textId="77777777" w:rsidR="00F7624A" w:rsidRDefault="00F7624A" w:rsidP="006E795F">
      <w:pPr>
        <w:spacing w:line="360" w:lineRule="auto"/>
        <w:jc w:val="both"/>
        <w:rPr>
          <w:sz w:val="22"/>
          <w:szCs w:val="22"/>
        </w:rPr>
      </w:pPr>
    </w:p>
    <w:p w14:paraId="636DA178" w14:textId="77777777" w:rsidR="00F7624A" w:rsidRDefault="00F7624A" w:rsidP="006E795F">
      <w:pPr>
        <w:spacing w:line="360" w:lineRule="auto"/>
        <w:jc w:val="both"/>
        <w:rPr>
          <w:sz w:val="22"/>
          <w:szCs w:val="22"/>
        </w:rPr>
      </w:pPr>
    </w:p>
    <w:p w14:paraId="2D90C7F0" w14:textId="77777777" w:rsidR="00F7624A" w:rsidRDefault="00F7624A" w:rsidP="006E795F">
      <w:pPr>
        <w:spacing w:line="360" w:lineRule="auto"/>
        <w:jc w:val="both"/>
        <w:rPr>
          <w:sz w:val="22"/>
          <w:szCs w:val="22"/>
        </w:rPr>
      </w:pPr>
    </w:p>
    <w:p w14:paraId="5DE58486" w14:textId="77777777" w:rsidR="00F7624A" w:rsidRDefault="00F7624A" w:rsidP="006E795F">
      <w:pPr>
        <w:spacing w:line="360" w:lineRule="auto"/>
        <w:jc w:val="both"/>
        <w:rPr>
          <w:sz w:val="22"/>
          <w:szCs w:val="22"/>
        </w:rPr>
      </w:pPr>
    </w:p>
    <w:p w14:paraId="029508AA" w14:textId="77777777" w:rsidR="00F7624A" w:rsidRDefault="00F7624A" w:rsidP="006E795F">
      <w:pPr>
        <w:spacing w:line="360" w:lineRule="auto"/>
        <w:jc w:val="both"/>
        <w:rPr>
          <w:sz w:val="22"/>
          <w:szCs w:val="22"/>
        </w:rPr>
      </w:pPr>
    </w:p>
    <w:p w14:paraId="26378B5F" w14:textId="77777777" w:rsidR="00F7624A" w:rsidRDefault="00F7624A" w:rsidP="006E795F">
      <w:pPr>
        <w:spacing w:line="360" w:lineRule="auto"/>
        <w:jc w:val="both"/>
        <w:rPr>
          <w:sz w:val="22"/>
          <w:szCs w:val="22"/>
        </w:rPr>
      </w:pPr>
    </w:p>
    <w:p w14:paraId="242F7F43" w14:textId="49A7BCFB" w:rsidR="00F7624A" w:rsidRDefault="00F7624A" w:rsidP="006E795F">
      <w:pPr>
        <w:spacing w:line="360" w:lineRule="auto"/>
        <w:jc w:val="both"/>
        <w:rPr>
          <w:sz w:val="22"/>
          <w:szCs w:val="22"/>
        </w:rPr>
      </w:pPr>
    </w:p>
    <w:p w14:paraId="548BEB1E" w14:textId="77777777" w:rsidR="00FD68C5" w:rsidRPr="00FD68C5" w:rsidRDefault="00FD68C5" w:rsidP="00FD68C5">
      <w:pPr>
        <w:spacing w:line="360" w:lineRule="auto"/>
        <w:jc w:val="both"/>
        <w:rPr>
          <w:rFonts w:ascii="Arial" w:hAnsi="Arial" w:cs="Arial"/>
          <w:b/>
          <w:bCs/>
          <w:sz w:val="22"/>
          <w:szCs w:val="22"/>
        </w:rPr>
      </w:pPr>
      <w:r w:rsidRPr="00FD68C5">
        <w:rPr>
          <w:rFonts w:ascii="Arial" w:hAnsi="Arial" w:cs="Arial"/>
          <w:b/>
          <w:bCs/>
          <w:sz w:val="22"/>
          <w:szCs w:val="22"/>
        </w:rPr>
        <w:t>References</w:t>
      </w:r>
    </w:p>
    <w:p w14:paraId="16C7AF6C"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Bogale, A.T. and Debela, K.L. (2024) ‘Organizational culture: a systematic review’, </w:t>
      </w:r>
      <w:r w:rsidRPr="00FD68C5">
        <w:rPr>
          <w:rFonts w:ascii="Arial" w:hAnsi="Arial" w:cs="Arial"/>
          <w:i/>
          <w:iCs/>
          <w:sz w:val="22"/>
          <w:szCs w:val="22"/>
        </w:rPr>
        <w:t>Cogent Business &amp; Management</w:t>
      </w:r>
      <w:r w:rsidRPr="00FD68C5">
        <w:rPr>
          <w:rFonts w:ascii="Arial" w:hAnsi="Arial" w:cs="Arial"/>
          <w:sz w:val="22"/>
          <w:szCs w:val="22"/>
        </w:rPr>
        <w:t>, 11(1), 2340129. doi: 10.1080/23311975.2024.2340129.</w:t>
      </w:r>
    </w:p>
    <w:p w14:paraId="05A18DB1"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Brahm, F. and Poblete, J. (2024) ‘Organizational culture, adaptation, and performance’, </w:t>
      </w:r>
      <w:r w:rsidRPr="00FD68C5">
        <w:rPr>
          <w:rFonts w:ascii="Arial" w:hAnsi="Arial" w:cs="Arial"/>
          <w:i/>
          <w:iCs/>
          <w:sz w:val="22"/>
          <w:szCs w:val="22"/>
        </w:rPr>
        <w:t>Organization Science</w:t>
      </w:r>
      <w:r w:rsidRPr="00FD68C5">
        <w:rPr>
          <w:rFonts w:ascii="Arial" w:hAnsi="Arial" w:cs="Arial"/>
          <w:sz w:val="22"/>
          <w:szCs w:val="22"/>
        </w:rPr>
        <w:t>, 35(5), pp. 1823–1848. doi: 10.1287/orsc.2022.16791.</w:t>
      </w:r>
    </w:p>
    <w:p w14:paraId="21C56F68"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Gutierrez, L., Lameijer, B.A., Anand, G., Antony, J. and Sunder M., V. (2022) ‘Beyond efficiency: the role of lean practices and cultures in developing dynamic capabilities microfoundations’, </w:t>
      </w:r>
      <w:r w:rsidRPr="00FD68C5">
        <w:rPr>
          <w:rFonts w:ascii="Arial" w:hAnsi="Arial" w:cs="Arial"/>
          <w:i/>
          <w:iCs/>
          <w:sz w:val="22"/>
          <w:szCs w:val="22"/>
        </w:rPr>
        <w:t>International Journal of Operations &amp; Production Management</w:t>
      </w:r>
      <w:r w:rsidRPr="00FD68C5">
        <w:rPr>
          <w:rFonts w:ascii="Arial" w:hAnsi="Arial" w:cs="Arial"/>
          <w:sz w:val="22"/>
          <w:szCs w:val="22"/>
        </w:rPr>
        <w:t>, 42(13), pp. 506–536. doi: 10.1108/IJOPM-02-2022-0086.</w:t>
      </w:r>
    </w:p>
    <w:p w14:paraId="2E4FB3C9"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Liu, G., Tsui, E. and Kianto, A. (2021) ‘Knowledge-friendly organisational culture and performance: a meta-analysis’, </w:t>
      </w:r>
      <w:r w:rsidRPr="00FD68C5">
        <w:rPr>
          <w:rFonts w:ascii="Arial" w:hAnsi="Arial" w:cs="Arial"/>
          <w:i/>
          <w:iCs/>
          <w:sz w:val="22"/>
          <w:szCs w:val="22"/>
        </w:rPr>
        <w:t>Journal of Business Research</w:t>
      </w:r>
      <w:r w:rsidRPr="00FD68C5">
        <w:rPr>
          <w:rFonts w:ascii="Arial" w:hAnsi="Arial" w:cs="Arial"/>
          <w:sz w:val="22"/>
          <w:szCs w:val="22"/>
        </w:rPr>
        <w:t>, 134, pp. 738–753. doi: 10.1016/j.jbusres.2021.05.048.</w:t>
      </w:r>
    </w:p>
    <w:p w14:paraId="42B0F90A"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Medeiros, N.C. de, Godinho Filho, M., Callefi, M.H., Ganga, G.M.D., Silva, J.M.N. da, Thürer, M., Negrão, L.L.L. and Lizarelli, F.L. (2025) ‘Measuring employee involvement in Lean Manufacturing efforts: proposal of a robust scale’, </w:t>
      </w:r>
      <w:r w:rsidRPr="00FD68C5">
        <w:rPr>
          <w:rFonts w:ascii="Arial" w:hAnsi="Arial" w:cs="Arial"/>
          <w:i/>
          <w:iCs/>
          <w:sz w:val="22"/>
          <w:szCs w:val="22"/>
        </w:rPr>
        <w:t>International Journal of Production Research</w:t>
      </w:r>
      <w:r w:rsidRPr="00FD68C5">
        <w:rPr>
          <w:rFonts w:ascii="Arial" w:hAnsi="Arial" w:cs="Arial"/>
          <w:sz w:val="22"/>
          <w:szCs w:val="22"/>
        </w:rPr>
        <w:t>, 63(12), pp. 4590–4615. doi: 10.1080/00207543.2024.2448767.</w:t>
      </w:r>
    </w:p>
    <w:p w14:paraId="1A4ED85D"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Mohammad, S.S., Nazir, N.A. and Mufti, S. (2023) ‘Employee voice: a systematic literature review’, </w:t>
      </w:r>
      <w:r w:rsidRPr="00FD68C5">
        <w:rPr>
          <w:rFonts w:ascii="Arial" w:hAnsi="Arial" w:cs="Arial"/>
          <w:i/>
          <w:iCs/>
          <w:sz w:val="22"/>
          <w:szCs w:val="22"/>
        </w:rPr>
        <w:t>FIIB Business Review</w:t>
      </w:r>
      <w:r w:rsidRPr="00FD68C5">
        <w:rPr>
          <w:rFonts w:ascii="Arial" w:hAnsi="Arial" w:cs="Arial"/>
          <w:sz w:val="22"/>
          <w:szCs w:val="22"/>
        </w:rPr>
        <w:t>. doi: 10.1177/23197145231153926.</w:t>
      </w:r>
    </w:p>
    <w:p w14:paraId="5DCF388E"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Morrison, E.W. (2023) ‘Employee voice and silence: taking stock a decade later’, </w:t>
      </w:r>
      <w:r w:rsidRPr="00FD68C5">
        <w:rPr>
          <w:rFonts w:ascii="Arial" w:hAnsi="Arial" w:cs="Arial"/>
          <w:i/>
          <w:iCs/>
          <w:sz w:val="22"/>
          <w:szCs w:val="22"/>
        </w:rPr>
        <w:t>Annual Review of Organizational Psychology and Organizational Behavior</w:t>
      </w:r>
      <w:r w:rsidRPr="00FD68C5">
        <w:rPr>
          <w:rFonts w:ascii="Arial" w:hAnsi="Arial" w:cs="Arial"/>
          <w:sz w:val="22"/>
          <w:szCs w:val="22"/>
        </w:rPr>
        <w:t>, 10, pp. 79–107. doi: 10.1146/annurev-orgpsych-120920-054654.</w:t>
      </w:r>
    </w:p>
    <w:p w14:paraId="71B99871"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Mullins, L.J. and Christy, G. (2016) </w:t>
      </w:r>
      <w:r w:rsidRPr="00FD68C5">
        <w:rPr>
          <w:rFonts w:ascii="Arial" w:hAnsi="Arial" w:cs="Arial"/>
          <w:i/>
          <w:iCs/>
          <w:sz w:val="22"/>
          <w:szCs w:val="22"/>
        </w:rPr>
        <w:t>Management and Organisational Behaviour</w:t>
      </w:r>
      <w:r w:rsidRPr="00FD68C5">
        <w:rPr>
          <w:rFonts w:ascii="Arial" w:hAnsi="Arial" w:cs="Arial"/>
          <w:sz w:val="22"/>
          <w:szCs w:val="22"/>
        </w:rPr>
        <w:t>. 11th edn. Harlow: Pearson Education.</w:t>
      </w:r>
    </w:p>
    <w:p w14:paraId="781A26BA"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Muniz, J. Jr, Popadiuk, S., Batistela, G.C., Nakanishi, F.K. and Rodriguez, I.A. (2024) ‘Toyota’s knowledge-sharing intention in Brazil and Japan: does organisational cross-culture matter?’, </w:t>
      </w:r>
      <w:r w:rsidRPr="00FD68C5">
        <w:rPr>
          <w:rFonts w:ascii="Arial" w:hAnsi="Arial" w:cs="Arial"/>
          <w:i/>
          <w:iCs/>
          <w:sz w:val="22"/>
          <w:szCs w:val="22"/>
        </w:rPr>
        <w:t>Knowledge Management Research &amp; Practice</w:t>
      </w:r>
      <w:r w:rsidRPr="00FD68C5">
        <w:rPr>
          <w:rFonts w:ascii="Arial" w:hAnsi="Arial" w:cs="Arial"/>
          <w:sz w:val="22"/>
          <w:szCs w:val="22"/>
        </w:rPr>
        <w:t>, 22(2), pp. 133–147. doi: 10.1080/14778238.2022.2136546.</w:t>
      </w:r>
    </w:p>
    <w:p w14:paraId="1E4C9B31"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O’Reilly, C.A., Cao, X. and Sull, D. (2024) ‘Organizational culture archetypes and firm performance’, </w:t>
      </w:r>
      <w:r w:rsidRPr="00FD68C5">
        <w:rPr>
          <w:rFonts w:ascii="Arial" w:hAnsi="Arial" w:cs="Arial"/>
          <w:i/>
          <w:iCs/>
          <w:sz w:val="22"/>
          <w:szCs w:val="22"/>
        </w:rPr>
        <w:t>Journal of Business Research</w:t>
      </w:r>
      <w:r w:rsidRPr="00FD68C5">
        <w:rPr>
          <w:rFonts w:ascii="Arial" w:hAnsi="Arial" w:cs="Arial"/>
          <w:sz w:val="22"/>
          <w:szCs w:val="22"/>
        </w:rPr>
        <w:t>, 182, 114780. doi: 10.1016/j.jbusres.2024.114780.</w:t>
      </w:r>
    </w:p>
    <w:p w14:paraId="7BEA76BF"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lastRenderedPageBreak/>
        <w:t xml:space="preserve">Palhau, M., Sá, J.C., Ávila, P., Dinis-Carvalho, J., Rodrigues, C. and Santos, G. (2024) ‘Toyota Way – the Heart of Toyota Production System and its impact on sustainable company growth’, </w:t>
      </w:r>
      <w:r w:rsidRPr="00FD68C5">
        <w:rPr>
          <w:rFonts w:ascii="Arial" w:hAnsi="Arial" w:cs="Arial"/>
          <w:i/>
          <w:iCs/>
          <w:sz w:val="22"/>
          <w:szCs w:val="22"/>
        </w:rPr>
        <w:t>Quality Innovation Prosperity</w:t>
      </w:r>
      <w:r w:rsidRPr="00FD68C5">
        <w:rPr>
          <w:rFonts w:ascii="Arial" w:hAnsi="Arial" w:cs="Arial"/>
          <w:sz w:val="22"/>
          <w:szCs w:val="22"/>
        </w:rPr>
        <w:t>, 28(3), pp. 23–45. doi: 10.12776/qip.v28i3.2073.</w:t>
      </w:r>
    </w:p>
    <w:p w14:paraId="6CDA7652"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Rabhi, M., Harizi, R.A., Djoual, M.S. and Thamri, A. (2023) ‘Decision-making processes between contextual factors and the structural dimensions of the organization: structural equations modeling analysis’, </w:t>
      </w:r>
      <w:r w:rsidRPr="00FD68C5">
        <w:rPr>
          <w:rFonts w:ascii="Arial" w:hAnsi="Arial" w:cs="Arial"/>
          <w:i/>
          <w:iCs/>
          <w:sz w:val="22"/>
          <w:szCs w:val="22"/>
        </w:rPr>
        <w:t>Economics and Management</w:t>
      </w:r>
      <w:r w:rsidRPr="00FD68C5">
        <w:rPr>
          <w:rFonts w:ascii="Arial" w:hAnsi="Arial" w:cs="Arial"/>
          <w:sz w:val="22"/>
          <w:szCs w:val="22"/>
        </w:rPr>
        <w:t>, 20(1), pp. 43–67. doi: 10.37708/em.swu.v20i1.4.</w:t>
      </w:r>
    </w:p>
    <w:p w14:paraId="13FA083A"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Schein, E.H. and Schein, P.A. (2017) </w:t>
      </w:r>
      <w:r w:rsidRPr="00FD68C5">
        <w:rPr>
          <w:rFonts w:ascii="Arial" w:hAnsi="Arial" w:cs="Arial"/>
          <w:i/>
          <w:iCs/>
          <w:sz w:val="22"/>
          <w:szCs w:val="22"/>
        </w:rPr>
        <w:t>Organizational Culture and Leadership</w:t>
      </w:r>
      <w:r w:rsidRPr="00FD68C5">
        <w:rPr>
          <w:rFonts w:ascii="Arial" w:hAnsi="Arial" w:cs="Arial"/>
          <w:sz w:val="22"/>
          <w:szCs w:val="22"/>
        </w:rPr>
        <w:t>. 5th edn. Hoboken, NJ: Wiley.</w:t>
      </w:r>
    </w:p>
    <w:p w14:paraId="7A1A43DA"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Szukits, Á. and Móricz, P. (2024) ‘Towards data-driven decision making: the role of analytical culture and centralization efforts’, </w:t>
      </w:r>
      <w:r w:rsidRPr="00FD68C5">
        <w:rPr>
          <w:rFonts w:ascii="Arial" w:hAnsi="Arial" w:cs="Arial"/>
          <w:i/>
          <w:iCs/>
          <w:sz w:val="22"/>
          <w:szCs w:val="22"/>
        </w:rPr>
        <w:t>Review of Managerial Science</w:t>
      </w:r>
      <w:r w:rsidRPr="00FD68C5">
        <w:rPr>
          <w:rFonts w:ascii="Arial" w:hAnsi="Arial" w:cs="Arial"/>
          <w:sz w:val="22"/>
          <w:szCs w:val="22"/>
        </w:rPr>
        <w:t>, 18, pp. 2849–2887. doi: 10.1007/s11846-023-00694-1.</w:t>
      </w:r>
    </w:p>
    <w:p w14:paraId="5CA9F788"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Vanichchinchai, A. (2022) ‘The effects of the Toyota Way on agile manufacturing: an empirical analysis’, </w:t>
      </w:r>
      <w:r w:rsidRPr="00FD68C5">
        <w:rPr>
          <w:rFonts w:ascii="Arial" w:hAnsi="Arial" w:cs="Arial"/>
          <w:i/>
          <w:iCs/>
          <w:sz w:val="22"/>
          <w:szCs w:val="22"/>
        </w:rPr>
        <w:t>Journal of Manufacturing Technology Management</w:t>
      </w:r>
      <w:r w:rsidRPr="00FD68C5">
        <w:rPr>
          <w:rFonts w:ascii="Arial" w:hAnsi="Arial" w:cs="Arial"/>
          <w:sz w:val="22"/>
          <w:szCs w:val="22"/>
        </w:rPr>
        <w:t>, 33(8), pp. 1450–1472. doi: 10.1108/JMTM-02-2022-0053.</w:t>
      </w:r>
    </w:p>
    <w:p w14:paraId="7F8A07A0"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Vargas-Halabi, T. and Yagüe-Perales, R.M. (2024) ‘Organizational culture and innovation: exploring the “black box”’, </w:t>
      </w:r>
      <w:r w:rsidRPr="00FD68C5">
        <w:rPr>
          <w:rFonts w:ascii="Arial" w:hAnsi="Arial" w:cs="Arial"/>
          <w:i/>
          <w:iCs/>
          <w:sz w:val="22"/>
          <w:szCs w:val="22"/>
        </w:rPr>
        <w:t>European Journal of Management and Business Economics</w:t>
      </w:r>
      <w:r w:rsidRPr="00FD68C5">
        <w:rPr>
          <w:rFonts w:ascii="Arial" w:hAnsi="Arial" w:cs="Arial"/>
          <w:sz w:val="22"/>
          <w:szCs w:val="22"/>
        </w:rPr>
        <w:t>, 33(2), pp. 174–194. doi: 10.1108/EJMBE-07-2021-0203.</w:t>
      </w:r>
    </w:p>
    <w:p w14:paraId="6D53828D"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Wang, H., Li, J., Han, P. and Ouyang, L. (2025) ‘The effects of differential organizational culture types on firm and individual performance in Eastern and Western cultural countries including China and the United States: a meta-analysis’, </w:t>
      </w:r>
      <w:r w:rsidRPr="00FD68C5">
        <w:rPr>
          <w:rFonts w:ascii="Arial" w:hAnsi="Arial" w:cs="Arial"/>
          <w:i/>
          <w:iCs/>
          <w:sz w:val="22"/>
          <w:szCs w:val="22"/>
        </w:rPr>
        <w:t>Asia Pacific Business Review</w:t>
      </w:r>
      <w:r w:rsidRPr="00FD68C5">
        <w:rPr>
          <w:rFonts w:ascii="Arial" w:hAnsi="Arial" w:cs="Arial"/>
          <w:sz w:val="22"/>
          <w:szCs w:val="22"/>
        </w:rPr>
        <w:t>, 31(4), pp. 721–754. doi: 10.1080/13602381.2023.2255560.</w:t>
      </w:r>
    </w:p>
    <w:p w14:paraId="37C45E20" w14:textId="77777777" w:rsidR="00FD68C5" w:rsidRPr="00FD68C5" w:rsidRDefault="00FD68C5" w:rsidP="00FD68C5">
      <w:pPr>
        <w:spacing w:line="360" w:lineRule="auto"/>
        <w:jc w:val="both"/>
        <w:rPr>
          <w:rFonts w:ascii="Arial" w:hAnsi="Arial" w:cs="Arial"/>
          <w:b/>
          <w:bCs/>
          <w:sz w:val="22"/>
          <w:szCs w:val="22"/>
        </w:rPr>
      </w:pPr>
      <w:r w:rsidRPr="00FD68C5">
        <w:rPr>
          <w:rFonts w:ascii="Arial" w:hAnsi="Arial" w:cs="Arial"/>
          <w:b/>
          <w:bCs/>
          <w:sz w:val="22"/>
          <w:szCs w:val="22"/>
        </w:rPr>
        <w:t>Organisational Sources</w:t>
      </w:r>
    </w:p>
    <w:p w14:paraId="035BB1B1"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(2024) ‘Regarding the correction order issued by the Ministry of Land, Infrastructure, Transport and Tourism’, </w:t>
      </w:r>
      <w:r w:rsidRPr="00FD68C5">
        <w:rPr>
          <w:rFonts w:ascii="Arial" w:hAnsi="Arial" w:cs="Arial"/>
          <w:i/>
          <w:iCs/>
          <w:sz w:val="22"/>
          <w:szCs w:val="22"/>
        </w:rPr>
        <w:t>Toyota Global Newsroom</w:t>
      </w:r>
      <w:r w:rsidRPr="00FD68C5">
        <w:rPr>
          <w:rFonts w:ascii="Arial" w:hAnsi="Arial" w:cs="Arial"/>
          <w:sz w:val="22"/>
          <w:szCs w:val="22"/>
        </w:rPr>
        <w:t>.</w:t>
      </w:r>
    </w:p>
    <w:p w14:paraId="6FBC9263"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(2025a) ‘Toyota announces executive, organisational, and board changes’, </w:t>
      </w:r>
      <w:r w:rsidRPr="00FD68C5">
        <w:rPr>
          <w:rFonts w:ascii="Arial" w:hAnsi="Arial" w:cs="Arial"/>
          <w:i/>
          <w:iCs/>
          <w:sz w:val="22"/>
          <w:szCs w:val="22"/>
        </w:rPr>
        <w:t>Toyota Global Newsroom</w:t>
      </w:r>
      <w:r w:rsidRPr="00FD68C5">
        <w:rPr>
          <w:rFonts w:ascii="Arial" w:hAnsi="Arial" w:cs="Arial"/>
          <w:sz w:val="22"/>
          <w:szCs w:val="22"/>
        </w:rPr>
        <w:t>.</w:t>
      </w:r>
    </w:p>
    <w:p w14:paraId="3048DDEC"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(2025b) ‘Progress report on measures to prevent recurrence of model certification issues’, </w:t>
      </w:r>
      <w:r w:rsidRPr="00FD68C5">
        <w:rPr>
          <w:rFonts w:ascii="Arial" w:hAnsi="Arial" w:cs="Arial"/>
          <w:i/>
          <w:iCs/>
          <w:sz w:val="22"/>
          <w:szCs w:val="22"/>
        </w:rPr>
        <w:t>Toyota Global Newsroom</w:t>
      </w:r>
      <w:r w:rsidRPr="00FD68C5">
        <w:rPr>
          <w:rFonts w:ascii="Arial" w:hAnsi="Arial" w:cs="Arial"/>
          <w:sz w:val="22"/>
          <w:szCs w:val="22"/>
        </w:rPr>
        <w:t>.</w:t>
      </w:r>
    </w:p>
    <w:p w14:paraId="7676673F"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(2025c) ‘Five Toyota Group companies to accelerate skill development and innovation in AI and software’, </w:t>
      </w:r>
      <w:r w:rsidRPr="00FD68C5">
        <w:rPr>
          <w:rFonts w:ascii="Arial" w:hAnsi="Arial" w:cs="Arial"/>
          <w:i/>
          <w:iCs/>
          <w:sz w:val="22"/>
          <w:szCs w:val="22"/>
        </w:rPr>
        <w:t>Toyota Global Newsroom</w:t>
      </w:r>
      <w:r w:rsidRPr="00FD68C5">
        <w:rPr>
          <w:rFonts w:ascii="Arial" w:hAnsi="Arial" w:cs="Arial"/>
          <w:sz w:val="22"/>
          <w:szCs w:val="22"/>
        </w:rPr>
        <w:t>.</w:t>
      </w:r>
    </w:p>
    <w:p w14:paraId="3763C4CA"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lastRenderedPageBreak/>
        <w:t xml:space="preserve">Toyota Motor Corporation (2025d) ‘Toyota to form comprehensive partnership on carbon neutrality with Shanghai and establish a company to develop and produce BEVs and batteries’, </w:t>
      </w:r>
      <w:r w:rsidRPr="00FD68C5">
        <w:rPr>
          <w:rFonts w:ascii="Arial" w:hAnsi="Arial" w:cs="Arial"/>
          <w:i/>
          <w:iCs/>
          <w:sz w:val="22"/>
          <w:szCs w:val="22"/>
        </w:rPr>
        <w:t>Toyota Global Newsroom</w:t>
      </w:r>
      <w:r w:rsidRPr="00FD68C5">
        <w:rPr>
          <w:rFonts w:ascii="Arial" w:hAnsi="Arial" w:cs="Arial"/>
          <w:sz w:val="22"/>
          <w:szCs w:val="22"/>
        </w:rPr>
        <w:t>.</w:t>
      </w:r>
    </w:p>
    <w:p w14:paraId="09813840"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(2025e) ‘Toyota submits fourth progress report on measures to prevent recurrence’, </w:t>
      </w:r>
      <w:r w:rsidRPr="00FD68C5">
        <w:rPr>
          <w:rFonts w:ascii="Arial" w:hAnsi="Arial" w:cs="Arial"/>
          <w:i/>
          <w:iCs/>
          <w:sz w:val="22"/>
          <w:szCs w:val="22"/>
        </w:rPr>
        <w:t>Toyota Global Newsroom</w:t>
      </w:r>
      <w:r w:rsidRPr="00FD68C5">
        <w:rPr>
          <w:rFonts w:ascii="Arial" w:hAnsi="Arial" w:cs="Arial"/>
          <w:sz w:val="22"/>
          <w:szCs w:val="22"/>
        </w:rPr>
        <w:t>.</w:t>
      </w:r>
    </w:p>
    <w:p w14:paraId="3D57B1F0" w14:textId="77777777" w:rsidR="00FD68C5" w:rsidRPr="00FD68C5" w:rsidRDefault="00FD68C5" w:rsidP="00FD68C5">
      <w:pPr>
        <w:spacing w:line="360" w:lineRule="auto"/>
        <w:jc w:val="both"/>
        <w:rPr>
          <w:rFonts w:ascii="Arial" w:hAnsi="Arial" w:cs="Arial"/>
          <w:sz w:val="22"/>
          <w:szCs w:val="22"/>
        </w:rPr>
      </w:pPr>
      <w:r w:rsidRPr="00FD68C5">
        <w:rPr>
          <w:rFonts w:ascii="Arial" w:hAnsi="Arial" w:cs="Arial"/>
          <w:sz w:val="22"/>
          <w:szCs w:val="22"/>
        </w:rPr>
        <w:t xml:space="preserve">Toyota Motor Corporation (2026) </w:t>
      </w:r>
      <w:r w:rsidRPr="00FD68C5">
        <w:rPr>
          <w:rFonts w:ascii="Arial" w:hAnsi="Arial" w:cs="Arial"/>
          <w:i/>
          <w:iCs/>
          <w:sz w:val="22"/>
          <w:szCs w:val="22"/>
        </w:rPr>
        <w:t>Integrated Report 2025</w:t>
      </w:r>
      <w:r w:rsidRPr="00FD68C5">
        <w:rPr>
          <w:rFonts w:ascii="Arial" w:hAnsi="Arial" w:cs="Arial"/>
          <w:sz w:val="22"/>
          <w:szCs w:val="22"/>
        </w:rPr>
        <w:t>. Toyota Motor Corporation.</w:t>
      </w:r>
    </w:p>
    <w:p w14:paraId="72750C94" w14:textId="77777777" w:rsidR="00F7624A" w:rsidRPr="006E795F" w:rsidRDefault="00F7624A" w:rsidP="006E795F">
      <w:pPr>
        <w:spacing w:line="360" w:lineRule="auto"/>
        <w:jc w:val="both"/>
        <w:rPr>
          <w:rFonts w:ascii="Arial" w:hAnsi="Arial" w:cs="Arial"/>
          <w:sz w:val="22"/>
          <w:szCs w:val="22"/>
        </w:rPr>
      </w:pPr>
    </w:p>
    <w:sectPr w:rsidR="00F7624A" w:rsidRPr="006E7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10B"/>
    <w:rsid w:val="00292CB4"/>
    <w:rsid w:val="00466B64"/>
    <w:rsid w:val="006E795F"/>
    <w:rsid w:val="00A86626"/>
    <w:rsid w:val="00CE7F19"/>
    <w:rsid w:val="00D4610B"/>
    <w:rsid w:val="00F34988"/>
    <w:rsid w:val="00F7624A"/>
    <w:rsid w:val="00FD6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03F8"/>
  <w15:chartTrackingRefBased/>
  <w15:docId w15:val="{CB043EF8-2CD8-4DFF-BEAE-F7DD460F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6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1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1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1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1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1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1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1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1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61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1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1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1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10B"/>
    <w:rPr>
      <w:rFonts w:eastAsiaTheme="majorEastAsia" w:cstheme="majorBidi"/>
      <w:color w:val="272727" w:themeColor="text1" w:themeTint="D8"/>
    </w:rPr>
  </w:style>
  <w:style w:type="paragraph" w:styleId="Title">
    <w:name w:val="Title"/>
    <w:basedOn w:val="Normal"/>
    <w:next w:val="Normal"/>
    <w:link w:val="TitleChar"/>
    <w:uiPriority w:val="10"/>
    <w:qFormat/>
    <w:rsid w:val="00D46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1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10B"/>
    <w:pPr>
      <w:spacing w:before="160"/>
      <w:jc w:val="center"/>
    </w:pPr>
    <w:rPr>
      <w:i/>
      <w:iCs/>
      <w:color w:val="404040" w:themeColor="text1" w:themeTint="BF"/>
    </w:rPr>
  </w:style>
  <w:style w:type="character" w:customStyle="1" w:styleId="QuoteChar">
    <w:name w:val="Quote Char"/>
    <w:basedOn w:val="DefaultParagraphFont"/>
    <w:link w:val="Quote"/>
    <w:uiPriority w:val="29"/>
    <w:rsid w:val="00D4610B"/>
    <w:rPr>
      <w:i/>
      <w:iCs/>
      <w:color w:val="404040" w:themeColor="text1" w:themeTint="BF"/>
    </w:rPr>
  </w:style>
  <w:style w:type="paragraph" w:styleId="ListParagraph">
    <w:name w:val="List Paragraph"/>
    <w:basedOn w:val="Normal"/>
    <w:uiPriority w:val="34"/>
    <w:qFormat/>
    <w:rsid w:val="00D4610B"/>
    <w:pPr>
      <w:ind w:left="720"/>
      <w:contextualSpacing/>
    </w:pPr>
  </w:style>
  <w:style w:type="character" w:styleId="IntenseEmphasis">
    <w:name w:val="Intense Emphasis"/>
    <w:basedOn w:val="DefaultParagraphFont"/>
    <w:uiPriority w:val="21"/>
    <w:qFormat/>
    <w:rsid w:val="00D4610B"/>
    <w:rPr>
      <w:i/>
      <w:iCs/>
      <w:color w:val="0F4761" w:themeColor="accent1" w:themeShade="BF"/>
    </w:rPr>
  </w:style>
  <w:style w:type="paragraph" w:styleId="IntenseQuote">
    <w:name w:val="Intense Quote"/>
    <w:basedOn w:val="Normal"/>
    <w:next w:val="Normal"/>
    <w:link w:val="IntenseQuoteChar"/>
    <w:uiPriority w:val="30"/>
    <w:qFormat/>
    <w:rsid w:val="00D46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610B"/>
    <w:rPr>
      <w:i/>
      <w:iCs/>
      <w:color w:val="0F4761" w:themeColor="accent1" w:themeShade="BF"/>
    </w:rPr>
  </w:style>
  <w:style w:type="character" w:styleId="IntenseReference">
    <w:name w:val="Intense Reference"/>
    <w:basedOn w:val="DefaultParagraphFont"/>
    <w:uiPriority w:val="32"/>
    <w:qFormat/>
    <w:rsid w:val="00D461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446</TotalTime>
  <Pages>15</Pages>
  <Words>4734</Words>
  <Characters>26985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Latif Beauty</dc:creator>
  <cp:keywords/>
  <dc:description/>
  <cp:lastModifiedBy>Latif Beauty</cp:lastModifiedBy>
  <cp:revision>3</cp:revision>
  <dcterms:created xsi:type="dcterms:W3CDTF">2026-08-18T16:04:00Z</dcterms:created>
  <dcterms:modified xsi:type="dcterms:W3CDTF">2026-08-18T23:29:00Z</dcterms:modified>
</cp:coreProperties>
</file>