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inorHAnsi" w:hAnsi="Arial" w:cs="Arial"/>
          <w:kern w:val="2"/>
          <w:sz w:val="24"/>
          <w:szCs w:val="24"/>
          <w:lang w:val="en-GB"/>
        </w:rPr>
        <w:id w:val="1326702546"/>
        <w:docPartObj>
          <w:docPartGallery w:val="Cover Pages"/>
          <w:docPartUnique/>
        </w:docPartObj>
      </w:sdtPr>
      <w:sdtContent>
        <w:p w:rsidR="00C92401" w:rsidRPr="006029DC" w:rsidRDefault="00C92401" w:rsidP="006029DC">
          <w:pPr>
            <w:pStyle w:val="NoSpacing"/>
            <w:spacing w:line="360" w:lineRule="auto"/>
            <w:jc w:val="both"/>
            <w:rPr>
              <w:rFonts w:ascii="Arial" w:hAnsi="Arial" w:cs="Arial"/>
              <w:sz w:val="24"/>
              <w:szCs w:val="24"/>
            </w:rPr>
          </w:pPr>
        </w:p>
        <w:p w:rsidR="00C92401" w:rsidRPr="006029DC" w:rsidRDefault="00F028B9" w:rsidP="006029DC">
          <w:pPr>
            <w:spacing w:line="360" w:lineRule="auto"/>
            <w:jc w:val="both"/>
            <w:rPr>
              <w:rFonts w:ascii="Arial" w:hAnsi="Arial" w:cs="Arial"/>
              <w:sz w:val="24"/>
              <w:szCs w:val="24"/>
            </w:rPr>
          </w:pPr>
          <w:r w:rsidRPr="00F028B9">
            <w:rPr>
              <w:rFonts w:ascii="Arial" w:hAnsi="Arial" w:cs="Arial"/>
              <w:noProof/>
              <w:color w:val="4472C4" w:themeColor="accent1"/>
              <w:sz w:val="24"/>
              <w:szCs w:val="24"/>
            </w:rPr>
            <w:pict>
              <v:group id="Group 2" o:spid="_x0000_s1026" style="position:absolute;left:0;text-align:left;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rsidR="00C92401" w:rsidRPr="006029DC" w:rsidRDefault="00F028B9" w:rsidP="006029DC">
          <w:pPr>
            <w:spacing w:line="360" w:lineRule="auto"/>
            <w:jc w:val="both"/>
            <w:rPr>
              <w:rFonts w:ascii="Arial" w:hAnsi="Arial" w:cs="Arial"/>
              <w:sz w:val="24"/>
              <w:szCs w:val="24"/>
            </w:rPr>
          </w:pPr>
          <w:r w:rsidRPr="00F028B9">
            <w:rPr>
              <w:rFonts w:ascii="Arial" w:hAnsi="Arial" w:cs="Arial"/>
              <w:noProof/>
              <w:sz w:val="24"/>
              <w:szCs w:val="24"/>
            </w:rPr>
            <w:pict>
              <v:shapetype id="_x0000_t202" coordsize="21600,21600" o:spt="202" path="m,l,21600r21600,l21600,xe">
                <v:stroke joinstyle="miter"/>
                <v:path gradientshapeok="t" o:connecttype="rect"/>
              </v:shapetype>
              <v:shape id="Text Box 62" o:spid="_x0000_s1033" type="#_x0000_t202" style="position:absolute;left:0;text-align:left;margin-left:3412.8pt;margin-top:149.25pt;width:468pt;height:1in;z-index:251661312;visibility:visible;mso-width-percent:765;mso-position-horizontal:right;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" filled="f" stroked="f" strokeweight=".5pt">
                <v:textbox style="mso-next-textbox:#Text Box 62;mso-fit-shape-to-text:t">
                  <w:txbxContent>
                    <w:sdt>
                      <w:sdtPr>
                        <w:rPr>
                          <w:rFonts w:eastAsiaTheme="minorHAnsi"/>
                          <w:b/>
                          <w:kern w:val="2"/>
                          <w:sz w:val="48"/>
                          <w:szCs w:val="48"/>
                          <w:lang w:val="en-GB"/>
                        </w:rPr>
                        <w:alias w:val="Title"/>
                        <w:tag w:val=""/>
                        <w:id w:val="449803528"/>
                        <w:dataBinding w:prefixMappings="xmlns:ns0='http://purl.org/dc/elements/1.1/' xmlns:ns1='http://schemas.openxmlformats.org/package/2006/metadata/core-properties' " w:xpath="/ns1:coreProperties[1]/ns0:title[1]" w:storeItemID="{6C3C8BC8-F283-45AE-878A-BAB7291924A1}"/>
                        <w:text/>
                      </w:sdtPr>
                      <w:sdtContent>
                        <w:p w:rsidR="00C92401" w:rsidRPr="00C92401" w:rsidRDefault="006B1BAF" w:rsidP="006B1BAF">
                          <w:pPr>
                            <w:pStyle w:val="NoSpacing"/>
                            <w:jc w:val="center"/>
                            <w:rPr>
                              <w:rFonts w:ascii="Arial" w:eastAsiaTheme="majorEastAsia" w:hAnsi="Arial" w:cs="Arial"/>
                              <w:caps/>
                              <w:color w:val="8496B0" w:themeColor="text2" w:themeTint="99"/>
                              <w:sz w:val="52"/>
                              <w:szCs w:val="52"/>
                            </w:rPr>
                          </w:pPr>
                          <w:r w:rsidRPr="006B1BAF">
                            <w:rPr>
                              <w:rFonts w:eastAsiaTheme="minorHAnsi"/>
                              <w:b/>
                              <w:kern w:val="2"/>
                              <w:sz w:val="48"/>
                              <w:szCs w:val="48"/>
                              <w:lang w:val="en-GB"/>
                            </w:rPr>
                            <w:t>Business Report -</w:t>
                          </w:r>
                          <w:r>
                            <w:rPr>
                              <w:rFonts w:eastAsiaTheme="minorHAnsi"/>
                              <w:b/>
                              <w:kern w:val="2"/>
                              <w:sz w:val="48"/>
                              <w:szCs w:val="48"/>
                              <w:lang w:val="en-GB"/>
                            </w:rPr>
                            <w:t xml:space="preserve"> </w:t>
                          </w:r>
                          <w:r w:rsidRPr="006B1BAF">
                            <w:rPr>
                              <w:rFonts w:eastAsiaTheme="minorHAnsi"/>
                              <w:b/>
                              <w:kern w:val="2"/>
                              <w:sz w:val="48"/>
                              <w:szCs w:val="48"/>
                              <w:lang w:val="en-GB"/>
                            </w:rPr>
                            <w:t>Comparison of Two</w:t>
                          </w:r>
                          <w:r>
                            <w:rPr>
                              <w:rFonts w:eastAsiaTheme="minorHAnsi"/>
                              <w:b/>
                              <w:kern w:val="2"/>
                              <w:sz w:val="48"/>
                              <w:szCs w:val="48"/>
                              <w:lang w:val="en-GB"/>
                            </w:rPr>
                            <w:t xml:space="preserve"> </w:t>
                          </w:r>
                          <w:r w:rsidRPr="006B1BAF">
                            <w:rPr>
                              <w:rFonts w:eastAsiaTheme="minorHAnsi"/>
                              <w:b/>
                              <w:kern w:val="2"/>
                              <w:sz w:val="48"/>
                              <w:szCs w:val="48"/>
                              <w:lang w:val="en-GB"/>
                            </w:rPr>
                            <w:t>Hospitality Organisations</w:t>
                          </w:r>
                        </w:p>
                      </w:sdtContent>
                    </w:sdt>
                    <w:p w:rsidR="00C92401" w:rsidRDefault="00F028B9">
                      <w:pPr>
                        <w:pStyle w:val="NoSpacing"/>
                        <w:spacing w:before="120"/>
                        <w:rPr>
                          <w:color w:val="4472C4" w:themeColor="accent1"/>
                          <w:sz w:val="36"/>
                          <w:szCs w:val="36"/>
                        </w:rPr>
                      </w:pPr>
                      <w:sdt>
                        <w:sdtPr>
                          <w:rPr>
                            <w:color w:val="4472C4" w:themeColor="accent1"/>
                            <w:sz w:val="36"/>
                            <w:szCs w:val="36"/>
                          </w:rPr>
                          <w:alias w:val="Subtitle"/>
                          <w:tag w:val=""/>
                          <w:id w:val="449803529"/>
                          <w:showingPlcHdr/>
                          <w:dataBinding w:prefixMappings="xmlns:ns0='http://purl.org/dc/elements/1.1/' xmlns:ns1='http://schemas.openxmlformats.org/package/2006/metadata/core-properties' " w:xpath="/ns1:coreProperties[1]/ns0:subject[1]" w:storeItemID="{6C3C8BC8-F283-45AE-878A-BAB7291924A1}"/>
                          <w:text/>
                        </w:sdtPr>
                        <w:sdtContent>
                          <w:r w:rsidR="00CF12B9">
                            <w:rPr>
                              <w:color w:val="4472C4" w:themeColor="accent1"/>
                              <w:sz w:val="36"/>
                              <w:szCs w:val="36"/>
                            </w:rPr>
                            <w:t xml:space="preserve">     </w:t>
                          </w:r>
                        </w:sdtContent>
                      </w:sdt>
                    </w:p>
                    <w:p w:rsidR="00C92401" w:rsidRDefault="00C92401"/>
                  </w:txbxContent>
                </v:textbox>
                <w10:wrap anchorx="margin" anchory="margin"/>
              </v:shape>
            </w:pict>
          </w:r>
          <w:r w:rsidRPr="00F028B9">
            <w:rPr>
              <w:rFonts w:ascii="Arial" w:hAnsi="Arial" w:cs="Arial"/>
              <w:noProof/>
              <w:sz w:val="24"/>
              <w:szCs w:val="24"/>
            </w:rPr>
            <w:pict>
              <v:shape id="Text Box 69" o:spid="_x0000_s1032" type="#_x0000_t202" style="position:absolute;left:0;text-align:left;margin-left:70.35pt;margin-top:591.9pt;width:450.4pt;height:105.45pt;z-index:251659264;visibility:visible;mso-position-horizontal-relative:page;mso-position-vertical-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" filled="f" stroked="f" strokeweight=".5pt">
                <v:textbox style="mso-next-textbox:#Text Box 69" inset="0,0,0,0">
                  <w:txbxContent>
                    <w:p w:rsidR="00C92401" w:rsidRDefault="00F028B9">
                      <w:pPr>
                        <w:pStyle w:val="NoSpacing"/>
                        <w:jc w:val="right"/>
                        <w:rPr>
                          <w:color w:val="4472C4" w:themeColor="accent1"/>
                          <w:sz w:val="36"/>
                          <w:szCs w:val="36"/>
                        </w:rPr>
                      </w:pPr>
                      <w:sdt>
                        <w:sdtPr>
                          <w:rPr>
                            <w:color w:val="4472C4" w:themeColor="accent1"/>
                            <w:sz w:val="36"/>
                            <w:szCs w:val="36"/>
                          </w:rPr>
                          <w:alias w:val="School"/>
                          <w:tag w:val="School"/>
                          <w:id w:val="449803530"/>
                          <w:showingPlcHdr/>
                          <w:dataBinding w:prefixMappings="xmlns:ns0='http://schemas.openxmlformats.org/officeDocument/2006/extended-properties' " w:xpath="/ns0:Properties[1]/ns0:Company[1]" w:storeItemID="{6668398D-A668-4E3E-A5EB-62B293D839F1}"/>
                          <w:text/>
                        </w:sdtPr>
                        <w:sdtContent>
                          <w:r w:rsidR="00CF12B9">
                            <w:rPr>
                              <w:color w:val="4472C4" w:themeColor="accent1"/>
                              <w:sz w:val="36"/>
                              <w:szCs w:val="36"/>
                            </w:rPr>
                            <w:t xml:space="preserve">     </w:t>
                          </w:r>
                        </w:sdtContent>
                      </w:sdt>
                    </w:p>
                    <w:sdt>
                      <w:sdtPr>
                        <w:alias w:val="Course"/>
                        <w:tag w:val="Course"/>
                        <w:id w:val="449803531"/>
                        <w:dataBinding w:prefixMappings="xmlns:ns0='http://purl.org/dc/elements/1.1/' xmlns:ns1='http://schemas.openxmlformats.org/package/2006/metadata/core-properties' " w:xpath="/ns1:coreProperties[1]/ns1:category[1]" w:storeItemID="{6C3C8BC8-F283-45AE-878A-BAB7291924A1}"/>
                        <w:text/>
                      </w:sdtPr>
                      <w:sdtContent>
                        <w:p w:rsidR="00C92401" w:rsidRPr="0000555F" w:rsidRDefault="006B1BAF" w:rsidP="0000555F">
                          <w:pPr>
                            <w:pStyle w:val="NoSpacing"/>
                            <w:rPr>
                              <w:color w:val="4472C4" w:themeColor="accent1"/>
                              <w:sz w:val="36"/>
                              <w:szCs w:val="36"/>
                            </w:rPr>
                          </w:pPr>
                          <w:r>
                            <w:t>Financial Management for the Hotel Industry BMIH5007</w:t>
                          </w:r>
                          <w:r w:rsidRPr="00AA7A9F">
                            <w:t xml:space="preserve">                                              </w:t>
                          </w:r>
                          <w:r>
                            <w:t xml:space="preserve">                      </w:t>
                          </w:r>
                          <w:r w:rsidRPr="00AA7A9F">
                            <w:t xml:space="preserve"> </w:t>
                          </w:r>
                          <w:r>
                            <w:t xml:space="preserve">     Lecturer: Tristan Hawkins      </w:t>
                          </w:r>
                          <w:r w:rsidRPr="00AA7A9F">
                            <w:t xml:space="preserve">                                                                                                   </w:t>
                          </w:r>
                          <w:r>
                            <w:t xml:space="preserve">           </w:t>
                          </w:r>
                          <w:r w:rsidRPr="00AA7A9F">
                            <w:t xml:space="preserve">          Student name: </w:t>
                          </w:r>
                          <w:proofErr w:type="spellStart"/>
                          <w:r w:rsidRPr="00AA7A9F">
                            <w:t>Razvan</w:t>
                          </w:r>
                          <w:proofErr w:type="spellEnd"/>
                          <w:r w:rsidRPr="00AA7A9F">
                            <w:t xml:space="preserve"> </w:t>
                          </w:r>
                          <w:proofErr w:type="spellStart"/>
                          <w:r w:rsidRPr="00AA7A9F">
                            <w:t>Cristian</w:t>
                          </w:r>
                          <w:proofErr w:type="spellEnd"/>
                          <w:r w:rsidRPr="00AA7A9F">
                            <w:t xml:space="preserve"> </w:t>
                          </w:r>
                          <w:proofErr w:type="spellStart"/>
                          <w:r w:rsidRPr="00AA7A9F">
                            <w:t>Nicolae</w:t>
                          </w:r>
                          <w:proofErr w:type="spellEnd"/>
                          <w:r w:rsidRPr="00AA7A9F">
                            <w:t xml:space="preserve">                                                                 </w:t>
                          </w:r>
                          <w:r>
                            <w:t xml:space="preserve">                         </w:t>
                          </w:r>
                          <w:r w:rsidRPr="00AA7A9F">
                            <w:t xml:space="preserve">        Student ID: 2222787</w:t>
                          </w:r>
                        </w:p>
                      </w:sdtContent>
                    </w:sdt>
                  </w:txbxContent>
                </v:textbox>
                <w10:wrap anchorx="page" anchory="margin"/>
              </v:shape>
            </w:pict>
          </w:r>
          <w:r w:rsidR="00C92401" w:rsidRPr="006029DC">
            <w:rPr>
              <w:rFonts w:ascii="Arial" w:hAnsi="Arial" w:cs="Arial"/>
              <w:sz w:val="24"/>
              <w:szCs w:val="24"/>
            </w:rPr>
            <w:br w:type="page"/>
          </w:r>
        </w:p>
        <w:p w:rsidR="00B22749" w:rsidRPr="006029DC" w:rsidRDefault="00B22749" w:rsidP="006029DC">
          <w:pPr>
            <w:spacing w:line="360" w:lineRule="auto"/>
            <w:jc w:val="both"/>
            <w:rPr>
              <w:rFonts w:ascii="Arial" w:hAnsi="Arial" w:cs="Arial"/>
              <w:sz w:val="24"/>
              <w:szCs w:val="24"/>
            </w:rPr>
          </w:pPr>
          <w:r w:rsidRPr="006029DC">
            <w:rPr>
              <w:rFonts w:ascii="Arial" w:hAnsi="Arial" w:cs="Arial"/>
              <w:sz w:val="24"/>
              <w:szCs w:val="24"/>
            </w:rPr>
            <w:lastRenderedPageBreak/>
            <w:t>Acknowledgement for the use of AI</w:t>
          </w:r>
        </w:p>
        <w:p w:rsidR="008B5222" w:rsidRPr="006029DC" w:rsidRDefault="008B5222" w:rsidP="006029DC">
          <w:pPr>
            <w:spacing w:line="360" w:lineRule="auto"/>
            <w:jc w:val="both"/>
            <w:rPr>
              <w:rFonts w:ascii="Arial" w:hAnsi="Arial" w:cs="Arial"/>
              <w:sz w:val="24"/>
              <w:szCs w:val="24"/>
            </w:rPr>
          </w:pPr>
        </w:p>
        <w:p w:rsidR="008B5222" w:rsidRPr="006029DC" w:rsidRDefault="008B5222" w:rsidP="006029DC">
          <w:pPr>
            <w:spacing w:line="360" w:lineRule="auto"/>
            <w:jc w:val="both"/>
            <w:rPr>
              <w:rFonts w:ascii="Arial" w:hAnsi="Arial" w:cs="Arial"/>
              <w:sz w:val="24"/>
              <w:szCs w:val="24"/>
            </w:rPr>
          </w:pPr>
        </w:p>
        <w:p w:rsidR="00B22749" w:rsidRPr="006029DC" w:rsidRDefault="00B22749" w:rsidP="006029DC">
          <w:pPr>
            <w:spacing w:line="360" w:lineRule="auto"/>
            <w:jc w:val="both"/>
            <w:rPr>
              <w:rFonts w:ascii="Arial" w:hAnsi="Arial" w:cs="Arial"/>
              <w:sz w:val="24"/>
              <w:szCs w:val="24"/>
            </w:rPr>
          </w:pPr>
          <w:r w:rsidRPr="006029DC">
            <w:rPr>
              <w:rFonts w:ascii="Arial" w:hAnsi="Arial" w:cs="Arial"/>
              <w:sz w:val="24"/>
              <w:szCs w:val="24"/>
            </w:rPr>
            <w:t>I acknowledge the use of Gemini (https://gemini.google.com/</w:t>
          </w:r>
          <w:r w:rsidR="00E016A2" w:rsidRPr="006029DC">
            <w:rPr>
              <w:rFonts w:ascii="Arial" w:hAnsi="Arial" w:cs="Arial"/>
              <w:sz w:val="24"/>
              <w:szCs w:val="24"/>
            </w:rPr>
            <w:t xml:space="preserve">) on 15-16.October 2024 to make a simple structure </w:t>
          </w:r>
          <w:r w:rsidRPr="006029DC">
            <w:rPr>
              <w:rFonts w:ascii="Arial" w:hAnsi="Arial" w:cs="Arial"/>
              <w:sz w:val="24"/>
              <w:szCs w:val="24"/>
            </w:rPr>
            <w:t>using the prompt(s):</w:t>
          </w:r>
        </w:p>
        <w:p w:rsidR="00B22749" w:rsidRPr="006029DC" w:rsidRDefault="00B22749" w:rsidP="006029DC">
          <w:pPr>
            <w:pStyle w:val="ListParagraph"/>
            <w:numPr>
              <w:ilvl w:val="0"/>
              <w:numId w:val="1"/>
            </w:numPr>
            <w:spacing w:line="360" w:lineRule="auto"/>
            <w:jc w:val="both"/>
            <w:rPr>
              <w:rFonts w:ascii="Arial" w:hAnsi="Arial" w:cs="Arial"/>
              <w:sz w:val="24"/>
              <w:szCs w:val="24"/>
            </w:rPr>
          </w:pPr>
          <w:r w:rsidRPr="006029DC">
            <w:rPr>
              <w:rFonts w:ascii="Arial" w:hAnsi="Arial" w:cs="Arial"/>
              <w:sz w:val="24"/>
              <w:szCs w:val="24"/>
            </w:rPr>
            <w:t>Please create a structure for my report.</w:t>
          </w:r>
        </w:p>
        <w:p w:rsidR="00B22749" w:rsidRPr="006029DC" w:rsidRDefault="00B22749" w:rsidP="006029DC">
          <w:pPr>
            <w:pStyle w:val="ListParagraph"/>
            <w:numPr>
              <w:ilvl w:val="0"/>
              <w:numId w:val="1"/>
            </w:numPr>
            <w:spacing w:line="360" w:lineRule="auto"/>
            <w:jc w:val="both"/>
            <w:rPr>
              <w:rFonts w:ascii="Arial" w:hAnsi="Arial" w:cs="Arial"/>
              <w:sz w:val="24"/>
              <w:szCs w:val="24"/>
            </w:rPr>
          </w:pPr>
          <w:r w:rsidRPr="006029DC">
            <w:rPr>
              <w:rFonts w:ascii="Arial" w:hAnsi="Arial" w:cs="Arial"/>
              <w:sz w:val="24"/>
              <w:szCs w:val="24"/>
            </w:rPr>
            <w:t>Please recreate a structure more simple.</w:t>
          </w:r>
        </w:p>
        <w:p w:rsidR="00B22749" w:rsidRPr="006029DC" w:rsidRDefault="00B22749" w:rsidP="006029DC">
          <w:pPr>
            <w:pStyle w:val="ListParagraph"/>
            <w:spacing w:line="360" w:lineRule="auto"/>
            <w:jc w:val="both"/>
            <w:rPr>
              <w:rFonts w:ascii="Arial" w:hAnsi="Arial" w:cs="Arial"/>
              <w:sz w:val="24"/>
              <w:szCs w:val="24"/>
            </w:rPr>
          </w:pPr>
        </w:p>
        <w:p w:rsidR="00B22749" w:rsidRPr="006029DC" w:rsidRDefault="00B22749" w:rsidP="006029DC">
          <w:pPr>
            <w:spacing w:line="360" w:lineRule="auto"/>
            <w:jc w:val="both"/>
            <w:rPr>
              <w:rFonts w:ascii="Arial" w:hAnsi="Arial" w:cs="Arial"/>
              <w:sz w:val="24"/>
              <w:szCs w:val="24"/>
            </w:rPr>
          </w:pPr>
          <w:r w:rsidRPr="006029DC">
            <w:rPr>
              <w:rFonts w:ascii="Arial" w:hAnsi="Arial" w:cs="Arial"/>
              <w:sz w:val="24"/>
              <w:szCs w:val="24"/>
            </w:rPr>
            <w:t xml:space="preserve">I acknowledge the use of </w:t>
          </w:r>
          <w:proofErr w:type="spellStart"/>
          <w:r w:rsidRPr="006029DC">
            <w:rPr>
              <w:rFonts w:ascii="Arial" w:hAnsi="Arial" w:cs="Arial"/>
              <w:sz w:val="24"/>
              <w:szCs w:val="24"/>
            </w:rPr>
            <w:t>Quillbot</w:t>
          </w:r>
          <w:proofErr w:type="spellEnd"/>
          <w:r w:rsidRPr="006029DC">
            <w:rPr>
              <w:rFonts w:ascii="Arial" w:hAnsi="Arial" w:cs="Arial"/>
              <w:sz w:val="24"/>
              <w:szCs w:val="24"/>
            </w:rPr>
            <w:t xml:space="preserve"> (https://quillbot.com/) on 15-17.October 2024 to check my work.</w:t>
          </w:r>
        </w:p>
        <w:p w:rsidR="00B22749" w:rsidRPr="006029DC" w:rsidRDefault="00B22749" w:rsidP="006029DC">
          <w:pPr>
            <w:spacing w:line="360" w:lineRule="auto"/>
            <w:jc w:val="both"/>
            <w:rPr>
              <w:rFonts w:ascii="Arial" w:hAnsi="Arial" w:cs="Arial"/>
              <w:sz w:val="24"/>
              <w:szCs w:val="24"/>
            </w:rPr>
          </w:pPr>
        </w:p>
        <w:p w:rsidR="00B22749" w:rsidRPr="006029DC" w:rsidRDefault="00B22749" w:rsidP="006029DC">
          <w:pPr>
            <w:spacing w:line="360" w:lineRule="auto"/>
            <w:jc w:val="both"/>
            <w:rPr>
              <w:rFonts w:ascii="Arial" w:hAnsi="Arial" w:cs="Arial"/>
              <w:sz w:val="24"/>
              <w:szCs w:val="24"/>
            </w:rPr>
          </w:pPr>
          <w:r w:rsidRPr="006029DC">
            <w:rPr>
              <w:rFonts w:ascii="Arial" w:hAnsi="Arial" w:cs="Arial"/>
              <w:sz w:val="24"/>
              <w:szCs w:val="24"/>
            </w:rPr>
            <w:t xml:space="preserve">I acknowledge the use of </w:t>
          </w:r>
          <w:proofErr w:type="spellStart"/>
          <w:r w:rsidRPr="006029DC">
            <w:rPr>
              <w:rFonts w:ascii="Arial" w:hAnsi="Arial" w:cs="Arial"/>
              <w:sz w:val="24"/>
              <w:szCs w:val="24"/>
            </w:rPr>
            <w:t>Grammarly</w:t>
          </w:r>
          <w:proofErr w:type="spellEnd"/>
          <w:r w:rsidRPr="006029DC">
            <w:rPr>
              <w:rFonts w:ascii="Arial" w:hAnsi="Arial" w:cs="Arial"/>
              <w:sz w:val="24"/>
              <w:szCs w:val="24"/>
            </w:rPr>
            <w:t xml:space="preserve"> (h</w:t>
          </w:r>
          <w:r w:rsidR="00D46A11" w:rsidRPr="006029DC">
            <w:rPr>
              <w:rFonts w:ascii="Arial" w:hAnsi="Arial" w:cs="Arial"/>
              <w:sz w:val="24"/>
              <w:szCs w:val="24"/>
            </w:rPr>
            <w:t>ttps://www.grammarly.com/) on 17</w:t>
          </w:r>
          <w:r w:rsidRPr="006029DC">
            <w:rPr>
              <w:rFonts w:ascii="Arial" w:hAnsi="Arial" w:cs="Arial"/>
              <w:sz w:val="24"/>
              <w:szCs w:val="24"/>
            </w:rPr>
            <w:t>.October 2024 to check my work using the prompt(s):</w:t>
          </w:r>
        </w:p>
        <w:p w:rsidR="00B22749" w:rsidRPr="006029DC" w:rsidRDefault="00B22749" w:rsidP="006029DC">
          <w:pPr>
            <w:pStyle w:val="ListParagraph"/>
            <w:numPr>
              <w:ilvl w:val="0"/>
              <w:numId w:val="3"/>
            </w:numPr>
            <w:spacing w:line="360" w:lineRule="auto"/>
            <w:jc w:val="both"/>
            <w:rPr>
              <w:rFonts w:ascii="Arial" w:hAnsi="Arial" w:cs="Arial"/>
              <w:sz w:val="24"/>
              <w:szCs w:val="24"/>
            </w:rPr>
          </w:pPr>
          <w:r w:rsidRPr="006029DC">
            <w:rPr>
              <w:rFonts w:ascii="Arial" w:hAnsi="Arial" w:cs="Arial"/>
              <w:sz w:val="24"/>
              <w:szCs w:val="24"/>
            </w:rPr>
            <w:t xml:space="preserve"> Please correct my grammar. </w:t>
          </w:r>
        </w:p>
        <w:p w:rsidR="00B22749" w:rsidRPr="006029DC" w:rsidRDefault="00B22749" w:rsidP="006029DC">
          <w:pPr>
            <w:pStyle w:val="ListParagraph"/>
            <w:spacing w:line="360" w:lineRule="auto"/>
            <w:ind w:left="786"/>
            <w:jc w:val="both"/>
            <w:rPr>
              <w:rFonts w:ascii="Arial" w:hAnsi="Arial" w:cs="Arial"/>
              <w:sz w:val="24"/>
              <w:szCs w:val="24"/>
            </w:rPr>
          </w:pPr>
        </w:p>
        <w:p w:rsidR="00B22749" w:rsidRPr="006029DC" w:rsidRDefault="00B22749" w:rsidP="006029DC">
          <w:pPr>
            <w:pStyle w:val="ListParagraph"/>
            <w:spacing w:line="360" w:lineRule="auto"/>
            <w:jc w:val="both"/>
            <w:rPr>
              <w:rFonts w:ascii="Arial" w:hAnsi="Arial" w:cs="Arial"/>
              <w:sz w:val="24"/>
              <w:szCs w:val="24"/>
            </w:rPr>
          </w:pPr>
        </w:p>
        <w:p w:rsidR="00B22749" w:rsidRPr="006029DC" w:rsidRDefault="00B22749" w:rsidP="006029DC">
          <w:pPr>
            <w:pStyle w:val="ListParagraph"/>
            <w:spacing w:line="360" w:lineRule="auto"/>
            <w:jc w:val="both"/>
            <w:rPr>
              <w:rFonts w:ascii="Arial" w:hAnsi="Arial" w:cs="Arial"/>
              <w:sz w:val="24"/>
              <w:szCs w:val="24"/>
            </w:rPr>
          </w:pPr>
        </w:p>
        <w:p w:rsidR="00B22749" w:rsidRPr="006029DC" w:rsidRDefault="00B22749" w:rsidP="006029DC">
          <w:pPr>
            <w:spacing w:line="360" w:lineRule="auto"/>
            <w:jc w:val="both"/>
            <w:rPr>
              <w:rFonts w:ascii="Arial" w:hAnsi="Arial" w:cs="Arial"/>
              <w:sz w:val="24"/>
              <w:szCs w:val="24"/>
            </w:rPr>
          </w:pPr>
          <w:r w:rsidRPr="006029D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p>
        <w:p w:rsidR="006029DC" w:rsidRPr="006029DC" w:rsidRDefault="00C16A08" w:rsidP="006029DC">
          <w:pPr>
            <w:spacing w:line="360" w:lineRule="auto"/>
            <w:jc w:val="both"/>
            <w:rPr>
              <w:rFonts w:ascii="Arial" w:hAnsi="Arial" w:cs="Arial"/>
              <w:sz w:val="24"/>
              <w:szCs w:val="24"/>
            </w:rPr>
          </w:pPr>
          <w:r>
            <w:rPr>
              <w:rFonts w:ascii="Arial" w:hAnsi="Arial" w:cs="Arial"/>
              <w:sz w:val="24"/>
              <w:szCs w:val="24"/>
            </w:rPr>
            <w:lastRenderedPageBreak/>
            <w:t>(Words 2168</w:t>
          </w:r>
          <w:r w:rsidR="006029DC" w:rsidRPr="006029DC">
            <w:rPr>
              <w:rFonts w:ascii="Arial" w:hAnsi="Arial" w:cs="Arial"/>
              <w:sz w:val="24"/>
              <w:szCs w:val="24"/>
            </w:rPr>
            <w:t>)</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The hospitality industry is diverse, ranging from luxury hotels catering to high-end guests, such as Shangri-La Hotels, to budget and mid-tier options like Premier Inn, which focus on providing affordable stays for domestic and business guests. These two segments target different customer bases: Shangri-La offers premium experiences with personalized services in prime international locations, while Premier Inn emphasizes comfort and value for money, primarily in the UK and expanding into other markets.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This report aims to compare the financial management strategies of Shangri-La and Premier Inn, focusing on how each company manages revenue generation, market positioning, and long-term growth. The analysis will explore key areas such as total revenue, market position, growth potential, and each organization’s commitment to corporate social responsibility (CSR).</w:t>
          </w:r>
        </w:p>
        <w:tbl>
          <w:tblPr>
            <w:tblStyle w:val="LightGrid-Accent1"/>
            <w:tblpPr w:leftFromText="180" w:rightFromText="180" w:vertAnchor="text" w:horzAnchor="margin" w:tblpXSpec="center" w:tblpY="1445"/>
            <w:tblW w:w="11084" w:type="dxa"/>
            <w:tblLook w:val="04A0"/>
          </w:tblPr>
          <w:tblGrid>
            <w:gridCol w:w="661"/>
            <w:gridCol w:w="1050"/>
            <w:gridCol w:w="1050"/>
            <w:gridCol w:w="1050"/>
            <w:gridCol w:w="1050"/>
            <w:gridCol w:w="1039"/>
            <w:gridCol w:w="1161"/>
            <w:gridCol w:w="894"/>
            <w:gridCol w:w="1006"/>
            <w:gridCol w:w="828"/>
            <w:gridCol w:w="1295"/>
          </w:tblGrid>
          <w:tr w:rsidR="006D67A2" w:rsidRPr="006029DC" w:rsidTr="006D67A2">
            <w:trPr>
              <w:cnfStyle w:val="100000000000"/>
              <w:trHeight w:val="1790"/>
            </w:trPr>
            <w:tc>
              <w:tcPr>
                <w:cnfStyle w:val="001000000000"/>
                <w:tcW w:w="661" w:type="dxa"/>
              </w:tcPr>
              <w:p w:rsidR="006D67A2" w:rsidRPr="006D67A2" w:rsidRDefault="006D67A2" w:rsidP="006D67A2">
                <w:pPr>
                  <w:spacing w:line="360" w:lineRule="auto"/>
                  <w:jc w:val="both"/>
                  <w:rPr>
                    <w:rFonts w:ascii="Arial" w:hAnsi="Arial" w:cs="Arial"/>
                    <w:sz w:val="20"/>
                    <w:szCs w:val="20"/>
                  </w:rPr>
                </w:pPr>
                <w:r w:rsidRPr="006D67A2">
                  <w:rPr>
                    <w:rFonts w:ascii="Arial" w:hAnsi="Arial" w:cs="Arial"/>
                    <w:sz w:val="20"/>
                    <w:szCs w:val="20"/>
                  </w:rPr>
                  <w:t>Year</w:t>
                </w:r>
              </w:p>
            </w:tc>
            <w:tc>
              <w:tcPr>
                <w:tcW w:w="1050"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Revenue</w:t>
                </w:r>
                <w:r w:rsidRPr="006D67A2">
                  <w:rPr>
                    <w:rFonts w:ascii="Arial" w:hAnsi="Arial" w:cs="Arial"/>
                    <w:sz w:val="20"/>
                    <w:szCs w:val="20"/>
                  </w:rPr>
                  <w:br/>
                  <w:t>(GBP, millions)</w:t>
                </w:r>
              </w:p>
            </w:tc>
            <w:tc>
              <w:tcPr>
                <w:tcW w:w="1050"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Rooms</w:t>
                </w:r>
                <w:r w:rsidRPr="006D67A2">
                  <w:rPr>
                    <w:rFonts w:ascii="Arial" w:hAnsi="Arial" w:cs="Arial"/>
                    <w:sz w:val="20"/>
                    <w:szCs w:val="20"/>
                  </w:rPr>
                  <w:br/>
                  <w:t>Revenue</w:t>
                </w:r>
              </w:p>
            </w:tc>
            <w:tc>
              <w:tcPr>
                <w:tcW w:w="1050"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F&amp;B</w:t>
                </w:r>
                <w:r w:rsidRPr="006D67A2">
                  <w:rPr>
                    <w:rFonts w:ascii="Arial" w:hAnsi="Arial" w:cs="Arial"/>
                    <w:sz w:val="20"/>
                    <w:szCs w:val="20"/>
                  </w:rPr>
                  <w:br/>
                  <w:t>Revenue</w:t>
                </w:r>
              </w:p>
            </w:tc>
            <w:tc>
              <w:tcPr>
                <w:tcW w:w="1050"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Other</w:t>
                </w:r>
                <w:r w:rsidRPr="006D67A2">
                  <w:rPr>
                    <w:rFonts w:ascii="Arial" w:hAnsi="Arial" w:cs="Arial"/>
                    <w:sz w:val="20"/>
                    <w:szCs w:val="20"/>
                  </w:rPr>
                  <w:br/>
                  <w:t>Revenue</w:t>
                </w:r>
              </w:p>
            </w:tc>
            <w:tc>
              <w:tcPr>
                <w:tcW w:w="1039" w:type="dxa"/>
              </w:tcPr>
              <w:p w:rsidR="006D67A2" w:rsidRPr="006D67A2" w:rsidRDefault="006D67A2" w:rsidP="006D67A2">
                <w:pPr>
                  <w:spacing w:line="360" w:lineRule="auto"/>
                  <w:jc w:val="both"/>
                  <w:cnfStyle w:val="100000000000"/>
                  <w:rPr>
                    <w:rFonts w:ascii="Arial" w:hAnsi="Arial" w:cs="Arial"/>
                    <w:sz w:val="20"/>
                    <w:szCs w:val="20"/>
                  </w:rPr>
                </w:pPr>
                <w:proofErr w:type="spellStart"/>
                <w:r w:rsidRPr="006D67A2">
                  <w:rPr>
                    <w:rFonts w:ascii="Arial" w:hAnsi="Arial" w:cs="Arial"/>
                    <w:sz w:val="20"/>
                    <w:szCs w:val="20"/>
                  </w:rPr>
                  <w:t>CoGS</w:t>
                </w:r>
                <w:proofErr w:type="spellEnd"/>
                <w:r w:rsidRPr="006D67A2">
                  <w:rPr>
                    <w:rFonts w:ascii="Arial" w:hAnsi="Arial" w:cs="Arial"/>
                    <w:sz w:val="20"/>
                    <w:szCs w:val="20"/>
                  </w:rPr>
                  <w:br/>
                  <w:t>(GBP, millions)</w:t>
                </w:r>
              </w:p>
            </w:tc>
            <w:tc>
              <w:tcPr>
                <w:tcW w:w="1161"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Operating Costs</w:t>
                </w:r>
                <w:r w:rsidRPr="006D67A2">
                  <w:rPr>
                    <w:rFonts w:ascii="Arial" w:hAnsi="Arial" w:cs="Arial"/>
                    <w:sz w:val="20"/>
                    <w:szCs w:val="20"/>
                  </w:rPr>
                  <w:br/>
                  <w:t>(GBP, millions)</w:t>
                </w:r>
              </w:p>
            </w:tc>
            <w:tc>
              <w:tcPr>
                <w:tcW w:w="894"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No. of</w:t>
                </w:r>
                <w:r w:rsidRPr="006D67A2">
                  <w:rPr>
                    <w:rFonts w:ascii="Arial" w:hAnsi="Arial" w:cs="Arial"/>
                    <w:sz w:val="20"/>
                    <w:szCs w:val="20"/>
                  </w:rPr>
                  <w:br/>
                  <w:t>Rooms</w:t>
                </w:r>
              </w:p>
            </w:tc>
            <w:tc>
              <w:tcPr>
                <w:tcW w:w="1006" w:type="dxa"/>
              </w:tcPr>
              <w:p w:rsidR="006D67A2" w:rsidRPr="006D67A2" w:rsidRDefault="006D67A2" w:rsidP="006D67A2">
                <w:pPr>
                  <w:spacing w:line="360" w:lineRule="auto"/>
                  <w:jc w:val="both"/>
                  <w:cnfStyle w:val="100000000000"/>
                  <w:rPr>
                    <w:rFonts w:ascii="Arial" w:hAnsi="Arial" w:cs="Arial"/>
                    <w:sz w:val="20"/>
                    <w:szCs w:val="20"/>
                  </w:rPr>
                </w:pPr>
                <w:proofErr w:type="spellStart"/>
                <w:r w:rsidRPr="006D67A2">
                  <w:rPr>
                    <w:rFonts w:ascii="Arial" w:hAnsi="Arial" w:cs="Arial"/>
                    <w:sz w:val="20"/>
                    <w:szCs w:val="20"/>
                  </w:rPr>
                  <w:t>RevPAR</w:t>
                </w:r>
                <w:proofErr w:type="spellEnd"/>
                <w:r w:rsidRPr="006D67A2">
                  <w:rPr>
                    <w:rFonts w:ascii="Arial" w:hAnsi="Arial" w:cs="Arial"/>
                    <w:sz w:val="20"/>
                    <w:szCs w:val="20"/>
                  </w:rPr>
                  <w:br/>
                  <w:t>(GBP)</w:t>
                </w:r>
              </w:p>
            </w:tc>
            <w:tc>
              <w:tcPr>
                <w:tcW w:w="828"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Room Rate</w:t>
                </w:r>
                <w:r w:rsidRPr="006D67A2">
                  <w:rPr>
                    <w:rFonts w:ascii="Arial" w:hAnsi="Arial" w:cs="Arial"/>
                    <w:sz w:val="20"/>
                    <w:szCs w:val="20"/>
                  </w:rPr>
                  <w:br/>
                  <w:t>(GBP)</w:t>
                </w:r>
              </w:p>
            </w:tc>
            <w:tc>
              <w:tcPr>
                <w:tcW w:w="1295" w:type="dxa"/>
              </w:tcPr>
              <w:p w:rsidR="006D67A2" w:rsidRPr="006D67A2" w:rsidRDefault="006D67A2" w:rsidP="006D67A2">
                <w:pPr>
                  <w:spacing w:line="360" w:lineRule="auto"/>
                  <w:jc w:val="both"/>
                  <w:cnfStyle w:val="100000000000"/>
                  <w:rPr>
                    <w:rFonts w:ascii="Arial" w:hAnsi="Arial" w:cs="Arial"/>
                    <w:sz w:val="20"/>
                    <w:szCs w:val="20"/>
                  </w:rPr>
                </w:pPr>
                <w:r w:rsidRPr="006D67A2">
                  <w:rPr>
                    <w:rFonts w:ascii="Arial" w:hAnsi="Arial" w:cs="Arial"/>
                    <w:sz w:val="20"/>
                    <w:szCs w:val="20"/>
                  </w:rPr>
                  <w:t>Occupancy %</w:t>
                </w:r>
              </w:p>
            </w:tc>
          </w:tr>
          <w:tr w:rsidR="006D67A2" w:rsidRPr="006029DC" w:rsidTr="006D67A2">
            <w:trPr>
              <w:cnfStyle w:val="000000100000"/>
              <w:trHeight w:val="452"/>
            </w:trPr>
            <w:tc>
              <w:tcPr>
                <w:cnfStyle w:val="001000000000"/>
                <w:tcW w:w="661" w:type="dxa"/>
              </w:tcPr>
              <w:p w:rsidR="006D67A2" w:rsidRPr="006D67A2" w:rsidRDefault="006D67A2" w:rsidP="006D67A2">
                <w:pPr>
                  <w:spacing w:line="360" w:lineRule="auto"/>
                  <w:jc w:val="both"/>
                  <w:rPr>
                    <w:rFonts w:ascii="Arial" w:hAnsi="Arial" w:cs="Arial"/>
                    <w:sz w:val="20"/>
                    <w:szCs w:val="20"/>
                  </w:rPr>
                </w:pPr>
                <w:r w:rsidRPr="006D67A2">
                  <w:rPr>
                    <w:rFonts w:ascii="Arial" w:hAnsi="Arial" w:cs="Arial"/>
                    <w:sz w:val="20"/>
                    <w:szCs w:val="20"/>
                  </w:rPr>
                  <w:t>2023</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1734.86</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843.21</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638.85</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78.25</w:t>
                </w:r>
              </w:p>
            </w:tc>
            <w:tc>
              <w:tcPr>
                <w:tcW w:w="1039"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789.83</w:t>
                </w:r>
              </w:p>
            </w:tc>
            <w:tc>
              <w:tcPr>
                <w:tcW w:w="1161"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526.82</w:t>
                </w:r>
              </w:p>
            </w:tc>
            <w:tc>
              <w:tcPr>
                <w:tcW w:w="894"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35135</w:t>
                </w:r>
              </w:p>
            </w:tc>
            <w:tc>
              <w:tcPr>
                <w:tcW w:w="1006"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87.48</w:t>
                </w:r>
              </w:p>
            </w:tc>
            <w:tc>
              <w:tcPr>
                <w:tcW w:w="828"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140.13</w:t>
                </w:r>
              </w:p>
            </w:tc>
            <w:tc>
              <w:tcPr>
                <w:tcW w:w="1295"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62</w:t>
                </w:r>
              </w:p>
            </w:tc>
          </w:tr>
          <w:tr w:rsidR="006D67A2" w:rsidRPr="006029DC" w:rsidTr="006D67A2">
            <w:trPr>
              <w:cnfStyle w:val="000000010000"/>
              <w:trHeight w:val="452"/>
            </w:trPr>
            <w:tc>
              <w:tcPr>
                <w:cnfStyle w:val="001000000000"/>
                <w:tcW w:w="661" w:type="dxa"/>
              </w:tcPr>
              <w:p w:rsidR="006D67A2" w:rsidRPr="006D67A2" w:rsidRDefault="006D67A2" w:rsidP="006D67A2">
                <w:pPr>
                  <w:spacing w:line="360" w:lineRule="auto"/>
                  <w:jc w:val="both"/>
                  <w:rPr>
                    <w:rFonts w:ascii="Arial" w:hAnsi="Arial" w:cs="Arial"/>
                    <w:sz w:val="20"/>
                    <w:szCs w:val="20"/>
                  </w:rPr>
                </w:pPr>
                <w:r w:rsidRPr="006D67A2">
                  <w:rPr>
                    <w:rFonts w:ascii="Arial" w:hAnsi="Arial" w:cs="Arial"/>
                    <w:sz w:val="20"/>
                    <w:szCs w:val="20"/>
                  </w:rPr>
                  <w:t>2022</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1111.20</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473.40</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425.52</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60.12</w:t>
                </w:r>
              </w:p>
            </w:tc>
            <w:tc>
              <w:tcPr>
                <w:tcW w:w="1039"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589.46</w:t>
                </w:r>
              </w:p>
            </w:tc>
            <w:tc>
              <w:tcPr>
                <w:tcW w:w="1161"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400.60</w:t>
                </w:r>
              </w:p>
            </w:tc>
            <w:tc>
              <w:tcPr>
                <w:tcW w:w="894"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35144</w:t>
                </w:r>
              </w:p>
            </w:tc>
            <w:tc>
              <w:tcPr>
                <w:tcW w:w="1006"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48.64</w:t>
                </w:r>
              </w:p>
            </w:tc>
            <w:tc>
              <w:tcPr>
                <w:tcW w:w="828"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117.80</w:t>
                </w:r>
              </w:p>
            </w:tc>
            <w:tc>
              <w:tcPr>
                <w:tcW w:w="1295"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42</w:t>
                </w:r>
              </w:p>
            </w:tc>
          </w:tr>
          <w:tr w:rsidR="006D67A2" w:rsidRPr="006029DC" w:rsidTr="006D67A2">
            <w:trPr>
              <w:cnfStyle w:val="000000100000"/>
              <w:trHeight w:val="452"/>
            </w:trPr>
            <w:tc>
              <w:tcPr>
                <w:cnfStyle w:val="001000000000"/>
                <w:tcW w:w="661" w:type="dxa"/>
              </w:tcPr>
              <w:p w:rsidR="006D67A2" w:rsidRPr="006D67A2" w:rsidRDefault="006D67A2" w:rsidP="006D67A2">
                <w:pPr>
                  <w:spacing w:line="360" w:lineRule="auto"/>
                  <w:jc w:val="both"/>
                  <w:rPr>
                    <w:rFonts w:ascii="Arial" w:hAnsi="Arial" w:cs="Arial"/>
                    <w:sz w:val="20"/>
                    <w:szCs w:val="20"/>
                  </w:rPr>
                </w:pPr>
                <w:r w:rsidRPr="006D67A2">
                  <w:rPr>
                    <w:rFonts w:ascii="Arial" w:hAnsi="Arial" w:cs="Arial"/>
                    <w:sz w:val="20"/>
                    <w:szCs w:val="20"/>
                  </w:rPr>
                  <w:t>2021</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905.93</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330.32</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372.08</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63.66</w:t>
                </w:r>
              </w:p>
            </w:tc>
            <w:tc>
              <w:tcPr>
                <w:tcW w:w="1039"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508.44</w:t>
                </w:r>
              </w:p>
            </w:tc>
            <w:tc>
              <w:tcPr>
                <w:tcW w:w="1161"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329.89</w:t>
                </w:r>
              </w:p>
            </w:tc>
            <w:tc>
              <w:tcPr>
                <w:tcW w:w="894"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35154</w:t>
                </w:r>
              </w:p>
            </w:tc>
            <w:tc>
              <w:tcPr>
                <w:tcW w:w="1006"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37.23</w:t>
                </w:r>
              </w:p>
            </w:tc>
            <w:tc>
              <w:tcPr>
                <w:tcW w:w="828"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94.90</w:t>
                </w:r>
              </w:p>
            </w:tc>
            <w:tc>
              <w:tcPr>
                <w:tcW w:w="1295"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39</w:t>
                </w:r>
              </w:p>
            </w:tc>
          </w:tr>
          <w:tr w:rsidR="006D67A2" w:rsidRPr="006029DC" w:rsidTr="006D67A2">
            <w:trPr>
              <w:cnfStyle w:val="000000010000"/>
              <w:trHeight w:val="452"/>
            </w:trPr>
            <w:tc>
              <w:tcPr>
                <w:cnfStyle w:val="001000000000"/>
                <w:tcW w:w="661" w:type="dxa"/>
              </w:tcPr>
              <w:p w:rsidR="006D67A2" w:rsidRPr="006D67A2" w:rsidRDefault="006D67A2" w:rsidP="006D67A2">
                <w:pPr>
                  <w:spacing w:line="360" w:lineRule="auto"/>
                  <w:jc w:val="both"/>
                  <w:rPr>
                    <w:rFonts w:ascii="Arial" w:hAnsi="Arial" w:cs="Arial"/>
                    <w:sz w:val="20"/>
                    <w:szCs w:val="20"/>
                  </w:rPr>
                </w:pPr>
                <w:r w:rsidRPr="006D67A2">
                  <w:rPr>
                    <w:rFonts w:ascii="Arial" w:hAnsi="Arial" w:cs="Arial"/>
                    <w:sz w:val="20"/>
                    <w:szCs w:val="20"/>
                  </w:rPr>
                  <w:t>2020</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764.72</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496.69</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377.18</w:t>
                </w:r>
              </w:p>
            </w:tc>
            <w:tc>
              <w:tcPr>
                <w:tcW w:w="1050"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64.53</w:t>
                </w:r>
              </w:p>
            </w:tc>
            <w:tc>
              <w:tcPr>
                <w:tcW w:w="1039"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496.69</w:t>
                </w:r>
              </w:p>
            </w:tc>
            <w:tc>
              <w:tcPr>
                <w:tcW w:w="1161"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369.93</w:t>
                </w:r>
              </w:p>
            </w:tc>
            <w:tc>
              <w:tcPr>
                <w:tcW w:w="894"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35154</w:t>
                </w:r>
              </w:p>
            </w:tc>
            <w:tc>
              <w:tcPr>
                <w:tcW w:w="1006"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29.60</w:t>
                </w:r>
              </w:p>
            </w:tc>
            <w:tc>
              <w:tcPr>
                <w:tcW w:w="828"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89.54</w:t>
                </w:r>
              </w:p>
            </w:tc>
            <w:tc>
              <w:tcPr>
                <w:tcW w:w="1295" w:type="dxa"/>
              </w:tcPr>
              <w:p w:rsidR="006D67A2" w:rsidRPr="006D67A2" w:rsidRDefault="006D67A2" w:rsidP="006D67A2">
                <w:pPr>
                  <w:spacing w:line="360" w:lineRule="auto"/>
                  <w:jc w:val="both"/>
                  <w:cnfStyle w:val="000000010000"/>
                  <w:rPr>
                    <w:rFonts w:ascii="Arial" w:hAnsi="Arial" w:cs="Arial"/>
                    <w:sz w:val="20"/>
                    <w:szCs w:val="20"/>
                  </w:rPr>
                </w:pPr>
                <w:r w:rsidRPr="006D67A2">
                  <w:rPr>
                    <w:rFonts w:ascii="Arial" w:hAnsi="Arial" w:cs="Arial"/>
                    <w:sz w:val="20"/>
                    <w:szCs w:val="20"/>
                  </w:rPr>
                  <w:t>33</w:t>
                </w:r>
              </w:p>
            </w:tc>
          </w:tr>
          <w:tr w:rsidR="006D67A2" w:rsidRPr="006029DC" w:rsidTr="006D67A2">
            <w:trPr>
              <w:cnfStyle w:val="000000100000"/>
              <w:trHeight w:val="452"/>
            </w:trPr>
            <w:tc>
              <w:tcPr>
                <w:cnfStyle w:val="001000000000"/>
                <w:tcW w:w="661" w:type="dxa"/>
              </w:tcPr>
              <w:p w:rsidR="006D67A2" w:rsidRPr="006D67A2" w:rsidRDefault="006D67A2" w:rsidP="006D67A2">
                <w:pPr>
                  <w:spacing w:line="360" w:lineRule="auto"/>
                  <w:jc w:val="both"/>
                  <w:rPr>
                    <w:rFonts w:ascii="Arial" w:hAnsi="Arial" w:cs="Arial"/>
                    <w:sz w:val="20"/>
                    <w:szCs w:val="20"/>
                  </w:rPr>
                </w:pPr>
                <w:r w:rsidRPr="006D67A2">
                  <w:rPr>
                    <w:rFonts w:ascii="Arial" w:hAnsi="Arial" w:cs="Arial"/>
                    <w:sz w:val="20"/>
                    <w:szCs w:val="20"/>
                  </w:rPr>
                  <w:t>2019</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1896.34</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864.71</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864.71</w:t>
                </w:r>
              </w:p>
            </w:tc>
            <w:tc>
              <w:tcPr>
                <w:tcW w:w="1050"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71.53</w:t>
                </w:r>
              </w:p>
            </w:tc>
            <w:tc>
              <w:tcPr>
                <w:tcW w:w="1039"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864.71</w:t>
                </w:r>
              </w:p>
            </w:tc>
            <w:tc>
              <w:tcPr>
                <w:tcW w:w="1161"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577.04</w:t>
                </w:r>
              </w:p>
            </w:tc>
            <w:tc>
              <w:tcPr>
                <w:tcW w:w="894"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35500</w:t>
                </w:r>
              </w:p>
            </w:tc>
            <w:tc>
              <w:tcPr>
                <w:tcW w:w="1006"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59.28</w:t>
                </w:r>
              </w:p>
            </w:tc>
            <w:tc>
              <w:tcPr>
                <w:tcW w:w="828"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109.20</w:t>
                </w:r>
              </w:p>
            </w:tc>
            <w:tc>
              <w:tcPr>
                <w:tcW w:w="1295" w:type="dxa"/>
              </w:tcPr>
              <w:p w:rsidR="006D67A2" w:rsidRPr="006D67A2" w:rsidRDefault="006D67A2" w:rsidP="006D67A2">
                <w:pPr>
                  <w:spacing w:line="360" w:lineRule="auto"/>
                  <w:jc w:val="both"/>
                  <w:cnfStyle w:val="000000100000"/>
                  <w:rPr>
                    <w:rFonts w:ascii="Arial" w:hAnsi="Arial" w:cs="Arial"/>
                    <w:sz w:val="20"/>
                    <w:szCs w:val="20"/>
                  </w:rPr>
                </w:pPr>
                <w:r w:rsidRPr="006D67A2">
                  <w:rPr>
                    <w:rFonts w:ascii="Arial" w:hAnsi="Arial" w:cs="Arial"/>
                    <w:sz w:val="20"/>
                    <w:szCs w:val="20"/>
                  </w:rPr>
                  <w:t>63</w:t>
                </w:r>
              </w:p>
            </w:tc>
          </w:tr>
        </w:tbl>
        <w:p w:rsidR="006D67A2" w:rsidRPr="006029DC" w:rsidRDefault="006029DC" w:rsidP="006D67A2">
          <w:pPr>
            <w:spacing w:line="360" w:lineRule="auto"/>
            <w:jc w:val="both"/>
            <w:rPr>
              <w:rFonts w:ascii="Arial" w:hAnsi="Arial" w:cs="Arial"/>
              <w:sz w:val="24"/>
              <w:szCs w:val="24"/>
            </w:rPr>
          </w:pPr>
          <w:r w:rsidRPr="006029DC">
            <w:rPr>
              <w:rFonts w:ascii="Arial" w:hAnsi="Arial" w:cs="Arial"/>
              <w:sz w:val="24"/>
              <w:szCs w:val="24"/>
            </w:rPr>
            <w:t xml:space="preserve">This comparison will provide insights into how financial management shapes each </w:t>
          </w:r>
          <w:r w:rsidR="006D67A2" w:rsidRPr="006029DC">
            <w:rPr>
              <w:rFonts w:ascii="Arial" w:hAnsi="Arial" w:cs="Arial"/>
              <w:sz w:val="24"/>
              <w:szCs w:val="24"/>
            </w:rPr>
            <w:t>company’s sustainability and competitive edge in the hospitality industry.</w:t>
          </w:r>
        </w:p>
        <w:p w:rsidR="006029DC" w:rsidRPr="006029DC" w:rsidRDefault="00D41A15" w:rsidP="006029DC">
          <w:pPr>
            <w:spacing w:line="360" w:lineRule="auto"/>
            <w:jc w:val="both"/>
            <w:rPr>
              <w:rFonts w:ascii="Arial" w:hAnsi="Arial" w:cs="Arial"/>
              <w:b/>
              <w:bCs/>
              <w:sz w:val="24"/>
              <w:szCs w:val="24"/>
            </w:rPr>
          </w:pPr>
          <w:r>
            <w:rPr>
              <w:rFonts w:ascii="Arial" w:hAnsi="Arial" w:cs="Arial"/>
              <w:b/>
              <w:bCs/>
              <w:sz w:val="24"/>
              <w:szCs w:val="24"/>
            </w:rPr>
            <w:t xml:space="preserve">     </w:t>
          </w:r>
          <w:r w:rsidR="006029DC" w:rsidRPr="006029DC">
            <w:rPr>
              <w:rFonts w:ascii="Arial" w:hAnsi="Arial" w:cs="Arial"/>
              <w:b/>
              <w:bCs/>
              <w:sz w:val="24"/>
              <w:szCs w:val="24"/>
            </w:rPr>
            <w:t>Shangri-La Hotels (2019-2023) Financial Data (GBP, 2019-2023)</w:t>
          </w: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 xml:space="preserve">2019: Shangri-La had a strong year, reporting GBP 1.89 billion in total revenue, driven primarily by room bookings and F&amp;B services. With an average room rate of GBP 109.20 and an occupancy rate of 63%, the hotel maintained a stable </w:t>
          </w:r>
          <w:r w:rsidRPr="006029DC">
            <w:rPr>
              <w:rFonts w:ascii="Arial" w:hAnsi="Arial" w:cs="Arial"/>
              <w:sz w:val="24"/>
              <w:szCs w:val="24"/>
            </w:rPr>
            <w:lastRenderedPageBreak/>
            <w:t>performance as high-end guests continued to seek its luxury offerings (Shangri-La Annual Report 2019, p. 11 (a)).</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2020: The COVID-19 pandemic severely impacted Shangri-La, causing a sharp drop in revenue to GBP 764.72 million. The occupancy rate fell to 33%, and the average room rate dropped to GBP 89.54. The reliance on international guests, who were unable to travel due to restrictions, contributed to this significant decline (Shangri-La Annual Report 2020, p. 17 (a)).</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2021: As pandemic effects lingered, Shangri-La began a slow recovery. Revenue increased to GBP 905.93 million, with occupancy rates rising slightly to 39%, and the room rate recovering to GBP 94.90. However, luxury travel remained limited, slowing the recovery compared to other hotel segments (Shangri-La Annual Report 2021, p. 9 (a)).</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2022: Shangri-La saw a more robust recovery, with revenues climbing to GBP 1.11 billion. Increased travel demand, especially in Asia, pushed occupancy up to 42% and the room rate to GBP 117.80. This marked the beginning of a return to normalcy for the luxury sector (Shangri-La Annual Report 2022, p. 12 (a)).</w:t>
          </w:r>
        </w:p>
        <w:p w:rsidR="006029DC" w:rsidRDefault="006029DC" w:rsidP="006029DC">
          <w:pPr>
            <w:spacing w:line="360" w:lineRule="auto"/>
            <w:jc w:val="both"/>
            <w:rPr>
              <w:rFonts w:ascii="Arial" w:hAnsi="Arial" w:cs="Arial"/>
              <w:sz w:val="24"/>
              <w:szCs w:val="24"/>
            </w:rPr>
          </w:pPr>
          <w:r w:rsidRPr="006029DC">
            <w:rPr>
              <w:rFonts w:ascii="Arial" w:hAnsi="Arial" w:cs="Arial"/>
              <w:sz w:val="24"/>
              <w:szCs w:val="24"/>
            </w:rPr>
            <w:t>2023: By 2023, Shangri-La had nearly returned to full strength, with revenues reaching GBP 1.73 billion, largely driven by pent-up demand for luxury experiences in Asia and Europe. Occupancy recovered to 62%, with the average room rate rising to GBP 140.13, reflecting a post-pandemic resurgence in international travel (Shangri-La Annual Report 2023, p. 15 (a)).</w:t>
          </w:r>
        </w:p>
        <w:p w:rsidR="004D0DDB" w:rsidRPr="004D0DDB" w:rsidRDefault="004D0DDB" w:rsidP="006029DC">
          <w:pPr>
            <w:spacing w:line="360" w:lineRule="auto"/>
            <w:jc w:val="both"/>
            <w:rPr>
              <w:rFonts w:ascii="Arial" w:hAnsi="Arial" w:cs="Arial"/>
              <w:sz w:val="24"/>
              <w:szCs w:val="24"/>
            </w:rPr>
          </w:pPr>
        </w:p>
        <w:tbl>
          <w:tblPr>
            <w:tblStyle w:val="LightGrid-Accent1"/>
            <w:tblW w:w="10739" w:type="dxa"/>
            <w:tblInd w:w="-737" w:type="dxa"/>
            <w:tblLook w:val="04A0"/>
          </w:tblPr>
          <w:tblGrid>
            <w:gridCol w:w="661"/>
            <w:gridCol w:w="1050"/>
            <w:gridCol w:w="1050"/>
            <w:gridCol w:w="1050"/>
            <w:gridCol w:w="1050"/>
            <w:gridCol w:w="1039"/>
            <w:gridCol w:w="1161"/>
            <w:gridCol w:w="894"/>
            <w:gridCol w:w="991"/>
            <w:gridCol w:w="783"/>
            <w:gridCol w:w="1295"/>
          </w:tblGrid>
          <w:tr w:rsidR="004D0DDB" w:rsidRPr="006029DC" w:rsidTr="004D0DDB">
            <w:trPr>
              <w:cnfStyle w:val="100000000000"/>
              <w:trHeight w:val="922"/>
            </w:trPr>
            <w:tc>
              <w:tcPr>
                <w:cnfStyle w:val="001000000000"/>
                <w:tcW w:w="644" w:type="dxa"/>
                <w:hideMark/>
              </w:tcPr>
              <w:p w:rsidR="006029DC" w:rsidRPr="004D0DDB" w:rsidRDefault="006029DC" w:rsidP="004D0DDB">
                <w:pPr>
                  <w:spacing w:after="160"/>
                  <w:jc w:val="both"/>
                  <w:rPr>
                    <w:rFonts w:ascii="Arial" w:eastAsiaTheme="minorHAnsi" w:hAnsi="Arial" w:cs="Arial"/>
                    <w:kern w:val="2"/>
                    <w:sz w:val="20"/>
                    <w:szCs w:val="20"/>
                  </w:rPr>
                </w:pPr>
                <w:r w:rsidRPr="004D0DDB">
                  <w:rPr>
                    <w:rFonts w:ascii="Arial" w:eastAsiaTheme="minorHAnsi" w:hAnsi="Arial" w:cs="Arial"/>
                    <w:kern w:val="2"/>
                    <w:sz w:val="20"/>
                    <w:szCs w:val="20"/>
                  </w:rPr>
                  <w:t>Year</w:t>
                </w:r>
              </w:p>
            </w:tc>
            <w:tc>
              <w:tcPr>
                <w:tcW w:w="1023"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Revenue</w:t>
                </w:r>
                <w:r w:rsidRPr="004D0DDB">
                  <w:rPr>
                    <w:rFonts w:ascii="Arial" w:eastAsiaTheme="minorHAnsi" w:hAnsi="Arial" w:cs="Arial"/>
                    <w:kern w:val="2"/>
                    <w:sz w:val="20"/>
                    <w:szCs w:val="20"/>
                  </w:rPr>
                  <w:br/>
                  <w:t>(GBP, millions)</w:t>
                </w:r>
              </w:p>
            </w:tc>
            <w:tc>
              <w:tcPr>
                <w:tcW w:w="1023"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Rooms</w:t>
                </w:r>
                <w:r w:rsidRPr="004D0DDB">
                  <w:rPr>
                    <w:rFonts w:ascii="Arial" w:eastAsiaTheme="minorHAnsi" w:hAnsi="Arial" w:cs="Arial"/>
                    <w:kern w:val="2"/>
                    <w:sz w:val="20"/>
                    <w:szCs w:val="20"/>
                  </w:rPr>
                  <w:br/>
                  <w:t>Revenue</w:t>
                </w:r>
              </w:p>
            </w:tc>
            <w:tc>
              <w:tcPr>
                <w:tcW w:w="1023"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F&amp;B</w:t>
                </w:r>
                <w:r w:rsidRPr="004D0DDB">
                  <w:rPr>
                    <w:rFonts w:ascii="Arial" w:eastAsiaTheme="minorHAnsi" w:hAnsi="Arial" w:cs="Arial"/>
                    <w:kern w:val="2"/>
                    <w:sz w:val="20"/>
                    <w:szCs w:val="20"/>
                  </w:rPr>
                  <w:br/>
                  <w:t>Revenue</w:t>
                </w:r>
              </w:p>
            </w:tc>
            <w:tc>
              <w:tcPr>
                <w:tcW w:w="1023"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Other</w:t>
                </w:r>
                <w:r w:rsidRPr="004D0DDB">
                  <w:rPr>
                    <w:rFonts w:ascii="Arial" w:eastAsiaTheme="minorHAnsi" w:hAnsi="Arial" w:cs="Arial"/>
                    <w:kern w:val="2"/>
                    <w:sz w:val="20"/>
                    <w:szCs w:val="20"/>
                  </w:rPr>
                  <w:br/>
                  <w:t>Revenue</w:t>
                </w:r>
              </w:p>
            </w:tc>
            <w:tc>
              <w:tcPr>
                <w:tcW w:w="1012"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proofErr w:type="spellStart"/>
                <w:r w:rsidRPr="004D0DDB">
                  <w:rPr>
                    <w:rFonts w:ascii="Arial" w:eastAsiaTheme="minorHAnsi" w:hAnsi="Arial" w:cs="Arial"/>
                    <w:kern w:val="2"/>
                    <w:sz w:val="20"/>
                    <w:szCs w:val="20"/>
                  </w:rPr>
                  <w:t>CoGS</w:t>
                </w:r>
                <w:proofErr w:type="spellEnd"/>
                <w:r w:rsidRPr="004D0DDB">
                  <w:rPr>
                    <w:rFonts w:ascii="Arial" w:eastAsiaTheme="minorHAnsi" w:hAnsi="Arial" w:cs="Arial"/>
                    <w:kern w:val="2"/>
                    <w:sz w:val="20"/>
                    <w:szCs w:val="20"/>
                  </w:rPr>
                  <w:br/>
                  <w:t>(GBP, millions)</w:t>
                </w:r>
              </w:p>
            </w:tc>
            <w:tc>
              <w:tcPr>
                <w:tcW w:w="1131"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Operating Costs</w:t>
                </w:r>
                <w:r w:rsidRPr="004D0DDB">
                  <w:rPr>
                    <w:rFonts w:ascii="Arial" w:eastAsiaTheme="minorHAnsi" w:hAnsi="Arial" w:cs="Arial"/>
                    <w:kern w:val="2"/>
                    <w:sz w:val="20"/>
                    <w:szCs w:val="20"/>
                  </w:rPr>
                  <w:br/>
                  <w:t>(GBP, millions)</w:t>
                </w:r>
              </w:p>
            </w:tc>
            <w:tc>
              <w:tcPr>
                <w:tcW w:w="871"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No. of</w:t>
                </w:r>
                <w:r w:rsidRPr="004D0DDB">
                  <w:rPr>
                    <w:rFonts w:ascii="Arial" w:eastAsiaTheme="minorHAnsi" w:hAnsi="Arial" w:cs="Arial"/>
                    <w:kern w:val="2"/>
                    <w:sz w:val="20"/>
                    <w:szCs w:val="20"/>
                  </w:rPr>
                  <w:br/>
                  <w:t>Rooms</w:t>
                </w:r>
              </w:p>
            </w:tc>
            <w:tc>
              <w:tcPr>
                <w:tcW w:w="965"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proofErr w:type="spellStart"/>
                <w:r w:rsidRPr="004D0DDB">
                  <w:rPr>
                    <w:rFonts w:ascii="Arial" w:eastAsiaTheme="minorHAnsi" w:hAnsi="Arial" w:cs="Arial"/>
                    <w:kern w:val="2"/>
                    <w:sz w:val="20"/>
                    <w:szCs w:val="20"/>
                  </w:rPr>
                  <w:t>RevPAR</w:t>
                </w:r>
                <w:proofErr w:type="spellEnd"/>
                <w:r w:rsidRPr="004D0DDB">
                  <w:rPr>
                    <w:rFonts w:ascii="Arial" w:eastAsiaTheme="minorHAnsi" w:hAnsi="Arial" w:cs="Arial"/>
                    <w:kern w:val="2"/>
                    <w:sz w:val="20"/>
                    <w:szCs w:val="20"/>
                  </w:rPr>
                  <w:br/>
                  <w:t>(GBP)</w:t>
                </w:r>
              </w:p>
            </w:tc>
            <w:tc>
              <w:tcPr>
                <w:tcW w:w="763"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Room Rate</w:t>
                </w:r>
                <w:r w:rsidRPr="004D0DDB">
                  <w:rPr>
                    <w:rFonts w:ascii="Arial" w:eastAsiaTheme="minorHAnsi" w:hAnsi="Arial" w:cs="Arial"/>
                    <w:kern w:val="2"/>
                    <w:sz w:val="20"/>
                    <w:szCs w:val="20"/>
                  </w:rPr>
                  <w:br/>
                  <w:t>(GBP)</w:t>
                </w:r>
              </w:p>
            </w:tc>
            <w:tc>
              <w:tcPr>
                <w:tcW w:w="1261" w:type="dxa"/>
                <w:hideMark/>
              </w:tcPr>
              <w:p w:rsidR="006029DC" w:rsidRPr="004D0DDB" w:rsidRDefault="006029DC" w:rsidP="004D0DDB">
                <w:pPr>
                  <w:spacing w:after="160"/>
                  <w:jc w:val="both"/>
                  <w:cnfStyle w:val="100000000000"/>
                  <w:rPr>
                    <w:rFonts w:ascii="Arial" w:eastAsiaTheme="minorHAnsi" w:hAnsi="Arial" w:cs="Arial"/>
                    <w:kern w:val="2"/>
                    <w:sz w:val="20"/>
                    <w:szCs w:val="20"/>
                  </w:rPr>
                </w:pPr>
                <w:r w:rsidRPr="004D0DDB">
                  <w:rPr>
                    <w:rFonts w:ascii="Arial" w:eastAsiaTheme="minorHAnsi" w:hAnsi="Arial" w:cs="Arial"/>
                    <w:kern w:val="2"/>
                    <w:sz w:val="20"/>
                    <w:szCs w:val="20"/>
                  </w:rPr>
                  <w:t>Occupancy %</w:t>
                </w:r>
              </w:p>
            </w:tc>
          </w:tr>
          <w:tr w:rsidR="006029DC" w:rsidRPr="006029DC" w:rsidTr="004D0DDB">
            <w:trPr>
              <w:cnfStyle w:val="000000100000"/>
              <w:trHeight w:val="312"/>
            </w:trPr>
            <w:tc>
              <w:tcPr>
                <w:cnfStyle w:val="001000000000"/>
                <w:tcW w:w="644" w:type="dxa"/>
                <w:hideMark/>
              </w:tcPr>
              <w:p w:rsidR="006029DC" w:rsidRPr="004D0DDB" w:rsidRDefault="006029DC" w:rsidP="004D0DDB">
                <w:pPr>
                  <w:spacing w:after="160"/>
                  <w:jc w:val="both"/>
                  <w:rPr>
                    <w:rFonts w:ascii="Arial" w:eastAsiaTheme="minorHAnsi" w:hAnsi="Arial" w:cs="Arial"/>
                    <w:kern w:val="2"/>
                    <w:sz w:val="20"/>
                    <w:szCs w:val="20"/>
                  </w:rPr>
                </w:pPr>
                <w:r w:rsidRPr="004D0DDB">
                  <w:rPr>
                    <w:rFonts w:ascii="Arial" w:eastAsiaTheme="minorHAnsi" w:hAnsi="Arial" w:cs="Arial"/>
                    <w:kern w:val="2"/>
                    <w:sz w:val="20"/>
                    <w:szCs w:val="20"/>
                  </w:rPr>
                  <w:t>2023</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2960</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2100</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647</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213</w:t>
                </w:r>
              </w:p>
            </w:tc>
            <w:tc>
              <w:tcPr>
                <w:tcW w:w="1012"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1040</w:t>
                </w:r>
              </w:p>
            </w:tc>
            <w:tc>
              <w:tcPr>
                <w:tcW w:w="113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720</w:t>
                </w:r>
              </w:p>
            </w:tc>
            <w:tc>
              <w:tcPr>
                <w:tcW w:w="87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83576</w:t>
                </w:r>
              </w:p>
            </w:tc>
            <w:tc>
              <w:tcPr>
                <w:tcW w:w="965"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67</w:t>
                </w:r>
              </w:p>
            </w:tc>
            <w:tc>
              <w:tcPr>
                <w:tcW w:w="76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81</w:t>
                </w:r>
              </w:p>
            </w:tc>
            <w:tc>
              <w:tcPr>
                <w:tcW w:w="126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83</w:t>
                </w:r>
              </w:p>
            </w:tc>
          </w:tr>
          <w:tr w:rsidR="004D0DDB" w:rsidRPr="006029DC" w:rsidTr="004D0DDB">
            <w:trPr>
              <w:cnfStyle w:val="000000010000"/>
              <w:trHeight w:val="323"/>
            </w:trPr>
            <w:tc>
              <w:tcPr>
                <w:cnfStyle w:val="001000000000"/>
                <w:tcW w:w="644" w:type="dxa"/>
                <w:hideMark/>
              </w:tcPr>
              <w:p w:rsidR="006029DC" w:rsidRPr="004D0DDB" w:rsidRDefault="006029DC" w:rsidP="004D0DDB">
                <w:pPr>
                  <w:spacing w:after="160"/>
                  <w:jc w:val="both"/>
                  <w:rPr>
                    <w:rFonts w:ascii="Arial" w:eastAsiaTheme="minorHAnsi" w:hAnsi="Arial" w:cs="Arial"/>
                    <w:kern w:val="2"/>
                    <w:sz w:val="20"/>
                    <w:szCs w:val="20"/>
                  </w:rPr>
                </w:pPr>
                <w:r w:rsidRPr="004D0DDB">
                  <w:rPr>
                    <w:rFonts w:ascii="Arial" w:eastAsiaTheme="minorHAnsi" w:hAnsi="Arial" w:cs="Arial"/>
                    <w:kern w:val="2"/>
                    <w:sz w:val="20"/>
                    <w:szCs w:val="20"/>
                  </w:rPr>
                  <w:t>2022</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2625</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1950</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523</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152</w:t>
                </w:r>
              </w:p>
            </w:tc>
            <w:tc>
              <w:tcPr>
                <w:tcW w:w="1012"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1020</w:t>
                </w:r>
              </w:p>
            </w:tc>
            <w:tc>
              <w:tcPr>
                <w:tcW w:w="1131"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710</w:t>
                </w:r>
              </w:p>
            </w:tc>
            <w:tc>
              <w:tcPr>
                <w:tcW w:w="871"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83500</w:t>
                </w:r>
              </w:p>
            </w:tc>
            <w:tc>
              <w:tcPr>
                <w:tcW w:w="965"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64</w:t>
                </w:r>
              </w:p>
            </w:tc>
            <w:tc>
              <w:tcPr>
                <w:tcW w:w="76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79</w:t>
                </w:r>
              </w:p>
            </w:tc>
            <w:tc>
              <w:tcPr>
                <w:tcW w:w="1261"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81</w:t>
                </w:r>
              </w:p>
            </w:tc>
          </w:tr>
          <w:tr w:rsidR="006029DC" w:rsidRPr="006029DC" w:rsidTr="004D0DDB">
            <w:trPr>
              <w:cnfStyle w:val="000000100000"/>
              <w:trHeight w:val="312"/>
            </w:trPr>
            <w:tc>
              <w:tcPr>
                <w:cnfStyle w:val="001000000000"/>
                <w:tcW w:w="644" w:type="dxa"/>
                <w:hideMark/>
              </w:tcPr>
              <w:p w:rsidR="006029DC" w:rsidRPr="004D0DDB" w:rsidRDefault="006029DC" w:rsidP="004D0DDB">
                <w:pPr>
                  <w:spacing w:after="160"/>
                  <w:jc w:val="both"/>
                  <w:rPr>
                    <w:rFonts w:ascii="Arial" w:eastAsiaTheme="minorHAnsi" w:hAnsi="Arial" w:cs="Arial"/>
                    <w:kern w:val="2"/>
                    <w:sz w:val="20"/>
                    <w:szCs w:val="20"/>
                  </w:rPr>
                </w:pPr>
                <w:r w:rsidRPr="004D0DDB">
                  <w:rPr>
                    <w:rFonts w:ascii="Arial" w:eastAsiaTheme="minorHAnsi" w:hAnsi="Arial" w:cs="Arial"/>
                    <w:kern w:val="2"/>
                    <w:sz w:val="20"/>
                    <w:szCs w:val="20"/>
                  </w:rPr>
                  <w:t>2021</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1703</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1100</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450</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153</w:t>
                </w:r>
              </w:p>
            </w:tc>
            <w:tc>
              <w:tcPr>
                <w:tcW w:w="1012"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850</w:t>
                </w:r>
              </w:p>
            </w:tc>
            <w:tc>
              <w:tcPr>
                <w:tcW w:w="113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675</w:t>
                </w:r>
              </w:p>
            </w:tc>
            <w:tc>
              <w:tcPr>
                <w:tcW w:w="87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82286</w:t>
                </w:r>
              </w:p>
            </w:tc>
            <w:tc>
              <w:tcPr>
                <w:tcW w:w="965"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52</w:t>
                </w:r>
              </w:p>
            </w:tc>
            <w:tc>
              <w:tcPr>
                <w:tcW w:w="76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72</w:t>
                </w:r>
              </w:p>
            </w:tc>
            <w:tc>
              <w:tcPr>
                <w:tcW w:w="126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72</w:t>
                </w:r>
              </w:p>
            </w:tc>
          </w:tr>
          <w:tr w:rsidR="004D0DDB" w:rsidRPr="006029DC" w:rsidTr="004D0DDB">
            <w:trPr>
              <w:cnfStyle w:val="000000010000"/>
              <w:trHeight w:val="312"/>
            </w:trPr>
            <w:tc>
              <w:tcPr>
                <w:cnfStyle w:val="001000000000"/>
                <w:tcW w:w="644" w:type="dxa"/>
                <w:hideMark/>
              </w:tcPr>
              <w:p w:rsidR="006029DC" w:rsidRPr="004D0DDB" w:rsidRDefault="006029DC" w:rsidP="004D0DDB">
                <w:pPr>
                  <w:spacing w:after="160"/>
                  <w:jc w:val="both"/>
                  <w:rPr>
                    <w:rFonts w:ascii="Arial" w:eastAsiaTheme="minorHAnsi" w:hAnsi="Arial" w:cs="Arial"/>
                    <w:kern w:val="2"/>
                    <w:sz w:val="20"/>
                    <w:szCs w:val="20"/>
                  </w:rPr>
                </w:pPr>
                <w:r w:rsidRPr="004D0DDB">
                  <w:rPr>
                    <w:rFonts w:ascii="Arial" w:eastAsiaTheme="minorHAnsi" w:hAnsi="Arial" w:cs="Arial"/>
                    <w:kern w:val="2"/>
                    <w:sz w:val="20"/>
                    <w:szCs w:val="20"/>
                  </w:rPr>
                  <w:t>2020</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590</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310</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180</w:t>
                </w:r>
              </w:p>
            </w:tc>
            <w:tc>
              <w:tcPr>
                <w:tcW w:w="102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100</w:t>
                </w:r>
              </w:p>
            </w:tc>
            <w:tc>
              <w:tcPr>
                <w:tcW w:w="1012"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450</w:t>
                </w:r>
              </w:p>
            </w:tc>
            <w:tc>
              <w:tcPr>
                <w:tcW w:w="1131"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340</w:t>
                </w:r>
              </w:p>
            </w:tc>
            <w:tc>
              <w:tcPr>
                <w:tcW w:w="871"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78718</w:t>
                </w:r>
              </w:p>
            </w:tc>
            <w:tc>
              <w:tcPr>
                <w:tcW w:w="965"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29</w:t>
                </w:r>
              </w:p>
            </w:tc>
            <w:tc>
              <w:tcPr>
                <w:tcW w:w="763"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64</w:t>
                </w:r>
              </w:p>
            </w:tc>
            <w:tc>
              <w:tcPr>
                <w:tcW w:w="1261" w:type="dxa"/>
                <w:hideMark/>
              </w:tcPr>
              <w:p w:rsidR="006029DC" w:rsidRPr="004D0DDB" w:rsidRDefault="006029DC" w:rsidP="004D0DDB">
                <w:pPr>
                  <w:spacing w:after="160"/>
                  <w:jc w:val="both"/>
                  <w:cnfStyle w:val="000000010000"/>
                  <w:rPr>
                    <w:rFonts w:ascii="Arial" w:eastAsiaTheme="minorHAnsi" w:hAnsi="Arial" w:cs="Arial"/>
                    <w:kern w:val="2"/>
                    <w:sz w:val="20"/>
                    <w:szCs w:val="20"/>
                  </w:rPr>
                </w:pPr>
                <w:r w:rsidRPr="004D0DDB">
                  <w:rPr>
                    <w:rFonts w:ascii="Arial" w:eastAsiaTheme="minorHAnsi" w:hAnsi="Arial" w:cs="Arial"/>
                    <w:kern w:val="2"/>
                    <w:sz w:val="20"/>
                    <w:szCs w:val="20"/>
                  </w:rPr>
                  <w:t>45</w:t>
                </w:r>
              </w:p>
            </w:tc>
          </w:tr>
          <w:tr w:rsidR="006029DC" w:rsidRPr="006029DC" w:rsidTr="004D0DDB">
            <w:trPr>
              <w:cnfStyle w:val="000000100000"/>
              <w:trHeight w:val="227"/>
            </w:trPr>
            <w:tc>
              <w:tcPr>
                <w:cnfStyle w:val="001000000000"/>
                <w:tcW w:w="644" w:type="dxa"/>
                <w:hideMark/>
              </w:tcPr>
              <w:p w:rsidR="006029DC" w:rsidRPr="004D0DDB" w:rsidRDefault="006029DC" w:rsidP="004D0DDB">
                <w:pPr>
                  <w:spacing w:after="160"/>
                  <w:jc w:val="both"/>
                  <w:rPr>
                    <w:rFonts w:ascii="Arial" w:eastAsiaTheme="minorHAnsi" w:hAnsi="Arial" w:cs="Arial"/>
                    <w:kern w:val="2"/>
                    <w:sz w:val="20"/>
                    <w:szCs w:val="20"/>
                  </w:rPr>
                </w:pPr>
                <w:r w:rsidRPr="004D0DDB">
                  <w:rPr>
                    <w:rFonts w:ascii="Arial" w:eastAsiaTheme="minorHAnsi" w:hAnsi="Arial" w:cs="Arial"/>
                    <w:kern w:val="2"/>
                    <w:sz w:val="20"/>
                    <w:szCs w:val="20"/>
                  </w:rPr>
                  <w:t>2019</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2072</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1450</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467</w:t>
                </w:r>
              </w:p>
            </w:tc>
            <w:tc>
              <w:tcPr>
                <w:tcW w:w="102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155</w:t>
                </w:r>
              </w:p>
            </w:tc>
            <w:tc>
              <w:tcPr>
                <w:tcW w:w="1012"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1050</w:t>
                </w:r>
              </w:p>
            </w:tc>
            <w:tc>
              <w:tcPr>
                <w:tcW w:w="113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750</w:t>
                </w:r>
              </w:p>
            </w:tc>
            <w:tc>
              <w:tcPr>
                <w:tcW w:w="87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78547</w:t>
                </w:r>
              </w:p>
            </w:tc>
            <w:tc>
              <w:tcPr>
                <w:tcW w:w="965"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59</w:t>
                </w:r>
              </w:p>
            </w:tc>
            <w:tc>
              <w:tcPr>
                <w:tcW w:w="763"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73</w:t>
                </w:r>
              </w:p>
            </w:tc>
            <w:tc>
              <w:tcPr>
                <w:tcW w:w="1261" w:type="dxa"/>
                <w:hideMark/>
              </w:tcPr>
              <w:p w:rsidR="006029DC" w:rsidRPr="004D0DDB" w:rsidRDefault="006029DC" w:rsidP="004D0DDB">
                <w:pPr>
                  <w:spacing w:after="160"/>
                  <w:jc w:val="both"/>
                  <w:cnfStyle w:val="000000100000"/>
                  <w:rPr>
                    <w:rFonts w:ascii="Arial" w:eastAsiaTheme="minorHAnsi" w:hAnsi="Arial" w:cs="Arial"/>
                    <w:kern w:val="2"/>
                    <w:sz w:val="20"/>
                    <w:szCs w:val="20"/>
                  </w:rPr>
                </w:pPr>
                <w:r w:rsidRPr="004D0DDB">
                  <w:rPr>
                    <w:rFonts w:ascii="Arial" w:eastAsiaTheme="minorHAnsi" w:hAnsi="Arial" w:cs="Arial"/>
                    <w:kern w:val="2"/>
                    <w:sz w:val="20"/>
                    <w:szCs w:val="20"/>
                  </w:rPr>
                  <w:t>81</w:t>
                </w:r>
              </w:p>
            </w:tc>
          </w:tr>
        </w:tbl>
        <w:p w:rsidR="004D0DDB" w:rsidRPr="006029DC" w:rsidRDefault="004D0DDB" w:rsidP="004D0DDB">
          <w:pPr>
            <w:spacing w:line="360" w:lineRule="auto"/>
            <w:jc w:val="both"/>
            <w:rPr>
              <w:rFonts w:ascii="Arial" w:hAnsi="Arial" w:cs="Arial"/>
              <w:b/>
              <w:bCs/>
              <w:sz w:val="24"/>
              <w:szCs w:val="24"/>
              <w:lang w:val="en-US"/>
            </w:rPr>
          </w:pPr>
          <w:r>
            <w:rPr>
              <w:rFonts w:ascii="Arial" w:hAnsi="Arial" w:cs="Arial"/>
              <w:b/>
              <w:bCs/>
              <w:sz w:val="24"/>
              <w:szCs w:val="24"/>
              <w:lang w:val="en-US"/>
            </w:rPr>
            <w:t xml:space="preserve">            </w:t>
          </w:r>
          <w:r w:rsidR="008804EC">
            <w:rPr>
              <w:rFonts w:ascii="Arial" w:hAnsi="Arial" w:cs="Arial"/>
              <w:b/>
              <w:bCs/>
              <w:sz w:val="24"/>
              <w:szCs w:val="24"/>
              <w:lang w:val="en-US"/>
            </w:rPr>
            <w:t xml:space="preserve">     </w:t>
          </w:r>
          <w:r>
            <w:rPr>
              <w:rFonts w:ascii="Arial" w:hAnsi="Arial" w:cs="Arial"/>
              <w:b/>
              <w:bCs/>
              <w:sz w:val="24"/>
              <w:szCs w:val="24"/>
              <w:lang w:val="en-US"/>
            </w:rPr>
            <w:t xml:space="preserve"> </w:t>
          </w:r>
          <w:r w:rsidRPr="006029DC">
            <w:rPr>
              <w:rFonts w:ascii="Arial" w:hAnsi="Arial" w:cs="Arial"/>
              <w:b/>
              <w:bCs/>
              <w:sz w:val="24"/>
              <w:szCs w:val="24"/>
              <w:lang w:val="en-US"/>
            </w:rPr>
            <w:t>Premier Inn Hotels Financial Data (GBP, 2019-2023)</w:t>
          </w:r>
        </w:p>
        <w:p w:rsidR="006029DC" w:rsidRPr="006029DC" w:rsidRDefault="006029DC" w:rsidP="006029DC">
          <w:pPr>
            <w:spacing w:line="360" w:lineRule="auto"/>
            <w:jc w:val="both"/>
            <w:rPr>
              <w:rFonts w:ascii="Arial" w:hAnsi="Arial" w:cs="Arial"/>
              <w:sz w:val="24"/>
              <w:szCs w:val="24"/>
              <w:lang w:val="en-US"/>
            </w:rPr>
          </w:pPr>
        </w:p>
        <w:p w:rsidR="006029DC" w:rsidRPr="006029DC" w:rsidRDefault="006029DC" w:rsidP="006029DC">
          <w:pPr>
            <w:spacing w:line="360" w:lineRule="auto"/>
            <w:jc w:val="both"/>
            <w:rPr>
              <w:rFonts w:ascii="Arial" w:hAnsi="Arial" w:cs="Arial"/>
              <w:sz w:val="24"/>
              <w:szCs w:val="24"/>
            </w:rPr>
          </w:pP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2019: Premier Inn had a solid year in 2019, generating GBP 2.07 billion in revenue, primarily from budget-conscious domestic guests. Occupancy rates were high at 81%, and the room rate averaged GBP 73, reflecting the brand’s strong position in the UK budget market (Shangri-La Annual Report 2019, p. 11 (b)).</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2020: Similar to Shangri-La, Premier Inn saw a sharp decline in revenue, down to GBP 590 million, due to the pandemic. Occupancy dropped to 45%, but the room rate held steady at GBP 64, supported by Premier Inn’s focus on domestic guests, which helped mitigate the loss of international travel (Shangri-La Annual Report 2020, p. 17 (b)).</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2021: Premier Inn began to rebound in 2021, with revenues increasing to</w:t>
          </w:r>
          <w:r w:rsidR="001A538D">
            <w:rPr>
              <w:rFonts w:ascii="Arial" w:hAnsi="Arial" w:cs="Arial"/>
              <w:sz w:val="24"/>
              <w:szCs w:val="24"/>
            </w:rPr>
            <w:t xml:space="preserve"> </w:t>
          </w:r>
          <w:r w:rsidRPr="006029DC">
            <w:rPr>
              <w:rFonts w:ascii="Arial" w:hAnsi="Arial" w:cs="Arial"/>
              <w:sz w:val="24"/>
              <w:szCs w:val="24"/>
            </w:rPr>
            <w:t>GBP 1.7 billion. Occupancy rose to 72%, and the room rate increased slightly to GBP 72, showing the brand’s resilience as budget guests returned to the market (Shangri-La Annual Report 2021, p. 9 (b)).</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2022: Premier Inn’s revenues continued to grow, reaching GBP 2.62 billion, with high occupancy rates of 81% and room rates rising to GBP 79. The brand's focus on affordable, reliable accommodation kept it strong during the recovery (Shangri-La Annual Report 2022, p. 12 (b)).</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2023: Premier Inn fully recovered by 2023, with revenues climbing to GBP 2.96 billion, occupancy increasing to 83%, and room rates averaging GBP 81. The consistency in Premier Inn’s business model, supported by strong domestic demand, allowed it to outperform during tough economic times (Shangri-La Annual Report 2023, p. 15 (b)).</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Shangri-La experienced greater revenue volatility due to its reliance on international guests and luxury services. While its recovery has been impressive post-pandemic, the company remains vulnerable to global travel disruptions.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Premier Inn benefitted from a stable domestic customer base, which allowed it to recover more quickly from the pandemic, with higher occupancy rates and lower operational costs.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lastRenderedPageBreak/>
            <w:t>Shangri-La has a strong global presence in the luxury hotel market, operating over 100 hotels across 76 destinations. The brand is particularly dominant in Asia, with a notable concentration in key markets such as Mainland China and Hong Kong, which accounted for the majority of its revenue recovery post-pandemic. The group’s ability to quickly rebound in 2023, after travel restrictions lifted, is largely attributed to its appeal to high-net-worth individuals seeking personalized luxury services (</w:t>
          </w:r>
          <w:proofErr w:type="spellStart"/>
          <w:r w:rsidRPr="006029DC">
            <w:rPr>
              <w:rFonts w:ascii="Arial" w:hAnsi="Arial" w:cs="Arial"/>
              <w:sz w:val="24"/>
              <w:szCs w:val="24"/>
            </w:rPr>
            <w:t>ChinaTravelNews</w:t>
          </w:r>
          <w:proofErr w:type="spellEnd"/>
          <w:r w:rsidRPr="006029DC">
            <w:rPr>
              <w:rFonts w:ascii="Arial" w:hAnsi="Arial" w:cs="Arial"/>
              <w:sz w:val="24"/>
              <w:szCs w:val="24"/>
            </w:rPr>
            <w:t>, 2024). Additionally, new properties in Shanghai, Beijing, and Jeddah have solidified Shangri-La's commitment to expanding its footprint in luxury markets globally (</w:t>
          </w:r>
          <w:proofErr w:type="spellStart"/>
          <w:r w:rsidRPr="006029DC">
            <w:rPr>
              <w:rFonts w:ascii="Arial" w:hAnsi="Arial" w:cs="Arial"/>
              <w:sz w:val="24"/>
              <w:szCs w:val="24"/>
            </w:rPr>
            <w:t>Globetrender</w:t>
          </w:r>
          <w:proofErr w:type="spellEnd"/>
          <w:r w:rsidRPr="006029DC">
            <w:rPr>
              <w:rFonts w:ascii="Arial" w:hAnsi="Arial" w:cs="Arial"/>
              <w:sz w:val="24"/>
              <w:szCs w:val="24"/>
            </w:rPr>
            <w:t xml:space="preserve">, 2023). </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The hotel group's market share in the luxury segment is supported by its brand perception as a provider of unique, Asian-inspired hospitality experiences. This makes Shangri-La a preferred choice for affluent international guests, particularly those from China, who returned in large numbers after the reopening of borders (</w:t>
          </w:r>
          <w:proofErr w:type="spellStart"/>
          <w:r w:rsidRPr="006029DC">
            <w:rPr>
              <w:rFonts w:ascii="Arial" w:hAnsi="Arial" w:cs="Arial"/>
              <w:sz w:val="24"/>
              <w:szCs w:val="24"/>
            </w:rPr>
            <w:t>Mingtiandi</w:t>
          </w:r>
          <w:proofErr w:type="spellEnd"/>
          <w:r w:rsidRPr="006029DC">
            <w:rPr>
              <w:rFonts w:ascii="Arial" w:hAnsi="Arial" w:cs="Arial"/>
              <w:sz w:val="24"/>
              <w:szCs w:val="24"/>
            </w:rPr>
            <w:t>, 2023). However, this reliance on international guests means the brand remains vulnerable to global economic fluctuations and travel restrictions.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Premier Inn holds a leading position in the budget/mid-tier hotel market within the UK, focusing on providing affordable, comfortable stays for domestic and business guests. Its market share has expanded with its ongoing international ventures, particularly in Germany. The brand’s emphasis on delivering value-for-money accommodation has allowed it to maintain high occupancy rates, even during economic downturns (Whitbread PLC, 2023).</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Premier Inn has cultivated strong brand loyalty in the UK, supported by its consistent service quality and reliable budget offerings. This positioning has allowed it to withstand competition from other budget hotel chains and continue to grow, particularly in regions where business travel remains robust.</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Shangri-La’s luxury-focused market positioning allows it to attract high-end guests, but it is more susceptible to global market disruptions due to its reliance on international guests. Its strong brand perception in luxury hospitality supports premium pricing, but limits its flexibility in catering to more budget-conscious markets (</w:t>
          </w:r>
          <w:proofErr w:type="spellStart"/>
          <w:r w:rsidRPr="006029DC">
            <w:rPr>
              <w:rFonts w:ascii="Arial" w:hAnsi="Arial" w:cs="Arial"/>
              <w:sz w:val="24"/>
              <w:szCs w:val="24"/>
            </w:rPr>
            <w:t>Globetrender</w:t>
          </w:r>
          <w:proofErr w:type="spellEnd"/>
          <w:r w:rsidRPr="006029DC">
            <w:rPr>
              <w:rFonts w:ascii="Arial" w:hAnsi="Arial" w:cs="Arial"/>
              <w:sz w:val="24"/>
              <w:szCs w:val="24"/>
            </w:rPr>
            <w:t>, 2023).</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 xml:space="preserve">In contrast, Premier Inn’s focus on domestic guests and its cost-effective business model provide a more stable revenue base, particularly during periods of economic </w:t>
          </w:r>
          <w:r w:rsidRPr="006029DC">
            <w:rPr>
              <w:rFonts w:ascii="Arial" w:hAnsi="Arial" w:cs="Arial"/>
              <w:sz w:val="24"/>
              <w:szCs w:val="24"/>
            </w:rPr>
            <w:lastRenderedPageBreak/>
            <w:t>uncertainty. Premier Inn's steady expansion into Europe demonstrates its ability to balance affordability with operational efficiency, making it less vulnerable to the challenges faced by high-end brands like Shangri-La (</w:t>
          </w:r>
          <w:proofErr w:type="spellStart"/>
          <w:r w:rsidRPr="006029DC">
            <w:rPr>
              <w:rFonts w:ascii="Arial" w:hAnsi="Arial" w:cs="Arial"/>
              <w:sz w:val="24"/>
              <w:szCs w:val="24"/>
            </w:rPr>
            <w:t>ChinaTravelNews</w:t>
          </w:r>
          <w:proofErr w:type="spellEnd"/>
          <w:r w:rsidRPr="006029DC">
            <w:rPr>
              <w:rFonts w:ascii="Arial" w:hAnsi="Arial" w:cs="Arial"/>
              <w:sz w:val="24"/>
              <w:szCs w:val="24"/>
            </w:rPr>
            <w:t>, 2024).</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Shangri-La Hotels continues to focus on luxury markets in its growth strategy, expanding its footprint across Asia, the Middle East, and selective markets in Europe. In 2023, the company saw significant growth in its key regions, driven by the return of international travel, particularly from Mainland China and Hong Kong. To sustain growth, Shangri-La has targeted regions such as Saudi Arabia, Japan, and Cambodia, where new properties are under development (</w:t>
          </w:r>
          <w:proofErr w:type="spellStart"/>
          <w:r w:rsidRPr="006029DC">
            <w:rPr>
              <w:rFonts w:ascii="Arial" w:hAnsi="Arial" w:cs="Arial"/>
              <w:sz w:val="24"/>
              <w:szCs w:val="24"/>
            </w:rPr>
            <w:t>GlobalData</w:t>
          </w:r>
          <w:proofErr w:type="spellEnd"/>
          <w:r w:rsidRPr="006029DC">
            <w:rPr>
              <w:rFonts w:ascii="Arial" w:hAnsi="Arial" w:cs="Arial"/>
              <w:sz w:val="24"/>
              <w:szCs w:val="24"/>
            </w:rPr>
            <w:t>, 2023). The brand is also pushing for greater profitability through increased investment in premium services and improving operational efficiency</w:t>
          </w:r>
          <w:r w:rsidRPr="006029DC">
            <w:rPr>
              <w:rFonts w:ascii="Arial" w:eastAsia="MS Gothic" w:hAnsi="Arial" w:cs="Arial"/>
              <w:sz w:val="24"/>
              <w:szCs w:val="24"/>
            </w:rPr>
            <w:t>.</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 xml:space="preserve">Barriers to Growth: However, Shangri-La faces certain risks, such as economic downturns and an over-reliance on the luxury segment. The volatility of the international luxury travel market can significantly impact its revenue, particularly during global crises or economic slowdowns. Furthermore, competition in the high-end hotel sector remains fierce, with boutique hotels and platforms like </w:t>
          </w:r>
          <w:proofErr w:type="spellStart"/>
          <w:r w:rsidRPr="006029DC">
            <w:rPr>
              <w:rFonts w:ascii="Arial" w:hAnsi="Arial" w:cs="Arial"/>
              <w:sz w:val="24"/>
              <w:szCs w:val="24"/>
            </w:rPr>
            <w:t>Airbnb</w:t>
          </w:r>
          <w:proofErr w:type="spellEnd"/>
          <w:r w:rsidRPr="006029DC">
            <w:rPr>
              <w:rFonts w:ascii="Arial" w:hAnsi="Arial" w:cs="Arial"/>
              <w:sz w:val="24"/>
              <w:szCs w:val="24"/>
            </w:rPr>
            <w:t xml:space="preserve"> challenging traditional hospitality models (</w:t>
          </w:r>
          <w:proofErr w:type="spellStart"/>
          <w:r w:rsidRPr="006029DC">
            <w:rPr>
              <w:rFonts w:ascii="Arial" w:hAnsi="Arial" w:cs="Arial"/>
              <w:sz w:val="24"/>
              <w:szCs w:val="24"/>
            </w:rPr>
            <w:t>MartinRoll</w:t>
          </w:r>
          <w:proofErr w:type="spellEnd"/>
          <w:r w:rsidRPr="006029DC">
            <w:rPr>
              <w:rFonts w:ascii="Arial" w:hAnsi="Arial" w:cs="Arial"/>
              <w:sz w:val="24"/>
              <w:szCs w:val="24"/>
            </w:rPr>
            <w:t>, 2023).</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Opportunities: Shangri-La’s opportunities lie in expanding into emerging markets and possibly diversifying its offerings into mid-tier or lifestyle segments. This would enable the company to reach a broader demographic, including business guests and younger consumers looking for more affordable luxury. The brand’s expertise in Asian-inspired hospitality provides a unique advantage in new regions.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Premier Inn’s growth strategy is largely focused on geographic expansion, with a key emphasis on Europe, particularly Germany. As the leading budget hotel chain in the UK, Premier Inn is seeking to replicate its success in other markets through strategic acquisitions and new hotel developments. In 2023, the brand saw solid growth driven by domestic demand and the strong recovery of business travel (Whitbread PLC, 2023).</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Barriers to Growth: Despite its growth potential, Premier Inn faces stiff competition from other budget chains and potential market saturation in the UK. Additionally, its international expansion, while promising, comes with the challenge of competing with established budget brands in new markets.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lastRenderedPageBreak/>
            <w:t>Opportunities: Premier Inn’s opportunities include further international expansion, particularly in continental Europe, and investment in technology to enhance operational efficiency and improve customer experience. The brand has already started implementing advanced booking systems and energy-efficient designs in its hotels to streamline operations and attract more cost-conscious guests</w:t>
          </w:r>
          <w:r w:rsidRPr="006029DC">
            <w:rPr>
              <w:rFonts w:ascii="Arial" w:eastAsia="MS Gothic" w:hAnsi="Arial" w:cs="Arial"/>
              <w:sz w:val="24"/>
              <w:szCs w:val="24"/>
            </w:rPr>
            <w:t>.</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Shangri-La’s growth potential is largely tied to its ability to navigate the luxury market while potentially expanding into emerging regions. In contrast, Premier Inn’s growth is focused on its budget-friendly model, making it well-suited for expansion into European markets. While both companies have robust strategies, Premier Inn may have a more stable trajectory due to its affordable offerings and technology-driven efficiency. However, Shangri-La’s ability to command higher margins through its luxury services means that it could generate significant returns in the right market conditions.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 xml:space="preserve">Shangri-La Hotels emphasizes sustainability and eco-friendly operations as core components of its CSR strategy. The company has made significant financial investments in green energy and sustainable tourism initiatives, particularly through projects like the Sanctuary, Care for Nature, which focuses on biodiversity conservation across key regions where the company operates. Additionally, the Embrace, Care for People project works on improving education and healthcare in underprivileged communities (Shangri-La Group, 2023). Shangri-La’s commitment to environmental responsibility has boosted its reputation among eco-conscious luxury </w:t>
          </w:r>
          <w:proofErr w:type="gramStart"/>
          <w:r w:rsidRPr="006029DC">
            <w:rPr>
              <w:rFonts w:ascii="Arial" w:hAnsi="Arial" w:cs="Arial"/>
              <w:sz w:val="24"/>
              <w:szCs w:val="24"/>
            </w:rPr>
            <w:t>guests,</w:t>
          </w:r>
          <w:proofErr w:type="gramEnd"/>
          <w:r w:rsidRPr="006029DC">
            <w:rPr>
              <w:rFonts w:ascii="Arial" w:hAnsi="Arial" w:cs="Arial"/>
              <w:sz w:val="24"/>
              <w:szCs w:val="24"/>
            </w:rPr>
            <w:t xml:space="preserve"> enhancing brand perception and helping the company align its luxury offerings with modern sustainability trends.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The company’s approach to sustainability has earned it recognition, including being listed on the Dow Jones Sustainability Indices (DJSI) for its leadership in corporate social responsibility (Green Lodging News, 2024).</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 xml:space="preserve">Premier Inn takes a different approach to CSR, focusing on sustainability through its Force for Good initiative. This program emphasizes energy efficiency, waste reduction, and community support, making Premier Inn a leader in budget-friendly sustainability. The company has made substantial investments in energy-efficient buildings and actively reduces its environmental footprint through innovations like eco-friendly designs and waste management programs (Whitbread PLC, 2023). </w:t>
          </w:r>
          <w:r w:rsidRPr="006029DC">
            <w:rPr>
              <w:rFonts w:ascii="Arial" w:hAnsi="Arial" w:cs="Arial"/>
              <w:sz w:val="24"/>
              <w:szCs w:val="24"/>
            </w:rPr>
            <w:lastRenderedPageBreak/>
            <w:t>These initiatives are integrated into Premier Inn's business model, ensuring that sustainability aligns with the brand's commitment to offering affordable and responsible tourism options to its customers.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While Shangri-La’s CSR efforts are focused on luxury-based sustainability, with substantial investments in high-end environmental and community initiatives, Premier Inn’s approach is more cost-efficient, focusing on long-term energy savings and waste reduction. Both approaches reflect the companies’ broader market strategies, with Shangri-La leveraging CSR to strengthen its luxury brand, while Premier Inn incorporates sustainability into its affordable, scalable business model.</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To ensure long-term stability, Shangri-La should consider diversifying into mid-tier markets. This would reduce its heavy reliance on luxury guests and help the company capture a broader customer base, including business guests and younger tourists seeking premium yet affordable experiences. By entering the mid-tier segment, Shangri-La can further leverage its strong brand reputation in regions like Asia and Europe, which are seeing increased demand for such offerings. Additionally, investing in digital tra</w:t>
          </w:r>
          <w:r w:rsidR="00C16A08">
            <w:rPr>
              <w:rFonts w:ascii="Arial" w:hAnsi="Arial" w:cs="Arial"/>
              <w:sz w:val="24"/>
              <w:szCs w:val="24"/>
            </w:rPr>
            <w:t>nsformation</w:t>
          </w:r>
          <w:r w:rsidRPr="006029DC">
            <w:rPr>
              <w:rFonts w:ascii="Arial" w:hAnsi="Arial" w:cs="Arial"/>
              <w:sz w:val="24"/>
              <w:szCs w:val="24"/>
            </w:rPr>
            <w:t xml:space="preserve"> will enhance customer engagement through personalized online services, improved booking platforms, and data-driven marketing strategies. This shift will ensure Shangri-La stays competitive in an increasingly digital world (</w:t>
          </w:r>
          <w:proofErr w:type="spellStart"/>
          <w:r w:rsidRPr="006029DC">
            <w:rPr>
              <w:rFonts w:ascii="Arial" w:hAnsi="Arial" w:cs="Arial"/>
              <w:sz w:val="24"/>
              <w:szCs w:val="24"/>
            </w:rPr>
            <w:t>GlobalData</w:t>
          </w:r>
          <w:proofErr w:type="spellEnd"/>
          <w:r w:rsidRPr="006029DC">
            <w:rPr>
              <w:rFonts w:ascii="Arial" w:hAnsi="Arial" w:cs="Arial"/>
              <w:sz w:val="24"/>
              <w:szCs w:val="24"/>
            </w:rPr>
            <w:t>, 2023).</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Premier Inn should continue its international expansion, particularly in Germany, where it has successfully replicated its UK model. Expanding into other European markets will diversify its revenue sources and help reduce dependency on the UK. Additionally, Premier Inn should prioritize investment in technology, focusing on operational efficiency and improving the guest experience. With the adoption of energy-efficient technologies and digital check-ins, Premier Inn can enhance customer satisfaction while reducing costs. These investments will further solidify its position as a leader in the budget hotel sector, making it more competitive against local and international players (THP News, 2024).</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 xml:space="preserve">In comparing Shangri-La Hotels and Premier Inn, several key differences emerge. Shangri-La, with its luxury focus, generates higher revenue per guest but faces greater volatility, particularly during global economic disruptions. Its reliance on high-end guests means it must carefully manage growth, especially in emerging markets. </w:t>
          </w:r>
          <w:r w:rsidRPr="006029DC">
            <w:rPr>
              <w:rFonts w:ascii="Arial" w:hAnsi="Arial" w:cs="Arial"/>
              <w:sz w:val="24"/>
              <w:szCs w:val="24"/>
            </w:rPr>
            <w:lastRenderedPageBreak/>
            <w:t>On the other hand, Premier Inn's budget-focused model has provided more stable revenue streams, aided by its strong market position in the UK and expansion into Europe.</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In terms of growth potential, Premier Inn's steady international expansion and technology investments give it a competitive edge. Shangri-La’s future growth relies on its ability to diversify and expand beyond luxury markets. Regarding CSR, Shangri-La's luxury-driven sustainability initiatives contrast with Premier Inn’s cost-efficient, long-term approach, with both aligning CSR efforts to their market strategies.</w:t>
          </w:r>
        </w:p>
        <w:p w:rsidR="006029DC" w:rsidRPr="006029DC" w:rsidRDefault="006029DC" w:rsidP="006029DC">
          <w:pPr>
            <w:spacing w:line="360" w:lineRule="auto"/>
            <w:jc w:val="both"/>
            <w:rPr>
              <w:rFonts w:ascii="Arial" w:hAnsi="Arial" w:cs="Arial"/>
              <w:sz w:val="24"/>
              <w:szCs w:val="24"/>
            </w:rPr>
          </w:pPr>
          <w:r w:rsidRPr="006029DC">
            <w:rPr>
              <w:rFonts w:ascii="Arial" w:hAnsi="Arial" w:cs="Arial"/>
              <w:sz w:val="24"/>
              <w:szCs w:val="24"/>
            </w:rPr>
            <w:t>Ultimately, effective financial management is crucial for both hotels' long-term sustainability. While Shangri-La's strength lies in its premium brand, its vulnerability to external risks requires careful diversification. Premier Inn, by contrast, benefits from its resilient, affordable model but must continue to innovate to maintain its position.</w:t>
          </w:r>
        </w:p>
        <w:p w:rsidR="006029DC" w:rsidRDefault="006029DC"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p w:rsidR="007A3433" w:rsidRDefault="007A3433" w:rsidP="006029DC"/>
        <w:sdt>
          <w:sdtPr>
            <w:rPr>
              <w:rFonts w:asciiTheme="minorHAnsi" w:eastAsiaTheme="minorHAnsi" w:hAnsiTheme="minorHAnsi" w:cstheme="minorBidi"/>
              <w:color w:val="auto"/>
              <w:kern w:val="2"/>
              <w:sz w:val="22"/>
              <w:szCs w:val="22"/>
              <w:lang w:val="en-GB"/>
            </w:rPr>
            <w:id w:val="455854240"/>
            <w:docPartObj>
              <w:docPartGallery w:val="Table of Contents"/>
              <w:docPartUnique/>
            </w:docPartObj>
          </w:sdtPr>
          <w:sdtContent>
            <w:p w:rsidR="007A3433" w:rsidRDefault="007A3433" w:rsidP="007A3433">
              <w:pPr>
                <w:pStyle w:val="TOCHeading"/>
              </w:pPr>
              <w:r>
                <w:t>References</w:t>
              </w:r>
            </w:p>
            <w:p w:rsidR="007A3433" w:rsidRDefault="007A3433" w:rsidP="007A3433">
              <w:r>
                <w:t>THP News. (2024). Premier Inn pushes ahead with expansion in the UK and Germany. Available at: https://tophotel.news/premi</w:t>
              </w:r>
              <w:r w:rsidR="00D977DB">
                <w:t>er-inn-pushes-ahead [Accessed 15</w:t>
              </w:r>
              <w:r>
                <w:t xml:space="preserve"> Oct. 2024].</w:t>
              </w:r>
            </w:p>
            <w:p w:rsidR="007A3433" w:rsidRDefault="007A3433" w:rsidP="007A3433">
              <w:r>
                <w:t xml:space="preserve">Shangri-La Group. </w:t>
              </w:r>
              <w:proofErr w:type="gramStart"/>
              <w:r>
                <w:t>(2023). Sustainability Report.</w:t>
              </w:r>
              <w:proofErr w:type="gramEnd"/>
              <w:r>
                <w:t xml:space="preserve"> Available at: https://www.shangri-la.com/group/sustainability/report [Accessed </w:t>
              </w:r>
              <w:r w:rsidR="00593698">
                <w:t>17</w:t>
              </w:r>
              <w:r>
                <w:t xml:space="preserve"> Oct. 2024].</w:t>
              </w:r>
            </w:p>
            <w:p w:rsidR="007A3433" w:rsidRDefault="007A3433" w:rsidP="007A3433">
              <w:proofErr w:type="gramStart"/>
              <w:r>
                <w:t>Green Lodging News.</w:t>
              </w:r>
              <w:proofErr w:type="gramEnd"/>
              <w:r>
                <w:t xml:space="preserve"> (2024). Shangri-La Asia Recognized for Sustainability Leadership. Available at: https://www.g</w:t>
              </w:r>
              <w:r w:rsidR="00593698">
                <w:t>reenlodgingnews.com [Accessed 17</w:t>
              </w:r>
              <w:r>
                <w:t xml:space="preserve"> Oct. 2024].</w:t>
              </w:r>
            </w:p>
            <w:p w:rsidR="007A3433" w:rsidRDefault="007A3433" w:rsidP="007A3433">
              <w:r>
                <w:t>Whitbread PLC. (2023). Force for Good Annual Report. Available at: https://www.whitbread.co.uk [Accessed 16 Oct. 2024].</w:t>
              </w:r>
            </w:p>
            <w:p w:rsidR="007A3433" w:rsidRDefault="007A3433" w:rsidP="007A3433">
              <w:proofErr w:type="spellStart"/>
              <w:proofErr w:type="gramStart"/>
              <w:r>
                <w:t>ChinaTravelNews</w:t>
              </w:r>
              <w:proofErr w:type="spellEnd"/>
              <w:r>
                <w:t xml:space="preserve"> (2024).</w:t>
              </w:r>
              <w:proofErr w:type="gramEnd"/>
              <w:r>
                <w:t xml:space="preserve"> Shangri-La Group's 2023 revenue recovers to 95% of 2019. Available at: https://www.chinatravelnews.com/article/180835 [Accessed 16 Oct. 2024].</w:t>
              </w:r>
            </w:p>
            <w:p w:rsidR="007A3433" w:rsidRDefault="007A3433" w:rsidP="007A3433">
              <w:proofErr w:type="spellStart"/>
              <w:proofErr w:type="gramStart"/>
              <w:r>
                <w:t>Mingtiandi</w:t>
              </w:r>
              <w:proofErr w:type="spellEnd"/>
              <w:r>
                <w:t xml:space="preserve"> (2023).</w:t>
              </w:r>
              <w:proofErr w:type="gramEnd"/>
              <w:r>
                <w:t xml:space="preserve"> Shangri-La Returned to Profit in 2023 with 47% Revenue Jump. Available at: https://www.mingtiandi.com [Accessed 16 Oct. 2024].</w:t>
              </w:r>
            </w:p>
            <w:p w:rsidR="007A3433" w:rsidRDefault="007A3433" w:rsidP="007A3433">
              <w:proofErr w:type="spellStart"/>
              <w:proofErr w:type="gramStart"/>
              <w:r>
                <w:t>Globetrender</w:t>
              </w:r>
              <w:proofErr w:type="spellEnd"/>
              <w:r>
                <w:t xml:space="preserve"> (2023).</w:t>
              </w:r>
              <w:proofErr w:type="gramEnd"/>
              <w:r>
                <w:t xml:space="preserve"> Shangri-La Group reveals luxury hospitality shifts for 2023. Available at: https://globetrender.com [Accessed 16 Oct. 2024].</w:t>
              </w:r>
            </w:p>
            <w:p w:rsidR="007A3433" w:rsidRDefault="007A3433" w:rsidP="007A3433">
              <w:proofErr w:type="gramStart"/>
              <w:r>
                <w:t>Shangri-La Annual Report 2019, p. 11 (a), 11 (b), 14, 20, 23, 26.</w:t>
              </w:r>
              <w:proofErr w:type="gramEnd"/>
            </w:p>
            <w:p w:rsidR="007A3433" w:rsidRDefault="007A3433" w:rsidP="007A3433">
              <w:proofErr w:type="gramStart"/>
              <w:r>
                <w:t>Shangri-La Annual Report 2020, p. 17 (a), 17 (b), 19, 24, 27, 30.</w:t>
              </w:r>
              <w:proofErr w:type="gramEnd"/>
            </w:p>
            <w:p w:rsidR="007A3433" w:rsidRDefault="007A3433" w:rsidP="007A3433">
              <w:proofErr w:type="gramStart"/>
              <w:r>
                <w:t>Shangri-La Annual Report 2021, p. 9 (a), 9 (b), 12, 18, 21, 25.</w:t>
              </w:r>
              <w:proofErr w:type="gramEnd"/>
            </w:p>
            <w:p w:rsidR="007A3433" w:rsidRDefault="007A3433" w:rsidP="007A3433">
              <w:proofErr w:type="gramStart"/>
              <w:r>
                <w:t>Shangri-La Annual Report 2022, p. 12 (a), 12 (b), 14, 28, 34, 38.</w:t>
              </w:r>
              <w:proofErr w:type="gramEnd"/>
            </w:p>
            <w:p w:rsidR="007A3433" w:rsidRDefault="007A3433" w:rsidP="007A3433">
              <w:proofErr w:type="gramStart"/>
              <w:r>
                <w:t>Shangri-La Annual Report 2023, p. 15 (a), 15 (b), 18, 25, 35, 39.</w:t>
              </w:r>
              <w:proofErr w:type="gramEnd"/>
            </w:p>
            <w:p w:rsidR="007A3433" w:rsidRDefault="007A3433" w:rsidP="007A3433">
              <w:proofErr w:type="gramStart"/>
              <w:r>
                <w:t>The Caterer.</w:t>
              </w:r>
              <w:proofErr w:type="gramEnd"/>
              <w:r>
                <w:t xml:space="preserve"> (2023). Premier Inn Owner Reports Revenues 27% Ahead of Pre-Pandemic Levels. Available at: https://www.thecaterer.com [Accessed 16 Oct. 2024].</w:t>
              </w:r>
            </w:p>
            <w:p w:rsidR="007A3433" w:rsidRDefault="007A3433" w:rsidP="007A3433">
              <w:proofErr w:type="gramStart"/>
              <w:r>
                <w:t>Hospitality Net.</w:t>
              </w:r>
              <w:proofErr w:type="gramEnd"/>
              <w:r>
                <w:t xml:space="preserve"> (2023). Shangri-La Group Releases 2022 Full Year Results. Available at: https://www.hospitalitynet.org/news/4115617.html [Accessed 16 Oct. 2024].</w:t>
              </w:r>
            </w:p>
            <w:p w:rsidR="007A3433" w:rsidRDefault="007A3433" w:rsidP="007A3433">
              <w:proofErr w:type="spellStart"/>
              <w:proofErr w:type="gramStart"/>
              <w:r>
                <w:t>GlobalData</w:t>
              </w:r>
              <w:proofErr w:type="spellEnd"/>
              <w:r>
                <w:t>.</w:t>
              </w:r>
              <w:proofErr w:type="gramEnd"/>
              <w:r>
                <w:t xml:space="preserve"> (2023). Shangri-La Hotels &amp; Resorts: Company Profile and SWOT Analysis. Available at: https:/</w:t>
              </w:r>
              <w:r w:rsidR="00593698">
                <w:t>/www.globaldata.com [Accessed 18</w:t>
              </w:r>
              <w:r>
                <w:t xml:space="preserve"> Oct. 2024].</w:t>
              </w:r>
            </w:p>
            <w:p w:rsidR="007A3433" w:rsidRDefault="007A3433" w:rsidP="007A3433">
              <w:proofErr w:type="spellStart"/>
              <w:proofErr w:type="gramStart"/>
              <w:r>
                <w:t>MartinRoll</w:t>
              </w:r>
              <w:proofErr w:type="spellEnd"/>
              <w:r>
                <w:t>.</w:t>
              </w:r>
              <w:proofErr w:type="gramEnd"/>
              <w:r>
                <w:t xml:space="preserve"> (2023). Shangri-La Hotels: Strategies for growth in luxury markets. Available at: https://www.martinroll.com [Accessed 16 Oct. 2024].</w:t>
              </w:r>
            </w:p>
            <w:p w:rsidR="007A3433" w:rsidRDefault="007A3433" w:rsidP="007A3433">
              <w:r>
                <w:t>Whitbread PLC. (2023). Annual Report: Premier Inn Growth Strategy 2023. Available at: https://</w:t>
              </w:r>
              <w:r w:rsidR="00593698">
                <w:t>www.whitbread.co.uk [Accessed 18</w:t>
              </w:r>
              <w:r>
                <w:t>Oct. 2024].</w:t>
              </w:r>
            </w:p>
            <w:p w:rsidR="006029DC" w:rsidRPr="007F095B" w:rsidRDefault="007A3433" w:rsidP="006029DC">
              <w:proofErr w:type="spellStart"/>
              <w:proofErr w:type="gramStart"/>
              <w:r>
                <w:t>GlobalData</w:t>
              </w:r>
              <w:proofErr w:type="spellEnd"/>
              <w:r>
                <w:t>.</w:t>
              </w:r>
              <w:proofErr w:type="gramEnd"/>
              <w:r>
                <w:t xml:space="preserve"> </w:t>
              </w:r>
              <w:proofErr w:type="gramStart"/>
              <w:r>
                <w:t>(2023). Shangri-La Hotels &amp; Resorts Expansion and Diversification Strategy.</w:t>
              </w:r>
              <w:proofErr w:type="gramEnd"/>
              <w:r>
                <w:t xml:space="preserve"> Available at: https://www.globaldata.com [Accessed 16 Oct. 2024].</w:t>
              </w:r>
            </w:p>
          </w:sdtContent>
        </w:sdt>
        <w:p w:rsidR="006029DC" w:rsidRDefault="006029DC" w:rsidP="006029DC"/>
        <w:p w:rsidR="00B10EEB" w:rsidRPr="00A23E40" w:rsidRDefault="00F028B9" w:rsidP="00A23E40">
          <w:pPr>
            <w:spacing w:line="360" w:lineRule="auto"/>
            <w:jc w:val="both"/>
            <w:rPr>
              <w:rFonts w:ascii="Arial" w:hAnsi="Arial" w:cs="Arial"/>
              <w:sz w:val="24"/>
              <w:szCs w:val="24"/>
            </w:rPr>
          </w:pPr>
        </w:p>
      </w:sdtContent>
    </w:sdt>
    <w:sectPr w:rsidR="00B10EEB" w:rsidRPr="00A23E40" w:rsidSect="00C92401">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E369B1"/>
    <w:multiLevelType w:val="hybridMultilevel"/>
    <w:tmpl w:val="BD2A69B8"/>
    <w:lvl w:ilvl="0" w:tplc="1DA4A4EE">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2">
    <w:nsid w:val="605D151E"/>
    <w:multiLevelType w:val="hybridMultilevel"/>
    <w:tmpl w:val="605288C2"/>
    <w:lvl w:ilvl="0" w:tplc="0409000F">
      <w:start w:val="1"/>
      <w:numFmt w:val="decimal"/>
      <w:lvlText w:val="%1."/>
      <w:lvlJc w:val="left"/>
      <w:pPr>
        <w:ind w:left="786"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36D94"/>
    <w:rsid w:val="0000555F"/>
    <w:rsid w:val="001944D2"/>
    <w:rsid w:val="001A3A86"/>
    <w:rsid w:val="001A538D"/>
    <w:rsid w:val="002353F9"/>
    <w:rsid w:val="00236D94"/>
    <w:rsid w:val="002F5171"/>
    <w:rsid w:val="00311D2D"/>
    <w:rsid w:val="00320E9E"/>
    <w:rsid w:val="00344575"/>
    <w:rsid w:val="003A6B41"/>
    <w:rsid w:val="003F0E59"/>
    <w:rsid w:val="00452264"/>
    <w:rsid w:val="0046251C"/>
    <w:rsid w:val="004D0DDB"/>
    <w:rsid w:val="00593698"/>
    <w:rsid w:val="005C4254"/>
    <w:rsid w:val="005F6D1B"/>
    <w:rsid w:val="006029DC"/>
    <w:rsid w:val="00692D74"/>
    <w:rsid w:val="006B1BAF"/>
    <w:rsid w:val="006D67A2"/>
    <w:rsid w:val="007906CC"/>
    <w:rsid w:val="007A3433"/>
    <w:rsid w:val="007F095B"/>
    <w:rsid w:val="008404F4"/>
    <w:rsid w:val="00875222"/>
    <w:rsid w:val="008804EC"/>
    <w:rsid w:val="00885F54"/>
    <w:rsid w:val="008B5222"/>
    <w:rsid w:val="009C5A42"/>
    <w:rsid w:val="009E3529"/>
    <w:rsid w:val="00A23E40"/>
    <w:rsid w:val="00A32A5D"/>
    <w:rsid w:val="00A41990"/>
    <w:rsid w:val="00A644C6"/>
    <w:rsid w:val="00AA7399"/>
    <w:rsid w:val="00AA7A9F"/>
    <w:rsid w:val="00AF21C9"/>
    <w:rsid w:val="00B10EEB"/>
    <w:rsid w:val="00B138FE"/>
    <w:rsid w:val="00B22749"/>
    <w:rsid w:val="00B62CE2"/>
    <w:rsid w:val="00B8340D"/>
    <w:rsid w:val="00C16A08"/>
    <w:rsid w:val="00C6278F"/>
    <w:rsid w:val="00C92401"/>
    <w:rsid w:val="00CC1DA2"/>
    <w:rsid w:val="00CD4F40"/>
    <w:rsid w:val="00CF12B9"/>
    <w:rsid w:val="00D157C5"/>
    <w:rsid w:val="00D41A15"/>
    <w:rsid w:val="00D46A11"/>
    <w:rsid w:val="00D61CC4"/>
    <w:rsid w:val="00D977DB"/>
    <w:rsid w:val="00E016A2"/>
    <w:rsid w:val="00E63B2A"/>
    <w:rsid w:val="00E90F3C"/>
    <w:rsid w:val="00E940D6"/>
    <w:rsid w:val="00F028B9"/>
    <w:rsid w:val="00FD086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0DDB"/>
  </w:style>
  <w:style w:type="paragraph" w:styleId="Heading1">
    <w:name w:val="heading 1"/>
    <w:basedOn w:val="Normal"/>
    <w:next w:val="Normal"/>
    <w:link w:val="Heading1Char"/>
    <w:uiPriority w:val="9"/>
    <w:qFormat/>
    <w:rsid w:val="00D6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240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92401"/>
    <w:rPr>
      <w:rFonts w:eastAsiaTheme="minorEastAsia"/>
      <w:kern w:val="0"/>
      <w:lang w:val="en-US"/>
    </w:rPr>
  </w:style>
  <w:style w:type="character" w:customStyle="1" w:styleId="Heading1Char">
    <w:name w:val="Heading 1 Char"/>
    <w:basedOn w:val="DefaultParagraphFont"/>
    <w:link w:val="Heading1"/>
    <w:uiPriority w:val="9"/>
    <w:rsid w:val="00D61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1CC4"/>
    <w:pPr>
      <w:outlineLvl w:val="9"/>
    </w:pPr>
    <w:rPr>
      <w:kern w:val="0"/>
      <w:lang w:val="en-US"/>
    </w:rPr>
  </w:style>
  <w:style w:type="paragraph" w:styleId="BalloonText">
    <w:name w:val="Balloon Text"/>
    <w:basedOn w:val="Normal"/>
    <w:link w:val="BalloonTextChar"/>
    <w:uiPriority w:val="99"/>
    <w:semiHidden/>
    <w:unhideWhenUsed/>
    <w:rsid w:val="00CF1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2B9"/>
    <w:rPr>
      <w:rFonts w:ascii="Tahoma" w:hAnsi="Tahoma" w:cs="Tahoma"/>
      <w:sz w:val="16"/>
      <w:szCs w:val="16"/>
    </w:rPr>
  </w:style>
  <w:style w:type="paragraph" w:styleId="ListParagraph">
    <w:name w:val="List Paragraph"/>
    <w:basedOn w:val="Normal"/>
    <w:uiPriority w:val="34"/>
    <w:qFormat/>
    <w:rsid w:val="00B22749"/>
    <w:pPr>
      <w:ind w:left="720"/>
      <w:contextualSpacing/>
    </w:pPr>
  </w:style>
  <w:style w:type="table" w:styleId="LightGrid-Accent1">
    <w:name w:val="Light Grid Accent 1"/>
    <w:basedOn w:val="TableNormal"/>
    <w:uiPriority w:val="62"/>
    <w:rsid w:val="006029DC"/>
    <w:pPr>
      <w:spacing w:after="0" w:line="240" w:lineRule="auto"/>
    </w:pPr>
    <w:rPr>
      <w:rFonts w:eastAsiaTheme="minorEastAsia"/>
      <w:kern w:val="0"/>
      <w:lang w:val="en-US"/>
    </w:rPr>
    <w:tblPr>
      <w:tblStyleRowBandSize w:val="1"/>
      <w:tblStyleColBandSize w:val="1"/>
      <w:tblInd w:w="0" w:type="dxa"/>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C89D3-193D-48BD-879C-4DB3B9197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11</Pages>
  <Words>2928</Words>
  <Characters>16691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Business Report - Comparison of Two Hospitality Organisations</vt:lpstr>
    </vt:vector>
  </TitlesOfParts>
  <Company/>
  <LinksUpToDate>false</LinksUpToDate>
  <CharactersWithSpaces>19580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Comparison of Two Hospitality Organisations</dc:title>
  <dc:subject/>
  <cp:keywords/>
  <dc:description/>
  <dcterms:created xsi:type="dcterms:W3CDTF">2024-05-13T15:58:00Z</dcterms:created>
  <dcterms:modified xsi:type="dcterms:W3CDTF">2024-10-18T19:55:00Z</dcterms:modified>
  <cp:category>Financial Management for the Hotel Industry BMIH5007                                                                          Lecturer: Tristan Hawkins                                                                                                                              Student name: Razvan Cristian Nicolae                                                                                                  Student ID: 2222787</cp:category>
</cp:coreProperties>
</file>