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49156B" w14:textId="294890EC" w:rsidR="005E5032" w:rsidRPr="005D6017" w:rsidRDefault="00AA69F5">
      <w:pPr>
        <w:rPr>
          <w:rFonts w:ascii="Calibri" w:hAnsi="Calibri" w:cs="Calibri"/>
          <w:b/>
          <w:bCs/>
        </w:rPr>
      </w:pPr>
      <w:r w:rsidRPr="005D6017">
        <w:rPr>
          <w:rFonts w:ascii="Calibri" w:hAnsi="Calibri" w:cs="Calibri"/>
          <w:b/>
          <w:bCs/>
        </w:rPr>
        <w:t>Assignment 2</w:t>
      </w:r>
      <w:r w:rsidR="001046D7" w:rsidRPr="005D6017">
        <w:rPr>
          <w:rFonts w:ascii="Calibri" w:hAnsi="Calibri" w:cs="Calibri"/>
          <w:b/>
          <w:bCs/>
        </w:rPr>
        <w:t xml:space="preserve">: </w:t>
      </w:r>
      <w:r w:rsidRPr="005D6017">
        <w:rPr>
          <w:rFonts w:ascii="Calibri" w:hAnsi="Calibri" w:cs="Calibri"/>
          <w:b/>
          <w:bCs/>
        </w:rPr>
        <w:t>Discuss the following statement by providing examples: Should all museum collections be on public display?</w:t>
      </w:r>
    </w:p>
    <w:p w14:paraId="1EDAAED9" w14:textId="7464C837" w:rsidR="005E5032" w:rsidRPr="005D6017" w:rsidRDefault="008D1121">
      <w:pPr>
        <w:rPr>
          <w:rFonts w:ascii="Calibri" w:hAnsi="Calibri" w:cs="Calibri"/>
        </w:rPr>
      </w:pPr>
      <w:r w:rsidRPr="005D6017">
        <w:rPr>
          <w:rFonts w:ascii="Calibri" w:hAnsi="Calibri" w:cs="Calibri"/>
        </w:rPr>
        <w:tab/>
        <w:t xml:space="preserve">Museum collections being on display </w:t>
      </w:r>
      <w:r w:rsidR="00727516" w:rsidRPr="005D6017">
        <w:rPr>
          <w:rFonts w:ascii="Calibri" w:hAnsi="Calibri" w:cs="Calibri"/>
        </w:rPr>
        <w:t>are truly a</w:t>
      </w:r>
      <w:r w:rsidR="00075953" w:rsidRPr="005D6017">
        <w:rPr>
          <w:rFonts w:ascii="Calibri" w:hAnsi="Calibri" w:cs="Calibri"/>
        </w:rPr>
        <w:t>n</w:t>
      </w:r>
      <w:r w:rsidR="00727516" w:rsidRPr="005D6017">
        <w:rPr>
          <w:rFonts w:ascii="Calibri" w:hAnsi="Calibri" w:cs="Calibri"/>
        </w:rPr>
        <w:t xml:space="preserve"> ethica</w:t>
      </w:r>
      <w:r w:rsidR="00075953" w:rsidRPr="005D6017">
        <w:rPr>
          <w:rFonts w:ascii="Calibri" w:hAnsi="Calibri" w:cs="Calibri"/>
        </w:rPr>
        <w:t>l</w:t>
      </w:r>
      <w:r w:rsidR="004959DB" w:rsidRPr="005D6017">
        <w:rPr>
          <w:rFonts w:ascii="Calibri" w:hAnsi="Calibri" w:cs="Calibri"/>
        </w:rPr>
        <w:t xml:space="preserve"> and moral </w:t>
      </w:r>
      <w:r w:rsidR="00075953" w:rsidRPr="005D6017">
        <w:rPr>
          <w:rFonts w:ascii="Calibri" w:hAnsi="Calibri" w:cs="Calibri"/>
        </w:rPr>
        <w:t>obligation</w:t>
      </w:r>
      <w:r w:rsidR="004959DB" w:rsidRPr="005D6017">
        <w:rPr>
          <w:rFonts w:ascii="Calibri" w:hAnsi="Calibri" w:cs="Calibri"/>
        </w:rPr>
        <w:t xml:space="preserve"> of the modern museum. </w:t>
      </w:r>
      <w:r w:rsidR="00075953" w:rsidRPr="005D6017">
        <w:rPr>
          <w:rFonts w:ascii="Calibri" w:hAnsi="Calibri" w:cs="Calibri"/>
        </w:rPr>
        <w:t xml:space="preserve">However, it is also understood that there is a </w:t>
      </w:r>
      <w:r w:rsidR="00C00FB9" w:rsidRPr="005D6017">
        <w:rPr>
          <w:rFonts w:ascii="Calibri" w:hAnsi="Calibri" w:cs="Calibri"/>
        </w:rPr>
        <w:t>practical</w:t>
      </w:r>
      <w:r w:rsidR="00075953" w:rsidRPr="005D6017">
        <w:rPr>
          <w:rFonts w:ascii="Calibri" w:hAnsi="Calibri" w:cs="Calibri"/>
        </w:rPr>
        <w:t xml:space="preserve"> issue at hand.</w:t>
      </w:r>
      <w:r w:rsidR="00DE322E" w:rsidRPr="005D6017">
        <w:rPr>
          <w:rFonts w:ascii="Calibri" w:hAnsi="Calibri" w:cs="Calibri"/>
        </w:rPr>
        <w:t xml:space="preserve"> This essay </w:t>
      </w:r>
      <w:r w:rsidR="007F1D46" w:rsidRPr="005D6017">
        <w:rPr>
          <w:rFonts w:ascii="Calibri" w:hAnsi="Calibri" w:cs="Calibri"/>
        </w:rPr>
        <w:t xml:space="preserve">will discuss the ethics and duty museums </w:t>
      </w:r>
      <w:proofErr w:type="gramStart"/>
      <w:r w:rsidR="007F1D46" w:rsidRPr="005D6017">
        <w:rPr>
          <w:rFonts w:ascii="Calibri" w:hAnsi="Calibri" w:cs="Calibri"/>
        </w:rPr>
        <w:t>have to</w:t>
      </w:r>
      <w:proofErr w:type="gramEnd"/>
      <w:r w:rsidR="007F1D46" w:rsidRPr="005D6017">
        <w:rPr>
          <w:rFonts w:ascii="Calibri" w:hAnsi="Calibri" w:cs="Calibri"/>
        </w:rPr>
        <w:t xml:space="preserve"> </w:t>
      </w:r>
      <w:r w:rsidR="00C00FB9" w:rsidRPr="005D6017">
        <w:rPr>
          <w:rFonts w:ascii="Calibri" w:hAnsi="Calibri" w:cs="Calibri"/>
        </w:rPr>
        <w:t>place</w:t>
      </w:r>
      <w:r w:rsidR="007F1D46" w:rsidRPr="005D6017">
        <w:rPr>
          <w:rFonts w:ascii="Calibri" w:hAnsi="Calibri" w:cs="Calibri"/>
        </w:rPr>
        <w:t xml:space="preserve"> all items on display, </w:t>
      </w:r>
      <w:r w:rsidR="00222BA7" w:rsidRPr="005D6017">
        <w:rPr>
          <w:rFonts w:ascii="Calibri" w:hAnsi="Calibri" w:cs="Calibri"/>
        </w:rPr>
        <w:t xml:space="preserve">and </w:t>
      </w:r>
      <w:r w:rsidR="007F1D46" w:rsidRPr="005D6017">
        <w:rPr>
          <w:rFonts w:ascii="Calibri" w:hAnsi="Calibri" w:cs="Calibri"/>
        </w:rPr>
        <w:t xml:space="preserve">ways in which this can be achieved </w:t>
      </w:r>
      <w:r w:rsidR="00471E3C" w:rsidRPr="005D6017">
        <w:rPr>
          <w:rFonts w:ascii="Calibri" w:hAnsi="Calibri" w:cs="Calibri"/>
        </w:rPr>
        <w:t>through example</w:t>
      </w:r>
      <w:r w:rsidR="00C00FB9" w:rsidRPr="005D6017">
        <w:rPr>
          <w:rFonts w:ascii="Calibri" w:hAnsi="Calibri" w:cs="Calibri"/>
        </w:rPr>
        <w:t>s</w:t>
      </w:r>
      <w:r w:rsidR="00471E3C" w:rsidRPr="005D6017">
        <w:rPr>
          <w:rFonts w:ascii="Calibri" w:hAnsi="Calibri" w:cs="Calibri"/>
        </w:rPr>
        <w:t xml:space="preserve"> of projects currently taking place to </w:t>
      </w:r>
      <w:r w:rsidR="00222BA7" w:rsidRPr="005D6017">
        <w:rPr>
          <w:rFonts w:ascii="Calibri" w:hAnsi="Calibri" w:cs="Calibri"/>
        </w:rPr>
        <w:t>overcome</w:t>
      </w:r>
      <w:r w:rsidR="00471E3C" w:rsidRPr="005D6017">
        <w:rPr>
          <w:rFonts w:ascii="Calibri" w:hAnsi="Calibri" w:cs="Calibri"/>
        </w:rPr>
        <w:t xml:space="preserve"> </w:t>
      </w:r>
      <w:r w:rsidR="00C00FB9" w:rsidRPr="005D6017">
        <w:rPr>
          <w:rFonts w:ascii="Calibri" w:hAnsi="Calibri" w:cs="Calibri"/>
        </w:rPr>
        <w:t>practical</w:t>
      </w:r>
      <w:r w:rsidR="00471E3C" w:rsidRPr="005D6017">
        <w:rPr>
          <w:rFonts w:ascii="Calibri" w:hAnsi="Calibri" w:cs="Calibri"/>
        </w:rPr>
        <w:t xml:space="preserve"> issues</w:t>
      </w:r>
      <w:r w:rsidR="00222BA7" w:rsidRPr="005D6017">
        <w:rPr>
          <w:rFonts w:ascii="Calibri" w:hAnsi="Calibri" w:cs="Calibri"/>
        </w:rPr>
        <w:t xml:space="preserve">. </w:t>
      </w:r>
      <w:r w:rsidR="005C34F1" w:rsidRPr="005D6017">
        <w:rPr>
          <w:rFonts w:ascii="Calibri" w:hAnsi="Calibri" w:cs="Calibri"/>
        </w:rPr>
        <w:t>On the other hand</w:t>
      </w:r>
      <w:r w:rsidR="00416193" w:rsidRPr="005D6017">
        <w:rPr>
          <w:rFonts w:ascii="Calibri" w:hAnsi="Calibri" w:cs="Calibri"/>
        </w:rPr>
        <w:t>,</w:t>
      </w:r>
      <w:r w:rsidR="005C34F1" w:rsidRPr="005D6017">
        <w:rPr>
          <w:rFonts w:ascii="Calibri" w:hAnsi="Calibri" w:cs="Calibri"/>
        </w:rPr>
        <w:t xml:space="preserve"> it will also look at the </w:t>
      </w:r>
      <w:r w:rsidR="00471E3C" w:rsidRPr="005D6017">
        <w:rPr>
          <w:rFonts w:ascii="Calibri" w:hAnsi="Calibri" w:cs="Calibri"/>
        </w:rPr>
        <w:t>potential downside of</w:t>
      </w:r>
      <w:r w:rsidR="00125E4F" w:rsidRPr="005D6017">
        <w:rPr>
          <w:rFonts w:ascii="Calibri" w:hAnsi="Calibri" w:cs="Calibri"/>
        </w:rPr>
        <w:t xml:space="preserve"> access to all collections</w:t>
      </w:r>
      <w:r w:rsidR="00471E3C" w:rsidRPr="005D6017">
        <w:rPr>
          <w:rFonts w:ascii="Calibri" w:hAnsi="Calibri" w:cs="Calibri"/>
        </w:rPr>
        <w:t xml:space="preserve"> throu</w:t>
      </w:r>
      <w:r w:rsidR="00C00FB9" w:rsidRPr="005D6017">
        <w:rPr>
          <w:rFonts w:ascii="Calibri" w:hAnsi="Calibri" w:cs="Calibri"/>
        </w:rPr>
        <w:t xml:space="preserve">gh </w:t>
      </w:r>
      <w:r w:rsidR="00416193" w:rsidRPr="005D6017">
        <w:rPr>
          <w:rFonts w:ascii="Calibri" w:hAnsi="Calibri" w:cs="Calibri"/>
        </w:rPr>
        <w:t>fatigue</w:t>
      </w:r>
      <w:r w:rsidR="00C00FB9" w:rsidRPr="005D6017">
        <w:rPr>
          <w:rFonts w:ascii="Calibri" w:hAnsi="Calibri" w:cs="Calibri"/>
        </w:rPr>
        <w:t xml:space="preserve"> from the visitor or viewer and how this can potentially </w:t>
      </w:r>
      <w:r w:rsidR="00222BA7" w:rsidRPr="005D6017">
        <w:rPr>
          <w:rFonts w:ascii="Calibri" w:hAnsi="Calibri" w:cs="Calibri"/>
        </w:rPr>
        <w:t>lessen the effect or impact of the objects</w:t>
      </w:r>
      <w:r w:rsidR="00125E4F" w:rsidRPr="005D6017">
        <w:rPr>
          <w:rFonts w:ascii="Calibri" w:hAnsi="Calibri" w:cs="Calibri"/>
        </w:rPr>
        <w:t xml:space="preserve"> </w:t>
      </w:r>
      <w:proofErr w:type="gramStart"/>
      <w:r w:rsidR="00125E4F" w:rsidRPr="005D6017">
        <w:rPr>
          <w:rFonts w:ascii="Calibri" w:hAnsi="Calibri" w:cs="Calibri"/>
        </w:rPr>
        <w:t>and also</w:t>
      </w:r>
      <w:proofErr w:type="gramEnd"/>
      <w:r w:rsidR="00125E4F" w:rsidRPr="005D6017">
        <w:rPr>
          <w:rFonts w:ascii="Calibri" w:hAnsi="Calibri" w:cs="Calibri"/>
        </w:rPr>
        <w:t xml:space="preserve"> </w:t>
      </w:r>
      <w:r w:rsidR="00906494" w:rsidRPr="005D6017">
        <w:rPr>
          <w:rFonts w:ascii="Calibri" w:hAnsi="Calibri" w:cs="Calibri"/>
        </w:rPr>
        <w:t xml:space="preserve">the issue around </w:t>
      </w:r>
      <w:r w:rsidR="005A3319" w:rsidRPr="005D6017">
        <w:rPr>
          <w:rFonts w:ascii="Calibri" w:hAnsi="Calibri" w:cs="Calibri"/>
        </w:rPr>
        <w:t xml:space="preserve">historical </w:t>
      </w:r>
      <w:r w:rsidR="00906494" w:rsidRPr="005D6017">
        <w:rPr>
          <w:rFonts w:ascii="Calibri" w:hAnsi="Calibri" w:cs="Calibri"/>
        </w:rPr>
        <w:t xml:space="preserve">collections </w:t>
      </w:r>
      <w:r w:rsidR="00416193" w:rsidRPr="005D6017">
        <w:rPr>
          <w:rFonts w:ascii="Calibri" w:hAnsi="Calibri" w:cs="Calibri"/>
        </w:rPr>
        <w:t>policy</w:t>
      </w:r>
      <w:r w:rsidR="00906494" w:rsidRPr="005D6017">
        <w:rPr>
          <w:rFonts w:ascii="Calibri" w:hAnsi="Calibri" w:cs="Calibri"/>
        </w:rPr>
        <w:t xml:space="preserve"> </w:t>
      </w:r>
      <w:r w:rsidR="00416193" w:rsidRPr="005D6017">
        <w:rPr>
          <w:rFonts w:ascii="Calibri" w:hAnsi="Calibri" w:cs="Calibri"/>
        </w:rPr>
        <w:t>itself</w:t>
      </w:r>
      <w:r w:rsidR="00906494" w:rsidRPr="005D6017">
        <w:rPr>
          <w:rFonts w:ascii="Calibri" w:hAnsi="Calibri" w:cs="Calibri"/>
        </w:rPr>
        <w:t xml:space="preserve"> and how this may make</w:t>
      </w:r>
      <w:r w:rsidR="005A3319" w:rsidRPr="005D6017">
        <w:rPr>
          <w:rFonts w:ascii="Calibri" w:hAnsi="Calibri" w:cs="Calibri"/>
        </w:rPr>
        <w:t xml:space="preserve"> collections irrelevant. By looking at both sides of the argument, the essay will conclude that</w:t>
      </w:r>
      <w:r w:rsidR="00416193" w:rsidRPr="005D6017">
        <w:rPr>
          <w:rFonts w:ascii="Calibri" w:hAnsi="Calibri" w:cs="Calibri"/>
        </w:rPr>
        <w:t>,</w:t>
      </w:r>
      <w:r w:rsidR="005A3319" w:rsidRPr="005D6017">
        <w:rPr>
          <w:rFonts w:ascii="Calibri" w:hAnsi="Calibri" w:cs="Calibri"/>
        </w:rPr>
        <w:t xml:space="preserve"> in essence</w:t>
      </w:r>
      <w:r w:rsidR="00416193" w:rsidRPr="005D6017">
        <w:rPr>
          <w:rFonts w:ascii="Calibri" w:hAnsi="Calibri" w:cs="Calibri"/>
        </w:rPr>
        <w:t>,</w:t>
      </w:r>
      <w:r w:rsidR="005A3319" w:rsidRPr="005D6017">
        <w:rPr>
          <w:rFonts w:ascii="Calibri" w:hAnsi="Calibri" w:cs="Calibri"/>
        </w:rPr>
        <w:t xml:space="preserve"> we should allow access to museum collections for all</w:t>
      </w:r>
      <w:r w:rsidR="00416193" w:rsidRPr="005D6017">
        <w:rPr>
          <w:rFonts w:ascii="Calibri" w:hAnsi="Calibri" w:cs="Calibri"/>
        </w:rPr>
        <w:t>,</w:t>
      </w:r>
      <w:r w:rsidR="005A3319" w:rsidRPr="005D6017">
        <w:rPr>
          <w:rFonts w:ascii="Calibri" w:hAnsi="Calibri" w:cs="Calibri"/>
        </w:rPr>
        <w:t xml:space="preserve"> rather than</w:t>
      </w:r>
      <w:r w:rsidR="00E64563" w:rsidRPr="005D6017">
        <w:rPr>
          <w:rFonts w:ascii="Calibri" w:hAnsi="Calibri" w:cs="Calibri"/>
        </w:rPr>
        <w:t xml:space="preserve"> restricting the museums to simply</w:t>
      </w:r>
      <w:r w:rsidR="00416193" w:rsidRPr="005D6017">
        <w:rPr>
          <w:rFonts w:ascii="Calibri" w:hAnsi="Calibri" w:cs="Calibri"/>
        </w:rPr>
        <w:t xml:space="preserve"> display</w:t>
      </w:r>
      <w:r w:rsidR="00E64563" w:rsidRPr="005D6017">
        <w:rPr>
          <w:rFonts w:ascii="Calibri" w:hAnsi="Calibri" w:cs="Calibri"/>
        </w:rPr>
        <w:t>ing the objects</w:t>
      </w:r>
      <w:r w:rsidR="00416193" w:rsidRPr="005D6017">
        <w:rPr>
          <w:rFonts w:ascii="Calibri" w:hAnsi="Calibri" w:cs="Calibri"/>
        </w:rPr>
        <w:t>.</w:t>
      </w:r>
    </w:p>
    <w:p w14:paraId="1349432A" w14:textId="27C50395" w:rsidR="008D1EC9" w:rsidRPr="005D6017" w:rsidRDefault="008D1EC9">
      <w:pPr>
        <w:rPr>
          <w:rFonts w:ascii="Calibri" w:hAnsi="Calibri" w:cs="Calibri"/>
        </w:rPr>
      </w:pPr>
      <w:r w:rsidRPr="005D6017">
        <w:rPr>
          <w:rFonts w:ascii="Calibri" w:hAnsi="Calibri" w:cs="Calibri"/>
        </w:rPr>
        <w:tab/>
      </w:r>
      <w:r w:rsidR="00053AE1" w:rsidRPr="005D6017">
        <w:rPr>
          <w:rFonts w:ascii="Calibri" w:hAnsi="Calibri" w:cs="Calibri"/>
        </w:rPr>
        <w:t>Firstly,</w:t>
      </w:r>
      <w:r w:rsidR="003F1D7D" w:rsidRPr="005D6017">
        <w:rPr>
          <w:rFonts w:ascii="Calibri" w:hAnsi="Calibri" w:cs="Calibri"/>
        </w:rPr>
        <w:t xml:space="preserve"> looking at the ethical duty </w:t>
      </w:r>
      <w:r w:rsidR="00053AE1" w:rsidRPr="005D6017">
        <w:rPr>
          <w:rFonts w:ascii="Calibri" w:hAnsi="Calibri" w:cs="Calibri"/>
        </w:rPr>
        <w:t>museums</w:t>
      </w:r>
      <w:r w:rsidR="003F1D7D" w:rsidRPr="005D6017">
        <w:rPr>
          <w:rFonts w:ascii="Calibri" w:hAnsi="Calibri" w:cs="Calibri"/>
        </w:rPr>
        <w:t xml:space="preserve"> </w:t>
      </w:r>
      <w:proofErr w:type="gramStart"/>
      <w:r w:rsidR="0058456B" w:rsidRPr="005D6017">
        <w:rPr>
          <w:rFonts w:ascii="Calibri" w:hAnsi="Calibri" w:cs="Calibri"/>
        </w:rPr>
        <w:t>have</w:t>
      </w:r>
      <w:r w:rsidR="003F1D7D" w:rsidRPr="005D6017">
        <w:rPr>
          <w:rFonts w:ascii="Calibri" w:hAnsi="Calibri" w:cs="Calibri"/>
        </w:rPr>
        <w:t xml:space="preserve"> to</w:t>
      </w:r>
      <w:proofErr w:type="gramEnd"/>
      <w:r w:rsidR="003F1D7D" w:rsidRPr="005D6017">
        <w:rPr>
          <w:rFonts w:ascii="Calibri" w:hAnsi="Calibri" w:cs="Calibri"/>
        </w:rPr>
        <w:t xml:space="preserve"> display their collections, </w:t>
      </w:r>
      <w:r w:rsidR="00E17DFF" w:rsidRPr="005D6017">
        <w:rPr>
          <w:rFonts w:ascii="Calibri" w:hAnsi="Calibri" w:cs="Calibri"/>
        </w:rPr>
        <w:t xml:space="preserve">it is essential to discuss the </w:t>
      </w:r>
      <w:r w:rsidR="0016378A" w:rsidRPr="005D6017">
        <w:rPr>
          <w:rFonts w:ascii="Calibri" w:hAnsi="Calibri" w:cs="Calibri"/>
        </w:rPr>
        <w:t>ICOM Definition of what a museum is:</w:t>
      </w:r>
    </w:p>
    <w:p w14:paraId="11F49015" w14:textId="289F6CE6" w:rsidR="0016378A" w:rsidRPr="005D6017" w:rsidRDefault="0016378A" w:rsidP="00180FA5">
      <w:pPr>
        <w:jc w:val="both"/>
        <w:rPr>
          <w:rFonts w:ascii="Calibri" w:hAnsi="Calibri" w:cs="Calibri"/>
          <w:i/>
          <w:iCs/>
        </w:rPr>
      </w:pPr>
      <w:r w:rsidRPr="005D6017">
        <w:rPr>
          <w:rFonts w:ascii="Calibri" w:hAnsi="Calibri" w:cs="Calibri"/>
        </w:rPr>
        <w:tab/>
      </w:r>
      <w:r w:rsidRPr="005D6017">
        <w:rPr>
          <w:rFonts w:ascii="Calibri" w:hAnsi="Calibri" w:cs="Calibri"/>
          <w:i/>
          <w:iCs/>
        </w:rPr>
        <w:t xml:space="preserve">“A museum is a not-for-profit, permanent institution in the service of society that </w:t>
      </w:r>
      <w:proofErr w:type="gramStart"/>
      <w:r w:rsidRPr="005D6017">
        <w:rPr>
          <w:rFonts w:ascii="Calibri" w:hAnsi="Calibri" w:cs="Calibri"/>
          <w:i/>
          <w:iCs/>
        </w:rPr>
        <w:t>researches</w:t>
      </w:r>
      <w:proofErr w:type="gramEnd"/>
      <w:r w:rsidRPr="005D6017">
        <w:rPr>
          <w:rFonts w:ascii="Calibri" w:hAnsi="Calibri" w:cs="Calibri"/>
          <w:i/>
          <w:iCs/>
        </w:rPr>
        <w:t>, collects, conserves, interprets and exhibits tangible and intangible heritage. Open to the public, accessible and inclusive, museums foster diversity and sustainability. They operate and communicate ethically, professionally and with the participation of communities, offering varied experiences for education, enjoyment, reflection and knowledge sharing.”</w:t>
      </w:r>
      <w:r w:rsidRPr="005D6017">
        <w:rPr>
          <w:rStyle w:val="FootnoteReference"/>
          <w:rFonts w:ascii="Calibri" w:hAnsi="Calibri" w:cs="Calibri"/>
          <w:i/>
          <w:iCs/>
        </w:rPr>
        <w:footnoteReference w:id="1"/>
      </w:r>
    </w:p>
    <w:p w14:paraId="53A3B986" w14:textId="44D63893" w:rsidR="00E64563" w:rsidRPr="005D6017" w:rsidRDefault="0058456B">
      <w:pPr>
        <w:rPr>
          <w:rFonts w:ascii="Calibri" w:hAnsi="Calibri" w:cs="Calibri"/>
        </w:rPr>
      </w:pPr>
      <w:r w:rsidRPr="005D6017">
        <w:rPr>
          <w:rFonts w:ascii="Calibri" w:hAnsi="Calibri" w:cs="Calibri"/>
        </w:rPr>
        <w:t xml:space="preserve">The most important reference here is that </w:t>
      </w:r>
      <w:r w:rsidR="00E144AB" w:rsidRPr="005D6017">
        <w:rPr>
          <w:rFonts w:ascii="Calibri" w:hAnsi="Calibri" w:cs="Calibri"/>
        </w:rPr>
        <w:t>museums</w:t>
      </w:r>
      <w:r w:rsidRPr="005D6017">
        <w:rPr>
          <w:rFonts w:ascii="Calibri" w:hAnsi="Calibri" w:cs="Calibri"/>
        </w:rPr>
        <w:t xml:space="preserve"> are there to serve society</w:t>
      </w:r>
      <w:r w:rsidR="00C52770" w:rsidRPr="005D6017">
        <w:rPr>
          <w:rFonts w:ascii="Calibri" w:hAnsi="Calibri" w:cs="Calibri"/>
        </w:rPr>
        <w:t xml:space="preserve">. This idea is also backed by </w:t>
      </w:r>
      <w:r w:rsidR="00B22556" w:rsidRPr="005D6017">
        <w:rPr>
          <w:rFonts w:ascii="Calibri" w:hAnsi="Calibri" w:cs="Calibri"/>
        </w:rPr>
        <w:t xml:space="preserve">Marstine, Dodd and Jones, who state that ‘…social responsibility defines the </w:t>
      </w:r>
      <w:r w:rsidR="00E144AB" w:rsidRPr="005D6017">
        <w:rPr>
          <w:rFonts w:ascii="Calibri" w:hAnsi="Calibri" w:cs="Calibri"/>
        </w:rPr>
        <w:t>twenty-first-century</w:t>
      </w:r>
      <w:r w:rsidR="00B22556" w:rsidRPr="005D6017">
        <w:rPr>
          <w:rFonts w:ascii="Calibri" w:hAnsi="Calibri" w:cs="Calibri"/>
        </w:rPr>
        <w:t xml:space="preserve"> ethical museum…’</w:t>
      </w:r>
      <w:r w:rsidR="00F555E5" w:rsidRPr="005D6017">
        <w:rPr>
          <w:rFonts w:ascii="Calibri" w:hAnsi="Calibri" w:cs="Calibri"/>
        </w:rPr>
        <w:t>.</w:t>
      </w:r>
      <w:r w:rsidR="00F555E5" w:rsidRPr="005D6017">
        <w:rPr>
          <w:rStyle w:val="FootnoteReference"/>
          <w:rFonts w:ascii="Calibri" w:hAnsi="Calibri" w:cs="Calibri"/>
        </w:rPr>
        <w:footnoteReference w:id="2"/>
      </w:r>
      <w:r w:rsidR="00E144AB" w:rsidRPr="005D6017">
        <w:rPr>
          <w:rFonts w:ascii="Calibri" w:hAnsi="Calibri" w:cs="Calibri"/>
        </w:rPr>
        <w:t xml:space="preserve"> Therefore, it shouldn’t even be an argument as to whether or not all museum collections should be on display for the public, as it is the duty of the museum to serve the public and part of this is by providing access to the collections.</w:t>
      </w:r>
    </w:p>
    <w:p w14:paraId="30DC70E8" w14:textId="29DE30DB" w:rsidR="001B5197" w:rsidRPr="005D6017" w:rsidRDefault="001B5197">
      <w:pPr>
        <w:rPr>
          <w:rFonts w:ascii="Calibri" w:hAnsi="Calibri" w:cs="Calibri"/>
        </w:rPr>
      </w:pPr>
      <w:r w:rsidRPr="005D6017">
        <w:rPr>
          <w:rFonts w:ascii="Calibri" w:hAnsi="Calibri" w:cs="Calibri"/>
        </w:rPr>
        <w:tab/>
        <w:t xml:space="preserve">Furthermore, </w:t>
      </w:r>
      <w:r w:rsidR="0089284D" w:rsidRPr="005D6017">
        <w:rPr>
          <w:rFonts w:ascii="Calibri" w:hAnsi="Calibri" w:cs="Calibri"/>
        </w:rPr>
        <w:t>museums have a duty to allow people to make the space their own.</w:t>
      </w:r>
      <w:r w:rsidR="008F1D18" w:rsidRPr="005D6017">
        <w:rPr>
          <w:rStyle w:val="FootnoteReference"/>
          <w:rFonts w:ascii="Calibri" w:hAnsi="Calibri" w:cs="Calibri"/>
        </w:rPr>
        <w:footnoteReference w:id="3"/>
      </w:r>
      <w:r w:rsidR="00BF4B07" w:rsidRPr="005D6017">
        <w:rPr>
          <w:rFonts w:ascii="Calibri" w:hAnsi="Calibri" w:cs="Calibri"/>
        </w:rPr>
        <w:t xml:space="preserve"> </w:t>
      </w:r>
      <w:r w:rsidR="00296381" w:rsidRPr="005D6017">
        <w:rPr>
          <w:rFonts w:ascii="Calibri" w:hAnsi="Calibri" w:cs="Calibri"/>
        </w:rPr>
        <w:t xml:space="preserve">They cannot do this if only a small percentage of the </w:t>
      </w:r>
      <w:r w:rsidR="005A39DD" w:rsidRPr="005D6017">
        <w:rPr>
          <w:rFonts w:ascii="Calibri" w:hAnsi="Calibri" w:cs="Calibri"/>
        </w:rPr>
        <w:t>museum's</w:t>
      </w:r>
      <w:r w:rsidR="00296381" w:rsidRPr="005D6017">
        <w:rPr>
          <w:rFonts w:ascii="Calibri" w:hAnsi="Calibri" w:cs="Calibri"/>
        </w:rPr>
        <w:t xml:space="preserve"> collection is on display</w:t>
      </w:r>
      <w:r w:rsidR="0015498C" w:rsidRPr="005D6017">
        <w:rPr>
          <w:rFonts w:ascii="Calibri" w:hAnsi="Calibri" w:cs="Calibri"/>
        </w:rPr>
        <w:t>,</w:t>
      </w:r>
      <w:r w:rsidR="00296381" w:rsidRPr="005D6017">
        <w:rPr>
          <w:rFonts w:ascii="Calibri" w:hAnsi="Calibri" w:cs="Calibri"/>
        </w:rPr>
        <w:t xml:space="preserve"> as </w:t>
      </w:r>
      <w:r w:rsidR="005A39DD" w:rsidRPr="005D6017">
        <w:rPr>
          <w:rFonts w:ascii="Calibri" w:hAnsi="Calibri" w:cs="Calibri"/>
        </w:rPr>
        <w:t>it creates the issue of only part of the story being told or only part of the community being represented</w:t>
      </w:r>
      <w:r w:rsidR="003B4F1A" w:rsidRPr="005D6017">
        <w:rPr>
          <w:rFonts w:ascii="Calibri" w:hAnsi="Calibri" w:cs="Calibri"/>
        </w:rPr>
        <w:t xml:space="preserve">. By giving </w:t>
      </w:r>
      <w:proofErr w:type="gramStart"/>
      <w:r w:rsidR="0015498C" w:rsidRPr="005D6017">
        <w:rPr>
          <w:rFonts w:ascii="Calibri" w:hAnsi="Calibri" w:cs="Calibri"/>
        </w:rPr>
        <w:t>curators</w:t>
      </w:r>
      <w:proofErr w:type="gramEnd"/>
      <w:r w:rsidR="003B4F1A" w:rsidRPr="005D6017">
        <w:rPr>
          <w:rFonts w:ascii="Calibri" w:hAnsi="Calibri" w:cs="Calibri"/>
        </w:rPr>
        <w:t xml:space="preserve"> the power to </w:t>
      </w:r>
      <w:r w:rsidR="0015498C" w:rsidRPr="005D6017">
        <w:rPr>
          <w:rFonts w:ascii="Calibri" w:hAnsi="Calibri" w:cs="Calibri"/>
        </w:rPr>
        <w:t>choose</w:t>
      </w:r>
      <w:r w:rsidR="003B4F1A" w:rsidRPr="005D6017">
        <w:rPr>
          <w:rFonts w:ascii="Calibri" w:hAnsi="Calibri" w:cs="Calibri"/>
        </w:rPr>
        <w:t xml:space="preserve"> wh</w:t>
      </w:r>
      <w:r w:rsidR="0015498C" w:rsidRPr="005D6017">
        <w:rPr>
          <w:rFonts w:ascii="Calibri" w:hAnsi="Calibri" w:cs="Calibri"/>
        </w:rPr>
        <w:t xml:space="preserve">at </w:t>
      </w:r>
      <w:r w:rsidR="003B4F1A" w:rsidRPr="005D6017">
        <w:rPr>
          <w:rFonts w:ascii="Calibri" w:hAnsi="Calibri" w:cs="Calibri"/>
        </w:rPr>
        <w:t xml:space="preserve">is to be displayed, it negates the importance of the </w:t>
      </w:r>
      <w:r w:rsidR="00A81539" w:rsidRPr="005D6017">
        <w:rPr>
          <w:rFonts w:ascii="Calibri" w:hAnsi="Calibri" w:cs="Calibri"/>
        </w:rPr>
        <w:t>community's</w:t>
      </w:r>
      <w:r w:rsidR="003B4F1A" w:rsidRPr="005D6017">
        <w:rPr>
          <w:rFonts w:ascii="Calibri" w:hAnsi="Calibri" w:cs="Calibri"/>
        </w:rPr>
        <w:t xml:space="preserve"> stories to be told. </w:t>
      </w:r>
      <w:r w:rsidR="009E6BC5" w:rsidRPr="005D6017">
        <w:rPr>
          <w:rFonts w:ascii="Calibri" w:hAnsi="Calibri" w:cs="Calibri"/>
        </w:rPr>
        <w:t>Which ties into</w:t>
      </w:r>
      <w:r w:rsidR="000F1E3E" w:rsidRPr="005D6017">
        <w:rPr>
          <w:rFonts w:ascii="Calibri" w:hAnsi="Calibri" w:cs="Calibri"/>
        </w:rPr>
        <w:t xml:space="preserve"> the princ</w:t>
      </w:r>
      <w:r w:rsidR="0050759B" w:rsidRPr="005D6017">
        <w:rPr>
          <w:rFonts w:ascii="Calibri" w:hAnsi="Calibri" w:cs="Calibri"/>
        </w:rPr>
        <w:t>iples set out by the American Alliance of Museums, that there becomes</w:t>
      </w:r>
      <w:r w:rsidR="009E6BC5" w:rsidRPr="005D6017">
        <w:rPr>
          <w:rFonts w:ascii="Calibri" w:hAnsi="Calibri" w:cs="Calibri"/>
        </w:rPr>
        <w:t xml:space="preserve"> a public trust issue, </w:t>
      </w:r>
      <w:r w:rsidR="0050759B" w:rsidRPr="005D6017">
        <w:rPr>
          <w:rFonts w:ascii="Calibri" w:hAnsi="Calibri" w:cs="Calibri"/>
        </w:rPr>
        <w:t>museums</w:t>
      </w:r>
      <w:r w:rsidR="009E6BC5" w:rsidRPr="005D6017">
        <w:rPr>
          <w:rFonts w:ascii="Calibri" w:hAnsi="Calibri" w:cs="Calibri"/>
        </w:rPr>
        <w:t xml:space="preserve"> </w:t>
      </w:r>
      <w:r w:rsidR="00D562EA" w:rsidRPr="005D6017">
        <w:rPr>
          <w:rFonts w:ascii="Calibri" w:hAnsi="Calibri" w:cs="Calibri"/>
        </w:rPr>
        <w:t>are meant to represent everyone</w:t>
      </w:r>
      <w:r w:rsidR="005D7E4F" w:rsidRPr="005D6017">
        <w:rPr>
          <w:rFonts w:ascii="Calibri" w:hAnsi="Calibri" w:cs="Calibri"/>
        </w:rPr>
        <w:t xml:space="preserve">, </w:t>
      </w:r>
      <w:r w:rsidR="0050759B" w:rsidRPr="005D6017">
        <w:rPr>
          <w:rFonts w:ascii="Calibri" w:hAnsi="Calibri" w:cs="Calibri"/>
        </w:rPr>
        <w:t xml:space="preserve">and </w:t>
      </w:r>
      <w:r w:rsidR="005D7E4F" w:rsidRPr="005D6017">
        <w:rPr>
          <w:rFonts w:ascii="Calibri" w:hAnsi="Calibri" w:cs="Calibri"/>
        </w:rPr>
        <w:t>t</w:t>
      </w:r>
      <w:r w:rsidR="0050759B" w:rsidRPr="005D6017">
        <w:rPr>
          <w:rFonts w:ascii="Calibri" w:hAnsi="Calibri" w:cs="Calibri"/>
        </w:rPr>
        <w:t>hey</w:t>
      </w:r>
      <w:r w:rsidR="005D7E4F" w:rsidRPr="005D6017">
        <w:rPr>
          <w:rFonts w:ascii="Calibri" w:hAnsi="Calibri" w:cs="Calibri"/>
        </w:rPr>
        <w:t xml:space="preserve"> must </w:t>
      </w:r>
      <w:r w:rsidR="000F1E3E" w:rsidRPr="005D6017">
        <w:rPr>
          <w:rFonts w:ascii="Calibri" w:hAnsi="Calibri" w:cs="Calibri"/>
        </w:rPr>
        <w:t>demonstrate</w:t>
      </w:r>
      <w:r w:rsidR="005D7E4F" w:rsidRPr="005D6017">
        <w:rPr>
          <w:rFonts w:ascii="Calibri" w:hAnsi="Calibri" w:cs="Calibri"/>
        </w:rPr>
        <w:t xml:space="preserve"> a commitment to providing the public with physical and intellectual access</w:t>
      </w:r>
      <w:r w:rsidR="00FE16A0" w:rsidRPr="005D6017">
        <w:rPr>
          <w:rFonts w:ascii="Calibri" w:hAnsi="Calibri" w:cs="Calibri"/>
        </w:rPr>
        <w:t xml:space="preserve"> to collections.</w:t>
      </w:r>
      <w:r w:rsidR="000F1E3E" w:rsidRPr="005D6017">
        <w:rPr>
          <w:rStyle w:val="FootnoteReference"/>
          <w:rFonts w:ascii="Calibri" w:hAnsi="Calibri" w:cs="Calibri"/>
        </w:rPr>
        <w:footnoteReference w:id="4"/>
      </w:r>
      <w:r w:rsidR="0050759B" w:rsidRPr="005D6017">
        <w:rPr>
          <w:rFonts w:ascii="Calibri" w:hAnsi="Calibri" w:cs="Calibri"/>
        </w:rPr>
        <w:t xml:space="preserve"> This </w:t>
      </w:r>
      <w:r w:rsidR="003B1DEC" w:rsidRPr="005D6017">
        <w:rPr>
          <w:rFonts w:ascii="Calibri" w:hAnsi="Calibri" w:cs="Calibri"/>
        </w:rPr>
        <w:t>supports</w:t>
      </w:r>
      <w:r w:rsidR="0050759B" w:rsidRPr="005D6017">
        <w:rPr>
          <w:rFonts w:ascii="Calibri" w:hAnsi="Calibri" w:cs="Calibri"/>
        </w:rPr>
        <w:t xml:space="preserve"> the argument that all collections should be on display.</w:t>
      </w:r>
    </w:p>
    <w:p w14:paraId="0601007E" w14:textId="34CF0927" w:rsidR="0050759B" w:rsidRPr="005D6017" w:rsidRDefault="0050759B">
      <w:pPr>
        <w:rPr>
          <w:rFonts w:ascii="Calibri" w:hAnsi="Calibri" w:cs="Calibri"/>
        </w:rPr>
      </w:pPr>
      <w:r w:rsidRPr="005D6017">
        <w:rPr>
          <w:rFonts w:ascii="Calibri" w:hAnsi="Calibri" w:cs="Calibri"/>
        </w:rPr>
        <w:lastRenderedPageBreak/>
        <w:tab/>
        <w:t xml:space="preserve">In addition, </w:t>
      </w:r>
      <w:r w:rsidR="00C66E3D" w:rsidRPr="005D6017">
        <w:rPr>
          <w:rFonts w:ascii="Calibri" w:hAnsi="Calibri" w:cs="Calibri"/>
        </w:rPr>
        <w:t xml:space="preserve">if we do not allow the display of all museum </w:t>
      </w:r>
      <w:r w:rsidR="003B1DEC" w:rsidRPr="005D6017">
        <w:rPr>
          <w:rFonts w:ascii="Calibri" w:hAnsi="Calibri" w:cs="Calibri"/>
        </w:rPr>
        <w:t>collections</w:t>
      </w:r>
      <w:r w:rsidR="00C66E3D" w:rsidRPr="005D6017">
        <w:rPr>
          <w:rFonts w:ascii="Calibri" w:hAnsi="Calibri" w:cs="Calibri"/>
        </w:rPr>
        <w:t xml:space="preserve">, we are no better </w:t>
      </w:r>
      <w:r w:rsidR="003B1DEC" w:rsidRPr="005D6017">
        <w:rPr>
          <w:rFonts w:ascii="Calibri" w:hAnsi="Calibri" w:cs="Calibri"/>
        </w:rPr>
        <w:t>than</w:t>
      </w:r>
      <w:r w:rsidR="00C66E3D" w:rsidRPr="005D6017">
        <w:rPr>
          <w:rFonts w:ascii="Calibri" w:hAnsi="Calibri" w:cs="Calibri"/>
        </w:rPr>
        <w:t xml:space="preserve"> the elitist institutions that were </w:t>
      </w:r>
      <w:r w:rsidR="003B1DEC" w:rsidRPr="005D6017">
        <w:rPr>
          <w:rFonts w:ascii="Calibri" w:hAnsi="Calibri" w:cs="Calibri"/>
        </w:rPr>
        <w:t>historically</w:t>
      </w:r>
      <w:r w:rsidR="00C66E3D" w:rsidRPr="005D6017">
        <w:rPr>
          <w:rFonts w:ascii="Calibri" w:hAnsi="Calibri" w:cs="Calibri"/>
        </w:rPr>
        <w:t xml:space="preserve"> create</w:t>
      </w:r>
      <w:r w:rsidR="00C409F7" w:rsidRPr="005D6017">
        <w:rPr>
          <w:rFonts w:ascii="Calibri" w:hAnsi="Calibri" w:cs="Calibri"/>
        </w:rPr>
        <w:t>d as a ‘</w:t>
      </w:r>
      <w:r w:rsidR="003B1DEC" w:rsidRPr="005D6017">
        <w:rPr>
          <w:rFonts w:ascii="Calibri" w:hAnsi="Calibri" w:cs="Calibri"/>
        </w:rPr>
        <w:t>museum</w:t>
      </w:r>
      <w:r w:rsidR="00C409F7" w:rsidRPr="005D6017">
        <w:rPr>
          <w:rFonts w:ascii="Calibri" w:hAnsi="Calibri" w:cs="Calibri"/>
        </w:rPr>
        <w:t>’</w:t>
      </w:r>
      <w:r w:rsidR="003B1DEC" w:rsidRPr="005D6017">
        <w:rPr>
          <w:rFonts w:ascii="Calibri" w:hAnsi="Calibri" w:cs="Calibri"/>
        </w:rPr>
        <w:t>, which restricted access</w:t>
      </w:r>
      <w:r w:rsidR="00C409F7" w:rsidRPr="005D6017">
        <w:rPr>
          <w:rFonts w:ascii="Calibri" w:hAnsi="Calibri" w:cs="Calibri"/>
        </w:rPr>
        <w:t>.</w:t>
      </w:r>
      <w:r w:rsidR="006F018A" w:rsidRPr="005D6017">
        <w:rPr>
          <w:rStyle w:val="FootnoteReference"/>
          <w:rFonts w:ascii="Calibri" w:hAnsi="Calibri" w:cs="Calibri"/>
        </w:rPr>
        <w:footnoteReference w:id="5"/>
      </w:r>
      <w:r w:rsidR="00FA5D88" w:rsidRPr="005D6017">
        <w:rPr>
          <w:rFonts w:ascii="Calibri" w:hAnsi="Calibri" w:cs="Calibri"/>
        </w:rPr>
        <w:t xml:space="preserve"> As modern institutions</w:t>
      </w:r>
      <w:r w:rsidR="003B1DEC" w:rsidRPr="005D6017">
        <w:rPr>
          <w:rFonts w:ascii="Calibri" w:hAnsi="Calibri" w:cs="Calibri"/>
        </w:rPr>
        <w:t>,</w:t>
      </w:r>
      <w:r w:rsidR="00FA5D88" w:rsidRPr="005D6017">
        <w:rPr>
          <w:rFonts w:ascii="Calibri" w:hAnsi="Calibri" w:cs="Calibri"/>
        </w:rPr>
        <w:t xml:space="preserve"> </w:t>
      </w:r>
      <w:r w:rsidR="003B1DEC" w:rsidRPr="005D6017">
        <w:rPr>
          <w:rFonts w:ascii="Calibri" w:hAnsi="Calibri" w:cs="Calibri"/>
        </w:rPr>
        <w:t>museums</w:t>
      </w:r>
      <w:r w:rsidR="00FA5D88" w:rsidRPr="005D6017">
        <w:rPr>
          <w:rFonts w:ascii="Calibri" w:hAnsi="Calibri" w:cs="Calibri"/>
        </w:rPr>
        <w:t xml:space="preserve"> </w:t>
      </w:r>
      <w:r w:rsidR="003B1DEC" w:rsidRPr="005D6017">
        <w:rPr>
          <w:rFonts w:ascii="Calibri" w:hAnsi="Calibri" w:cs="Calibri"/>
        </w:rPr>
        <w:t>must</w:t>
      </w:r>
      <w:r w:rsidR="00FA5D88" w:rsidRPr="005D6017">
        <w:rPr>
          <w:rFonts w:ascii="Calibri" w:hAnsi="Calibri" w:cs="Calibri"/>
        </w:rPr>
        <w:t xml:space="preserve"> recognise and correct these </w:t>
      </w:r>
      <w:r w:rsidR="003B1DEC" w:rsidRPr="005D6017">
        <w:rPr>
          <w:rFonts w:ascii="Calibri" w:hAnsi="Calibri" w:cs="Calibri"/>
        </w:rPr>
        <w:t>unequal</w:t>
      </w:r>
      <w:r w:rsidR="00FA5D88" w:rsidRPr="005D6017">
        <w:rPr>
          <w:rFonts w:ascii="Calibri" w:hAnsi="Calibri" w:cs="Calibri"/>
        </w:rPr>
        <w:t xml:space="preserve"> practices to ensure they become </w:t>
      </w:r>
      <w:r w:rsidR="003B1DEC" w:rsidRPr="005D6017">
        <w:rPr>
          <w:rFonts w:ascii="Calibri" w:hAnsi="Calibri" w:cs="Calibri"/>
        </w:rPr>
        <w:t>inclusive</w:t>
      </w:r>
      <w:r w:rsidR="00FA5D88" w:rsidRPr="005D6017">
        <w:rPr>
          <w:rFonts w:ascii="Calibri" w:hAnsi="Calibri" w:cs="Calibri"/>
        </w:rPr>
        <w:t xml:space="preserve"> and represent the communities</w:t>
      </w:r>
      <w:r w:rsidR="003B1DEC" w:rsidRPr="005D6017">
        <w:rPr>
          <w:rFonts w:ascii="Calibri" w:hAnsi="Calibri" w:cs="Calibri"/>
        </w:rPr>
        <w:t xml:space="preserve"> they serve.</w:t>
      </w:r>
      <w:r w:rsidR="00803C7B" w:rsidRPr="005D6017">
        <w:rPr>
          <w:rFonts w:ascii="Calibri" w:hAnsi="Calibri" w:cs="Calibri"/>
        </w:rPr>
        <w:t xml:space="preserve"> This also links to the </w:t>
      </w:r>
      <w:r w:rsidR="00222780" w:rsidRPr="005D6017">
        <w:rPr>
          <w:rFonts w:ascii="Calibri" w:hAnsi="Calibri" w:cs="Calibri"/>
        </w:rPr>
        <w:t>fact that i</w:t>
      </w:r>
      <w:r w:rsidR="00F104C2" w:rsidRPr="005D6017">
        <w:rPr>
          <w:rFonts w:ascii="Calibri" w:hAnsi="Calibri" w:cs="Calibri"/>
        </w:rPr>
        <w:t>f all collections are not displayed, the museum can inadvertently marginalise certain groups</w:t>
      </w:r>
      <w:r w:rsidR="00BA7CA3" w:rsidRPr="005D6017">
        <w:rPr>
          <w:rFonts w:ascii="Calibri" w:hAnsi="Calibri" w:cs="Calibri"/>
        </w:rPr>
        <w:t>;</w:t>
      </w:r>
      <w:r w:rsidR="00786217" w:rsidRPr="005D6017">
        <w:rPr>
          <w:rFonts w:ascii="Calibri" w:hAnsi="Calibri" w:cs="Calibri"/>
        </w:rPr>
        <w:t xml:space="preserve"> any decision made on what is displayed ca</w:t>
      </w:r>
      <w:r w:rsidR="006A534E" w:rsidRPr="005D6017">
        <w:rPr>
          <w:rFonts w:ascii="Calibri" w:hAnsi="Calibri" w:cs="Calibri"/>
        </w:rPr>
        <w:t xml:space="preserve">rries ethical implications that can </w:t>
      </w:r>
      <w:r w:rsidR="00BA7CA3" w:rsidRPr="005D6017">
        <w:rPr>
          <w:rFonts w:ascii="Calibri" w:hAnsi="Calibri" w:cs="Calibri"/>
        </w:rPr>
        <w:t>affect</w:t>
      </w:r>
      <w:r w:rsidR="006A534E" w:rsidRPr="005D6017">
        <w:rPr>
          <w:rFonts w:ascii="Calibri" w:hAnsi="Calibri" w:cs="Calibri"/>
        </w:rPr>
        <w:t xml:space="preserve"> people.</w:t>
      </w:r>
      <w:r w:rsidR="006A534E" w:rsidRPr="005D6017">
        <w:rPr>
          <w:rStyle w:val="FootnoteReference"/>
          <w:rFonts w:ascii="Calibri" w:hAnsi="Calibri" w:cs="Calibri"/>
        </w:rPr>
        <w:footnoteReference w:id="6"/>
      </w:r>
      <w:r w:rsidR="00BA7CA3" w:rsidRPr="005D6017">
        <w:rPr>
          <w:rFonts w:ascii="Calibri" w:hAnsi="Calibri" w:cs="Calibri"/>
        </w:rPr>
        <w:t xml:space="preserve"> </w:t>
      </w:r>
    </w:p>
    <w:p w14:paraId="070140CF" w14:textId="7A247879" w:rsidR="00E03C87" w:rsidRPr="005D6017" w:rsidRDefault="00E03C87" w:rsidP="00E03C87">
      <w:pPr>
        <w:rPr>
          <w:rFonts w:ascii="Calibri" w:hAnsi="Calibri" w:cs="Calibri"/>
        </w:rPr>
      </w:pPr>
      <w:r w:rsidRPr="005D6017">
        <w:rPr>
          <w:rFonts w:ascii="Calibri" w:hAnsi="Calibri" w:cs="Calibri"/>
        </w:rPr>
        <w:tab/>
        <w:t xml:space="preserve">Therefore, it has been shown that it is an ethical duty of </w:t>
      </w:r>
      <w:r w:rsidR="003D633C" w:rsidRPr="005D6017">
        <w:rPr>
          <w:rFonts w:ascii="Calibri" w:hAnsi="Calibri" w:cs="Calibri"/>
        </w:rPr>
        <w:t>museums</w:t>
      </w:r>
      <w:r w:rsidRPr="005D6017">
        <w:rPr>
          <w:rFonts w:ascii="Calibri" w:hAnsi="Calibri" w:cs="Calibri"/>
        </w:rPr>
        <w:t xml:space="preserve"> to display </w:t>
      </w:r>
      <w:proofErr w:type="gramStart"/>
      <w:r w:rsidRPr="005D6017">
        <w:rPr>
          <w:rFonts w:ascii="Calibri" w:hAnsi="Calibri" w:cs="Calibri"/>
        </w:rPr>
        <w:t>all of</w:t>
      </w:r>
      <w:proofErr w:type="gramEnd"/>
      <w:r w:rsidRPr="005D6017">
        <w:rPr>
          <w:rFonts w:ascii="Calibri" w:hAnsi="Calibri" w:cs="Calibri"/>
        </w:rPr>
        <w:t xml:space="preserve"> their collection</w:t>
      </w:r>
      <w:r w:rsidR="002220A5" w:rsidRPr="005D6017">
        <w:rPr>
          <w:rFonts w:ascii="Calibri" w:hAnsi="Calibri" w:cs="Calibri"/>
        </w:rPr>
        <w:t xml:space="preserve">s as </w:t>
      </w:r>
      <w:r w:rsidR="003D633C" w:rsidRPr="005D6017">
        <w:rPr>
          <w:rFonts w:ascii="Calibri" w:hAnsi="Calibri" w:cs="Calibri"/>
        </w:rPr>
        <w:t>they are</w:t>
      </w:r>
      <w:r w:rsidR="002220A5" w:rsidRPr="005D6017">
        <w:rPr>
          <w:rFonts w:ascii="Calibri" w:hAnsi="Calibri" w:cs="Calibri"/>
        </w:rPr>
        <w:t xml:space="preserve"> and </w:t>
      </w:r>
      <w:r w:rsidR="003D633C" w:rsidRPr="005D6017">
        <w:rPr>
          <w:rFonts w:ascii="Calibri" w:hAnsi="Calibri" w:cs="Calibri"/>
        </w:rPr>
        <w:t xml:space="preserve">an </w:t>
      </w:r>
      <w:r w:rsidR="002220A5" w:rsidRPr="005D6017">
        <w:rPr>
          <w:rFonts w:ascii="Calibri" w:hAnsi="Calibri" w:cs="Calibri"/>
        </w:rPr>
        <w:t xml:space="preserve">essential aspect for them to serve the community. This is </w:t>
      </w:r>
      <w:r w:rsidR="00420F31" w:rsidRPr="005D6017">
        <w:rPr>
          <w:rFonts w:ascii="Calibri" w:hAnsi="Calibri" w:cs="Calibri"/>
        </w:rPr>
        <w:t>deep-rooted</w:t>
      </w:r>
      <w:r w:rsidR="002220A5" w:rsidRPr="005D6017">
        <w:rPr>
          <w:rFonts w:ascii="Calibri" w:hAnsi="Calibri" w:cs="Calibri"/>
        </w:rPr>
        <w:t xml:space="preserve"> in arguments and research in the sector</w:t>
      </w:r>
      <w:r w:rsidR="00420F31" w:rsidRPr="005D6017">
        <w:rPr>
          <w:rFonts w:ascii="Calibri" w:hAnsi="Calibri" w:cs="Calibri"/>
        </w:rPr>
        <w:t xml:space="preserve">. It has also been shown that if </w:t>
      </w:r>
      <w:r w:rsidR="003D633C" w:rsidRPr="005D6017">
        <w:rPr>
          <w:rFonts w:ascii="Calibri" w:hAnsi="Calibri" w:cs="Calibri"/>
        </w:rPr>
        <w:t>museums</w:t>
      </w:r>
      <w:r w:rsidR="00420F31" w:rsidRPr="005D6017">
        <w:rPr>
          <w:rFonts w:ascii="Calibri" w:hAnsi="Calibri" w:cs="Calibri"/>
        </w:rPr>
        <w:t xml:space="preserve"> only show part of their collections, they can silence communities, </w:t>
      </w:r>
      <w:r w:rsidR="003D633C" w:rsidRPr="005D6017">
        <w:rPr>
          <w:rFonts w:ascii="Calibri" w:hAnsi="Calibri" w:cs="Calibri"/>
        </w:rPr>
        <w:t>lose</w:t>
      </w:r>
      <w:r w:rsidR="00420F31" w:rsidRPr="005D6017">
        <w:rPr>
          <w:rFonts w:ascii="Calibri" w:hAnsi="Calibri" w:cs="Calibri"/>
        </w:rPr>
        <w:t xml:space="preserve"> public trust and reaffirm </w:t>
      </w:r>
      <w:r w:rsidR="003D633C" w:rsidRPr="005D6017">
        <w:rPr>
          <w:rFonts w:ascii="Calibri" w:hAnsi="Calibri" w:cs="Calibri"/>
        </w:rPr>
        <w:t>historical</w:t>
      </w:r>
      <w:r w:rsidR="00420F31" w:rsidRPr="005D6017">
        <w:rPr>
          <w:rFonts w:ascii="Calibri" w:hAnsi="Calibri" w:cs="Calibri"/>
        </w:rPr>
        <w:t xml:space="preserve"> patterns of exclusions.</w:t>
      </w:r>
      <w:r w:rsidR="0062011C" w:rsidRPr="005D6017">
        <w:rPr>
          <w:rFonts w:ascii="Calibri" w:hAnsi="Calibri" w:cs="Calibri"/>
        </w:rPr>
        <w:t xml:space="preserve"> This shows that access to collections is </w:t>
      </w:r>
      <w:r w:rsidR="003D633C" w:rsidRPr="005D6017">
        <w:rPr>
          <w:rFonts w:ascii="Calibri" w:hAnsi="Calibri" w:cs="Calibri"/>
        </w:rPr>
        <w:t>a moral responsibility</w:t>
      </w:r>
      <w:r w:rsidR="0062011C" w:rsidRPr="005D6017">
        <w:rPr>
          <w:rFonts w:ascii="Calibri" w:hAnsi="Calibri" w:cs="Calibri"/>
        </w:rPr>
        <w:t>. However, it is also noted that this discussion has</w:t>
      </w:r>
      <w:r w:rsidR="005A47FC" w:rsidRPr="005D6017">
        <w:rPr>
          <w:rFonts w:ascii="Calibri" w:hAnsi="Calibri" w:cs="Calibri"/>
        </w:rPr>
        <w:t xml:space="preserve"> not yet looked at the practicalities of displaying all </w:t>
      </w:r>
      <w:r w:rsidR="003D633C" w:rsidRPr="005D6017">
        <w:rPr>
          <w:rFonts w:ascii="Calibri" w:hAnsi="Calibri" w:cs="Calibri"/>
        </w:rPr>
        <w:t>objects</w:t>
      </w:r>
      <w:r w:rsidR="005A47FC" w:rsidRPr="005D6017">
        <w:rPr>
          <w:rFonts w:ascii="Calibri" w:hAnsi="Calibri" w:cs="Calibri"/>
        </w:rPr>
        <w:t xml:space="preserve"> to the public. </w:t>
      </w:r>
      <w:r w:rsidR="009B7EDE" w:rsidRPr="005D6017">
        <w:rPr>
          <w:rFonts w:ascii="Calibri" w:hAnsi="Calibri" w:cs="Calibri"/>
        </w:rPr>
        <w:t xml:space="preserve">While at first most would agree with the ethical argument put forward, the practicalities of this may </w:t>
      </w:r>
      <w:r w:rsidR="00FF753F" w:rsidRPr="005D6017">
        <w:rPr>
          <w:rFonts w:ascii="Calibri" w:hAnsi="Calibri" w:cs="Calibri"/>
        </w:rPr>
        <w:t>be argued as impossible. This next section will show that it is</w:t>
      </w:r>
      <w:r w:rsidR="00154925" w:rsidRPr="005D6017">
        <w:rPr>
          <w:rFonts w:ascii="Calibri" w:hAnsi="Calibri" w:cs="Calibri"/>
        </w:rPr>
        <w:t>,</w:t>
      </w:r>
      <w:r w:rsidR="00FF753F" w:rsidRPr="005D6017">
        <w:rPr>
          <w:rFonts w:ascii="Calibri" w:hAnsi="Calibri" w:cs="Calibri"/>
        </w:rPr>
        <w:t xml:space="preserve"> </w:t>
      </w:r>
      <w:r w:rsidR="003D633C" w:rsidRPr="005D6017">
        <w:rPr>
          <w:rFonts w:ascii="Calibri" w:hAnsi="Calibri" w:cs="Calibri"/>
        </w:rPr>
        <w:t>in fact,</w:t>
      </w:r>
      <w:r w:rsidR="00FF753F" w:rsidRPr="005D6017">
        <w:rPr>
          <w:rFonts w:ascii="Calibri" w:hAnsi="Calibri" w:cs="Calibri"/>
        </w:rPr>
        <w:t xml:space="preserve"> possible if we </w:t>
      </w:r>
      <w:r w:rsidR="003D633C" w:rsidRPr="005D6017">
        <w:rPr>
          <w:rFonts w:ascii="Calibri" w:hAnsi="Calibri" w:cs="Calibri"/>
        </w:rPr>
        <w:t>reimagine</w:t>
      </w:r>
      <w:r w:rsidR="00FF753F" w:rsidRPr="005D6017">
        <w:rPr>
          <w:rFonts w:ascii="Calibri" w:hAnsi="Calibri" w:cs="Calibri"/>
        </w:rPr>
        <w:t xml:space="preserve"> what we mean by displaying objects and go beyond the</w:t>
      </w:r>
      <w:r w:rsidR="003D633C" w:rsidRPr="005D6017">
        <w:rPr>
          <w:rFonts w:ascii="Calibri" w:hAnsi="Calibri" w:cs="Calibri"/>
        </w:rPr>
        <w:t xml:space="preserve"> realm of the </w:t>
      </w:r>
      <w:r w:rsidR="00154925" w:rsidRPr="005D6017">
        <w:rPr>
          <w:rFonts w:ascii="Calibri" w:hAnsi="Calibri" w:cs="Calibri"/>
        </w:rPr>
        <w:t>brick-and-mortar</w:t>
      </w:r>
      <w:r w:rsidR="003D633C" w:rsidRPr="005D6017">
        <w:rPr>
          <w:rFonts w:ascii="Calibri" w:hAnsi="Calibri" w:cs="Calibri"/>
        </w:rPr>
        <w:t xml:space="preserve"> museum.</w:t>
      </w:r>
    </w:p>
    <w:p w14:paraId="18BFE528" w14:textId="6E9D1C55" w:rsidR="001C4D34" w:rsidRPr="005D6017" w:rsidRDefault="001C4D34" w:rsidP="00E03C87">
      <w:pPr>
        <w:rPr>
          <w:rFonts w:ascii="Calibri" w:hAnsi="Calibri" w:cs="Calibri"/>
        </w:rPr>
      </w:pPr>
      <w:r w:rsidRPr="005D6017">
        <w:rPr>
          <w:rFonts w:ascii="Calibri" w:hAnsi="Calibri" w:cs="Calibri"/>
        </w:rPr>
        <w:tab/>
        <w:t xml:space="preserve">One example in Wales of a museum </w:t>
      </w:r>
      <w:r w:rsidR="00C36BC8" w:rsidRPr="005D6017">
        <w:rPr>
          <w:rFonts w:ascii="Calibri" w:hAnsi="Calibri" w:cs="Calibri"/>
        </w:rPr>
        <w:t xml:space="preserve">fulfilling the ethical obligation of facilitating access to collections is </w:t>
      </w:r>
      <w:r w:rsidR="004F2847" w:rsidRPr="005D6017">
        <w:rPr>
          <w:rFonts w:ascii="Calibri" w:hAnsi="Calibri" w:cs="Calibri"/>
        </w:rPr>
        <w:t>Amgueddfa</w:t>
      </w:r>
      <w:r w:rsidR="00C36BC8" w:rsidRPr="005D6017">
        <w:rPr>
          <w:rFonts w:ascii="Calibri" w:hAnsi="Calibri" w:cs="Calibri"/>
        </w:rPr>
        <w:t xml:space="preserve"> Cymru. Through CELF</w:t>
      </w:r>
      <w:r w:rsidR="004F2847" w:rsidRPr="005D6017">
        <w:rPr>
          <w:rFonts w:ascii="Calibri" w:hAnsi="Calibri" w:cs="Calibri"/>
        </w:rPr>
        <w:t>,</w:t>
      </w:r>
      <w:r w:rsidR="008E00CC" w:rsidRPr="005D6017">
        <w:rPr>
          <w:rFonts w:ascii="Calibri" w:hAnsi="Calibri" w:cs="Calibri"/>
        </w:rPr>
        <w:t xml:space="preserve"> it al</w:t>
      </w:r>
      <w:r w:rsidR="00231E96" w:rsidRPr="005D6017">
        <w:rPr>
          <w:rFonts w:ascii="Calibri" w:hAnsi="Calibri" w:cs="Calibri"/>
        </w:rPr>
        <w:t>lows</w:t>
      </w:r>
      <w:r w:rsidR="008E00CC" w:rsidRPr="005D6017">
        <w:rPr>
          <w:rFonts w:ascii="Calibri" w:hAnsi="Calibri" w:cs="Calibri"/>
        </w:rPr>
        <w:t xml:space="preserve"> more communities the ability to engage with and see on display the National Art Collection in Wales. </w:t>
      </w:r>
      <w:r w:rsidR="00231E96" w:rsidRPr="005D6017">
        <w:rPr>
          <w:rFonts w:ascii="Calibri" w:hAnsi="Calibri" w:cs="Calibri"/>
        </w:rPr>
        <w:t xml:space="preserve"> CELF uses a national network to display art, an extensive loans programme, digitalisation access, co-</w:t>
      </w:r>
      <w:r w:rsidR="004F2847" w:rsidRPr="005D6017">
        <w:rPr>
          <w:rFonts w:ascii="Calibri" w:hAnsi="Calibri" w:cs="Calibri"/>
        </w:rPr>
        <w:t>curated</w:t>
      </w:r>
      <w:r w:rsidR="00231E96" w:rsidRPr="005D6017">
        <w:rPr>
          <w:rFonts w:ascii="Calibri" w:hAnsi="Calibri" w:cs="Calibri"/>
        </w:rPr>
        <w:t xml:space="preserve"> </w:t>
      </w:r>
      <w:r w:rsidR="004F2847" w:rsidRPr="005D6017">
        <w:rPr>
          <w:rFonts w:ascii="Calibri" w:hAnsi="Calibri" w:cs="Calibri"/>
        </w:rPr>
        <w:t>exhibitions</w:t>
      </w:r>
      <w:r w:rsidR="00231E96" w:rsidRPr="005D6017">
        <w:rPr>
          <w:rFonts w:ascii="Calibri" w:hAnsi="Calibri" w:cs="Calibri"/>
        </w:rPr>
        <w:t xml:space="preserve">, </w:t>
      </w:r>
      <w:r w:rsidR="004F2847" w:rsidRPr="005D6017">
        <w:rPr>
          <w:rFonts w:ascii="Calibri" w:hAnsi="Calibri" w:cs="Calibri"/>
        </w:rPr>
        <w:t>infrastructure</w:t>
      </w:r>
      <w:r w:rsidR="00231E96" w:rsidRPr="005D6017">
        <w:rPr>
          <w:rFonts w:ascii="Calibri" w:hAnsi="Calibri" w:cs="Calibri"/>
        </w:rPr>
        <w:t xml:space="preserve"> investment to facilitate greater display space and outreach programmes.</w:t>
      </w:r>
      <w:r w:rsidR="00231E96" w:rsidRPr="005D6017">
        <w:rPr>
          <w:rStyle w:val="FootnoteReference"/>
          <w:rFonts w:ascii="Calibri" w:hAnsi="Calibri" w:cs="Calibri"/>
        </w:rPr>
        <w:footnoteReference w:id="7"/>
      </w:r>
      <w:r w:rsidR="004F2847" w:rsidRPr="005D6017">
        <w:rPr>
          <w:rFonts w:ascii="Calibri" w:hAnsi="Calibri" w:cs="Calibri"/>
        </w:rPr>
        <w:t xml:space="preserve"> This has meant that the </w:t>
      </w:r>
      <w:r w:rsidR="0094260B" w:rsidRPr="005D6017">
        <w:rPr>
          <w:rFonts w:ascii="Calibri" w:hAnsi="Calibri" w:cs="Calibri"/>
        </w:rPr>
        <w:t>institution</w:t>
      </w:r>
      <w:r w:rsidR="004F2847" w:rsidRPr="005D6017">
        <w:rPr>
          <w:rFonts w:ascii="Calibri" w:hAnsi="Calibri" w:cs="Calibri"/>
        </w:rPr>
        <w:t xml:space="preserve"> </w:t>
      </w:r>
      <w:r w:rsidR="0094260B" w:rsidRPr="005D6017">
        <w:rPr>
          <w:rFonts w:ascii="Calibri" w:hAnsi="Calibri" w:cs="Calibri"/>
        </w:rPr>
        <w:t>can</w:t>
      </w:r>
      <w:r w:rsidR="004F2847" w:rsidRPr="005D6017">
        <w:rPr>
          <w:rFonts w:ascii="Calibri" w:hAnsi="Calibri" w:cs="Calibri"/>
        </w:rPr>
        <w:t xml:space="preserve"> </w:t>
      </w:r>
      <w:r w:rsidR="0094260B" w:rsidRPr="005D6017">
        <w:rPr>
          <w:rFonts w:ascii="Calibri" w:hAnsi="Calibri" w:cs="Calibri"/>
        </w:rPr>
        <w:t>fulfil</w:t>
      </w:r>
      <w:r w:rsidR="004F2847" w:rsidRPr="005D6017">
        <w:rPr>
          <w:rFonts w:ascii="Calibri" w:hAnsi="Calibri" w:cs="Calibri"/>
        </w:rPr>
        <w:t xml:space="preserve"> its ethical </w:t>
      </w:r>
      <w:r w:rsidR="00BF4F78" w:rsidRPr="005D6017">
        <w:rPr>
          <w:rFonts w:ascii="Calibri" w:hAnsi="Calibri" w:cs="Calibri"/>
        </w:rPr>
        <w:t xml:space="preserve">obligation while combating the </w:t>
      </w:r>
      <w:r w:rsidR="0094260B" w:rsidRPr="005D6017">
        <w:rPr>
          <w:rFonts w:ascii="Calibri" w:hAnsi="Calibri" w:cs="Calibri"/>
        </w:rPr>
        <w:t>practicalities</w:t>
      </w:r>
      <w:r w:rsidR="00BF4F78" w:rsidRPr="005D6017">
        <w:rPr>
          <w:rFonts w:ascii="Calibri" w:hAnsi="Calibri" w:cs="Calibri"/>
        </w:rPr>
        <w:t xml:space="preserve"> of all collections being on physical display in a singular museum.</w:t>
      </w:r>
      <w:r w:rsidR="003B7214" w:rsidRPr="005D6017">
        <w:rPr>
          <w:rFonts w:ascii="Calibri" w:hAnsi="Calibri" w:cs="Calibri"/>
        </w:rPr>
        <w:t xml:space="preserve"> This network approach is something that is supported by Macdonald, </w:t>
      </w:r>
      <w:r w:rsidR="00B72144" w:rsidRPr="005D6017">
        <w:rPr>
          <w:rFonts w:ascii="Calibri" w:hAnsi="Calibri" w:cs="Calibri"/>
        </w:rPr>
        <w:t xml:space="preserve">who has argued that we should extend the museum beyond the walls of the </w:t>
      </w:r>
      <w:r w:rsidR="00CA7B00" w:rsidRPr="005D6017">
        <w:rPr>
          <w:rFonts w:ascii="Calibri" w:hAnsi="Calibri" w:cs="Calibri"/>
        </w:rPr>
        <w:t>institution</w:t>
      </w:r>
      <w:r w:rsidR="00B72144" w:rsidRPr="005D6017">
        <w:rPr>
          <w:rFonts w:ascii="Calibri" w:hAnsi="Calibri" w:cs="Calibri"/>
        </w:rPr>
        <w:t>.</w:t>
      </w:r>
      <w:r w:rsidR="00B72144" w:rsidRPr="005D6017">
        <w:rPr>
          <w:rStyle w:val="FootnoteReference"/>
          <w:rFonts w:ascii="Calibri" w:hAnsi="Calibri" w:cs="Calibri"/>
        </w:rPr>
        <w:footnoteReference w:id="8"/>
      </w:r>
      <w:r w:rsidR="000B1694" w:rsidRPr="005D6017">
        <w:rPr>
          <w:rFonts w:ascii="Calibri" w:hAnsi="Calibri" w:cs="Calibri"/>
        </w:rPr>
        <w:t xml:space="preserve"> </w:t>
      </w:r>
      <w:r w:rsidR="0094260B" w:rsidRPr="005D6017">
        <w:rPr>
          <w:rFonts w:ascii="Calibri" w:hAnsi="Calibri" w:cs="Calibri"/>
        </w:rPr>
        <w:t>Using</w:t>
      </w:r>
      <w:r w:rsidR="000B1694" w:rsidRPr="005D6017">
        <w:rPr>
          <w:rFonts w:ascii="Calibri" w:hAnsi="Calibri" w:cs="Calibri"/>
        </w:rPr>
        <w:t xml:space="preserve"> a dispersed model and creating a network of host sites</w:t>
      </w:r>
      <w:r w:rsidR="000E4A88" w:rsidRPr="005D6017">
        <w:rPr>
          <w:rFonts w:ascii="Calibri" w:hAnsi="Calibri" w:cs="Calibri"/>
        </w:rPr>
        <w:t>, it allows for the ability to increase the capacity of what items can be displayed at one time.</w:t>
      </w:r>
    </w:p>
    <w:p w14:paraId="123C81CE" w14:textId="0972F534" w:rsidR="00921B2A" w:rsidRPr="005D6017" w:rsidRDefault="0094260B" w:rsidP="00E03C87">
      <w:pPr>
        <w:rPr>
          <w:rFonts w:ascii="Calibri" w:hAnsi="Calibri" w:cs="Calibri"/>
        </w:rPr>
      </w:pPr>
      <w:r w:rsidRPr="005D6017">
        <w:rPr>
          <w:rFonts w:ascii="Calibri" w:hAnsi="Calibri" w:cs="Calibri"/>
        </w:rPr>
        <w:tab/>
        <w:t>Moreover, the loans programme that is at the centre of the CELF network ensures that the national collection is getting out to the communities who essentially o</w:t>
      </w:r>
      <w:r w:rsidR="00277C07" w:rsidRPr="005D6017">
        <w:rPr>
          <w:rFonts w:ascii="Calibri" w:hAnsi="Calibri" w:cs="Calibri"/>
        </w:rPr>
        <w:t>wn the right to see the work on display.</w:t>
      </w:r>
      <w:r w:rsidR="005E2EA0" w:rsidRPr="005D6017">
        <w:rPr>
          <w:rFonts w:ascii="Calibri" w:hAnsi="Calibri" w:cs="Calibri"/>
        </w:rPr>
        <w:t xml:space="preserve"> </w:t>
      </w:r>
      <w:r w:rsidR="00DD34C4" w:rsidRPr="005D6017">
        <w:rPr>
          <w:rFonts w:ascii="Calibri" w:hAnsi="Calibri" w:cs="Calibri"/>
        </w:rPr>
        <w:t xml:space="preserve">However, the project is also ensuring that </w:t>
      </w:r>
      <w:r w:rsidR="00351869" w:rsidRPr="005D6017">
        <w:rPr>
          <w:rFonts w:ascii="Calibri" w:hAnsi="Calibri" w:cs="Calibri"/>
        </w:rPr>
        <w:t xml:space="preserve">work that may not have the ability to be displayed due to the size, conservation needs or fragility is </w:t>
      </w:r>
      <w:r w:rsidR="00B57C62" w:rsidRPr="005D6017">
        <w:rPr>
          <w:rFonts w:ascii="Calibri" w:hAnsi="Calibri" w:cs="Calibri"/>
        </w:rPr>
        <w:t>digitised</w:t>
      </w:r>
      <w:r w:rsidR="00351869" w:rsidRPr="005D6017">
        <w:rPr>
          <w:rFonts w:ascii="Calibri" w:hAnsi="Calibri" w:cs="Calibri"/>
        </w:rPr>
        <w:t xml:space="preserve"> and uploaded to the website. This links into Parry’s discourse</w:t>
      </w:r>
      <w:r w:rsidR="00B70366" w:rsidRPr="005D6017">
        <w:rPr>
          <w:rFonts w:ascii="Calibri" w:hAnsi="Calibri" w:cs="Calibri"/>
        </w:rPr>
        <w:t xml:space="preserve"> that using digital platforms allows </w:t>
      </w:r>
      <w:r w:rsidR="00B57C62" w:rsidRPr="005D6017">
        <w:rPr>
          <w:rFonts w:ascii="Calibri" w:hAnsi="Calibri" w:cs="Calibri"/>
        </w:rPr>
        <w:t>museums</w:t>
      </w:r>
      <w:r w:rsidR="00B70366" w:rsidRPr="005D6017">
        <w:rPr>
          <w:rFonts w:ascii="Calibri" w:hAnsi="Calibri" w:cs="Calibri"/>
        </w:rPr>
        <w:t xml:space="preserve"> to gain</w:t>
      </w:r>
      <w:r w:rsidR="008B4D9E" w:rsidRPr="005D6017">
        <w:rPr>
          <w:rFonts w:ascii="Calibri" w:hAnsi="Calibri" w:cs="Calibri"/>
        </w:rPr>
        <w:t xml:space="preserve"> new ways of </w:t>
      </w:r>
      <w:r w:rsidR="00CB4B76" w:rsidRPr="005D6017">
        <w:rPr>
          <w:rFonts w:ascii="Calibri" w:hAnsi="Calibri" w:cs="Calibri"/>
        </w:rPr>
        <w:t>working with collections</w:t>
      </w:r>
      <w:r w:rsidR="000B76D8" w:rsidRPr="005D6017">
        <w:rPr>
          <w:rFonts w:ascii="Calibri" w:hAnsi="Calibri" w:cs="Calibri"/>
        </w:rPr>
        <w:t xml:space="preserve"> and </w:t>
      </w:r>
      <w:r w:rsidR="00CB4B76" w:rsidRPr="005D6017">
        <w:rPr>
          <w:rFonts w:ascii="Calibri" w:hAnsi="Calibri" w:cs="Calibri"/>
        </w:rPr>
        <w:t xml:space="preserve">gives more </w:t>
      </w:r>
      <w:r w:rsidR="00921B2A" w:rsidRPr="005D6017">
        <w:rPr>
          <w:rFonts w:ascii="Calibri" w:hAnsi="Calibri" w:cs="Calibri"/>
        </w:rPr>
        <w:t>opportunities</w:t>
      </w:r>
      <w:r w:rsidR="00CB4B76" w:rsidRPr="005D6017">
        <w:rPr>
          <w:rFonts w:ascii="Calibri" w:hAnsi="Calibri" w:cs="Calibri"/>
        </w:rPr>
        <w:t xml:space="preserve"> for displaying objects</w:t>
      </w:r>
      <w:r w:rsidR="000B76D8" w:rsidRPr="005D6017">
        <w:rPr>
          <w:rFonts w:ascii="Calibri" w:hAnsi="Calibri" w:cs="Calibri"/>
        </w:rPr>
        <w:t xml:space="preserve"> which are not bound to a building.</w:t>
      </w:r>
      <w:r w:rsidR="0035157C" w:rsidRPr="005D6017">
        <w:rPr>
          <w:rStyle w:val="FootnoteReference"/>
          <w:rFonts w:ascii="Calibri" w:hAnsi="Calibri" w:cs="Calibri"/>
        </w:rPr>
        <w:footnoteReference w:id="9"/>
      </w:r>
      <w:r w:rsidR="002616F0" w:rsidRPr="005D6017">
        <w:rPr>
          <w:rFonts w:ascii="Calibri" w:hAnsi="Calibri" w:cs="Calibri"/>
        </w:rPr>
        <w:t xml:space="preserve"> </w:t>
      </w:r>
      <w:r w:rsidR="00921B2A" w:rsidRPr="005D6017">
        <w:rPr>
          <w:rFonts w:ascii="Calibri" w:hAnsi="Calibri" w:cs="Calibri"/>
        </w:rPr>
        <w:t xml:space="preserve">Added to this, CELF is ensuring </w:t>
      </w:r>
      <w:r w:rsidR="00921B2A" w:rsidRPr="005D6017">
        <w:rPr>
          <w:rFonts w:ascii="Calibri" w:hAnsi="Calibri" w:cs="Calibri"/>
        </w:rPr>
        <w:lastRenderedPageBreak/>
        <w:t>that communities are at the centre of the interpretation and display of the collections – a key ethical framework.</w:t>
      </w:r>
      <w:r w:rsidR="00260AC1" w:rsidRPr="005D6017">
        <w:rPr>
          <w:rFonts w:ascii="Calibri" w:hAnsi="Calibri" w:cs="Calibri"/>
        </w:rPr>
        <w:t xml:space="preserve"> It supports arguments by Lynch to ensure that </w:t>
      </w:r>
      <w:r w:rsidR="002616F0" w:rsidRPr="005D6017">
        <w:rPr>
          <w:rFonts w:ascii="Calibri" w:hAnsi="Calibri" w:cs="Calibri"/>
        </w:rPr>
        <w:t>museums</w:t>
      </w:r>
      <w:r w:rsidR="00260AC1" w:rsidRPr="005D6017">
        <w:rPr>
          <w:rFonts w:ascii="Calibri" w:hAnsi="Calibri" w:cs="Calibri"/>
        </w:rPr>
        <w:t xml:space="preserve"> move away from being curator-dominated</w:t>
      </w:r>
      <w:r w:rsidR="00475305" w:rsidRPr="005D6017">
        <w:rPr>
          <w:rFonts w:ascii="Calibri" w:hAnsi="Calibri" w:cs="Calibri"/>
        </w:rPr>
        <w:t xml:space="preserve"> </w:t>
      </w:r>
      <w:r w:rsidR="002616F0" w:rsidRPr="005D6017">
        <w:rPr>
          <w:rFonts w:ascii="Calibri" w:hAnsi="Calibri" w:cs="Calibri"/>
        </w:rPr>
        <w:t>narratives</w:t>
      </w:r>
      <w:r w:rsidR="00475305" w:rsidRPr="005D6017">
        <w:rPr>
          <w:rFonts w:ascii="Calibri" w:hAnsi="Calibri" w:cs="Calibri"/>
        </w:rPr>
        <w:t xml:space="preserve"> to more collaborative mo</w:t>
      </w:r>
      <w:r w:rsidR="00F83093" w:rsidRPr="005D6017">
        <w:rPr>
          <w:rFonts w:ascii="Calibri" w:hAnsi="Calibri" w:cs="Calibri"/>
        </w:rPr>
        <w:t>d</w:t>
      </w:r>
      <w:r w:rsidR="00475305" w:rsidRPr="005D6017">
        <w:rPr>
          <w:rFonts w:ascii="Calibri" w:hAnsi="Calibri" w:cs="Calibri"/>
        </w:rPr>
        <w:t>els that represent all of society.</w:t>
      </w:r>
      <w:r w:rsidR="00475305" w:rsidRPr="005D6017">
        <w:rPr>
          <w:rStyle w:val="FootnoteReference"/>
          <w:rFonts w:ascii="Calibri" w:hAnsi="Calibri" w:cs="Calibri"/>
        </w:rPr>
        <w:footnoteReference w:id="10"/>
      </w:r>
      <w:r w:rsidR="00475305" w:rsidRPr="005D6017">
        <w:rPr>
          <w:rFonts w:ascii="Calibri" w:hAnsi="Calibri" w:cs="Calibri"/>
        </w:rPr>
        <w:t xml:space="preserve"> This again directly links to one of the ethical issues of </w:t>
      </w:r>
      <w:r w:rsidR="002616F0" w:rsidRPr="005D6017">
        <w:rPr>
          <w:rFonts w:ascii="Calibri" w:hAnsi="Calibri" w:cs="Calibri"/>
        </w:rPr>
        <w:t xml:space="preserve">the </w:t>
      </w:r>
      <w:r w:rsidR="00475305" w:rsidRPr="005D6017">
        <w:rPr>
          <w:rFonts w:ascii="Calibri" w:hAnsi="Calibri" w:cs="Calibri"/>
        </w:rPr>
        <w:t xml:space="preserve">curator choosing what does or does not go on display and shows how CELF can act as </w:t>
      </w:r>
      <w:r w:rsidR="002616F0" w:rsidRPr="005D6017">
        <w:rPr>
          <w:rFonts w:ascii="Calibri" w:hAnsi="Calibri" w:cs="Calibri"/>
        </w:rPr>
        <w:t xml:space="preserve">an </w:t>
      </w:r>
      <w:r w:rsidR="00475305" w:rsidRPr="005D6017">
        <w:rPr>
          <w:rFonts w:ascii="Calibri" w:hAnsi="Calibri" w:cs="Calibri"/>
        </w:rPr>
        <w:t>example to combat this</w:t>
      </w:r>
      <w:r w:rsidR="002616F0" w:rsidRPr="005D6017">
        <w:rPr>
          <w:rFonts w:ascii="Calibri" w:hAnsi="Calibri" w:cs="Calibri"/>
        </w:rPr>
        <w:t>,</w:t>
      </w:r>
      <w:r w:rsidR="00475305" w:rsidRPr="005D6017">
        <w:rPr>
          <w:rFonts w:ascii="Calibri" w:hAnsi="Calibri" w:cs="Calibri"/>
        </w:rPr>
        <w:t xml:space="preserve"> as well as creating more display space.</w:t>
      </w:r>
    </w:p>
    <w:p w14:paraId="42577161" w14:textId="16776C1F" w:rsidR="003D633C" w:rsidRPr="005D6017" w:rsidRDefault="003D633C" w:rsidP="00E03C87">
      <w:pPr>
        <w:rPr>
          <w:rFonts w:ascii="Calibri" w:hAnsi="Calibri" w:cs="Calibri"/>
        </w:rPr>
      </w:pPr>
      <w:r w:rsidRPr="005D6017">
        <w:rPr>
          <w:rFonts w:ascii="Calibri" w:hAnsi="Calibri" w:cs="Calibri"/>
        </w:rPr>
        <w:tab/>
      </w:r>
      <w:r w:rsidR="00656B8F" w:rsidRPr="005D6017">
        <w:rPr>
          <w:rFonts w:ascii="Calibri" w:hAnsi="Calibri" w:cs="Calibri"/>
        </w:rPr>
        <w:t xml:space="preserve">CELF also enable investment into museum and gallery infrastructure to improve conditions and the capacity of the buildings to host more artworks. Black </w:t>
      </w:r>
      <w:r w:rsidR="00600EFC" w:rsidRPr="005D6017">
        <w:rPr>
          <w:rFonts w:ascii="Calibri" w:hAnsi="Calibri" w:cs="Calibri"/>
        </w:rPr>
        <w:t xml:space="preserve">has argued that this is essential to fulfil </w:t>
      </w:r>
      <w:r w:rsidR="00470FA4" w:rsidRPr="005D6017">
        <w:rPr>
          <w:rFonts w:ascii="Calibri" w:hAnsi="Calibri" w:cs="Calibri"/>
        </w:rPr>
        <w:t>their</w:t>
      </w:r>
      <w:r w:rsidR="00600EFC" w:rsidRPr="005D6017">
        <w:rPr>
          <w:rFonts w:ascii="Calibri" w:hAnsi="Calibri" w:cs="Calibri"/>
        </w:rPr>
        <w:t xml:space="preserve"> public mission.</w:t>
      </w:r>
      <w:r w:rsidR="00600EFC" w:rsidRPr="005D6017">
        <w:rPr>
          <w:rStyle w:val="FootnoteReference"/>
          <w:rFonts w:ascii="Calibri" w:hAnsi="Calibri" w:cs="Calibri"/>
        </w:rPr>
        <w:footnoteReference w:id="11"/>
      </w:r>
      <w:r w:rsidR="00600EFC" w:rsidRPr="005D6017">
        <w:rPr>
          <w:rFonts w:ascii="Calibri" w:hAnsi="Calibri" w:cs="Calibri"/>
        </w:rPr>
        <w:t xml:space="preserve"> This again all </w:t>
      </w:r>
      <w:r w:rsidR="00470FA4" w:rsidRPr="005D6017">
        <w:rPr>
          <w:rFonts w:ascii="Calibri" w:hAnsi="Calibri" w:cs="Calibri"/>
        </w:rPr>
        <w:t>links</w:t>
      </w:r>
      <w:r w:rsidR="00600EFC" w:rsidRPr="005D6017">
        <w:rPr>
          <w:rFonts w:ascii="Calibri" w:hAnsi="Calibri" w:cs="Calibri"/>
        </w:rPr>
        <w:t xml:space="preserve"> back to the ICOM definition and other ethical standards </w:t>
      </w:r>
      <w:r w:rsidR="005C0E05" w:rsidRPr="005D6017">
        <w:rPr>
          <w:rFonts w:ascii="Calibri" w:hAnsi="Calibri" w:cs="Calibri"/>
        </w:rPr>
        <w:t xml:space="preserve">for the need for all </w:t>
      </w:r>
      <w:r w:rsidR="00470FA4" w:rsidRPr="005D6017">
        <w:rPr>
          <w:rFonts w:ascii="Calibri" w:hAnsi="Calibri" w:cs="Calibri"/>
        </w:rPr>
        <w:t>collections</w:t>
      </w:r>
      <w:r w:rsidR="005C0E05" w:rsidRPr="005D6017">
        <w:rPr>
          <w:rFonts w:ascii="Calibri" w:hAnsi="Calibri" w:cs="Calibri"/>
        </w:rPr>
        <w:t xml:space="preserve"> </w:t>
      </w:r>
      <w:r w:rsidR="00470FA4" w:rsidRPr="005D6017">
        <w:rPr>
          <w:rFonts w:ascii="Calibri" w:hAnsi="Calibri" w:cs="Calibri"/>
        </w:rPr>
        <w:t>to be</w:t>
      </w:r>
      <w:r w:rsidR="005C0E05" w:rsidRPr="005D6017">
        <w:rPr>
          <w:rFonts w:ascii="Calibri" w:hAnsi="Calibri" w:cs="Calibri"/>
        </w:rPr>
        <w:t xml:space="preserve"> displayed. This is further backed by </w:t>
      </w:r>
      <w:r w:rsidR="00E15100" w:rsidRPr="005D6017">
        <w:rPr>
          <w:rFonts w:ascii="Calibri" w:hAnsi="Calibri" w:cs="Calibri"/>
        </w:rPr>
        <w:t xml:space="preserve">Message and </w:t>
      </w:r>
      <w:r w:rsidR="005C0E05" w:rsidRPr="005D6017">
        <w:rPr>
          <w:rFonts w:ascii="Calibri" w:hAnsi="Calibri" w:cs="Calibri"/>
        </w:rPr>
        <w:t>Witcomb</w:t>
      </w:r>
      <w:r w:rsidR="00470FA4" w:rsidRPr="005D6017">
        <w:rPr>
          <w:rFonts w:ascii="Calibri" w:hAnsi="Calibri" w:cs="Calibri"/>
        </w:rPr>
        <w:t>,</w:t>
      </w:r>
      <w:r w:rsidR="005C0E05" w:rsidRPr="005D6017">
        <w:rPr>
          <w:rFonts w:ascii="Calibri" w:hAnsi="Calibri" w:cs="Calibri"/>
        </w:rPr>
        <w:t xml:space="preserve"> who </w:t>
      </w:r>
      <w:r w:rsidR="00470FA4" w:rsidRPr="005D6017">
        <w:rPr>
          <w:rFonts w:ascii="Calibri" w:hAnsi="Calibri" w:cs="Calibri"/>
        </w:rPr>
        <w:t>state</w:t>
      </w:r>
      <w:r w:rsidR="005C0E05" w:rsidRPr="005D6017">
        <w:rPr>
          <w:rFonts w:ascii="Calibri" w:hAnsi="Calibri" w:cs="Calibri"/>
        </w:rPr>
        <w:t xml:space="preserve"> that when we put collections at the heart of public life</w:t>
      </w:r>
      <w:r w:rsidR="00AF41A7" w:rsidRPr="005D6017">
        <w:rPr>
          <w:rFonts w:ascii="Calibri" w:hAnsi="Calibri" w:cs="Calibri"/>
        </w:rPr>
        <w:t xml:space="preserve">, we can engage with communities where they are </w:t>
      </w:r>
      <w:r w:rsidR="00470FA4" w:rsidRPr="005D6017">
        <w:rPr>
          <w:rFonts w:ascii="Calibri" w:hAnsi="Calibri" w:cs="Calibri"/>
        </w:rPr>
        <w:t>on</w:t>
      </w:r>
      <w:r w:rsidR="00AF41A7" w:rsidRPr="005D6017">
        <w:rPr>
          <w:rFonts w:ascii="Calibri" w:hAnsi="Calibri" w:cs="Calibri"/>
        </w:rPr>
        <w:t xml:space="preserve"> their </w:t>
      </w:r>
      <w:r w:rsidR="00470FA4" w:rsidRPr="005D6017">
        <w:rPr>
          <w:rFonts w:ascii="Calibri" w:hAnsi="Calibri" w:cs="Calibri"/>
        </w:rPr>
        <w:t xml:space="preserve">own </w:t>
      </w:r>
      <w:r w:rsidR="00AF41A7" w:rsidRPr="005D6017">
        <w:rPr>
          <w:rFonts w:ascii="Calibri" w:hAnsi="Calibri" w:cs="Calibri"/>
        </w:rPr>
        <w:t>pace.</w:t>
      </w:r>
      <w:r w:rsidR="00AF41A7" w:rsidRPr="005D6017">
        <w:rPr>
          <w:rStyle w:val="FootnoteReference"/>
          <w:rFonts w:ascii="Calibri" w:hAnsi="Calibri" w:cs="Calibri"/>
        </w:rPr>
        <w:footnoteReference w:id="12"/>
      </w:r>
      <w:r w:rsidR="00E15100" w:rsidRPr="005D6017">
        <w:rPr>
          <w:rFonts w:ascii="Calibri" w:hAnsi="Calibri" w:cs="Calibri"/>
        </w:rPr>
        <w:t xml:space="preserve"> </w:t>
      </w:r>
      <w:r w:rsidR="00AF41A7" w:rsidRPr="005D6017">
        <w:rPr>
          <w:rFonts w:ascii="Calibri" w:hAnsi="Calibri" w:cs="Calibri"/>
        </w:rPr>
        <w:t xml:space="preserve">This shows that CELF is an excellent example </w:t>
      </w:r>
      <w:r w:rsidR="00470FA4" w:rsidRPr="005D6017">
        <w:rPr>
          <w:rFonts w:ascii="Calibri" w:hAnsi="Calibri" w:cs="Calibri"/>
        </w:rPr>
        <w:t>of</w:t>
      </w:r>
      <w:r w:rsidR="00AF41A7" w:rsidRPr="005D6017">
        <w:rPr>
          <w:rFonts w:ascii="Calibri" w:hAnsi="Calibri" w:cs="Calibri"/>
        </w:rPr>
        <w:t xml:space="preserve"> showing that it is possible for all collections to be on display</w:t>
      </w:r>
      <w:r w:rsidR="00470FA4" w:rsidRPr="005D6017">
        <w:rPr>
          <w:rFonts w:ascii="Calibri" w:hAnsi="Calibri" w:cs="Calibri"/>
        </w:rPr>
        <w:t>,</w:t>
      </w:r>
      <w:r w:rsidR="00AF41A7" w:rsidRPr="005D6017">
        <w:rPr>
          <w:rFonts w:ascii="Calibri" w:hAnsi="Calibri" w:cs="Calibri"/>
        </w:rPr>
        <w:t xml:space="preserve"> and by doing this</w:t>
      </w:r>
      <w:r w:rsidR="00470FA4" w:rsidRPr="005D6017">
        <w:rPr>
          <w:rFonts w:ascii="Calibri" w:hAnsi="Calibri" w:cs="Calibri"/>
        </w:rPr>
        <w:t>,</w:t>
      </w:r>
      <w:r w:rsidR="00AF41A7" w:rsidRPr="005D6017">
        <w:rPr>
          <w:rFonts w:ascii="Calibri" w:hAnsi="Calibri" w:cs="Calibri"/>
        </w:rPr>
        <w:t xml:space="preserve"> we can </w:t>
      </w:r>
      <w:r w:rsidR="00470FA4" w:rsidRPr="005D6017">
        <w:rPr>
          <w:rFonts w:ascii="Calibri" w:hAnsi="Calibri" w:cs="Calibri"/>
        </w:rPr>
        <w:t>fulfil</w:t>
      </w:r>
      <w:r w:rsidR="00AF41A7" w:rsidRPr="005D6017">
        <w:rPr>
          <w:rFonts w:ascii="Calibri" w:hAnsi="Calibri" w:cs="Calibri"/>
        </w:rPr>
        <w:t xml:space="preserve"> the ethical duty of </w:t>
      </w:r>
      <w:r w:rsidR="00470FA4" w:rsidRPr="005D6017">
        <w:rPr>
          <w:rFonts w:ascii="Calibri" w:hAnsi="Calibri" w:cs="Calibri"/>
        </w:rPr>
        <w:t>museums</w:t>
      </w:r>
      <w:r w:rsidR="00AF41A7" w:rsidRPr="005D6017">
        <w:rPr>
          <w:rFonts w:ascii="Calibri" w:hAnsi="Calibri" w:cs="Calibri"/>
        </w:rPr>
        <w:t xml:space="preserve"> and put communities at the centre of it, democratising collections.</w:t>
      </w:r>
    </w:p>
    <w:p w14:paraId="554E6F09" w14:textId="77777777" w:rsidR="00B100A7" w:rsidRPr="005D6017" w:rsidRDefault="00B100A7" w:rsidP="00B100A7">
      <w:pPr>
        <w:rPr>
          <w:rFonts w:ascii="Calibri" w:hAnsi="Calibri" w:cs="Calibri"/>
        </w:rPr>
      </w:pPr>
      <w:r w:rsidRPr="005D6017">
        <w:rPr>
          <w:rFonts w:ascii="Calibri" w:hAnsi="Calibri" w:cs="Calibri"/>
        </w:rPr>
        <w:tab/>
        <w:t>Linked to CELF, there are other initiatives in Wales that are combating the practical issues around the ability to display all museum collections. This has also happened in part due to the New Curriculum for Wales and the focus on Cynefin, the sense of belonging to Wales and where you live.</w:t>
      </w:r>
      <w:r w:rsidRPr="005D6017">
        <w:rPr>
          <w:rStyle w:val="FootnoteReference"/>
          <w:rFonts w:ascii="Calibri" w:hAnsi="Calibri" w:cs="Calibri"/>
        </w:rPr>
        <w:footnoteReference w:id="13"/>
      </w:r>
      <w:r w:rsidRPr="005D6017">
        <w:rPr>
          <w:rFonts w:ascii="Calibri" w:hAnsi="Calibri" w:cs="Calibri"/>
        </w:rPr>
        <w:t xml:space="preserve"> This has created new opportunities for museums to develop their audiences and further work with local schools while also enabling practical ways and the need for access to museum collections. Rhondda Heritage Park developed an Object Handling Policy, which meant all of the collections could be used onsite and offsite in object handling sessions.</w:t>
      </w:r>
      <w:r w:rsidRPr="005D6017">
        <w:rPr>
          <w:rStyle w:val="FootnoteReference"/>
          <w:rFonts w:ascii="Calibri" w:hAnsi="Calibri" w:cs="Calibri"/>
        </w:rPr>
        <w:footnoteReference w:id="14"/>
      </w:r>
      <w:r w:rsidRPr="005D6017">
        <w:rPr>
          <w:rFonts w:ascii="Calibri" w:hAnsi="Calibri" w:cs="Calibri"/>
        </w:rPr>
        <w:t xml:space="preserve"> By ensuring that measures were put in place to prevent security issues or damage to objects, more items could be taken out of storage and be seen, or more importantly, used by school children.</w:t>
      </w:r>
      <w:r w:rsidRPr="005D6017">
        <w:rPr>
          <w:rStyle w:val="FootnoteReference"/>
          <w:rFonts w:ascii="Calibri" w:hAnsi="Calibri" w:cs="Calibri"/>
        </w:rPr>
        <w:footnoteReference w:id="15"/>
      </w:r>
      <w:r w:rsidRPr="005D6017">
        <w:rPr>
          <w:rFonts w:ascii="Calibri" w:hAnsi="Calibri" w:cs="Calibri"/>
        </w:rPr>
        <w:t xml:space="preserve"> This again shows that through relationship building and collaboration, museums can ensure a more ethical approach to displaying and accessing objects. Simons has argued that museums should act in this realm and should be participatory to enable visitors and communities to shape curation, rather than just consume it.</w:t>
      </w:r>
      <w:r w:rsidRPr="005D6017">
        <w:rPr>
          <w:rStyle w:val="FootnoteReference"/>
          <w:rFonts w:ascii="Calibri" w:hAnsi="Calibri" w:cs="Calibri"/>
        </w:rPr>
        <w:footnoteReference w:id="16"/>
      </w:r>
      <w:r w:rsidRPr="005D6017">
        <w:rPr>
          <w:rFonts w:ascii="Calibri" w:hAnsi="Calibri" w:cs="Calibri"/>
        </w:rPr>
        <w:t xml:space="preserve"> This again shows how important it is to work with communities, as they often have the answer to practical issues museums face, as they have the space to host and time to help shape curatorial practices.</w:t>
      </w:r>
    </w:p>
    <w:p w14:paraId="3D06994A" w14:textId="77777777" w:rsidR="00B100A7" w:rsidRPr="005D6017" w:rsidRDefault="00B100A7" w:rsidP="00B100A7">
      <w:pPr>
        <w:rPr>
          <w:rFonts w:ascii="Calibri" w:hAnsi="Calibri" w:cs="Calibri"/>
        </w:rPr>
      </w:pPr>
      <w:r w:rsidRPr="005D6017">
        <w:rPr>
          <w:rFonts w:ascii="Calibri" w:hAnsi="Calibri" w:cs="Calibri"/>
        </w:rPr>
        <w:tab/>
        <w:t xml:space="preserve">This is also furthered by Hooper-Greenhill, 21st-century museums have moved away from singular communication between the curator and visitor, to a dualistic space where </w:t>
      </w:r>
      <w:r w:rsidRPr="005D6017">
        <w:rPr>
          <w:rFonts w:ascii="Calibri" w:hAnsi="Calibri" w:cs="Calibri"/>
        </w:rPr>
        <w:lastRenderedPageBreak/>
        <w:t>dialogues are collaborative and create a learning environment.</w:t>
      </w:r>
      <w:r w:rsidRPr="005D6017">
        <w:rPr>
          <w:rStyle w:val="FootnoteReference"/>
          <w:rFonts w:ascii="Calibri" w:hAnsi="Calibri" w:cs="Calibri"/>
        </w:rPr>
        <w:footnoteReference w:id="17"/>
      </w:r>
      <w:r w:rsidRPr="005D6017">
        <w:rPr>
          <w:rFonts w:ascii="Calibri" w:hAnsi="Calibri" w:cs="Calibri"/>
        </w:rPr>
        <w:t xml:space="preserve"> By doing this, museums are already creating more space and ways to display all their collections to meet their ethical duty. The example set out by Rhondda Heritage Park shows this shift to learning dialogues, where spaces are created for collections to be used and displayed meaningfully for the benefit of the community.</w:t>
      </w:r>
    </w:p>
    <w:p w14:paraId="413390BD" w14:textId="77777777" w:rsidR="00B100A7" w:rsidRPr="005D6017" w:rsidRDefault="00B100A7" w:rsidP="00B100A7">
      <w:pPr>
        <w:rPr>
          <w:rFonts w:ascii="Calibri" w:hAnsi="Calibri" w:cs="Calibri"/>
        </w:rPr>
      </w:pPr>
      <w:r w:rsidRPr="005D6017">
        <w:rPr>
          <w:rFonts w:ascii="Calibri" w:hAnsi="Calibri" w:cs="Calibri"/>
        </w:rPr>
        <w:tab/>
        <w:t>Similarly, Sandell’s work shows how this approach to making all collections accessible can show that museums can challenge marginalised communities, as they can co-design programmes that tear down historically dominant narratives.</w:t>
      </w:r>
      <w:r w:rsidRPr="005D6017">
        <w:rPr>
          <w:rStyle w:val="FootnoteReference"/>
          <w:rFonts w:ascii="Calibri" w:hAnsi="Calibri" w:cs="Calibri"/>
        </w:rPr>
        <w:footnoteReference w:id="18"/>
      </w:r>
      <w:r w:rsidRPr="005D6017">
        <w:rPr>
          <w:rFonts w:ascii="Calibri" w:hAnsi="Calibri" w:cs="Calibri"/>
        </w:rPr>
        <w:t xml:space="preserve"> He further argues that museums achieve their greatest public value when they centre the voices of underrepresented groups and address structural inequities.</w:t>
      </w:r>
      <w:r w:rsidRPr="005D6017">
        <w:rPr>
          <w:rStyle w:val="FootnoteReference"/>
          <w:rFonts w:ascii="Calibri" w:hAnsi="Calibri" w:cs="Calibri"/>
        </w:rPr>
        <w:footnoteReference w:id="19"/>
      </w:r>
      <w:r w:rsidRPr="005D6017">
        <w:rPr>
          <w:rFonts w:ascii="Calibri" w:hAnsi="Calibri" w:cs="Calibri"/>
        </w:rPr>
        <w:t xml:space="preserve"> The collaborative practices observed in the Rhondda Heritage Park case study align with this ethical imperative, illustrating how participatory engagement can support cultural equity at a community level through access to collections. This participatory work through access to collections also permits museums to shape civic identities by fostering encounters that encourage reflection, negotiation, and social learning.</w:t>
      </w:r>
      <w:r w:rsidRPr="005D6017">
        <w:rPr>
          <w:rStyle w:val="FootnoteReference"/>
          <w:rFonts w:ascii="Calibri" w:hAnsi="Calibri" w:cs="Calibri"/>
        </w:rPr>
        <w:footnoteReference w:id="20"/>
      </w:r>
      <w:r w:rsidRPr="005D6017">
        <w:rPr>
          <w:rFonts w:ascii="Calibri" w:hAnsi="Calibri" w:cs="Calibri"/>
        </w:rPr>
        <w:t xml:space="preserve"> As shown at Rhondda Heritage Park, by including communities in curatorial processes and decisions, museums are working within this civic function effectively, which allows society to be shaped collaboratively rather than hierarchically. This example, more importantly, shows that collaboration and community involvement are essential to the need and the ability for all museum collections to be used or displayed.</w:t>
      </w:r>
    </w:p>
    <w:p w14:paraId="293EB87F" w14:textId="77777777" w:rsidR="00986B9E" w:rsidRPr="005D6017" w:rsidRDefault="00986B9E" w:rsidP="00986B9E">
      <w:pPr>
        <w:ind w:firstLine="720"/>
        <w:rPr>
          <w:rFonts w:ascii="Calibri" w:hAnsi="Calibri" w:cs="Calibri"/>
        </w:rPr>
      </w:pPr>
      <w:r w:rsidRPr="005D6017">
        <w:rPr>
          <w:rFonts w:ascii="Calibri" w:hAnsi="Calibri" w:cs="Calibri"/>
        </w:rPr>
        <w:t>Another important case study that shows the ability to overcome practical aspects of displaying all museum collections is M Shed’s ‘Treasures in Store’ initiative.</w:t>
      </w:r>
      <w:r w:rsidRPr="005D6017">
        <w:rPr>
          <w:rStyle w:val="FootnoteReference"/>
          <w:rFonts w:ascii="Calibri" w:hAnsi="Calibri" w:cs="Calibri"/>
        </w:rPr>
        <w:footnoteReference w:id="21"/>
      </w:r>
      <w:r w:rsidRPr="005D6017">
        <w:rPr>
          <w:rFonts w:ascii="Calibri" w:hAnsi="Calibri" w:cs="Calibri"/>
        </w:rPr>
        <w:t xml:space="preserve"> The display space shows an innovative approach to museum practices that allows for transparency and democratises access to collections. M Shed is the same as all museums; they host far more objects than can ever be displayed. </w:t>
      </w:r>
      <w:proofErr w:type="gramStart"/>
      <w:r w:rsidRPr="005D6017">
        <w:rPr>
          <w:rFonts w:ascii="Calibri" w:hAnsi="Calibri" w:cs="Calibri"/>
        </w:rPr>
        <w:t>The majority of</w:t>
      </w:r>
      <w:proofErr w:type="gramEnd"/>
      <w:r w:rsidRPr="005D6017">
        <w:rPr>
          <w:rFonts w:ascii="Calibri" w:hAnsi="Calibri" w:cs="Calibri"/>
        </w:rPr>
        <w:t xml:space="preserve"> their collection is stored in their L Shed. Again, this is also commonplace for most museums, where they have adjacent storage, where collections go to stay for eternity to never see the light of day again. However, at M Shed, they </w:t>
      </w:r>
      <w:proofErr w:type="gramStart"/>
      <w:r w:rsidRPr="005D6017">
        <w:rPr>
          <w:rFonts w:ascii="Calibri" w:hAnsi="Calibri" w:cs="Calibri"/>
        </w:rPr>
        <w:t>opened up</w:t>
      </w:r>
      <w:proofErr w:type="gramEnd"/>
      <w:r w:rsidRPr="005D6017">
        <w:rPr>
          <w:rFonts w:ascii="Calibri" w:hAnsi="Calibri" w:cs="Calibri"/>
        </w:rPr>
        <w:t xml:space="preserve"> their storage space to the public, giving guided tours, which helped bring the collections back into Bristol’s cultural narrative.</w:t>
      </w:r>
      <w:r w:rsidRPr="005D6017">
        <w:rPr>
          <w:rStyle w:val="FootnoteReference"/>
          <w:rFonts w:ascii="Calibri" w:hAnsi="Calibri" w:cs="Calibri"/>
        </w:rPr>
        <w:footnoteReference w:id="22"/>
      </w:r>
      <w:r w:rsidRPr="005D6017">
        <w:rPr>
          <w:rFonts w:ascii="Calibri" w:hAnsi="Calibri" w:cs="Calibri"/>
        </w:rPr>
        <w:t xml:space="preserve"> This further develops on the practical ways to display all museum collections that have been set by both CELF and the Rhondda Heritage Park case studies.</w:t>
      </w:r>
    </w:p>
    <w:p w14:paraId="6638BBEC" w14:textId="77777777" w:rsidR="00986B9E" w:rsidRPr="005D6017" w:rsidRDefault="00986B9E" w:rsidP="00986B9E">
      <w:pPr>
        <w:rPr>
          <w:rFonts w:ascii="Calibri" w:hAnsi="Calibri" w:cs="Calibri"/>
        </w:rPr>
      </w:pPr>
      <w:r w:rsidRPr="005D6017">
        <w:rPr>
          <w:rFonts w:ascii="Calibri" w:hAnsi="Calibri" w:cs="Calibri"/>
        </w:rPr>
        <w:tab/>
        <w:t xml:space="preserve">This example is supported by academics in the field. Macdonald has argued that opening museum storage disrupts traditional hierarchies of knowledge and presents </w:t>
      </w:r>
      <w:r w:rsidRPr="005D6017">
        <w:rPr>
          <w:rFonts w:ascii="Calibri" w:hAnsi="Calibri" w:cs="Calibri"/>
        </w:rPr>
        <w:lastRenderedPageBreak/>
        <w:t>collections as dynamic, living resources rather than fixed heritage archives.</w:t>
      </w:r>
      <w:r w:rsidRPr="005D6017">
        <w:rPr>
          <w:rStyle w:val="FootnoteReference"/>
          <w:rFonts w:ascii="Calibri" w:hAnsi="Calibri" w:cs="Calibri"/>
        </w:rPr>
        <w:footnoteReference w:id="23"/>
      </w:r>
      <w:r w:rsidRPr="005D6017">
        <w:rPr>
          <w:rFonts w:ascii="Calibri" w:hAnsi="Calibri" w:cs="Calibri"/>
        </w:rPr>
        <w:t xml:space="preserve"> She further argues that transparency invites public trust and fosters a clearer understanding of how museums construct narratives.</w:t>
      </w:r>
      <w:r w:rsidRPr="005D6017">
        <w:rPr>
          <w:rStyle w:val="FootnoteReference"/>
          <w:rFonts w:ascii="Calibri" w:hAnsi="Calibri" w:cs="Calibri"/>
        </w:rPr>
        <w:footnoteReference w:id="24"/>
      </w:r>
      <w:r w:rsidRPr="005D6017">
        <w:rPr>
          <w:rFonts w:ascii="Calibri" w:hAnsi="Calibri" w:cs="Calibri"/>
        </w:rPr>
        <w:t xml:space="preserve"> This idea is seen in the model at M Shed, that both the public and the museum benefit from showing the process of collections care. It also importantly creates a stage for which all museum objects can be displayed.</w:t>
      </w:r>
    </w:p>
    <w:p w14:paraId="298E3A22" w14:textId="77777777" w:rsidR="00986B9E" w:rsidRPr="005D6017" w:rsidRDefault="00986B9E" w:rsidP="00986B9E">
      <w:pPr>
        <w:rPr>
          <w:rFonts w:ascii="Calibri" w:hAnsi="Calibri" w:cs="Calibri"/>
        </w:rPr>
      </w:pPr>
      <w:r w:rsidRPr="005D6017">
        <w:rPr>
          <w:rFonts w:ascii="Calibri" w:hAnsi="Calibri" w:cs="Calibri"/>
        </w:rPr>
        <w:tab/>
        <w:t>Moreover, Candlin has argued that enabling intimate and close-up encounters with stored objects allows visitors to gain a more meaningful relationship with the objects.</w:t>
      </w:r>
      <w:r w:rsidRPr="005D6017">
        <w:rPr>
          <w:rStyle w:val="FootnoteReference"/>
          <w:rFonts w:ascii="Calibri" w:hAnsi="Calibri" w:cs="Calibri"/>
        </w:rPr>
        <w:footnoteReference w:id="25"/>
      </w:r>
      <w:r w:rsidRPr="005D6017">
        <w:rPr>
          <w:rFonts w:ascii="Calibri" w:hAnsi="Calibri" w:cs="Calibri"/>
        </w:rPr>
        <w:t xml:space="preserve"> Visiting and engaging with M Shed’s storage space allows visitors to experience them up close and to see them as a part of local lived histories rather than a spectacle that has been chosen to be displayed in the museum. This again shows a more democratic process for displaying collections but also creates a new experience for meaningful discovery of heritage.</w:t>
      </w:r>
    </w:p>
    <w:p w14:paraId="5058E552" w14:textId="77777777" w:rsidR="00986B9E" w:rsidRPr="005D6017" w:rsidRDefault="00986B9E" w:rsidP="00986B9E">
      <w:pPr>
        <w:rPr>
          <w:rFonts w:ascii="Calibri" w:hAnsi="Calibri" w:cs="Calibri"/>
        </w:rPr>
      </w:pPr>
      <w:r w:rsidRPr="005D6017">
        <w:rPr>
          <w:rFonts w:ascii="Calibri" w:hAnsi="Calibri" w:cs="Calibri"/>
        </w:rPr>
        <w:tab/>
        <w:t>The access at M Shed also reiterates the arguments from Simon, where museums need to become more collaborative, and the space is a participatory learning environment.</w:t>
      </w:r>
      <w:r w:rsidRPr="005D6017">
        <w:rPr>
          <w:rStyle w:val="FootnoteReference"/>
          <w:rFonts w:ascii="Calibri" w:hAnsi="Calibri" w:cs="Calibri"/>
        </w:rPr>
        <w:footnoteReference w:id="26"/>
      </w:r>
      <w:r w:rsidRPr="005D6017">
        <w:rPr>
          <w:rFonts w:ascii="Calibri" w:hAnsi="Calibri" w:cs="Calibri"/>
        </w:rPr>
        <w:t xml:space="preserve"> It also furthers Bennett’s argument that museums are places where civic identity is created.</w:t>
      </w:r>
      <w:r w:rsidRPr="005D6017">
        <w:rPr>
          <w:rStyle w:val="FootnoteReference"/>
          <w:rFonts w:ascii="Calibri" w:hAnsi="Calibri" w:cs="Calibri"/>
        </w:rPr>
        <w:footnoteReference w:id="27"/>
      </w:r>
      <w:r w:rsidRPr="005D6017">
        <w:rPr>
          <w:rFonts w:ascii="Calibri" w:hAnsi="Calibri" w:cs="Calibri"/>
        </w:rPr>
        <w:t xml:space="preserve"> With both those ideas together, M Shed’s ‘Treasures in Store’ model encompasses contemporary museological approaches to collections, which is essential to opening up access to collections; it also offers a practical example of how to do this.</w:t>
      </w:r>
    </w:p>
    <w:p w14:paraId="72DE787B" w14:textId="703050EC" w:rsidR="00E03C87" w:rsidRPr="005D6017" w:rsidRDefault="00102F20">
      <w:pPr>
        <w:rPr>
          <w:rFonts w:ascii="Calibri" w:hAnsi="Calibri" w:cs="Calibri"/>
        </w:rPr>
      </w:pPr>
      <w:r w:rsidRPr="005D6017">
        <w:rPr>
          <w:rFonts w:ascii="Calibri" w:hAnsi="Calibri" w:cs="Calibri"/>
        </w:rPr>
        <w:tab/>
        <w:t xml:space="preserve">These three case studies from CELF, Rhondda Heritage Park and M Shed </w:t>
      </w:r>
      <w:r w:rsidR="00D758E9" w:rsidRPr="005D6017">
        <w:rPr>
          <w:rFonts w:ascii="Calibri" w:hAnsi="Calibri" w:cs="Calibri"/>
        </w:rPr>
        <w:t>have</w:t>
      </w:r>
      <w:r w:rsidRPr="005D6017">
        <w:rPr>
          <w:rFonts w:ascii="Calibri" w:hAnsi="Calibri" w:cs="Calibri"/>
        </w:rPr>
        <w:t xml:space="preserve"> shown practical ways in which </w:t>
      </w:r>
      <w:r w:rsidR="00D758E9" w:rsidRPr="005D6017">
        <w:rPr>
          <w:rFonts w:ascii="Calibri" w:hAnsi="Calibri" w:cs="Calibri"/>
        </w:rPr>
        <w:t>museums</w:t>
      </w:r>
      <w:r w:rsidRPr="005D6017">
        <w:rPr>
          <w:rFonts w:ascii="Calibri" w:hAnsi="Calibri" w:cs="Calibri"/>
        </w:rPr>
        <w:t xml:space="preserve"> can display and grant access to all museum collections, which</w:t>
      </w:r>
      <w:r w:rsidR="00D758E9" w:rsidRPr="005D6017">
        <w:rPr>
          <w:rFonts w:ascii="Calibri" w:hAnsi="Calibri" w:cs="Calibri"/>
        </w:rPr>
        <w:t>,</w:t>
      </w:r>
      <w:r w:rsidRPr="005D6017">
        <w:rPr>
          <w:rFonts w:ascii="Calibri" w:hAnsi="Calibri" w:cs="Calibri"/>
        </w:rPr>
        <w:t xml:space="preserve"> through </w:t>
      </w:r>
      <w:r w:rsidR="00720843" w:rsidRPr="005D6017">
        <w:rPr>
          <w:rFonts w:ascii="Calibri" w:hAnsi="Calibri" w:cs="Calibri"/>
        </w:rPr>
        <w:t>academia</w:t>
      </w:r>
      <w:r w:rsidR="00D758E9" w:rsidRPr="005D6017">
        <w:rPr>
          <w:rFonts w:ascii="Calibri" w:hAnsi="Calibri" w:cs="Calibri"/>
        </w:rPr>
        <w:t>,</w:t>
      </w:r>
      <w:r w:rsidR="00720843" w:rsidRPr="005D6017">
        <w:rPr>
          <w:rFonts w:ascii="Calibri" w:hAnsi="Calibri" w:cs="Calibri"/>
        </w:rPr>
        <w:t xml:space="preserve"> </w:t>
      </w:r>
      <w:r w:rsidR="00D758E9" w:rsidRPr="005D6017">
        <w:rPr>
          <w:rFonts w:ascii="Calibri" w:hAnsi="Calibri" w:cs="Calibri"/>
        </w:rPr>
        <w:t>have</w:t>
      </w:r>
      <w:r w:rsidR="00720843" w:rsidRPr="005D6017">
        <w:rPr>
          <w:rFonts w:ascii="Calibri" w:hAnsi="Calibri" w:cs="Calibri"/>
        </w:rPr>
        <w:t xml:space="preserve"> been shown as the ethical and moral thing to do. However, there is also the need to understand some negatives to display</w:t>
      </w:r>
      <w:r w:rsidR="00D758E9" w:rsidRPr="005D6017">
        <w:rPr>
          <w:rFonts w:ascii="Calibri" w:hAnsi="Calibri" w:cs="Calibri"/>
        </w:rPr>
        <w:t>ing</w:t>
      </w:r>
      <w:r w:rsidR="00720843" w:rsidRPr="005D6017">
        <w:rPr>
          <w:rFonts w:ascii="Calibri" w:hAnsi="Calibri" w:cs="Calibri"/>
        </w:rPr>
        <w:t xml:space="preserve"> all collections. </w:t>
      </w:r>
      <w:r w:rsidR="00D758E9" w:rsidRPr="005D6017">
        <w:rPr>
          <w:rFonts w:ascii="Calibri" w:hAnsi="Calibri" w:cs="Calibri"/>
        </w:rPr>
        <w:t>The</w:t>
      </w:r>
      <w:r w:rsidR="00720843" w:rsidRPr="005D6017">
        <w:rPr>
          <w:rFonts w:ascii="Calibri" w:hAnsi="Calibri" w:cs="Calibri"/>
        </w:rPr>
        <w:t xml:space="preserve"> negatives can be seen through visitor fatigue</w:t>
      </w:r>
      <w:r w:rsidR="00D758E9" w:rsidRPr="005D6017">
        <w:rPr>
          <w:rFonts w:ascii="Calibri" w:hAnsi="Calibri" w:cs="Calibri"/>
        </w:rPr>
        <w:t xml:space="preserve"> and the overexposure to heritage, as well as historical issues with collection policies in museums, which make some collections culturally irrelevant.</w:t>
      </w:r>
    </w:p>
    <w:p w14:paraId="4AEE0FFF" w14:textId="77777777" w:rsidR="00AB29DC" w:rsidRPr="005D6017" w:rsidRDefault="00D758E9" w:rsidP="00AB29DC">
      <w:pPr>
        <w:rPr>
          <w:rFonts w:ascii="Calibri" w:hAnsi="Calibri" w:cs="Calibri"/>
        </w:rPr>
      </w:pPr>
      <w:r w:rsidRPr="005D6017">
        <w:rPr>
          <w:rFonts w:ascii="Calibri" w:hAnsi="Calibri" w:cs="Calibri"/>
        </w:rPr>
        <w:tab/>
      </w:r>
      <w:r w:rsidR="00AB29DC" w:rsidRPr="005D6017">
        <w:rPr>
          <w:rFonts w:ascii="Calibri" w:hAnsi="Calibri" w:cs="Calibri"/>
        </w:rPr>
        <w:t>Therefore, firstly, looking at visitor fatigue and the overexposure to heritage. It has been a long-standing challenge for museums, which can affect learning, visitor experiences, and engagement with the collections. Bitgood has argued that the fatigue derives from the combination of ‘object competition’, ‘information overload’ and the limits of visitors' attention, which work together to cause a decline in engagement across a visit.</w:t>
      </w:r>
      <w:r w:rsidR="00AB29DC" w:rsidRPr="005D6017">
        <w:rPr>
          <w:rStyle w:val="FootnoteReference"/>
          <w:rFonts w:ascii="Calibri" w:hAnsi="Calibri" w:cs="Calibri"/>
        </w:rPr>
        <w:footnoteReference w:id="28"/>
      </w:r>
      <w:r w:rsidR="00AB29DC" w:rsidRPr="005D6017">
        <w:rPr>
          <w:rFonts w:ascii="Calibri" w:hAnsi="Calibri" w:cs="Calibri"/>
        </w:rPr>
        <w:t xml:space="preserve"> Further to this, Davey also analyses museum fatigue and reiterates the notion that decreased attention from visitors is predictable, which is due to several environmental and psychological </w:t>
      </w:r>
      <w:r w:rsidR="00AB29DC" w:rsidRPr="005D6017">
        <w:rPr>
          <w:rFonts w:ascii="Calibri" w:hAnsi="Calibri" w:cs="Calibri"/>
        </w:rPr>
        <w:lastRenderedPageBreak/>
        <w:t>pressures that are placed on visitors, which overload their processing capacity.</w:t>
      </w:r>
      <w:r w:rsidR="00AB29DC" w:rsidRPr="005D6017">
        <w:rPr>
          <w:rStyle w:val="FootnoteReference"/>
          <w:rFonts w:ascii="Calibri" w:hAnsi="Calibri" w:cs="Calibri"/>
        </w:rPr>
        <w:footnoteReference w:id="29"/>
      </w:r>
      <w:r w:rsidR="00AB29DC" w:rsidRPr="005D6017">
        <w:rPr>
          <w:rFonts w:ascii="Calibri" w:hAnsi="Calibri" w:cs="Calibri"/>
        </w:rPr>
        <w:t xml:space="preserve"> These arguments show that museum fatigue is non avoidable risk when visitors are placed in an environment with repetitive stimuli. This supports the notion that it may not be of benefit to the visitor to have all collections on display. However, the examples from CELF, Rhondda Heritage Park and M Shed still show that displaying all collections does not have to be experienced at once; with CELF, visitors would go to different venues at different times, for example. This would limit the fatigue as visitors would not be engaging in repetitive stimulation at the same time.</w:t>
      </w:r>
    </w:p>
    <w:p w14:paraId="29E885A6" w14:textId="77777777" w:rsidR="00AB29DC" w:rsidRPr="005D6017" w:rsidRDefault="00AB29DC" w:rsidP="00AB29DC">
      <w:pPr>
        <w:rPr>
          <w:rFonts w:ascii="Calibri" w:hAnsi="Calibri" w:cs="Calibri"/>
        </w:rPr>
      </w:pPr>
      <w:r w:rsidRPr="005D6017">
        <w:rPr>
          <w:rFonts w:ascii="Calibri" w:hAnsi="Calibri" w:cs="Calibri"/>
        </w:rPr>
        <w:tab/>
        <w:t>However, there is another problematic argument within this field of museum fatigue. McIntyre undertook research for the Tate, the British Museum and Imperial War Museum North. The visitor study concluded that visitors wanted more depth to their engagement rather than a high volume of material.</w:t>
      </w:r>
      <w:r w:rsidRPr="005D6017">
        <w:rPr>
          <w:rStyle w:val="FootnoteReference"/>
          <w:rFonts w:ascii="Calibri" w:hAnsi="Calibri" w:cs="Calibri"/>
        </w:rPr>
        <w:footnoteReference w:id="30"/>
      </w:r>
      <w:r w:rsidRPr="005D6017">
        <w:rPr>
          <w:rFonts w:ascii="Calibri" w:hAnsi="Calibri" w:cs="Calibri"/>
        </w:rPr>
        <w:t xml:space="preserve"> Visitors found that highly dense displays reduced mean-making and lowered their emotional response.</w:t>
      </w:r>
      <w:r w:rsidRPr="005D6017">
        <w:rPr>
          <w:rStyle w:val="FootnoteReference"/>
          <w:rFonts w:ascii="Calibri" w:hAnsi="Calibri" w:cs="Calibri"/>
        </w:rPr>
        <w:footnoteReference w:id="31"/>
      </w:r>
      <w:r w:rsidRPr="005D6017">
        <w:rPr>
          <w:rFonts w:ascii="Calibri" w:hAnsi="Calibri" w:cs="Calibri"/>
        </w:rPr>
        <w:t xml:space="preserve"> This again links to the academic arguments that visitors have a finite attention span during museum experiences, and by overloading them, museums could be decreasing their experience rather than enhancing it. However, it is still important to note that these arguments and studies are focusing on a singular institutional situation where the experience is happening. The case studies have shown practical ways in which to display all objects. For it to be successful, it needs to include outreach, the community and other organisational networks. Therefore, there is a way forward to still ensure that all museum collections are on display without giving way to museum fatigue.</w:t>
      </w:r>
    </w:p>
    <w:p w14:paraId="585C0D3E" w14:textId="77777777" w:rsidR="00AB29DC" w:rsidRPr="005D6017" w:rsidRDefault="00AB29DC" w:rsidP="00AB29DC">
      <w:pPr>
        <w:ind w:firstLine="720"/>
        <w:rPr>
          <w:rFonts w:ascii="Calibri" w:hAnsi="Calibri" w:cs="Calibri"/>
        </w:rPr>
      </w:pPr>
      <w:r w:rsidRPr="005D6017">
        <w:rPr>
          <w:rFonts w:ascii="Calibri" w:hAnsi="Calibri" w:cs="Calibri"/>
        </w:rPr>
        <w:t>In addition, further academic literature highlights that visitor fatigue is often increased by the demands placed on audiences within museum environments to interpret what is presented to them. Falk and Dierking’s model of learning shows that visitors’ responses are shaped and also halted by personal, sociocultural and physical contexts, meaning their capacity to engage with dense or repetitive display environments is limited.</w:t>
      </w:r>
      <w:r w:rsidRPr="005D6017">
        <w:rPr>
          <w:rStyle w:val="FootnoteReference"/>
          <w:rFonts w:ascii="Calibri" w:hAnsi="Calibri" w:cs="Calibri"/>
        </w:rPr>
        <w:footnoteReference w:id="32"/>
      </w:r>
      <w:r w:rsidRPr="005D6017">
        <w:rPr>
          <w:rFonts w:ascii="Calibri" w:hAnsi="Calibri" w:cs="Calibri"/>
        </w:rPr>
        <w:t xml:space="preserve"> This is particularly common in large national institutions such as the British Museum and the Victoria and Albert Museum, where there are masses of objects in a large building. Similarly, Hooper</w:t>
      </w:r>
      <w:r w:rsidRPr="005D6017">
        <w:rPr>
          <w:rFonts w:ascii="Calibri" w:hAnsi="Calibri" w:cs="Calibri"/>
        </w:rPr>
        <w:noBreakHyphen/>
        <w:t>Greenhill argues that museums must recognise the constraints of visitors' attention and adopt interpretive strategies that emphasise clarity and selectivity to support sustained meaning-making.</w:t>
      </w:r>
      <w:r w:rsidRPr="005D6017">
        <w:rPr>
          <w:rStyle w:val="FootnoteReference"/>
          <w:rFonts w:ascii="Calibri" w:hAnsi="Calibri" w:cs="Calibri"/>
        </w:rPr>
        <w:footnoteReference w:id="33"/>
      </w:r>
      <w:r w:rsidRPr="005D6017">
        <w:rPr>
          <w:rFonts w:ascii="Calibri" w:hAnsi="Calibri" w:cs="Calibri"/>
        </w:rPr>
        <w:t xml:space="preserve"> These arguments show that museums need to make sure they balance access with the understanding of cognitive restriction. It shows that the issue should not be about </w:t>
      </w:r>
      <w:proofErr w:type="gramStart"/>
      <w:r w:rsidRPr="005D6017">
        <w:rPr>
          <w:rFonts w:ascii="Calibri" w:hAnsi="Calibri" w:cs="Calibri"/>
        </w:rPr>
        <w:t>whether or not</w:t>
      </w:r>
      <w:proofErr w:type="gramEnd"/>
      <w:r w:rsidRPr="005D6017">
        <w:rPr>
          <w:rFonts w:ascii="Calibri" w:hAnsi="Calibri" w:cs="Calibri"/>
        </w:rPr>
        <w:t xml:space="preserve"> all collections should be displayed, but how they are displayed without overwhelming visitors.</w:t>
      </w:r>
    </w:p>
    <w:p w14:paraId="4B26F9EC" w14:textId="77777777" w:rsidR="00D540E3" w:rsidRPr="005D6017" w:rsidRDefault="00543DF2" w:rsidP="00D540E3">
      <w:pPr>
        <w:rPr>
          <w:rFonts w:ascii="Calibri" w:hAnsi="Calibri" w:cs="Calibri"/>
        </w:rPr>
      </w:pPr>
      <w:r w:rsidRPr="005D6017">
        <w:rPr>
          <w:rFonts w:ascii="Calibri" w:hAnsi="Calibri" w:cs="Calibri"/>
        </w:rPr>
        <w:lastRenderedPageBreak/>
        <w:tab/>
      </w:r>
      <w:r w:rsidR="00D540E3" w:rsidRPr="005D6017">
        <w:rPr>
          <w:rFonts w:ascii="Calibri" w:hAnsi="Calibri" w:cs="Calibri"/>
        </w:rPr>
        <w:t xml:space="preserve">Another idea to consider is the relevance of the collections due to historic issues with collection policies, which raises the questions as to whether all collections </w:t>
      </w:r>
      <w:proofErr w:type="gramStart"/>
      <w:r w:rsidR="00D540E3" w:rsidRPr="005D6017">
        <w:rPr>
          <w:rFonts w:ascii="Calibri" w:hAnsi="Calibri" w:cs="Calibri"/>
        </w:rPr>
        <w:t>actually need</w:t>
      </w:r>
      <w:proofErr w:type="gramEnd"/>
      <w:r w:rsidR="00D540E3" w:rsidRPr="005D6017">
        <w:rPr>
          <w:rFonts w:ascii="Calibri" w:hAnsi="Calibri" w:cs="Calibri"/>
        </w:rPr>
        <w:t xml:space="preserve"> to be on display. </w:t>
      </w:r>
      <w:proofErr w:type="gramStart"/>
      <w:r w:rsidR="00D540E3" w:rsidRPr="005D6017">
        <w:rPr>
          <w:rFonts w:ascii="Calibri" w:hAnsi="Calibri" w:cs="Calibri"/>
        </w:rPr>
        <w:t>The majority of</w:t>
      </w:r>
      <w:proofErr w:type="gramEnd"/>
      <w:r w:rsidR="00D540E3" w:rsidRPr="005D6017">
        <w:rPr>
          <w:rFonts w:ascii="Calibri" w:hAnsi="Calibri" w:cs="Calibri"/>
        </w:rPr>
        <w:t xml:space="preserve"> collections held in museums today need to be understood against the backdrop of historic collecting practices that were shaped by empire, science and elitist cultural values. Macdonald has emphasised that collecting practices in early museum development were formed in societies that enacted in colonial classifications of culture and now reflect those values and hierarchies.</w:t>
      </w:r>
      <w:r w:rsidR="00D540E3" w:rsidRPr="005D6017">
        <w:rPr>
          <w:rStyle w:val="FootnoteReference"/>
          <w:rFonts w:ascii="Calibri" w:hAnsi="Calibri" w:cs="Calibri"/>
        </w:rPr>
        <w:footnoteReference w:id="34"/>
      </w:r>
      <w:r w:rsidR="00D540E3" w:rsidRPr="005D6017">
        <w:rPr>
          <w:rFonts w:ascii="Calibri" w:hAnsi="Calibri" w:cs="Calibri"/>
        </w:rPr>
        <w:t xml:space="preserve"> It was these ideologies and structures that influenced what was collected, but also what was considered valuable. This has led to museum collections in the UK representing privileged non-European material, stripped of context. This brings the issues that if we simply just allow access and display to all museum collections, they will reinforce this idea. However, if organisations use initiatives such as CELF as an example to follow, they can combat this, as items are not simply displayed; they are co-curated with the communities they affect or represent.</w:t>
      </w:r>
    </w:p>
    <w:p w14:paraId="314EACF3" w14:textId="77777777" w:rsidR="00D540E3" w:rsidRPr="005D6017" w:rsidRDefault="00D540E3" w:rsidP="00D540E3">
      <w:pPr>
        <w:rPr>
          <w:rFonts w:ascii="Calibri" w:hAnsi="Calibri" w:cs="Calibri"/>
        </w:rPr>
      </w:pPr>
      <w:r w:rsidRPr="005D6017">
        <w:rPr>
          <w:rFonts w:ascii="Calibri" w:hAnsi="Calibri" w:cs="Calibri"/>
        </w:rPr>
        <w:tab/>
        <w:t>In addition, Bowyer et al have further stressed that museum collections were shaped by imperial governance, rich private donors and antiquarians whose motivation varied from scientific curiosity to idealistic nationalism.</w:t>
      </w:r>
      <w:r w:rsidRPr="005D6017">
        <w:rPr>
          <w:rStyle w:val="FootnoteReference"/>
          <w:rFonts w:ascii="Calibri" w:hAnsi="Calibri" w:cs="Calibri"/>
        </w:rPr>
        <w:footnoteReference w:id="35"/>
      </w:r>
      <w:r w:rsidRPr="005D6017">
        <w:rPr>
          <w:rFonts w:ascii="Calibri" w:hAnsi="Calibri" w:cs="Calibri"/>
        </w:rPr>
        <w:t xml:space="preserve"> This argument highlights that collecting had alternative motives, that are deep-rooted in power, access and opportunity, rather than through representation. Due to this, collections have massive gaps in representation, especially from marginalised communities. Therefore, by placing all collections on display, it will highlight this further and could further make people feel as though they do not belong. This does not mean that we should not display </w:t>
      </w:r>
      <w:proofErr w:type="gramStart"/>
      <w:r w:rsidRPr="005D6017">
        <w:rPr>
          <w:rFonts w:ascii="Calibri" w:hAnsi="Calibri" w:cs="Calibri"/>
        </w:rPr>
        <w:t>them, but</w:t>
      </w:r>
      <w:proofErr w:type="gramEnd"/>
      <w:r w:rsidRPr="005D6017">
        <w:rPr>
          <w:rFonts w:ascii="Calibri" w:hAnsi="Calibri" w:cs="Calibri"/>
        </w:rPr>
        <w:t xml:space="preserve"> rather need to consider these ideas and ensure that they are mentioned in interpretation and communicated to visitors; it also needs to link with policies to show how current collecting practices are addressing these issues and gaps.</w:t>
      </w:r>
    </w:p>
    <w:p w14:paraId="2E3FB7B5" w14:textId="509D74D7" w:rsidR="00D758E9" w:rsidRPr="005D6017" w:rsidRDefault="00792EBF">
      <w:pPr>
        <w:rPr>
          <w:rFonts w:ascii="Calibri" w:hAnsi="Calibri" w:cs="Calibri"/>
        </w:rPr>
      </w:pPr>
      <w:r w:rsidRPr="005D6017">
        <w:rPr>
          <w:rFonts w:ascii="Calibri" w:hAnsi="Calibri" w:cs="Calibri"/>
        </w:rPr>
        <w:tab/>
        <w:t xml:space="preserve">In conclusion, the essay has argued that museums carry an ethical and moral duty to provide access to their collections – this is interlinked with theory from Marstine, Dodd and Jones, as well as the ICOM museum definition – the arguments have showed museums have a social responsibility and accountability to the public. It has also been demonstrated through case studies like CELF, Rhondda Heritage Park and M Shed that full access to collections is achievable. The case studies showed that distributed networks, digital platforms, co-curation and community- embedded practices allow the ability for all collections to be on display. It was also noted that there is a genuine risk of visitor fatigue and overexposure if all collections are displayed. This was backed by Bitgood, Davey and McIntyre. However, it was found that by ensuring that display and access to collections are distributed through networks and done by working with communities, we can limit the risk of fatigue. The historical collecting practices shaped by empire and elitism were also </w:t>
      </w:r>
      <w:proofErr w:type="gramStart"/>
      <w:r w:rsidRPr="005D6017">
        <w:rPr>
          <w:rFonts w:ascii="Calibri" w:hAnsi="Calibri" w:cs="Calibri"/>
        </w:rPr>
        <w:lastRenderedPageBreak/>
        <w:t>approached, and</w:t>
      </w:r>
      <w:proofErr w:type="gramEnd"/>
      <w:r w:rsidRPr="005D6017">
        <w:rPr>
          <w:rFonts w:ascii="Calibri" w:hAnsi="Calibri" w:cs="Calibri"/>
        </w:rPr>
        <w:t xml:space="preserve"> showed how this has created gaps and biases in collections. Again, this is not something that should be hidden away from, but by allowing access and displaying all collections, we can ensure that people are aware of this and use the transparency to fill the gaps in collections. Therefore, museums should pursue the principle of access to all collections by adopting distributed models, participatory practices and transparent policies.</w:t>
      </w:r>
    </w:p>
    <w:p w14:paraId="4C2C51D6" w14:textId="77777777" w:rsidR="00232565" w:rsidRDefault="00232565"/>
    <w:p w14:paraId="1B7357DB" w14:textId="77777777" w:rsidR="00232565" w:rsidRDefault="00232565"/>
    <w:p w14:paraId="5A64C7D6" w14:textId="77777777" w:rsidR="00232565" w:rsidRDefault="00232565"/>
    <w:p w14:paraId="00BD68A6" w14:textId="77777777" w:rsidR="00232565" w:rsidRDefault="00232565"/>
    <w:p w14:paraId="0ADA7F19" w14:textId="77777777" w:rsidR="00232565" w:rsidRDefault="00232565"/>
    <w:p w14:paraId="755E7761" w14:textId="77777777" w:rsidR="00232565" w:rsidRDefault="00232565"/>
    <w:p w14:paraId="37E57B86" w14:textId="77777777" w:rsidR="00232565" w:rsidRDefault="00232565"/>
    <w:p w14:paraId="6C007927" w14:textId="77777777" w:rsidR="00232565" w:rsidRDefault="00232565"/>
    <w:p w14:paraId="265EEDCD" w14:textId="77777777" w:rsidR="00232565" w:rsidRDefault="00232565"/>
    <w:p w14:paraId="756583EB" w14:textId="77777777" w:rsidR="00232565" w:rsidRDefault="00232565"/>
    <w:p w14:paraId="7F38CF5A" w14:textId="77777777" w:rsidR="00232565" w:rsidRDefault="00232565"/>
    <w:p w14:paraId="2487A034" w14:textId="77777777" w:rsidR="00232565" w:rsidRDefault="00232565"/>
    <w:p w14:paraId="2C7B66B5" w14:textId="77777777" w:rsidR="00232565" w:rsidRDefault="00232565"/>
    <w:p w14:paraId="09461598" w14:textId="77777777" w:rsidR="00232565" w:rsidRDefault="00232565"/>
    <w:p w14:paraId="6DADF650" w14:textId="77777777" w:rsidR="00232565" w:rsidRDefault="00232565"/>
    <w:p w14:paraId="3E299A3F" w14:textId="77777777" w:rsidR="00232565" w:rsidRDefault="00232565"/>
    <w:p w14:paraId="29944008" w14:textId="77777777" w:rsidR="00232565" w:rsidRDefault="00232565"/>
    <w:p w14:paraId="5D0874B0" w14:textId="77777777" w:rsidR="00232565" w:rsidRDefault="00232565"/>
    <w:p w14:paraId="0E258FC4" w14:textId="77777777" w:rsidR="00232565" w:rsidRDefault="00232565"/>
    <w:p w14:paraId="0F511E9C" w14:textId="77777777" w:rsidR="00232565" w:rsidRPr="00206C10" w:rsidRDefault="00232565" w:rsidP="00232565">
      <w:pPr>
        <w:spacing w:after="120"/>
        <w:jc w:val="center"/>
        <w:rPr>
          <w:rFonts w:ascii="Calibri" w:hAnsi="Calibri" w:cs="Calibri"/>
          <w:b/>
          <w:bCs/>
          <w:u w:val="single"/>
        </w:rPr>
      </w:pPr>
      <w:r w:rsidRPr="00206C10">
        <w:rPr>
          <w:rFonts w:ascii="Calibri" w:hAnsi="Calibri" w:cs="Calibri"/>
          <w:b/>
          <w:bCs/>
          <w:u w:val="single"/>
        </w:rPr>
        <w:t>Bibliography</w:t>
      </w:r>
    </w:p>
    <w:p w14:paraId="360FFD72" w14:textId="77777777" w:rsidR="00232565" w:rsidRPr="00206C10" w:rsidRDefault="00232565" w:rsidP="00232565">
      <w:pPr>
        <w:spacing w:after="120"/>
        <w:rPr>
          <w:rFonts w:ascii="Calibri" w:hAnsi="Calibri" w:cs="Calibri"/>
        </w:rPr>
      </w:pPr>
      <w:r w:rsidRPr="00206C10">
        <w:rPr>
          <w:rFonts w:ascii="Calibri" w:hAnsi="Calibri" w:cs="Calibri"/>
        </w:rPr>
        <w:t xml:space="preserve">American Alliance of Museums, ‘Core Standards for Museums’, </w:t>
      </w:r>
      <w:r w:rsidRPr="00206C10">
        <w:rPr>
          <w:rFonts w:ascii="Calibri" w:hAnsi="Calibri" w:cs="Calibri"/>
          <w:i/>
          <w:iCs/>
        </w:rPr>
        <w:t>Ethics, Standards and Professional Practices</w:t>
      </w:r>
      <w:r w:rsidRPr="00206C10">
        <w:rPr>
          <w:rFonts w:ascii="Calibri" w:hAnsi="Calibri" w:cs="Calibri"/>
        </w:rPr>
        <w:t xml:space="preserve"> &lt;</w:t>
      </w:r>
      <w:hyperlink r:id="rId8" w:history="1">
        <w:r w:rsidRPr="00206C10">
          <w:rPr>
            <w:rStyle w:val="Hyperlink"/>
            <w:rFonts w:ascii="Calibri" w:hAnsi="Calibri" w:cs="Calibri"/>
          </w:rPr>
          <w:t>Core Standards for Museums – American Alliance of Museums</w:t>
        </w:r>
      </w:hyperlink>
      <w:r w:rsidRPr="00206C10">
        <w:rPr>
          <w:rFonts w:ascii="Calibri" w:hAnsi="Calibri" w:cs="Calibri"/>
        </w:rPr>
        <w:t>&gt; [accessed 15 January 2026].</w:t>
      </w:r>
    </w:p>
    <w:p w14:paraId="1E7ACFCA" w14:textId="77777777" w:rsidR="00232565" w:rsidRPr="00206C10" w:rsidRDefault="00232565" w:rsidP="00232565">
      <w:pPr>
        <w:spacing w:after="120"/>
        <w:rPr>
          <w:rFonts w:ascii="Calibri" w:hAnsi="Calibri" w:cs="Calibri"/>
        </w:rPr>
      </w:pPr>
      <w:r w:rsidRPr="00206C10">
        <w:rPr>
          <w:rFonts w:ascii="Calibri" w:hAnsi="Calibri" w:cs="Calibri"/>
        </w:rPr>
        <w:t xml:space="preserve">Bennett, Tony, </w:t>
      </w:r>
      <w:r w:rsidRPr="00206C10">
        <w:rPr>
          <w:rFonts w:ascii="Calibri" w:hAnsi="Calibri" w:cs="Calibri"/>
          <w:i/>
          <w:iCs/>
        </w:rPr>
        <w:t>The Birth of the Museum: History, Theory, Politics</w:t>
      </w:r>
      <w:r w:rsidRPr="00206C10">
        <w:rPr>
          <w:rFonts w:ascii="Calibri" w:hAnsi="Calibri" w:cs="Calibri"/>
        </w:rPr>
        <w:t xml:space="preserve"> (London: Routledge, 1995).</w:t>
      </w:r>
    </w:p>
    <w:p w14:paraId="688235E6" w14:textId="77777777" w:rsidR="00232565" w:rsidRPr="00206C10" w:rsidRDefault="00232565" w:rsidP="00232565">
      <w:pPr>
        <w:spacing w:after="120"/>
        <w:rPr>
          <w:rFonts w:ascii="Calibri" w:hAnsi="Calibri" w:cs="Calibri"/>
        </w:rPr>
      </w:pPr>
      <w:r w:rsidRPr="00206C10">
        <w:rPr>
          <w:rFonts w:ascii="Calibri" w:hAnsi="Calibri" w:cs="Calibri"/>
        </w:rPr>
        <w:lastRenderedPageBreak/>
        <w:t xml:space="preserve">Bitgood, Stephen, ‘Museum Fatigue: A Critical Review’, </w:t>
      </w:r>
      <w:r w:rsidRPr="00206C10">
        <w:rPr>
          <w:rFonts w:ascii="Calibri" w:hAnsi="Calibri" w:cs="Calibri"/>
          <w:i/>
          <w:iCs/>
        </w:rPr>
        <w:t>Visitor Studies</w:t>
      </w:r>
      <w:r w:rsidRPr="00206C10">
        <w:rPr>
          <w:rFonts w:ascii="Calibri" w:hAnsi="Calibri" w:cs="Calibri"/>
        </w:rPr>
        <w:t>, 12.2 (2009), pp. 93–111.</w:t>
      </w:r>
    </w:p>
    <w:p w14:paraId="665A9743" w14:textId="77777777" w:rsidR="00232565" w:rsidRPr="00206C10" w:rsidRDefault="00232565" w:rsidP="00232565">
      <w:pPr>
        <w:spacing w:after="120"/>
        <w:rPr>
          <w:rFonts w:ascii="Calibri" w:hAnsi="Calibri" w:cs="Calibri"/>
        </w:rPr>
      </w:pPr>
      <w:r w:rsidRPr="00206C10">
        <w:rPr>
          <w:rFonts w:ascii="Calibri" w:hAnsi="Calibri" w:cs="Calibri"/>
        </w:rPr>
        <w:t xml:space="preserve">Black, Graham, </w:t>
      </w:r>
      <w:r w:rsidRPr="00206C10">
        <w:rPr>
          <w:rFonts w:ascii="Calibri" w:hAnsi="Calibri" w:cs="Calibri"/>
          <w:i/>
          <w:iCs/>
        </w:rPr>
        <w:t>The Engaging Museum: Developing Museums for Visitor Involvement</w:t>
      </w:r>
      <w:r w:rsidRPr="00206C10">
        <w:rPr>
          <w:rFonts w:ascii="Calibri" w:hAnsi="Calibri" w:cs="Calibri"/>
        </w:rPr>
        <w:t xml:space="preserve"> (London: Routledge, 2005).</w:t>
      </w:r>
    </w:p>
    <w:p w14:paraId="3C69D5F5" w14:textId="77777777" w:rsidR="00232565" w:rsidRPr="00206C10" w:rsidRDefault="00232565" w:rsidP="00232565">
      <w:pPr>
        <w:spacing w:after="120"/>
        <w:rPr>
          <w:rFonts w:ascii="Calibri" w:hAnsi="Calibri" w:cs="Calibri"/>
        </w:rPr>
      </w:pPr>
      <w:r w:rsidRPr="00206C10">
        <w:rPr>
          <w:rFonts w:ascii="Calibri" w:hAnsi="Calibri" w:cs="Calibri"/>
        </w:rPr>
        <w:t xml:space="preserve">Bowyer, Surya et al., ‘State of the (Future) Field: The History of Collecting and Its Institutions’, </w:t>
      </w:r>
      <w:r w:rsidRPr="00206C10">
        <w:rPr>
          <w:rFonts w:ascii="Calibri" w:hAnsi="Calibri" w:cs="Calibri"/>
          <w:i/>
          <w:iCs/>
        </w:rPr>
        <w:t>History</w:t>
      </w:r>
      <w:r w:rsidRPr="00206C10">
        <w:rPr>
          <w:rFonts w:ascii="Calibri" w:hAnsi="Calibri" w:cs="Calibri"/>
        </w:rPr>
        <w:t>, 110.391 (2025), pp. 285–454.</w:t>
      </w:r>
    </w:p>
    <w:p w14:paraId="4341F211" w14:textId="77777777" w:rsidR="00232565" w:rsidRPr="00206C10" w:rsidRDefault="00232565" w:rsidP="00232565">
      <w:pPr>
        <w:spacing w:after="120"/>
        <w:rPr>
          <w:rFonts w:ascii="Calibri" w:hAnsi="Calibri" w:cs="Calibri"/>
        </w:rPr>
      </w:pPr>
      <w:r w:rsidRPr="00206C10">
        <w:rPr>
          <w:rFonts w:ascii="Calibri" w:hAnsi="Calibri" w:cs="Calibri"/>
        </w:rPr>
        <w:t xml:space="preserve">Bristol Museums, Treasures in Store, </w:t>
      </w:r>
      <w:r w:rsidRPr="00206C10">
        <w:rPr>
          <w:rFonts w:ascii="Calibri" w:hAnsi="Calibri" w:cs="Calibri"/>
          <w:i/>
          <w:iCs/>
        </w:rPr>
        <w:t>M Shed</w:t>
      </w:r>
      <w:r w:rsidRPr="00206C10">
        <w:rPr>
          <w:rFonts w:ascii="Calibri" w:hAnsi="Calibri" w:cs="Calibri"/>
        </w:rPr>
        <w:t xml:space="preserve">, &lt; </w:t>
      </w:r>
      <w:hyperlink r:id="rId9" w:history="1">
        <w:r w:rsidRPr="00206C10">
          <w:rPr>
            <w:rStyle w:val="Hyperlink"/>
            <w:rFonts w:ascii="Calibri" w:hAnsi="Calibri" w:cs="Calibri"/>
          </w:rPr>
          <w:t>Treasures in Store | M Shed</w:t>
        </w:r>
      </w:hyperlink>
      <w:r w:rsidRPr="00206C10">
        <w:rPr>
          <w:rFonts w:ascii="Calibri" w:hAnsi="Calibri" w:cs="Calibri"/>
        </w:rPr>
        <w:t xml:space="preserve">&gt; [accessed 15 January 2026]. </w:t>
      </w:r>
    </w:p>
    <w:p w14:paraId="53F05CC0" w14:textId="77777777" w:rsidR="00232565" w:rsidRPr="00206C10" w:rsidRDefault="00232565" w:rsidP="00232565">
      <w:pPr>
        <w:spacing w:after="120"/>
        <w:rPr>
          <w:rFonts w:ascii="Calibri" w:hAnsi="Calibri" w:cs="Calibri"/>
        </w:rPr>
      </w:pPr>
      <w:r w:rsidRPr="00206C10">
        <w:rPr>
          <w:rFonts w:ascii="Calibri" w:hAnsi="Calibri" w:cs="Calibri"/>
        </w:rPr>
        <w:t xml:space="preserve">Candlin, Fiona, </w:t>
      </w:r>
      <w:proofErr w:type="spellStart"/>
      <w:r w:rsidRPr="00206C10">
        <w:rPr>
          <w:rFonts w:ascii="Calibri" w:hAnsi="Calibri" w:cs="Calibri"/>
          <w:i/>
          <w:iCs/>
        </w:rPr>
        <w:t>Micromuseology</w:t>
      </w:r>
      <w:proofErr w:type="spellEnd"/>
      <w:r w:rsidRPr="00206C10">
        <w:rPr>
          <w:rFonts w:ascii="Calibri" w:hAnsi="Calibri" w:cs="Calibri"/>
          <w:i/>
          <w:iCs/>
        </w:rPr>
        <w:t>: An Analysis of Small Independent Museums</w:t>
      </w:r>
      <w:r w:rsidRPr="00206C10">
        <w:rPr>
          <w:rFonts w:ascii="Calibri" w:hAnsi="Calibri" w:cs="Calibri"/>
        </w:rPr>
        <w:t xml:space="preserve"> (London: Bloomsbury, 2016).</w:t>
      </w:r>
    </w:p>
    <w:p w14:paraId="47232524" w14:textId="77777777" w:rsidR="00232565" w:rsidRPr="00206C10" w:rsidRDefault="00232565" w:rsidP="00232565">
      <w:pPr>
        <w:spacing w:after="120"/>
        <w:rPr>
          <w:rFonts w:ascii="Calibri" w:hAnsi="Calibri" w:cs="Calibri"/>
        </w:rPr>
      </w:pPr>
      <w:r w:rsidRPr="00206C10">
        <w:rPr>
          <w:rFonts w:ascii="Calibri" w:hAnsi="Calibri" w:cs="Calibri"/>
        </w:rPr>
        <w:t xml:space="preserve">CELF, </w:t>
      </w:r>
      <w:r w:rsidRPr="00206C10">
        <w:rPr>
          <w:rFonts w:ascii="Calibri" w:hAnsi="Calibri" w:cs="Calibri"/>
          <w:i/>
          <w:iCs/>
        </w:rPr>
        <w:t>About CELF</w:t>
      </w:r>
      <w:r w:rsidRPr="00206C10">
        <w:rPr>
          <w:rFonts w:ascii="Calibri" w:hAnsi="Calibri" w:cs="Calibri"/>
        </w:rPr>
        <w:t>, &lt;</w:t>
      </w:r>
      <w:hyperlink r:id="rId10" w:history="1">
        <w:r w:rsidRPr="00206C10">
          <w:rPr>
            <w:rStyle w:val="Hyperlink"/>
            <w:rFonts w:ascii="Calibri" w:hAnsi="Calibri" w:cs="Calibri"/>
          </w:rPr>
          <w:t>https://celfarycyd.wales/</w:t>
        </w:r>
      </w:hyperlink>
      <w:r w:rsidRPr="00206C10">
        <w:rPr>
          <w:rFonts w:ascii="Calibri" w:hAnsi="Calibri" w:cs="Calibri"/>
        </w:rPr>
        <w:t>&gt; [accessed 15 January 2026].</w:t>
      </w:r>
    </w:p>
    <w:p w14:paraId="2A54A56E" w14:textId="77777777" w:rsidR="00232565" w:rsidRPr="00206C10" w:rsidRDefault="00232565" w:rsidP="00232565">
      <w:pPr>
        <w:spacing w:after="120"/>
        <w:rPr>
          <w:rFonts w:ascii="Calibri" w:hAnsi="Calibri" w:cs="Calibri"/>
        </w:rPr>
      </w:pPr>
      <w:r w:rsidRPr="00206C10">
        <w:rPr>
          <w:rFonts w:ascii="Calibri" w:hAnsi="Calibri" w:cs="Calibri"/>
        </w:rPr>
        <w:t xml:space="preserve">Davey, Gareth, ‘What Is Museum Fatigue?’, </w:t>
      </w:r>
      <w:r w:rsidRPr="00206C10">
        <w:rPr>
          <w:rFonts w:ascii="Calibri" w:hAnsi="Calibri" w:cs="Calibri"/>
          <w:i/>
          <w:iCs/>
        </w:rPr>
        <w:t>Visitor Studies Today</w:t>
      </w:r>
      <w:r w:rsidRPr="00206C10">
        <w:rPr>
          <w:rFonts w:ascii="Calibri" w:hAnsi="Calibri" w:cs="Calibri"/>
        </w:rPr>
        <w:t xml:space="preserve"> (2005), pp. 17-21.</w:t>
      </w:r>
    </w:p>
    <w:p w14:paraId="0C5B2E27" w14:textId="77777777" w:rsidR="00232565" w:rsidRPr="00206C10" w:rsidRDefault="00232565" w:rsidP="00232565">
      <w:pPr>
        <w:spacing w:after="120"/>
        <w:rPr>
          <w:rFonts w:ascii="Calibri" w:hAnsi="Calibri" w:cs="Calibri"/>
        </w:rPr>
      </w:pPr>
      <w:r w:rsidRPr="00206C10">
        <w:rPr>
          <w:rFonts w:ascii="Calibri" w:hAnsi="Calibri" w:cs="Calibri"/>
        </w:rPr>
        <w:t xml:space="preserve">Falk, John H. and Lynn Dierking, </w:t>
      </w:r>
      <w:r w:rsidRPr="00206C10">
        <w:rPr>
          <w:rFonts w:ascii="Calibri" w:hAnsi="Calibri" w:cs="Calibri"/>
          <w:i/>
          <w:iCs/>
        </w:rPr>
        <w:t>The Museum Experience Revisited</w:t>
      </w:r>
      <w:r w:rsidRPr="00206C10">
        <w:rPr>
          <w:rFonts w:ascii="Calibri" w:hAnsi="Calibri" w:cs="Calibri"/>
        </w:rPr>
        <w:t xml:space="preserve"> (London: Routledge, 2013).</w:t>
      </w:r>
    </w:p>
    <w:p w14:paraId="210642B2" w14:textId="77777777" w:rsidR="00232565" w:rsidRPr="00206C10" w:rsidRDefault="00232565" w:rsidP="00232565">
      <w:pPr>
        <w:spacing w:after="120"/>
        <w:rPr>
          <w:rFonts w:ascii="Calibri" w:hAnsi="Calibri" w:cs="Calibri"/>
        </w:rPr>
      </w:pPr>
      <w:r w:rsidRPr="00206C10">
        <w:rPr>
          <w:rFonts w:ascii="Calibri" w:hAnsi="Calibri" w:cs="Calibri"/>
        </w:rPr>
        <w:t xml:space="preserve">Gazi, Andromache, ‘Exhibition Ethics: An Overview of Major Issues’, </w:t>
      </w:r>
      <w:r w:rsidRPr="00206C10">
        <w:rPr>
          <w:rFonts w:ascii="Calibri" w:hAnsi="Calibri" w:cs="Calibri"/>
          <w:i/>
          <w:iCs/>
        </w:rPr>
        <w:t>Journal of Conservation and Museum Studies</w:t>
      </w:r>
      <w:r w:rsidRPr="00206C10">
        <w:rPr>
          <w:rFonts w:ascii="Calibri" w:hAnsi="Calibri" w:cs="Calibri"/>
        </w:rPr>
        <w:t>, 12.1 (2014), pp. 1-10, doi:10.5334/jcms.1021213.</w:t>
      </w:r>
    </w:p>
    <w:p w14:paraId="083966CE" w14:textId="77777777" w:rsidR="00232565" w:rsidRPr="00206C10" w:rsidRDefault="00232565" w:rsidP="00232565">
      <w:pPr>
        <w:spacing w:after="120"/>
        <w:rPr>
          <w:rFonts w:ascii="Calibri" w:hAnsi="Calibri" w:cs="Calibri"/>
        </w:rPr>
      </w:pPr>
      <w:r w:rsidRPr="00206C10">
        <w:rPr>
          <w:rFonts w:ascii="Calibri" w:hAnsi="Calibri" w:cs="Calibri"/>
        </w:rPr>
        <w:t xml:space="preserve">González-Herrera, Ana Isabel et al, ‘Educational and Accessible Museums and Cultural Spaces’, </w:t>
      </w:r>
      <w:r w:rsidRPr="00206C10">
        <w:rPr>
          <w:rFonts w:ascii="Calibri" w:hAnsi="Calibri" w:cs="Calibri"/>
          <w:i/>
          <w:iCs/>
        </w:rPr>
        <w:t>Nature Humanities &amp; Social Sciences Communications</w:t>
      </w:r>
      <w:r w:rsidRPr="00206C10">
        <w:rPr>
          <w:rFonts w:ascii="Calibri" w:hAnsi="Calibri" w:cs="Calibri"/>
        </w:rPr>
        <w:t xml:space="preserve">, 2023, pp. 1-8, </w:t>
      </w:r>
      <w:proofErr w:type="spellStart"/>
      <w:r w:rsidRPr="00206C10">
        <w:rPr>
          <w:rFonts w:ascii="Calibri" w:hAnsi="Calibri" w:cs="Calibri"/>
        </w:rPr>
        <w:t>doi</w:t>
      </w:r>
      <w:proofErr w:type="spellEnd"/>
      <w:r w:rsidRPr="00206C10">
        <w:rPr>
          <w:rFonts w:ascii="Calibri" w:hAnsi="Calibri" w:cs="Calibri"/>
        </w:rPr>
        <w:t>: 10.1057/s41599-023-01563-8.</w:t>
      </w:r>
    </w:p>
    <w:p w14:paraId="1D29B2E5" w14:textId="77777777" w:rsidR="00232565" w:rsidRDefault="00232565" w:rsidP="00232565">
      <w:pPr>
        <w:spacing w:after="120"/>
        <w:rPr>
          <w:rFonts w:ascii="Calibri" w:hAnsi="Calibri" w:cs="Calibri"/>
        </w:rPr>
      </w:pPr>
      <w:r w:rsidRPr="00206C10">
        <w:rPr>
          <w:rFonts w:ascii="Calibri" w:hAnsi="Calibri" w:cs="Calibri"/>
        </w:rPr>
        <w:t>Hooper</w:t>
      </w:r>
      <w:r w:rsidRPr="00206C10">
        <w:rPr>
          <w:rFonts w:ascii="Calibri" w:hAnsi="Calibri" w:cs="Calibri"/>
        </w:rPr>
        <w:noBreakHyphen/>
        <w:t xml:space="preserve">Greenhill, Eilean, </w:t>
      </w:r>
      <w:r w:rsidRPr="00206C10">
        <w:rPr>
          <w:rFonts w:ascii="Calibri" w:hAnsi="Calibri" w:cs="Calibri"/>
          <w:i/>
          <w:iCs/>
        </w:rPr>
        <w:t>Museums and the Interpretation of Visual Culture</w:t>
      </w:r>
      <w:r w:rsidRPr="00206C10">
        <w:rPr>
          <w:rFonts w:ascii="Calibri" w:hAnsi="Calibri" w:cs="Calibri"/>
        </w:rPr>
        <w:t xml:space="preserve"> (London: Routledge, 2000). </w:t>
      </w:r>
    </w:p>
    <w:p w14:paraId="63C0CEA9" w14:textId="77777777" w:rsidR="00232565" w:rsidRPr="00206C10" w:rsidRDefault="00232565" w:rsidP="00232565">
      <w:pPr>
        <w:spacing w:after="120"/>
        <w:rPr>
          <w:rFonts w:ascii="Calibri" w:hAnsi="Calibri" w:cs="Calibri"/>
        </w:rPr>
      </w:pPr>
      <w:r w:rsidRPr="00206C10">
        <w:rPr>
          <w:rFonts w:ascii="Calibri" w:hAnsi="Calibri" w:cs="Calibri"/>
        </w:rPr>
        <w:t xml:space="preserve">ICOM, </w:t>
      </w:r>
      <w:r w:rsidRPr="00206C10">
        <w:rPr>
          <w:rFonts w:ascii="Calibri" w:hAnsi="Calibri" w:cs="Calibri"/>
          <w:i/>
          <w:iCs/>
        </w:rPr>
        <w:t>Museum Definition</w:t>
      </w:r>
      <w:r w:rsidRPr="00206C10">
        <w:rPr>
          <w:rFonts w:ascii="Calibri" w:hAnsi="Calibri" w:cs="Calibri"/>
        </w:rPr>
        <w:t>, 24</w:t>
      </w:r>
      <w:r w:rsidRPr="00206C10">
        <w:rPr>
          <w:rFonts w:ascii="Calibri" w:hAnsi="Calibri" w:cs="Calibri"/>
          <w:vertAlign w:val="superscript"/>
        </w:rPr>
        <w:t>th</w:t>
      </w:r>
      <w:r w:rsidRPr="00206C10">
        <w:rPr>
          <w:rFonts w:ascii="Calibri" w:hAnsi="Calibri" w:cs="Calibri"/>
        </w:rPr>
        <w:t xml:space="preserve"> August 2022 &lt;</w:t>
      </w:r>
      <w:hyperlink r:id="rId11" w:history="1">
        <w:r w:rsidRPr="00206C10">
          <w:rPr>
            <w:rStyle w:val="Hyperlink"/>
            <w:rFonts w:ascii="Calibri" w:hAnsi="Calibri" w:cs="Calibri"/>
          </w:rPr>
          <w:t>Museum Definition - International Council of Museums - International Council of Museums</w:t>
        </w:r>
      </w:hyperlink>
      <w:r w:rsidRPr="00206C10">
        <w:rPr>
          <w:rFonts w:ascii="Calibri" w:hAnsi="Calibri" w:cs="Calibri"/>
        </w:rPr>
        <w:t>&gt; [accessed 15 January 2026].</w:t>
      </w:r>
    </w:p>
    <w:p w14:paraId="76C51091" w14:textId="77777777" w:rsidR="00232565" w:rsidRPr="00206C10" w:rsidRDefault="00232565" w:rsidP="00232565">
      <w:pPr>
        <w:pStyle w:val="FootnoteText"/>
        <w:spacing w:after="120"/>
        <w:rPr>
          <w:rFonts w:ascii="Calibri" w:hAnsi="Calibri" w:cs="Calibri"/>
          <w:sz w:val="24"/>
          <w:szCs w:val="24"/>
        </w:rPr>
      </w:pPr>
      <w:r w:rsidRPr="00206C10">
        <w:rPr>
          <w:rFonts w:ascii="Calibri" w:hAnsi="Calibri" w:cs="Calibri"/>
          <w:sz w:val="24"/>
          <w:szCs w:val="24"/>
        </w:rPr>
        <w:t xml:space="preserve">Lewis, Esta, ‘Using Accessioned Collections for Learning’, New Curriculum for Wales: Case Studies Special Edition, </w:t>
      </w:r>
      <w:r w:rsidRPr="00206C10">
        <w:rPr>
          <w:rFonts w:ascii="Calibri" w:hAnsi="Calibri" w:cs="Calibri"/>
          <w:i/>
          <w:iCs/>
          <w:sz w:val="24"/>
          <w:szCs w:val="24"/>
        </w:rPr>
        <w:t>GEM</w:t>
      </w:r>
      <w:r w:rsidRPr="00206C10">
        <w:rPr>
          <w:rFonts w:ascii="Calibri" w:hAnsi="Calibri" w:cs="Calibri"/>
          <w:sz w:val="24"/>
          <w:szCs w:val="24"/>
        </w:rPr>
        <w:t>, 2023, pp. 54-55.</w:t>
      </w:r>
    </w:p>
    <w:p w14:paraId="01198F74" w14:textId="77777777" w:rsidR="00232565" w:rsidRPr="00206C10" w:rsidRDefault="00232565" w:rsidP="00232565">
      <w:pPr>
        <w:spacing w:after="120"/>
        <w:rPr>
          <w:rFonts w:ascii="Calibri" w:hAnsi="Calibri" w:cs="Calibri"/>
        </w:rPr>
      </w:pPr>
      <w:r w:rsidRPr="00206C10">
        <w:rPr>
          <w:rFonts w:ascii="Calibri" w:hAnsi="Calibri" w:cs="Calibri"/>
        </w:rPr>
        <w:t>Lynch, Bernadette, ‘Whose Cake Is It Anyway? A Collaborative Investigation into Engagement and Participation in 12 Museums and Galleries in the UK’,</w:t>
      </w:r>
      <w:r w:rsidRPr="00206C10">
        <w:rPr>
          <w:rFonts w:ascii="Calibri" w:hAnsi="Calibri" w:cs="Calibri"/>
          <w:i/>
          <w:iCs/>
        </w:rPr>
        <w:t xml:space="preserve"> Paul Hamlyn Foundation</w:t>
      </w:r>
      <w:r w:rsidRPr="00206C10">
        <w:rPr>
          <w:rFonts w:ascii="Calibri" w:hAnsi="Calibri" w:cs="Calibri"/>
        </w:rPr>
        <w:t xml:space="preserve">, 2011 &lt; </w:t>
      </w:r>
      <w:hyperlink r:id="rId12" w:history="1">
        <w:r w:rsidRPr="00206C10">
          <w:rPr>
            <w:rStyle w:val="Hyperlink"/>
            <w:rFonts w:ascii="Calibri" w:hAnsi="Calibri" w:cs="Calibri"/>
          </w:rPr>
          <w:t>untitled</w:t>
        </w:r>
      </w:hyperlink>
      <w:r w:rsidRPr="00206C10">
        <w:rPr>
          <w:rFonts w:ascii="Calibri" w:hAnsi="Calibri" w:cs="Calibri"/>
        </w:rPr>
        <w:t>&gt; [accessed 15 January 2026].</w:t>
      </w:r>
    </w:p>
    <w:p w14:paraId="4CA10385" w14:textId="77777777" w:rsidR="00232565" w:rsidRPr="00206C10" w:rsidRDefault="00232565" w:rsidP="00232565">
      <w:pPr>
        <w:spacing w:after="120"/>
        <w:rPr>
          <w:rFonts w:ascii="Calibri" w:hAnsi="Calibri" w:cs="Calibri"/>
        </w:rPr>
      </w:pPr>
      <w:r w:rsidRPr="00206C10">
        <w:rPr>
          <w:rFonts w:ascii="Calibri" w:hAnsi="Calibri" w:cs="Calibri"/>
        </w:rPr>
        <w:t xml:space="preserve">Macdonald, Sharon, ‘Collecting Practices’, in </w:t>
      </w:r>
      <w:r w:rsidRPr="00206C10">
        <w:rPr>
          <w:rFonts w:ascii="Calibri" w:hAnsi="Calibri" w:cs="Calibri"/>
          <w:i/>
          <w:iCs/>
        </w:rPr>
        <w:t>A Companion to Museum Studies</w:t>
      </w:r>
      <w:r w:rsidRPr="00206C10">
        <w:rPr>
          <w:rFonts w:ascii="Calibri" w:hAnsi="Calibri" w:cs="Calibri"/>
        </w:rPr>
        <w:t>, ed. by Sharon Macdonald (Oxford: Blackwell, 2006), pp. 81-95.</w:t>
      </w:r>
    </w:p>
    <w:p w14:paraId="5810EFDD" w14:textId="77777777" w:rsidR="00232565" w:rsidRPr="00206C10" w:rsidRDefault="00232565" w:rsidP="00232565">
      <w:pPr>
        <w:spacing w:after="120"/>
        <w:rPr>
          <w:rFonts w:ascii="Calibri" w:hAnsi="Calibri" w:cs="Calibri"/>
        </w:rPr>
      </w:pPr>
      <w:r w:rsidRPr="00206C10">
        <w:rPr>
          <w:rFonts w:ascii="Calibri" w:hAnsi="Calibri" w:cs="Calibri"/>
        </w:rPr>
        <w:t xml:space="preserve">Macdonald, Sharon, ‘Expanding Museum Studies: An Introduction’, in </w:t>
      </w:r>
      <w:r w:rsidRPr="00206C10">
        <w:rPr>
          <w:rFonts w:ascii="Calibri" w:hAnsi="Calibri" w:cs="Calibri"/>
          <w:i/>
          <w:iCs/>
        </w:rPr>
        <w:t>A Companion to Museum Studies</w:t>
      </w:r>
      <w:r w:rsidRPr="00206C10">
        <w:rPr>
          <w:rFonts w:ascii="Calibri" w:hAnsi="Calibri" w:cs="Calibri"/>
        </w:rPr>
        <w:t xml:space="preserve"> ed. By Sharon Macdonald (Oxford: Blackwell, 2006), pp. 1-12.</w:t>
      </w:r>
    </w:p>
    <w:p w14:paraId="1CCEE1D4" w14:textId="77777777" w:rsidR="00232565" w:rsidRPr="00206C10" w:rsidRDefault="00232565" w:rsidP="00232565">
      <w:pPr>
        <w:spacing w:after="120"/>
        <w:rPr>
          <w:rFonts w:ascii="Calibri" w:hAnsi="Calibri" w:cs="Calibri"/>
        </w:rPr>
      </w:pPr>
      <w:r w:rsidRPr="00206C10">
        <w:rPr>
          <w:rFonts w:ascii="Calibri" w:hAnsi="Calibri" w:cs="Calibri"/>
        </w:rPr>
        <w:t xml:space="preserve">Macdonald, Sharon, </w:t>
      </w:r>
      <w:r w:rsidRPr="00206C10">
        <w:rPr>
          <w:rFonts w:ascii="Calibri" w:hAnsi="Calibri" w:cs="Calibri"/>
          <w:i/>
          <w:iCs/>
        </w:rPr>
        <w:t>Behind the Scenes at the Science Museum</w:t>
      </w:r>
      <w:r w:rsidRPr="00206C10">
        <w:rPr>
          <w:rFonts w:ascii="Calibri" w:hAnsi="Calibri" w:cs="Calibri"/>
        </w:rPr>
        <w:t xml:space="preserve"> (Oxford: Berg, 2002). </w:t>
      </w:r>
    </w:p>
    <w:p w14:paraId="47BA551C" w14:textId="77777777" w:rsidR="00232565" w:rsidRPr="00206C10" w:rsidRDefault="00232565" w:rsidP="00232565">
      <w:pPr>
        <w:spacing w:after="120"/>
        <w:rPr>
          <w:rFonts w:ascii="Calibri" w:hAnsi="Calibri" w:cs="Calibri"/>
        </w:rPr>
      </w:pPr>
      <w:r w:rsidRPr="00206C10">
        <w:rPr>
          <w:rFonts w:ascii="Calibri" w:hAnsi="Calibri" w:cs="Calibri"/>
        </w:rPr>
        <w:t xml:space="preserve">Macleod, Suzanne, </w:t>
      </w:r>
      <w:r w:rsidRPr="00206C10">
        <w:rPr>
          <w:rFonts w:ascii="Calibri" w:hAnsi="Calibri" w:cs="Calibri"/>
          <w:i/>
          <w:iCs/>
        </w:rPr>
        <w:t>Museums and Design for Creative Lives</w:t>
      </w:r>
      <w:r w:rsidRPr="00206C10">
        <w:rPr>
          <w:rFonts w:ascii="Calibri" w:hAnsi="Calibri" w:cs="Calibri"/>
        </w:rPr>
        <w:t xml:space="preserve"> (London: Routledge, 2020).</w:t>
      </w:r>
    </w:p>
    <w:p w14:paraId="525FFDDE" w14:textId="77777777" w:rsidR="00232565" w:rsidRPr="00206C10" w:rsidRDefault="00232565" w:rsidP="00232565">
      <w:pPr>
        <w:spacing w:after="120"/>
        <w:rPr>
          <w:rFonts w:ascii="Calibri" w:hAnsi="Calibri" w:cs="Calibri"/>
        </w:rPr>
      </w:pPr>
      <w:r w:rsidRPr="00206C10">
        <w:rPr>
          <w:rFonts w:ascii="Calibri" w:hAnsi="Calibri" w:cs="Calibri"/>
        </w:rPr>
        <w:lastRenderedPageBreak/>
        <w:t xml:space="preserve">Marstine, Janet, Jocelyn Dodd and Ceri Jones, ‘Reconceptualizing Museum Ethics for the Twenty-First Century: A View from the Field’, in </w:t>
      </w:r>
      <w:r w:rsidRPr="00206C10">
        <w:rPr>
          <w:rFonts w:ascii="Calibri" w:hAnsi="Calibri" w:cs="Calibri"/>
          <w:i/>
          <w:iCs/>
        </w:rPr>
        <w:t>The International Handbooks of Museum Studies: Museum Practice</w:t>
      </w:r>
      <w:r w:rsidRPr="00206C10">
        <w:rPr>
          <w:rFonts w:ascii="Calibri" w:hAnsi="Calibri" w:cs="Calibri"/>
        </w:rPr>
        <w:t>, ed. By Conal McCarthy (London: John Wiley &amp;Sons Ltd,2013), pp. 69-95.</w:t>
      </w:r>
    </w:p>
    <w:p w14:paraId="479B20AA" w14:textId="77777777" w:rsidR="00232565" w:rsidRPr="00206C10" w:rsidRDefault="00232565" w:rsidP="00232565">
      <w:pPr>
        <w:spacing w:after="120"/>
        <w:rPr>
          <w:rFonts w:ascii="Calibri" w:hAnsi="Calibri" w:cs="Calibri"/>
        </w:rPr>
      </w:pPr>
      <w:r w:rsidRPr="00206C10">
        <w:rPr>
          <w:rFonts w:ascii="Calibri" w:hAnsi="Calibri" w:cs="Calibri"/>
        </w:rPr>
        <w:t xml:space="preserve">McIntyre, Morris Hargreaves, </w:t>
      </w:r>
      <w:r w:rsidRPr="00206C10">
        <w:rPr>
          <w:rFonts w:ascii="Calibri" w:hAnsi="Calibri" w:cs="Calibri"/>
          <w:i/>
          <w:iCs/>
        </w:rPr>
        <w:t>Visitor Behaviour and Engagement in the Museums and Heritage Sector</w:t>
      </w:r>
      <w:r w:rsidRPr="00206C10">
        <w:rPr>
          <w:rFonts w:ascii="Calibri" w:hAnsi="Calibri" w:cs="Calibri"/>
        </w:rPr>
        <w:t xml:space="preserve"> (2013), &lt;</w:t>
      </w:r>
      <w:hyperlink r:id="rId13" w:history="1">
        <w:r w:rsidRPr="00206C10">
          <w:rPr>
            <w:rStyle w:val="Hyperlink"/>
            <w:rFonts w:ascii="Calibri" w:hAnsi="Calibri" w:cs="Calibri"/>
          </w:rPr>
          <w:t>report</w:t>
        </w:r>
      </w:hyperlink>
      <w:r w:rsidRPr="00206C10">
        <w:rPr>
          <w:rFonts w:ascii="Calibri" w:hAnsi="Calibri" w:cs="Calibri"/>
        </w:rPr>
        <w:t>&gt; [accessed 15 January 2026].</w:t>
      </w:r>
    </w:p>
    <w:p w14:paraId="2540ECA1" w14:textId="77777777" w:rsidR="00232565" w:rsidRPr="00206C10" w:rsidRDefault="00232565" w:rsidP="00232565">
      <w:pPr>
        <w:spacing w:after="120"/>
        <w:rPr>
          <w:rFonts w:ascii="Calibri" w:hAnsi="Calibri" w:cs="Calibri"/>
        </w:rPr>
      </w:pPr>
      <w:r w:rsidRPr="00206C10">
        <w:rPr>
          <w:rFonts w:ascii="Calibri" w:hAnsi="Calibri" w:cs="Calibri"/>
        </w:rPr>
        <w:t xml:space="preserve">Message, Kylie and Andrea Witcomb, ‘Museum Theory: An Expanded Field’, in </w:t>
      </w:r>
      <w:r w:rsidRPr="00206C10">
        <w:rPr>
          <w:rFonts w:ascii="Calibri" w:hAnsi="Calibri" w:cs="Calibri"/>
          <w:i/>
          <w:iCs/>
        </w:rPr>
        <w:t>Museum Theory</w:t>
      </w:r>
      <w:r w:rsidRPr="00206C10">
        <w:rPr>
          <w:rFonts w:ascii="Calibri" w:hAnsi="Calibri" w:cs="Calibri"/>
        </w:rPr>
        <w:t>, ed. by Kylie Message and Andrea Witcomb (Chichester: Wiley</w:t>
      </w:r>
      <w:r w:rsidRPr="00206C10">
        <w:rPr>
          <w:rFonts w:ascii="Calibri" w:hAnsi="Calibri" w:cs="Calibri"/>
        </w:rPr>
        <w:noBreakHyphen/>
        <w:t>Blackwell, 2015), pp. xxxv–lxiii.</w:t>
      </w:r>
    </w:p>
    <w:p w14:paraId="46C2B248" w14:textId="77777777" w:rsidR="00232565" w:rsidRPr="00206C10" w:rsidRDefault="00232565" w:rsidP="00232565">
      <w:pPr>
        <w:spacing w:after="120"/>
        <w:rPr>
          <w:rFonts w:ascii="Calibri" w:hAnsi="Calibri" w:cs="Calibri"/>
        </w:rPr>
      </w:pPr>
      <w:r w:rsidRPr="00206C10">
        <w:rPr>
          <w:rFonts w:ascii="Calibri" w:hAnsi="Calibri" w:cs="Calibri"/>
        </w:rPr>
        <w:t xml:space="preserve">Parry, Ross, </w:t>
      </w:r>
      <w:r w:rsidRPr="00206C10">
        <w:rPr>
          <w:rFonts w:ascii="Calibri" w:hAnsi="Calibri" w:cs="Calibri"/>
          <w:i/>
          <w:iCs/>
        </w:rPr>
        <w:t>Recoding the Museum: Digital Heritage and the Technologies of Change</w:t>
      </w:r>
      <w:r w:rsidRPr="00206C10">
        <w:rPr>
          <w:rFonts w:ascii="Calibri" w:hAnsi="Calibri" w:cs="Calibri"/>
        </w:rPr>
        <w:t xml:space="preserve"> (London: Routledge, 2007).</w:t>
      </w:r>
    </w:p>
    <w:p w14:paraId="363E4D2C" w14:textId="77777777" w:rsidR="00232565" w:rsidRPr="00206C10" w:rsidRDefault="00232565" w:rsidP="00232565">
      <w:pPr>
        <w:spacing w:after="120"/>
        <w:rPr>
          <w:rFonts w:ascii="Calibri" w:hAnsi="Calibri" w:cs="Calibri"/>
        </w:rPr>
      </w:pPr>
      <w:r w:rsidRPr="00206C10">
        <w:rPr>
          <w:rFonts w:ascii="Calibri" w:hAnsi="Calibri" w:cs="Calibri"/>
        </w:rPr>
        <w:t xml:space="preserve">Sandell, Richard, </w:t>
      </w:r>
      <w:r w:rsidRPr="00206C10">
        <w:rPr>
          <w:rFonts w:ascii="Calibri" w:hAnsi="Calibri" w:cs="Calibri"/>
          <w:i/>
          <w:iCs/>
        </w:rPr>
        <w:t>Museums, Prejudice and the Reframing of Difference</w:t>
      </w:r>
      <w:r w:rsidRPr="00206C10">
        <w:rPr>
          <w:rFonts w:ascii="Calibri" w:hAnsi="Calibri" w:cs="Calibri"/>
        </w:rPr>
        <w:t xml:space="preserve"> (London: Routledge, 2007). </w:t>
      </w:r>
    </w:p>
    <w:p w14:paraId="0F2362BC" w14:textId="77777777" w:rsidR="00232565" w:rsidRPr="00206C10" w:rsidRDefault="00232565" w:rsidP="00232565">
      <w:pPr>
        <w:spacing w:after="120"/>
        <w:rPr>
          <w:rFonts w:ascii="Calibri" w:hAnsi="Calibri" w:cs="Calibri"/>
        </w:rPr>
      </w:pPr>
      <w:r w:rsidRPr="00206C10">
        <w:rPr>
          <w:rFonts w:ascii="Calibri" w:hAnsi="Calibri" w:cs="Calibri"/>
        </w:rPr>
        <w:t xml:space="preserve">Simon, Nina, </w:t>
      </w:r>
      <w:r w:rsidRPr="00206C10">
        <w:rPr>
          <w:rFonts w:ascii="Calibri" w:hAnsi="Calibri" w:cs="Calibri"/>
          <w:i/>
          <w:iCs/>
        </w:rPr>
        <w:t>The Participatory Museum</w:t>
      </w:r>
      <w:r w:rsidRPr="00206C10">
        <w:rPr>
          <w:rFonts w:ascii="Calibri" w:hAnsi="Calibri" w:cs="Calibri"/>
        </w:rPr>
        <w:t xml:space="preserve"> (Santa Cruz: Museum 2.0, 2010).</w:t>
      </w:r>
    </w:p>
    <w:p w14:paraId="5B8F804A" w14:textId="77777777" w:rsidR="00232565" w:rsidRPr="00206C10" w:rsidRDefault="00232565" w:rsidP="00232565">
      <w:pPr>
        <w:pStyle w:val="FootnoteText"/>
        <w:spacing w:after="120"/>
        <w:rPr>
          <w:rFonts w:ascii="Calibri" w:hAnsi="Calibri" w:cs="Calibri"/>
          <w:sz w:val="24"/>
          <w:szCs w:val="24"/>
        </w:rPr>
      </w:pPr>
      <w:r w:rsidRPr="00206C10">
        <w:rPr>
          <w:rFonts w:ascii="Calibri" w:hAnsi="Calibri" w:cs="Calibri"/>
          <w:sz w:val="24"/>
          <w:szCs w:val="24"/>
        </w:rPr>
        <w:t xml:space="preserve">Welsh Government, </w:t>
      </w:r>
      <w:r w:rsidRPr="00206C10">
        <w:rPr>
          <w:rFonts w:ascii="Calibri" w:hAnsi="Calibri" w:cs="Calibri"/>
          <w:i/>
          <w:iCs/>
          <w:sz w:val="24"/>
          <w:szCs w:val="24"/>
        </w:rPr>
        <w:t>The Curriculum for Wales</w:t>
      </w:r>
      <w:r w:rsidRPr="00206C10">
        <w:rPr>
          <w:rFonts w:ascii="Calibri" w:hAnsi="Calibri" w:cs="Calibri"/>
          <w:sz w:val="24"/>
          <w:szCs w:val="24"/>
        </w:rPr>
        <w:t xml:space="preserve">, 2022 &lt; </w:t>
      </w:r>
      <w:hyperlink r:id="rId14" w:history="1">
        <w:r w:rsidRPr="00206C10">
          <w:rPr>
            <w:rStyle w:val="Hyperlink"/>
            <w:rFonts w:ascii="Calibri" w:hAnsi="Calibri" w:cs="Calibri"/>
            <w:sz w:val="24"/>
            <w:szCs w:val="24"/>
          </w:rPr>
          <w:t>Developing a vision for curriculum design - Hwb</w:t>
        </w:r>
      </w:hyperlink>
      <w:r w:rsidRPr="00206C10">
        <w:rPr>
          <w:rFonts w:ascii="Calibri" w:hAnsi="Calibri" w:cs="Calibri"/>
          <w:sz w:val="24"/>
          <w:szCs w:val="24"/>
        </w:rPr>
        <w:t xml:space="preserve">&gt; [accessed 15 January 2026]. </w:t>
      </w:r>
    </w:p>
    <w:p w14:paraId="35080268" w14:textId="77777777" w:rsidR="00232565" w:rsidRDefault="00232565"/>
    <w:sectPr w:rsidR="0023256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A0968D" w14:textId="77777777" w:rsidR="00BB6880" w:rsidRDefault="00BB6880" w:rsidP="0016378A">
      <w:pPr>
        <w:spacing w:after="0" w:line="240" w:lineRule="auto"/>
      </w:pPr>
      <w:r>
        <w:separator/>
      </w:r>
    </w:p>
  </w:endnote>
  <w:endnote w:type="continuationSeparator" w:id="0">
    <w:p w14:paraId="7EEABE96" w14:textId="77777777" w:rsidR="00BB6880" w:rsidRDefault="00BB6880" w:rsidP="001637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79820B" w14:textId="77777777" w:rsidR="00BB6880" w:rsidRDefault="00BB6880" w:rsidP="0016378A">
      <w:pPr>
        <w:spacing w:after="0" w:line="240" w:lineRule="auto"/>
      </w:pPr>
      <w:r>
        <w:separator/>
      </w:r>
    </w:p>
  </w:footnote>
  <w:footnote w:type="continuationSeparator" w:id="0">
    <w:p w14:paraId="0EFC3DC7" w14:textId="77777777" w:rsidR="00BB6880" w:rsidRDefault="00BB6880" w:rsidP="0016378A">
      <w:pPr>
        <w:spacing w:after="0" w:line="240" w:lineRule="auto"/>
      </w:pPr>
      <w:r>
        <w:continuationSeparator/>
      </w:r>
    </w:p>
  </w:footnote>
  <w:footnote w:id="1">
    <w:p w14:paraId="0721781E" w14:textId="25722EBF" w:rsidR="0016378A" w:rsidRPr="005D6017" w:rsidRDefault="0016378A">
      <w:pPr>
        <w:pStyle w:val="FootnoteText"/>
      </w:pPr>
      <w:r w:rsidRPr="005D6017">
        <w:rPr>
          <w:rStyle w:val="FootnoteReference"/>
        </w:rPr>
        <w:footnoteRef/>
      </w:r>
      <w:r w:rsidRPr="005D6017">
        <w:t xml:space="preserve"> </w:t>
      </w:r>
      <w:r w:rsidR="00053AE1" w:rsidRPr="005D6017">
        <w:t xml:space="preserve">ICOM, </w:t>
      </w:r>
      <w:r w:rsidR="00053AE1" w:rsidRPr="005D6017">
        <w:rPr>
          <w:i/>
          <w:iCs/>
        </w:rPr>
        <w:t>Museum Definition</w:t>
      </w:r>
      <w:r w:rsidR="00053AE1" w:rsidRPr="005D6017">
        <w:t>, 2022.</w:t>
      </w:r>
    </w:p>
  </w:footnote>
  <w:footnote w:id="2">
    <w:p w14:paraId="4730FE8C" w14:textId="3611F4A6" w:rsidR="00F555E5" w:rsidRPr="005D6017" w:rsidRDefault="00F555E5">
      <w:pPr>
        <w:pStyle w:val="FootnoteText"/>
      </w:pPr>
      <w:r w:rsidRPr="005D6017">
        <w:rPr>
          <w:rStyle w:val="FootnoteReference"/>
        </w:rPr>
        <w:footnoteRef/>
      </w:r>
      <w:r w:rsidRPr="005D6017">
        <w:t xml:space="preserve"> Marstine, Dodd and Jones,</w:t>
      </w:r>
      <w:r w:rsidR="001C1259" w:rsidRPr="005D6017">
        <w:t xml:space="preserve"> 2013</w:t>
      </w:r>
      <w:r w:rsidR="002D3305" w:rsidRPr="005D6017">
        <w:t xml:space="preserve">, p. </w:t>
      </w:r>
      <w:r w:rsidR="002B4281" w:rsidRPr="005D6017">
        <w:t>76.</w:t>
      </w:r>
    </w:p>
  </w:footnote>
  <w:footnote w:id="3">
    <w:p w14:paraId="74E7C2B7" w14:textId="7D4347E9" w:rsidR="008F1D18" w:rsidRPr="005D6017" w:rsidRDefault="008F1D18">
      <w:pPr>
        <w:pStyle w:val="FootnoteText"/>
      </w:pPr>
      <w:r w:rsidRPr="005D6017">
        <w:rPr>
          <w:rStyle w:val="FootnoteReference"/>
        </w:rPr>
        <w:footnoteRef/>
      </w:r>
      <w:r w:rsidRPr="005D6017">
        <w:t xml:space="preserve"> </w:t>
      </w:r>
      <w:proofErr w:type="spellStart"/>
      <w:r w:rsidRPr="005D6017">
        <w:t>Macloed</w:t>
      </w:r>
      <w:proofErr w:type="spellEnd"/>
      <w:r w:rsidRPr="005D6017">
        <w:t>, 2020, p, 35.</w:t>
      </w:r>
    </w:p>
  </w:footnote>
  <w:footnote w:id="4">
    <w:p w14:paraId="18C8F02E" w14:textId="634F31D2" w:rsidR="000F1E3E" w:rsidRPr="005D6017" w:rsidRDefault="000F1E3E">
      <w:pPr>
        <w:pStyle w:val="FootnoteText"/>
      </w:pPr>
      <w:r w:rsidRPr="005D6017">
        <w:rPr>
          <w:rStyle w:val="FootnoteReference"/>
        </w:rPr>
        <w:footnoteRef/>
      </w:r>
      <w:r w:rsidRPr="005D6017">
        <w:t xml:space="preserve"> American Alliance of Museums, ‘Core Standards for Museums’.</w:t>
      </w:r>
    </w:p>
  </w:footnote>
  <w:footnote w:id="5">
    <w:p w14:paraId="5EE00150" w14:textId="2DFCB9E3" w:rsidR="006F018A" w:rsidRPr="005D6017" w:rsidRDefault="006F018A">
      <w:pPr>
        <w:pStyle w:val="FootnoteText"/>
      </w:pPr>
      <w:r w:rsidRPr="005D6017">
        <w:rPr>
          <w:rStyle w:val="FootnoteReference"/>
        </w:rPr>
        <w:footnoteRef/>
      </w:r>
      <w:r w:rsidR="003B1DEC" w:rsidRPr="005D6017">
        <w:t xml:space="preserve"> </w:t>
      </w:r>
      <w:r w:rsidR="00A96D52" w:rsidRPr="005D6017">
        <w:t xml:space="preserve">Ana Isabel </w:t>
      </w:r>
      <w:r w:rsidR="003B1DEC" w:rsidRPr="005D6017">
        <w:t xml:space="preserve">González-Herrera </w:t>
      </w:r>
      <w:r w:rsidR="00A96D52" w:rsidRPr="005D6017">
        <w:t>et al</w:t>
      </w:r>
      <w:r w:rsidR="003B1DEC" w:rsidRPr="005D6017">
        <w:t>, 2023, pp.1-2.</w:t>
      </w:r>
    </w:p>
  </w:footnote>
  <w:footnote w:id="6">
    <w:p w14:paraId="7242234A" w14:textId="716B9644" w:rsidR="006A534E" w:rsidRPr="005D6017" w:rsidRDefault="006A534E">
      <w:pPr>
        <w:pStyle w:val="FootnoteText"/>
      </w:pPr>
      <w:r w:rsidRPr="005D6017">
        <w:rPr>
          <w:rStyle w:val="FootnoteReference"/>
        </w:rPr>
        <w:footnoteRef/>
      </w:r>
      <w:r w:rsidRPr="005D6017">
        <w:t xml:space="preserve"> </w:t>
      </w:r>
      <w:r w:rsidR="00464B8D" w:rsidRPr="005D6017">
        <w:t>Andromache Gazi, 2014, p</w:t>
      </w:r>
      <w:r w:rsidR="003679D5" w:rsidRPr="005D6017">
        <w:t>p. 1-10</w:t>
      </w:r>
      <w:r w:rsidR="00E90AE7" w:rsidRPr="005D6017">
        <w:t>.</w:t>
      </w:r>
    </w:p>
  </w:footnote>
  <w:footnote w:id="7">
    <w:p w14:paraId="196B810C" w14:textId="4605FA23" w:rsidR="00231E96" w:rsidRPr="005D6017" w:rsidRDefault="00231E96">
      <w:pPr>
        <w:pStyle w:val="FootnoteText"/>
      </w:pPr>
      <w:r w:rsidRPr="005D6017">
        <w:rPr>
          <w:rStyle w:val="FootnoteReference"/>
        </w:rPr>
        <w:footnoteRef/>
      </w:r>
      <w:r w:rsidRPr="005D6017">
        <w:t xml:space="preserve"> </w:t>
      </w:r>
      <w:r w:rsidR="009C6672" w:rsidRPr="005D6017">
        <w:t xml:space="preserve">CELF, </w:t>
      </w:r>
      <w:hyperlink r:id="rId1" w:history="1">
        <w:r w:rsidR="009C6672" w:rsidRPr="005D6017">
          <w:rPr>
            <w:rStyle w:val="Hyperlink"/>
          </w:rPr>
          <w:t xml:space="preserve">Homepage | </w:t>
        </w:r>
        <w:proofErr w:type="spellStart"/>
        <w:r w:rsidR="009C6672" w:rsidRPr="005D6017">
          <w:rPr>
            <w:rStyle w:val="Hyperlink"/>
          </w:rPr>
          <w:t>Celf</w:t>
        </w:r>
        <w:proofErr w:type="spellEnd"/>
        <w:r w:rsidR="009C6672" w:rsidRPr="005D6017">
          <w:rPr>
            <w:rStyle w:val="Hyperlink"/>
          </w:rPr>
          <w:t xml:space="preserve"> </w:t>
        </w:r>
        <w:proofErr w:type="spellStart"/>
        <w:r w:rsidR="009C6672" w:rsidRPr="005D6017">
          <w:rPr>
            <w:rStyle w:val="Hyperlink"/>
          </w:rPr>
          <w:t>ar</w:t>
        </w:r>
        <w:proofErr w:type="spellEnd"/>
        <w:r w:rsidR="009C6672" w:rsidRPr="005D6017">
          <w:rPr>
            <w:rStyle w:val="Hyperlink"/>
          </w:rPr>
          <w:t xml:space="preserve"> y Cyd</w:t>
        </w:r>
      </w:hyperlink>
      <w:r w:rsidR="004F2847" w:rsidRPr="005D6017">
        <w:t xml:space="preserve">. </w:t>
      </w:r>
    </w:p>
  </w:footnote>
  <w:footnote w:id="8">
    <w:p w14:paraId="5AEFE223" w14:textId="3BFBC49E" w:rsidR="00B72144" w:rsidRPr="005D6017" w:rsidRDefault="00B72144">
      <w:pPr>
        <w:pStyle w:val="FootnoteText"/>
      </w:pPr>
      <w:r w:rsidRPr="005D6017">
        <w:rPr>
          <w:rStyle w:val="FootnoteReference"/>
        </w:rPr>
        <w:footnoteRef/>
      </w:r>
      <w:r w:rsidRPr="005D6017">
        <w:t xml:space="preserve"> </w:t>
      </w:r>
      <w:r w:rsidR="00303AE1" w:rsidRPr="005D6017">
        <w:t>Sharon Macdonal</w:t>
      </w:r>
      <w:r w:rsidR="009D1121" w:rsidRPr="005D6017">
        <w:t>d</w:t>
      </w:r>
      <w:r w:rsidR="00303AE1" w:rsidRPr="005D6017">
        <w:t>,</w:t>
      </w:r>
      <w:r w:rsidR="00777628" w:rsidRPr="005D6017">
        <w:t xml:space="preserve"> </w:t>
      </w:r>
      <w:r w:rsidR="009D1121" w:rsidRPr="005D6017">
        <w:t>2006, pp. 1-12.</w:t>
      </w:r>
    </w:p>
  </w:footnote>
  <w:footnote w:id="9">
    <w:p w14:paraId="58A05F2A" w14:textId="2E31B726" w:rsidR="0035157C" w:rsidRPr="005D6017" w:rsidRDefault="0035157C">
      <w:pPr>
        <w:pStyle w:val="FootnoteText"/>
      </w:pPr>
      <w:r w:rsidRPr="005D6017">
        <w:rPr>
          <w:rStyle w:val="FootnoteReference"/>
        </w:rPr>
        <w:footnoteRef/>
      </w:r>
      <w:r w:rsidRPr="005D6017">
        <w:t xml:space="preserve"> </w:t>
      </w:r>
      <w:r w:rsidR="00CB4B76" w:rsidRPr="005D6017">
        <w:t>Ross Parr</w:t>
      </w:r>
      <w:r w:rsidR="001A52F7" w:rsidRPr="005D6017">
        <w:t>y, 2007, pp. 1-4.</w:t>
      </w:r>
    </w:p>
  </w:footnote>
  <w:footnote w:id="10">
    <w:p w14:paraId="78D5B619" w14:textId="0822B15B" w:rsidR="00475305" w:rsidRPr="005D6017" w:rsidRDefault="00475305">
      <w:pPr>
        <w:pStyle w:val="FootnoteText"/>
      </w:pPr>
      <w:r w:rsidRPr="005D6017">
        <w:rPr>
          <w:rStyle w:val="FootnoteReference"/>
        </w:rPr>
        <w:footnoteRef/>
      </w:r>
      <w:r w:rsidRPr="005D6017">
        <w:t xml:space="preserve"> </w:t>
      </w:r>
      <w:r w:rsidR="00420027" w:rsidRPr="005D6017">
        <w:t>Bernadette Lynch, 2011, p</w:t>
      </w:r>
      <w:r w:rsidR="00540E7E" w:rsidRPr="005D6017">
        <w:t>p</w:t>
      </w:r>
      <w:r w:rsidR="00420027" w:rsidRPr="005D6017">
        <w:t xml:space="preserve">. </w:t>
      </w:r>
      <w:r w:rsidR="00540E7E" w:rsidRPr="005D6017">
        <w:t>13-20.</w:t>
      </w:r>
    </w:p>
  </w:footnote>
  <w:footnote w:id="11">
    <w:p w14:paraId="4F8A8E1C" w14:textId="0B2FECCA" w:rsidR="00600EFC" w:rsidRPr="005D6017" w:rsidRDefault="00600EFC">
      <w:pPr>
        <w:pStyle w:val="FootnoteText"/>
      </w:pPr>
      <w:r w:rsidRPr="005D6017">
        <w:rPr>
          <w:rStyle w:val="FootnoteReference"/>
        </w:rPr>
        <w:footnoteRef/>
      </w:r>
      <w:r w:rsidRPr="005D6017">
        <w:t xml:space="preserve"> </w:t>
      </w:r>
      <w:r w:rsidR="0035083B" w:rsidRPr="005D6017">
        <w:t>Graham Black, 2005, p</w:t>
      </w:r>
      <w:r w:rsidR="005E687F" w:rsidRPr="005D6017">
        <w:t>p. 1-2</w:t>
      </w:r>
      <w:r w:rsidR="0035083B" w:rsidRPr="005D6017">
        <w:t>.</w:t>
      </w:r>
    </w:p>
  </w:footnote>
  <w:footnote w:id="12">
    <w:p w14:paraId="644C88B1" w14:textId="1485116F" w:rsidR="00AF41A7" w:rsidRPr="005D6017" w:rsidRDefault="00AF41A7">
      <w:pPr>
        <w:pStyle w:val="FootnoteText"/>
      </w:pPr>
      <w:r w:rsidRPr="005D6017">
        <w:rPr>
          <w:rStyle w:val="FootnoteReference"/>
        </w:rPr>
        <w:footnoteRef/>
      </w:r>
      <w:r w:rsidRPr="005D6017">
        <w:t xml:space="preserve"> </w:t>
      </w:r>
      <w:r w:rsidR="00BD7166" w:rsidRPr="005D6017">
        <w:t xml:space="preserve">Kylie Message and Andrea Witcomb, </w:t>
      </w:r>
      <w:r w:rsidR="00E264CA" w:rsidRPr="005D6017">
        <w:t xml:space="preserve">2015, </w:t>
      </w:r>
      <w:r w:rsidR="006128D8" w:rsidRPr="005D6017">
        <w:t>pp. xxxv–lxiii.</w:t>
      </w:r>
    </w:p>
  </w:footnote>
  <w:footnote w:id="13">
    <w:p w14:paraId="724468DD" w14:textId="77777777" w:rsidR="00B100A7" w:rsidRPr="005D6017" w:rsidRDefault="00B100A7" w:rsidP="00B100A7">
      <w:pPr>
        <w:pStyle w:val="FootnoteText"/>
        <w:rPr>
          <w:rFonts w:ascii="Calibri" w:hAnsi="Calibri" w:cs="Calibri"/>
        </w:rPr>
      </w:pPr>
      <w:r w:rsidRPr="005D6017">
        <w:rPr>
          <w:rStyle w:val="FootnoteReference"/>
          <w:rFonts w:ascii="Calibri" w:hAnsi="Calibri" w:cs="Calibri"/>
        </w:rPr>
        <w:footnoteRef/>
      </w:r>
      <w:r w:rsidRPr="005D6017">
        <w:rPr>
          <w:rFonts w:ascii="Calibri" w:hAnsi="Calibri" w:cs="Calibri"/>
        </w:rPr>
        <w:t xml:space="preserve"> Welsh Government, </w:t>
      </w:r>
      <w:r w:rsidRPr="005D6017">
        <w:rPr>
          <w:rFonts w:ascii="Calibri" w:hAnsi="Calibri" w:cs="Calibri"/>
          <w:i/>
          <w:iCs/>
        </w:rPr>
        <w:t>The Curriculum for Wales</w:t>
      </w:r>
      <w:r w:rsidRPr="005D6017">
        <w:rPr>
          <w:rFonts w:ascii="Calibri" w:hAnsi="Calibri" w:cs="Calibri"/>
        </w:rPr>
        <w:t>, 2022.</w:t>
      </w:r>
    </w:p>
  </w:footnote>
  <w:footnote w:id="14">
    <w:p w14:paraId="4577EE0E" w14:textId="77777777" w:rsidR="00B100A7" w:rsidRPr="005D6017" w:rsidRDefault="00B100A7" w:rsidP="00B100A7">
      <w:pPr>
        <w:pStyle w:val="FootnoteText"/>
        <w:rPr>
          <w:rFonts w:ascii="Calibri" w:hAnsi="Calibri" w:cs="Calibri"/>
        </w:rPr>
      </w:pPr>
      <w:r w:rsidRPr="005D6017">
        <w:rPr>
          <w:rStyle w:val="FootnoteReference"/>
          <w:rFonts w:ascii="Calibri" w:hAnsi="Calibri" w:cs="Calibri"/>
        </w:rPr>
        <w:footnoteRef/>
      </w:r>
      <w:r w:rsidRPr="005D6017">
        <w:rPr>
          <w:rFonts w:ascii="Calibri" w:hAnsi="Calibri" w:cs="Calibri"/>
        </w:rPr>
        <w:t xml:space="preserve"> Esta Lewis, 2023, pp. 54-55.</w:t>
      </w:r>
    </w:p>
  </w:footnote>
  <w:footnote w:id="15">
    <w:p w14:paraId="24F46E06" w14:textId="77777777" w:rsidR="00B100A7" w:rsidRPr="005D6017" w:rsidRDefault="00B100A7" w:rsidP="00B100A7">
      <w:pPr>
        <w:pStyle w:val="FootnoteText"/>
        <w:rPr>
          <w:rFonts w:ascii="Calibri" w:hAnsi="Calibri" w:cs="Calibri"/>
        </w:rPr>
      </w:pPr>
      <w:r w:rsidRPr="005D6017">
        <w:rPr>
          <w:rStyle w:val="FootnoteReference"/>
          <w:rFonts w:ascii="Calibri" w:hAnsi="Calibri" w:cs="Calibri"/>
        </w:rPr>
        <w:footnoteRef/>
      </w:r>
      <w:r w:rsidRPr="005D6017">
        <w:rPr>
          <w:rFonts w:ascii="Calibri" w:hAnsi="Calibri" w:cs="Calibri"/>
        </w:rPr>
        <w:t xml:space="preserve"> Esta Lewis, 2023, pp. 54-55.</w:t>
      </w:r>
    </w:p>
  </w:footnote>
  <w:footnote w:id="16">
    <w:p w14:paraId="502D94FA" w14:textId="05D73598" w:rsidR="00B100A7" w:rsidRPr="005D6017" w:rsidRDefault="00B100A7" w:rsidP="00B100A7">
      <w:pPr>
        <w:spacing w:after="0"/>
        <w:rPr>
          <w:rFonts w:ascii="Calibri" w:hAnsi="Calibri" w:cs="Calibri"/>
          <w:sz w:val="20"/>
          <w:szCs w:val="20"/>
        </w:rPr>
      </w:pPr>
      <w:r w:rsidRPr="005D6017">
        <w:rPr>
          <w:rStyle w:val="FootnoteReference"/>
          <w:rFonts w:ascii="Calibri" w:hAnsi="Calibri" w:cs="Calibri"/>
          <w:sz w:val="20"/>
          <w:szCs w:val="20"/>
        </w:rPr>
        <w:footnoteRef/>
      </w:r>
      <w:r w:rsidRPr="005D6017">
        <w:rPr>
          <w:rFonts w:ascii="Calibri" w:hAnsi="Calibri" w:cs="Calibri"/>
          <w:sz w:val="20"/>
          <w:szCs w:val="20"/>
        </w:rPr>
        <w:t xml:space="preserve"> Nina Simon,</w:t>
      </w:r>
      <w:r w:rsidR="00C42EE3" w:rsidRPr="005D6017">
        <w:rPr>
          <w:rFonts w:ascii="Calibri" w:hAnsi="Calibri" w:cs="Calibri"/>
          <w:sz w:val="20"/>
          <w:szCs w:val="20"/>
        </w:rPr>
        <w:t xml:space="preserve"> </w:t>
      </w:r>
      <w:r w:rsidRPr="005D6017">
        <w:rPr>
          <w:rFonts w:ascii="Calibri" w:hAnsi="Calibri" w:cs="Calibri"/>
          <w:sz w:val="20"/>
          <w:szCs w:val="20"/>
        </w:rPr>
        <w:t>2010, p.19.</w:t>
      </w:r>
    </w:p>
  </w:footnote>
  <w:footnote w:id="17">
    <w:p w14:paraId="7FB90884" w14:textId="77777777" w:rsidR="00B100A7" w:rsidRPr="005D6017" w:rsidRDefault="00B100A7" w:rsidP="00B100A7">
      <w:pPr>
        <w:spacing w:after="0"/>
        <w:rPr>
          <w:rFonts w:ascii="Calibri" w:hAnsi="Calibri" w:cs="Calibri"/>
          <w:sz w:val="20"/>
          <w:szCs w:val="20"/>
        </w:rPr>
      </w:pPr>
      <w:r w:rsidRPr="005D6017">
        <w:rPr>
          <w:rStyle w:val="FootnoteReference"/>
          <w:rFonts w:ascii="Calibri" w:hAnsi="Calibri" w:cs="Calibri"/>
          <w:sz w:val="20"/>
          <w:szCs w:val="20"/>
        </w:rPr>
        <w:footnoteRef/>
      </w:r>
      <w:r w:rsidRPr="005D6017">
        <w:rPr>
          <w:rFonts w:ascii="Calibri" w:hAnsi="Calibri" w:cs="Calibri"/>
          <w:sz w:val="20"/>
          <w:szCs w:val="20"/>
        </w:rPr>
        <w:t xml:space="preserve"> Eilean Hooper</w:t>
      </w:r>
      <w:r w:rsidRPr="005D6017">
        <w:rPr>
          <w:rFonts w:ascii="Calibri" w:hAnsi="Calibri" w:cs="Calibri"/>
          <w:sz w:val="20"/>
          <w:szCs w:val="20"/>
        </w:rPr>
        <w:noBreakHyphen/>
        <w:t>Greenhill, 2000, pp.150-155.</w:t>
      </w:r>
    </w:p>
  </w:footnote>
  <w:footnote w:id="18">
    <w:p w14:paraId="7888BE04" w14:textId="77777777" w:rsidR="00B100A7" w:rsidRPr="005D6017" w:rsidRDefault="00B100A7" w:rsidP="00B100A7">
      <w:pPr>
        <w:spacing w:after="0"/>
        <w:rPr>
          <w:rFonts w:ascii="Calibri" w:hAnsi="Calibri" w:cs="Calibri"/>
          <w:sz w:val="20"/>
          <w:szCs w:val="20"/>
        </w:rPr>
      </w:pPr>
      <w:r w:rsidRPr="005D6017">
        <w:rPr>
          <w:rStyle w:val="FootnoteReference"/>
          <w:rFonts w:ascii="Calibri" w:hAnsi="Calibri" w:cs="Calibri"/>
          <w:sz w:val="20"/>
          <w:szCs w:val="20"/>
        </w:rPr>
        <w:footnoteRef/>
      </w:r>
      <w:r w:rsidRPr="005D6017">
        <w:rPr>
          <w:rFonts w:ascii="Calibri" w:hAnsi="Calibri" w:cs="Calibri"/>
          <w:sz w:val="20"/>
          <w:szCs w:val="20"/>
        </w:rPr>
        <w:t xml:space="preserve"> Richard Sandell, 2007, pp.135-168.</w:t>
      </w:r>
    </w:p>
  </w:footnote>
  <w:footnote w:id="19">
    <w:p w14:paraId="30EE8847" w14:textId="77777777" w:rsidR="00B100A7" w:rsidRPr="005D6017" w:rsidRDefault="00B100A7" w:rsidP="00B100A7">
      <w:pPr>
        <w:pStyle w:val="FootnoteText"/>
        <w:rPr>
          <w:rFonts w:ascii="Calibri" w:hAnsi="Calibri" w:cs="Calibri"/>
        </w:rPr>
      </w:pPr>
      <w:r w:rsidRPr="005D6017">
        <w:rPr>
          <w:rStyle w:val="FootnoteReference"/>
          <w:rFonts w:ascii="Calibri" w:hAnsi="Calibri" w:cs="Calibri"/>
        </w:rPr>
        <w:footnoteRef/>
      </w:r>
      <w:r w:rsidRPr="005D6017">
        <w:rPr>
          <w:rFonts w:ascii="Calibri" w:hAnsi="Calibri" w:cs="Calibri"/>
        </w:rPr>
        <w:t xml:space="preserve"> Richard Sandell, 2007, pp. 1-26.</w:t>
      </w:r>
    </w:p>
  </w:footnote>
  <w:footnote w:id="20">
    <w:p w14:paraId="6D98C1C3" w14:textId="2986CD72" w:rsidR="00B100A7" w:rsidRPr="005D6017" w:rsidRDefault="00B100A7" w:rsidP="00986B9E">
      <w:pPr>
        <w:spacing w:after="0"/>
        <w:rPr>
          <w:rFonts w:ascii="Calibri" w:hAnsi="Calibri" w:cs="Calibri"/>
          <w:sz w:val="20"/>
          <w:szCs w:val="20"/>
        </w:rPr>
      </w:pPr>
      <w:r w:rsidRPr="005D6017">
        <w:rPr>
          <w:rStyle w:val="FootnoteReference"/>
          <w:rFonts w:ascii="Calibri" w:hAnsi="Calibri" w:cs="Calibri"/>
          <w:sz w:val="20"/>
          <w:szCs w:val="20"/>
        </w:rPr>
        <w:footnoteRef/>
      </w:r>
      <w:r w:rsidRPr="005D6017">
        <w:rPr>
          <w:rFonts w:ascii="Calibri" w:hAnsi="Calibri" w:cs="Calibri"/>
          <w:sz w:val="20"/>
          <w:szCs w:val="20"/>
        </w:rPr>
        <w:t xml:space="preserve"> Tony Bennett, 1995, pp. 81-85.</w:t>
      </w:r>
    </w:p>
  </w:footnote>
  <w:footnote w:id="21">
    <w:p w14:paraId="7D6252C0" w14:textId="77777777" w:rsidR="00986B9E" w:rsidRPr="005D6017" w:rsidRDefault="00986B9E" w:rsidP="00986B9E">
      <w:pPr>
        <w:pStyle w:val="FootnoteText"/>
        <w:rPr>
          <w:rFonts w:ascii="Calibri" w:hAnsi="Calibri" w:cs="Calibri"/>
        </w:rPr>
      </w:pPr>
      <w:r w:rsidRPr="005D6017">
        <w:rPr>
          <w:rStyle w:val="FootnoteReference"/>
          <w:rFonts w:ascii="Calibri" w:hAnsi="Calibri" w:cs="Calibri"/>
        </w:rPr>
        <w:footnoteRef/>
      </w:r>
      <w:r w:rsidRPr="005D6017">
        <w:rPr>
          <w:rFonts w:ascii="Calibri" w:hAnsi="Calibri" w:cs="Calibri"/>
        </w:rPr>
        <w:t xml:space="preserve"> Bristol Museums, </w:t>
      </w:r>
      <w:hyperlink r:id="rId2" w:history="1">
        <w:r w:rsidRPr="005D6017">
          <w:rPr>
            <w:rStyle w:val="Hyperlink"/>
            <w:rFonts w:ascii="Calibri" w:hAnsi="Calibri" w:cs="Calibri"/>
          </w:rPr>
          <w:t>Treasures in Store | M Shed</w:t>
        </w:r>
      </w:hyperlink>
      <w:r w:rsidRPr="005D6017">
        <w:rPr>
          <w:rFonts w:ascii="Calibri" w:hAnsi="Calibri" w:cs="Calibri"/>
        </w:rPr>
        <w:t>.</w:t>
      </w:r>
    </w:p>
  </w:footnote>
  <w:footnote w:id="22">
    <w:p w14:paraId="400D9965" w14:textId="77777777" w:rsidR="00986B9E" w:rsidRPr="005D6017" w:rsidRDefault="00986B9E" w:rsidP="00986B9E">
      <w:pPr>
        <w:pStyle w:val="FootnoteText"/>
        <w:rPr>
          <w:rFonts w:ascii="Calibri" w:hAnsi="Calibri" w:cs="Calibri"/>
        </w:rPr>
      </w:pPr>
      <w:r w:rsidRPr="005D6017">
        <w:rPr>
          <w:rStyle w:val="FootnoteReference"/>
          <w:rFonts w:ascii="Calibri" w:hAnsi="Calibri" w:cs="Calibri"/>
        </w:rPr>
        <w:footnoteRef/>
      </w:r>
      <w:r w:rsidRPr="005D6017">
        <w:rPr>
          <w:rFonts w:ascii="Calibri" w:hAnsi="Calibri" w:cs="Calibri"/>
        </w:rPr>
        <w:t xml:space="preserve"> Bristol Museums, </w:t>
      </w:r>
      <w:hyperlink r:id="rId3" w:history="1">
        <w:r w:rsidRPr="005D6017">
          <w:rPr>
            <w:rStyle w:val="Hyperlink"/>
            <w:rFonts w:ascii="Calibri" w:hAnsi="Calibri" w:cs="Calibri"/>
          </w:rPr>
          <w:t>Treasures in Store | M Shed</w:t>
        </w:r>
      </w:hyperlink>
      <w:r w:rsidRPr="005D6017">
        <w:rPr>
          <w:rFonts w:ascii="Calibri" w:hAnsi="Calibri" w:cs="Calibri"/>
        </w:rPr>
        <w:t>.</w:t>
      </w:r>
    </w:p>
  </w:footnote>
  <w:footnote w:id="23">
    <w:p w14:paraId="64C28517" w14:textId="77777777" w:rsidR="00986B9E" w:rsidRPr="005D6017" w:rsidRDefault="00986B9E" w:rsidP="00986B9E">
      <w:pPr>
        <w:spacing w:after="0"/>
        <w:rPr>
          <w:rFonts w:ascii="Calibri" w:hAnsi="Calibri" w:cs="Calibri"/>
          <w:sz w:val="20"/>
          <w:szCs w:val="20"/>
        </w:rPr>
      </w:pPr>
      <w:r w:rsidRPr="005D6017">
        <w:rPr>
          <w:rStyle w:val="FootnoteReference"/>
          <w:rFonts w:ascii="Calibri" w:hAnsi="Calibri" w:cs="Calibri"/>
          <w:sz w:val="20"/>
          <w:szCs w:val="20"/>
        </w:rPr>
        <w:footnoteRef/>
      </w:r>
      <w:r w:rsidRPr="005D6017">
        <w:rPr>
          <w:rFonts w:ascii="Calibri" w:hAnsi="Calibri" w:cs="Calibri"/>
          <w:sz w:val="20"/>
          <w:szCs w:val="20"/>
        </w:rPr>
        <w:t xml:space="preserve"> Sharon Macdonald, 2002, pp.68-95.</w:t>
      </w:r>
    </w:p>
  </w:footnote>
  <w:footnote w:id="24">
    <w:p w14:paraId="1578B58D" w14:textId="77777777" w:rsidR="00986B9E" w:rsidRPr="005D6017" w:rsidRDefault="00986B9E" w:rsidP="00986B9E">
      <w:pPr>
        <w:spacing w:after="0"/>
        <w:rPr>
          <w:rFonts w:ascii="Calibri" w:hAnsi="Calibri" w:cs="Calibri"/>
          <w:sz w:val="20"/>
          <w:szCs w:val="20"/>
        </w:rPr>
      </w:pPr>
      <w:r w:rsidRPr="005D6017">
        <w:rPr>
          <w:rStyle w:val="FootnoteReference"/>
          <w:rFonts w:ascii="Calibri" w:hAnsi="Calibri" w:cs="Calibri"/>
          <w:sz w:val="20"/>
          <w:szCs w:val="20"/>
        </w:rPr>
        <w:footnoteRef/>
      </w:r>
      <w:r w:rsidRPr="005D6017">
        <w:rPr>
          <w:rFonts w:ascii="Calibri" w:hAnsi="Calibri" w:cs="Calibri"/>
          <w:sz w:val="20"/>
          <w:szCs w:val="20"/>
        </w:rPr>
        <w:t xml:space="preserve"> Sharon Macdonald, 2002, pp.68-95.</w:t>
      </w:r>
    </w:p>
  </w:footnote>
  <w:footnote w:id="25">
    <w:p w14:paraId="52D98ECE" w14:textId="77777777" w:rsidR="00986B9E" w:rsidRPr="005D6017" w:rsidRDefault="00986B9E" w:rsidP="00986B9E">
      <w:pPr>
        <w:spacing w:after="0"/>
        <w:rPr>
          <w:rFonts w:ascii="Calibri" w:hAnsi="Calibri" w:cs="Calibri"/>
          <w:sz w:val="20"/>
          <w:szCs w:val="20"/>
        </w:rPr>
      </w:pPr>
      <w:r w:rsidRPr="005D6017">
        <w:rPr>
          <w:rStyle w:val="FootnoteReference"/>
          <w:rFonts w:ascii="Calibri" w:hAnsi="Calibri" w:cs="Calibri"/>
          <w:sz w:val="20"/>
          <w:szCs w:val="20"/>
        </w:rPr>
        <w:footnoteRef/>
      </w:r>
      <w:r w:rsidRPr="005D6017">
        <w:rPr>
          <w:rFonts w:ascii="Calibri" w:hAnsi="Calibri" w:cs="Calibri"/>
          <w:sz w:val="20"/>
          <w:szCs w:val="20"/>
        </w:rPr>
        <w:t xml:space="preserve"> Fiona Candlin, 2016, p.25-48</w:t>
      </w:r>
    </w:p>
  </w:footnote>
  <w:footnote w:id="26">
    <w:p w14:paraId="7F485198" w14:textId="77777777" w:rsidR="00986B9E" w:rsidRPr="005D6017" w:rsidRDefault="00986B9E" w:rsidP="00986B9E">
      <w:pPr>
        <w:pStyle w:val="FootnoteText"/>
        <w:rPr>
          <w:rFonts w:ascii="Calibri" w:hAnsi="Calibri" w:cs="Calibri"/>
        </w:rPr>
      </w:pPr>
      <w:r w:rsidRPr="005D6017">
        <w:rPr>
          <w:rStyle w:val="FootnoteReference"/>
          <w:rFonts w:ascii="Calibri" w:hAnsi="Calibri" w:cs="Calibri"/>
        </w:rPr>
        <w:footnoteRef/>
      </w:r>
      <w:r w:rsidRPr="005D6017">
        <w:rPr>
          <w:rFonts w:ascii="Calibri" w:hAnsi="Calibri" w:cs="Calibri"/>
        </w:rPr>
        <w:t xml:space="preserve"> Nina Simon, 2010, p.19.</w:t>
      </w:r>
    </w:p>
  </w:footnote>
  <w:footnote w:id="27">
    <w:p w14:paraId="146F2F7B" w14:textId="77777777" w:rsidR="00986B9E" w:rsidRPr="005D6017" w:rsidRDefault="00986B9E" w:rsidP="00986B9E">
      <w:pPr>
        <w:pStyle w:val="FootnoteText"/>
      </w:pPr>
      <w:r w:rsidRPr="005D6017">
        <w:rPr>
          <w:rStyle w:val="FootnoteReference"/>
          <w:rFonts w:ascii="Calibri" w:hAnsi="Calibri" w:cs="Calibri"/>
        </w:rPr>
        <w:footnoteRef/>
      </w:r>
      <w:r w:rsidRPr="005D6017">
        <w:rPr>
          <w:rFonts w:ascii="Calibri" w:hAnsi="Calibri" w:cs="Calibri"/>
        </w:rPr>
        <w:t xml:space="preserve"> Tony Bennett, 1995, pp. 81-85.</w:t>
      </w:r>
    </w:p>
  </w:footnote>
  <w:footnote w:id="28">
    <w:p w14:paraId="43A232DD" w14:textId="77777777" w:rsidR="00AB29DC" w:rsidRPr="005D6017" w:rsidRDefault="00AB29DC" w:rsidP="00AB29DC">
      <w:pPr>
        <w:pStyle w:val="FootnoteText"/>
        <w:rPr>
          <w:rFonts w:ascii="Calibri" w:hAnsi="Calibri" w:cs="Calibri"/>
        </w:rPr>
      </w:pPr>
      <w:r w:rsidRPr="005D6017">
        <w:rPr>
          <w:rStyle w:val="FootnoteReference"/>
          <w:rFonts w:ascii="Calibri" w:hAnsi="Calibri" w:cs="Calibri"/>
        </w:rPr>
        <w:footnoteRef/>
      </w:r>
      <w:r w:rsidRPr="005D6017">
        <w:rPr>
          <w:rFonts w:ascii="Calibri" w:hAnsi="Calibri" w:cs="Calibri"/>
        </w:rPr>
        <w:t xml:space="preserve"> Stephen Bitgood, 2009, p. 93.</w:t>
      </w:r>
    </w:p>
  </w:footnote>
  <w:footnote w:id="29">
    <w:p w14:paraId="40862100" w14:textId="77777777" w:rsidR="00AB29DC" w:rsidRPr="005D6017" w:rsidRDefault="00AB29DC" w:rsidP="00AB29DC">
      <w:pPr>
        <w:spacing w:after="0"/>
        <w:rPr>
          <w:rFonts w:ascii="Calibri" w:hAnsi="Calibri" w:cs="Calibri"/>
          <w:sz w:val="20"/>
          <w:szCs w:val="20"/>
        </w:rPr>
      </w:pPr>
      <w:r w:rsidRPr="005D6017">
        <w:rPr>
          <w:rStyle w:val="FootnoteReference"/>
          <w:rFonts w:ascii="Calibri" w:hAnsi="Calibri" w:cs="Calibri"/>
          <w:sz w:val="20"/>
          <w:szCs w:val="20"/>
        </w:rPr>
        <w:footnoteRef/>
      </w:r>
      <w:r w:rsidRPr="005D6017">
        <w:rPr>
          <w:rFonts w:ascii="Calibri" w:hAnsi="Calibri" w:cs="Calibri"/>
          <w:sz w:val="20"/>
          <w:szCs w:val="20"/>
        </w:rPr>
        <w:t xml:space="preserve"> Gareth Davey, 2005, pp. 17-21.</w:t>
      </w:r>
    </w:p>
  </w:footnote>
  <w:footnote w:id="30">
    <w:p w14:paraId="74ACD93C" w14:textId="77777777" w:rsidR="00AB29DC" w:rsidRPr="005D6017" w:rsidRDefault="00AB29DC" w:rsidP="00AB29DC">
      <w:pPr>
        <w:spacing w:after="0"/>
        <w:rPr>
          <w:rFonts w:ascii="Calibri" w:hAnsi="Calibri" w:cs="Calibri"/>
          <w:sz w:val="20"/>
          <w:szCs w:val="20"/>
        </w:rPr>
      </w:pPr>
      <w:r w:rsidRPr="005D6017">
        <w:rPr>
          <w:rStyle w:val="FootnoteReference"/>
          <w:rFonts w:ascii="Calibri" w:hAnsi="Calibri" w:cs="Calibri"/>
          <w:sz w:val="20"/>
          <w:szCs w:val="20"/>
        </w:rPr>
        <w:footnoteRef/>
      </w:r>
      <w:r w:rsidRPr="005D6017">
        <w:rPr>
          <w:rFonts w:ascii="Calibri" w:hAnsi="Calibri" w:cs="Calibri"/>
          <w:sz w:val="20"/>
          <w:szCs w:val="20"/>
        </w:rPr>
        <w:t xml:space="preserve"> Morris Hargreaves McIntyre, 2013, </w:t>
      </w:r>
      <w:hyperlink r:id="rId4" w:history="1">
        <w:r w:rsidRPr="005D6017">
          <w:rPr>
            <w:rStyle w:val="Hyperlink"/>
            <w:rFonts w:ascii="Calibri" w:hAnsi="Calibri" w:cs="Calibri"/>
            <w:sz w:val="20"/>
            <w:szCs w:val="20"/>
          </w:rPr>
          <w:t>report</w:t>
        </w:r>
      </w:hyperlink>
      <w:r w:rsidRPr="005D6017">
        <w:rPr>
          <w:rFonts w:ascii="Calibri" w:hAnsi="Calibri" w:cs="Calibri"/>
          <w:sz w:val="20"/>
          <w:szCs w:val="20"/>
        </w:rPr>
        <w:t>.</w:t>
      </w:r>
    </w:p>
  </w:footnote>
  <w:footnote w:id="31">
    <w:p w14:paraId="2616C3A4" w14:textId="77777777" w:rsidR="00AB29DC" w:rsidRPr="005D6017" w:rsidRDefault="00AB29DC" w:rsidP="00AB29DC">
      <w:pPr>
        <w:pStyle w:val="FootnoteText"/>
        <w:rPr>
          <w:rFonts w:ascii="Calibri" w:hAnsi="Calibri" w:cs="Calibri"/>
        </w:rPr>
      </w:pPr>
      <w:r w:rsidRPr="005D6017">
        <w:rPr>
          <w:rStyle w:val="FootnoteReference"/>
          <w:rFonts w:ascii="Calibri" w:hAnsi="Calibri" w:cs="Calibri"/>
        </w:rPr>
        <w:footnoteRef/>
      </w:r>
      <w:r w:rsidRPr="005D6017">
        <w:rPr>
          <w:rFonts w:ascii="Calibri" w:hAnsi="Calibri" w:cs="Calibri"/>
        </w:rPr>
        <w:t xml:space="preserve"> Morris Hargreaves McIntyre, 2013, </w:t>
      </w:r>
      <w:hyperlink r:id="rId5" w:history="1">
        <w:r w:rsidRPr="005D6017">
          <w:rPr>
            <w:rStyle w:val="Hyperlink"/>
            <w:rFonts w:ascii="Calibri" w:hAnsi="Calibri" w:cs="Calibri"/>
          </w:rPr>
          <w:t>report</w:t>
        </w:r>
      </w:hyperlink>
      <w:r w:rsidRPr="005D6017">
        <w:rPr>
          <w:rFonts w:ascii="Calibri" w:hAnsi="Calibri" w:cs="Calibri"/>
        </w:rPr>
        <w:t>.</w:t>
      </w:r>
    </w:p>
  </w:footnote>
  <w:footnote w:id="32">
    <w:p w14:paraId="525C3355" w14:textId="77777777" w:rsidR="00AB29DC" w:rsidRPr="005D6017" w:rsidRDefault="00AB29DC" w:rsidP="00AB29DC">
      <w:pPr>
        <w:spacing w:after="0"/>
        <w:rPr>
          <w:rFonts w:ascii="Calibri" w:hAnsi="Calibri" w:cs="Calibri"/>
          <w:sz w:val="20"/>
          <w:szCs w:val="20"/>
        </w:rPr>
      </w:pPr>
      <w:r w:rsidRPr="005D6017">
        <w:rPr>
          <w:rStyle w:val="FootnoteReference"/>
          <w:rFonts w:ascii="Calibri" w:hAnsi="Calibri" w:cs="Calibri"/>
          <w:sz w:val="20"/>
          <w:szCs w:val="20"/>
        </w:rPr>
        <w:footnoteRef/>
      </w:r>
      <w:r w:rsidRPr="005D6017">
        <w:rPr>
          <w:rFonts w:ascii="Calibri" w:hAnsi="Calibri" w:cs="Calibri"/>
          <w:sz w:val="20"/>
          <w:szCs w:val="20"/>
        </w:rPr>
        <w:t xml:space="preserve"> John H. Falk and Lynn Dierking, 2013.</w:t>
      </w:r>
    </w:p>
  </w:footnote>
  <w:footnote w:id="33">
    <w:p w14:paraId="362A2C08" w14:textId="77777777" w:rsidR="00AB29DC" w:rsidRPr="005D6017" w:rsidRDefault="00AB29DC" w:rsidP="00AB29DC">
      <w:pPr>
        <w:pStyle w:val="FootnoteText"/>
      </w:pPr>
      <w:r w:rsidRPr="005D6017">
        <w:rPr>
          <w:rStyle w:val="FootnoteReference"/>
          <w:rFonts w:ascii="Calibri" w:hAnsi="Calibri" w:cs="Calibri"/>
        </w:rPr>
        <w:footnoteRef/>
      </w:r>
      <w:r w:rsidRPr="005D6017">
        <w:rPr>
          <w:rFonts w:ascii="Calibri" w:hAnsi="Calibri" w:cs="Calibri"/>
        </w:rPr>
        <w:t xml:space="preserve"> Eilean Hooper</w:t>
      </w:r>
      <w:r w:rsidRPr="005D6017">
        <w:rPr>
          <w:rFonts w:ascii="Calibri" w:hAnsi="Calibri" w:cs="Calibri"/>
        </w:rPr>
        <w:noBreakHyphen/>
        <w:t>Greenhill, 2000, pp.133-160.</w:t>
      </w:r>
    </w:p>
  </w:footnote>
  <w:footnote w:id="34">
    <w:p w14:paraId="6A0FA4BE" w14:textId="77777777" w:rsidR="00D540E3" w:rsidRPr="005D6017" w:rsidRDefault="00D540E3" w:rsidP="00D540E3">
      <w:pPr>
        <w:pStyle w:val="FootnoteText"/>
        <w:rPr>
          <w:rFonts w:ascii="Calibri" w:hAnsi="Calibri" w:cs="Calibri"/>
        </w:rPr>
      </w:pPr>
      <w:r w:rsidRPr="005D6017">
        <w:rPr>
          <w:rStyle w:val="FootnoteReference"/>
          <w:rFonts w:ascii="Calibri" w:hAnsi="Calibri" w:cs="Calibri"/>
        </w:rPr>
        <w:footnoteRef/>
      </w:r>
      <w:r w:rsidRPr="005D6017">
        <w:rPr>
          <w:rFonts w:ascii="Calibri" w:hAnsi="Calibri" w:cs="Calibri"/>
        </w:rPr>
        <w:t xml:space="preserve"> Sharon Macdonald, 2006, pp.81-83</w:t>
      </w:r>
    </w:p>
  </w:footnote>
  <w:footnote w:id="35">
    <w:p w14:paraId="7530037B" w14:textId="77777777" w:rsidR="00D540E3" w:rsidRPr="005D6017" w:rsidRDefault="00D540E3" w:rsidP="00D540E3">
      <w:pPr>
        <w:rPr>
          <w:rFonts w:ascii="Calibri" w:hAnsi="Calibri" w:cs="Calibri"/>
          <w:sz w:val="20"/>
          <w:szCs w:val="20"/>
        </w:rPr>
      </w:pPr>
      <w:r w:rsidRPr="005D6017">
        <w:rPr>
          <w:rStyle w:val="FootnoteReference"/>
          <w:rFonts w:ascii="Calibri" w:hAnsi="Calibri" w:cs="Calibri"/>
          <w:sz w:val="20"/>
          <w:szCs w:val="20"/>
        </w:rPr>
        <w:footnoteRef/>
      </w:r>
      <w:r w:rsidRPr="005D6017">
        <w:rPr>
          <w:rFonts w:ascii="Calibri" w:hAnsi="Calibri" w:cs="Calibri"/>
          <w:sz w:val="20"/>
          <w:szCs w:val="20"/>
        </w:rPr>
        <w:t xml:space="preserve"> Surya Bowyer et al., 2025, pp. 290-305.</w:t>
      </w:r>
    </w:p>
    <w:p w14:paraId="4E028C8E" w14:textId="77777777" w:rsidR="00D540E3" w:rsidRDefault="00D540E3" w:rsidP="00D540E3">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0212A1"/>
    <w:multiLevelType w:val="multilevel"/>
    <w:tmpl w:val="A5122F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4140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69F5"/>
    <w:rsid w:val="00053AE1"/>
    <w:rsid w:val="00075953"/>
    <w:rsid w:val="000B1694"/>
    <w:rsid w:val="000B76D8"/>
    <w:rsid w:val="000E4A88"/>
    <w:rsid w:val="000F1E3E"/>
    <w:rsid w:val="00102F20"/>
    <w:rsid w:val="001046D7"/>
    <w:rsid w:val="00125E4F"/>
    <w:rsid w:val="00154925"/>
    <w:rsid w:val="0015498C"/>
    <w:rsid w:val="0016378A"/>
    <w:rsid w:val="00180FA5"/>
    <w:rsid w:val="001A52F7"/>
    <w:rsid w:val="001B5197"/>
    <w:rsid w:val="001C1259"/>
    <w:rsid w:val="001C4D34"/>
    <w:rsid w:val="002220A5"/>
    <w:rsid w:val="00222780"/>
    <w:rsid w:val="00222BA7"/>
    <w:rsid w:val="00231E96"/>
    <w:rsid w:val="00232565"/>
    <w:rsid w:val="00243B17"/>
    <w:rsid w:val="00260AC1"/>
    <w:rsid w:val="002616F0"/>
    <w:rsid w:val="00277C07"/>
    <w:rsid w:val="00296381"/>
    <w:rsid w:val="002B4281"/>
    <w:rsid w:val="002D3305"/>
    <w:rsid w:val="00303AE1"/>
    <w:rsid w:val="0035083B"/>
    <w:rsid w:val="0035157C"/>
    <w:rsid w:val="00351869"/>
    <w:rsid w:val="003679D5"/>
    <w:rsid w:val="003B1DEC"/>
    <w:rsid w:val="003B4F1A"/>
    <w:rsid w:val="003B7214"/>
    <w:rsid w:val="003D633C"/>
    <w:rsid w:val="003F1D7D"/>
    <w:rsid w:val="003F5657"/>
    <w:rsid w:val="00416193"/>
    <w:rsid w:val="00420027"/>
    <w:rsid w:val="00420F31"/>
    <w:rsid w:val="00464B8D"/>
    <w:rsid w:val="00470FA4"/>
    <w:rsid w:val="00471E3C"/>
    <w:rsid w:val="00475305"/>
    <w:rsid w:val="004959DB"/>
    <w:rsid w:val="004F2847"/>
    <w:rsid w:val="0050759B"/>
    <w:rsid w:val="00540E7E"/>
    <w:rsid w:val="00543DF2"/>
    <w:rsid w:val="0058456B"/>
    <w:rsid w:val="005A3319"/>
    <w:rsid w:val="005A39DD"/>
    <w:rsid w:val="005A47FC"/>
    <w:rsid w:val="005C0E05"/>
    <w:rsid w:val="005C34F1"/>
    <w:rsid w:val="005D6017"/>
    <w:rsid w:val="005D7E4F"/>
    <w:rsid w:val="005E2EA0"/>
    <w:rsid w:val="005E5032"/>
    <w:rsid w:val="005E687F"/>
    <w:rsid w:val="00600EFC"/>
    <w:rsid w:val="006128D8"/>
    <w:rsid w:val="0062011C"/>
    <w:rsid w:val="00656B8F"/>
    <w:rsid w:val="006A534E"/>
    <w:rsid w:val="006C1DEE"/>
    <w:rsid w:val="006F018A"/>
    <w:rsid w:val="00720843"/>
    <w:rsid w:val="00727516"/>
    <w:rsid w:val="00777628"/>
    <w:rsid w:val="00786217"/>
    <w:rsid w:val="00792EBF"/>
    <w:rsid w:val="00793A0F"/>
    <w:rsid w:val="007F1D46"/>
    <w:rsid w:val="00803C7B"/>
    <w:rsid w:val="0089284D"/>
    <w:rsid w:val="008B4D9E"/>
    <w:rsid w:val="008D1121"/>
    <w:rsid w:val="008D1EC9"/>
    <w:rsid w:val="008E00CC"/>
    <w:rsid w:val="008F1D18"/>
    <w:rsid w:val="00906494"/>
    <w:rsid w:val="00921B2A"/>
    <w:rsid w:val="0094260B"/>
    <w:rsid w:val="00986B9E"/>
    <w:rsid w:val="009A47EC"/>
    <w:rsid w:val="009B7EDE"/>
    <w:rsid w:val="009C6672"/>
    <w:rsid w:val="009D1121"/>
    <w:rsid w:val="009D534B"/>
    <w:rsid w:val="009E6BC5"/>
    <w:rsid w:val="00A81539"/>
    <w:rsid w:val="00A86C97"/>
    <w:rsid w:val="00A96D52"/>
    <w:rsid w:val="00AA69F5"/>
    <w:rsid w:val="00AB29DC"/>
    <w:rsid w:val="00AF41A7"/>
    <w:rsid w:val="00AF4932"/>
    <w:rsid w:val="00B100A7"/>
    <w:rsid w:val="00B22556"/>
    <w:rsid w:val="00B57C62"/>
    <w:rsid w:val="00B70366"/>
    <w:rsid w:val="00B72144"/>
    <w:rsid w:val="00BA7CA3"/>
    <w:rsid w:val="00BB6880"/>
    <w:rsid w:val="00BD7166"/>
    <w:rsid w:val="00BE23CC"/>
    <w:rsid w:val="00BF4B07"/>
    <w:rsid w:val="00BF4F78"/>
    <w:rsid w:val="00C00FB9"/>
    <w:rsid w:val="00C046B3"/>
    <w:rsid w:val="00C36BC8"/>
    <w:rsid w:val="00C409F7"/>
    <w:rsid w:val="00C42EE3"/>
    <w:rsid w:val="00C52770"/>
    <w:rsid w:val="00C66E3D"/>
    <w:rsid w:val="00CA7B00"/>
    <w:rsid w:val="00CB4B76"/>
    <w:rsid w:val="00D540E3"/>
    <w:rsid w:val="00D562EA"/>
    <w:rsid w:val="00D758E9"/>
    <w:rsid w:val="00DD34C4"/>
    <w:rsid w:val="00DE322E"/>
    <w:rsid w:val="00E03C87"/>
    <w:rsid w:val="00E144AB"/>
    <w:rsid w:val="00E15100"/>
    <w:rsid w:val="00E17DFF"/>
    <w:rsid w:val="00E264CA"/>
    <w:rsid w:val="00E4328E"/>
    <w:rsid w:val="00E64563"/>
    <w:rsid w:val="00E90AE7"/>
    <w:rsid w:val="00F104C2"/>
    <w:rsid w:val="00F33E0D"/>
    <w:rsid w:val="00F555E5"/>
    <w:rsid w:val="00F83093"/>
    <w:rsid w:val="00FA5D88"/>
    <w:rsid w:val="00FE16A0"/>
    <w:rsid w:val="00FF75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06DB8A"/>
  <w15:chartTrackingRefBased/>
  <w15:docId w15:val="{4755A7E6-7AC1-47BD-BECF-97CC4414E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69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A69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A69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69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69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69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69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69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69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69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A69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69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69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69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69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69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69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69F5"/>
    <w:rPr>
      <w:rFonts w:eastAsiaTheme="majorEastAsia" w:cstheme="majorBidi"/>
      <w:color w:val="272727" w:themeColor="text1" w:themeTint="D8"/>
    </w:rPr>
  </w:style>
  <w:style w:type="paragraph" w:styleId="Title">
    <w:name w:val="Title"/>
    <w:basedOn w:val="Normal"/>
    <w:next w:val="Normal"/>
    <w:link w:val="TitleChar"/>
    <w:uiPriority w:val="10"/>
    <w:qFormat/>
    <w:rsid w:val="00AA69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69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69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69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69F5"/>
    <w:pPr>
      <w:spacing w:before="160"/>
      <w:jc w:val="center"/>
    </w:pPr>
    <w:rPr>
      <w:i/>
      <w:iCs/>
      <w:color w:val="404040" w:themeColor="text1" w:themeTint="BF"/>
    </w:rPr>
  </w:style>
  <w:style w:type="character" w:customStyle="1" w:styleId="QuoteChar">
    <w:name w:val="Quote Char"/>
    <w:basedOn w:val="DefaultParagraphFont"/>
    <w:link w:val="Quote"/>
    <w:uiPriority w:val="29"/>
    <w:rsid w:val="00AA69F5"/>
    <w:rPr>
      <w:i/>
      <w:iCs/>
      <w:color w:val="404040" w:themeColor="text1" w:themeTint="BF"/>
    </w:rPr>
  </w:style>
  <w:style w:type="paragraph" w:styleId="ListParagraph">
    <w:name w:val="List Paragraph"/>
    <w:basedOn w:val="Normal"/>
    <w:uiPriority w:val="34"/>
    <w:qFormat/>
    <w:rsid w:val="00AA69F5"/>
    <w:pPr>
      <w:ind w:left="720"/>
      <w:contextualSpacing/>
    </w:pPr>
  </w:style>
  <w:style w:type="character" w:styleId="IntenseEmphasis">
    <w:name w:val="Intense Emphasis"/>
    <w:basedOn w:val="DefaultParagraphFont"/>
    <w:uiPriority w:val="21"/>
    <w:qFormat/>
    <w:rsid w:val="00AA69F5"/>
    <w:rPr>
      <w:i/>
      <w:iCs/>
      <w:color w:val="0F4761" w:themeColor="accent1" w:themeShade="BF"/>
    </w:rPr>
  </w:style>
  <w:style w:type="paragraph" w:styleId="IntenseQuote">
    <w:name w:val="Intense Quote"/>
    <w:basedOn w:val="Normal"/>
    <w:next w:val="Normal"/>
    <w:link w:val="IntenseQuoteChar"/>
    <w:uiPriority w:val="30"/>
    <w:qFormat/>
    <w:rsid w:val="00AA69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69F5"/>
    <w:rPr>
      <w:i/>
      <w:iCs/>
      <w:color w:val="0F4761" w:themeColor="accent1" w:themeShade="BF"/>
    </w:rPr>
  </w:style>
  <w:style w:type="character" w:styleId="IntenseReference">
    <w:name w:val="Intense Reference"/>
    <w:basedOn w:val="DefaultParagraphFont"/>
    <w:uiPriority w:val="32"/>
    <w:qFormat/>
    <w:rsid w:val="00AA69F5"/>
    <w:rPr>
      <w:b/>
      <w:bCs/>
      <w:smallCaps/>
      <w:color w:val="0F4761" w:themeColor="accent1" w:themeShade="BF"/>
      <w:spacing w:val="5"/>
    </w:rPr>
  </w:style>
  <w:style w:type="paragraph" w:styleId="FootnoteText">
    <w:name w:val="footnote text"/>
    <w:basedOn w:val="Normal"/>
    <w:link w:val="FootnoteTextChar"/>
    <w:uiPriority w:val="99"/>
    <w:unhideWhenUsed/>
    <w:rsid w:val="0016378A"/>
    <w:pPr>
      <w:spacing w:after="0" w:line="240" w:lineRule="auto"/>
    </w:pPr>
    <w:rPr>
      <w:sz w:val="20"/>
      <w:szCs w:val="20"/>
    </w:rPr>
  </w:style>
  <w:style w:type="character" w:customStyle="1" w:styleId="FootnoteTextChar">
    <w:name w:val="Footnote Text Char"/>
    <w:basedOn w:val="DefaultParagraphFont"/>
    <w:link w:val="FootnoteText"/>
    <w:uiPriority w:val="99"/>
    <w:rsid w:val="0016378A"/>
    <w:rPr>
      <w:sz w:val="20"/>
      <w:szCs w:val="20"/>
    </w:rPr>
  </w:style>
  <w:style w:type="character" w:styleId="FootnoteReference">
    <w:name w:val="footnote reference"/>
    <w:basedOn w:val="DefaultParagraphFont"/>
    <w:uiPriority w:val="99"/>
    <w:semiHidden/>
    <w:unhideWhenUsed/>
    <w:rsid w:val="0016378A"/>
    <w:rPr>
      <w:vertAlign w:val="superscript"/>
    </w:rPr>
  </w:style>
  <w:style w:type="character" w:styleId="Hyperlink">
    <w:name w:val="Hyperlink"/>
    <w:basedOn w:val="DefaultParagraphFont"/>
    <w:uiPriority w:val="99"/>
    <w:unhideWhenUsed/>
    <w:rsid w:val="001C4D34"/>
    <w:rPr>
      <w:color w:val="467886" w:themeColor="hyperlink"/>
      <w:u w:val="single"/>
    </w:rPr>
  </w:style>
  <w:style w:type="character" w:styleId="UnresolvedMention">
    <w:name w:val="Unresolved Mention"/>
    <w:basedOn w:val="DefaultParagraphFont"/>
    <w:uiPriority w:val="99"/>
    <w:semiHidden/>
    <w:unhideWhenUsed/>
    <w:rsid w:val="001C4D34"/>
    <w:rPr>
      <w:color w:val="605E5C"/>
      <w:shd w:val="clear" w:color="auto" w:fill="E1DFDD"/>
    </w:rPr>
  </w:style>
  <w:style w:type="character" w:styleId="FollowedHyperlink">
    <w:name w:val="FollowedHyperlink"/>
    <w:basedOn w:val="DefaultParagraphFont"/>
    <w:uiPriority w:val="99"/>
    <w:semiHidden/>
    <w:unhideWhenUsed/>
    <w:rsid w:val="0035157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am-us.org/programs/ethics-standards-and-professional-practices/core-standards-for-museums/" TargetMode="External"/><Relationship Id="rId13" Type="http://schemas.openxmlformats.org/officeDocument/2006/relationships/hyperlink" Target="https://www.culturehive.co.uk/wp-content/uploads/2020/10/Never-mind-the-width-1.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hf.org.uk/assets/documents/Whose-cake-is-it-anyway.pdf?v=1715619177"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com.museum/en/resources/standards-guidelines/museum-definition/"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celfarycyd.wales/" TargetMode="External"/><Relationship Id="rId4" Type="http://schemas.openxmlformats.org/officeDocument/2006/relationships/settings" Target="settings.xml"/><Relationship Id="rId9" Type="http://schemas.openxmlformats.org/officeDocument/2006/relationships/hyperlink" Target="https://www.bristolmuseums.org.uk/m-shed/whats-at/store/" TargetMode="External"/><Relationship Id="rId14" Type="http://schemas.openxmlformats.org/officeDocument/2006/relationships/hyperlink" Target="https://hwb.gov.wales/curriculum-for-wales/designing-your-curriculum/developing-a-vision-for-curriculum-design/"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bristolmuseums.org.uk/m-shed/whats-at/store/" TargetMode="External"/><Relationship Id="rId2" Type="http://schemas.openxmlformats.org/officeDocument/2006/relationships/hyperlink" Target="https://www.bristolmuseums.org.uk/m-shed/whats-at/store/" TargetMode="External"/><Relationship Id="rId1" Type="http://schemas.openxmlformats.org/officeDocument/2006/relationships/hyperlink" Target="https://celfarycyd.wales/" TargetMode="External"/><Relationship Id="rId5" Type="http://schemas.openxmlformats.org/officeDocument/2006/relationships/hyperlink" Target="https://www.culturehive.co.uk/wp-content/uploads/2020/10/Never-mind-the-width-1.pdf" TargetMode="External"/><Relationship Id="rId4" Type="http://schemas.openxmlformats.org/officeDocument/2006/relationships/hyperlink" Target="https://www.culturehive.co.uk/wp-content/uploads/2020/10/Never-mind-the-width-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24C6B7-B76E-4C2C-88E2-B0B25BEAE6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192</TotalTime>
  <Pages>10</Pages>
  <Words>3789</Words>
  <Characters>20841</Characters>
  <Application>Microsoft Office Word</Application>
  <DocSecurity>0</DocSecurity>
  <Lines>336</Lines>
  <Paragraphs>64</Paragraphs>
  <ScaleCrop>false</ScaleCrop>
  <Company/>
  <LinksUpToDate>false</LinksUpToDate>
  <CharactersWithSpaces>24566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Esta Lewis</dc:creator>
  <cp:keywords/>
  <dc:description/>
  <cp:lastModifiedBy>Esta Lewis</cp:lastModifiedBy>
  <cp:revision>134</cp:revision>
  <dcterms:created xsi:type="dcterms:W3CDTF">2026-01-16T09:08:00Z</dcterms:created>
  <dcterms:modified xsi:type="dcterms:W3CDTF">2026-01-17T16:27:00Z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fb4bd85d-d2de-40c2-a2a8-0fa88047617f</vt:lpwstr>
  </property>
</Properties>
</file>