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5F155" w14:textId="252028E4" w:rsidR="00616017" w:rsidRDefault="00616017" w:rsidP="00616017">
      <w:pPr>
        <w:pStyle w:val="TOCHeading"/>
        <w:jc w:val="center"/>
      </w:pPr>
    </w:p>
    <w:p w14:paraId="23380CDE" w14:textId="77777777" w:rsidR="00616017" w:rsidRDefault="00616017" w:rsidP="00616017">
      <w:pPr>
        <w:jc w:val="center"/>
        <w:rPr>
          <w:lang w:val="en-US"/>
        </w:rPr>
      </w:pPr>
    </w:p>
    <w:p w14:paraId="1B6292EB" w14:textId="592B2252" w:rsidR="00616017" w:rsidRDefault="00616017" w:rsidP="00616017">
      <w:pPr>
        <w:jc w:val="center"/>
        <w:rPr>
          <w:lang w:val="en-US"/>
        </w:rPr>
      </w:pPr>
      <w:r>
        <w:rPr>
          <w:noProof/>
        </w:rPr>
        <w:drawing>
          <wp:inline distT="0" distB="0" distL="0" distR="0" wp14:anchorId="66D096BA" wp14:editId="6B334FD5">
            <wp:extent cx="4127500" cy="1281430"/>
            <wp:effectExtent l="0" t="0" r="6350" b="0"/>
            <wp:docPr id="815334391" name="Picture 815334391"/>
            <wp:cNvGraphicFramePr/>
            <a:graphic xmlns:a="http://schemas.openxmlformats.org/drawingml/2006/main">
              <a:graphicData uri="http://schemas.openxmlformats.org/drawingml/2006/picture">
                <pic:pic xmlns:pic="http://schemas.openxmlformats.org/drawingml/2006/picture">
                  <pic:nvPicPr>
                    <pic:cNvPr id="170" name="Picture 170"/>
                    <pic:cNvPicPr/>
                  </pic:nvPicPr>
                  <pic:blipFill>
                    <a:blip r:embed="rId8"/>
                    <a:stretch>
                      <a:fillRect/>
                    </a:stretch>
                  </pic:blipFill>
                  <pic:spPr>
                    <a:xfrm>
                      <a:off x="0" y="0"/>
                      <a:ext cx="4180676" cy="1297939"/>
                    </a:xfrm>
                    <a:prstGeom prst="rect">
                      <a:avLst/>
                    </a:prstGeom>
                  </pic:spPr>
                </pic:pic>
              </a:graphicData>
            </a:graphic>
          </wp:inline>
        </w:drawing>
      </w:r>
    </w:p>
    <w:p w14:paraId="4BBF632B" w14:textId="77777777" w:rsidR="00616017" w:rsidRDefault="00616017" w:rsidP="00616017">
      <w:pPr>
        <w:jc w:val="center"/>
        <w:rPr>
          <w:lang w:val="en-US"/>
        </w:rPr>
      </w:pPr>
    </w:p>
    <w:p w14:paraId="71AF8E40" w14:textId="77777777" w:rsidR="00616017" w:rsidRDefault="00616017" w:rsidP="00616017">
      <w:pPr>
        <w:jc w:val="center"/>
        <w:rPr>
          <w:lang w:val="en-US"/>
        </w:rPr>
      </w:pPr>
    </w:p>
    <w:p w14:paraId="1C2A7B2C" w14:textId="77777777" w:rsidR="00616017" w:rsidRDefault="00616017" w:rsidP="00616017">
      <w:pPr>
        <w:jc w:val="center"/>
        <w:rPr>
          <w:lang w:val="en-US"/>
        </w:rPr>
      </w:pPr>
    </w:p>
    <w:p w14:paraId="0CEDD83C" w14:textId="77777777" w:rsidR="00616017" w:rsidRPr="00081F3D" w:rsidRDefault="00616017" w:rsidP="00616017">
      <w:pPr>
        <w:jc w:val="center"/>
        <w:rPr>
          <w:lang w:val="en-US"/>
        </w:rPr>
      </w:pPr>
    </w:p>
    <w:p w14:paraId="385262F6" w14:textId="336DB613" w:rsidR="00616017" w:rsidRPr="00081F3D" w:rsidRDefault="00616017" w:rsidP="00616017">
      <w:pPr>
        <w:jc w:val="center"/>
        <w:rPr>
          <w:b/>
          <w:bCs/>
          <w:lang w:val="en-US"/>
        </w:rPr>
      </w:pPr>
      <w:r>
        <w:rPr>
          <w:b/>
          <w:bCs/>
          <w:lang w:val="en-US"/>
        </w:rPr>
        <w:t xml:space="preserve">Student Name: </w:t>
      </w:r>
      <w:proofErr w:type="spellStart"/>
      <w:r>
        <w:rPr>
          <w:b/>
          <w:bCs/>
          <w:lang w:val="en-US"/>
        </w:rPr>
        <w:t>Ayushiben</w:t>
      </w:r>
      <w:proofErr w:type="spellEnd"/>
      <w:r>
        <w:rPr>
          <w:b/>
          <w:bCs/>
          <w:lang w:val="en-US"/>
        </w:rPr>
        <w:t xml:space="preserve"> Maheshbhai Patel</w:t>
      </w:r>
    </w:p>
    <w:p w14:paraId="4BAB47B1" w14:textId="77777777" w:rsidR="00616017" w:rsidRDefault="00616017" w:rsidP="00616017">
      <w:pPr>
        <w:jc w:val="center"/>
        <w:rPr>
          <w:b/>
          <w:bCs/>
        </w:rPr>
      </w:pPr>
      <w:r>
        <w:rPr>
          <w:b/>
          <w:bCs/>
        </w:rPr>
        <w:t>Student Id: 2543059</w:t>
      </w:r>
    </w:p>
    <w:p w14:paraId="04EA205B" w14:textId="12EEB35F" w:rsidR="00616017" w:rsidRDefault="00616017" w:rsidP="00616017">
      <w:pPr>
        <w:jc w:val="center"/>
        <w:rPr>
          <w:b/>
          <w:bCs/>
        </w:rPr>
      </w:pPr>
      <w:r>
        <w:rPr>
          <w:b/>
          <w:bCs/>
        </w:rPr>
        <w:t>Program: Master of Business Administration</w:t>
      </w:r>
    </w:p>
    <w:p w14:paraId="7A2EB887" w14:textId="77777777" w:rsidR="00616017" w:rsidRDefault="00616017" w:rsidP="00616017">
      <w:pPr>
        <w:jc w:val="center"/>
        <w:rPr>
          <w:b/>
          <w:bCs/>
        </w:rPr>
      </w:pPr>
      <w:r>
        <w:rPr>
          <w:b/>
          <w:bCs/>
        </w:rPr>
        <w:t>Module Name: Financial Management</w:t>
      </w:r>
    </w:p>
    <w:p w14:paraId="44D8BE40" w14:textId="1831393E" w:rsidR="004834B9" w:rsidRPr="00616017" w:rsidRDefault="00616017" w:rsidP="00616017">
      <w:pPr>
        <w:jc w:val="center"/>
        <w:rPr>
          <w:b/>
          <w:bCs/>
        </w:rPr>
      </w:pPr>
      <w:r>
        <w:rPr>
          <w:b/>
          <w:bCs/>
        </w:rPr>
        <w:t>Module code: LCMB7002</w:t>
      </w:r>
      <w:r w:rsidR="00741AC4" w:rsidRPr="00616017">
        <w:rPr>
          <w:b/>
          <w:bCs/>
          <w:lang w:val="en-US"/>
        </w:rPr>
        <w:br w:type="page"/>
      </w:r>
    </w:p>
    <w:p w14:paraId="41BF9016" w14:textId="77777777" w:rsidR="004834B9" w:rsidRDefault="004834B9" w:rsidP="00D223DE">
      <w:pPr>
        <w:rPr>
          <w:b/>
          <w:bCs/>
        </w:rPr>
      </w:pPr>
    </w:p>
    <w:p w14:paraId="2723CC90" w14:textId="77777777" w:rsidR="004834B9" w:rsidRDefault="004834B9" w:rsidP="00D223DE">
      <w:pPr>
        <w:rPr>
          <w:b/>
          <w:bCs/>
        </w:rPr>
      </w:pPr>
    </w:p>
    <w:sdt>
      <w:sdtPr>
        <w:id w:val="1262112712"/>
        <w:docPartObj>
          <w:docPartGallery w:val="Table of Contents"/>
          <w:docPartUnique/>
        </w:docPartObj>
      </w:sdtPr>
      <w:sdtEndPr>
        <w:rPr>
          <w:b/>
          <w:bCs/>
          <w:noProof/>
        </w:rPr>
      </w:sdtEndPr>
      <w:sdtContent>
        <w:p w14:paraId="19393305" w14:textId="53678FD1" w:rsidR="00741AC4" w:rsidRDefault="00741AC4" w:rsidP="004834B9">
          <w:pPr>
            <w:spacing w:line="259" w:lineRule="auto"/>
            <w:jc w:val="left"/>
          </w:pPr>
          <w:r>
            <w:t>Table of Contents</w:t>
          </w:r>
        </w:p>
        <w:p w14:paraId="53F5196E" w14:textId="4F96A1C0" w:rsidR="00D24FBF" w:rsidRDefault="00741AC4">
          <w:pPr>
            <w:pStyle w:val="TOC1"/>
            <w:tabs>
              <w:tab w:val="right" w:leader="dot" w:pos="9016"/>
            </w:tabs>
            <w:rPr>
              <w:rFonts w:asciiTheme="minorHAnsi" w:eastAsiaTheme="minorEastAsia" w:hAnsiTheme="minorHAnsi"/>
              <w:noProof/>
              <w:szCs w:val="24"/>
              <w:lang w:eastAsia="en-IN"/>
            </w:rPr>
          </w:pPr>
          <w:r>
            <w:fldChar w:fldCharType="begin"/>
          </w:r>
          <w:r>
            <w:instrText xml:space="preserve"> TOC \o "1-3" \h \z \u </w:instrText>
          </w:r>
          <w:r>
            <w:fldChar w:fldCharType="separate"/>
          </w:r>
          <w:hyperlink w:anchor="_Toc236474104" w:history="1">
            <w:r w:rsidR="00D24FBF" w:rsidRPr="0025296E">
              <w:rPr>
                <w:rStyle w:val="Hyperlink"/>
                <w:noProof/>
              </w:rPr>
              <w:t>1. Financial Health Check</w:t>
            </w:r>
            <w:r w:rsidR="00D24FBF">
              <w:rPr>
                <w:noProof/>
                <w:webHidden/>
              </w:rPr>
              <w:tab/>
            </w:r>
            <w:r w:rsidR="00D24FBF">
              <w:rPr>
                <w:noProof/>
                <w:webHidden/>
              </w:rPr>
              <w:fldChar w:fldCharType="begin"/>
            </w:r>
            <w:r w:rsidR="00D24FBF">
              <w:rPr>
                <w:noProof/>
                <w:webHidden/>
              </w:rPr>
              <w:instrText xml:space="preserve"> PAGEREF _Toc236474104 \h </w:instrText>
            </w:r>
            <w:r w:rsidR="00D24FBF">
              <w:rPr>
                <w:noProof/>
                <w:webHidden/>
              </w:rPr>
            </w:r>
            <w:r w:rsidR="00D24FBF">
              <w:rPr>
                <w:noProof/>
                <w:webHidden/>
              </w:rPr>
              <w:fldChar w:fldCharType="separate"/>
            </w:r>
            <w:r w:rsidR="00D24FBF">
              <w:rPr>
                <w:noProof/>
                <w:webHidden/>
              </w:rPr>
              <w:t>4</w:t>
            </w:r>
            <w:r w:rsidR="00D24FBF">
              <w:rPr>
                <w:noProof/>
                <w:webHidden/>
              </w:rPr>
              <w:fldChar w:fldCharType="end"/>
            </w:r>
          </w:hyperlink>
        </w:p>
        <w:p w14:paraId="7CDD6361" w14:textId="789317CD" w:rsidR="00D24FBF" w:rsidRDefault="00D24FBF">
          <w:pPr>
            <w:pStyle w:val="TOC2"/>
            <w:tabs>
              <w:tab w:val="right" w:leader="dot" w:pos="9016"/>
            </w:tabs>
            <w:rPr>
              <w:rFonts w:asciiTheme="minorHAnsi" w:eastAsiaTheme="minorEastAsia" w:hAnsiTheme="minorHAnsi"/>
              <w:noProof/>
              <w:szCs w:val="24"/>
              <w:lang w:eastAsia="en-IN"/>
            </w:rPr>
          </w:pPr>
          <w:hyperlink w:anchor="_Toc236474105" w:history="1">
            <w:r w:rsidRPr="0025296E">
              <w:rPr>
                <w:rStyle w:val="Hyperlink"/>
                <w:noProof/>
              </w:rPr>
              <w:t>Introduction</w:t>
            </w:r>
            <w:r>
              <w:rPr>
                <w:noProof/>
                <w:webHidden/>
              </w:rPr>
              <w:tab/>
            </w:r>
            <w:r>
              <w:rPr>
                <w:noProof/>
                <w:webHidden/>
              </w:rPr>
              <w:fldChar w:fldCharType="begin"/>
            </w:r>
            <w:r>
              <w:rPr>
                <w:noProof/>
                <w:webHidden/>
              </w:rPr>
              <w:instrText xml:space="preserve"> PAGEREF _Toc236474105 \h </w:instrText>
            </w:r>
            <w:r>
              <w:rPr>
                <w:noProof/>
                <w:webHidden/>
              </w:rPr>
            </w:r>
            <w:r>
              <w:rPr>
                <w:noProof/>
                <w:webHidden/>
              </w:rPr>
              <w:fldChar w:fldCharType="separate"/>
            </w:r>
            <w:r>
              <w:rPr>
                <w:noProof/>
                <w:webHidden/>
              </w:rPr>
              <w:t>4</w:t>
            </w:r>
            <w:r>
              <w:rPr>
                <w:noProof/>
                <w:webHidden/>
              </w:rPr>
              <w:fldChar w:fldCharType="end"/>
            </w:r>
          </w:hyperlink>
        </w:p>
        <w:p w14:paraId="543A78F2" w14:textId="60610D2B" w:rsidR="00D24FBF" w:rsidRDefault="00D24FBF">
          <w:pPr>
            <w:pStyle w:val="TOC2"/>
            <w:tabs>
              <w:tab w:val="right" w:leader="dot" w:pos="9016"/>
            </w:tabs>
            <w:rPr>
              <w:rFonts w:asciiTheme="minorHAnsi" w:eastAsiaTheme="minorEastAsia" w:hAnsiTheme="minorHAnsi"/>
              <w:noProof/>
              <w:szCs w:val="24"/>
              <w:lang w:eastAsia="en-IN"/>
            </w:rPr>
          </w:pPr>
          <w:hyperlink w:anchor="_Toc236474106" w:history="1">
            <w:r w:rsidRPr="0025296E">
              <w:rPr>
                <w:rStyle w:val="Hyperlink"/>
                <w:noProof/>
              </w:rPr>
              <w:t>a. Financial Statements Analysis (2020–2024)</w:t>
            </w:r>
            <w:r>
              <w:rPr>
                <w:noProof/>
                <w:webHidden/>
              </w:rPr>
              <w:tab/>
            </w:r>
            <w:r>
              <w:rPr>
                <w:noProof/>
                <w:webHidden/>
              </w:rPr>
              <w:fldChar w:fldCharType="begin"/>
            </w:r>
            <w:r>
              <w:rPr>
                <w:noProof/>
                <w:webHidden/>
              </w:rPr>
              <w:instrText xml:space="preserve"> PAGEREF _Toc236474106 \h </w:instrText>
            </w:r>
            <w:r>
              <w:rPr>
                <w:noProof/>
                <w:webHidden/>
              </w:rPr>
            </w:r>
            <w:r>
              <w:rPr>
                <w:noProof/>
                <w:webHidden/>
              </w:rPr>
              <w:fldChar w:fldCharType="separate"/>
            </w:r>
            <w:r>
              <w:rPr>
                <w:noProof/>
                <w:webHidden/>
              </w:rPr>
              <w:t>4</w:t>
            </w:r>
            <w:r>
              <w:rPr>
                <w:noProof/>
                <w:webHidden/>
              </w:rPr>
              <w:fldChar w:fldCharType="end"/>
            </w:r>
          </w:hyperlink>
        </w:p>
        <w:p w14:paraId="623ECDBA" w14:textId="544B51D3" w:rsidR="00D24FBF" w:rsidRDefault="00D24FBF">
          <w:pPr>
            <w:pStyle w:val="TOC2"/>
            <w:tabs>
              <w:tab w:val="right" w:leader="dot" w:pos="9016"/>
            </w:tabs>
            <w:rPr>
              <w:rFonts w:asciiTheme="minorHAnsi" w:eastAsiaTheme="minorEastAsia" w:hAnsiTheme="minorHAnsi"/>
              <w:noProof/>
              <w:szCs w:val="24"/>
              <w:lang w:eastAsia="en-IN"/>
            </w:rPr>
          </w:pPr>
          <w:hyperlink w:anchor="_Toc236474107" w:history="1">
            <w:r w:rsidRPr="0025296E">
              <w:rPr>
                <w:rStyle w:val="Hyperlink"/>
                <w:noProof/>
              </w:rPr>
              <w:t>b. Comprehensive Ratio Analysis</w:t>
            </w:r>
            <w:r>
              <w:rPr>
                <w:noProof/>
                <w:webHidden/>
              </w:rPr>
              <w:tab/>
            </w:r>
            <w:r>
              <w:rPr>
                <w:noProof/>
                <w:webHidden/>
              </w:rPr>
              <w:fldChar w:fldCharType="begin"/>
            </w:r>
            <w:r>
              <w:rPr>
                <w:noProof/>
                <w:webHidden/>
              </w:rPr>
              <w:instrText xml:space="preserve"> PAGEREF _Toc236474107 \h </w:instrText>
            </w:r>
            <w:r>
              <w:rPr>
                <w:noProof/>
                <w:webHidden/>
              </w:rPr>
            </w:r>
            <w:r>
              <w:rPr>
                <w:noProof/>
                <w:webHidden/>
              </w:rPr>
              <w:fldChar w:fldCharType="separate"/>
            </w:r>
            <w:r>
              <w:rPr>
                <w:noProof/>
                <w:webHidden/>
              </w:rPr>
              <w:t>5</w:t>
            </w:r>
            <w:r>
              <w:rPr>
                <w:noProof/>
                <w:webHidden/>
              </w:rPr>
              <w:fldChar w:fldCharType="end"/>
            </w:r>
          </w:hyperlink>
        </w:p>
        <w:p w14:paraId="1E675567" w14:textId="4B7D162A" w:rsidR="00D24FBF" w:rsidRDefault="00D24FBF">
          <w:pPr>
            <w:pStyle w:val="TOC2"/>
            <w:tabs>
              <w:tab w:val="right" w:leader="dot" w:pos="9016"/>
            </w:tabs>
            <w:rPr>
              <w:rFonts w:asciiTheme="minorHAnsi" w:eastAsiaTheme="minorEastAsia" w:hAnsiTheme="minorHAnsi"/>
              <w:noProof/>
              <w:szCs w:val="24"/>
              <w:lang w:eastAsia="en-IN"/>
            </w:rPr>
          </w:pPr>
          <w:hyperlink w:anchor="_Toc236474108" w:history="1">
            <w:r w:rsidRPr="0025296E">
              <w:rPr>
                <w:rStyle w:val="Hyperlink"/>
                <w:noProof/>
              </w:rPr>
              <w:t>c. Trends, Strengths, and Potential Threats</w:t>
            </w:r>
            <w:r>
              <w:rPr>
                <w:noProof/>
                <w:webHidden/>
              </w:rPr>
              <w:tab/>
            </w:r>
            <w:r>
              <w:rPr>
                <w:noProof/>
                <w:webHidden/>
              </w:rPr>
              <w:fldChar w:fldCharType="begin"/>
            </w:r>
            <w:r>
              <w:rPr>
                <w:noProof/>
                <w:webHidden/>
              </w:rPr>
              <w:instrText xml:space="preserve"> PAGEREF _Toc236474108 \h </w:instrText>
            </w:r>
            <w:r>
              <w:rPr>
                <w:noProof/>
                <w:webHidden/>
              </w:rPr>
            </w:r>
            <w:r>
              <w:rPr>
                <w:noProof/>
                <w:webHidden/>
              </w:rPr>
              <w:fldChar w:fldCharType="separate"/>
            </w:r>
            <w:r>
              <w:rPr>
                <w:noProof/>
                <w:webHidden/>
              </w:rPr>
              <w:t>6</w:t>
            </w:r>
            <w:r>
              <w:rPr>
                <w:noProof/>
                <w:webHidden/>
              </w:rPr>
              <w:fldChar w:fldCharType="end"/>
            </w:r>
          </w:hyperlink>
        </w:p>
        <w:p w14:paraId="7D441B6B" w14:textId="4F453B48" w:rsidR="00D24FBF" w:rsidRDefault="00D24FBF">
          <w:pPr>
            <w:pStyle w:val="TOC2"/>
            <w:tabs>
              <w:tab w:val="right" w:leader="dot" w:pos="9016"/>
            </w:tabs>
            <w:rPr>
              <w:rFonts w:asciiTheme="minorHAnsi" w:eastAsiaTheme="minorEastAsia" w:hAnsiTheme="minorHAnsi"/>
              <w:noProof/>
              <w:szCs w:val="24"/>
              <w:lang w:eastAsia="en-IN"/>
            </w:rPr>
          </w:pPr>
          <w:hyperlink w:anchor="_Toc236474109" w:history="1">
            <w:r w:rsidRPr="0025296E">
              <w:rPr>
                <w:rStyle w:val="Hyperlink"/>
                <w:noProof/>
              </w:rPr>
              <w:t>d. Liquidity Ratio Benchmarking</w:t>
            </w:r>
            <w:r>
              <w:rPr>
                <w:noProof/>
                <w:webHidden/>
              </w:rPr>
              <w:tab/>
            </w:r>
            <w:r>
              <w:rPr>
                <w:noProof/>
                <w:webHidden/>
              </w:rPr>
              <w:fldChar w:fldCharType="begin"/>
            </w:r>
            <w:r>
              <w:rPr>
                <w:noProof/>
                <w:webHidden/>
              </w:rPr>
              <w:instrText xml:space="preserve"> PAGEREF _Toc236474109 \h </w:instrText>
            </w:r>
            <w:r>
              <w:rPr>
                <w:noProof/>
                <w:webHidden/>
              </w:rPr>
            </w:r>
            <w:r>
              <w:rPr>
                <w:noProof/>
                <w:webHidden/>
              </w:rPr>
              <w:fldChar w:fldCharType="separate"/>
            </w:r>
            <w:r>
              <w:rPr>
                <w:noProof/>
                <w:webHidden/>
              </w:rPr>
              <w:t>7</w:t>
            </w:r>
            <w:r>
              <w:rPr>
                <w:noProof/>
                <w:webHidden/>
              </w:rPr>
              <w:fldChar w:fldCharType="end"/>
            </w:r>
          </w:hyperlink>
        </w:p>
        <w:p w14:paraId="38DCD141" w14:textId="55192478" w:rsidR="00D24FBF" w:rsidRDefault="00D24FBF">
          <w:pPr>
            <w:pStyle w:val="TOC1"/>
            <w:tabs>
              <w:tab w:val="right" w:leader="dot" w:pos="9016"/>
            </w:tabs>
            <w:rPr>
              <w:rFonts w:asciiTheme="minorHAnsi" w:eastAsiaTheme="minorEastAsia" w:hAnsiTheme="minorHAnsi"/>
              <w:noProof/>
              <w:szCs w:val="24"/>
              <w:lang w:eastAsia="en-IN"/>
            </w:rPr>
          </w:pPr>
          <w:hyperlink w:anchor="_Toc236474110" w:history="1">
            <w:r w:rsidRPr="0025296E">
              <w:rPr>
                <w:rStyle w:val="Hyperlink"/>
                <w:noProof/>
              </w:rPr>
              <w:t>2. Working Capital Management Analysis</w:t>
            </w:r>
            <w:r>
              <w:rPr>
                <w:noProof/>
                <w:webHidden/>
              </w:rPr>
              <w:tab/>
            </w:r>
            <w:r>
              <w:rPr>
                <w:noProof/>
                <w:webHidden/>
              </w:rPr>
              <w:fldChar w:fldCharType="begin"/>
            </w:r>
            <w:r>
              <w:rPr>
                <w:noProof/>
                <w:webHidden/>
              </w:rPr>
              <w:instrText xml:space="preserve"> PAGEREF _Toc236474110 \h </w:instrText>
            </w:r>
            <w:r>
              <w:rPr>
                <w:noProof/>
                <w:webHidden/>
              </w:rPr>
            </w:r>
            <w:r>
              <w:rPr>
                <w:noProof/>
                <w:webHidden/>
              </w:rPr>
              <w:fldChar w:fldCharType="separate"/>
            </w:r>
            <w:r>
              <w:rPr>
                <w:noProof/>
                <w:webHidden/>
              </w:rPr>
              <w:t>9</w:t>
            </w:r>
            <w:r>
              <w:rPr>
                <w:noProof/>
                <w:webHidden/>
              </w:rPr>
              <w:fldChar w:fldCharType="end"/>
            </w:r>
          </w:hyperlink>
        </w:p>
        <w:p w14:paraId="0A548E59" w14:textId="48175847" w:rsidR="00D24FBF" w:rsidRDefault="00D24FBF">
          <w:pPr>
            <w:pStyle w:val="TOC2"/>
            <w:tabs>
              <w:tab w:val="right" w:leader="dot" w:pos="9016"/>
            </w:tabs>
            <w:rPr>
              <w:rFonts w:asciiTheme="minorHAnsi" w:eastAsiaTheme="minorEastAsia" w:hAnsiTheme="minorHAnsi"/>
              <w:noProof/>
              <w:szCs w:val="24"/>
              <w:lang w:eastAsia="en-IN"/>
            </w:rPr>
          </w:pPr>
          <w:hyperlink w:anchor="_Toc236474111" w:history="1">
            <w:r w:rsidRPr="0025296E">
              <w:rPr>
                <w:rStyle w:val="Hyperlink"/>
                <w:noProof/>
              </w:rPr>
              <w:t>a. Cash Operating Cycle Assessment</w:t>
            </w:r>
            <w:r>
              <w:rPr>
                <w:noProof/>
                <w:webHidden/>
              </w:rPr>
              <w:tab/>
            </w:r>
            <w:r>
              <w:rPr>
                <w:noProof/>
                <w:webHidden/>
              </w:rPr>
              <w:fldChar w:fldCharType="begin"/>
            </w:r>
            <w:r>
              <w:rPr>
                <w:noProof/>
                <w:webHidden/>
              </w:rPr>
              <w:instrText xml:space="preserve"> PAGEREF _Toc236474111 \h </w:instrText>
            </w:r>
            <w:r>
              <w:rPr>
                <w:noProof/>
                <w:webHidden/>
              </w:rPr>
            </w:r>
            <w:r>
              <w:rPr>
                <w:noProof/>
                <w:webHidden/>
              </w:rPr>
              <w:fldChar w:fldCharType="separate"/>
            </w:r>
            <w:r>
              <w:rPr>
                <w:noProof/>
                <w:webHidden/>
              </w:rPr>
              <w:t>9</w:t>
            </w:r>
            <w:r>
              <w:rPr>
                <w:noProof/>
                <w:webHidden/>
              </w:rPr>
              <w:fldChar w:fldCharType="end"/>
            </w:r>
          </w:hyperlink>
        </w:p>
        <w:p w14:paraId="68E596BD" w14:textId="6C70C611" w:rsidR="00D24FBF" w:rsidRDefault="00D24FBF">
          <w:pPr>
            <w:pStyle w:val="TOC2"/>
            <w:tabs>
              <w:tab w:val="right" w:leader="dot" w:pos="9016"/>
            </w:tabs>
            <w:rPr>
              <w:rFonts w:asciiTheme="minorHAnsi" w:eastAsiaTheme="minorEastAsia" w:hAnsiTheme="minorHAnsi"/>
              <w:noProof/>
              <w:szCs w:val="24"/>
              <w:lang w:eastAsia="en-IN"/>
            </w:rPr>
          </w:pPr>
          <w:hyperlink w:anchor="_Toc236474112" w:history="1">
            <w:r w:rsidRPr="0025296E">
              <w:rPr>
                <w:rStyle w:val="Hyperlink"/>
                <w:noProof/>
              </w:rPr>
              <w:t>b. Strategies to Improve Liquidity through Working Capital Reforms</w:t>
            </w:r>
            <w:r>
              <w:rPr>
                <w:noProof/>
                <w:webHidden/>
              </w:rPr>
              <w:tab/>
            </w:r>
            <w:r>
              <w:rPr>
                <w:noProof/>
                <w:webHidden/>
              </w:rPr>
              <w:fldChar w:fldCharType="begin"/>
            </w:r>
            <w:r>
              <w:rPr>
                <w:noProof/>
                <w:webHidden/>
              </w:rPr>
              <w:instrText xml:space="preserve"> PAGEREF _Toc236474112 \h </w:instrText>
            </w:r>
            <w:r>
              <w:rPr>
                <w:noProof/>
                <w:webHidden/>
              </w:rPr>
            </w:r>
            <w:r>
              <w:rPr>
                <w:noProof/>
                <w:webHidden/>
              </w:rPr>
              <w:fldChar w:fldCharType="separate"/>
            </w:r>
            <w:r>
              <w:rPr>
                <w:noProof/>
                <w:webHidden/>
              </w:rPr>
              <w:t>10</w:t>
            </w:r>
            <w:r>
              <w:rPr>
                <w:noProof/>
                <w:webHidden/>
              </w:rPr>
              <w:fldChar w:fldCharType="end"/>
            </w:r>
          </w:hyperlink>
        </w:p>
        <w:p w14:paraId="4AD4C985" w14:textId="5BDBB418" w:rsidR="00D24FBF" w:rsidRDefault="00D24FBF">
          <w:pPr>
            <w:pStyle w:val="TOC2"/>
            <w:tabs>
              <w:tab w:val="right" w:leader="dot" w:pos="9016"/>
            </w:tabs>
            <w:rPr>
              <w:rFonts w:asciiTheme="minorHAnsi" w:eastAsiaTheme="minorEastAsia" w:hAnsiTheme="minorHAnsi"/>
              <w:noProof/>
              <w:szCs w:val="24"/>
              <w:lang w:eastAsia="en-IN"/>
            </w:rPr>
          </w:pPr>
          <w:hyperlink w:anchor="_Toc236474113" w:history="1">
            <w:r w:rsidRPr="0025296E">
              <w:rPr>
                <w:rStyle w:val="Hyperlink"/>
                <w:noProof/>
              </w:rPr>
              <w:t>c. Short-Term vs. Long-Term Financing Options</w:t>
            </w:r>
            <w:r>
              <w:rPr>
                <w:noProof/>
                <w:webHidden/>
              </w:rPr>
              <w:tab/>
            </w:r>
            <w:r>
              <w:rPr>
                <w:noProof/>
                <w:webHidden/>
              </w:rPr>
              <w:fldChar w:fldCharType="begin"/>
            </w:r>
            <w:r>
              <w:rPr>
                <w:noProof/>
                <w:webHidden/>
              </w:rPr>
              <w:instrText xml:space="preserve"> PAGEREF _Toc236474113 \h </w:instrText>
            </w:r>
            <w:r>
              <w:rPr>
                <w:noProof/>
                <w:webHidden/>
              </w:rPr>
            </w:r>
            <w:r>
              <w:rPr>
                <w:noProof/>
                <w:webHidden/>
              </w:rPr>
              <w:fldChar w:fldCharType="separate"/>
            </w:r>
            <w:r>
              <w:rPr>
                <w:noProof/>
                <w:webHidden/>
              </w:rPr>
              <w:t>11</w:t>
            </w:r>
            <w:r>
              <w:rPr>
                <w:noProof/>
                <w:webHidden/>
              </w:rPr>
              <w:fldChar w:fldCharType="end"/>
            </w:r>
          </w:hyperlink>
        </w:p>
        <w:p w14:paraId="6043CCA1" w14:textId="03827A0F" w:rsidR="00D24FBF" w:rsidRDefault="00D24FBF">
          <w:pPr>
            <w:pStyle w:val="TOC1"/>
            <w:tabs>
              <w:tab w:val="right" w:leader="dot" w:pos="9016"/>
            </w:tabs>
            <w:rPr>
              <w:rFonts w:asciiTheme="minorHAnsi" w:eastAsiaTheme="minorEastAsia" w:hAnsiTheme="minorHAnsi"/>
              <w:noProof/>
              <w:szCs w:val="24"/>
              <w:lang w:eastAsia="en-IN"/>
            </w:rPr>
          </w:pPr>
          <w:hyperlink w:anchor="_Toc236474114" w:history="1">
            <w:r w:rsidRPr="0025296E">
              <w:rPr>
                <w:rStyle w:val="Hyperlink"/>
                <w:noProof/>
              </w:rPr>
              <w:t>3. Strategic Financial Restructuring Plan</w:t>
            </w:r>
            <w:r>
              <w:rPr>
                <w:noProof/>
                <w:webHidden/>
              </w:rPr>
              <w:tab/>
            </w:r>
            <w:r>
              <w:rPr>
                <w:noProof/>
                <w:webHidden/>
              </w:rPr>
              <w:fldChar w:fldCharType="begin"/>
            </w:r>
            <w:r>
              <w:rPr>
                <w:noProof/>
                <w:webHidden/>
              </w:rPr>
              <w:instrText xml:space="preserve"> PAGEREF _Toc236474114 \h </w:instrText>
            </w:r>
            <w:r>
              <w:rPr>
                <w:noProof/>
                <w:webHidden/>
              </w:rPr>
            </w:r>
            <w:r>
              <w:rPr>
                <w:noProof/>
                <w:webHidden/>
              </w:rPr>
              <w:fldChar w:fldCharType="separate"/>
            </w:r>
            <w:r>
              <w:rPr>
                <w:noProof/>
                <w:webHidden/>
              </w:rPr>
              <w:t>12</w:t>
            </w:r>
            <w:r>
              <w:rPr>
                <w:noProof/>
                <w:webHidden/>
              </w:rPr>
              <w:fldChar w:fldCharType="end"/>
            </w:r>
          </w:hyperlink>
        </w:p>
        <w:p w14:paraId="240E2A1C" w14:textId="45A04C27" w:rsidR="00D24FBF" w:rsidRDefault="00D24FBF">
          <w:pPr>
            <w:pStyle w:val="TOC2"/>
            <w:tabs>
              <w:tab w:val="right" w:leader="dot" w:pos="9016"/>
            </w:tabs>
            <w:rPr>
              <w:rFonts w:asciiTheme="minorHAnsi" w:eastAsiaTheme="minorEastAsia" w:hAnsiTheme="minorHAnsi"/>
              <w:noProof/>
              <w:szCs w:val="24"/>
              <w:lang w:eastAsia="en-IN"/>
            </w:rPr>
          </w:pPr>
          <w:hyperlink w:anchor="_Toc236474115" w:history="1">
            <w:r w:rsidRPr="0025296E">
              <w:rPr>
                <w:rStyle w:val="Hyperlink"/>
                <w:noProof/>
              </w:rPr>
              <w:t>a. Recommended Financial Restructuring Options</w:t>
            </w:r>
            <w:r>
              <w:rPr>
                <w:noProof/>
                <w:webHidden/>
              </w:rPr>
              <w:tab/>
            </w:r>
            <w:r>
              <w:rPr>
                <w:noProof/>
                <w:webHidden/>
              </w:rPr>
              <w:fldChar w:fldCharType="begin"/>
            </w:r>
            <w:r>
              <w:rPr>
                <w:noProof/>
                <w:webHidden/>
              </w:rPr>
              <w:instrText xml:space="preserve"> PAGEREF _Toc236474115 \h </w:instrText>
            </w:r>
            <w:r>
              <w:rPr>
                <w:noProof/>
                <w:webHidden/>
              </w:rPr>
            </w:r>
            <w:r>
              <w:rPr>
                <w:noProof/>
                <w:webHidden/>
              </w:rPr>
              <w:fldChar w:fldCharType="separate"/>
            </w:r>
            <w:r>
              <w:rPr>
                <w:noProof/>
                <w:webHidden/>
              </w:rPr>
              <w:t>12</w:t>
            </w:r>
            <w:r>
              <w:rPr>
                <w:noProof/>
                <w:webHidden/>
              </w:rPr>
              <w:fldChar w:fldCharType="end"/>
            </w:r>
          </w:hyperlink>
        </w:p>
        <w:p w14:paraId="4E72440B" w14:textId="70777AA9" w:rsidR="00D24FBF" w:rsidRDefault="00D24FBF">
          <w:pPr>
            <w:pStyle w:val="TOC2"/>
            <w:tabs>
              <w:tab w:val="right" w:leader="dot" w:pos="9016"/>
            </w:tabs>
            <w:rPr>
              <w:rFonts w:asciiTheme="minorHAnsi" w:eastAsiaTheme="minorEastAsia" w:hAnsiTheme="minorHAnsi"/>
              <w:noProof/>
              <w:szCs w:val="24"/>
              <w:lang w:eastAsia="en-IN"/>
            </w:rPr>
          </w:pPr>
          <w:hyperlink w:anchor="_Toc236474116" w:history="1">
            <w:r w:rsidRPr="0025296E">
              <w:rPr>
                <w:rStyle w:val="Hyperlink"/>
                <w:noProof/>
              </w:rPr>
              <w:t>b. Impact on Shareholder Value, Debt Structure, and Operational Flexibility</w:t>
            </w:r>
            <w:r>
              <w:rPr>
                <w:noProof/>
                <w:webHidden/>
              </w:rPr>
              <w:tab/>
            </w:r>
            <w:r>
              <w:rPr>
                <w:noProof/>
                <w:webHidden/>
              </w:rPr>
              <w:fldChar w:fldCharType="begin"/>
            </w:r>
            <w:r>
              <w:rPr>
                <w:noProof/>
                <w:webHidden/>
              </w:rPr>
              <w:instrText xml:space="preserve"> PAGEREF _Toc236474116 \h </w:instrText>
            </w:r>
            <w:r>
              <w:rPr>
                <w:noProof/>
                <w:webHidden/>
              </w:rPr>
            </w:r>
            <w:r>
              <w:rPr>
                <w:noProof/>
                <w:webHidden/>
              </w:rPr>
              <w:fldChar w:fldCharType="separate"/>
            </w:r>
            <w:r>
              <w:rPr>
                <w:noProof/>
                <w:webHidden/>
              </w:rPr>
              <w:t>13</w:t>
            </w:r>
            <w:r>
              <w:rPr>
                <w:noProof/>
                <w:webHidden/>
              </w:rPr>
              <w:fldChar w:fldCharType="end"/>
            </w:r>
          </w:hyperlink>
        </w:p>
        <w:p w14:paraId="10A94BF7" w14:textId="2F06A9FE" w:rsidR="00D24FBF" w:rsidRDefault="00D24FBF">
          <w:pPr>
            <w:pStyle w:val="TOC2"/>
            <w:tabs>
              <w:tab w:val="right" w:leader="dot" w:pos="9016"/>
            </w:tabs>
            <w:rPr>
              <w:rFonts w:asciiTheme="minorHAnsi" w:eastAsiaTheme="minorEastAsia" w:hAnsiTheme="minorHAnsi"/>
              <w:noProof/>
              <w:szCs w:val="24"/>
              <w:lang w:eastAsia="en-IN"/>
            </w:rPr>
          </w:pPr>
          <w:hyperlink w:anchor="_Toc236474117" w:history="1">
            <w:r w:rsidRPr="0025296E">
              <w:rPr>
                <w:rStyle w:val="Hyperlink"/>
                <w:noProof/>
              </w:rPr>
              <w:t>c. International and Ethical Considerations</w:t>
            </w:r>
            <w:r>
              <w:rPr>
                <w:noProof/>
                <w:webHidden/>
              </w:rPr>
              <w:tab/>
            </w:r>
            <w:r>
              <w:rPr>
                <w:noProof/>
                <w:webHidden/>
              </w:rPr>
              <w:fldChar w:fldCharType="begin"/>
            </w:r>
            <w:r>
              <w:rPr>
                <w:noProof/>
                <w:webHidden/>
              </w:rPr>
              <w:instrText xml:space="preserve"> PAGEREF _Toc236474117 \h </w:instrText>
            </w:r>
            <w:r>
              <w:rPr>
                <w:noProof/>
                <w:webHidden/>
              </w:rPr>
            </w:r>
            <w:r>
              <w:rPr>
                <w:noProof/>
                <w:webHidden/>
              </w:rPr>
              <w:fldChar w:fldCharType="separate"/>
            </w:r>
            <w:r>
              <w:rPr>
                <w:noProof/>
                <w:webHidden/>
              </w:rPr>
              <w:t>14</w:t>
            </w:r>
            <w:r>
              <w:rPr>
                <w:noProof/>
                <w:webHidden/>
              </w:rPr>
              <w:fldChar w:fldCharType="end"/>
            </w:r>
          </w:hyperlink>
        </w:p>
        <w:p w14:paraId="49D400C5" w14:textId="75A5A73C" w:rsidR="00D24FBF" w:rsidRDefault="00D24FBF">
          <w:pPr>
            <w:pStyle w:val="TOC1"/>
            <w:tabs>
              <w:tab w:val="right" w:leader="dot" w:pos="9016"/>
            </w:tabs>
            <w:rPr>
              <w:rFonts w:asciiTheme="minorHAnsi" w:eastAsiaTheme="minorEastAsia" w:hAnsiTheme="minorHAnsi"/>
              <w:noProof/>
              <w:szCs w:val="24"/>
              <w:lang w:eastAsia="en-IN"/>
            </w:rPr>
          </w:pPr>
          <w:hyperlink w:anchor="_Toc236474118" w:history="1">
            <w:r w:rsidRPr="0025296E">
              <w:rPr>
                <w:rStyle w:val="Hyperlink"/>
                <w:noProof/>
              </w:rPr>
              <w:t>4. Investment Appraisal and Capital Budgeting</w:t>
            </w:r>
            <w:r>
              <w:rPr>
                <w:noProof/>
                <w:webHidden/>
              </w:rPr>
              <w:tab/>
            </w:r>
            <w:r>
              <w:rPr>
                <w:noProof/>
                <w:webHidden/>
              </w:rPr>
              <w:fldChar w:fldCharType="begin"/>
            </w:r>
            <w:r>
              <w:rPr>
                <w:noProof/>
                <w:webHidden/>
              </w:rPr>
              <w:instrText xml:space="preserve"> PAGEREF _Toc236474118 \h </w:instrText>
            </w:r>
            <w:r>
              <w:rPr>
                <w:noProof/>
                <w:webHidden/>
              </w:rPr>
            </w:r>
            <w:r>
              <w:rPr>
                <w:noProof/>
                <w:webHidden/>
              </w:rPr>
              <w:fldChar w:fldCharType="separate"/>
            </w:r>
            <w:r>
              <w:rPr>
                <w:noProof/>
                <w:webHidden/>
              </w:rPr>
              <w:t>15</w:t>
            </w:r>
            <w:r>
              <w:rPr>
                <w:noProof/>
                <w:webHidden/>
              </w:rPr>
              <w:fldChar w:fldCharType="end"/>
            </w:r>
          </w:hyperlink>
        </w:p>
        <w:p w14:paraId="652E6EB0" w14:textId="79869D44" w:rsidR="00D24FBF" w:rsidRDefault="00D24FBF">
          <w:pPr>
            <w:pStyle w:val="TOC2"/>
            <w:tabs>
              <w:tab w:val="right" w:leader="dot" w:pos="9016"/>
            </w:tabs>
            <w:rPr>
              <w:rFonts w:asciiTheme="minorHAnsi" w:eastAsiaTheme="minorEastAsia" w:hAnsiTheme="minorHAnsi"/>
              <w:noProof/>
              <w:szCs w:val="24"/>
              <w:lang w:eastAsia="en-IN"/>
            </w:rPr>
          </w:pPr>
          <w:hyperlink w:anchor="_Toc236474119" w:history="1">
            <w:r w:rsidRPr="0025296E">
              <w:rPr>
                <w:rStyle w:val="Hyperlink"/>
                <w:noProof/>
              </w:rPr>
              <w:t>Introduction</w:t>
            </w:r>
            <w:r>
              <w:rPr>
                <w:noProof/>
                <w:webHidden/>
              </w:rPr>
              <w:tab/>
            </w:r>
            <w:r>
              <w:rPr>
                <w:noProof/>
                <w:webHidden/>
              </w:rPr>
              <w:fldChar w:fldCharType="begin"/>
            </w:r>
            <w:r>
              <w:rPr>
                <w:noProof/>
                <w:webHidden/>
              </w:rPr>
              <w:instrText xml:space="preserve"> PAGEREF _Toc236474119 \h </w:instrText>
            </w:r>
            <w:r>
              <w:rPr>
                <w:noProof/>
                <w:webHidden/>
              </w:rPr>
            </w:r>
            <w:r>
              <w:rPr>
                <w:noProof/>
                <w:webHidden/>
              </w:rPr>
              <w:fldChar w:fldCharType="separate"/>
            </w:r>
            <w:r>
              <w:rPr>
                <w:noProof/>
                <w:webHidden/>
              </w:rPr>
              <w:t>15</w:t>
            </w:r>
            <w:r>
              <w:rPr>
                <w:noProof/>
                <w:webHidden/>
              </w:rPr>
              <w:fldChar w:fldCharType="end"/>
            </w:r>
          </w:hyperlink>
        </w:p>
        <w:p w14:paraId="41595012" w14:textId="50486E34" w:rsidR="00D24FBF" w:rsidRDefault="00D24FBF">
          <w:pPr>
            <w:pStyle w:val="TOC2"/>
            <w:tabs>
              <w:tab w:val="right" w:leader="dot" w:pos="9016"/>
            </w:tabs>
            <w:rPr>
              <w:rFonts w:asciiTheme="minorHAnsi" w:eastAsiaTheme="minorEastAsia" w:hAnsiTheme="minorHAnsi"/>
              <w:noProof/>
              <w:szCs w:val="24"/>
              <w:lang w:eastAsia="en-IN"/>
            </w:rPr>
          </w:pPr>
          <w:hyperlink w:anchor="_Toc236474120" w:history="1">
            <w:r w:rsidRPr="0025296E">
              <w:rPr>
                <w:rStyle w:val="Hyperlink"/>
                <w:noProof/>
              </w:rPr>
              <w:t>a–c. Investment Appraisal Calculations</w:t>
            </w:r>
            <w:r>
              <w:rPr>
                <w:noProof/>
                <w:webHidden/>
              </w:rPr>
              <w:tab/>
            </w:r>
            <w:r>
              <w:rPr>
                <w:noProof/>
                <w:webHidden/>
              </w:rPr>
              <w:fldChar w:fldCharType="begin"/>
            </w:r>
            <w:r>
              <w:rPr>
                <w:noProof/>
                <w:webHidden/>
              </w:rPr>
              <w:instrText xml:space="preserve"> PAGEREF _Toc236474120 \h </w:instrText>
            </w:r>
            <w:r>
              <w:rPr>
                <w:noProof/>
                <w:webHidden/>
              </w:rPr>
            </w:r>
            <w:r>
              <w:rPr>
                <w:noProof/>
                <w:webHidden/>
              </w:rPr>
              <w:fldChar w:fldCharType="separate"/>
            </w:r>
            <w:r>
              <w:rPr>
                <w:noProof/>
                <w:webHidden/>
              </w:rPr>
              <w:t>16</w:t>
            </w:r>
            <w:r>
              <w:rPr>
                <w:noProof/>
                <w:webHidden/>
              </w:rPr>
              <w:fldChar w:fldCharType="end"/>
            </w:r>
          </w:hyperlink>
        </w:p>
        <w:p w14:paraId="1A619F3A" w14:textId="1850CFDF" w:rsidR="00D24FBF" w:rsidRDefault="00D24FBF">
          <w:pPr>
            <w:pStyle w:val="TOC2"/>
            <w:tabs>
              <w:tab w:val="right" w:leader="dot" w:pos="9016"/>
            </w:tabs>
            <w:rPr>
              <w:rFonts w:asciiTheme="minorHAnsi" w:eastAsiaTheme="minorEastAsia" w:hAnsiTheme="minorHAnsi"/>
              <w:noProof/>
              <w:szCs w:val="24"/>
              <w:lang w:eastAsia="en-IN"/>
            </w:rPr>
          </w:pPr>
          <w:hyperlink w:anchor="_Toc236474121" w:history="1">
            <w:r w:rsidRPr="0025296E">
              <w:rPr>
                <w:rStyle w:val="Hyperlink"/>
                <w:noProof/>
              </w:rPr>
              <w:t>d. Project Recommendation and Justification</w:t>
            </w:r>
            <w:r>
              <w:rPr>
                <w:noProof/>
                <w:webHidden/>
              </w:rPr>
              <w:tab/>
            </w:r>
            <w:r>
              <w:rPr>
                <w:noProof/>
                <w:webHidden/>
              </w:rPr>
              <w:fldChar w:fldCharType="begin"/>
            </w:r>
            <w:r>
              <w:rPr>
                <w:noProof/>
                <w:webHidden/>
              </w:rPr>
              <w:instrText xml:space="preserve"> PAGEREF _Toc236474121 \h </w:instrText>
            </w:r>
            <w:r>
              <w:rPr>
                <w:noProof/>
                <w:webHidden/>
              </w:rPr>
            </w:r>
            <w:r>
              <w:rPr>
                <w:noProof/>
                <w:webHidden/>
              </w:rPr>
              <w:fldChar w:fldCharType="separate"/>
            </w:r>
            <w:r>
              <w:rPr>
                <w:noProof/>
                <w:webHidden/>
              </w:rPr>
              <w:t>17</w:t>
            </w:r>
            <w:r>
              <w:rPr>
                <w:noProof/>
                <w:webHidden/>
              </w:rPr>
              <w:fldChar w:fldCharType="end"/>
            </w:r>
          </w:hyperlink>
        </w:p>
        <w:p w14:paraId="2E2641FF" w14:textId="081DB19B" w:rsidR="00D24FBF" w:rsidRDefault="00D24FBF">
          <w:pPr>
            <w:pStyle w:val="TOC2"/>
            <w:tabs>
              <w:tab w:val="right" w:leader="dot" w:pos="9016"/>
            </w:tabs>
            <w:rPr>
              <w:rFonts w:asciiTheme="minorHAnsi" w:eastAsiaTheme="minorEastAsia" w:hAnsiTheme="minorHAnsi"/>
              <w:noProof/>
              <w:szCs w:val="24"/>
              <w:lang w:eastAsia="en-IN"/>
            </w:rPr>
          </w:pPr>
          <w:hyperlink w:anchor="_Toc236474122" w:history="1">
            <w:r w:rsidRPr="0025296E">
              <w:rPr>
                <w:rStyle w:val="Hyperlink"/>
                <w:noProof/>
              </w:rPr>
              <w:t>e. Capital Rationing Analysis (£100 Million Budget)</w:t>
            </w:r>
            <w:r>
              <w:rPr>
                <w:noProof/>
                <w:webHidden/>
              </w:rPr>
              <w:tab/>
            </w:r>
            <w:r>
              <w:rPr>
                <w:noProof/>
                <w:webHidden/>
              </w:rPr>
              <w:fldChar w:fldCharType="begin"/>
            </w:r>
            <w:r>
              <w:rPr>
                <w:noProof/>
                <w:webHidden/>
              </w:rPr>
              <w:instrText xml:space="preserve"> PAGEREF _Toc236474122 \h </w:instrText>
            </w:r>
            <w:r>
              <w:rPr>
                <w:noProof/>
                <w:webHidden/>
              </w:rPr>
            </w:r>
            <w:r>
              <w:rPr>
                <w:noProof/>
                <w:webHidden/>
              </w:rPr>
              <w:fldChar w:fldCharType="separate"/>
            </w:r>
            <w:r>
              <w:rPr>
                <w:noProof/>
                <w:webHidden/>
              </w:rPr>
              <w:t>18</w:t>
            </w:r>
            <w:r>
              <w:rPr>
                <w:noProof/>
                <w:webHidden/>
              </w:rPr>
              <w:fldChar w:fldCharType="end"/>
            </w:r>
          </w:hyperlink>
        </w:p>
        <w:p w14:paraId="0CBEA9E2" w14:textId="287F6A61" w:rsidR="00D24FBF" w:rsidRDefault="00D24FBF">
          <w:pPr>
            <w:pStyle w:val="TOC2"/>
            <w:tabs>
              <w:tab w:val="right" w:leader="dot" w:pos="9016"/>
            </w:tabs>
            <w:rPr>
              <w:rFonts w:asciiTheme="minorHAnsi" w:eastAsiaTheme="minorEastAsia" w:hAnsiTheme="minorHAnsi"/>
              <w:noProof/>
              <w:szCs w:val="24"/>
              <w:lang w:eastAsia="en-IN"/>
            </w:rPr>
          </w:pPr>
          <w:hyperlink w:anchor="_Toc236474123" w:history="1">
            <w:r w:rsidRPr="0025296E">
              <w:rPr>
                <w:rStyle w:val="Hyperlink"/>
                <w:noProof/>
              </w:rPr>
              <w:t>Conclusion</w:t>
            </w:r>
            <w:r>
              <w:rPr>
                <w:noProof/>
                <w:webHidden/>
              </w:rPr>
              <w:tab/>
            </w:r>
            <w:r>
              <w:rPr>
                <w:noProof/>
                <w:webHidden/>
              </w:rPr>
              <w:fldChar w:fldCharType="begin"/>
            </w:r>
            <w:r>
              <w:rPr>
                <w:noProof/>
                <w:webHidden/>
              </w:rPr>
              <w:instrText xml:space="preserve"> PAGEREF _Toc236474123 \h </w:instrText>
            </w:r>
            <w:r>
              <w:rPr>
                <w:noProof/>
                <w:webHidden/>
              </w:rPr>
            </w:r>
            <w:r>
              <w:rPr>
                <w:noProof/>
                <w:webHidden/>
              </w:rPr>
              <w:fldChar w:fldCharType="separate"/>
            </w:r>
            <w:r>
              <w:rPr>
                <w:noProof/>
                <w:webHidden/>
              </w:rPr>
              <w:t>19</w:t>
            </w:r>
            <w:r>
              <w:rPr>
                <w:noProof/>
                <w:webHidden/>
              </w:rPr>
              <w:fldChar w:fldCharType="end"/>
            </w:r>
          </w:hyperlink>
        </w:p>
        <w:p w14:paraId="0987F934" w14:textId="76D60F62" w:rsidR="00D24FBF" w:rsidRDefault="00D24FBF">
          <w:pPr>
            <w:pStyle w:val="TOC1"/>
            <w:tabs>
              <w:tab w:val="right" w:leader="dot" w:pos="9016"/>
            </w:tabs>
            <w:rPr>
              <w:rFonts w:asciiTheme="minorHAnsi" w:eastAsiaTheme="minorEastAsia" w:hAnsiTheme="minorHAnsi"/>
              <w:noProof/>
              <w:szCs w:val="24"/>
              <w:lang w:eastAsia="en-IN"/>
            </w:rPr>
          </w:pPr>
          <w:hyperlink w:anchor="_Toc236474124" w:history="1">
            <w:r w:rsidRPr="0025296E">
              <w:rPr>
                <w:rStyle w:val="Hyperlink"/>
                <w:noProof/>
              </w:rPr>
              <w:t>5. Critical Reflection on AI Usage</w:t>
            </w:r>
            <w:r>
              <w:rPr>
                <w:noProof/>
                <w:webHidden/>
              </w:rPr>
              <w:tab/>
            </w:r>
            <w:r>
              <w:rPr>
                <w:noProof/>
                <w:webHidden/>
              </w:rPr>
              <w:fldChar w:fldCharType="begin"/>
            </w:r>
            <w:r>
              <w:rPr>
                <w:noProof/>
                <w:webHidden/>
              </w:rPr>
              <w:instrText xml:space="preserve"> PAGEREF _Toc236474124 \h </w:instrText>
            </w:r>
            <w:r>
              <w:rPr>
                <w:noProof/>
                <w:webHidden/>
              </w:rPr>
            </w:r>
            <w:r>
              <w:rPr>
                <w:noProof/>
                <w:webHidden/>
              </w:rPr>
              <w:fldChar w:fldCharType="separate"/>
            </w:r>
            <w:r>
              <w:rPr>
                <w:noProof/>
                <w:webHidden/>
              </w:rPr>
              <w:t>20</w:t>
            </w:r>
            <w:r>
              <w:rPr>
                <w:noProof/>
                <w:webHidden/>
              </w:rPr>
              <w:fldChar w:fldCharType="end"/>
            </w:r>
          </w:hyperlink>
        </w:p>
        <w:p w14:paraId="406FF8E9" w14:textId="1944BFFB" w:rsidR="00D24FBF" w:rsidRDefault="00D24FBF">
          <w:pPr>
            <w:pStyle w:val="TOC2"/>
            <w:tabs>
              <w:tab w:val="right" w:leader="dot" w:pos="9016"/>
            </w:tabs>
            <w:rPr>
              <w:rFonts w:asciiTheme="minorHAnsi" w:eastAsiaTheme="minorEastAsia" w:hAnsiTheme="minorHAnsi"/>
              <w:noProof/>
              <w:szCs w:val="24"/>
              <w:lang w:eastAsia="en-IN"/>
            </w:rPr>
          </w:pPr>
          <w:hyperlink w:anchor="_Toc236474125" w:history="1">
            <w:r w:rsidRPr="0025296E">
              <w:rPr>
                <w:rStyle w:val="Hyperlink"/>
                <w:noProof/>
              </w:rPr>
              <w:t>a. Tool Disclosure</w:t>
            </w:r>
            <w:r>
              <w:rPr>
                <w:noProof/>
                <w:webHidden/>
              </w:rPr>
              <w:tab/>
            </w:r>
            <w:r>
              <w:rPr>
                <w:noProof/>
                <w:webHidden/>
              </w:rPr>
              <w:fldChar w:fldCharType="begin"/>
            </w:r>
            <w:r>
              <w:rPr>
                <w:noProof/>
                <w:webHidden/>
              </w:rPr>
              <w:instrText xml:space="preserve"> PAGEREF _Toc236474125 \h </w:instrText>
            </w:r>
            <w:r>
              <w:rPr>
                <w:noProof/>
                <w:webHidden/>
              </w:rPr>
            </w:r>
            <w:r>
              <w:rPr>
                <w:noProof/>
                <w:webHidden/>
              </w:rPr>
              <w:fldChar w:fldCharType="separate"/>
            </w:r>
            <w:r>
              <w:rPr>
                <w:noProof/>
                <w:webHidden/>
              </w:rPr>
              <w:t>20</w:t>
            </w:r>
            <w:r>
              <w:rPr>
                <w:noProof/>
                <w:webHidden/>
              </w:rPr>
              <w:fldChar w:fldCharType="end"/>
            </w:r>
          </w:hyperlink>
        </w:p>
        <w:p w14:paraId="22ACE541" w14:textId="0F5DF425" w:rsidR="00D24FBF" w:rsidRDefault="00D24FBF">
          <w:pPr>
            <w:pStyle w:val="TOC2"/>
            <w:tabs>
              <w:tab w:val="right" w:leader="dot" w:pos="9016"/>
            </w:tabs>
            <w:rPr>
              <w:rFonts w:asciiTheme="minorHAnsi" w:eastAsiaTheme="minorEastAsia" w:hAnsiTheme="minorHAnsi"/>
              <w:noProof/>
              <w:szCs w:val="24"/>
              <w:lang w:eastAsia="en-IN"/>
            </w:rPr>
          </w:pPr>
          <w:hyperlink w:anchor="_Toc236474126" w:history="1">
            <w:r w:rsidRPr="0025296E">
              <w:rPr>
                <w:rStyle w:val="Hyperlink"/>
                <w:noProof/>
              </w:rPr>
              <w:t>b. Critical Evaluation of AI Output</w:t>
            </w:r>
            <w:r>
              <w:rPr>
                <w:noProof/>
                <w:webHidden/>
              </w:rPr>
              <w:tab/>
            </w:r>
            <w:r>
              <w:rPr>
                <w:noProof/>
                <w:webHidden/>
              </w:rPr>
              <w:fldChar w:fldCharType="begin"/>
            </w:r>
            <w:r>
              <w:rPr>
                <w:noProof/>
                <w:webHidden/>
              </w:rPr>
              <w:instrText xml:space="preserve"> PAGEREF _Toc236474126 \h </w:instrText>
            </w:r>
            <w:r>
              <w:rPr>
                <w:noProof/>
                <w:webHidden/>
              </w:rPr>
            </w:r>
            <w:r>
              <w:rPr>
                <w:noProof/>
                <w:webHidden/>
              </w:rPr>
              <w:fldChar w:fldCharType="separate"/>
            </w:r>
            <w:r>
              <w:rPr>
                <w:noProof/>
                <w:webHidden/>
              </w:rPr>
              <w:t>20</w:t>
            </w:r>
            <w:r>
              <w:rPr>
                <w:noProof/>
                <w:webHidden/>
              </w:rPr>
              <w:fldChar w:fldCharType="end"/>
            </w:r>
          </w:hyperlink>
        </w:p>
        <w:p w14:paraId="5DE3A396" w14:textId="20999B49" w:rsidR="00D24FBF" w:rsidRDefault="00D24FBF">
          <w:pPr>
            <w:pStyle w:val="TOC2"/>
            <w:tabs>
              <w:tab w:val="right" w:leader="dot" w:pos="9016"/>
            </w:tabs>
            <w:rPr>
              <w:rFonts w:asciiTheme="minorHAnsi" w:eastAsiaTheme="minorEastAsia" w:hAnsiTheme="minorHAnsi"/>
              <w:noProof/>
              <w:szCs w:val="24"/>
              <w:lang w:eastAsia="en-IN"/>
            </w:rPr>
          </w:pPr>
          <w:hyperlink w:anchor="_Toc236474127" w:history="1">
            <w:r w:rsidRPr="0025296E">
              <w:rPr>
                <w:rStyle w:val="Hyperlink"/>
                <w:noProof/>
              </w:rPr>
              <w:t>c. Contribution Analysis</w:t>
            </w:r>
            <w:r>
              <w:rPr>
                <w:noProof/>
                <w:webHidden/>
              </w:rPr>
              <w:tab/>
            </w:r>
            <w:r>
              <w:rPr>
                <w:noProof/>
                <w:webHidden/>
              </w:rPr>
              <w:fldChar w:fldCharType="begin"/>
            </w:r>
            <w:r>
              <w:rPr>
                <w:noProof/>
                <w:webHidden/>
              </w:rPr>
              <w:instrText xml:space="preserve"> PAGEREF _Toc236474127 \h </w:instrText>
            </w:r>
            <w:r>
              <w:rPr>
                <w:noProof/>
                <w:webHidden/>
              </w:rPr>
            </w:r>
            <w:r>
              <w:rPr>
                <w:noProof/>
                <w:webHidden/>
              </w:rPr>
              <w:fldChar w:fldCharType="separate"/>
            </w:r>
            <w:r>
              <w:rPr>
                <w:noProof/>
                <w:webHidden/>
              </w:rPr>
              <w:t>20</w:t>
            </w:r>
            <w:r>
              <w:rPr>
                <w:noProof/>
                <w:webHidden/>
              </w:rPr>
              <w:fldChar w:fldCharType="end"/>
            </w:r>
          </w:hyperlink>
        </w:p>
        <w:p w14:paraId="01079B72" w14:textId="1D240E5C" w:rsidR="00D24FBF" w:rsidRDefault="00D24FBF">
          <w:pPr>
            <w:pStyle w:val="TOC2"/>
            <w:tabs>
              <w:tab w:val="right" w:leader="dot" w:pos="9016"/>
            </w:tabs>
            <w:rPr>
              <w:rFonts w:asciiTheme="minorHAnsi" w:eastAsiaTheme="minorEastAsia" w:hAnsiTheme="minorHAnsi"/>
              <w:noProof/>
              <w:szCs w:val="24"/>
              <w:lang w:eastAsia="en-IN"/>
            </w:rPr>
          </w:pPr>
          <w:hyperlink w:anchor="_Toc236474128" w:history="1">
            <w:r w:rsidRPr="0025296E">
              <w:rPr>
                <w:rStyle w:val="Hyperlink"/>
                <w:noProof/>
              </w:rPr>
              <w:t>d. Ethical &amp; Professional Reflection</w:t>
            </w:r>
            <w:r>
              <w:rPr>
                <w:noProof/>
                <w:webHidden/>
              </w:rPr>
              <w:tab/>
            </w:r>
            <w:r>
              <w:rPr>
                <w:noProof/>
                <w:webHidden/>
              </w:rPr>
              <w:fldChar w:fldCharType="begin"/>
            </w:r>
            <w:r>
              <w:rPr>
                <w:noProof/>
                <w:webHidden/>
              </w:rPr>
              <w:instrText xml:space="preserve"> PAGEREF _Toc236474128 \h </w:instrText>
            </w:r>
            <w:r>
              <w:rPr>
                <w:noProof/>
                <w:webHidden/>
              </w:rPr>
            </w:r>
            <w:r>
              <w:rPr>
                <w:noProof/>
                <w:webHidden/>
              </w:rPr>
              <w:fldChar w:fldCharType="separate"/>
            </w:r>
            <w:r>
              <w:rPr>
                <w:noProof/>
                <w:webHidden/>
              </w:rPr>
              <w:t>21</w:t>
            </w:r>
            <w:r>
              <w:rPr>
                <w:noProof/>
                <w:webHidden/>
              </w:rPr>
              <w:fldChar w:fldCharType="end"/>
            </w:r>
          </w:hyperlink>
        </w:p>
        <w:p w14:paraId="1BE311C0" w14:textId="54934AF3" w:rsidR="00D24FBF" w:rsidRDefault="00D24FBF">
          <w:pPr>
            <w:pStyle w:val="TOC1"/>
            <w:tabs>
              <w:tab w:val="right" w:leader="dot" w:pos="9016"/>
            </w:tabs>
            <w:rPr>
              <w:rFonts w:asciiTheme="minorHAnsi" w:eastAsiaTheme="minorEastAsia" w:hAnsiTheme="minorHAnsi"/>
              <w:noProof/>
              <w:szCs w:val="24"/>
              <w:lang w:eastAsia="en-IN"/>
            </w:rPr>
          </w:pPr>
          <w:hyperlink w:anchor="_Toc236474129" w:history="1">
            <w:r w:rsidRPr="0025296E">
              <w:rPr>
                <w:rStyle w:val="Hyperlink"/>
                <w:rFonts w:eastAsia="Times New Roman"/>
                <w:noProof/>
                <w:lang w:eastAsia="en-IN"/>
              </w:rPr>
              <w:t>References</w:t>
            </w:r>
            <w:r>
              <w:rPr>
                <w:noProof/>
                <w:webHidden/>
              </w:rPr>
              <w:tab/>
            </w:r>
            <w:r>
              <w:rPr>
                <w:noProof/>
                <w:webHidden/>
              </w:rPr>
              <w:fldChar w:fldCharType="begin"/>
            </w:r>
            <w:r>
              <w:rPr>
                <w:noProof/>
                <w:webHidden/>
              </w:rPr>
              <w:instrText xml:space="preserve"> PAGEREF _Toc236474129 \h </w:instrText>
            </w:r>
            <w:r>
              <w:rPr>
                <w:noProof/>
                <w:webHidden/>
              </w:rPr>
            </w:r>
            <w:r>
              <w:rPr>
                <w:noProof/>
                <w:webHidden/>
              </w:rPr>
              <w:fldChar w:fldCharType="separate"/>
            </w:r>
            <w:r>
              <w:rPr>
                <w:noProof/>
                <w:webHidden/>
              </w:rPr>
              <w:t>22</w:t>
            </w:r>
            <w:r>
              <w:rPr>
                <w:noProof/>
                <w:webHidden/>
              </w:rPr>
              <w:fldChar w:fldCharType="end"/>
            </w:r>
          </w:hyperlink>
        </w:p>
        <w:p w14:paraId="712CA21A" w14:textId="27FCD712" w:rsidR="00D24FBF" w:rsidRDefault="00D24FBF">
          <w:pPr>
            <w:pStyle w:val="TOC1"/>
            <w:tabs>
              <w:tab w:val="right" w:leader="dot" w:pos="9016"/>
            </w:tabs>
            <w:rPr>
              <w:rFonts w:asciiTheme="minorHAnsi" w:eastAsiaTheme="minorEastAsia" w:hAnsiTheme="minorHAnsi"/>
              <w:noProof/>
              <w:szCs w:val="24"/>
              <w:lang w:eastAsia="en-IN"/>
            </w:rPr>
          </w:pPr>
          <w:hyperlink w:anchor="_Toc236474130" w:history="1">
            <w:r w:rsidRPr="0025296E">
              <w:rPr>
                <w:rStyle w:val="Hyperlink"/>
                <w:noProof/>
              </w:rPr>
              <w:t>6. Appendices</w:t>
            </w:r>
            <w:r>
              <w:rPr>
                <w:noProof/>
                <w:webHidden/>
              </w:rPr>
              <w:tab/>
            </w:r>
            <w:r>
              <w:rPr>
                <w:noProof/>
                <w:webHidden/>
              </w:rPr>
              <w:fldChar w:fldCharType="begin"/>
            </w:r>
            <w:r>
              <w:rPr>
                <w:noProof/>
                <w:webHidden/>
              </w:rPr>
              <w:instrText xml:space="preserve"> PAGEREF _Toc236474130 \h </w:instrText>
            </w:r>
            <w:r>
              <w:rPr>
                <w:noProof/>
                <w:webHidden/>
              </w:rPr>
            </w:r>
            <w:r>
              <w:rPr>
                <w:noProof/>
                <w:webHidden/>
              </w:rPr>
              <w:fldChar w:fldCharType="separate"/>
            </w:r>
            <w:r>
              <w:rPr>
                <w:noProof/>
                <w:webHidden/>
              </w:rPr>
              <w:t>28</w:t>
            </w:r>
            <w:r>
              <w:rPr>
                <w:noProof/>
                <w:webHidden/>
              </w:rPr>
              <w:fldChar w:fldCharType="end"/>
            </w:r>
          </w:hyperlink>
        </w:p>
        <w:p w14:paraId="5853C35B" w14:textId="366495F3" w:rsidR="00D24FBF" w:rsidRDefault="00D24FBF">
          <w:pPr>
            <w:pStyle w:val="TOC2"/>
            <w:tabs>
              <w:tab w:val="right" w:leader="dot" w:pos="9016"/>
            </w:tabs>
            <w:rPr>
              <w:rFonts w:asciiTheme="minorHAnsi" w:eastAsiaTheme="minorEastAsia" w:hAnsiTheme="minorHAnsi"/>
              <w:noProof/>
              <w:szCs w:val="24"/>
              <w:lang w:eastAsia="en-IN"/>
            </w:rPr>
          </w:pPr>
          <w:hyperlink w:anchor="_Toc236474131" w:history="1">
            <w:r w:rsidRPr="0025296E">
              <w:rPr>
                <w:rStyle w:val="Hyperlink"/>
                <w:noProof/>
              </w:rPr>
              <w:t>Appendix A: Excel Output Screenshots</w:t>
            </w:r>
            <w:r>
              <w:rPr>
                <w:noProof/>
                <w:webHidden/>
              </w:rPr>
              <w:tab/>
            </w:r>
            <w:r>
              <w:rPr>
                <w:noProof/>
                <w:webHidden/>
              </w:rPr>
              <w:fldChar w:fldCharType="begin"/>
            </w:r>
            <w:r>
              <w:rPr>
                <w:noProof/>
                <w:webHidden/>
              </w:rPr>
              <w:instrText xml:space="preserve"> PAGEREF _Toc236474131 \h </w:instrText>
            </w:r>
            <w:r>
              <w:rPr>
                <w:noProof/>
                <w:webHidden/>
              </w:rPr>
            </w:r>
            <w:r>
              <w:rPr>
                <w:noProof/>
                <w:webHidden/>
              </w:rPr>
              <w:fldChar w:fldCharType="separate"/>
            </w:r>
            <w:r>
              <w:rPr>
                <w:noProof/>
                <w:webHidden/>
              </w:rPr>
              <w:t>28</w:t>
            </w:r>
            <w:r>
              <w:rPr>
                <w:noProof/>
                <w:webHidden/>
              </w:rPr>
              <w:fldChar w:fldCharType="end"/>
            </w:r>
          </w:hyperlink>
        </w:p>
        <w:p w14:paraId="426710C5" w14:textId="207A5EB1" w:rsidR="00741AC4" w:rsidRDefault="00741AC4">
          <w:r>
            <w:rPr>
              <w:b/>
              <w:bCs/>
              <w:noProof/>
            </w:rPr>
            <w:fldChar w:fldCharType="end"/>
          </w:r>
        </w:p>
      </w:sdtContent>
    </w:sdt>
    <w:p w14:paraId="527B6DF2" w14:textId="54EFBB79" w:rsidR="003B1DFF" w:rsidRDefault="00741AC4" w:rsidP="003B1DFF">
      <w:r>
        <w:t>List of tables:</w:t>
      </w:r>
    </w:p>
    <w:p w14:paraId="006C2597" w14:textId="6A28AAA4" w:rsidR="00965FA8" w:rsidRDefault="00741AC4">
      <w:pPr>
        <w:pStyle w:val="TableofFigures"/>
        <w:tabs>
          <w:tab w:val="right" w:leader="dot" w:pos="9016"/>
        </w:tabs>
        <w:rPr>
          <w:rFonts w:asciiTheme="minorHAnsi" w:eastAsiaTheme="minorEastAsia" w:hAnsiTheme="minorHAnsi"/>
          <w:noProof/>
          <w:szCs w:val="24"/>
          <w:lang w:eastAsia="en-IN"/>
        </w:rPr>
      </w:pPr>
      <w:r>
        <w:fldChar w:fldCharType="begin"/>
      </w:r>
      <w:r>
        <w:instrText xml:space="preserve"> TOC \h \z \c "Table" </w:instrText>
      </w:r>
      <w:r>
        <w:fldChar w:fldCharType="separate"/>
      </w:r>
      <w:hyperlink w:anchor="_Toc236395051" w:history="1">
        <w:r w:rsidR="00965FA8" w:rsidRPr="001D44E9">
          <w:rPr>
            <w:rStyle w:val="Hyperlink"/>
            <w:noProof/>
          </w:rPr>
          <w:t>Table 1: Marriott International Key Financial Ratios (2020–2024)</w:t>
        </w:r>
        <w:r w:rsidR="00965FA8">
          <w:rPr>
            <w:noProof/>
            <w:webHidden/>
          </w:rPr>
          <w:tab/>
        </w:r>
        <w:r w:rsidR="00965FA8">
          <w:rPr>
            <w:noProof/>
            <w:webHidden/>
          </w:rPr>
          <w:fldChar w:fldCharType="begin"/>
        </w:r>
        <w:r w:rsidR="00965FA8">
          <w:rPr>
            <w:noProof/>
            <w:webHidden/>
          </w:rPr>
          <w:instrText xml:space="preserve"> PAGEREF _Toc236395051 \h </w:instrText>
        </w:r>
        <w:r w:rsidR="00965FA8">
          <w:rPr>
            <w:noProof/>
            <w:webHidden/>
          </w:rPr>
        </w:r>
        <w:r w:rsidR="00965FA8">
          <w:rPr>
            <w:noProof/>
            <w:webHidden/>
          </w:rPr>
          <w:fldChar w:fldCharType="separate"/>
        </w:r>
        <w:r w:rsidR="00965FA8">
          <w:rPr>
            <w:noProof/>
            <w:webHidden/>
          </w:rPr>
          <w:t>5</w:t>
        </w:r>
        <w:r w:rsidR="00965FA8">
          <w:rPr>
            <w:noProof/>
            <w:webHidden/>
          </w:rPr>
          <w:fldChar w:fldCharType="end"/>
        </w:r>
      </w:hyperlink>
    </w:p>
    <w:p w14:paraId="4FEAB931" w14:textId="3E218D36"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2" w:history="1">
        <w:r w:rsidRPr="001D44E9">
          <w:rPr>
            <w:rStyle w:val="Hyperlink"/>
            <w:noProof/>
          </w:rPr>
          <w:t>Table 2: Liquidity Ratios vs. Industry Benchmarks (2024)</w:t>
        </w:r>
        <w:r>
          <w:rPr>
            <w:noProof/>
            <w:webHidden/>
          </w:rPr>
          <w:tab/>
        </w:r>
        <w:r>
          <w:rPr>
            <w:noProof/>
            <w:webHidden/>
          </w:rPr>
          <w:fldChar w:fldCharType="begin"/>
        </w:r>
        <w:r>
          <w:rPr>
            <w:noProof/>
            <w:webHidden/>
          </w:rPr>
          <w:instrText xml:space="preserve"> PAGEREF _Toc236395052 \h </w:instrText>
        </w:r>
        <w:r>
          <w:rPr>
            <w:noProof/>
            <w:webHidden/>
          </w:rPr>
        </w:r>
        <w:r>
          <w:rPr>
            <w:noProof/>
            <w:webHidden/>
          </w:rPr>
          <w:fldChar w:fldCharType="separate"/>
        </w:r>
        <w:r>
          <w:rPr>
            <w:noProof/>
            <w:webHidden/>
          </w:rPr>
          <w:t>7</w:t>
        </w:r>
        <w:r>
          <w:rPr>
            <w:noProof/>
            <w:webHidden/>
          </w:rPr>
          <w:fldChar w:fldCharType="end"/>
        </w:r>
      </w:hyperlink>
    </w:p>
    <w:p w14:paraId="7ACF7FFF" w14:textId="4EB41362"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3" w:history="1">
        <w:r w:rsidRPr="001D44E9">
          <w:rPr>
            <w:rStyle w:val="Hyperlink"/>
            <w:noProof/>
          </w:rPr>
          <w:t>Table 3: Short-Term vs. Long-Term Financing for Marriott</w:t>
        </w:r>
        <w:r>
          <w:rPr>
            <w:noProof/>
            <w:webHidden/>
          </w:rPr>
          <w:tab/>
        </w:r>
        <w:r>
          <w:rPr>
            <w:noProof/>
            <w:webHidden/>
          </w:rPr>
          <w:fldChar w:fldCharType="begin"/>
        </w:r>
        <w:r>
          <w:rPr>
            <w:noProof/>
            <w:webHidden/>
          </w:rPr>
          <w:instrText xml:space="preserve"> PAGEREF _Toc236395053 \h </w:instrText>
        </w:r>
        <w:r>
          <w:rPr>
            <w:noProof/>
            <w:webHidden/>
          </w:rPr>
        </w:r>
        <w:r>
          <w:rPr>
            <w:noProof/>
            <w:webHidden/>
          </w:rPr>
          <w:fldChar w:fldCharType="separate"/>
        </w:r>
        <w:r>
          <w:rPr>
            <w:noProof/>
            <w:webHidden/>
          </w:rPr>
          <w:t>11</w:t>
        </w:r>
        <w:r>
          <w:rPr>
            <w:noProof/>
            <w:webHidden/>
          </w:rPr>
          <w:fldChar w:fldCharType="end"/>
        </w:r>
      </w:hyperlink>
    </w:p>
    <w:p w14:paraId="056E6083" w14:textId="730CC5AC"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4" w:history="1">
        <w:r w:rsidRPr="001D44E9">
          <w:rPr>
            <w:rStyle w:val="Hyperlink"/>
            <w:noProof/>
          </w:rPr>
          <w:t>Table 4: Investment Appraisal Results</w:t>
        </w:r>
        <w:r>
          <w:rPr>
            <w:noProof/>
            <w:webHidden/>
          </w:rPr>
          <w:tab/>
        </w:r>
        <w:r>
          <w:rPr>
            <w:noProof/>
            <w:webHidden/>
          </w:rPr>
          <w:fldChar w:fldCharType="begin"/>
        </w:r>
        <w:r>
          <w:rPr>
            <w:noProof/>
            <w:webHidden/>
          </w:rPr>
          <w:instrText xml:space="preserve"> PAGEREF _Toc236395054 \h </w:instrText>
        </w:r>
        <w:r>
          <w:rPr>
            <w:noProof/>
            <w:webHidden/>
          </w:rPr>
        </w:r>
        <w:r>
          <w:rPr>
            <w:noProof/>
            <w:webHidden/>
          </w:rPr>
          <w:fldChar w:fldCharType="separate"/>
        </w:r>
        <w:r>
          <w:rPr>
            <w:noProof/>
            <w:webHidden/>
          </w:rPr>
          <w:t>16</w:t>
        </w:r>
        <w:r>
          <w:rPr>
            <w:noProof/>
            <w:webHidden/>
          </w:rPr>
          <w:fldChar w:fldCharType="end"/>
        </w:r>
      </w:hyperlink>
    </w:p>
    <w:p w14:paraId="76793344" w14:textId="7397F508"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5" w:history="1">
        <w:r w:rsidRPr="001D44E9">
          <w:rPr>
            <w:rStyle w:val="Hyperlink"/>
            <w:noProof/>
          </w:rPr>
          <w:t>Table 5: Capital Rationing – Combined NPV Analysis</w:t>
        </w:r>
        <w:r>
          <w:rPr>
            <w:noProof/>
            <w:webHidden/>
          </w:rPr>
          <w:tab/>
        </w:r>
        <w:r>
          <w:rPr>
            <w:noProof/>
            <w:webHidden/>
          </w:rPr>
          <w:fldChar w:fldCharType="begin"/>
        </w:r>
        <w:r>
          <w:rPr>
            <w:noProof/>
            <w:webHidden/>
          </w:rPr>
          <w:instrText xml:space="preserve"> PAGEREF _Toc236395055 \h </w:instrText>
        </w:r>
        <w:r>
          <w:rPr>
            <w:noProof/>
            <w:webHidden/>
          </w:rPr>
        </w:r>
        <w:r>
          <w:rPr>
            <w:noProof/>
            <w:webHidden/>
          </w:rPr>
          <w:fldChar w:fldCharType="separate"/>
        </w:r>
        <w:r>
          <w:rPr>
            <w:noProof/>
            <w:webHidden/>
          </w:rPr>
          <w:t>18</w:t>
        </w:r>
        <w:r>
          <w:rPr>
            <w:noProof/>
            <w:webHidden/>
          </w:rPr>
          <w:fldChar w:fldCharType="end"/>
        </w:r>
      </w:hyperlink>
    </w:p>
    <w:p w14:paraId="3FC9935C" w14:textId="22B0A1F4" w:rsidR="00741AC4" w:rsidRDefault="00741AC4" w:rsidP="003B1DFF">
      <w:r>
        <w:fldChar w:fldCharType="end"/>
      </w:r>
      <w:r>
        <w:t xml:space="preserve"> </w:t>
      </w:r>
    </w:p>
    <w:p w14:paraId="73282B89" w14:textId="05995A49" w:rsidR="00741AC4" w:rsidRDefault="00741AC4" w:rsidP="003B1DFF">
      <w:r>
        <w:t>List of figures:</w:t>
      </w:r>
    </w:p>
    <w:p w14:paraId="71B3357C" w14:textId="3CF8CC64" w:rsidR="00965FA8" w:rsidRDefault="00741AC4">
      <w:pPr>
        <w:pStyle w:val="TableofFigures"/>
        <w:tabs>
          <w:tab w:val="right" w:leader="dot" w:pos="9016"/>
        </w:tabs>
        <w:rPr>
          <w:rFonts w:asciiTheme="minorHAnsi" w:eastAsiaTheme="minorEastAsia" w:hAnsiTheme="minorHAnsi"/>
          <w:noProof/>
          <w:szCs w:val="24"/>
          <w:lang w:eastAsia="en-IN"/>
        </w:rPr>
      </w:pPr>
      <w:r>
        <w:fldChar w:fldCharType="begin"/>
      </w:r>
      <w:r>
        <w:instrText xml:space="preserve"> TOC \h \z \c "Figure" </w:instrText>
      </w:r>
      <w:r>
        <w:fldChar w:fldCharType="separate"/>
      </w:r>
      <w:hyperlink w:anchor="_Toc236395056" w:history="1">
        <w:r w:rsidR="00965FA8" w:rsidRPr="00775B46">
          <w:rPr>
            <w:rStyle w:val="Hyperlink"/>
            <w:noProof/>
          </w:rPr>
          <w:t>Figure 1: Profitability Ratio Trends (2020–2024)</w:t>
        </w:r>
        <w:r w:rsidR="00965FA8">
          <w:rPr>
            <w:noProof/>
            <w:webHidden/>
          </w:rPr>
          <w:tab/>
        </w:r>
        <w:r w:rsidR="00965FA8">
          <w:rPr>
            <w:noProof/>
            <w:webHidden/>
          </w:rPr>
          <w:fldChar w:fldCharType="begin"/>
        </w:r>
        <w:r w:rsidR="00965FA8">
          <w:rPr>
            <w:noProof/>
            <w:webHidden/>
          </w:rPr>
          <w:instrText xml:space="preserve"> PAGEREF _Toc236395056 \h </w:instrText>
        </w:r>
        <w:r w:rsidR="00965FA8">
          <w:rPr>
            <w:noProof/>
            <w:webHidden/>
          </w:rPr>
        </w:r>
        <w:r w:rsidR="00965FA8">
          <w:rPr>
            <w:noProof/>
            <w:webHidden/>
          </w:rPr>
          <w:fldChar w:fldCharType="separate"/>
        </w:r>
        <w:r w:rsidR="00965FA8">
          <w:rPr>
            <w:noProof/>
            <w:webHidden/>
          </w:rPr>
          <w:t>8</w:t>
        </w:r>
        <w:r w:rsidR="00965FA8">
          <w:rPr>
            <w:noProof/>
            <w:webHidden/>
          </w:rPr>
          <w:fldChar w:fldCharType="end"/>
        </w:r>
      </w:hyperlink>
    </w:p>
    <w:p w14:paraId="0317BF7A" w14:textId="59861AAB"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7" w:history="1">
        <w:r w:rsidRPr="00775B46">
          <w:rPr>
            <w:rStyle w:val="Hyperlink"/>
            <w:noProof/>
          </w:rPr>
          <w:t>Figure 2: Liquidity Ratios vs. Industry Benchmark (2024)</w:t>
        </w:r>
        <w:r>
          <w:rPr>
            <w:noProof/>
            <w:webHidden/>
          </w:rPr>
          <w:tab/>
        </w:r>
        <w:r>
          <w:rPr>
            <w:noProof/>
            <w:webHidden/>
          </w:rPr>
          <w:fldChar w:fldCharType="begin"/>
        </w:r>
        <w:r>
          <w:rPr>
            <w:noProof/>
            <w:webHidden/>
          </w:rPr>
          <w:instrText xml:space="preserve"> PAGEREF _Toc236395057 \h </w:instrText>
        </w:r>
        <w:r>
          <w:rPr>
            <w:noProof/>
            <w:webHidden/>
          </w:rPr>
        </w:r>
        <w:r>
          <w:rPr>
            <w:noProof/>
            <w:webHidden/>
          </w:rPr>
          <w:fldChar w:fldCharType="separate"/>
        </w:r>
        <w:r>
          <w:rPr>
            <w:noProof/>
            <w:webHidden/>
          </w:rPr>
          <w:t>9</w:t>
        </w:r>
        <w:r>
          <w:rPr>
            <w:noProof/>
            <w:webHidden/>
          </w:rPr>
          <w:fldChar w:fldCharType="end"/>
        </w:r>
      </w:hyperlink>
    </w:p>
    <w:p w14:paraId="41194E50" w14:textId="629AABA3"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8" w:history="1">
        <w:r w:rsidRPr="00775B46">
          <w:rPr>
            <w:rStyle w:val="Hyperlink"/>
            <w:noProof/>
          </w:rPr>
          <w:t>Figure 3: Excel Worksheet for Figure 1</w:t>
        </w:r>
        <w:r>
          <w:rPr>
            <w:noProof/>
            <w:webHidden/>
          </w:rPr>
          <w:tab/>
        </w:r>
        <w:r>
          <w:rPr>
            <w:noProof/>
            <w:webHidden/>
          </w:rPr>
          <w:fldChar w:fldCharType="begin"/>
        </w:r>
        <w:r>
          <w:rPr>
            <w:noProof/>
            <w:webHidden/>
          </w:rPr>
          <w:instrText xml:space="preserve"> PAGEREF _Toc236395058 \h </w:instrText>
        </w:r>
        <w:r>
          <w:rPr>
            <w:noProof/>
            <w:webHidden/>
          </w:rPr>
        </w:r>
        <w:r>
          <w:rPr>
            <w:noProof/>
            <w:webHidden/>
          </w:rPr>
          <w:fldChar w:fldCharType="separate"/>
        </w:r>
        <w:r>
          <w:rPr>
            <w:noProof/>
            <w:webHidden/>
          </w:rPr>
          <w:t>28</w:t>
        </w:r>
        <w:r>
          <w:rPr>
            <w:noProof/>
            <w:webHidden/>
          </w:rPr>
          <w:fldChar w:fldCharType="end"/>
        </w:r>
      </w:hyperlink>
    </w:p>
    <w:p w14:paraId="02DE263D" w14:textId="33345D58" w:rsidR="00965FA8" w:rsidRDefault="00965FA8">
      <w:pPr>
        <w:pStyle w:val="TableofFigures"/>
        <w:tabs>
          <w:tab w:val="right" w:leader="dot" w:pos="9016"/>
        </w:tabs>
        <w:rPr>
          <w:rFonts w:asciiTheme="minorHAnsi" w:eastAsiaTheme="minorEastAsia" w:hAnsiTheme="minorHAnsi"/>
          <w:noProof/>
          <w:szCs w:val="24"/>
          <w:lang w:eastAsia="en-IN"/>
        </w:rPr>
      </w:pPr>
      <w:hyperlink w:anchor="_Toc236395059" w:history="1">
        <w:r w:rsidRPr="00775B46">
          <w:rPr>
            <w:rStyle w:val="Hyperlink"/>
            <w:noProof/>
          </w:rPr>
          <w:t>Figure 4: Excel Worksheet for Figure 2</w:t>
        </w:r>
        <w:r>
          <w:rPr>
            <w:noProof/>
            <w:webHidden/>
          </w:rPr>
          <w:tab/>
        </w:r>
        <w:r>
          <w:rPr>
            <w:noProof/>
            <w:webHidden/>
          </w:rPr>
          <w:fldChar w:fldCharType="begin"/>
        </w:r>
        <w:r>
          <w:rPr>
            <w:noProof/>
            <w:webHidden/>
          </w:rPr>
          <w:instrText xml:space="preserve"> PAGEREF _Toc236395059 \h </w:instrText>
        </w:r>
        <w:r>
          <w:rPr>
            <w:noProof/>
            <w:webHidden/>
          </w:rPr>
        </w:r>
        <w:r>
          <w:rPr>
            <w:noProof/>
            <w:webHidden/>
          </w:rPr>
          <w:fldChar w:fldCharType="separate"/>
        </w:r>
        <w:r>
          <w:rPr>
            <w:noProof/>
            <w:webHidden/>
          </w:rPr>
          <w:t>28</w:t>
        </w:r>
        <w:r>
          <w:rPr>
            <w:noProof/>
            <w:webHidden/>
          </w:rPr>
          <w:fldChar w:fldCharType="end"/>
        </w:r>
      </w:hyperlink>
    </w:p>
    <w:p w14:paraId="3A250EAB" w14:textId="1F6DAE1B" w:rsidR="00741AC4" w:rsidRDefault="00741AC4" w:rsidP="003B1DFF">
      <w:r>
        <w:fldChar w:fldCharType="end"/>
      </w:r>
    </w:p>
    <w:p w14:paraId="39BC4CB7" w14:textId="77777777" w:rsidR="003B1DFF" w:rsidRDefault="003B1DFF">
      <w:pPr>
        <w:spacing w:line="259" w:lineRule="auto"/>
        <w:jc w:val="left"/>
      </w:pPr>
      <w:r>
        <w:br w:type="page"/>
      </w:r>
    </w:p>
    <w:p w14:paraId="61ABC2BB" w14:textId="36453D64" w:rsidR="00855DF0" w:rsidRPr="00741AC4" w:rsidRDefault="00855DF0" w:rsidP="00741AC4">
      <w:pPr>
        <w:pStyle w:val="Heading1"/>
      </w:pPr>
      <w:bookmarkStart w:id="0" w:name="_Toc236474104"/>
      <w:r w:rsidRPr="00855DF0">
        <w:lastRenderedPageBreak/>
        <w:t>1. Financial Health Check</w:t>
      </w:r>
      <w:bookmarkEnd w:id="0"/>
    </w:p>
    <w:p w14:paraId="155A64A4" w14:textId="77777777" w:rsidR="00855DF0" w:rsidRPr="009E7156" w:rsidRDefault="00855DF0" w:rsidP="00893E59">
      <w:pPr>
        <w:pStyle w:val="Heading2"/>
      </w:pPr>
      <w:bookmarkStart w:id="1" w:name="_Toc236474105"/>
      <w:r w:rsidRPr="009E7156">
        <w:t>Introduction</w:t>
      </w:r>
      <w:bookmarkEnd w:id="1"/>
    </w:p>
    <w:p w14:paraId="1CA8317C" w14:textId="3FBE6D7E" w:rsidR="00855DF0" w:rsidRPr="009E7156" w:rsidRDefault="00A870EE" w:rsidP="00893E59">
      <w:r w:rsidRPr="009E7156">
        <w:t>Marriott International, Inc. (</w:t>
      </w:r>
      <w:r w:rsidR="006044A1" w:rsidRPr="009E7156">
        <w:t>NASDAQ: MAR</w:t>
      </w:r>
      <w:r w:rsidRPr="009E7156">
        <w:t>) is one of the biggest hospitality companies in the world with over 8,800 properties spread across more than 30 brands in more than 130 countries, operated or franchised</w:t>
      </w:r>
      <w:r w:rsidR="00855CDF" w:rsidRPr="009E7156">
        <w:t xml:space="preserve"> (</w:t>
      </w:r>
      <w:proofErr w:type="spellStart"/>
      <w:r w:rsidR="00855CDF" w:rsidRPr="009E7156">
        <w:t>Horozhankina</w:t>
      </w:r>
      <w:proofErr w:type="spellEnd"/>
      <w:r w:rsidR="00855CDF" w:rsidRPr="009E7156">
        <w:t>, Korneyev and Farzullaev, 2024)</w:t>
      </w:r>
      <w:r w:rsidRPr="009E7156">
        <w:t>. Using data from credible financial databases and Marriott's annual reports, the financial performance of the company over the past 5 years (from FY 2020 to FY 2024) is analysed in this section. In this section the financial performance of Marriott over the last 5 years (FY 2020 to FY 2024) is analysed using data from credible financial databases and Marriott's annual reports. Key financial statements examined, detailed ratio analysis of six types of ratios, identification of trends and a comparison of the liquidity ratios of the company with the standards of the industry is carried out</w:t>
      </w:r>
      <w:r w:rsidR="00855DF0" w:rsidRPr="009E7156">
        <w:t>.</w:t>
      </w:r>
    </w:p>
    <w:p w14:paraId="7B7F19DD" w14:textId="77777777" w:rsidR="00855DF0" w:rsidRPr="00855DF0" w:rsidRDefault="00855DF0" w:rsidP="00893E59">
      <w:pPr>
        <w:pStyle w:val="Heading2"/>
      </w:pPr>
      <w:bookmarkStart w:id="2" w:name="_Toc236474106"/>
      <w:r w:rsidRPr="00855DF0">
        <w:t>a. Financial Statements Analysis (2020–2024)</w:t>
      </w:r>
      <w:bookmarkEnd w:id="2"/>
    </w:p>
    <w:p w14:paraId="56103FD9" w14:textId="4D7DD6EB" w:rsidR="00855DF0" w:rsidRPr="009E7156" w:rsidRDefault="00A870EE" w:rsidP="00C06648">
      <w:r w:rsidRPr="009E7156">
        <w:t>Financial results over the past five years demonstrate the devastating impact of the global pandemic and the recovery and speed of that recovery supported by a “asset-light” business model that generates revenue based on fees as opposed to investments</w:t>
      </w:r>
      <w:r w:rsidR="009E7156" w:rsidRPr="009E7156">
        <w:rPr>
          <w:rFonts w:ascii="Times New Roman" w:eastAsia="Times New Roman" w:hAnsi="Times New Roman" w:cs="Times New Roman"/>
          <w:kern w:val="0"/>
          <w:szCs w:val="24"/>
          <w:lang w:eastAsia="en-IN"/>
          <w14:ligatures w14:val="none"/>
        </w:rPr>
        <w:t xml:space="preserve"> </w:t>
      </w:r>
      <w:r w:rsidR="009E7156" w:rsidRPr="009E7156">
        <w:t>(Wesley et al., 2024)</w:t>
      </w:r>
      <w:r w:rsidR="00855DF0" w:rsidRPr="009E7156">
        <w:t>.</w:t>
      </w:r>
    </w:p>
    <w:p w14:paraId="2922F18C" w14:textId="77777777" w:rsidR="00893E59" w:rsidRDefault="00855DF0" w:rsidP="00893E59">
      <w:pPr>
        <w:rPr>
          <w:b/>
          <w:bCs/>
        </w:rPr>
      </w:pPr>
      <w:r w:rsidRPr="00855DF0">
        <w:rPr>
          <w:b/>
          <w:bCs/>
        </w:rPr>
        <w:t>Revenue and Profitability:</w:t>
      </w:r>
    </w:p>
    <w:p w14:paraId="486E5EBE" w14:textId="3B276A4A" w:rsidR="00855DF0" w:rsidRPr="00855DF0" w:rsidRDefault="00A870EE" w:rsidP="00893E59">
      <w:r w:rsidRPr="00A870EE">
        <w:t>The revenue declined steeply in 2020 to about USD 10.57 billion, but had steadily increased thereafter to nearly USD 25.10 billion by 2024, with average annual growth rate (CAGR) of about 19% between 2020 and 2024. Net income also turned around, as during 2020 it took a down turn, but from 2022 until 2024 it jumped back to producing good profits as demand picked up. The company increased gross margin in 2020 to approximately 48% and by 2024 gross margin has risen to 79%, indicative of the company's adjustment to a more high-margin business built on management and franchise fees</w:t>
      </w:r>
      <w:r w:rsidR="00D2058F">
        <w:t xml:space="preserve"> </w:t>
      </w:r>
      <w:r w:rsidR="00D2058F" w:rsidRPr="00D2058F">
        <w:t>(</w:t>
      </w:r>
      <w:proofErr w:type="spellStart"/>
      <w:r w:rsidR="00D2058F" w:rsidRPr="00D2058F">
        <w:t>MarketScreener</w:t>
      </w:r>
      <w:proofErr w:type="spellEnd"/>
      <w:r w:rsidR="00D2058F" w:rsidRPr="00D2058F">
        <w:t>, 2026)</w:t>
      </w:r>
      <w:r w:rsidR="00855DF0" w:rsidRPr="00855DF0">
        <w:t>.</w:t>
      </w:r>
      <w:r w:rsidR="00257C24">
        <w:t xml:space="preserve"> </w:t>
      </w:r>
    </w:p>
    <w:p w14:paraId="2170B083" w14:textId="77777777" w:rsidR="00893E59" w:rsidRDefault="00855DF0" w:rsidP="00893E59">
      <w:pPr>
        <w:rPr>
          <w:b/>
          <w:bCs/>
        </w:rPr>
      </w:pPr>
      <w:r w:rsidRPr="00855DF0">
        <w:rPr>
          <w:b/>
          <w:bCs/>
        </w:rPr>
        <w:t>Balance Sheet Strength:</w:t>
      </w:r>
    </w:p>
    <w:p w14:paraId="4D3582FA" w14:textId="149E9B34" w:rsidR="00855DF0" w:rsidRPr="00855DF0" w:rsidRDefault="00A870EE" w:rsidP="00893E59">
      <w:r w:rsidRPr="00A870EE">
        <w:t xml:space="preserve">Total assets grew modestly from $24.7 billion in 2020 to $26.2 billion in 2024. Total current liabilities did grow, however, from $5.75 billion to $8.65 billion during the same time period, causing the working capital to be negative for the entire period. The debt </w:t>
      </w:r>
      <w:r w:rsidRPr="00A870EE">
        <w:lastRenderedPageBreak/>
        <w:t>to Earnings before Interest, Taxes, Depreciation, and Amortization (EBITDA) ratio will stay between 3.39 - 4.58, showing a better control of leverage transactions, compared to 10.85 in 2020</w:t>
      </w:r>
      <w:r w:rsidR="00B22A66" w:rsidRPr="00B22A66">
        <w:t>(Stock Analysis, 2026)</w:t>
      </w:r>
      <w:r w:rsidR="00855DF0" w:rsidRPr="00855DF0">
        <w:t>.</w:t>
      </w:r>
      <w:r w:rsidR="0026585F">
        <w:t xml:space="preserve"> </w:t>
      </w:r>
    </w:p>
    <w:p w14:paraId="7A6982E0" w14:textId="77777777" w:rsidR="00893E59" w:rsidRDefault="00855DF0" w:rsidP="00893E59">
      <w:pPr>
        <w:rPr>
          <w:b/>
          <w:bCs/>
        </w:rPr>
      </w:pPr>
      <w:r w:rsidRPr="00855DF0">
        <w:rPr>
          <w:b/>
          <w:bCs/>
        </w:rPr>
        <w:t>Cash Flow Performance:</w:t>
      </w:r>
    </w:p>
    <w:p w14:paraId="141072A3" w14:textId="152DF4D6" w:rsidR="00855DF0" w:rsidRPr="00855DF0" w:rsidRDefault="00A870EE" w:rsidP="00893E59">
      <w:r w:rsidRPr="00A870EE">
        <w:t>In terms of operating cash flow, it has been strong and it generates significant free cash flow (FCF): $1.50 billion in 2020, reaching its maximum value in 2023 ($2.72 billion) and stabilising in 2024 ($2.00 billion). The funds generated through this cash flow helped deliver over $4 billion in total shareholder return in 2024 as a result of dividends and share buybacks, all a testament to capital discipline at Marriott</w:t>
      </w:r>
      <w:r w:rsidR="00725D8D">
        <w:t xml:space="preserve"> </w:t>
      </w:r>
      <w:r w:rsidR="00725D8D" w:rsidRPr="00725D8D">
        <w:t>(CAPUANO, 2026)</w:t>
      </w:r>
      <w:r w:rsidR="00855DF0" w:rsidRPr="00855DF0">
        <w:t>.</w:t>
      </w:r>
      <w:r w:rsidR="00257C24">
        <w:t xml:space="preserve"> </w:t>
      </w:r>
    </w:p>
    <w:p w14:paraId="560A8B4A" w14:textId="77777777" w:rsidR="00855DF0" w:rsidRPr="00855DF0" w:rsidRDefault="00855DF0" w:rsidP="00893E59">
      <w:pPr>
        <w:pStyle w:val="Heading2"/>
      </w:pPr>
      <w:bookmarkStart w:id="3" w:name="_Toc236474107"/>
      <w:r w:rsidRPr="00855DF0">
        <w:t>b. Comprehensive Ratio Analysis</w:t>
      </w:r>
      <w:bookmarkEnd w:id="3"/>
    </w:p>
    <w:p w14:paraId="0DC26DFA" w14:textId="3B35ABBA" w:rsidR="00855DF0" w:rsidRPr="00855DF0" w:rsidRDefault="00A870EE" w:rsidP="00C06648">
      <w:r w:rsidRPr="00A870EE">
        <w:t>Below is a summary of Marriott's key financial ratios for the next six years (FY2020 – FY2024)</w:t>
      </w:r>
      <w:r w:rsidR="00AC3DD8" w:rsidRPr="00AC3DD8">
        <w:rPr>
          <w:rFonts w:ascii="Times New Roman" w:eastAsia="Times New Roman" w:hAnsi="Times New Roman" w:cs="Times New Roman"/>
          <w:kern w:val="0"/>
          <w:szCs w:val="24"/>
          <w:lang w:eastAsia="en-IN"/>
          <w14:ligatures w14:val="none"/>
        </w:rPr>
        <w:t xml:space="preserve"> </w:t>
      </w:r>
      <w:r w:rsidR="00AC3DD8" w:rsidRPr="00AC3DD8">
        <w:t>(Jiang, 2023)</w:t>
      </w:r>
      <w:r w:rsidRPr="00A870EE">
        <w:t>. Profitability trends are shown by Figure 1 and a comparison of Marriott's liquidity ratios with industry is provided for by Figure 2. The detailed calculations of the ratios are given in Appendix A</w:t>
      </w:r>
      <w:r w:rsidR="00645296">
        <w:t>.</w:t>
      </w:r>
    </w:p>
    <w:p w14:paraId="20BB26D6" w14:textId="52680455" w:rsidR="00893E59" w:rsidRDefault="00893E59" w:rsidP="00893E59">
      <w:pPr>
        <w:pStyle w:val="Caption"/>
        <w:keepNext/>
      </w:pPr>
      <w:bookmarkStart w:id="4" w:name="_Toc236395051"/>
      <w:r>
        <w:t xml:space="preserve">Table </w:t>
      </w:r>
      <w:fldSimple w:instr=" SEQ Table \* ARABIC ">
        <w:r w:rsidR="008D3140">
          <w:rPr>
            <w:noProof/>
          </w:rPr>
          <w:t>1</w:t>
        </w:r>
      </w:fldSimple>
      <w:r>
        <w:t xml:space="preserve">: </w:t>
      </w:r>
      <w:r w:rsidRPr="009B7315">
        <w:t>Marriott International Key Financial Ratios (2020–2024)</w:t>
      </w:r>
      <w:bookmarkEnd w:id="4"/>
    </w:p>
    <w:tbl>
      <w:tblPr>
        <w:tblStyle w:val="TableGrid"/>
        <w:tblW w:w="0" w:type="auto"/>
        <w:tblLook w:val="04A0" w:firstRow="1" w:lastRow="0" w:firstColumn="1" w:lastColumn="0" w:noHBand="0" w:noVBand="1"/>
      </w:tblPr>
      <w:tblGrid>
        <w:gridCol w:w="1781"/>
        <w:gridCol w:w="3061"/>
        <w:gridCol w:w="817"/>
        <w:gridCol w:w="817"/>
        <w:gridCol w:w="817"/>
        <w:gridCol w:w="856"/>
        <w:gridCol w:w="867"/>
      </w:tblGrid>
      <w:tr w:rsidR="00855DF0" w:rsidRPr="00855DF0" w14:paraId="0D5EA569" w14:textId="77777777" w:rsidTr="00893E59">
        <w:tc>
          <w:tcPr>
            <w:tcW w:w="0" w:type="auto"/>
            <w:hideMark/>
          </w:tcPr>
          <w:p w14:paraId="7701BAC0" w14:textId="77777777" w:rsidR="00855DF0" w:rsidRPr="00C06648" w:rsidRDefault="00855DF0" w:rsidP="00C06648">
            <w:pPr>
              <w:rPr>
                <w:b/>
                <w:bCs/>
              </w:rPr>
            </w:pPr>
            <w:r w:rsidRPr="00C06648">
              <w:rPr>
                <w:b/>
                <w:bCs/>
              </w:rPr>
              <w:t>Ratio Category</w:t>
            </w:r>
          </w:p>
        </w:tc>
        <w:tc>
          <w:tcPr>
            <w:tcW w:w="0" w:type="auto"/>
            <w:hideMark/>
          </w:tcPr>
          <w:p w14:paraId="18665B07" w14:textId="77777777" w:rsidR="00855DF0" w:rsidRPr="00C06648" w:rsidRDefault="00855DF0" w:rsidP="00C06648">
            <w:pPr>
              <w:rPr>
                <w:b/>
                <w:bCs/>
              </w:rPr>
            </w:pPr>
            <w:r w:rsidRPr="00C06648">
              <w:rPr>
                <w:b/>
                <w:bCs/>
              </w:rPr>
              <w:t>Ratio</w:t>
            </w:r>
          </w:p>
        </w:tc>
        <w:tc>
          <w:tcPr>
            <w:tcW w:w="0" w:type="auto"/>
            <w:hideMark/>
          </w:tcPr>
          <w:p w14:paraId="29BED803" w14:textId="77777777" w:rsidR="00855DF0" w:rsidRPr="00C06648" w:rsidRDefault="00855DF0" w:rsidP="00C06648">
            <w:pPr>
              <w:rPr>
                <w:b/>
                <w:bCs/>
              </w:rPr>
            </w:pPr>
            <w:r w:rsidRPr="00C06648">
              <w:rPr>
                <w:b/>
                <w:bCs/>
              </w:rPr>
              <w:t>2020</w:t>
            </w:r>
          </w:p>
        </w:tc>
        <w:tc>
          <w:tcPr>
            <w:tcW w:w="0" w:type="auto"/>
            <w:hideMark/>
          </w:tcPr>
          <w:p w14:paraId="1971B4F9" w14:textId="77777777" w:rsidR="00855DF0" w:rsidRPr="00C06648" w:rsidRDefault="00855DF0" w:rsidP="00C06648">
            <w:pPr>
              <w:rPr>
                <w:b/>
                <w:bCs/>
              </w:rPr>
            </w:pPr>
            <w:r w:rsidRPr="00C06648">
              <w:rPr>
                <w:b/>
                <w:bCs/>
              </w:rPr>
              <w:t>2021</w:t>
            </w:r>
          </w:p>
        </w:tc>
        <w:tc>
          <w:tcPr>
            <w:tcW w:w="0" w:type="auto"/>
            <w:hideMark/>
          </w:tcPr>
          <w:p w14:paraId="3A386BAE" w14:textId="77777777" w:rsidR="00855DF0" w:rsidRPr="00C06648" w:rsidRDefault="00855DF0" w:rsidP="00C06648">
            <w:pPr>
              <w:rPr>
                <w:b/>
                <w:bCs/>
              </w:rPr>
            </w:pPr>
            <w:r w:rsidRPr="00C06648">
              <w:rPr>
                <w:b/>
                <w:bCs/>
              </w:rPr>
              <w:t>2022</w:t>
            </w:r>
          </w:p>
        </w:tc>
        <w:tc>
          <w:tcPr>
            <w:tcW w:w="0" w:type="auto"/>
            <w:hideMark/>
          </w:tcPr>
          <w:p w14:paraId="2187C708" w14:textId="77777777" w:rsidR="00855DF0" w:rsidRPr="00C06648" w:rsidRDefault="00855DF0" w:rsidP="00C06648">
            <w:pPr>
              <w:rPr>
                <w:b/>
                <w:bCs/>
              </w:rPr>
            </w:pPr>
            <w:r w:rsidRPr="00C06648">
              <w:rPr>
                <w:b/>
                <w:bCs/>
              </w:rPr>
              <w:t>2023</w:t>
            </w:r>
          </w:p>
        </w:tc>
        <w:tc>
          <w:tcPr>
            <w:tcW w:w="0" w:type="auto"/>
            <w:hideMark/>
          </w:tcPr>
          <w:p w14:paraId="70EB490F" w14:textId="77777777" w:rsidR="00855DF0" w:rsidRPr="00C06648" w:rsidRDefault="00855DF0" w:rsidP="00C06648">
            <w:pPr>
              <w:rPr>
                <w:b/>
                <w:bCs/>
              </w:rPr>
            </w:pPr>
            <w:r w:rsidRPr="00C06648">
              <w:rPr>
                <w:b/>
                <w:bCs/>
              </w:rPr>
              <w:t>2024</w:t>
            </w:r>
          </w:p>
        </w:tc>
      </w:tr>
      <w:tr w:rsidR="00855DF0" w:rsidRPr="00855DF0" w14:paraId="19DC7BAB" w14:textId="77777777" w:rsidTr="00893E59">
        <w:tc>
          <w:tcPr>
            <w:tcW w:w="0" w:type="auto"/>
            <w:hideMark/>
          </w:tcPr>
          <w:p w14:paraId="02FC626C" w14:textId="77777777" w:rsidR="00855DF0" w:rsidRPr="00C06648" w:rsidRDefault="00855DF0" w:rsidP="00C06648">
            <w:pPr>
              <w:rPr>
                <w:b/>
                <w:bCs/>
              </w:rPr>
            </w:pPr>
            <w:r w:rsidRPr="00C06648">
              <w:rPr>
                <w:b/>
                <w:bCs/>
              </w:rPr>
              <w:t>Profitability</w:t>
            </w:r>
          </w:p>
        </w:tc>
        <w:tc>
          <w:tcPr>
            <w:tcW w:w="0" w:type="auto"/>
            <w:hideMark/>
          </w:tcPr>
          <w:p w14:paraId="27588255" w14:textId="77777777" w:rsidR="00855DF0" w:rsidRPr="00855DF0" w:rsidRDefault="00855DF0" w:rsidP="00C06648">
            <w:r w:rsidRPr="00855DF0">
              <w:t>Gross Margin (%)</w:t>
            </w:r>
          </w:p>
        </w:tc>
        <w:tc>
          <w:tcPr>
            <w:tcW w:w="0" w:type="auto"/>
            <w:hideMark/>
          </w:tcPr>
          <w:p w14:paraId="098CBA18" w14:textId="77777777" w:rsidR="00855DF0" w:rsidRPr="00855DF0" w:rsidRDefault="00855DF0" w:rsidP="00C06648">
            <w:r w:rsidRPr="00855DF0">
              <w:t>48.5</w:t>
            </w:r>
          </w:p>
        </w:tc>
        <w:tc>
          <w:tcPr>
            <w:tcW w:w="0" w:type="auto"/>
            <w:hideMark/>
          </w:tcPr>
          <w:p w14:paraId="76CBF292" w14:textId="77777777" w:rsidR="00855DF0" w:rsidRPr="00855DF0" w:rsidRDefault="00855DF0" w:rsidP="00C06648">
            <w:r w:rsidRPr="00855DF0">
              <w:t>59.3</w:t>
            </w:r>
          </w:p>
        </w:tc>
        <w:tc>
          <w:tcPr>
            <w:tcW w:w="0" w:type="auto"/>
            <w:hideMark/>
          </w:tcPr>
          <w:p w14:paraId="0925D2AA" w14:textId="77777777" w:rsidR="00855DF0" w:rsidRPr="00855DF0" w:rsidRDefault="00855DF0" w:rsidP="00C06648">
            <w:r w:rsidRPr="00855DF0">
              <w:t>77.7</w:t>
            </w:r>
          </w:p>
        </w:tc>
        <w:tc>
          <w:tcPr>
            <w:tcW w:w="0" w:type="auto"/>
            <w:hideMark/>
          </w:tcPr>
          <w:p w14:paraId="0B0F6E8C" w14:textId="77777777" w:rsidR="00855DF0" w:rsidRPr="00855DF0" w:rsidRDefault="00855DF0" w:rsidP="00C06648">
            <w:r w:rsidRPr="00855DF0">
              <w:t>79.9</w:t>
            </w:r>
          </w:p>
        </w:tc>
        <w:tc>
          <w:tcPr>
            <w:tcW w:w="0" w:type="auto"/>
            <w:hideMark/>
          </w:tcPr>
          <w:p w14:paraId="6A109978" w14:textId="77777777" w:rsidR="00855DF0" w:rsidRPr="00855DF0" w:rsidRDefault="00855DF0" w:rsidP="00C06648">
            <w:r w:rsidRPr="00855DF0">
              <w:t>81.5</w:t>
            </w:r>
          </w:p>
        </w:tc>
      </w:tr>
      <w:tr w:rsidR="00855DF0" w:rsidRPr="00855DF0" w14:paraId="03D121F1" w14:textId="77777777" w:rsidTr="00893E59">
        <w:tc>
          <w:tcPr>
            <w:tcW w:w="0" w:type="auto"/>
            <w:hideMark/>
          </w:tcPr>
          <w:p w14:paraId="3A811840" w14:textId="77777777" w:rsidR="00855DF0" w:rsidRPr="00C06648" w:rsidRDefault="00855DF0" w:rsidP="00C06648">
            <w:pPr>
              <w:rPr>
                <w:b/>
                <w:bCs/>
              </w:rPr>
            </w:pPr>
          </w:p>
        </w:tc>
        <w:tc>
          <w:tcPr>
            <w:tcW w:w="0" w:type="auto"/>
            <w:hideMark/>
          </w:tcPr>
          <w:p w14:paraId="058C33E2" w14:textId="77777777" w:rsidR="00855DF0" w:rsidRPr="00855DF0" w:rsidRDefault="00855DF0" w:rsidP="00C06648">
            <w:r w:rsidRPr="00855DF0">
              <w:t>Net Profit Margin (%)</w:t>
            </w:r>
          </w:p>
        </w:tc>
        <w:tc>
          <w:tcPr>
            <w:tcW w:w="0" w:type="auto"/>
            <w:hideMark/>
          </w:tcPr>
          <w:p w14:paraId="6EAF1667" w14:textId="77777777" w:rsidR="00855DF0" w:rsidRPr="00855DF0" w:rsidRDefault="00855DF0" w:rsidP="00C06648">
            <w:r w:rsidRPr="00855DF0">
              <w:t>-15.5</w:t>
            </w:r>
          </w:p>
        </w:tc>
        <w:tc>
          <w:tcPr>
            <w:tcW w:w="0" w:type="auto"/>
            <w:hideMark/>
          </w:tcPr>
          <w:p w14:paraId="4DFB5B30" w14:textId="77777777" w:rsidR="00855DF0" w:rsidRPr="00855DF0" w:rsidRDefault="00855DF0" w:rsidP="00C06648">
            <w:r w:rsidRPr="00855DF0">
              <w:t>6.6</w:t>
            </w:r>
          </w:p>
        </w:tc>
        <w:tc>
          <w:tcPr>
            <w:tcW w:w="0" w:type="auto"/>
            <w:hideMark/>
          </w:tcPr>
          <w:p w14:paraId="3EE61E53" w14:textId="77777777" w:rsidR="00855DF0" w:rsidRPr="00855DF0" w:rsidRDefault="00855DF0" w:rsidP="00C06648">
            <w:r w:rsidRPr="00855DF0">
              <w:t>9.5</w:t>
            </w:r>
          </w:p>
        </w:tc>
        <w:tc>
          <w:tcPr>
            <w:tcW w:w="0" w:type="auto"/>
            <w:hideMark/>
          </w:tcPr>
          <w:p w14:paraId="1D26207C" w14:textId="77777777" w:rsidR="00855DF0" w:rsidRPr="00855DF0" w:rsidRDefault="00855DF0" w:rsidP="00C06648">
            <w:r w:rsidRPr="00855DF0">
              <w:t>10.5</w:t>
            </w:r>
          </w:p>
        </w:tc>
        <w:tc>
          <w:tcPr>
            <w:tcW w:w="0" w:type="auto"/>
            <w:hideMark/>
          </w:tcPr>
          <w:p w14:paraId="5AB8EFB7" w14:textId="77777777" w:rsidR="00855DF0" w:rsidRPr="00855DF0" w:rsidRDefault="00855DF0" w:rsidP="00C06648">
            <w:r w:rsidRPr="00855DF0">
              <w:t>11.2</w:t>
            </w:r>
          </w:p>
        </w:tc>
      </w:tr>
      <w:tr w:rsidR="00855DF0" w:rsidRPr="00855DF0" w14:paraId="75BED327" w14:textId="77777777" w:rsidTr="00893E59">
        <w:tc>
          <w:tcPr>
            <w:tcW w:w="0" w:type="auto"/>
            <w:hideMark/>
          </w:tcPr>
          <w:p w14:paraId="090FC198" w14:textId="77777777" w:rsidR="00855DF0" w:rsidRPr="00C06648" w:rsidRDefault="00855DF0" w:rsidP="00C06648">
            <w:pPr>
              <w:rPr>
                <w:b/>
                <w:bCs/>
              </w:rPr>
            </w:pPr>
          </w:p>
        </w:tc>
        <w:tc>
          <w:tcPr>
            <w:tcW w:w="0" w:type="auto"/>
            <w:hideMark/>
          </w:tcPr>
          <w:p w14:paraId="3C8289AF" w14:textId="77777777" w:rsidR="00855DF0" w:rsidRPr="00855DF0" w:rsidRDefault="00855DF0" w:rsidP="00C06648">
            <w:r w:rsidRPr="00855DF0">
              <w:t>Return on Assets (%)</w:t>
            </w:r>
          </w:p>
        </w:tc>
        <w:tc>
          <w:tcPr>
            <w:tcW w:w="0" w:type="auto"/>
            <w:hideMark/>
          </w:tcPr>
          <w:p w14:paraId="76E8D184" w14:textId="77777777" w:rsidR="00855DF0" w:rsidRPr="00855DF0" w:rsidRDefault="00855DF0" w:rsidP="00C06648">
            <w:r w:rsidRPr="00855DF0">
              <w:t>-2.9</w:t>
            </w:r>
          </w:p>
        </w:tc>
        <w:tc>
          <w:tcPr>
            <w:tcW w:w="0" w:type="auto"/>
            <w:hideMark/>
          </w:tcPr>
          <w:p w14:paraId="5CBAB814" w14:textId="77777777" w:rsidR="00855DF0" w:rsidRPr="00855DF0" w:rsidRDefault="00855DF0" w:rsidP="00C06648">
            <w:r w:rsidRPr="00855DF0">
              <w:t>1.4</w:t>
            </w:r>
          </w:p>
        </w:tc>
        <w:tc>
          <w:tcPr>
            <w:tcW w:w="0" w:type="auto"/>
            <w:hideMark/>
          </w:tcPr>
          <w:p w14:paraId="0234AC50" w14:textId="77777777" w:rsidR="00855DF0" w:rsidRPr="00855DF0" w:rsidRDefault="00855DF0" w:rsidP="00C06648">
            <w:r w:rsidRPr="00855DF0">
              <w:t>3.8</w:t>
            </w:r>
          </w:p>
        </w:tc>
        <w:tc>
          <w:tcPr>
            <w:tcW w:w="0" w:type="auto"/>
            <w:hideMark/>
          </w:tcPr>
          <w:p w14:paraId="39C332C2" w14:textId="77777777" w:rsidR="00855DF0" w:rsidRPr="00855DF0" w:rsidRDefault="00855DF0" w:rsidP="00C06648">
            <w:r w:rsidRPr="00855DF0">
              <w:t>4.2</w:t>
            </w:r>
          </w:p>
        </w:tc>
        <w:tc>
          <w:tcPr>
            <w:tcW w:w="0" w:type="auto"/>
            <w:hideMark/>
          </w:tcPr>
          <w:p w14:paraId="107F1114" w14:textId="77777777" w:rsidR="00855DF0" w:rsidRPr="00855DF0" w:rsidRDefault="00855DF0" w:rsidP="00C06648">
            <w:r w:rsidRPr="00855DF0">
              <w:t>4.5</w:t>
            </w:r>
          </w:p>
        </w:tc>
      </w:tr>
      <w:tr w:rsidR="00855DF0" w:rsidRPr="00855DF0" w14:paraId="59602BED" w14:textId="77777777" w:rsidTr="00893E59">
        <w:tc>
          <w:tcPr>
            <w:tcW w:w="0" w:type="auto"/>
            <w:hideMark/>
          </w:tcPr>
          <w:p w14:paraId="34B7636C" w14:textId="77777777" w:rsidR="00855DF0" w:rsidRPr="00C06648" w:rsidRDefault="00855DF0" w:rsidP="00C06648">
            <w:pPr>
              <w:rPr>
                <w:b/>
                <w:bCs/>
              </w:rPr>
            </w:pPr>
            <w:r w:rsidRPr="00C06648">
              <w:rPr>
                <w:b/>
                <w:bCs/>
              </w:rPr>
              <w:t>Liquidity</w:t>
            </w:r>
          </w:p>
        </w:tc>
        <w:tc>
          <w:tcPr>
            <w:tcW w:w="0" w:type="auto"/>
            <w:hideMark/>
          </w:tcPr>
          <w:p w14:paraId="7A6E0192" w14:textId="77777777" w:rsidR="00855DF0" w:rsidRPr="00855DF0" w:rsidRDefault="00855DF0" w:rsidP="00C06648">
            <w:r w:rsidRPr="00855DF0">
              <w:t>Current Ratio</w:t>
            </w:r>
          </w:p>
        </w:tc>
        <w:tc>
          <w:tcPr>
            <w:tcW w:w="0" w:type="auto"/>
            <w:hideMark/>
          </w:tcPr>
          <w:p w14:paraId="693F27FC" w14:textId="77777777" w:rsidR="00855DF0" w:rsidRPr="00855DF0" w:rsidRDefault="00855DF0" w:rsidP="00C06648">
            <w:r w:rsidRPr="00855DF0">
              <w:t>0.49</w:t>
            </w:r>
          </w:p>
        </w:tc>
        <w:tc>
          <w:tcPr>
            <w:tcW w:w="0" w:type="auto"/>
            <w:hideMark/>
          </w:tcPr>
          <w:p w14:paraId="36EDE8C1" w14:textId="77777777" w:rsidR="00855DF0" w:rsidRPr="00855DF0" w:rsidRDefault="00855DF0" w:rsidP="00C06648">
            <w:r w:rsidRPr="00855DF0">
              <w:t>0.57</w:t>
            </w:r>
          </w:p>
        </w:tc>
        <w:tc>
          <w:tcPr>
            <w:tcW w:w="0" w:type="auto"/>
            <w:hideMark/>
          </w:tcPr>
          <w:p w14:paraId="600717C4" w14:textId="77777777" w:rsidR="00855DF0" w:rsidRPr="00855DF0" w:rsidRDefault="00855DF0" w:rsidP="00C06648">
            <w:r w:rsidRPr="00855DF0">
              <w:t>0.45</w:t>
            </w:r>
          </w:p>
        </w:tc>
        <w:tc>
          <w:tcPr>
            <w:tcW w:w="0" w:type="auto"/>
            <w:hideMark/>
          </w:tcPr>
          <w:p w14:paraId="0B27AA60" w14:textId="77777777" w:rsidR="00855DF0" w:rsidRPr="00855DF0" w:rsidRDefault="00855DF0" w:rsidP="00C06648">
            <w:r w:rsidRPr="00855DF0">
              <w:t>0.43</w:t>
            </w:r>
          </w:p>
        </w:tc>
        <w:tc>
          <w:tcPr>
            <w:tcW w:w="0" w:type="auto"/>
            <w:hideMark/>
          </w:tcPr>
          <w:p w14:paraId="0BBFD522" w14:textId="77777777" w:rsidR="00855DF0" w:rsidRPr="00855DF0" w:rsidRDefault="00855DF0" w:rsidP="00C06648">
            <w:r w:rsidRPr="00855DF0">
              <w:t>0.40</w:t>
            </w:r>
          </w:p>
        </w:tc>
      </w:tr>
      <w:tr w:rsidR="00855DF0" w:rsidRPr="00855DF0" w14:paraId="69FF6074" w14:textId="77777777" w:rsidTr="00893E59">
        <w:tc>
          <w:tcPr>
            <w:tcW w:w="0" w:type="auto"/>
            <w:hideMark/>
          </w:tcPr>
          <w:p w14:paraId="5982143D" w14:textId="77777777" w:rsidR="00855DF0" w:rsidRPr="00C06648" w:rsidRDefault="00855DF0" w:rsidP="00C06648">
            <w:pPr>
              <w:rPr>
                <w:b/>
                <w:bCs/>
              </w:rPr>
            </w:pPr>
          </w:p>
        </w:tc>
        <w:tc>
          <w:tcPr>
            <w:tcW w:w="0" w:type="auto"/>
            <w:hideMark/>
          </w:tcPr>
          <w:p w14:paraId="6E4F4CA3" w14:textId="77777777" w:rsidR="00855DF0" w:rsidRPr="00855DF0" w:rsidRDefault="00855DF0" w:rsidP="00C06648">
            <w:r w:rsidRPr="00855DF0">
              <w:t>Quick Ratio</w:t>
            </w:r>
          </w:p>
        </w:tc>
        <w:tc>
          <w:tcPr>
            <w:tcW w:w="0" w:type="auto"/>
            <w:hideMark/>
          </w:tcPr>
          <w:p w14:paraId="733BF94E" w14:textId="77777777" w:rsidR="00855DF0" w:rsidRPr="00855DF0" w:rsidRDefault="00855DF0" w:rsidP="00C06648">
            <w:r w:rsidRPr="00855DF0">
              <w:t>0.46</w:t>
            </w:r>
          </w:p>
        </w:tc>
        <w:tc>
          <w:tcPr>
            <w:tcW w:w="0" w:type="auto"/>
            <w:hideMark/>
          </w:tcPr>
          <w:p w14:paraId="5ED81B59" w14:textId="77777777" w:rsidR="00855DF0" w:rsidRPr="00855DF0" w:rsidRDefault="00855DF0" w:rsidP="00C06648">
            <w:r w:rsidRPr="00855DF0">
              <w:t>0.53</w:t>
            </w:r>
          </w:p>
        </w:tc>
        <w:tc>
          <w:tcPr>
            <w:tcW w:w="0" w:type="auto"/>
            <w:hideMark/>
          </w:tcPr>
          <w:p w14:paraId="239E0278" w14:textId="77777777" w:rsidR="00855DF0" w:rsidRPr="00855DF0" w:rsidRDefault="00855DF0" w:rsidP="00C06648">
            <w:r w:rsidRPr="00855DF0">
              <w:t>0.42</w:t>
            </w:r>
          </w:p>
        </w:tc>
        <w:tc>
          <w:tcPr>
            <w:tcW w:w="0" w:type="auto"/>
            <w:hideMark/>
          </w:tcPr>
          <w:p w14:paraId="7FD186F6" w14:textId="77777777" w:rsidR="00855DF0" w:rsidRPr="00855DF0" w:rsidRDefault="00855DF0" w:rsidP="00C06648">
            <w:r w:rsidRPr="00855DF0">
              <w:t>0.39</w:t>
            </w:r>
          </w:p>
        </w:tc>
        <w:tc>
          <w:tcPr>
            <w:tcW w:w="0" w:type="auto"/>
            <w:hideMark/>
          </w:tcPr>
          <w:p w14:paraId="2433959D" w14:textId="77777777" w:rsidR="00855DF0" w:rsidRPr="00855DF0" w:rsidRDefault="00855DF0" w:rsidP="00C06648">
            <w:r w:rsidRPr="00855DF0">
              <w:t>0.37</w:t>
            </w:r>
          </w:p>
        </w:tc>
      </w:tr>
      <w:tr w:rsidR="00855DF0" w:rsidRPr="00855DF0" w14:paraId="02581879" w14:textId="77777777" w:rsidTr="00893E59">
        <w:tc>
          <w:tcPr>
            <w:tcW w:w="0" w:type="auto"/>
            <w:hideMark/>
          </w:tcPr>
          <w:p w14:paraId="052439BB" w14:textId="77777777" w:rsidR="00855DF0" w:rsidRPr="00C06648" w:rsidRDefault="00855DF0" w:rsidP="00C06648">
            <w:pPr>
              <w:rPr>
                <w:b/>
                <w:bCs/>
              </w:rPr>
            </w:pPr>
            <w:r w:rsidRPr="00C06648">
              <w:rPr>
                <w:b/>
                <w:bCs/>
              </w:rPr>
              <w:t>Efficiency</w:t>
            </w:r>
          </w:p>
        </w:tc>
        <w:tc>
          <w:tcPr>
            <w:tcW w:w="0" w:type="auto"/>
            <w:hideMark/>
          </w:tcPr>
          <w:p w14:paraId="59C76A83" w14:textId="77777777" w:rsidR="00855DF0" w:rsidRPr="00855DF0" w:rsidRDefault="00855DF0" w:rsidP="00C06648">
            <w:r w:rsidRPr="00855DF0">
              <w:t>Asset Turnover</w:t>
            </w:r>
          </w:p>
        </w:tc>
        <w:tc>
          <w:tcPr>
            <w:tcW w:w="0" w:type="auto"/>
            <w:hideMark/>
          </w:tcPr>
          <w:p w14:paraId="524E0A8A" w14:textId="77777777" w:rsidR="00855DF0" w:rsidRPr="00855DF0" w:rsidRDefault="00855DF0" w:rsidP="00C06648">
            <w:r w:rsidRPr="00855DF0">
              <w:t>0.09</w:t>
            </w:r>
          </w:p>
        </w:tc>
        <w:tc>
          <w:tcPr>
            <w:tcW w:w="0" w:type="auto"/>
            <w:hideMark/>
          </w:tcPr>
          <w:p w14:paraId="16F74001" w14:textId="77777777" w:rsidR="00855DF0" w:rsidRPr="00855DF0" w:rsidRDefault="00855DF0" w:rsidP="00C06648">
            <w:r w:rsidRPr="00855DF0">
              <w:t>0.14</w:t>
            </w:r>
          </w:p>
        </w:tc>
        <w:tc>
          <w:tcPr>
            <w:tcW w:w="0" w:type="auto"/>
            <w:hideMark/>
          </w:tcPr>
          <w:p w14:paraId="265F211C" w14:textId="77777777" w:rsidR="00855DF0" w:rsidRPr="00855DF0" w:rsidRDefault="00855DF0" w:rsidP="00C06648">
            <w:r w:rsidRPr="00855DF0">
              <w:t>0.21</w:t>
            </w:r>
          </w:p>
        </w:tc>
        <w:tc>
          <w:tcPr>
            <w:tcW w:w="0" w:type="auto"/>
            <w:hideMark/>
          </w:tcPr>
          <w:p w14:paraId="2A85F23C" w14:textId="77777777" w:rsidR="00855DF0" w:rsidRPr="00855DF0" w:rsidRDefault="00855DF0" w:rsidP="00C06648">
            <w:r w:rsidRPr="00855DF0">
              <w:t>0.25</w:t>
            </w:r>
          </w:p>
        </w:tc>
        <w:tc>
          <w:tcPr>
            <w:tcW w:w="0" w:type="auto"/>
            <w:hideMark/>
          </w:tcPr>
          <w:p w14:paraId="6FAAB113" w14:textId="77777777" w:rsidR="00855DF0" w:rsidRPr="00855DF0" w:rsidRDefault="00855DF0" w:rsidP="00C06648">
            <w:r w:rsidRPr="00855DF0">
              <w:t>0.26</w:t>
            </w:r>
          </w:p>
        </w:tc>
      </w:tr>
      <w:tr w:rsidR="00855DF0" w:rsidRPr="00855DF0" w14:paraId="0A92F0B6" w14:textId="77777777" w:rsidTr="00893E59">
        <w:tc>
          <w:tcPr>
            <w:tcW w:w="0" w:type="auto"/>
            <w:hideMark/>
          </w:tcPr>
          <w:p w14:paraId="08AF8319" w14:textId="77777777" w:rsidR="00855DF0" w:rsidRPr="00C06648" w:rsidRDefault="00855DF0" w:rsidP="00C06648">
            <w:pPr>
              <w:rPr>
                <w:b/>
                <w:bCs/>
              </w:rPr>
            </w:pPr>
          </w:p>
        </w:tc>
        <w:tc>
          <w:tcPr>
            <w:tcW w:w="0" w:type="auto"/>
            <w:hideMark/>
          </w:tcPr>
          <w:p w14:paraId="5044FED8" w14:textId="77777777" w:rsidR="00855DF0" w:rsidRPr="00855DF0" w:rsidRDefault="00855DF0" w:rsidP="00C06648">
            <w:r w:rsidRPr="00855DF0">
              <w:t>Receivables Turnover</w:t>
            </w:r>
          </w:p>
        </w:tc>
        <w:tc>
          <w:tcPr>
            <w:tcW w:w="0" w:type="auto"/>
            <w:hideMark/>
          </w:tcPr>
          <w:p w14:paraId="01F18E1D" w14:textId="77777777" w:rsidR="00855DF0" w:rsidRPr="00855DF0" w:rsidRDefault="00855DF0" w:rsidP="00C06648">
            <w:r w:rsidRPr="00855DF0">
              <w:t>1.86</w:t>
            </w:r>
          </w:p>
        </w:tc>
        <w:tc>
          <w:tcPr>
            <w:tcW w:w="0" w:type="auto"/>
            <w:hideMark/>
          </w:tcPr>
          <w:p w14:paraId="2AE59713" w14:textId="77777777" w:rsidR="00855DF0" w:rsidRPr="00855DF0" w:rsidRDefault="00855DF0" w:rsidP="00C06648">
            <w:r w:rsidRPr="00855DF0">
              <w:t>2.39</w:t>
            </w:r>
          </w:p>
        </w:tc>
        <w:tc>
          <w:tcPr>
            <w:tcW w:w="0" w:type="auto"/>
            <w:hideMark/>
          </w:tcPr>
          <w:p w14:paraId="44E171A5" w14:textId="77777777" w:rsidR="00855DF0" w:rsidRPr="00855DF0" w:rsidRDefault="00855DF0" w:rsidP="00C06648">
            <w:r w:rsidRPr="00855DF0">
              <w:t>2.42</w:t>
            </w:r>
          </w:p>
        </w:tc>
        <w:tc>
          <w:tcPr>
            <w:tcW w:w="0" w:type="auto"/>
            <w:hideMark/>
          </w:tcPr>
          <w:p w14:paraId="17D1AB33" w14:textId="77777777" w:rsidR="00855DF0" w:rsidRPr="00855DF0" w:rsidRDefault="00855DF0" w:rsidP="00C06648">
            <w:r w:rsidRPr="00855DF0">
              <w:t>2.44</w:t>
            </w:r>
          </w:p>
        </w:tc>
        <w:tc>
          <w:tcPr>
            <w:tcW w:w="0" w:type="auto"/>
            <w:hideMark/>
          </w:tcPr>
          <w:p w14:paraId="61A1785A" w14:textId="77777777" w:rsidR="00855DF0" w:rsidRPr="00855DF0" w:rsidRDefault="00855DF0" w:rsidP="00C06648">
            <w:r w:rsidRPr="00855DF0">
              <w:t>2.55</w:t>
            </w:r>
          </w:p>
        </w:tc>
      </w:tr>
      <w:tr w:rsidR="00855DF0" w:rsidRPr="00855DF0" w14:paraId="54DD68B8" w14:textId="77777777" w:rsidTr="00893E59">
        <w:tc>
          <w:tcPr>
            <w:tcW w:w="0" w:type="auto"/>
            <w:hideMark/>
          </w:tcPr>
          <w:p w14:paraId="42292BB1" w14:textId="77777777" w:rsidR="00855DF0" w:rsidRPr="00C06648" w:rsidRDefault="00855DF0" w:rsidP="00C06648">
            <w:pPr>
              <w:rPr>
                <w:b/>
                <w:bCs/>
              </w:rPr>
            </w:pPr>
            <w:r w:rsidRPr="00C06648">
              <w:rPr>
                <w:b/>
                <w:bCs/>
              </w:rPr>
              <w:t>Gearing</w:t>
            </w:r>
          </w:p>
        </w:tc>
        <w:tc>
          <w:tcPr>
            <w:tcW w:w="0" w:type="auto"/>
            <w:hideMark/>
          </w:tcPr>
          <w:p w14:paraId="407DFA45" w14:textId="77777777" w:rsidR="00855DF0" w:rsidRPr="00855DF0" w:rsidRDefault="00855DF0" w:rsidP="00C06648">
            <w:r w:rsidRPr="00855DF0">
              <w:t>Debt-to-Equity</w:t>
            </w:r>
          </w:p>
        </w:tc>
        <w:tc>
          <w:tcPr>
            <w:tcW w:w="0" w:type="auto"/>
            <w:hideMark/>
          </w:tcPr>
          <w:p w14:paraId="3BF70228" w14:textId="77777777" w:rsidR="00855DF0" w:rsidRPr="00855DF0" w:rsidRDefault="00855DF0" w:rsidP="00C06648">
            <w:r w:rsidRPr="00855DF0">
              <w:t>26.39</w:t>
            </w:r>
          </w:p>
        </w:tc>
        <w:tc>
          <w:tcPr>
            <w:tcW w:w="0" w:type="auto"/>
            <w:hideMark/>
          </w:tcPr>
          <w:p w14:paraId="0E1A9140" w14:textId="77777777" w:rsidR="00855DF0" w:rsidRPr="00855DF0" w:rsidRDefault="00855DF0" w:rsidP="00C06648">
            <w:r w:rsidRPr="00855DF0">
              <w:t>8.05</w:t>
            </w:r>
          </w:p>
        </w:tc>
        <w:tc>
          <w:tcPr>
            <w:tcW w:w="0" w:type="auto"/>
            <w:hideMark/>
          </w:tcPr>
          <w:p w14:paraId="2C42FA20" w14:textId="77777777" w:rsidR="00855DF0" w:rsidRPr="00855DF0" w:rsidRDefault="00855DF0" w:rsidP="00C06648">
            <w:r w:rsidRPr="00855DF0">
              <w:t>19.73</w:t>
            </w:r>
          </w:p>
        </w:tc>
        <w:tc>
          <w:tcPr>
            <w:tcW w:w="0" w:type="auto"/>
            <w:hideMark/>
          </w:tcPr>
          <w:p w14:paraId="2082681B" w14:textId="77777777" w:rsidR="00855DF0" w:rsidRPr="00855DF0" w:rsidRDefault="00855DF0" w:rsidP="00C06648">
            <w:r w:rsidRPr="00855DF0">
              <w:t>-97.11</w:t>
            </w:r>
          </w:p>
        </w:tc>
        <w:tc>
          <w:tcPr>
            <w:tcW w:w="0" w:type="auto"/>
            <w:hideMark/>
          </w:tcPr>
          <w:p w14:paraId="45E09C6A" w14:textId="77777777" w:rsidR="00855DF0" w:rsidRPr="00855DF0" w:rsidRDefault="00855DF0" w:rsidP="00C06648">
            <w:r w:rsidRPr="00855DF0">
              <w:t>-25.91</w:t>
            </w:r>
          </w:p>
        </w:tc>
      </w:tr>
      <w:tr w:rsidR="00855DF0" w:rsidRPr="00855DF0" w14:paraId="251BB921" w14:textId="77777777" w:rsidTr="00893E59">
        <w:tc>
          <w:tcPr>
            <w:tcW w:w="0" w:type="auto"/>
            <w:hideMark/>
          </w:tcPr>
          <w:p w14:paraId="4D074F5B" w14:textId="77777777" w:rsidR="00855DF0" w:rsidRPr="00C06648" w:rsidRDefault="00855DF0" w:rsidP="00C06648">
            <w:pPr>
              <w:rPr>
                <w:b/>
                <w:bCs/>
              </w:rPr>
            </w:pPr>
          </w:p>
        </w:tc>
        <w:tc>
          <w:tcPr>
            <w:tcW w:w="0" w:type="auto"/>
            <w:hideMark/>
          </w:tcPr>
          <w:p w14:paraId="2C7C4135" w14:textId="77777777" w:rsidR="00855DF0" w:rsidRPr="00855DF0" w:rsidRDefault="00855DF0" w:rsidP="00C06648">
            <w:r w:rsidRPr="00855DF0">
              <w:t>Debt-to-EBITDA</w:t>
            </w:r>
          </w:p>
        </w:tc>
        <w:tc>
          <w:tcPr>
            <w:tcW w:w="0" w:type="auto"/>
            <w:hideMark/>
          </w:tcPr>
          <w:p w14:paraId="35DE5E5A" w14:textId="77777777" w:rsidR="00855DF0" w:rsidRPr="00855DF0" w:rsidRDefault="00855DF0" w:rsidP="00C06648">
            <w:r w:rsidRPr="00855DF0">
              <w:t>10.85</w:t>
            </w:r>
          </w:p>
        </w:tc>
        <w:tc>
          <w:tcPr>
            <w:tcW w:w="0" w:type="auto"/>
            <w:hideMark/>
          </w:tcPr>
          <w:p w14:paraId="2ED68334" w14:textId="77777777" w:rsidR="00855DF0" w:rsidRPr="00855DF0" w:rsidRDefault="00855DF0" w:rsidP="00C06648">
            <w:r w:rsidRPr="00855DF0">
              <w:t>5.04</w:t>
            </w:r>
          </w:p>
        </w:tc>
        <w:tc>
          <w:tcPr>
            <w:tcW w:w="0" w:type="auto"/>
            <w:hideMark/>
          </w:tcPr>
          <w:p w14:paraId="767439EE" w14:textId="77777777" w:rsidR="00855DF0" w:rsidRPr="00855DF0" w:rsidRDefault="00855DF0" w:rsidP="00C06648">
            <w:r w:rsidRPr="00855DF0">
              <w:t>2.77</w:t>
            </w:r>
          </w:p>
        </w:tc>
        <w:tc>
          <w:tcPr>
            <w:tcW w:w="0" w:type="auto"/>
            <w:hideMark/>
          </w:tcPr>
          <w:p w14:paraId="63DF49B5" w14:textId="77777777" w:rsidR="00855DF0" w:rsidRPr="00855DF0" w:rsidRDefault="00855DF0" w:rsidP="00C06648">
            <w:r w:rsidRPr="00855DF0">
              <w:t>2.82</w:t>
            </w:r>
          </w:p>
        </w:tc>
        <w:tc>
          <w:tcPr>
            <w:tcW w:w="0" w:type="auto"/>
            <w:hideMark/>
          </w:tcPr>
          <w:p w14:paraId="081B947A" w14:textId="77777777" w:rsidR="00855DF0" w:rsidRPr="00855DF0" w:rsidRDefault="00855DF0" w:rsidP="00C06648">
            <w:r w:rsidRPr="00855DF0">
              <w:t>3.39</w:t>
            </w:r>
          </w:p>
        </w:tc>
      </w:tr>
      <w:tr w:rsidR="00855DF0" w:rsidRPr="00855DF0" w14:paraId="17F29FB8" w14:textId="77777777" w:rsidTr="00893E59">
        <w:tc>
          <w:tcPr>
            <w:tcW w:w="0" w:type="auto"/>
            <w:hideMark/>
          </w:tcPr>
          <w:p w14:paraId="3399F24B" w14:textId="77777777" w:rsidR="00855DF0" w:rsidRPr="00C06648" w:rsidRDefault="00855DF0" w:rsidP="00C06648">
            <w:pPr>
              <w:rPr>
                <w:b/>
                <w:bCs/>
              </w:rPr>
            </w:pPr>
            <w:r w:rsidRPr="00C06648">
              <w:rPr>
                <w:b/>
                <w:bCs/>
              </w:rPr>
              <w:t>Investment</w:t>
            </w:r>
          </w:p>
        </w:tc>
        <w:tc>
          <w:tcPr>
            <w:tcW w:w="0" w:type="auto"/>
            <w:hideMark/>
          </w:tcPr>
          <w:p w14:paraId="33F0EFC7" w14:textId="77777777" w:rsidR="00855DF0" w:rsidRPr="00855DF0" w:rsidRDefault="00855DF0" w:rsidP="00C06648">
            <w:r w:rsidRPr="00855DF0">
              <w:t>P/E Ratio</w:t>
            </w:r>
          </w:p>
        </w:tc>
        <w:tc>
          <w:tcPr>
            <w:tcW w:w="0" w:type="auto"/>
            <w:hideMark/>
          </w:tcPr>
          <w:p w14:paraId="3D2B788A" w14:textId="77777777" w:rsidR="00855DF0" w:rsidRPr="00855DF0" w:rsidRDefault="00855DF0" w:rsidP="00C06648">
            <w:r w:rsidRPr="00855DF0">
              <w:t>28.45</w:t>
            </w:r>
          </w:p>
        </w:tc>
        <w:tc>
          <w:tcPr>
            <w:tcW w:w="0" w:type="auto"/>
            <w:hideMark/>
          </w:tcPr>
          <w:p w14:paraId="47BC1867" w14:textId="77777777" w:rsidR="00855DF0" w:rsidRPr="00855DF0" w:rsidRDefault="00855DF0" w:rsidP="00C06648">
            <w:r w:rsidRPr="00855DF0">
              <w:t>54.14</w:t>
            </w:r>
          </w:p>
        </w:tc>
        <w:tc>
          <w:tcPr>
            <w:tcW w:w="0" w:type="auto"/>
            <w:hideMark/>
          </w:tcPr>
          <w:p w14:paraId="16011232" w14:textId="77777777" w:rsidR="00855DF0" w:rsidRPr="00855DF0" w:rsidRDefault="00855DF0" w:rsidP="00C06648">
            <w:r w:rsidRPr="00855DF0">
              <w:t>23.21</w:t>
            </w:r>
          </w:p>
        </w:tc>
        <w:tc>
          <w:tcPr>
            <w:tcW w:w="0" w:type="auto"/>
            <w:hideMark/>
          </w:tcPr>
          <w:p w14:paraId="4223B56C" w14:textId="77777777" w:rsidR="00855DF0" w:rsidRPr="00855DF0" w:rsidRDefault="00855DF0" w:rsidP="00C06648">
            <w:r w:rsidRPr="00855DF0">
              <w:t>25.31</w:t>
            </w:r>
          </w:p>
        </w:tc>
        <w:tc>
          <w:tcPr>
            <w:tcW w:w="0" w:type="auto"/>
            <w:hideMark/>
          </w:tcPr>
          <w:p w14:paraId="6EF3BEFB" w14:textId="77777777" w:rsidR="00855DF0" w:rsidRPr="00855DF0" w:rsidRDefault="00855DF0" w:rsidP="00C06648">
            <w:r w:rsidRPr="00855DF0">
              <w:t>39.29</w:t>
            </w:r>
          </w:p>
        </w:tc>
      </w:tr>
      <w:tr w:rsidR="00855DF0" w:rsidRPr="00855DF0" w14:paraId="55C3FC69" w14:textId="77777777" w:rsidTr="00893E59">
        <w:tc>
          <w:tcPr>
            <w:tcW w:w="0" w:type="auto"/>
            <w:hideMark/>
          </w:tcPr>
          <w:p w14:paraId="51E6051F" w14:textId="77777777" w:rsidR="00855DF0" w:rsidRPr="00C06648" w:rsidRDefault="00855DF0" w:rsidP="00C06648">
            <w:pPr>
              <w:rPr>
                <w:b/>
                <w:bCs/>
              </w:rPr>
            </w:pPr>
          </w:p>
        </w:tc>
        <w:tc>
          <w:tcPr>
            <w:tcW w:w="0" w:type="auto"/>
            <w:hideMark/>
          </w:tcPr>
          <w:p w14:paraId="005F67B5" w14:textId="77777777" w:rsidR="00855DF0" w:rsidRPr="00855DF0" w:rsidRDefault="00855DF0" w:rsidP="00C06648">
            <w:r w:rsidRPr="00855DF0">
              <w:t>EV/EBITDA</w:t>
            </w:r>
          </w:p>
        </w:tc>
        <w:tc>
          <w:tcPr>
            <w:tcW w:w="0" w:type="auto"/>
            <w:hideMark/>
          </w:tcPr>
          <w:p w14:paraId="671A3E61" w14:textId="77777777" w:rsidR="00855DF0" w:rsidRPr="00855DF0" w:rsidRDefault="00855DF0" w:rsidP="00C06648">
            <w:r w:rsidRPr="00855DF0">
              <w:t>64.14</w:t>
            </w:r>
          </w:p>
        </w:tc>
        <w:tc>
          <w:tcPr>
            <w:tcW w:w="0" w:type="auto"/>
            <w:hideMark/>
          </w:tcPr>
          <w:p w14:paraId="74D7EED8" w14:textId="77777777" w:rsidR="00855DF0" w:rsidRPr="00855DF0" w:rsidRDefault="00855DF0" w:rsidP="00C06648">
            <w:r w:rsidRPr="00855DF0">
              <w:t>30.92</w:t>
            </w:r>
          </w:p>
        </w:tc>
        <w:tc>
          <w:tcPr>
            <w:tcW w:w="0" w:type="auto"/>
            <w:hideMark/>
          </w:tcPr>
          <w:p w14:paraId="1AF2DA5E" w14:textId="77777777" w:rsidR="00855DF0" w:rsidRPr="00855DF0" w:rsidRDefault="00855DF0" w:rsidP="00C06648">
            <w:r w:rsidRPr="00855DF0">
              <w:t>14.93</w:t>
            </w:r>
          </w:p>
        </w:tc>
        <w:tc>
          <w:tcPr>
            <w:tcW w:w="0" w:type="auto"/>
            <w:hideMark/>
          </w:tcPr>
          <w:p w14:paraId="71B01266" w14:textId="77777777" w:rsidR="00855DF0" w:rsidRPr="00855DF0" w:rsidRDefault="00855DF0" w:rsidP="00C06648">
            <w:r w:rsidRPr="00855DF0">
              <w:t>18.32</w:t>
            </w:r>
          </w:p>
        </w:tc>
        <w:tc>
          <w:tcPr>
            <w:tcW w:w="0" w:type="auto"/>
            <w:hideMark/>
          </w:tcPr>
          <w:p w14:paraId="0ABED37C" w14:textId="77777777" w:rsidR="00855DF0" w:rsidRPr="00855DF0" w:rsidRDefault="00855DF0" w:rsidP="00C06648">
            <w:r w:rsidRPr="00855DF0">
              <w:t>21.51</w:t>
            </w:r>
          </w:p>
        </w:tc>
      </w:tr>
      <w:tr w:rsidR="00855DF0" w:rsidRPr="00855DF0" w14:paraId="2D965B24" w14:textId="77777777" w:rsidTr="00893E59">
        <w:tc>
          <w:tcPr>
            <w:tcW w:w="0" w:type="auto"/>
            <w:hideMark/>
          </w:tcPr>
          <w:p w14:paraId="5AB7231B" w14:textId="77777777" w:rsidR="00855DF0" w:rsidRPr="00C06648" w:rsidRDefault="00855DF0" w:rsidP="00C06648">
            <w:pPr>
              <w:rPr>
                <w:b/>
                <w:bCs/>
              </w:rPr>
            </w:pPr>
            <w:r w:rsidRPr="00C06648">
              <w:rPr>
                <w:b/>
                <w:bCs/>
              </w:rPr>
              <w:t>Cash Flow</w:t>
            </w:r>
          </w:p>
        </w:tc>
        <w:tc>
          <w:tcPr>
            <w:tcW w:w="0" w:type="auto"/>
            <w:hideMark/>
          </w:tcPr>
          <w:p w14:paraId="3ECAB047" w14:textId="77777777" w:rsidR="00855DF0" w:rsidRPr="00855DF0" w:rsidRDefault="00855DF0" w:rsidP="00C06648">
            <w:r w:rsidRPr="00855DF0">
              <w:t>FCF Margin (%)</w:t>
            </w:r>
          </w:p>
        </w:tc>
        <w:tc>
          <w:tcPr>
            <w:tcW w:w="0" w:type="auto"/>
            <w:hideMark/>
          </w:tcPr>
          <w:p w14:paraId="00D97C19" w14:textId="77777777" w:rsidR="00855DF0" w:rsidRPr="00855DF0" w:rsidRDefault="00855DF0" w:rsidP="00C06648">
            <w:r w:rsidRPr="00855DF0">
              <w:t>14.2</w:t>
            </w:r>
          </w:p>
        </w:tc>
        <w:tc>
          <w:tcPr>
            <w:tcW w:w="0" w:type="auto"/>
            <w:hideMark/>
          </w:tcPr>
          <w:p w14:paraId="327A7891" w14:textId="77777777" w:rsidR="00855DF0" w:rsidRPr="00855DF0" w:rsidRDefault="00855DF0" w:rsidP="00C06648">
            <w:r w:rsidRPr="00855DF0">
              <w:t>9.4</w:t>
            </w:r>
          </w:p>
        </w:tc>
        <w:tc>
          <w:tcPr>
            <w:tcW w:w="0" w:type="auto"/>
            <w:hideMark/>
          </w:tcPr>
          <w:p w14:paraId="1F700FF8" w14:textId="77777777" w:rsidR="00855DF0" w:rsidRPr="00855DF0" w:rsidRDefault="00855DF0" w:rsidP="00C06648">
            <w:r w:rsidRPr="00855DF0">
              <w:t>14.6</w:t>
            </w:r>
          </w:p>
        </w:tc>
        <w:tc>
          <w:tcPr>
            <w:tcW w:w="0" w:type="auto"/>
            <w:hideMark/>
          </w:tcPr>
          <w:p w14:paraId="29217267" w14:textId="77777777" w:rsidR="00855DF0" w:rsidRPr="00855DF0" w:rsidRDefault="00855DF0" w:rsidP="00C06648">
            <w:r w:rsidRPr="00855DF0">
              <w:t>13.1</w:t>
            </w:r>
          </w:p>
        </w:tc>
        <w:tc>
          <w:tcPr>
            <w:tcW w:w="0" w:type="auto"/>
            <w:hideMark/>
          </w:tcPr>
          <w:p w14:paraId="032E9853" w14:textId="77777777" w:rsidR="00855DF0" w:rsidRPr="00855DF0" w:rsidRDefault="00855DF0" w:rsidP="00C06648">
            <w:r w:rsidRPr="00855DF0">
              <w:t>8.0</w:t>
            </w:r>
          </w:p>
        </w:tc>
      </w:tr>
      <w:tr w:rsidR="00855DF0" w:rsidRPr="00855DF0" w14:paraId="773B5802" w14:textId="77777777" w:rsidTr="00893E59">
        <w:tc>
          <w:tcPr>
            <w:tcW w:w="0" w:type="auto"/>
            <w:hideMark/>
          </w:tcPr>
          <w:p w14:paraId="7C335200" w14:textId="77777777" w:rsidR="00855DF0" w:rsidRPr="00855DF0" w:rsidRDefault="00855DF0" w:rsidP="00C06648"/>
        </w:tc>
        <w:tc>
          <w:tcPr>
            <w:tcW w:w="0" w:type="auto"/>
            <w:hideMark/>
          </w:tcPr>
          <w:p w14:paraId="57DDC1FF" w14:textId="77777777" w:rsidR="00855DF0" w:rsidRPr="00855DF0" w:rsidRDefault="00855DF0" w:rsidP="00C06648">
            <w:r w:rsidRPr="00855DF0">
              <w:t xml:space="preserve">Operating Cash Flow/Current </w:t>
            </w:r>
            <w:proofErr w:type="spellStart"/>
            <w:r w:rsidRPr="00855DF0">
              <w:t>Liab</w:t>
            </w:r>
            <w:proofErr w:type="spellEnd"/>
            <w:r w:rsidRPr="00855DF0">
              <w:t>.</w:t>
            </w:r>
          </w:p>
        </w:tc>
        <w:tc>
          <w:tcPr>
            <w:tcW w:w="0" w:type="auto"/>
            <w:hideMark/>
          </w:tcPr>
          <w:p w14:paraId="71683CC2" w14:textId="77777777" w:rsidR="00855DF0" w:rsidRPr="00855DF0" w:rsidRDefault="00855DF0" w:rsidP="00C06648">
            <w:r w:rsidRPr="00855DF0">
              <w:t>0.26</w:t>
            </w:r>
          </w:p>
        </w:tc>
        <w:tc>
          <w:tcPr>
            <w:tcW w:w="0" w:type="auto"/>
            <w:hideMark/>
          </w:tcPr>
          <w:p w14:paraId="46EFD89C" w14:textId="77777777" w:rsidR="00855DF0" w:rsidRPr="00855DF0" w:rsidRDefault="00855DF0" w:rsidP="00C06648">
            <w:r w:rsidRPr="00855DF0">
              <w:t>0.32</w:t>
            </w:r>
          </w:p>
        </w:tc>
        <w:tc>
          <w:tcPr>
            <w:tcW w:w="0" w:type="auto"/>
            <w:hideMark/>
          </w:tcPr>
          <w:p w14:paraId="7A55B581" w14:textId="77777777" w:rsidR="00855DF0" w:rsidRPr="00855DF0" w:rsidRDefault="00855DF0" w:rsidP="00C06648">
            <w:r w:rsidRPr="00855DF0">
              <w:t>0.41</w:t>
            </w:r>
          </w:p>
        </w:tc>
        <w:tc>
          <w:tcPr>
            <w:tcW w:w="0" w:type="auto"/>
            <w:hideMark/>
          </w:tcPr>
          <w:p w14:paraId="45211817" w14:textId="77777777" w:rsidR="00855DF0" w:rsidRPr="00855DF0" w:rsidRDefault="00855DF0" w:rsidP="00C06648">
            <w:r w:rsidRPr="00855DF0">
              <w:t>0.32</w:t>
            </w:r>
          </w:p>
        </w:tc>
        <w:tc>
          <w:tcPr>
            <w:tcW w:w="0" w:type="auto"/>
            <w:hideMark/>
          </w:tcPr>
          <w:p w14:paraId="21A5F882" w14:textId="77777777" w:rsidR="00855DF0" w:rsidRPr="00855DF0" w:rsidRDefault="00855DF0" w:rsidP="00C06648">
            <w:r w:rsidRPr="00855DF0">
              <w:t>0.28</w:t>
            </w:r>
          </w:p>
        </w:tc>
      </w:tr>
    </w:tbl>
    <w:p w14:paraId="3AAC3B30" w14:textId="612B5042" w:rsidR="00855DF0" w:rsidRPr="00855DF0" w:rsidRDefault="00855DF0" w:rsidP="003D0EB4">
      <w:r w:rsidRPr="00855DF0">
        <w:t xml:space="preserve">Sources: </w:t>
      </w:r>
      <w:r w:rsidR="00725D8D" w:rsidRPr="00725D8D">
        <w:t>(</w:t>
      </w:r>
      <w:proofErr w:type="spellStart"/>
      <w:r w:rsidR="00725D8D" w:rsidRPr="00725D8D">
        <w:t>Bullfincher</w:t>
      </w:r>
      <w:proofErr w:type="spellEnd"/>
      <w:r w:rsidR="00725D8D" w:rsidRPr="00725D8D">
        <w:t>, 2020)</w:t>
      </w:r>
    </w:p>
    <w:p w14:paraId="7C678104" w14:textId="77777777" w:rsidR="00855DF0" w:rsidRPr="003D0EB4" w:rsidRDefault="00855DF0" w:rsidP="003D0EB4">
      <w:pPr>
        <w:rPr>
          <w:b/>
          <w:bCs/>
        </w:rPr>
      </w:pPr>
      <w:r w:rsidRPr="003D0EB4">
        <w:rPr>
          <w:b/>
          <w:bCs/>
        </w:rPr>
        <w:t>Interpretation by Category:</w:t>
      </w:r>
    </w:p>
    <w:p w14:paraId="29CD7BD4" w14:textId="1897A0D0" w:rsidR="00855DF0" w:rsidRPr="00855DF0" w:rsidRDefault="00855DF0" w:rsidP="009247DE">
      <w:r w:rsidRPr="00525531">
        <w:rPr>
          <w:b/>
          <w:bCs/>
        </w:rPr>
        <w:t>Profitability:</w:t>
      </w:r>
      <w:r w:rsidRPr="00855DF0">
        <w:t xml:space="preserve"> </w:t>
      </w:r>
      <w:r w:rsidR="00A870EE" w:rsidRPr="00A870EE">
        <w:t xml:space="preserve">Margins and returns have also improved significantly since 2020, indicating that their operations are efficient and franchise fees are quite </w:t>
      </w:r>
      <w:r w:rsidR="00DD2836" w:rsidRPr="00A870EE">
        <w:t>profitable</w:t>
      </w:r>
      <w:r w:rsidR="00DD2836" w:rsidRPr="00314F24">
        <w:t xml:space="preserve"> (Marriott International, 2024)</w:t>
      </w:r>
      <w:r w:rsidR="00DD2836" w:rsidRPr="00855DF0">
        <w:t>.</w:t>
      </w:r>
    </w:p>
    <w:p w14:paraId="4B1433C7" w14:textId="11E08BFF" w:rsidR="00855DF0" w:rsidRPr="00855DF0" w:rsidRDefault="00855DF0" w:rsidP="009247DE">
      <w:r w:rsidRPr="00525531">
        <w:rPr>
          <w:b/>
          <w:bCs/>
        </w:rPr>
        <w:t>Liquidity:</w:t>
      </w:r>
      <w:r w:rsidRPr="00855DF0">
        <w:t xml:space="preserve"> </w:t>
      </w:r>
      <w:r w:rsidR="00A870EE" w:rsidRPr="00A870EE">
        <w:t>Current and quick ratios are less than 1.0, suggesting possible liquidity problems in the short run</w:t>
      </w:r>
      <w:r w:rsidR="00314F24">
        <w:t xml:space="preserve"> </w:t>
      </w:r>
      <w:r w:rsidR="00DD2836" w:rsidRPr="00DD2836">
        <w:t>(U.S. Securities and Exchange Commission, 2025)</w:t>
      </w:r>
      <w:r w:rsidR="00DD2836">
        <w:t>.</w:t>
      </w:r>
    </w:p>
    <w:p w14:paraId="6113493C" w14:textId="535A0E55" w:rsidR="00855DF0" w:rsidRPr="00855DF0" w:rsidRDefault="00855DF0" w:rsidP="009247DE">
      <w:r w:rsidRPr="00525531">
        <w:rPr>
          <w:b/>
          <w:bCs/>
        </w:rPr>
        <w:t>Efficiency:</w:t>
      </w:r>
      <w:r w:rsidRPr="00855DF0">
        <w:t xml:space="preserve"> </w:t>
      </w:r>
      <w:r w:rsidR="006B36F0" w:rsidRPr="006B36F0">
        <w:t>Asset and receivables turnover ratios mark steady improvements indicating that assets and receivables are being utilized and collected efficiently</w:t>
      </w:r>
      <w:r w:rsidR="006D7E76">
        <w:t xml:space="preserve"> </w:t>
      </w:r>
      <w:r w:rsidR="006D7E76" w:rsidRPr="006D7E76">
        <w:t>(Marriott international, 2025)</w:t>
      </w:r>
      <w:r w:rsidRPr="00855DF0">
        <w:t>.</w:t>
      </w:r>
    </w:p>
    <w:p w14:paraId="3BED6ADF" w14:textId="4686AA61" w:rsidR="00855DF0" w:rsidRPr="00855DF0" w:rsidRDefault="00855DF0" w:rsidP="009247DE">
      <w:r w:rsidRPr="00525531">
        <w:rPr>
          <w:b/>
          <w:bCs/>
        </w:rPr>
        <w:t>Gearing:</w:t>
      </w:r>
      <w:r w:rsidRPr="00855DF0">
        <w:t xml:space="preserve"> </w:t>
      </w:r>
      <w:r w:rsidR="006B36F0" w:rsidRPr="006B36F0">
        <w:t>Negative debt-to-equity ratio in 2023–2024 (2022–1021: –16.2) will be driven by negative shareholder equity arising from accumulated losses and share buybacks, but debt to EBITDA remains (reasonably) under contro</w:t>
      </w:r>
      <w:r w:rsidR="006B36F0">
        <w:t>l</w:t>
      </w:r>
      <w:r w:rsidRPr="00855DF0">
        <w:t>.</w:t>
      </w:r>
    </w:p>
    <w:p w14:paraId="1E29D251" w14:textId="33D0F743" w:rsidR="00855DF0" w:rsidRPr="00855DF0" w:rsidRDefault="00855DF0" w:rsidP="009247DE">
      <w:r w:rsidRPr="00525531">
        <w:rPr>
          <w:b/>
          <w:bCs/>
        </w:rPr>
        <w:t>Investment:</w:t>
      </w:r>
      <w:r w:rsidRPr="00855DF0">
        <w:t xml:space="preserve"> </w:t>
      </w:r>
      <w:r w:rsidR="006B36F0" w:rsidRPr="006B36F0">
        <w:t>Value multiples (P/E, EV/EBITDA) are high compared to the history, representing investor optimism about future growth</w:t>
      </w:r>
      <w:r w:rsidR="006D7E76" w:rsidRPr="006D7E76">
        <w:t xml:space="preserve"> (Johansen, Ditlevsen and Gjerrild, 2023)</w:t>
      </w:r>
      <w:r w:rsidRPr="00855DF0">
        <w:t>.</w:t>
      </w:r>
    </w:p>
    <w:p w14:paraId="632BE94F" w14:textId="5F59642A" w:rsidR="00855DF0" w:rsidRPr="00855DF0" w:rsidRDefault="00855DF0" w:rsidP="009247DE">
      <w:r w:rsidRPr="00525531">
        <w:rPr>
          <w:b/>
          <w:bCs/>
        </w:rPr>
        <w:t>Cash Flow:</w:t>
      </w:r>
      <w:r w:rsidRPr="00855DF0">
        <w:t xml:space="preserve"> </w:t>
      </w:r>
      <w:r w:rsidR="006B36F0" w:rsidRPr="006B36F0">
        <w:t>Good operating cash flow that resulted in good FCF; FCF margin declined in 2024 due to increased capex</w:t>
      </w:r>
      <w:r w:rsidR="006D7E76" w:rsidRPr="006D7E76">
        <w:rPr>
          <w:rFonts w:ascii="Times New Roman" w:eastAsia="Times New Roman" w:hAnsi="Times New Roman" w:cs="Times New Roman"/>
          <w:kern w:val="0"/>
          <w:szCs w:val="24"/>
          <w:lang w:eastAsia="en-IN"/>
          <w14:ligatures w14:val="none"/>
        </w:rPr>
        <w:t xml:space="preserve"> </w:t>
      </w:r>
      <w:r w:rsidR="006D7E76" w:rsidRPr="006D7E76">
        <w:t>(Brands, 2025)</w:t>
      </w:r>
      <w:r w:rsidRPr="00855DF0">
        <w:t>.</w:t>
      </w:r>
    </w:p>
    <w:p w14:paraId="26A25CE2" w14:textId="77777777" w:rsidR="00855DF0" w:rsidRPr="00855DF0" w:rsidRDefault="00855DF0" w:rsidP="00EE66EC">
      <w:pPr>
        <w:pStyle w:val="Heading2"/>
      </w:pPr>
      <w:bookmarkStart w:id="5" w:name="_Toc236474108"/>
      <w:r w:rsidRPr="00855DF0">
        <w:t>c. Trends, Strengths, and Potential Threats</w:t>
      </w:r>
      <w:bookmarkEnd w:id="5"/>
    </w:p>
    <w:p w14:paraId="3DD21422" w14:textId="77777777" w:rsidR="00855DF0" w:rsidRPr="00565553" w:rsidRDefault="00855DF0" w:rsidP="00565553">
      <w:pPr>
        <w:rPr>
          <w:b/>
          <w:bCs/>
        </w:rPr>
      </w:pPr>
      <w:r w:rsidRPr="00565553">
        <w:rPr>
          <w:b/>
          <w:bCs/>
        </w:rPr>
        <w:t>Key Trends:</w:t>
      </w:r>
    </w:p>
    <w:p w14:paraId="3F5B2183" w14:textId="576443EC" w:rsidR="00855DF0" w:rsidRPr="00855DF0" w:rsidRDefault="00855DF0" w:rsidP="00C44594">
      <w:r w:rsidRPr="00F069D2">
        <w:t>Revenue Recovery and Growth:</w:t>
      </w:r>
      <w:r w:rsidRPr="00855DF0">
        <w:t xml:space="preserve"> </w:t>
      </w:r>
      <w:r w:rsidR="006B36F0" w:rsidRPr="006B36F0">
        <w:t>health of brand positioning and strong revenue growth from 2020 are evident</w:t>
      </w:r>
      <w:r w:rsidR="006E3E4F" w:rsidRPr="006E3E4F">
        <w:t xml:space="preserve"> (Gabrijela Veličković, Stanojevic and Veselinović, 2023)</w:t>
      </w:r>
      <w:r w:rsidRPr="00855DF0">
        <w:t>.</w:t>
      </w:r>
    </w:p>
    <w:p w14:paraId="26216B2B" w14:textId="3A0E2FA7" w:rsidR="00855DF0" w:rsidRPr="00855DF0" w:rsidRDefault="00855DF0" w:rsidP="00C44594">
      <w:r w:rsidRPr="00F069D2">
        <w:t>Margin Expansion:</w:t>
      </w:r>
      <w:r w:rsidRPr="00855DF0">
        <w:t xml:space="preserve"> </w:t>
      </w:r>
      <w:r w:rsidR="006B36F0" w:rsidRPr="006B36F0">
        <w:t>Gross and net margins have even increased markedly due to the Asset-light Architect</w:t>
      </w:r>
      <w:r w:rsidRPr="00855DF0">
        <w:t>.</w:t>
      </w:r>
      <w:r w:rsidR="00EE66EC" w:rsidRPr="00855DF0">
        <w:t xml:space="preserve"> </w:t>
      </w:r>
    </w:p>
    <w:p w14:paraId="6B191C85" w14:textId="06A52340" w:rsidR="00855DF0" w:rsidRPr="00855DF0" w:rsidRDefault="00855DF0" w:rsidP="00C44594">
      <w:r w:rsidRPr="00F069D2">
        <w:t>Negative Working Capital:</w:t>
      </w:r>
      <w:r w:rsidRPr="00855DF0">
        <w:t xml:space="preserve"> </w:t>
      </w:r>
      <w:r w:rsidR="006B36F0" w:rsidRPr="006B36F0">
        <w:t>When negative working capital is of persistent nature, there is a danger of dependence on short-term loans to finance activities</w:t>
      </w:r>
      <w:r w:rsidRPr="00855DF0">
        <w:t>.</w:t>
      </w:r>
      <w:r w:rsidR="00EE66EC" w:rsidRPr="00855DF0">
        <w:t xml:space="preserve"> </w:t>
      </w:r>
    </w:p>
    <w:p w14:paraId="3D681A98" w14:textId="4B204A2B" w:rsidR="00855DF0" w:rsidRPr="00855DF0" w:rsidRDefault="00855DF0" w:rsidP="00C44594">
      <w:r w:rsidRPr="00F069D2">
        <w:lastRenderedPageBreak/>
        <w:t>Improved Leverage:</w:t>
      </w:r>
      <w:r w:rsidRPr="00855DF0">
        <w:t xml:space="preserve"> </w:t>
      </w:r>
      <w:r w:rsidR="006B36F0" w:rsidRPr="006B36F0">
        <w:t>There has been significant improvement in leverage (measured as debt to EBITDA) but debt is still high</w:t>
      </w:r>
      <w:r w:rsidRPr="00855DF0">
        <w:t>.</w:t>
      </w:r>
      <w:r w:rsidR="00EE66EC" w:rsidRPr="00855DF0">
        <w:t xml:space="preserve"> </w:t>
      </w:r>
    </w:p>
    <w:p w14:paraId="5DD111DC" w14:textId="77777777" w:rsidR="00855DF0" w:rsidRPr="00565553" w:rsidRDefault="00855DF0" w:rsidP="00565553">
      <w:pPr>
        <w:rPr>
          <w:b/>
          <w:bCs/>
        </w:rPr>
      </w:pPr>
      <w:r w:rsidRPr="00565553">
        <w:rPr>
          <w:b/>
          <w:bCs/>
        </w:rPr>
        <w:t>Strengths:</w:t>
      </w:r>
    </w:p>
    <w:p w14:paraId="52F35141" w14:textId="0BF8F004" w:rsidR="006B36F0" w:rsidRDefault="006B36F0" w:rsidP="006B36F0">
      <w:r>
        <w:t>Leverage on cash generation: Healthy free cash flow allows to provide returns to shareholders, make strategic investments</w:t>
      </w:r>
      <w:r w:rsidR="00257BEB" w:rsidRPr="00257BEB">
        <w:rPr>
          <w:rFonts w:ascii="Times New Roman" w:eastAsia="Times New Roman" w:hAnsi="Times New Roman" w:cs="Times New Roman"/>
          <w:kern w:val="0"/>
          <w:szCs w:val="24"/>
          <w:lang w:eastAsia="en-IN"/>
          <w14:ligatures w14:val="none"/>
        </w:rPr>
        <w:t xml:space="preserve"> </w:t>
      </w:r>
      <w:r w:rsidR="00257BEB" w:rsidRPr="00257BEB">
        <w:t>(</w:t>
      </w:r>
      <w:proofErr w:type="spellStart"/>
      <w:r w:rsidR="00257BEB" w:rsidRPr="00257BEB">
        <w:t>Arifaj</w:t>
      </w:r>
      <w:proofErr w:type="spellEnd"/>
      <w:r w:rsidR="00257BEB" w:rsidRPr="00257BEB">
        <w:t xml:space="preserve"> et al., 2023)</w:t>
      </w:r>
      <w:r>
        <w:t xml:space="preserve">. </w:t>
      </w:r>
    </w:p>
    <w:p w14:paraId="5B80FBAF" w14:textId="77777777" w:rsidR="006B36F0" w:rsidRDefault="006B36F0" w:rsidP="006B36F0">
      <w:r>
        <w:t xml:space="preserve">Portfolio of more than 30 brands with diversified segments gives a stability in terms of revenue. </w:t>
      </w:r>
    </w:p>
    <w:p w14:paraId="36BE4FA6" w14:textId="7E4456F1" w:rsidR="00855DF0" w:rsidRPr="00855DF0" w:rsidRDefault="006B36F0" w:rsidP="006B36F0">
      <w:r>
        <w:t>International footprint: Strong extensive presence throughout the world providing growth opportunities in emerging markets</w:t>
      </w:r>
      <w:r w:rsidR="00855DF0" w:rsidRPr="00855DF0">
        <w:t>.</w:t>
      </w:r>
    </w:p>
    <w:p w14:paraId="3E02710A" w14:textId="77777777" w:rsidR="00855DF0" w:rsidRPr="00565553" w:rsidRDefault="00855DF0" w:rsidP="00565553">
      <w:pPr>
        <w:rPr>
          <w:b/>
          <w:bCs/>
        </w:rPr>
      </w:pPr>
      <w:r w:rsidRPr="00565553">
        <w:rPr>
          <w:b/>
          <w:bCs/>
        </w:rPr>
        <w:t>Potential Threats:</w:t>
      </w:r>
    </w:p>
    <w:p w14:paraId="6659F10D" w14:textId="77777777" w:rsidR="006B36F0" w:rsidRDefault="006B36F0" w:rsidP="006B36F0">
      <w:r>
        <w:t>Liquidity Risk: Ratios that are below those of the industry at current and quick state of affairs ratios could reduce the enterprise's flexibility in times of downfall.</w:t>
      </w:r>
    </w:p>
    <w:p w14:paraId="238176C9" w14:textId="6B2AD800" w:rsidR="006B36F0" w:rsidRDefault="006B36F0" w:rsidP="006B36F0">
      <w:r>
        <w:t>High Leverage: Higher leverage through significant long-term debt places one at risk for being more vulnerable to a rise in interest rates</w:t>
      </w:r>
      <w:r w:rsidR="00804E14" w:rsidRPr="00804E14">
        <w:rPr>
          <w:rFonts w:ascii="Times New Roman" w:eastAsia="Times New Roman" w:hAnsi="Times New Roman" w:cs="Times New Roman"/>
          <w:kern w:val="0"/>
          <w:szCs w:val="24"/>
          <w:lang w:eastAsia="en-IN"/>
          <w14:ligatures w14:val="none"/>
        </w:rPr>
        <w:t xml:space="preserve"> </w:t>
      </w:r>
      <w:r w:rsidR="00804E14" w:rsidRPr="00804E14">
        <w:t>(</w:t>
      </w:r>
      <w:proofErr w:type="spellStart"/>
      <w:r w:rsidR="00804E14" w:rsidRPr="00804E14">
        <w:t>Helhel</w:t>
      </w:r>
      <w:proofErr w:type="spellEnd"/>
      <w:r w:rsidR="00804E14" w:rsidRPr="00804E14">
        <w:t xml:space="preserve"> and </w:t>
      </w:r>
      <w:proofErr w:type="spellStart"/>
      <w:r w:rsidR="00804E14" w:rsidRPr="00804E14">
        <w:t>Helhel</w:t>
      </w:r>
      <w:proofErr w:type="spellEnd"/>
      <w:r w:rsidR="00804E14" w:rsidRPr="00804E14">
        <w:t>, 2026)</w:t>
      </w:r>
      <w:r>
        <w:t xml:space="preserve">. </w:t>
      </w:r>
    </w:p>
    <w:p w14:paraId="4207EBF7" w14:textId="38B6C88C" w:rsidR="00855DF0" w:rsidRPr="00855DF0" w:rsidRDefault="006B36F0" w:rsidP="006B36F0">
      <w:r>
        <w:t>Elasticity of Economic Activity: Responses of the hotel and restaurant industry to changes in demand are sensitive to interest rates, prices, and business taxes</w:t>
      </w:r>
      <w:r w:rsidR="00855DF0" w:rsidRPr="00855DF0">
        <w:t>.</w:t>
      </w:r>
      <w:r w:rsidR="00EE66EC" w:rsidRPr="00855DF0">
        <w:t xml:space="preserve"> </w:t>
      </w:r>
    </w:p>
    <w:p w14:paraId="667A1917" w14:textId="117067F3" w:rsidR="00855DF0" w:rsidRPr="00855DF0" w:rsidRDefault="00855DF0" w:rsidP="00EE66EC">
      <w:pPr>
        <w:pStyle w:val="Heading2"/>
      </w:pPr>
      <w:bookmarkStart w:id="6" w:name="_Toc236474109"/>
      <w:r w:rsidRPr="00855DF0">
        <w:t>d. Liquidity Ratio Benchmarking</w:t>
      </w:r>
      <w:bookmarkEnd w:id="6"/>
    </w:p>
    <w:p w14:paraId="6736EA02" w14:textId="734DE2E3" w:rsidR="00EE66EC" w:rsidRDefault="00EE66EC" w:rsidP="00EE66EC">
      <w:pPr>
        <w:pStyle w:val="Caption"/>
        <w:keepNext/>
      </w:pPr>
      <w:bookmarkStart w:id="7" w:name="_Toc236395052"/>
      <w:r>
        <w:t xml:space="preserve">Table </w:t>
      </w:r>
      <w:fldSimple w:instr=" SEQ Table \* ARABIC ">
        <w:r w:rsidR="008D3140">
          <w:rPr>
            <w:noProof/>
          </w:rPr>
          <w:t>2</w:t>
        </w:r>
      </w:fldSimple>
      <w:r>
        <w:t xml:space="preserve">: </w:t>
      </w:r>
      <w:r w:rsidRPr="00467192">
        <w:t>Liquidity Ratios vs. Industry Benchmarks (2024)</w:t>
      </w:r>
      <w:bookmarkEnd w:id="7"/>
    </w:p>
    <w:tbl>
      <w:tblPr>
        <w:tblStyle w:val="TableGrid"/>
        <w:tblW w:w="0" w:type="auto"/>
        <w:tblLook w:val="04A0" w:firstRow="1" w:lastRow="0" w:firstColumn="1" w:lastColumn="0" w:noHBand="0" w:noVBand="1"/>
      </w:tblPr>
      <w:tblGrid>
        <w:gridCol w:w="1606"/>
        <w:gridCol w:w="1824"/>
        <w:gridCol w:w="3492"/>
        <w:gridCol w:w="2094"/>
      </w:tblGrid>
      <w:tr w:rsidR="00855DF0" w:rsidRPr="00855DF0" w14:paraId="14347326" w14:textId="77777777" w:rsidTr="00EE66EC">
        <w:tc>
          <w:tcPr>
            <w:tcW w:w="0" w:type="auto"/>
            <w:hideMark/>
          </w:tcPr>
          <w:p w14:paraId="752183CF" w14:textId="77777777" w:rsidR="00855DF0" w:rsidRPr="006A7FDD" w:rsidRDefault="00855DF0" w:rsidP="006A7FDD">
            <w:pPr>
              <w:rPr>
                <w:b/>
                <w:bCs/>
              </w:rPr>
            </w:pPr>
            <w:r w:rsidRPr="006A7FDD">
              <w:rPr>
                <w:b/>
                <w:bCs/>
              </w:rPr>
              <w:t>Ratio</w:t>
            </w:r>
          </w:p>
        </w:tc>
        <w:tc>
          <w:tcPr>
            <w:tcW w:w="0" w:type="auto"/>
            <w:hideMark/>
          </w:tcPr>
          <w:p w14:paraId="21CA9117" w14:textId="77777777" w:rsidR="00855DF0" w:rsidRPr="006A7FDD" w:rsidRDefault="00855DF0" w:rsidP="006A7FDD">
            <w:pPr>
              <w:rPr>
                <w:b/>
                <w:bCs/>
              </w:rPr>
            </w:pPr>
            <w:r w:rsidRPr="006A7FDD">
              <w:rPr>
                <w:b/>
                <w:bCs/>
              </w:rPr>
              <w:t>Marriott (2024)</w:t>
            </w:r>
          </w:p>
        </w:tc>
        <w:tc>
          <w:tcPr>
            <w:tcW w:w="0" w:type="auto"/>
            <w:hideMark/>
          </w:tcPr>
          <w:p w14:paraId="732CE09D" w14:textId="77777777" w:rsidR="00855DF0" w:rsidRPr="006A7FDD" w:rsidRDefault="00855DF0" w:rsidP="006A7FDD">
            <w:pPr>
              <w:rPr>
                <w:b/>
                <w:bCs/>
              </w:rPr>
            </w:pPr>
            <w:r w:rsidRPr="006A7FDD">
              <w:rPr>
                <w:b/>
                <w:bCs/>
              </w:rPr>
              <w:t>Industry Average (Hospitality)</w:t>
            </w:r>
          </w:p>
        </w:tc>
        <w:tc>
          <w:tcPr>
            <w:tcW w:w="0" w:type="auto"/>
            <w:hideMark/>
          </w:tcPr>
          <w:p w14:paraId="1BB1EF42" w14:textId="77777777" w:rsidR="00855DF0" w:rsidRPr="006A7FDD" w:rsidRDefault="00855DF0" w:rsidP="006A7FDD">
            <w:pPr>
              <w:rPr>
                <w:b/>
                <w:bCs/>
              </w:rPr>
            </w:pPr>
            <w:r w:rsidRPr="006A7FDD">
              <w:rPr>
                <w:b/>
                <w:bCs/>
              </w:rPr>
              <w:t>Assessment</w:t>
            </w:r>
          </w:p>
        </w:tc>
      </w:tr>
      <w:tr w:rsidR="00855DF0" w:rsidRPr="00855DF0" w14:paraId="2D3E038B" w14:textId="77777777" w:rsidTr="00EE66EC">
        <w:tc>
          <w:tcPr>
            <w:tcW w:w="0" w:type="auto"/>
            <w:hideMark/>
          </w:tcPr>
          <w:p w14:paraId="3B3226D0" w14:textId="77777777" w:rsidR="00855DF0" w:rsidRPr="00855DF0" w:rsidRDefault="00855DF0" w:rsidP="006A7FDD">
            <w:r w:rsidRPr="00855DF0">
              <w:t>Current Ratio</w:t>
            </w:r>
          </w:p>
        </w:tc>
        <w:tc>
          <w:tcPr>
            <w:tcW w:w="0" w:type="auto"/>
            <w:hideMark/>
          </w:tcPr>
          <w:p w14:paraId="0E07C146" w14:textId="77777777" w:rsidR="00855DF0" w:rsidRPr="00855DF0" w:rsidRDefault="00855DF0" w:rsidP="006A7FDD">
            <w:r w:rsidRPr="00855DF0">
              <w:t>0.40</w:t>
            </w:r>
          </w:p>
        </w:tc>
        <w:tc>
          <w:tcPr>
            <w:tcW w:w="0" w:type="auto"/>
            <w:hideMark/>
          </w:tcPr>
          <w:p w14:paraId="5A8E4763" w14:textId="77777777" w:rsidR="00855DF0" w:rsidRPr="00855DF0" w:rsidRDefault="00855DF0" w:rsidP="006A7FDD">
            <w:r w:rsidRPr="00855DF0">
              <w:t>0.65–0.80</w:t>
            </w:r>
          </w:p>
        </w:tc>
        <w:tc>
          <w:tcPr>
            <w:tcW w:w="0" w:type="auto"/>
            <w:hideMark/>
          </w:tcPr>
          <w:p w14:paraId="1F557A35" w14:textId="77777777" w:rsidR="00855DF0" w:rsidRPr="00855DF0" w:rsidRDefault="00855DF0" w:rsidP="006A7FDD">
            <w:r w:rsidRPr="00855DF0">
              <w:t>Below benchmark</w:t>
            </w:r>
          </w:p>
        </w:tc>
      </w:tr>
      <w:tr w:rsidR="00855DF0" w:rsidRPr="00855DF0" w14:paraId="4B537383" w14:textId="77777777" w:rsidTr="00EE66EC">
        <w:tc>
          <w:tcPr>
            <w:tcW w:w="0" w:type="auto"/>
            <w:hideMark/>
          </w:tcPr>
          <w:p w14:paraId="3F1ABF7E" w14:textId="77777777" w:rsidR="00855DF0" w:rsidRPr="00855DF0" w:rsidRDefault="00855DF0" w:rsidP="006A7FDD">
            <w:r w:rsidRPr="00855DF0">
              <w:t>Quick Ratio</w:t>
            </w:r>
          </w:p>
        </w:tc>
        <w:tc>
          <w:tcPr>
            <w:tcW w:w="0" w:type="auto"/>
            <w:hideMark/>
          </w:tcPr>
          <w:p w14:paraId="00311001" w14:textId="77777777" w:rsidR="00855DF0" w:rsidRPr="00855DF0" w:rsidRDefault="00855DF0" w:rsidP="006A7FDD">
            <w:r w:rsidRPr="00855DF0">
              <w:t>0.37</w:t>
            </w:r>
          </w:p>
        </w:tc>
        <w:tc>
          <w:tcPr>
            <w:tcW w:w="0" w:type="auto"/>
            <w:hideMark/>
          </w:tcPr>
          <w:p w14:paraId="753FB7EC" w14:textId="77777777" w:rsidR="00855DF0" w:rsidRPr="00855DF0" w:rsidRDefault="00855DF0" w:rsidP="006A7FDD">
            <w:r w:rsidRPr="00855DF0">
              <w:t>0.55–0.70</w:t>
            </w:r>
          </w:p>
        </w:tc>
        <w:tc>
          <w:tcPr>
            <w:tcW w:w="0" w:type="auto"/>
            <w:hideMark/>
          </w:tcPr>
          <w:p w14:paraId="287FD678" w14:textId="77777777" w:rsidR="00855DF0" w:rsidRPr="00855DF0" w:rsidRDefault="00855DF0" w:rsidP="006A7FDD">
            <w:r w:rsidRPr="00855DF0">
              <w:t>Below benchmark</w:t>
            </w:r>
          </w:p>
        </w:tc>
      </w:tr>
    </w:tbl>
    <w:p w14:paraId="5B835216" w14:textId="5BBE5FFF" w:rsidR="00855DF0" w:rsidRPr="00855DF0" w:rsidRDefault="00194FA5" w:rsidP="00194FA5">
      <w:r>
        <w:t xml:space="preserve">Source: </w:t>
      </w:r>
      <w:r w:rsidR="00AC3DD8" w:rsidRPr="00AC3DD8">
        <w:t>(Stock Analysis, 2026)</w:t>
      </w:r>
    </w:p>
    <w:p w14:paraId="557D5E63" w14:textId="3892BABA" w:rsidR="00855DF0" w:rsidRPr="00855DF0" w:rsidRDefault="006B36F0" w:rsidP="000B7CB9">
      <w:r w:rsidRPr="006B36F0">
        <w:t xml:space="preserve">As seen in Figure 2, Marriott's liquidity ratios are consistently lower than the sector averages and this is a strategy designed to hold low levels of cash as only operating cash flow will pay short-term bills. This can increase the efficiency of the use of the </w:t>
      </w:r>
      <w:r w:rsidRPr="006B36F0">
        <w:lastRenderedPageBreak/>
        <w:t>capital but it can reduce resilience if cash flow is disrupted, such as due to an economic downturn or another pandemic</w:t>
      </w:r>
      <w:r w:rsidR="00855DF0" w:rsidRPr="00855DF0">
        <w:t>.</w:t>
      </w:r>
    </w:p>
    <w:p w14:paraId="4822F2DF" w14:textId="77777777" w:rsidR="000F6705" w:rsidRDefault="000F6705" w:rsidP="000F6705">
      <w:pPr>
        <w:keepNext/>
      </w:pPr>
      <w:r>
        <w:rPr>
          <w:noProof/>
        </w:rPr>
        <w:drawing>
          <wp:inline distT="0" distB="0" distL="0" distR="0" wp14:anchorId="53823C33" wp14:editId="0A93D726">
            <wp:extent cx="4578350" cy="2755900"/>
            <wp:effectExtent l="0" t="0" r="0" b="6350"/>
            <wp:docPr id="188221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118127F5" w14:textId="6914C376" w:rsidR="000F6705" w:rsidRDefault="000F6705" w:rsidP="000F6705">
      <w:pPr>
        <w:pStyle w:val="Caption"/>
      </w:pPr>
      <w:bookmarkStart w:id="8" w:name="_Toc236395056"/>
      <w:r>
        <w:t xml:space="preserve">Figure </w:t>
      </w:r>
      <w:fldSimple w:instr=" SEQ Figure \* ARABIC ">
        <w:r w:rsidR="001D43F5">
          <w:rPr>
            <w:noProof/>
          </w:rPr>
          <w:t>1</w:t>
        </w:r>
      </w:fldSimple>
      <w:r>
        <w:t xml:space="preserve">: </w:t>
      </w:r>
      <w:r w:rsidRPr="00521E9C">
        <w:t>Profitability Ratio Trends (2020–2024)</w:t>
      </w:r>
      <w:bookmarkEnd w:id="8"/>
    </w:p>
    <w:p w14:paraId="162CF870" w14:textId="7252FE19" w:rsidR="000F3071" w:rsidRPr="000F3071" w:rsidRDefault="000F3071" w:rsidP="000F3071">
      <w:r>
        <w:t>Source: Self-created in Excel</w:t>
      </w:r>
    </w:p>
    <w:p w14:paraId="0F51A7B6" w14:textId="2887AC0C" w:rsidR="000F6705" w:rsidRDefault="006B36F0" w:rsidP="000F6705">
      <w:r w:rsidRPr="006B36F0">
        <w:t>The profitability of Marriott International is shown in the chart below (Figure 1) from 2020 to 2024. Gross Margin rose significantly, from 48.5% in 2020 to 81.5% in 2024, which is attributed to the success of Marriott's asset-light business model and its franchise and management operations, which produce more profitable results. The Net Profit Margin lifted from a negative figure of minus 15.5 % in 2020, after the travel downturn brought each of them down, to 11.2 % in 2024 as a result of the increase in travel demand around the world as the pandemic ended. Likewise, Return on Assets (ROA) improved from -2.9% to 4.5% - more efficient use of firm's assets</w:t>
      </w:r>
      <w:r w:rsidR="00AC3DD8">
        <w:t xml:space="preserve"> </w:t>
      </w:r>
      <w:r w:rsidR="00AC3DD8" w:rsidRPr="00AC3DD8">
        <w:t>(</w:t>
      </w:r>
      <w:proofErr w:type="spellStart"/>
      <w:r w:rsidR="00AC3DD8" w:rsidRPr="00AC3DD8">
        <w:t>Bullfincher</w:t>
      </w:r>
      <w:proofErr w:type="spellEnd"/>
      <w:r w:rsidR="00AC3DD8" w:rsidRPr="00AC3DD8">
        <w:t>, 2020)</w:t>
      </w:r>
      <w:r w:rsidR="00330185">
        <w:t>.</w:t>
      </w:r>
      <w:r w:rsidR="000F6705" w:rsidRPr="000F6705">
        <w:t xml:space="preserve"> </w:t>
      </w:r>
      <w:r w:rsidRPr="006B36F0">
        <w:t>Overall, the proforma reflects Marriott's continued solid financial recovery, growth in operational efficiency and it assists in meeting the enhancement of profitability across the five-year period</w:t>
      </w:r>
      <w:r w:rsidR="000F6705" w:rsidRPr="000F6705">
        <w:t>.</w:t>
      </w:r>
    </w:p>
    <w:p w14:paraId="4DB579F9" w14:textId="77777777" w:rsidR="00E47687" w:rsidRDefault="00E47687" w:rsidP="00E47687">
      <w:pPr>
        <w:keepNext/>
      </w:pPr>
      <w:r>
        <w:rPr>
          <w:noProof/>
        </w:rPr>
        <w:lastRenderedPageBreak/>
        <w:drawing>
          <wp:inline distT="0" distB="0" distL="0" distR="0" wp14:anchorId="42728977" wp14:editId="2E09612B">
            <wp:extent cx="4584700" cy="2755900"/>
            <wp:effectExtent l="0" t="0" r="6350" b="6350"/>
            <wp:docPr id="17415085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2C60B64F" w14:textId="37077610" w:rsidR="00E47687" w:rsidRDefault="00E47687" w:rsidP="00E47687">
      <w:pPr>
        <w:pStyle w:val="Caption"/>
      </w:pPr>
      <w:bookmarkStart w:id="9" w:name="_Toc236395057"/>
      <w:r>
        <w:t xml:space="preserve">Figure </w:t>
      </w:r>
      <w:fldSimple w:instr=" SEQ Figure \* ARABIC ">
        <w:r w:rsidR="001D43F5">
          <w:rPr>
            <w:noProof/>
          </w:rPr>
          <w:t>2</w:t>
        </w:r>
      </w:fldSimple>
      <w:r>
        <w:t xml:space="preserve">: </w:t>
      </w:r>
      <w:r w:rsidRPr="005033FD">
        <w:t>Liquidity Ratios vs. Industry Benchmark (2024)</w:t>
      </w:r>
      <w:bookmarkEnd w:id="9"/>
    </w:p>
    <w:p w14:paraId="53797C36" w14:textId="7209F6DE" w:rsidR="00E47687" w:rsidRDefault="00E47687" w:rsidP="00E47687">
      <w:r>
        <w:t>Source: Self-created in Excel</w:t>
      </w:r>
    </w:p>
    <w:p w14:paraId="2CE261A0" w14:textId="30E3F91A" w:rsidR="004F3C70" w:rsidRPr="00E47687" w:rsidRDefault="006B36F0" w:rsidP="00E47687">
      <w:r w:rsidRPr="006B36F0">
        <w:t>The liquidity ratios of Marriott International (2019-2021) are compared to 2024 hospitality industry liquidity ratios in Figure 2. Results indicate that Marriott's current ratio of 0.40 and quick ratio of 0.37 are lower than the current ratio and quick ratio of the industry which is around 0.73 and 0.63, respectively. The results of these findings are that when it comes to liquidity Ratios Marriott has a lower level compared to the normal hospitality firms. This is in keeping with the company's health-conscious business model, which is built on relatively high operating cash flow and income generated from the company's franchising business opposed to high current assets. The ratios are substandard to industry, but not necessarily means a lack of financial strength, but rather a strategy of efficient use of capita</w:t>
      </w:r>
      <w:r>
        <w:t>l</w:t>
      </w:r>
      <w:r w:rsidR="004F3C70">
        <w:t>.</w:t>
      </w:r>
    </w:p>
    <w:p w14:paraId="6B25341F" w14:textId="1764EC27" w:rsidR="00855DF0" w:rsidRPr="00855DF0" w:rsidRDefault="00855DF0" w:rsidP="000B7CB9">
      <w:pPr>
        <w:pStyle w:val="Heading1"/>
      </w:pPr>
      <w:bookmarkStart w:id="10" w:name="_Toc236474110"/>
      <w:r w:rsidRPr="00855DF0">
        <w:t>2. Working Capital Management Analysis</w:t>
      </w:r>
      <w:bookmarkEnd w:id="10"/>
    </w:p>
    <w:p w14:paraId="0D4D6CD8" w14:textId="77777777" w:rsidR="00855DF0" w:rsidRPr="00855DF0" w:rsidRDefault="00855DF0" w:rsidP="000B7CB9">
      <w:pPr>
        <w:pStyle w:val="Heading2"/>
      </w:pPr>
      <w:bookmarkStart w:id="11" w:name="_Toc236474111"/>
      <w:r w:rsidRPr="00855DF0">
        <w:t>a. Cash Operating Cycle Assessment</w:t>
      </w:r>
      <w:bookmarkEnd w:id="11"/>
    </w:p>
    <w:p w14:paraId="6E555D61" w14:textId="61424405" w:rsidR="00855DF0" w:rsidRPr="00855DF0" w:rsidRDefault="000D58C1" w:rsidP="000B7CB9">
      <w:r w:rsidRPr="000D58C1">
        <w:t>Marriott International has a very asset-light business model with a negative cash conversion cycle (CCC)</w:t>
      </w:r>
      <w:r w:rsidR="00741AC4" w:rsidRPr="00741AC4">
        <w:rPr>
          <w:rFonts w:ascii="Times New Roman" w:eastAsia="Times New Roman" w:hAnsi="Times New Roman" w:cs="Times New Roman"/>
          <w:kern w:val="0"/>
          <w:szCs w:val="24"/>
          <w:lang w:eastAsia="en-IN"/>
          <w14:ligatures w14:val="none"/>
        </w:rPr>
        <w:t xml:space="preserve"> </w:t>
      </w:r>
      <w:r w:rsidR="00741AC4" w:rsidRPr="00741AC4">
        <w:t>(Branco, 2024)</w:t>
      </w:r>
      <w:r w:rsidRPr="000D58C1">
        <w:t>. Time which passed between cash outflows for operating expenses and cash inflows from customers is referred to as the CCC and is measured as follows</w:t>
      </w:r>
      <w:r w:rsidR="00855DF0" w:rsidRPr="00855DF0">
        <w:t>:</w:t>
      </w:r>
    </w:p>
    <w:p w14:paraId="5BEC33F2" w14:textId="66F0CC6B" w:rsidR="00855DF0" w:rsidRPr="00855DF0" w:rsidRDefault="00855DF0" w:rsidP="00855DF0">
      <w:pPr>
        <w:spacing w:line="259" w:lineRule="auto"/>
      </w:pPr>
      <m:oMathPara>
        <m:oMath>
          <m:r>
            <m:rPr>
              <m:nor/>
            </m:rPr>
            <m:t>CCC</m:t>
          </m:r>
          <m:r>
            <w:rPr>
              <w:rFonts w:ascii="Cambria Math" w:hAnsi="Cambria Math"/>
            </w:rPr>
            <m:t>=</m:t>
          </m:r>
          <m:r>
            <m:rPr>
              <m:nor/>
            </m:rPr>
            <m:t>Days Inventory Outstanding (DIO)</m:t>
          </m:r>
          <m:r>
            <w:rPr>
              <w:rFonts w:ascii="Cambria Math" w:hAnsi="Cambria Math"/>
            </w:rPr>
            <m:t>+</m:t>
          </m:r>
          <m:r>
            <m:rPr>
              <m:nor/>
            </m:rPr>
            <m:t>Days Sales Outstanding (DSO)</m:t>
          </m:r>
          <m:r>
            <w:rPr>
              <w:rFonts w:ascii="Cambria Math" w:hAnsi="Cambria Math"/>
            </w:rPr>
            <m:t>-</m:t>
          </m:r>
          <m:r>
            <m:rPr>
              <m:nor/>
            </m:rPr>
            <m:t>Days Payable Outstanding (DPO)</m:t>
          </m:r>
        </m:oMath>
      </m:oMathPara>
    </w:p>
    <w:p w14:paraId="0F919F5D" w14:textId="10A7F143" w:rsidR="00855DF0" w:rsidRPr="00855DF0" w:rsidRDefault="000D58C1" w:rsidP="000B7CB9">
      <w:r>
        <w:lastRenderedPageBreak/>
        <w:t>M</w:t>
      </w:r>
      <w:r w:rsidRPr="000D58C1">
        <w:t>arriott's has been trending down for the last five years, though, with the CCC in the negative ranging from a low of -48 days all the way down to -54 days, the median is -54 days</w:t>
      </w:r>
      <w:r w:rsidR="00804E14" w:rsidRPr="00804E14">
        <w:rPr>
          <w:rFonts w:ascii="Times New Roman" w:eastAsia="Times New Roman" w:hAnsi="Times New Roman" w:cs="Times New Roman"/>
          <w:kern w:val="0"/>
          <w:szCs w:val="24"/>
          <w:lang w:eastAsia="en-IN"/>
          <w14:ligatures w14:val="none"/>
        </w:rPr>
        <w:t xml:space="preserve"> </w:t>
      </w:r>
      <w:r w:rsidR="00804E14" w:rsidRPr="00804E14">
        <w:t>(Back, 2026)</w:t>
      </w:r>
      <w:r w:rsidRPr="000D58C1">
        <w:t>. In turn, this negative cycle means Marriott takes cash from customers — who are mostly franchisees and managed property owners — well before it pays its own suppliers and operating costs for building upkeep, maintenance, and repairs, for example. This is a huge working capital benefit – a source of financing that generates no interest cost</w:t>
      </w:r>
      <w:r w:rsidR="00855DF0" w:rsidRPr="00855DF0">
        <w:t>.</w:t>
      </w:r>
    </w:p>
    <w:p w14:paraId="609B5B18" w14:textId="1E97F0E4" w:rsidR="00855DF0" w:rsidRPr="00855DF0" w:rsidRDefault="000D58C1" w:rsidP="000B7CB9">
      <w:r w:rsidRPr="000D58C1">
        <w:t>There are several business model factors that help create negative CCC for Marriott</w:t>
      </w:r>
      <w:r w:rsidR="00855DF0" w:rsidRPr="00855DF0">
        <w:t>:</w:t>
      </w:r>
    </w:p>
    <w:p w14:paraId="43029D48" w14:textId="20DDC4D9" w:rsidR="00855DF0" w:rsidRPr="00855DF0" w:rsidRDefault="00855DF0">
      <w:pPr>
        <w:pStyle w:val="ListParagraph"/>
        <w:numPr>
          <w:ilvl w:val="0"/>
          <w:numId w:val="4"/>
        </w:numPr>
      </w:pPr>
      <w:r w:rsidRPr="000B7CB9">
        <w:rPr>
          <w:b/>
          <w:bCs/>
        </w:rPr>
        <w:t>Minimal Inventory:</w:t>
      </w:r>
      <w:r w:rsidRPr="00855DF0">
        <w:t xml:space="preserve"> </w:t>
      </w:r>
      <w:r w:rsidR="000D58C1" w:rsidRPr="000D58C1">
        <w:t>Marriott is a service-based organization with relatively low inventory, and therefore its DIO is very low due to a small number of properties owned</w:t>
      </w:r>
      <w:r w:rsidRPr="00855DF0">
        <w:t>.</w:t>
      </w:r>
    </w:p>
    <w:p w14:paraId="5658ACC5" w14:textId="116DF98C" w:rsidR="00855DF0" w:rsidRPr="00855DF0" w:rsidRDefault="00855DF0">
      <w:pPr>
        <w:pStyle w:val="ListParagraph"/>
        <w:numPr>
          <w:ilvl w:val="0"/>
          <w:numId w:val="4"/>
        </w:numPr>
      </w:pPr>
      <w:r w:rsidRPr="000B7CB9">
        <w:rPr>
          <w:b/>
          <w:bCs/>
        </w:rPr>
        <w:t>Efficient Receivables Collection:</w:t>
      </w:r>
      <w:r w:rsidRPr="00855DF0">
        <w:t xml:space="preserve"> </w:t>
      </w:r>
      <w:r w:rsidR="000D58C1" w:rsidRPr="000D58C1">
        <w:t>Efficient collection of Receivables as indicated by the Strong Receivables Turnover (2.55 in 2024)</w:t>
      </w:r>
      <w:r w:rsidRPr="00855DF0">
        <w:t>.</w:t>
      </w:r>
    </w:p>
    <w:p w14:paraId="22E8E4B3" w14:textId="3364D686" w:rsidR="00855DF0" w:rsidRPr="00855DF0" w:rsidRDefault="00855DF0" w:rsidP="00804E14">
      <w:pPr>
        <w:pStyle w:val="ListParagraph"/>
        <w:numPr>
          <w:ilvl w:val="0"/>
          <w:numId w:val="4"/>
        </w:numPr>
      </w:pPr>
      <w:r w:rsidRPr="000B7CB9">
        <w:rPr>
          <w:b/>
          <w:bCs/>
        </w:rPr>
        <w:t>Extended Payables:</w:t>
      </w:r>
      <w:r w:rsidRPr="00855DF0">
        <w:t xml:space="preserve"> </w:t>
      </w:r>
      <w:r w:rsidR="000D58C1" w:rsidRPr="000D58C1">
        <w:t>Marriott negotiates with its suppliers to obtain better terms for paying suppliers, known as extended payables / DPO</w:t>
      </w:r>
      <w:r w:rsidR="00804E14" w:rsidRPr="00804E14">
        <w:rPr>
          <w:rFonts w:ascii="Times New Roman" w:eastAsia="Times New Roman" w:hAnsi="Times New Roman" w:cs="Times New Roman"/>
          <w:kern w:val="0"/>
          <w:szCs w:val="24"/>
          <w:lang w:eastAsia="en-IN"/>
          <w14:ligatures w14:val="none"/>
        </w:rPr>
        <w:t xml:space="preserve"> </w:t>
      </w:r>
      <w:r w:rsidR="00804E14" w:rsidRPr="00804E14">
        <w:t>(PAING, 2022)</w:t>
      </w:r>
      <w:r w:rsidRPr="00855DF0">
        <w:t>.</w:t>
      </w:r>
    </w:p>
    <w:p w14:paraId="4D57E3F9" w14:textId="748C6C28" w:rsidR="00855DF0" w:rsidRPr="00855DF0" w:rsidRDefault="000D58C1" w:rsidP="003E76D8">
      <w:r w:rsidRPr="000D58C1">
        <w:t>Despite the negative CCC though, Marriott's Current Ratio is still below 1.0 (0.40 in 2024), meaning that Current Liabilities are greater than Current Assets. This indicates that the cash cycle is efficient; the firm uses short-term financing to fund and pay short-term demands which means it's vulnerable to cash flow periods if the cash flow comes under strain</w:t>
      </w:r>
      <w:r w:rsidR="00855DF0" w:rsidRPr="00855DF0">
        <w:t>.</w:t>
      </w:r>
    </w:p>
    <w:p w14:paraId="3FD19DC6" w14:textId="77777777" w:rsidR="00855DF0" w:rsidRPr="00855DF0" w:rsidRDefault="00855DF0" w:rsidP="003E76D8">
      <w:pPr>
        <w:pStyle w:val="Heading2"/>
      </w:pPr>
      <w:bookmarkStart w:id="12" w:name="_Toc236474112"/>
      <w:r w:rsidRPr="00855DF0">
        <w:t>b. Strategies to Improve Liquidity through Working Capital Reforms</w:t>
      </w:r>
      <w:bookmarkEnd w:id="12"/>
    </w:p>
    <w:p w14:paraId="679E985C" w14:textId="09E95901" w:rsidR="00855DF0" w:rsidRPr="00855DF0" w:rsidRDefault="000D58C1" w:rsidP="003E76D8">
      <w:r w:rsidRPr="000D58C1">
        <w:t>Following are the recommendations for changes that Marriott can make in the working capital situation to improve liquidity and lessen its need for short-term financing</w:t>
      </w:r>
      <w:r w:rsidR="00855DF0" w:rsidRPr="00855DF0">
        <w:t>:</w:t>
      </w:r>
    </w:p>
    <w:p w14:paraId="4A47DCAF" w14:textId="77777777" w:rsidR="00855DF0" w:rsidRPr="003E76D8" w:rsidRDefault="00855DF0" w:rsidP="003E76D8">
      <w:pPr>
        <w:rPr>
          <w:b/>
          <w:bCs/>
        </w:rPr>
      </w:pPr>
      <w:r w:rsidRPr="003E76D8">
        <w:rPr>
          <w:b/>
          <w:bCs/>
        </w:rPr>
        <w:t>Optimise Receivables Management:</w:t>
      </w:r>
    </w:p>
    <w:p w14:paraId="7784570B" w14:textId="77777777" w:rsidR="000D58C1" w:rsidRDefault="000D58C1" w:rsidP="000D58C1">
      <w:r>
        <w:t>Adopt the system of dynamic discounting to prompt faster payments from the franchisee, especially for larger payments.</w:t>
      </w:r>
    </w:p>
    <w:p w14:paraId="4A570767" w14:textId="1B281D61" w:rsidR="00855DF0" w:rsidRPr="00855DF0" w:rsidRDefault="000D58C1" w:rsidP="000D58C1">
      <w:r>
        <w:t>Implementing AI-powered credit risk assessment processes can help detect fraudulent transactions and take action before they become a problem</w:t>
      </w:r>
      <w:r w:rsidR="00804E14" w:rsidRPr="00804E14">
        <w:t xml:space="preserve"> (</w:t>
      </w:r>
      <w:proofErr w:type="spellStart"/>
      <w:proofErr w:type="gramStart"/>
      <w:r w:rsidR="00804E14" w:rsidRPr="00804E14">
        <w:t>Iseal</w:t>
      </w:r>
      <w:proofErr w:type="spellEnd"/>
      <w:r w:rsidR="00804E14" w:rsidRPr="00804E14">
        <w:t>,,</w:t>
      </w:r>
      <w:proofErr w:type="gramEnd"/>
      <w:r w:rsidR="00804E14" w:rsidRPr="00804E14">
        <w:t>Joseph and Joseph,2025)</w:t>
      </w:r>
      <w:r w:rsidR="00855DF0" w:rsidRPr="00855DF0">
        <w:t>.</w:t>
      </w:r>
    </w:p>
    <w:p w14:paraId="07C3CFC4" w14:textId="77777777" w:rsidR="00855DF0" w:rsidRPr="003E76D8" w:rsidRDefault="00855DF0" w:rsidP="003E76D8">
      <w:pPr>
        <w:rPr>
          <w:b/>
          <w:bCs/>
        </w:rPr>
      </w:pPr>
      <w:r w:rsidRPr="003E76D8">
        <w:rPr>
          <w:b/>
          <w:bCs/>
        </w:rPr>
        <w:t>Extend Payables Without Straining Supplier Relationships:</w:t>
      </w:r>
    </w:p>
    <w:p w14:paraId="6D67DE35" w14:textId="102EAD99" w:rsidR="000D58C1" w:rsidRDefault="000D58C1" w:rsidP="000D58C1">
      <w:r>
        <w:lastRenderedPageBreak/>
        <w:t>Provide financing to suppliers to ensure their liquidity, while negotiating with supply chain financing for major suppliers to increase intervals</w:t>
      </w:r>
      <w:r w:rsidR="0025275B" w:rsidRPr="0025275B">
        <w:rPr>
          <w:rFonts w:ascii="Times New Roman" w:eastAsia="Times New Roman" w:hAnsi="Times New Roman" w:cs="Times New Roman"/>
          <w:kern w:val="0"/>
          <w:szCs w:val="24"/>
          <w:lang w:eastAsia="en-IN"/>
          <w14:ligatures w14:val="none"/>
        </w:rPr>
        <w:t xml:space="preserve"> </w:t>
      </w:r>
      <w:r w:rsidR="0025275B" w:rsidRPr="0025275B">
        <w:t>(Hu et al., 2025)</w:t>
      </w:r>
      <w:r>
        <w:t>.</w:t>
      </w:r>
    </w:p>
    <w:p w14:paraId="51081D41" w14:textId="44C48D7E" w:rsidR="00855DF0" w:rsidRPr="00855DF0" w:rsidRDefault="000D58C1" w:rsidP="000D58C1">
      <w:r>
        <w:t>Provide a unified global solution for accounts payable that benefits from global volume discounts and better payments due timeliness</w:t>
      </w:r>
      <w:r w:rsidR="00855DF0" w:rsidRPr="00855DF0">
        <w:t>.</w:t>
      </w:r>
    </w:p>
    <w:p w14:paraId="3F5724CC" w14:textId="77777777" w:rsidR="00855DF0" w:rsidRPr="003E76D8" w:rsidRDefault="00855DF0" w:rsidP="003E76D8">
      <w:pPr>
        <w:rPr>
          <w:b/>
          <w:bCs/>
        </w:rPr>
      </w:pPr>
      <w:r w:rsidRPr="003E76D8">
        <w:rPr>
          <w:b/>
          <w:bCs/>
        </w:rPr>
        <w:t>Reduce Prepaid Expenses and Other Current Assets:</w:t>
      </w:r>
    </w:p>
    <w:p w14:paraId="35A31A50" w14:textId="6C0F19E9" w:rsidR="000D58C1" w:rsidRDefault="000D58C1" w:rsidP="000D58C1">
      <w:r>
        <w:t>Analyse costs impacted by deferral or reduction, such as insurance and marketing, etc., prior to the period in which they are incurred.</w:t>
      </w:r>
    </w:p>
    <w:p w14:paraId="5AB2A99C" w14:textId="4D354455" w:rsidR="00855DF0" w:rsidRPr="00855DF0" w:rsidRDefault="000D58C1" w:rsidP="000D58C1">
      <w:r>
        <w:t>Put non-essential current assets into just in time expenses</w:t>
      </w:r>
      <w:r w:rsidR="00855DF0" w:rsidRPr="00855DF0">
        <w:t>.</w:t>
      </w:r>
    </w:p>
    <w:p w14:paraId="1321A9A1" w14:textId="77777777" w:rsidR="00855DF0" w:rsidRPr="003E76D8" w:rsidRDefault="00855DF0" w:rsidP="003E76D8">
      <w:pPr>
        <w:rPr>
          <w:b/>
          <w:bCs/>
        </w:rPr>
      </w:pPr>
      <w:r w:rsidRPr="003E76D8">
        <w:rPr>
          <w:b/>
          <w:bCs/>
        </w:rPr>
        <w:t>Enhance Cash Visibility and Forecasting:</w:t>
      </w:r>
    </w:p>
    <w:p w14:paraId="68B15182" w14:textId="665078C7" w:rsidR="000D58C1" w:rsidRDefault="000D58C1" w:rsidP="000D58C1">
      <w:r>
        <w:t>Implement cash flow forecasting solutions in the real time to enhance cash flow planning and minimize the need to borrow short term</w:t>
      </w:r>
      <w:r w:rsidR="00AF3F31" w:rsidRPr="00AF3F31">
        <w:rPr>
          <w:rFonts w:ascii="Times New Roman" w:eastAsia="Times New Roman" w:hAnsi="Times New Roman" w:cs="Times New Roman"/>
          <w:kern w:val="0"/>
          <w:szCs w:val="24"/>
          <w:lang w:eastAsia="en-IN"/>
          <w14:ligatures w14:val="none"/>
        </w:rPr>
        <w:t xml:space="preserve"> </w:t>
      </w:r>
      <w:r w:rsidR="00AF3F31" w:rsidRPr="00AF3F31">
        <w:t>(Alonge, Chibunna and Eyo-Udo, 2024)</w:t>
      </w:r>
      <w:r>
        <w:t>.</w:t>
      </w:r>
    </w:p>
    <w:p w14:paraId="66DD58F7" w14:textId="7590DAF0" w:rsidR="00855DF0" w:rsidRPr="00855DF0" w:rsidRDefault="000D58C1" w:rsidP="000D58C1">
      <w:r>
        <w:t>Create a global cash pooling mechanism to optimise cash positioning of excess cash held by subsidiaries and to minimise the need to borrow cash from outside the company</w:t>
      </w:r>
      <w:r w:rsidR="00855DF0" w:rsidRPr="00855DF0">
        <w:t>.</w:t>
      </w:r>
    </w:p>
    <w:p w14:paraId="54AAFC88" w14:textId="77777777" w:rsidR="00855DF0" w:rsidRPr="003E76D8" w:rsidRDefault="00855DF0" w:rsidP="003E76D8">
      <w:pPr>
        <w:rPr>
          <w:b/>
          <w:bCs/>
        </w:rPr>
      </w:pPr>
      <w:r w:rsidRPr="003E76D8">
        <w:rPr>
          <w:b/>
          <w:bCs/>
        </w:rPr>
        <w:t>Maintain a Liquidity Buffer:</w:t>
      </w:r>
    </w:p>
    <w:p w14:paraId="20981DA7" w14:textId="45533BDC" w:rsidR="00855DF0" w:rsidRPr="00855DF0" w:rsidRDefault="000D58C1" w:rsidP="0042400B">
      <w:r w:rsidRPr="000D58C1">
        <w:t>The negative CCC is beneficial, and Marriott needs to have a minimum cash reserve that equals the operating expenses for the last 3-6 months to allow for cushioning in case of an unexpected disruption (such as a pandemic or economic slowdown</w:t>
      </w:r>
      <w:r w:rsidR="00855DF0" w:rsidRPr="00855DF0">
        <w:t>).</w:t>
      </w:r>
    </w:p>
    <w:p w14:paraId="1DAFE0C6" w14:textId="055AD048" w:rsidR="00855DF0" w:rsidRPr="00855DF0" w:rsidRDefault="00855DF0" w:rsidP="0042400B">
      <w:pPr>
        <w:pStyle w:val="Heading2"/>
      </w:pPr>
      <w:bookmarkStart w:id="13" w:name="_Toc236474113"/>
      <w:r w:rsidRPr="00855DF0">
        <w:t>c. Short-Term vs. Long-Term Financing Options</w:t>
      </w:r>
      <w:bookmarkEnd w:id="13"/>
    </w:p>
    <w:p w14:paraId="2E864D40" w14:textId="2190979B" w:rsidR="0042400B" w:rsidRDefault="0042400B" w:rsidP="0042400B">
      <w:pPr>
        <w:pStyle w:val="Caption"/>
        <w:keepNext/>
      </w:pPr>
      <w:bookmarkStart w:id="14" w:name="_Toc236395053"/>
      <w:r>
        <w:t xml:space="preserve">Table </w:t>
      </w:r>
      <w:fldSimple w:instr=" SEQ Table \* ARABIC ">
        <w:r w:rsidR="008D3140">
          <w:rPr>
            <w:noProof/>
          </w:rPr>
          <w:t>3</w:t>
        </w:r>
      </w:fldSimple>
      <w:r>
        <w:t xml:space="preserve">: </w:t>
      </w:r>
      <w:r w:rsidRPr="00783D5B">
        <w:t>Short-Term vs. Long-Term Financing for Marriott</w:t>
      </w:r>
      <w:bookmarkEnd w:id="14"/>
    </w:p>
    <w:tbl>
      <w:tblPr>
        <w:tblStyle w:val="TableGrid"/>
        <w:tblW w:w="0" w:type="auto"/>
        <w:tblLook w:val="04A0" w:firstRow="1" w:lastRow="0" w:firstColumn="1" w:lastColumn="0" w:noHBand="0" w:noVBand="1"/>
      </w:tblPr>
      <w:tblGrid>
        <w:gridCol w:w="1902"/>
        <w:gridCol w:w="3504"/>
        <w:gridCol w:w="3610"/>
      </w:tblGrid>
      <w:tr w:rsidR="00855DF0" w:rsidRPr="00855DF0" w14:paraId="3C25EBFD" w14:textId="77777777" w:rsidTr="0042400B">
        <w:tc>
          <w:tcPr>
            <w:tcW w:w="0" w:type="auto"/>
            <w:hideMark/>
          </w:tcPr>
          <w:p w14:paraId="7F4ECC84" w14:textId="77777777" w:rsidR="00855DF0" w:rsidRPr="00855DF0" w:rsidRDefault="00855DF0" w:rsidP="00855DF0">
            <w:pPr>
              <w:spacing w:after="160" w:line="259" w:lineRule="auto"/>
              <w:jc w:val="left"/>
              <w:rPr>
                <w:b/>
                <w:bCs/>
              </w:rPr>
            </w:pPr>
            <w:r w:rsidRPr="00855DF0">
              <w:rPr>
                <w:b/>
                <w:bCs/>
              </w:rPr>
              <w:t>Criterion</w:t>
            </w:r>
          </w:p>
        </w:tc>
        <w:tc>
          <w:tcPr>
            <w:tcW w:w="0" w:type="auto"/>
            <w:hideMark/>
          </w:tcPr>
          <w:p w14:paraId="0D08D3D3" w14:textId="77777777" w:rsidR="00855DF0" w:rsidRPr="00855DF0" w:rsidRDefault="00855DF0" w:rsidP="00855DF0">
            <w:pPr>
              <w:spacing w:after="160" w:line="259" w:lineRule="auto"/>
              <w:jc w:val="left"/>
              <w:rPr>
                <w:b/>
                <w:bCs/>
              </w:rPr>
            </w:pPr>
            <w:r w:rsidRPr="00855DF0">
              <w:rPr>
                <w:b/>
                <w:bCs/>
              </w:rPr>
              <w:t>Short-Term Financing</w:t>
            </w:r>
          </w:p>
        </w:tc>
        <w:tc>
          <w:tcPr>
            <w:tcW w:w="0" w:type="auto"/>
            <w:hideMark/>
          </w:tcPr>
          <w:p w14:paraId="26B30079" w14:textId="77777777" w:rsidR="00855DF0" w:rsidRPr="00855DF0" w:rsidRDefault="00855DF0" w:rsidP="00855DF0">
            <w:pPr>
              <w:spacing w:after="160" w:line="259" w:lineRule="auto"/>
              <w:jc w:val="left"/>
              <w:rPr>
                <w:b/>
                <w:bCs/>
              </w:rPr>
            </w:pPr>
            <w:r w:rsidRPr="00855DF0">
              <w:rPr>
                <w:b/>
                <w:bCs/>
              </w:rPr>
              <w:t>Long-Term Financing</w:t>
            </w:r>
          </w:p>
        </w:tc>
      </w:tr>
      <w:tr w:rsidR="00855DF0" w:rsidRPr="00855DF0" w14:paraId="0C947164" w14:textId="77777777" w:rsidTr="0042400B">
        <w:tc>
          <w:tcPr>
            <w:tcW w:w="0" w:type="auto"/>
            <w:hideMark/>
          </w:tcPr>
          <w:p w14:paraId="15DB0E12" w14:textId="77777777" w:rsidR="00855DF0" w:rsidRPr="00855DF0" w:rsidRDefault="00855DF0" w:rsidP="00855DF0">
            <w:pPr>
              <w:spacing w:after="160" w:line="259" w:lineRule="auto"/>
            </w:pPr>
            <w:r w:rsidRPr="00855DF0">
              <w:rPr>
                <w:b/>
                <w:bCs/>
              </w:rPr>
              <w:t>Cost</w:t>
            </w:r>
          </w:p>
        </w:tc>
        <w:tc>
          <w:tcPr>
            <w:tcW w:w="0" w:type="auto"/>
            <w:hideMark/>
          </w:tcPr>
          <w:p w14:paraId="0FB7951E" w14:textId="77777777" w:rsidR="00855DF0" w:rsidRPr="00855DF0" w:rsidRDefault="00855DF0" w:rsidP="00855DF0">
            <w:pPr>
              <w:spacing w:after="160" w:line="259" w:lineRule="auto"/>
            </w:pPr>
            <w:r w:rsidRPr="00855DF0">
              <w:t>Lower interest rates initially</w:t>
            </w:r>
          </w:p>
        </w:tc>
        <w:tc>
          <w:tcPr>
            <w:tcW w:w="0" w:type="auto"/>
            <w:hideMark/>
          </w:tcPr>
          <w:p w14:paraId="10E06BCE" w14:textId="77777777" w:rsidR="00855DF0" w:rsidRPr="00855DF0" w:rsidRDefault="00855DF0" w:rsidP="00855DF0">
            <w:pPr>
              <w:spacing w:after="160" w:line="259" w:lineRule="auto"/>
            </w:pPr>
            <w:r w:rsidRPr="00855DF0">
              <w:t>Higher interest rates but fixed over time</w:t>
            </w:r>
          </w:p>
        </w:tc>
      </w:tr>
      <w:tr w:rsidR="00855DF0" w:rsidRPr="00855DF0" w14:paraId="77BCD860" w14:textId="77777777" w:rsidTr="0042400B">
        <w:tc>
          <w:tcPr>
            <w:tcW w:w="0" w:type="auto"/>
            <w:hideMark/>
          </w:tcPr>
          <w:p w14:paraId="35CEBB9B" w14:textId="77777777" w:rsidR="00855DF0" w:rsidRPr="00855DF0" w:rsidRDefault="00855DF0" w:rsidP="00855DF0">
            <w:pPr>
              <w:spacing w:after="160" w:line="259" w:lineRule="auto"/>
            </w:pPr>
            <w:r w:rsidRPr="00855DF0">
              <w:rPr>
                <w:b/>
                <w:bCs/>
              </w:rPr>
              <w:t>Flexibility</w:t>
            </w:r>
          </w:p>
        </w:tc>
        <w:tc>
          <w:tcPr>
            <w:tcW w:w="0" w:type="auto"/>
            <w:hideMark/>
          </w:tcPr>
          <w:p w14:paraId="56FFFE93" w14:textId="77777777" w:rsidR="00855DF0" w:rsidRPr="00855DF0" w:rsidRDefault="00855DF0" w:rsidP="00855DF0">
            <w:pPr>
              <w:spacing w:after="160" w:line="259" w:lineRule="auto"/>
            </w:pPr>
            <w:r w:rsidRPr="00855DF0">
              <w:t>High; can be drawn and repaid quickly</w:t>
            </w:r>
          </w:p>
        </w:tc>
        <w:tc>
          <w:tcPr>
            <w:tcW w:w="0" w:type="auto"/>
            <w:hideMark/>
          </w:tcPr>
          <w:p w14:paraId="35D6425E" w14:textId="77777777" w:rsidR="00855DF0" w:rsidRPr="00855DF0" w:rsidRDefault="00855DF0" w:rsidP="00855DF0">
            <w:pPr>
              <w:spacing w:after="160" w:line="259" w:lineRule="auto"/>
            </w:pPr>
            <w:r w:rsidRPr="00855DF0">
              <w:t>Lower; commitments are long-term</w:t>
            </w:r>
          </w:p>
        </w:tc>
      </w:tr>
      <w:tr w:rsidR="00855DF0" w:rsidRPr="00855DF0" w14:paraId="3274D76D" w14:textId="77777777" w:rsidTr="0042400B">
        <w:tc>
          <w:tcPr>
            <w:tcW w:w="0" w:type="auto"/>
            <w:hideMark/>
          </w:tcPr>
          <w:p w14:paraId="22C5DEFA" w14:textId="77777777" w:rsidR="00855DF0" w:rsidRPr="00855DF0" w:rsidRDefault="00855DF0" w:rsidP="00855DF0">
            <w:pPr>
              <w:spacing w:after="160" w:line="259" w:lineRule="auto"/>
            </w:pPr>
            <w:r w:rsidRPr="00855DF0">
              <w:rPr>
                <w:b/>
                <w:bCs/>
              </w:rPr>
              <w:t>Risk</w:t>
            </w:r>
          </w:p>
        </w:tc>
        <w:tc>
          <w:tcPr>
            <w:tcW w:w="0" w:type="auto"/>
            <w:hideMark/>
          </w:tcPr>
          <w:p w14:paraId="1C07D94A" w14:textId="77777777" w:rsidR="00855DF0" w:rsidRPr="00855DF0" w:rsidRDefault="00855DF0" w:rsidP="00855DF0">
            <w:pPr>
              <w:spacing w:after="160" w:line="259" w:lineRule="auto"/>
            </w:pPr>
            <w:r w:rsidRPr="00855DF0">
              <w:t>Refinancing risk if rates rise or credit tightens</w:t>
            </w:r>
          </w:p>
        </w:tc>
        <w:tc>
          <w:tcPr>
            <w:tcW w:w="0" w:type="auto"/>
            <w:hideMark/>
          </w:tcPr>
          <w:p w14:paraId="7427B5C2" w14:textId="77777777" w:rsidR="00855DF0" w:rsidRPr="00855DF0" w:rsidRDefault="00855DF0" w:rsidP="00855DF0">
            <w:pPr>
              <w:spacing w:after="160" w:line="259" w:lineRule="auto"/>
            </w:pPr>
            <w:r w:rsidRPr="00855DF0">
              <w:t>Interest rate risk if variable; prepayment penalties if fixed</w:t>
            </w:r>
          </w:p>
        </w:tc>
      </w:tr>
      <w:tr w:rsidR="00855DF0" w:rsidRPr="00855DF0" w14:paraId="3E568268" w14:textId="77777777" w:rsidTr="0042400B">
        <w:tc>
          <w:tcPr>
            <w:tcW w:w="0" w:type="auto"/>
            <w:hideMark/>
          </w:tcPr>
          <w:p w14:paraId="4779457E" w14:textId="77777777" w:rsidR="00855DF0" w:rsidRPr="00855DF0" w:rsidRDefault="00855DF0" w:rsidP="00855DF0">
            <w:pPr>
              <w:spacing w:after="160" w:line="259" w:lineRule="auto"/>
            </w:pPr>
            <w:r w:rsidRPr="00855DF0">
              <w:rPr>
                <w:b/>
                <w:bCs/>
              </w:rPr>
              <w:lastRenderedPageBreak/>
              <w:t>Impact on Liquidity</w:t>
            </w:r>
          </w:p>
        </w:tc>
        <w:tc>
          <w:tcPr>
            <w:tcW w:w="0" w:type="auto"/>
            <w:hideMark/>
          </w:tcPr>
          <w:p w14:paraId="126BC4E6" w14:textId="77777777" w:rsidR="00855DF0" w:rsidRPr="00855DF0" w:rsidRDefault="00855DF0" w:rsidP="00855DF0">
            <w:pPr>
              <w:spacing w:after="160" w:line="259" w:lineRule="auto"/>
            </w:pPr>
            <w:r w:rsidRPr="00855DF0">
              <w:t>Improves immediate liquidity but increases current liabilities</w:t>
            </w:r>
          </w:p>
        </w:tc>
        <w:tc>
          <w:tcPr>
            <w:tcW w:w="0" w:type="auto"/>
            <w:hideMark/>
          </w:tcPr>
          <w:p w14:paraId="4B6D6207" w14:textId="77777777" w:rsidR="00855DF0" w:rsidRPr="00855DF0" w:rsidRDefault="00855DF0" w:rsidP="00855DF0">
            <w:pPr>
              <w:spacing w:after="160" w:line="259" w:lineRule="auto"/>
            </w:pPr>
            <w:r w:rsidRPr="00855DF0">
              <w:t>Improves long-term stability; reduces refinancing risk</w:t>
            </w:r>
          </w:p>
        </w:tc>
      </w:tr>
      <w:tr w:rsidR="00855DF0" w:rsidRPr="00855DF0" w14:paraId="72D143BE" w14:textId="77777777" w:rsidTr="0042400B">
        <w:tc>
          <w:tcPr>
            <w:tcW w:w="0" w:type="auto"/>
            <w:hideMark/>
          </w:tcPr>
          <w:p w14:paraId="17D59DC9" w14:textId="77777777" w:rsidR="00855DF0" w:rsidRPr="00855DF0" w:rsidRDefault="00855DF0" w:rsidP="00855DF0">
            <w:pPr>
              <w:spacing w:after="160" w:line="259" w:lineRule="auto"/>
            </w:pPr>
            <w:r w:rsidRPr="00855DF0">
              <w:rPr>
                <w:b/>
                <w:bCs/>
              </w:rPr>
              <w:t>Suitability for Marriott</w:t>
            </w:r>
          </w:p>
        </w:tc>
        <w:tc>
          <w:tcPr>
            <w:tcW w:w="0" w:type="auto"/>
            <w:hideMark/>
          </w:tcPr>
          <w:p w14:paraId="7912DEDD" w14:textId="77777777" w:rsidR="00855DF0" w:rsidRPr="00855DF0" w:rsidRDefault="00855DF0" w:rsidP="00855DF0">
            <w:pPr>
              <w:spacing w:after="160" w:line="259" w:lineRule="auto"/>
            </w:pPr>
            <w:r w:rsidRPr="00855DF0">
              <w:t>Suitable for seasonal working capital needs</w:t>
            </w:r>
          </w:p>
        </w:tc>
        <w:tc>
          <w:tcPr>
            <w:tcW w:w="0" w:type="auto"/>
            <w:hideMark/>
          </w:tcPr>
          <w:p w14:paraId="63FCC2FD" w14:textId="77777777" w:rsidR="00855DF0" w:rsidRPr="00855DF0" w:rsidRDefault="00855DF0" w:rsidP="00855DF0">
            <w:pPr>
              <w:spacing w:after="160" w:line="259" w:lineRule="auto"/>
            </w:pPr>
            <w:r w:rsidRPr="00855DF0">
              <w:t>Preferred for capital expenditures and strategic investments</w:t>
            </w:r>
          </w:p>
        </w:tc>
      </w:tr>
    </w:tbl>
    <w:p w14:paraId="3EF5E007" w14:textId="09D4BA85" w:rsidR="00855DF0" w:rsidRPr="00855DF0" w:rsidRDefault="00855DF0" w:rsidP="008D3024">
      <w:r w:rsidRPr="00BF29C1">
        <w:rPr>
          <w:b/>
          <w:bCs/>
        </w:rPr>
        <w:t>Recommendation:</w:t>
      </w:r>
      <w:r w:rsidRPr="00855DF0">
        <w:br/>
      </w:r>
      <w:r w:rsidR="00E20EE9" w:rsidRPr="00E20EE9">
        <w:t>Conversely, Marriot has to consider investing in its strategic projects by adopting long-term funding sources and financing its existing debt to minimize refinancing risk, especially with its current liquidity status, as demonstrated by its relatively high current ratio of 0.40 (Sousa Adão, 2024). The use of long-term financing of strategic initiatives will give more financial stability and will match the maturity of financing with that of long-term assets. Conversely, short-term financing facilities are meant to be utilized in resolution of short-term working capital needs, liquidity crunch on short-term basis due to the sudden variation in operations. A proper balance between short- and long-term financing will help maintain optimum financing cost and financial risk at Marriott. Moreover, the firm has fair investment-grade credit rating (BBB+/Baa1), which gives the company access to both the short-term and long-term capital markets with favourable interest rates and enables it to undertake an affordable and flexible financing policy, without jeopardising the financial stability.</w:t>
      </w:r>
    </w:p>
    <w:p w14:paraId="79A0404F" w14:textId="607B8177" w:rsidR="00855DF0" w:rsidRPr="00855DF0" w:rsidRDefault="00855DF0" w:rsidP="008D3024">
      <w:pPr>
        <w:pStyle w:val="Heading1"/>
      </w:pPr>
      <w:bookmarkStart w:id="15" w:name="_Toc236474114"/>
      <w:r w:rsidRPr="00855DF0">
        <w:t>3. Strategic Financial Restructuring Plan</w:t>
      </w:r>
      <w:bookmarkEnd w:id="15"/>
    </w:p>
    <w:p w14:paraId="13D019C0" w14:textId="77777777" w:rsidR="00855DF0" w:rsidRPr="00855DF0" w:rsidRDefault="00855DF0" w:rsidP="008D3024">
      <w:pPr>
        <w:pStyle w:val="Heading2"/>
      </w:pPr>
      <w:bookmarkStart w:id="16" w:name="_Toc236474115"/>
      <w:r w:rsidRPr="00855DF0">
        <w:t>a. Recommended Financial Restructuring Options</w:t>
      </w:r>
      <w:bookmarkEnd w:id="16"/>
    </w:p>
    <w:p w14:paraId="3178A8C0" w14:textId="697A7E04" w:rsidR="00855DF0" w:rsidRPr="00855DF0" w:rsidRDefault="000D58C1" w:rsidP="008D3024">
      <w:r w:rsidRPr="000D58C1">
        <w:t>Although cash flow and profitability are good, Marriott's financial position is marked by high leverage and negative shareholders' equity</w:t>
      </w:r>
      <w:r w:rsidR="00AF3F31" w:rsidRPr="00AF3F31">
        <w:t xml:space="preserve"> (Correia, 2024)</w:t>
      </w:r>
      <w:r w:rsidRPr="000D58C1">
        <w:t>. The following restructuring options are recommended for additional financial flexibility and value for shareholder</w:t>
      </w:r>
      <w:r w:rsidR="00855DF0" w:rsidRPr="00855DF0">
        <w:t>:</w:t>
      </w:r>
    </w:p>
    <w:p w14:paraId="7CEEAAF5" w14:textId="77777777" w:rsidR="00855DF0" w:rsidRPr="00C00C24" w:rsidRDefault="00855DF0" w:rsidP="00C00C24">
      <w:pPr>
        <w:rPr>
          <w:b/>
          <w:bCs/>
        </w:rPr>
      </w:pPr>
      <w:r w:rsidRPr="00C00C24">
        <w:rPr>
          <w:b/>
          <w:bCs/>
        </w:rPr>
        <w:t>Equity Injection via Rights Issue or Private Placement:</w:t>
      </w:r>
    </w:p>
    <w:p w14:paraId="7DFA3A95" w14:textId="28862443" w:rsidR="00855DF0" w:rsidRPr="00855DF0" w:rsidRDefault="00C936BB" w:rsidP="00C936BB">
      <w:r>
        <w:t xml:space="preserve">To improve the long-term debt and debt-to-equity ratio, Marriott can seek to boost its financial base by raising capital via a rights issue or a private placement. A rights issue would enable the current shareholders to maintain share proportions in the company and raise more equity. Such a strategy would make Marriott stronger in terms of </w:t>
      </w:r>
      <w:r>
        <w:lastRenderedPageBreak/>
        <w:t>balance sheet, financial stability and give it more flexibility to pursue future growth strategies without heavily incurring additional debt</w:t>
      </w:r>
      <w:r w:rsidR="00855DF0" w:rsidRPr="00855DF0">
        <w:t>.</w:t>
      </w:r>
    </w:p>
    <w:p w14:paraId="03A672A0" w14:textId="77777777" w:rsidR="00855DF0" w:rsidRPr="00C00C24" w:rsidRDefault="00855DF0" w:rsidP="00C00C24">
      <w:pPr>
        <w:rPr>
          <w:b/>
          <w:bCs/>
        </w:rPr>
      </w:pPr>
      <w:r w:rsidRPr="00C00C24">
        <w:rPr>
          <w:b/>
          <w:bCs/>
        </w:rPr>
        <w:t>Strategic Divestiture of Non-Core Assets:</w:t>
      </w:r>
    </w:p>
    <w:p w14:paraId="34915C8D" w14:textId="0A0EC527" w:rsidR="00855DF0" w:rsidRPr="00855DF0" w:rsidRDefault="00E12B73" w:rsidP="000D58C1">
      <w:r>
        <w:t>Another suggestion that should be developed by Marriott is the strategic divestiture of the non-core assets to create more capital. The revenue generated on the sale of such assets may be used in settling high-interest debt, thus minimizing interest costs and enhancing net income. This would help to improve the general financial performance as well as enable the management to invest in business operations and long-term value creation (Arhinful and Radmehr, 2023)</w:t>
      </w:r>
      <w:r w:rsidR="00855DF0" w:rsidRPr="00855DF0">
        <w:t>.</w:t>
      </w:r>
    </w:p>
    <w:p w14:paraId="47986E68" w14:textId="77777777" w:rsidR="00855DF0" w:rsidRPr="00C00C24" w:rsidRDefault="00855DF0" w:rsidP="00C00C24">
      <w:pPr>
        <w:rPr>
          <w:b/>
          <w:bCs/>
        </w:rPr>
      </w:pPr>
      <w:r w:rsidRPr="00C00C24">
        <w:rPr>
          <w:b/>
          <w:bCs/>
        </w:rPr>
        <w:t>Debt Refinancing and Maturity Extension:</w:t>
      </w:r>
    </w:p>
    <w:p w14:paraId="7C78D1B8" w14:textId="01166705" w:rsidR="00855DF0" w:rsidRPr="00855DF0" w:rsidRDefault="00E12B73" w:rsidP="000D58C1">
      <w:r>
        <w:t>A second key measure is to refinance or increase the term maturity of existing debt to obtain a longer term of debt repayment. Marriott should also refinance to fixed interest rates where possible so as to minimize risks of exposure to changes in interest rates especially among times of increasing interest rates. This would enhance predictability of cash flows and lessen up-long term financing risk</w:t>
      </w:r>
      <w:r w:rsidR="00855DF0" w:rsidRPr="00855DF0">
        <w:t>.</w:t>
      </w:r>
    </w:p>
    <w:p w14:paraId="421272C9" w14:textId="77777777" w:rsidR="00855DF0" w:rsidRPr="00C00C24" w:rsidRDefault="00855DF0" w:rsidP="00C00C24">
      <w:pPr>
        <w:rPr>
          <w:b/>
          <w:bCs/>
        </w:rPr>
      </w:pPr>
      <w:r w:rsidRPr="00C00C24">
        <w:rPr>
          <w:b/>
          <w:bCs/>
        </w:rPr>
        <w:t>Share Buyback Pause:</w:t>
      </w:r>
    </w:p>
    <w:p w14:paraId="43407BBA" w14:textId="1E518C40" w:rsidR="00855DF0" w:rsidRPr="00855DF0" w:rsidRDefault="00E12B73" w:rsidP="000D58C1">
      <w:r>
        <w:t>To maintain cash to pay off debts and to invest in strategic areas, Marriott ought to put its share buyback programme on hold in the short term. Liquidity would be enhanced by conservation of finite resources, which would aid the balance sheet improvement. When its debt-to-EBITDA ratio declines below 3.0x, the company will be able to restart share buybacks, aligning its approach to capital allocation with accepted industry best practice</w:t>
      </w:r>
      <w:r w:rsidR="00855DF0" w:rsidRPr="00855DF0">
        <w:t>.</w:t>
      </w:r>
    </w:p>
    <w:p w14:paraId="1BD76497" w14:textId="77777777" w:rsidR="00855DF0" w:rsidRPr="00855DF0" w:rsidRDefault="00855DF0" w:rsidP="003A2CDE">
      <w:pPr>
        <w:pStyle w:val="Heading2"/>
      </w:pPr>
      <w:bookmarkStart w:id="17" w:name="_Toc236474116"/>
      <w:r w:rsidRPr="00855DF0">
        <w:t>b. Impact on Shareholder Value, Debt Structure, and Operational Flexibility</w:t>
      </w:r>
      <w:bookmarkEnd w:id="17"/>
    </w:p>
    <w:p w14:paraId="0D19F4CB" w14:textId="77777777" w:rsidR="003A2CDE" w:rsidRDefault="00855DF0" w:rsidP="00855DF0">
      <w:pPr>
        <w:spacing w:line="259" w:lineRule="auto"/>
        <w:rPr>
          <w:b/>
          <w:bCs/>
        </w:rPr>
      </w:pPr>
      <w:r w:rsidRPr="00855DF0">
        <w:rPr>
          <w:b/>
          <w:bCs/>
        </w:rPr>
        <w:t>Shareholder Value:</w:t>
      </w:r>
    </w:p>
    <w:p w14:paraId="313ABC6A" w14:textId="27C1A9DA" w:rsidR="00855DF0" w:rsidRPr="00855DF0" w:rsidRDefault="000D58C1" w:rsidP="003A2CDE">
      <w:r w:rsidRPr="000D58C1">
        <w:t xml:space="preserve">While the equity injection could lead to a temporary decrease in shareholder value, it will benefit long-term share value by expanding shareholder base and lowering financial risk and credit ratings. Divestitures will generate immediate cash inflows and can cause share prices to rise if the proceeds are properly reinvested in a high-return equity. Divestitures generate immediate cash inflows and can increase share prices if </w:t>
      </w:r>
      <w:r w:rsidRPr="000D58C1">
        <w:lastRenderedPageBreak/>
        <w:t>proceeds are used to reduce the debt burden and/or invested in a high-return equity investment</w:t>
      </w:r>
      <w:r w:rsidR="00FC7927" w:rsidRPr="00FC7927">
        <w:rPr>
          <w:rFonts w:ascii="Times New Roman" w:eastAsia="Times New Roman" w:hAnsi="Times New Roman" w:cs="Times New Roman"/>
          <w:kern w:val="0"/>
          <w:szCs w:val="24"/>
          <w:lang w:eastAsia="en-IN"/>
          <w14:ligatures w14:val="none"/>
        </w:rPr>
        <w:t xml:space="preserve"> </w:t>
      </w:r>
      <w:r w:rsidR="00FC7927" w:rsidRPr="00FC7927">
        <w:t xml:space="preserve">(Peppas, </w:t>
      </w:r>
      <w:proofErr w:type="spellStart"/>
      <w:r w:rsidR="00FC7927" w:rsidRPr="00FC7927">
        <w:t>Papachristopoulos</w:t>
      </w:r>
      <w:proofErr w:type="spellEnd"/>
      <w:r w:rsidR="00FC7927" w:rsidRPr="00FC7927">
        <w:t xml:space="preserve"> and Tsakonas, 2025)</w:t>
      </w:r>
      <w:r w:rsidR="00855DF0" w:rsidRPr="00855DF0">
        <w:t>.</w:t>
      </w:r>
      <w:r w:rsidR="003A2CDE" w:rsidRPr="00855DF0">
        <w:t xml:space="preserve"> </w:t>
      </w:r>
    </w:p>
    <w:p w14:paraId="2128016F" w14:textId="77777777" w:rsidR="003A2CDE" w:rsidRDefault="00855DF0" w:rsidP="00855DF0">
      <w:pPr>
        <w:spacing w:line="259" w:lineRule="auto"/>
        <w:rPr>
          <w:b/>
          <w:bCs/>
        </w:rPr>
      </w:pPr>
      <w:r w:rsidRPr="00855DF0">
        <w:rPr>
          <w:b/>
          <w:bCs/>
        </w:rPr>
        <w:t>Debt Structure:</w:t>
      </w:r>
    </w:p>
    <w:p w14:paraId="355AF3E4" w14:textId="5C01EBC1" w:rsidR="00855DF0" w:rsidRPr="00855DF0" w:rsidRDefault="000D58C1" w:rsidP="003A2CDE">
      <w:r w:rsidRPr="000D58C1">
        <w:t>Refinancing will help to lengthen the lives of their debt, lower risks of refinancing and make the company better prepared to weather economic dips. A lower debt-to-EBITDA ratio (&lt;3.0x) will improve Marriott's credit profile that should reduce borrowing costs and provide greater access to capital markets</w:t>
      </w:r>
      <w:r w:rsidR="00FB4485">
        <w:t xml:space="preserve"> </w:t>
      </w:r>
      <w:r w:rsidR="00FB4485" w:rsidRPr="00FB4485">
        <w:t>(</w:t>
      </w:r>
      <w:proofErr w:type="spellStart"/>
      <w:r w:rsidR="00FB4485" w:rsidRPr="00FB4485">
        <w:t>Phalippou</w:t>
      </w:r>
      <w:proofErr w:type="spellEnd"/>
      <w:r w:rsidR="00FB4485" w:rsidRPr="00FB4485">
        <w:t>, 2026)</w:t>
      </w:r>
      <w:r w:rsidR="00855DF0" w:rsidRPr="00855DF0">
        <w:t>.</w:t>
      </w:r>
    </w:p>
    <w:p w14:paraId="2943CBA9" w14:textId="77777777" w:rsidR="003A2CDE" w:rsidRDefault="00855DF0" w:rsidP="00855DF0">
      <w:pPr>
        <w:spacing w:line="259" w:lineRule="auto"/>
        <w:rPr>
          <w:b/>
          <w:bCs/>
        </w:rPr>
      </w:pPr>
      <w:r w:rsidRPr="00855DF0">
        <w:rPr>
          <w:b/>
          <w:bCs/>
        </w:rPr>
        <w:t>Operational Flexibility:</w:t>
      </w:r>
    </w:p>
    <w:p w14:paraId="4DC7E39A" w14:textId="65CFC65F" w:rsidR="00855DF0" w:rsidRPr="00855DF0" w:rsidRDefault="000D58C1" w:rsidP="003A2CDE">
      <w:r w:rsidRPr="000D58C1">
        <w:t>Consequently, having reduced leverage, Marriott will have more flexibility to expand their business through strategic acquisitions, develop new technology and weather economic storms</w:t>
      </w:r>
      <w:r w:rsidR="001E1942" w:rsidRPr="001E1942">
        <w:rPr>
          <w:rFonts w:ascii="Times New Roman" w:eastAsia="Times New Roman" w:hAnsi="Times New Roman" w:cs="Times New Roman"/>
          <w:kern w:val="0"/>
          <w:szCs w:val="24"/>
          <w:lang w:eastAsia="en-IN"/>
          <w14:ligatures w14:val="none"/>
        </w:rPr>
        <w:t xml:space="preserve"> </w:t>
      </w:r>
      <w:r w:rsidR="001E1942" w:rsidRPr="001E1942">
        <w:t>(</w:t>
      </w:r>
      <w:proofErr w:type="spellStart"/>
      <w:r w:rsidR="001E1942" w:rsidRPr="001E1942">
        <w:t>Fowosere</w:t>
      </w:r>
      <w:proofErr w:type="spellEnd"/>
      <w:r w:rsidR="001E1942" w:rsidRPr="001E1942">
        <w:t xml:space="preserve">, and </w:t>
      </w:r>
      <w:r w:rsidR="00F94526" w:rsidRPr="001E1942">
        <w:t>Dunston,</w:t>
      </w:r>
      <w:r w:rsidR="001E1942" w:rsidRPr="001E1942">
        <w:t xml:space="preserve"> 2025)</w:t>
      </w:r>
      <w:r w:rsidRPr="000D58C1">
        <w:t>. The company's improved balance sheet will bolster it to take advantage of distressed asset opportunities in the hospitality industry</w:t>
      </w:r>
      <w:r w:rsidR="00855DF0" w:rsidRPr="00855DF0">
        <w:t>.</w:t>
      </w:r>
    </w:p>
    <w:p w14:paraId="087365FD" w14:textId="77777777" w:rsidR="00855DF0" w:rsidRPr="00855DF0" w:rsidRDefault="00855DF0" w:rsidP="003A2CDE">
      <w:pPr>
        <w:pStyle w:val="Heading2"/>
      </w:pPr>
      <w:bookmarkStart w:id="18" w:name="_Toc236474117"/>
      <w:r w:rsidRPr="00855DF0">
        <w:t>c. International and Ethical Considerations</w:t>
      </w:r>
      <w:bookmarkEnd w:id="18"/>
    </w:p>
    <w:p w14:paraId="4E1C429F" w14:textId="4961E9AF" w:rsidR="00855DF0" w:rsidRPr="00855DF0" w:rsidRDefault="00855DF0" w:rsidP="003A2CDE">
      <w:r w:rsidRPr="00855DF0">
        <w:rPr>
          <w:b/>
          <w:bCs/>
        </w:rPr>
        <w:t>Taxation:</w:t>
      </w:r>
      <w:r w:rsidRPr="00855DF0">
        <w:br/>
      </w:r>
      <w:r w:rsidR="00222E7E" w:rsidRPr="00222E7E">
        <w:t>Marriott has global operations in more than 130 countries which have varying tax laws</w:t>
      </w:r>
      <w:r w:rsidR="00111136" w:rsidRPr="00111136">
        <w:rPr>
          <w:rFonts w:ascii="Times New Roman" w:eastAsia="Times New Roman" w:hAnsi="Times New Roman" w:cs="Times New Roman"/>
          <w:kern w:val="0"/>
          <w:szCs w:val="24"/>
          <w:lang w:eastAsia="en-IN"/>
          <w14:ligatures w14:val="none"/>
        </w:rPr>
        <w:t xml:space="preserve"> </w:t>
      </w:r>
      <w:r w:rsidR="00111136" w:rsidRPr="00111136">
        <w:t>(Blake,2024)</w:t>
      </w:r>
      <w:r w:rsidR="00222E7E" w:rsidRPr="00222E7E">
        <w:t xml:space="preserve">. Transfer pricing optimization, jurisdiction selection of a tax-efficient holding company and adherence to OECD Base Erosion and Profit Shifting (BEPS) guidelines should be considered to prevent </w:t>
      </w:r>
      <w:r w:rsidR="00F94526" w:rsidRPr="00222E7E">
        <w:t>good swill</w:t>
      </w:r>
      <w:r w:rsidR="00222E7E" w:rsidRPr="00222E7E">
        <w:t xml:space="preserve"> and regulatory issues</w:t>
      </w:r>
      <w:r w:rsidRPr="00855DF0">
        <w:t>.</w:t>
      </w:r>
    </w:p>
    <w:p w14:paraId="38C06FFF" w14:textId="77777777" w:rsidR="003A2CDE" w:rsidRDefault="00855DF0" w:rsidP="00855DF0">
      <w:pPr>
        <w:spacing w:line="259" w:lineRule="auto"/>
        <w:rPr>
          <w:b/>
          <w:bCs/>
        </w:rPr>
      </w:pPr>
      <w:r w:rsidRPr="00855DF0">
        <w:rPr>
          <w:b/>
          <w:bCs/>
        </w:rPr>
        <w:t>Currency Risk:</w:t>
      </w:r>
    </w:p>
    <w:p w14:paraId="2D34B1F1" w14:textId="3B8BC378" w:rsidR="00855DF0" w:rsidRPr="00855DF0" w:rsidRDefault="00222E7E" w:rsidP="003A2CDE">
      <w:r w:rsidRPr="00222E7E">
        <w:t>Marriott is a global business, so it makes sense it is subject to fluctuations in foreign exchange</w:t>
      </w:r>
      <w:r w:rsidR="00111136" w:rsidRPr="00111136">
        <w:rPr>
          <w:rFonts w:ascii="Times New Roman" w:eastAsia="Times New Roman" w:hAnsi="Times New Roman" w:cs="Times New Roman"/>
          <w:kern w:val="0"/>
          <w:szCs w:val="24"/>
          <w:lang w:eastAsia="en-IN"/>
          <w14:ligatures w14:val="none"/>
        </w:rPr>
        <w:t xml:space="preserve"> </w:t>
      </w:r>
      <w:r w:rsidR="00111136" w:rsidRPr="00111136">
        <w:t>(Fagyas and Datta, 2023)</w:t>
      </w:r>
      <w:r w:rsidRPr="00222E7E">
        <w:t>. All forward contracts, debt servicing agreements for borrowed capital in foreign currencies, hedging and options should be considered for minimizing currency risk in repatriated earnings and foreign currency debt servicing</w:t>
      </w:r>
      <w:r w:rsidR="00855DF0" w:rsidRPr="00855DF0">
        <w:t>.</w:t>
      </w:r>
    </w:p>
    <w:p w14:paraId="599B3EC5" w14:textId="741BBCC3" w:rsidR="00855DF0" w:rsidRPr="00855DF0" w:rsidRDefault="00855DF0" w:rsidP="003A2CDE">
      <w:r w:rsidRPr="00855DF0">
        <w:rPr>
          <w:b/>
          <w:bCs/>
        </w:rPr>
        <w:t>Inflation:</w:t>
      </w:r>
      <w:r w:rsidRPr="00855DF0">
        <w:br/>
      </w:r>
      <w:r w:rsidR="00222E7E" w:rsidRPr="00222E7E">
        <w:t>Today's high levels of inflation in key markets (Europe &amp; Asia) can drive up operating expenses</w:t>
      </w:r>
      <w:r w:rsidR="00111136" w:rsidRPr="00111136">
        <w:rPr>
          <w:rFonts w:ascii="Times New Roman" w:eastAsia="Times New Roman" w:hAnsi="Times New Roman" w:cs="Times New Roman"/>
          <w:kern w:val="0"/>
          <w:szCs w:val="24"/>
          <w:lang w:eastAsia="en-IN"/>
          <w14:ligatures w14:val="none"/>
        </w:rPr>
        <w:t xml:space="preserve"> </w:t>
      </w:r>
      <w:r w:rsidR="00111136" w:rsidRPr="00111136">
        <w:t>(Hiremath, 2026)</w:t>
      </w:r>
      <w:r w:rsidR="00222E7E" w:rsidRPr="00222E7E">
        <w:t>. Inflation-lined pricing should be included in Marriott's franchise contracts and cost structures should be addressed through cost efficiency and management plans</w:t>
      </w:r>
      <w:r w:rsidRPr="00855DF0">
        <w:t>.</w:t>
      </w:r>
    </w:p>
    <w:p w14:paraId="3A8C04D1" w14:textId="77777777" w:rsidR="003A2CDE" w:rsidRDefault="00855DF0" w:rsidP="00855DF0">
      <w:pPr>
        <w:spacing w:line="259" w:lineRule="auto"/>
        <w:rPr>
          <w:b/>
          <w:bCs/>
        </w:rPr>
      </w:pPr>
      <w:r w:rsidRPr="00855DF0">
        <w:rPr>
          <w:b/>
          <w:bCs/>
        </w:rPr>
        <w:t>CSR and ESG:</w:t>
      </w:r>
    </w:p>
    <w:p w14:paraId="6DFC47BC" w14:textId="4CDD5FBB" w:rsidR="00855DF0" w:rsidRPr="00855DF0" w:rsidRDefault="00222E7E" w:rsidP="007E2D73">
      <w:r w:rsidRPr="00222E7E">
        <w:lastRenderedPageBreak/>
        <w:t>Marriott's "Serve 360" sustainability platform highlights three key principles of sustainable operations: environmental stewardship, social responsibility and ethical governance</w:t>
      </w:r>
      <w:r w:rsidR="00111136">
        <w:t xml:space="preserve"> </w:t>
      </w:r>
      <w:r w:rsidR="00111136" w:rsidRPr="00111136">
        <w:t>(Torres, 2023)</w:t>
      </w:r>
      <w:r w:rsidRPr="00222E7E">
        <w:t>. Structural decisions should be congruent with ESG commitments and include; divesting of ESG assets of high environmental impact; retention of the workforce and fair treatment of staff during restructuring; transparency amongst stakeholders during the restructuring process</w:t>
      </w:r>
      <w:r w:rsidR="00855DF0" w:rsidRPr="00855DF0">
        <w:t>.</w:t>
      </w:r>
    </w:p>
    <w:p w14:paraId="38004296" w14:textId="77777777" w:rsidR="003A2CDE" w:rsidRDefault="00855DF0" w:rsidP="00855DF0">
      <w:pPr>
        <w:spacing w:line="259" w:lineRule="auto"/>
        <w:rPr>
          <w:b/>
          <w:bCs/>
        </w:rPr>
      </w:pPr>
      <w:r w:rsidRPr="00855DF0">
        <w:rPr>
          <w:b/>
          <w:bCs/>
        </w:rPr>
        <w:t>Ethical Governance:</w:t>
      </w:r>
    </w:p>
    <w:p w14:paraId="78664451" w14:textId="284E1944" w:rsidR="00855DF0" w:rsidRPr="00855DF0" w:rsidRDefault="00222E7E" w:rsidP="00A164EA">
      <w:r w:rsidRPr="00222E7E">
        <w:t>To ensure that financial statements are transparent and that no aggressive accounting (e.g., off-balance-sheet financing) undermines trust amongst stakeholders, it is important to be a CFO</w:t>
      </w:r>
      <w:r w:rsidR="00111136" w:rsidRPr="00111136">
        <w:rPr>
          <w:rFonts w:ascii="Times New Roman" w:eastAsia="Times New Roman" w:hAnsi="Times New Roman" w:cs="Times New Roman"/>
          <w:kern w:val="0"/>
          <w:szCs w:val="24"/>
          <w:lang w:eastAsia="en-IN"/>
          <w14:ligatures w14:val="none"/>
        </w:rPr>
        <w:t xml:space="preserve"> </w:t>
      </w:r>
      <w:r w:rsidR="00111136" w:rsidRPr="00111136">
        <w:t xml:space="preserve">(Adejumo and </w:t>
      </w:r>
      <w:proofErr w:type="spellStart"/>
      <w:r w:rsidR="00111136" w:rsidRPr="00111136">
        <w:t>Ogburie</w:t>
      </w:r>
      <w:proofErr w:type="spellEnd"/>
      <w:r w:rsidR="00111136" w:rsidRPr="00111136">
        <w:t>, 2025)</w:t>
      </w:r>
      <w:r w:rsidRPr="00222E7E">
        <w:t>. To ensure accurate decision-making, financial analysts should perform bias and accuracy checks on AI tools</w:t>
      </w:r>
      <w:r w:rsidR="00855DF0" w:rsidRPr="00855DF0">
        <w:t>.</w:t>
      </w:r>
    </w:p>
    <w:p w14:paraId="364BAF9F" w14:textId="2138DD16" w:rsidR="00855DF0" w:rsidRPr="00855DF0" w:rsidRDefault="00855DF0" w:rsidP="003A2CDE">
      <w:pPr>
        <w:pStyle w:val="Heading1"/>
      </w:pPr>
      <w:bookmarkStart w:id="19" w:name="_Toc236474118"/>
      <w:r w:rsidRPr="00855DF0">
        <w:t>4. Investment Appraisal and Capital Budgeting</w:t>
      </w:r>
      <w:bookmarkEnd w:id="19"/>
    </w:p>
    <w:p w14:paraId="109D44CD" w14:textId="77777777" w:rsidR="00855DF0" w:rsidRPr="001435FA" w:rsidRDefault="00855DF0" w:rsidP="003A2CDE">
      <w:pPr>
        <w:pStyle w:val="Heading2"/>
      </w:pPr>
      <w:bookmarkStart w:id="20" w:name="_Toc236474119"/>
      <w:r w:rsidRPr="001435FA">
        <w:t>Introduction</w:t>
      </w:r>
      <w:bookmarkEnd w:id="20"/>
    </w:p>
    <w:p w14:paraId="7D504722" w14:textId="002BBCA1" w:rsidR="004F7FF8" w:rsidRPr="001435FA" w:rsidRDefault="00222E7E" w:rsidP="004F7FF8">
      <w:r w:rsidRPr="001435FA">
        <w:t>Assessing capital investments opportunities is a vital task at Marriott International as a CFO in order to achieve sustainable long-term growth and maximize the value to shareholders</w:t>
      </w:r>
      <w:r w:rsidR="001435FA" w:rsidRPr="001435FA">
        <w:rPr>
          <w:rFonts w:ascii="Times New Roman" w:eastAsia="Times New Roman" w:hAnsi="Times New Roman" w:cs="Times New Roman"/>
          <w:kern w:val="0"/>
          <w:szCs w:val="24"/>
          <w:lang w:eastAsia="en-IN"/>
          <w14:ligatures w14:val="none"/>
        </w:rPr>
        <w:t xml:space="preserve"> </w:t>
      </w:r>
      <w:r w:rsidR="001435FA" w:rsidRPr="001435FA">
        <w:t>(</w:t>
      </w:r>
      <w:proofErr w:type="spellStart"/>
      <w:r w:rsidR="001435FA" w:rsidRPr="001435FA">
        <w:t>Ocial</w:t>
      </w:r>
      <w:proofErr w:type="spellEnd"/>
      <w:r w:rsidR="001435FA" w:rsidRPr="001435FA">
        <w:t xml:space="preserve">, </w:t>
      </w:r>
      <w:proofErr w:type="spellStart"/>
      <w:r w:rsidR="001435FA" w:rsidRPr="001435FA">
        <w:t>Overnance</w:t>
      </w:r>
      <w:proofErr w:type="spellEnd"/>
      <w:r w:rsidR="001435FA" w:rsidRPr="001435FA">
        <w:t xml:space="preserve"> and </w:t>
      </w:r>
      <w:proofErr w:type="spellStart"/>
      <w:r w:rsidR="001435FA" w:rsidRPr="001435FA">
        <w:t>Ppendices</w:t>
      </w:r>
      <w:proofErr w:type="spellEnd"/>
      <w:r w:rsidR="001435FA" w:rsidRPr="001435FA">
        <w:t>, 2022)</w:t>
      </w:r>
      <w:r w:rsidRPr="001435FA">
        <w:t>. In the following, three investment projects are appraised; firstly, by Payback Period (PBP), secondly, by Accounting Rate of Return (ARR), thirdly, by Net Present Value (NPV), fourthly, by Profitability Index (PI), and fifthly, by Internal Rate of Return (IRR). The analysis includes all the performance indicators that Marriott has released, and adopts non-financial risks, thus suggesting the best investment strategy for a constraint of £100m</w:t>
      </w:r>
      <w:r w:rsidR="00855DF0" w:rsidRPr="001435FA">
        <w:t>.</w:t>
      </w:r>
    </w:p>
    <w:p w14:paraId="6F8C096C" w14:textId="6076DC2F" w:rsidR="004B0B55" w:rsidRPr="00855DF0" w:rsidRDefault="004B0B55" w:rsidP="004F7FF8">
      <w:r w:rsidRPr="001435FA">
        <w:t>These five appraisal techniques are the best practice in capital budgeting in that each appraisal technique gives a complementary information on a project viability. PBP and ARR provide easy-to-understand intuitively calculated measures with ease of communication to non-financial stakeholders, whereas NPV, PI, and IRR include the time value of money and offer more sophisticated value-based evaluation</w:t>
      </w:r>
      <w:r w:rsidR="002D2172" w:rsidRPr="002D2172">
        <w:rPr>
          <w:rFonts w:ascii="Times New Roman" w:eastAsia="Times New Roman" w:hAnsi="Times New Roman" w:cs="Times New Roman"/>
          <w:kern w:val="0"/>
          <w:szCs w:val="24"/>
          <w:lang w:eastAsia="en-IN"/>
          <w14:ligatures w14:val="none"/>
        </w:rPr>
        <w:t xml:space="preserve"> </w:t>
      </w:r>
      <w:r w:rsidR="002D2172" w:rsidRPr="002D2172">
        <w:t>(Sinaga et al., 2023)</w:t>
      </w:r>
      <w:r w:rsidRPr="001435FA">
        <w:t xml:space="preserve">. This multi-methodology would allow a strong </w:t>
      </w:r>
      <w:r w:rsidR="0026750D" w:rsidRPr="001435FA">
        <w:t>decision-making</w:t>
      </w:r>
      <w:r w:rsidRPr="001435FA">
        <w:t xml:space="preserve"> process and fits this spirit of sound financial management and shareholder value maximisation being part of the Marriot agenda.</w:t>
      </w:r>
    </w:p>
    <w:p w14:paraId="33575A0A" w14:textId="77777777" w:rsidR="00855DF0" w:rsidRPr="00855DF0" w:rsidRDefault="00855DF0" w:rsidP="003A2CDE">
      <w:pPr>
        <w:pStyle w:val="Heading2"/>
      </w:pPr>
      <w:bookmarkStart w:id="21" w:name="_Toc236474120"/>
      <w:r w:rsidRPr="00855DF0">
        <w:lastRenderedPageBreak/>
        <w:t>a–c. Investment Appraisal Calculations</w:t>
      </w:r>
      <w:bookmarkEnd w:id="21"/>
    </w:p>
    <w:p w14:paraId="3925FEF6" w14:textId="77777777" w:rsidR="00855DF0" w:rsidRPr="00855DF0" w:rsidRDefault="00855DF0" w:rsidP="00855DF0">
      <w:pPr>
        <w:spacing w:line="259" w:lineRule="auto"/>
      </w:pPr>
      <w:r w:rsidRPr="00855DF0">
        <w:rPr>
          <w:b/>
          <w:bCs/>
        </w:rPr>
        <w:t>Project Details:</w:t>
      </w:r>
    </w:p>
    <w:p w14:paraId="01B2E83B" w14:textId="77777777" w:rsidR="00855DF0" w:rsidRPr="00855DF0" w:rsidRDefault="00855DF0" w:rsidP="00786222">
      <w:r w:rsidRPr="00A83A63">
        <w:t>Initial Investment:</w:t>
      </w:r>
      <w:r w:rsidRPr="00855DF0">
        <w:t xml:space="preserve"> £50 million per project</w:t>
      </w:r>
    </w:p>
    <w:p w14:paraId="4783D023" w14:textId="77777777" w:rsidR="00855DF0" w:rsidRPr="00855DF0" w:rsidRDefault="00855DF0" w:rsidP="00786222">
      <w:r w:rsidRPr="00A83A63">
        <w:t>Discount Rate:</w:t>
      </w:r>
      <w:r w:rsidRPr="00855DF0">
        <w:t xml:space="preserve"> 8%</w:t>
      </w:r>
    </w:p>
    <w:p w14:paraId="26D4AB1B" w14:textId="77777777" w:rsidR="00855DF0" w:rsidRPr="00855DF0" w:rsidRDefault="00855DF0" w:rsidP="00786222">
      <w:r w:rsidRPr="00A83A63">
        <w:t>Depreciation:</w:t>
      </w:r>
      <w:r w:rsidRPr="00855DF0">
        <w:t xml:space="preserve"> Straight-line to zero over 5 years (£10 million per year)</w:t>
      </w:r>
    </w:p>
    <w:p w14:paraId="47B4F3DD" w14:textId="77777777" w:rsidR="00855DF0" w:rsidRPr="00855DF0" w:rsidRDefault="00855DF0" w:rsidP="00855DF0">
      <w:pPr>
        <w:spacing w:line="259" w:lineRule="auto"/>
      </w:pPr>
      <w:r w:rsidRPr="00855DF0">
        <w:rPr>
          <w:b/>
          <w:bCs/>
        </w:rPr>
        <w:t>Cash Flow Profiles:</w:t>
      </w:r>
    </w:p>
    <w:p w14:paraId="03FC42F3" w14:textId="77777777" w:rsidR="00855DF0" w:rsidRPr="00855DF0" w:rsidRDefault="00855DF0" w:rsidP="00786222">
      <w:r w:rsidRPr="00A83A63">
        <w:t>Project A:</w:t>
      </w:r>
      <w:r w:rsidRPr="00855DF0">
        <w:t xml:space="preserve"> £10m, £12m, £14m, £10m, £8m (Years 1–5)</w:t>
      </w:r>
    </w:p>
    <w:p w14:paraId="7FA119B3" w14:textId="77777777" w:rsidR="00855DF0" w:rsidRPr="00855DF0" w:rsidRDefault="00855DF0" w:rsidP="00786222">
      <w:r w:rsidRPr="00A83A63">
        <w:t>Project B:</w:t>
      </w:r>
      <w:r w:rsidRPr="00855DF0">
        <w:t xml:space="preserve"> £11m, £11m, £11m, £11m, £11m (Years 1–5)</w:t>
      </w:r>
    </w:p>
    <w:p w14:paraId="2AFF7191" w14:textId="7D2C7D48" w:rsidR="00855DF0" w:rsidRPr="00855DF0" w:rsidRDefault="00855DF0" w:rsidP="00786222">
      <w:r w:rsidRPr="00A83A63">
        <w:t>Project C:</w:t>
      </w:r>
      <w:r w:rsidRPr="00855DF0">
        <w:t xml:space="preserve"> £5m, £10m, £20m, £25m, £5m (Years 1–5)</w:t>
      </w:r>
    </w:p>
    <w:p w14:paraId="1F937F22" w14:textId="700E306D" w:rsidR="003A2CDE" w:rsidRDefault="003A2CDE" w:rsidP="003A2CDE">
      <w:pPr>
        <w:pStyle w:val="Caption"/>
        <w:keepNext/>
      </w:pPr>
      <w:bookmarkStart w:id="22" w:name="_Toc236395054"/>
      <w:r>
        <w:t xml:space="preserve">Table </w:t>
      </w:r>
      <w:fldSimple w:instr=" SEQ Table \* ARABIC ">
        <w:r w:rsidR="008D3140">
          <w:rPr>
            <w:noProof/>
          </w:rPr>
          <w:t>4</w:t>
        </w:r>
      </w:fldSimple>
      <w:r>
        <w:t xml:space="preserve">: </w:t>
      </w:r>
      <w:r w:rsidRPr="004A1E3F">
        <w:t>Investment Appraisal Results</w:t>
      </w:r>
      <w:bookmarkEnd w:id="22"/>
    </w:p>
    <w:tbl>
      <w:tblPr>
        <w:tblStyle w:val="TableGrid"/>
        <w:tblW w:w="0" w:type="auto"/>
        <w:tblLook w:val="04A0" w:firstRow="1" w:lastRow="0" w:firstColumn="1" w:lastColumn="0" w:noHBand="0" w:noVBand="1"/>
      </w:tblPr>
      <w:tblGrid>
        <w:gridCol w:w="2858"/>
        <w:gridCol w:w="1261"/>
        <w:gridCol w:w="1270"/>
        <w:gridCol w:w="1270"/>
      </w:tblGrid>
      <w:tr w:rsidR="00855DF0" w:rsidRPr="00855DF0" w14:paraId="71933F3C" w14:textId="77777777" w:rsidTr="003A2CDE">
        <w:tc>
          <w:tcPr>
            <w:tcW w:w="0" w:type="auto"/>
            <w:hideMark/>
          </w:tcPr>
          <w:p w14:paraId="24B49FA5" w14:textId="77777777" w:rsidR="00855DF0" w:rsidRPr="00855DF0" w:rsidRDefault="00855DF0" w:rsidP="00855DF0">
            <w:pPr>
              <w:spacing w:after="160" w:line="259" w:lineRule="auto"/>
              <w:jc w:val="left"/>
              <w:rPr>
                <w:b/>
                <w:bCs/>
              </w:rPr>
            </w:pPr>
            <w:r w:rsidRPr="00855DF0">
              <w:rPr>
                <w:b/>
                <w:bCs/>
              </w:rPr>
              <w:t>Metric</w:t>
            </w:r>
          </w:p>
        </w:tc>
        <w:tc>
          <w:tcPr>
            <w:tcW w:w="0" w:type="auto"/>
            <w:hideMark/>
          </w:tcPr>
          <w:p w14:paraId="405D39DC" w14:textId="77777777" w:rsidR="00855DF0" w:rsidRPr="00855DF0" w:rsidRDefault="00855DF0" w:rsidP="00855DF0">
            <w:pPr>
              <w:spacing w:after="160" w:line="259" w:lineRule="auto"/>
              <w:jc w:val="left"/>
              <w:rPr>
                <w:b/>
                <w:bCs/>
              </w:rPr>
            </w:pPr>
            <w:r w:rsidRPr="00855DF0">
              <w:rPr>
                <w:b/>
                <w:bCs/>
              </w:rPr>
              <w:t>Project A</w:t>
            </w:r>
          </w:p>
        </w:tc>
        <w:tc>
          <w:tcPr>
            <w:tcW w:w="0" w:type="auto"/>
            <w:hideMark/>
          </w:tcPr>
          <w:p w14:paraId="53817A3F" w14:textId="77777777" w:rsidR="00855DF0" w:rsidRPr="00855DF0" w:rsidRDefault="00855DF0" w:rsidP="00855DF0">
            <w:pPr>
              <w:spacing w:after="160" w:line="259" w:lineRule="auto"/>
              <w:jc w:val="left"/>
              <w:rPr>
                <w:b/>
                <w:bCs/>
              </w:rPr>
            </w:pPr>
            <w:r w:rsidRPr="00855DF0">
              <w:rPr>
                <w:b/>
                <w:bCs/>
              </w:rPr>
              <w:t>Project B</w:t>
            </w:r>
          </w:p>
        </w:tc>
        <w:tc>
          <w:tcPr>
            <w:tcW w:w="0" w:type="auto"/>
            <w:hideMark/>
          </w:tcPr>
          <w:p w14:paraId="293BAE1C" w14:textId="77777777" w:rsidR="00855DF0" w:rsidRPr="00855DF0" w:rsidRDefault="00855DF0" w:rsidP="00855DF0">
            <w:pPr>
              <w:spacing w:after="160" w:line="259" w:lineRule="auto"/>
              <w:jc w:val="left"/>
              <w:rPr>
                <w:b/>
                <w:bCs/>
              </w:rPr>
            </w:pPr>
            <w:r w:rsidRPr="00855DF0">
              <w:rPr>
                <w:b/>
                <w:bCs/>
              </w:rPr>
              <w:t>Project C</w:t>
            </w:r>
          </w:p>
        </w:tc>
      </w:tr>
      <w:tr w:rsidR="00855DF0" w:rsidRPr="00855DF0" w14:paraId="54B8EA72" w14:textId="77777777" w:rsidTr="003A2CDE">
        <w:tc>
          <w:tcPr>
            <w:tcW w:w="0" w:type="auto"/>
            <w:hideMark/>
          </w:tcPr>
          <w:p w14:paraId="38EDE38C" w14:textId="77777777" w:rsidR="00855DF0" w:rsidRPr="00855DF0" w:rsidRDefault="00855DF0" w:rsidP="00855DF0">
            <w:pPr>
              <w:spacing w:after="160" w:line="259" w:lineRule="auto"/>
            </w:pPr>
            <w:r w:rsidRPr="00855DF0">
              <w:rPr>
                <w:b/>
                <w:bCs/>
              </w:rPr>
              <w:t>Payback Period (years)</w:t>
            </w:r>
          </w:p>
        </w:tc>
        <w:tc>
          <w:tcPr>
            <w:tcW w:w="0" w:type="auto"/>
            <w:hideMark/>
          </w:tcPr>
          <w:p w14:paraId="193F4A5A" w14:textId="77777777" w:rsidR="00855DF0" w:rsidRPr="00855DF0" w:rsidRDefault="00855DF0" w:rsidP="00855DF0">
            <w:pPr>
              <w:spacing w:after="160" w:line="259" w:lineRule="auto"/>
            </w:pPr>
            <w:r w:rsidRPr="00855DF0">
              <w:t>4.50</w:t>
            </w:r>
          </w:p>
        </w:tc>
        <w:tc>
          <w:tcPr>
            <w:tcW w:w="0" w:type="auto"/>
            <w:hideMark/>
          </w:tcPr>
          <w:p w14:paraId="2C142607" w14:textId="77777777" w:rsidR="00855DF0" w:rsidRPr="00855DF0" w:rsidRDefault="00855DF0" w:rsidP="00855DF0">
            <w:pPr>
              <w:spacing w:after="160" w:line="259" w:lineRule="auto"/>
            </w:pPr>
            <w:r w:rsidRPr="00855DF0">
              <w:t>4.55</w:t>
            </w:r>
          </w:p>
        </w:tc>
        <w:tc>
          <w:tcPr>
            <w:tcW w:w="0" w:type="auto"/>
            <w:hideMark/>
          </w:tcPr>
          <w:p w14:paraId="1C03B163" w14:textId="77777777" w:rsidR="00855DF0" w:rsidRPr="00855DF0" w:rsidRDefault="00855DF0" w:rsidP="00855DF0">
            <w:pPr>
              <w:spacing w:after="160" w:line="259" w:lineRule="auto"/>
            </w:pPr>
            <w:r w:rsidRPr="00855DF0">
              <w:t>3.60</w:t>
            </w:r>
          </w:p>
        </w:tc>
      </w:tr>
      <w:tr w:rsidR="00855DF0" w:rsidRPr="00855DF0" w14:paraId="7E6B3FA2" w14:textId="77777777" w:rsidTr="003A2CDE">
        <w:tc>
          <w:tcPr>
            <w:tcW w:w="0" w:type="auto"/>
            <w:hideMark/>
          </w:tcPr>
          <w:p w14:paraId="5506FC31" w14:textId="77777777" w:rsidR="00855DF0" w:rsidRPr="00855DF0" w:rsidRDefault="00855DF0" w:rsidP="00855DF0">
            <w:pPr>
              <w:spacing w:after="160" w:line="259" w:lineRule="auto"/>
            </w:pPr>
            <w:r w:rsidRPr="00855DF0">
              <w:rPr>
                <w:b/>
                <w:bCs/>
              </w:rPr>
              <w:t>ARR (%)</w:t>
            </w:r>
          </w:p>
        </w:tc>
        <w:tc>
          <w:tcPr>
            <w:tcW w:w="0" w:type="auto"/>
            <w:hideMark/>
          </w:tcPr>
          <w:p w14:paraId="0805C968" w14:textId="77777777" w:rsidR="00855DF0" w:rsidRPr="00855DF0" w:rsidRDefault="00855DF0" w:rsidP="00855DF0">
            <w:pPr>
              <w:spacing w:after="160" w:line="259" w:lineRule="auto"/>
            </w:pPr>
            <w:r w:rsidRPr="00855DF0">
              <w:t>1.6</w:t>
            </w:r>
          </w:p>
        </w:tc>
        <w:tc>
          <w:tcPr>
            <w:tcW w:w="0" w:type="auto"/>
            <w:hideMark/>
          </w:tcPr>
          <w:p w14:paraId="610C59F2" w14:textId="77777777" w:rsidR="00855DF0" w:rsidRPr="00855DF0" w:rsidRDefault="00855DF0" w:rsidP="00855DF0">
            <w:pPr>
              <w:spacing w:after="160" w:line="259" w:lineRule="auto"/>
            </w:pPr>
            <w:r w:rsidRPr="00855DF0">
              <w:t>2.0</w:t>
            </w:r>
          </w:p>
        </w:tc>
        <w:tc>
          <w:tcPr>
            <w:tcW w:w="0" w:type="auto"/>
            <w:hideMark/>
          </w:tcPr>
          <w:p w14:paraId="31E3777A" w14:textId="77777777" w:rsidR="00855DF0" w:rsidRPr="00855DF0" w:rsidRDefault="00855DF0" w:rsidP="00855DF0">
            <w:pPr>
              <w:spacing w:after="160" w:line="259" w:lineRule="auto"/>
            </w:pPr>
            <w:r w:rsidRPr="00855DF0">
              <w:t>6.0</w:t>
            </w:r>
          </w:p>
        </w:tc>
      </w:tr>
      <w:tr w:rsidR="00855DF0" w:rsidRPr="00855DF0" w14:paraId="7AEFA095" w14:textId="77777777" w:rsidTr="003A2CDE">
        <w:tc>
          <w:tcPr>
            <w:tcW w:w="0" w:type="auto"/>
            <w:hideMark/>
          </w:tcPr>
          <w:p w14:paraId="73753285" w14:textId="77777777" w:rsidR="00855DF0" w:rsidRPr="00855DF0" w:rsidRDefault="00855DF0" w:rsidP="00855DF0">
            <w:pPr>
              <w:spacing w:after="160" w:line="259" w:lineRule="auto"/>
            </w:pPr>
            <w:r w:rsidRPr="00855DF0">
              <w:rPr>
                <w:b/>
                <w:bCs/>
              </w:rPr>
              <w:t>NPV (£m)</w:t>
            </w:r>
          </w:p>
        </w:tc>
        <w:tc>
          <w:tcPr>
            <w:tcW w:w="0" w:type="auto"/>
            <w:hideMark/>
          </w:tcPr>
          <w:p w14:paraId="721FFE24" w14:textId="77777777" w:rsidR="00855DF0" w:rsidRPr="00855DF0" w:rsidRDefault="00855DF0" w:rsidP="00855DF0">
            <w:pPr>
              <w:spacing w:after="160" w:line="259" w:lineRule="auto"/>
            </w:pPr>
            <w:r w:rsidRPr="00855DF0">
              <w:t>-6.54</w:t>
            </w:r>
          </w:p>
        </w:tc>
        <w:tc>
          <w:tcPr>
            <w:tcW w:w="0" w:type="auto"/>
            <w:hideMark/>
          </w:tcPr>
          <w:p w14:paraId="5065A596" w14:textId="77777777" w:rsidR="00855DF0" w:rsidRPr="00855DF0" w:rsidRDefault="00855DF0" w:rsidP="00855DF0">
            <w:pPr>
              <w:spacing w:after="160" w:line="259" w:lineRule="auto"/>
            </w:pPr>
            <w:r w:rsidRPr="00855DF0">
              <w:t>-6.08</w:t>
            </w:r>
          </w:p>
        </w:tc>
        <w:tc>
          <w:tcPr>
            <w:tcW w:w="0" w:type="auto"/>
            <w:hideMark/>
          </w:tcPr>
          <w:p w14:paraId="668E44BB" w14:textId="77777777" w:rsidR="00855DF0" w:rsidRPr="00855DF0" w:rsidRDefault="00855DF0" w:rsidP="00855DF0">
            <w:pPr>
              <w:spacing w:after="160" w:line="259" w:lineRule="auto"/>
            </w:pPr>
            <w:r w:rsidRPr="00855DF0">
              <w:t>0.86</w:t>
            </w:r>
          </w:p>
        </w:tc>
      </w:tr>
      <w:tr w:rsidR="00855DF0" w:rsidRPr="00855DF0" w14:paraId="33DC2C84" w14:textId="77777777" w:rsidTr="003A2CDE">
        <w:tc>
          <w:tcPr>
            <w:tcW w:w="0" w:type="auto"/>
            <w:hideMark/>
          </w:tcPr>
          <w:p w14:paraId="55F06E7C" w14:textId="77777777" w:rsidR="00855DF0" w:rsidRPr="00855DF0" w:rsidRDefault="00855DF0" w:rsidP="00855DF0">
            <w:pPr>
              <w:spacing w:after="160" w:line="259" w:lineRule="auto"/>
            </w:pPr>
            <w:r w:rsidRPr="00855DF0">
              <w:rPr>
                <w:b/>
                <w:bCs/>
              </w:rPr>
              <w:t>PI</w:t>
            </w:r>
          </w:p>
        </w:tc>
        <w:tc>
          <w:tcPr>
            <w:tcW w:w="0" w:type="auto"/>
            <w:hideMark/>
          </w:tcPr>
          <w:p w14:paraId="03CB7CB8" w14:textId="77777777" w:rsidR="00855DF0" w:rsidRPr="00855DF0" w:rsidRDefault="00855DF0" w:rsidP="00855DF0">
            <w:pPr>
              <w:spacing w:after="160" w:line="259" w:lineRule="auto"/>
            </w:pPr>
            <w:r w:rsidRPr="00855DF0">
              <w:t>0.87</w:t>
            </w:r>
          </w:p>
        </w:tc>
        <w:tc>
          <w:tcPr>
            <w:tcW w:w="0" w:type="auto"/>
            <w:hideMark/>
          </w:tcPr>
          <w:p w14:paraId="307C4103" w14:textId="77777777" w:rsidR="00855DF0" w:rsidRPr="00855DF0" w:rsidRDefault="00855DF0" w:rsidP="00855DF0">
            <w:pPr>
              <w:spacing w:after="160" w:line="259" w:lineRule="auto"/>
            </w:pPr>
            <w:r w:rsidRPr="00855DF0">
              <w:t>0.88</w:t>
            </w:r>
          </w:p>
        </w:tc>
        <w:tc>
          <w:tcPr>
            <w:tcW w:w="0" w:type="auto"/>
            <w:hideMark/>
          </w:tcPr>
          <w:p w14:paraId="29D6E356" w14:textId="77777777" w:rsidR="00855DF0" w:rsidRPr="00855DF0" w:rsidRDefault="00855DF0" w:rsidP="00855DF0">
            <w:pPr>
              <w:spacing w:after="160" w:line="259" w:lineRule="auto"/>
            </w:pPr>
            <w:r w:rsidRPr="00855DF0">
              <w:t>1.02</w:t>
            </w:r>
          </w:p>
        </w:tc>
      </w:tr>
      <w:tr w:rsidR="00855DF0" w:rsidRPr="00855DF0" w14:paraId="4165330C" w14:textId="77777777" w:rsidTr="003A2CDE">
        <w:tc>
          <w:tcPr>
            <w:tcW w:w="0" w:type="auto"/>
            <w:hideMark/>
          </w:tcPr>
          <w:p w14:paraId="20A4885D" w14:textId="77777777" w:rsidR="00855DF0" w:rsidRPr="00855DF0" w:rsidRDefault="00855DF0" w:rsidP="00855DF0">
            <w:pPr>
              <w:spacing w:after="160" w:line="259" w:lineRule="auto"/>
            </w:pPr>
            <w:r w:rsidRPr="00855DF0">
              <w:rPr>
                <w:b/>
                <w:bCs/>
              </w:rPr>
              <w:t>IRR (%)</w:t>
            </w:r>
          </w:p>
        </w:tc>
        <w:tc>
          <w:tcPr>
            <w:tcW w:w="0" w:type="auto"/>
            <w:hideMark/>
          </w:tcPr>
          <w:p w14:paraId="63102B67" w14:textId="77777777" w:rsidR="00855DF0" w:rsidRPr="00855DF0" w:rsidRDefault="00855DF0" w:rsidP="00855DF0">
            <w:pPr>
              <w:spacing w:after="160" w:line="259" w:lineRule="auto"/>
            </w:pPr>
            <w:r w:rsidRPr="00855DF0">
              <w:t>2.72</w:t>
            </w:r>
          </w:p>
        </w:tc>
        <w:tc>
          <w:tcPr>
            <w:tcW w:w="0" w:type="auto"/>
            <w:hideMark/>
          </w:tcPr>
          <w:p w14:paraId="7E5E0387" w14:textId="77777777" w:rsidR="00855DF0" w:rsidRPr="00855DF0" w:rsidRDefault="00855DF0" w:rsidP="00855DF0">
            <w:pPr>
              <w:spacing w:after="160" w:line="259" w:lineRule="auto"/>
            </w:pPr>
            <w:r w:rsidRPr="00855DF0">
              <w:t>3.26</w:t>
            </w:r>
          </w:p>
        </w:tc>
        <w:tc>
          <w:tcPr>
            <w:tcW w:w="0" w:type="auto"/>
            <w:hideMark/>
          </w:tcPr>
          <w:p w14:paraId="77BA4E92" w14:textId="77777777" w:rsidR="00855DF0" w:rsidRPr="00855DF0" w:rsidRDefault="00855DF0" w:rsidP="00855DF0">
            <w:pPr>
              <w:spacing w:after="160" w:line="259" w:lineRule="auto"/>
            </w:pPr>
            <w:r w:rsidRPr="00855DF0">
              <w:t>8.59</w:t>
            </w:r>
          </w:p>
        </w:tc>
      </w:tr>
    </w:tbl>
    <w:p w14:paraId="62641E83" w14:textId="77777777" w:rsidR="00855DF0" w:rsidRPr="00855DF0" w:rsidRDefault="00855DF0" w:rsidP="00855DF0">
      <w:pPr>
        <w:spacing w:line="259" w:lineRule="auto"/>
      </w:pPr>
      <w:r w:rsidRPr="00855DF0">
        <w:rPr>
          <w:b/>
          <w:bCs/>
        </w:rPr>
        <w:t>Interpretation of Results:</w:t>
      </w:r>
    </w:p>
    <w:p w14:paraId="21F31548" w14:textId="77777777" w:rsidR="001C21F6" w:rsidRPr="001C21F6" w:rsidRDefault="00855DF0">
      <w:pPr>
        <w:pStyle w:val="ListParagraph"/>
        <w:numPr>
          <w:ilvl w:val="0"/>
          <w:numId w:val="5"/>
        </w:numPr>
        <w:rPr>
          <w:b/>
          <w:bCs/>
        </w:rPr>
      </w:pPr>
      <w:r w:rsidRPr="001C21F6">
        <w:rPr>
          <w:b/>
          <w:bCs/>
        </w:rPr>
        <w:t>Payback Period (PBP):</w:t>
      </w:r>
    </w:p>
    <w:p w14:paraId="35F3688C" w14:textId="5B6C284B" w:rsidR="00855DF0" w:rsidRPr="00855DF0" w:rsidRDefault="00222E7E" w:rsidP="001C21F6">
      <w:pPr>
        <w:pStyle w:val="ListParagraph"/>
      </w:pPr>
      <w:r w:rsidRPr="00222E7E">
        <w:t>The fastest capital recovery is in project C with shortest payback (3.60 years). The projects A and B have a duration of about 4.5 years – close to project life – thus limiting the liquidity improvement. For Marriott who has a current ratio of 0.40, project C would pay out quicker; which is better for them as they have a need for cash flow stability</w:t>
      </w:r>
      <w:r w:rsidR="00855DF0" w:rsidRPr="00855DF0">
        <w:t>.</w:t>
      </w:r>
    </w:p>
    <w:p w14:paraId="25B10B42" w14:textId="77777777" w:rsidR="001C21F6" w:rsidRPr="001C21F6" w:rsidRDefault="00855DF0">
      <w:pPr>
        <w:pStyle w:val="ListParagraph"/>
        <w:numPr>
          <w:ilvl w:val="0"/>
          <w:numId w:val="5"/>
        </w:numPr>
        <w:rPr>
          <w:b/>
          <w:bCs/>
        </w:rPr>
      </w:pPr>
      <w:r w:rsidRPr="001C21F6">
        <w:rPr>
          <w:b/>
          <w:bCs/>
        </w:rPr>
        <w:t>Accounting Rate of Return (ARR):</w:t>
      </w:r>
    </w:p>
    <w:p w14:paraId="55FE9E59" w14:textId="387E9E2D" w:rsidR="00855DF0" w:rsidRPr="00855DF0" w:rsidRDefault="00222E7E" w:rsidP="001C21F6">
      <w:pPr>
        <w:pStyle w:val="ListParagraph"/>
      </w:pPr>
      <w:r w:rsidRPr="00222E7E">
        <w:t>Project C's ARR of 6.0% is significantly higher than that for Projects A and B (1.6% and 2.0%, respectively). This would be consistent with higher average accounting profits on each unit of original investment, and improve the reported accounting profitability of Marriott</w:t>
      </w:r>
      <w:r w:rsidR="00855DF0" w:rsidRPr="00855DF0">
        <w:t>.</w:t>
      </w:r>
    </w:p>
    <w:p w14:paraId="591610C4" w14:textId="77777777" w:rsidR="001C21F6" w:rsidRPr="001C21F6" w:rsidRDefault="00855DF0">
      <w:pPr>
        <w:pStyle w:val="ListParagraph"/>
        <w:numPr>
          <w:ilvl w:val="0"/>
          <w:numId w:val="5"/>
        </w:numPr>
        <w:rPr>
          <w:b/>
          <w:bCs/>
        </w:rPr>
      </w:pPr>
      <w:r w:rsidRPr="001C21F6">
        <w:rPr>
          <w:b/>
          <w:bCs/>
        </w:rPr>
        <w:t>Net Present Value (NPV):</w:t>
      </w:r>
    </w:p>
    <w:p w14:paraId="240D8DDB" w14:textId="6164BE56" w:rsidR="00855DF0" w:rsidRPr="00855DF0" w:rsidRDefault="00222E7E" w:rsidP="001C21F6">
      <w:pPr>
        <w:pStyle w:val="ListParagraph"/>
      </w:pPr>
      <w:r w:rsidRPr="00222E7E">
        <w:lastRenderedPageBreak/>
        <w:t>NPV (£0.86m) projects are only showing a value to shareholders as a positive NPV with Project C. Both projects A and B show negative NPVs of -£6.54m and -£6.08m, respectively at 8% discount rate and would be value destroying. NPV is best suited to measure value creation as it captures all cash flows including the time travesties of money</w:t>
      </w:r>
      <w:r w:rsidR="00855DF0" w:rsidRPr="00855DF0">
        <w:t>.</w:t>
      </w:r>
    </w:p>
    <w:p w14:paraId="6D1F6289" w14:textId="77777777" w:rsidR="001C21F6" w:rsidRPr="001C21F6" w:rsidRDefault="00855DF0">
      <w:pPr>
        <w:pStyle w:val="ListParagraph"/>
        <w:numPr>
          <w:ilvl w:val="0"/>
          <w:numId w:val="5"/>
        </w:numPr>
        <w:rPr>
          <w:b/>
          <w:bCs/>
        </w:rPr>
      </w:pPr>
      <w:r w:rsidRPr="001C21F6">
        <w:rPr>
          <w:b/>
          <w:bCs/>
        </w:rPr>
        <w:t>Profitability Index (PI):</w:t>
      </w:r>
    </w:p>
    <w:p w14:paraId="3707D603" w14:textId="3814936A" w:rsidR="00855DF0" w:rsidRPr="00855DF0" w:rsidRDefault="00222E7E" w:rsidP="001C21F6">
      <w:pPr>
        <w:pStyle w:val="ListParagraph"/>
      </w:pPr>
      <w:r w:rsidRPr="00222E7E">
        <w:t>Project C has a PI of 1.02, which means that for every £1 invested, £1.02 is coming back down. Projects A and B have PIs that are below 1.0, (namely 0.87 and 0.88), both indicating that the projects are not financially viable. Under capital rationing, the project will only be accepted if the PI &gt; 1.0</w:t>
      </w:r>
      <w:r w:rsidR="00855DF0" w:rsidRPr="00855DF0">
        <w:t>.</w:t>
      </w:r>
    </w:p>
    <w:p w14:paraId="54635E0C" w14:textId="77777777" w:rsidR="001C21F6" w:rsidRPr="000405DE" w:rsidRDefault="00855DF0">
      <w:pPr>
        <w:pStyle w:val="ListParagraph"/>
        <w:numPr>
          <w:ilvl w:val="0"/>
          <w:numId w:val="5"/>
        </w:numPr>
        <w:rPr>
          <w:b/>
          <w:bCs/>
        </w:rPr>
      </w:pPr>
      <w:r w:rsidRPr="000405DE">
        <w:rPr>
          <w:b/>
          <w:bCs/>
        </w:rPr>
        <w:t>Internal Rate of Return (IRR):</w:t>
      </w:r>
    </w:p>
    <w:p w14:paraId="0FF0C3F5" w14:textId="715C7F71" w:rsidR="00855DF0" w:rsidRPr="00855DF0" w:rsidRDefault="00222E7E" w:rsidP="007106C7">
      <w:pPr>
        <w:pStyle w:val="ListParagraph"/>
      </w:pPr>
      <w:r w:rsidRPr="00222E7E">
        <w:t>Project C has an IRR of 8.59% which is greater than 8% discount rate, which is considered ‘acceptable'. The IRRs of Projects A and B are 2.72 % and 3.26 % respectively, which is a lot lesser than cost of capital and should therefore be rejected. The IRR method offers an intuitive measure of return in the form of a percentage, which can be compared to the rate of return desired</w:t>
      </w:r>
      <w:r w:rsidR="00855DF0" w:rsidRPr="00855DF0">
        <w:t>.</w:t>
      </w:r>
    </w:p>
    <w:p w14:paraId="229A3AAA" w14:textId="77777777" w:rsidR="00855DF0" w:rsidRPr="00855DF0" w:rsidRDefault="00855DF0" w:rsidP="007106C7">
      <w:pPr>
        <w:pStyle w:val="Heading2"/>
      </w:pPr>
      <w:bookmarkStart w:id="23" w:name="_Toc236474121"/>
      <w:r w:rsidRPr="00855DF0">
        <w:t>d. Project Recommendation and Justification</w:t>
      </w:r>
      <w:bookmarkEnd w:id="23"/>
    </w:p>
    <w:p w14:paraId="11C94921" w14:textId="77777777" w:rsidR="00855DF0" w:rsidRPr="00855DF0" w:rsidRDefault="00855DF0" w:rsidP="00855DF0">
      <w:pPr>
        <w:spacing w:line="259" w:lineRule="auto"/>
      </w:pPr>
      <w:r w:rsidRPr="00855DF0">
        <w:rPr>
          <w:b/>
          <w:bCs/>
        </w:rPr>
        <w:t>Recommended Project: Project C</w:t>
      </w:r>
    </w:p>
    <w:p w14:paraId="72072165" w14:textId="77777777" w:rsidR="00855DF0" w:rsidRPr="00855DF0" w:rsidRDefault="00855DF0" w:rsidP="00855DF0">
      <w:pPr>
        <w:spacing w:line="259" w:lineRule="auto"/>
      </w:pPr>
      <w:r w:rsidRPr="00855DF0">
        <w:rPr>
          <w:b/>
          <w:bCs/>
        </w:rPr>
        <w:t>Financial Justification:</w:t>
      </w:r>
    </w:p>
    <w:p w14:paraId="34E018C4" w14:textId="77777777" w:rsidR="00222E7E" w:rsidRDefault="00222E7E" w:rsidP="00222E7E">
      <w:r>
        <w:t xml:space="preserve">The return from the project, NPV 'C' £0.86m is positive and the PI is &gt;1.0 (1.02) indicates it is the only project that is beneficial to the shareholders' and meets Marriott's goal of maximising value to it. </w:t>
      </w:r>
    </w:p>
    <w:p w14:paraId="1422E608" w14:textId="77777777" w:rsidR="00222E7E" w:rsidRDefault="00222E7E" w:rsidP="00222E7E">
      <w:r>
        <w:t>Profitability Alignment: With an ARR of 6.0% and IRR of 8.59%, Project C enhances Marriott's profitability metrics, which is critical given the company's net profit margin of 11.2% in 2024.</w:t>
      </w:r>
    </w:p>
    <w:p w14:paraId="2E83FF43" w14:textId="19DF832F" w:rsidR="00855DF0" w:rsidRPr="00855DF0" w:rsidRDefault="00222E7E" w:rsidP="00222E7E">
      <w:r>
        <w:t>Liquidity Considerations: The shorter the payback period the better the cash flow recovery; Project C has a shorter payback period (3.60 years) and this fits into the Marriott's requirement to improve characteristics of cash flow recovery in the present ratio of the current ratio of 0.40</w:t>
      </w:r>
      <w:r w:rsidR="00855DF0" w:rsidRPr="00855DF0">
        <w:t>.</w:t>
      </w:r>
    </w:p>
    <w:p w14:paraId="18E47918" w14:textId="77777777" w:rsidR="00855DF0" w:rsidRPr="00855DF0" w:rsidRDefault="00855DF0" w:rsidP="00855DF0">
      <w:pPr>
        <w:spacing w:line="259" w:lineRule="auto"/>
      </w:pPr>
      <w:r w:rsidRPr="00855DF0">
        <w:rPr>
          <w:b/>
          <w:bCs/>
        </w:rPr>
        <w:t>Non-Financial Risk Assessment:</w:t>
      </w:r>
    </w:p>
    <w:p w14:paraId="6574104F" w14:textId="77777777" w:rsidR="007106C7" w:rsidRPr="007106C7" w:rsidRDefault="00855DF0">
      <w:pPr>
        <w:numPr>
          <w:ilvl w:val="0"/>
          <w:numId w:val="3"/>
        </w:numPr>
        <w:spacing w:line="259" w:lineRule="auto"/>
      </w:pPr>
      <w:r w:rsidRPr="00855DF0">
        <w:rPr>
          <w:b/>
          <w:bCs/>
        </w:rPr>
        <w:t>Political Risk:</w:t>
      </w:r>
    </w:p>
    <w:p w14:paraId="100659B3" w14:textId="2DDFFA24" w:rsidR="00855DF0" w:rsidRPr="00855DF0" w:rsidRDefault="00222E7E" w:rsidP="007106C7">
      <w:r w:rsidRPr="00222E7E">
        <w:lastRenderedPageBreak/>
        <w:t>Political instability, the evolution of regulations, or the risk of expropriation may harm cash flow in Project C, if there has been an investment in emerging markets such as Asia or Latin America. Marriott should do country risk assessment and think about the hedging measures such as political risk insurance</w:t>
      </w:r>
      <w:r w:rsidR="00855DF0" w:rsidRPr="00855DF0">
        <w:t>).</w:t>
      </w:r>
    </w:p>
    <w:p w14:paraId="5BCA5B2B" w14:textId="77777777" w:rsidR="007106C7" w:rsidRPr="007106C7" w:rsidRDefault="00855DF0">
      <w:pPr>
        <w:numPr>
          <w:ilvl w:val="0"/>
          <w:numId w:val="3"/>
        </w:numPr>
        <w:spacing w:line="259" w:lineRule="auto"/>
      </w:pPr>
      <w:r w:rsidRPr="00855DF0">
        <w:rPr>
          <w:b/>
          <w:bCs/>
        </w:rPr>
        <w:t>Customer Loyalty:</w:t>
      </w:r>
    </w:p>
    <w:p w14:paraId="5EABE28B" w14:textId="1D668A24" w:rsidR="00855DF0" w:rsidRPr="00855DF0" w:rsidRDefault="00222E7E" w:rsidP="007106C7">
      <w:r w:rsidRPr="00222E7E">
        <w:t>Project C's cash flow profile (virtually all of years 3-4) implies that the project is a long-term investment, either a new development like a hotel, or perhaps a technology system. Aligning it with customer preferences (e.g., sustainability, digital experiences) is essential for customer loyalty and the expected cash inflows for the brand</w:t>
      </w:r>
      <w:r w:rsidR="00855DF0" w:rsidRPr="00855DF0">
        <w:t>.</w:t>
      </w:r>
    </w:p>
    <w:p w14:paraId="59DFCC41" w14:textId="77777777" w:rsidR="007106C7" w:rsidRPr="007106C7" w:rsidRDefault="00855DF0">
      <w:pPr>
        <w:numPr>
          <w:ilvl w:val="0"/>
          <w:numId w:val="3"/>
        </w:numPr>
        <w:spacing w:line="259" w:lineRule="auto"/>
      </w:pPr>
      <w:r w:rsidRPr="00855DF0">
        <w:rPr>
          <w:b/>
          <w:bCs/>
        </w:rPr>
        <w:t>Operational Risk:</w:t>
      </w:r>
    </w:p>
    <w:p w14:paraId="031EE962" w14:textId="6296A34C" w:rsidR="00855DF0" w:rsidRPr="00855DF0" w:rsidRDefault="00222E7E" w:rsidP="007106C7">
      <w:r w:rsidRPr="00222E7E">
        <w:t>The cash flows of Project C are back-loaded, which means that there is a greater risk in the later years. Marriott needs to have strong project management controls in place to help reduce any delays and cost overruns which might jeopardise the achievement and maintenance of NPV</w:t>
      </w:r>
      <w:r w:rsidR="00201630" w:rsidRPr="00201630">
        <w:rPr>
          <w:rFonts w:ascii="Times New Roman" w:eastAsia="Times New Roman" w:hAnsi="Times New Roman" w:cs="Times New Roman"/>
          <w:kern w:val="0"/>
          <w:szCs w:val="24"/>
          <w:lang w:eastAsia="en-IN"/>
          <w14:ligatures w14:val="none"/>
        </w:rPr>
        <w:t xml:space="preserve"> </w:t>
      </w:r>
      <w:r w:rsidR="00201630" w:rsidRPr="00201630">
        <w:t>(Muzorewa, 2024)</w:t>
      </w:r>
      <w:r w:rsidR="00855DF0" w:rsidRPr="00855DF0">
        <w:t>.</w:t>
      </w:r>
    </w:p>
    <w:p w14:paraId="79CDD703" w14:textId="77777777" w:rsidR="007106C7" w:rsidRDefault="00855DF0" w:rsidP="00855DF0">
      <w:pPr>
        <w:spacing w:line="259" w:lineRule="auto"/>
        <w:rPr>
          <w:b/>
          <w:bCs/>
        </w:rPr>
      </w:pPr>
      <w:r w:rsidRPr="00855DF0">
        <w:rPr>
          <w:b/>
          <w:bCs/>
        </w:rPr>
        <w:t>Comparison with Projects A and B:</w:t>
      </w:r>
    </w:p>
    <w:p w14:paraId="205DC02F" w14:textId="399667DB" w:rsidR="00855DF0" w:rsidRPr="00855DF0" w:rsidRDefault="00222E7E" w:rsidP="008D3140">
      <w:r w:rsidRPr="00222E7E">
        <w:t>The financial analyses of Projects A and B indicate negative NPV and an IRR less than 8%, and therefore these projects are NOT worth pursuing</w:t>
      </w:r>
      <w:r w:rsidR="00201630" w:rsidRPr="00201630">
        <w:rPr>
          <w:rFonts w:ascii="Times New Roman" w:eastAsia="Times New Roman" w:hAnsi="Times New Roman" w:cs="Times New Roman"/>
          <w:kern w:val="0"/>
          <w:szCs w:val="24"/>
          <w:lang w:eastAsia="en-IN"/>
          <w14:ligatures w14:val="none"/>
        </w:rPr>
        <w:t xml:space="preserve"> </w:t>
      </w:r>
      <w:r w:rsidR="00201630" w:rsidRPr="00201630">
        <w:t>(</w:t>
      </w:r>
      <w:proofErr w:type="spellStart"/>
      <w:r w:rsidR="00201630" w:rsidRPr="00201630">
        <w:t>Sneps-Sneppe</w:t>
      </w:r>
      <w:proofErr w:type="spellEnd"/>
      <w:r w:rsidR="00201630" w:rsidRPr="00201630">
        <w:t>, 2023)</w:t>
      </w:r>
      <w:r w:rsidRPr="00222E7E">
        <w:t>. Rationing capital does not alone justify capital projects that destroy value for the shareholders, as it would not for Marriott's fiduciary responsibilities</w:t>
      </w:r>
      <w:r w:rsidR="00855DF0" w:rsidRPr="00855DF0">
        <w:t>.</w:t>
      </w:r>
    </w:p>
    <w:p w14:paraId="47A295B4" w14:textId="77777777" w:rsidR="00855DF0" w:rsidRPr="00855DF0" w:rsidRDefault="00855DF0" w:rsidP="008D3140">
      <w:pPr>
        <w:pStyle w:val="Heading2"/>
      </w:pPr>
      <w:bookmarkStart w:id="24" w:name="_Toc236474122"/>
      <w:r w:rsidRPr="00855DF0">
        <w:t>e. Capital Rationing Analysis (£100 Million Budget)</w:t>
      </w:r>
      <w:bookmarkEnd w:id="24"/>
    </w:p>
    <w:p w14:paraId="5308D2CC" w14:textId="280F1928" w:rsidR="00855DF0" w:rsidRPr="00855DF0" w:rsidRDefault="00222E7E" w:rsidP="008D3140">
      <w:r w:rsidRPr="00222E7E">
        <w:t>Marriott have £100 million available to invest in two of three projects – each cost £50 million. There are a few possible combinations</w:t>
      </w:r>
      <w:r w:rsidR="00855DF0" w:rsidRPr="00855DF0">
        <w:t>:</w:t>
      </w:r>
    </w:p>
    <w:p w14:paraId="2B436364" w14:textId="491ECB2D" w:rsidR="008D3140" w:rsidRDefault="008D3140" w:rsidP="008D3140">
      <w:pPr>
        <w:pStyle w:val="Caption"/>
        <w:keepNext/>
      </w:pPr>
      <w:bookmarkStart w:id="25" w:name="_Toc236395055"/>
      <w:r>
        <w:t xml:space="preserve">Table </w:t>
      </w:r>
      <w:fldSimple w:instr=" SEQ Table \* ARABIC ">
        <w:r>
          <w:rPr>
            <w:noProof/>
          </w:rPr>
          <w:t>5</w:t>
        </w:r>
      </w:fldSimple>
      <w:r>
        <w:t xml:space="preserve">: </w:t>
      </w:r>
      <w:r w:rsidRPr="00D1331E">
        <w:t>Capital Rationing – Combined NPV Analysis</w:t>
      </w:r>
      <w:bookmarkEnd w:id="25"/>
    </w:p>
    <w:tbl>
      <w:tblPr>
        <w:tblStyle w:val="TableGrid"/>
        <w:tblW w:w="0" w:type="auto"/>
        <w:tblLook w:val="04A0" w:firstRow="1" w:lastRow="0" w:firstColumn="1" w:lastColumn="0" w:noHBand="0" w:noVBand="1"/>
      </w:tblPr>
      <w:tblGrid>
        <w:gridCol w:w="1683"/>
        <w:gridCol w:w="2679"/>
        <w:gridCol w:w="2523"/>
      </w:tblGrid>
      <w:tr w:rsidR="00855DF0" w:rsidRPr="00855DF0" w14:paraId="5CD0E3BE" w14:textId="77777777" w:rsidTr="008D3140">
        <w:tc>
          <w:tcPr>
            <w:tcW w:w="0" w:type="auto"/>
            <w:hideMark/>
          </w:tcPr>
          <w:p w14:paraId="148BAB03" w14:textId="77777777" w:rsidR="00855DF0" w:rsidRPr="00855DF0" w:rsidRDefault="00855DF0" w:rsidP="00855DF0">
            <w:pPr>
              <w:spacing w:after="160" w:line="259" w:lineRule="auto"/>
              <w:jc w:val="left"/>
              <w:rPr>
                <w:b/>
                <w:bCs/>
              </w:rPr>
            </w:pPr>
            <w:r w:rsidRPr="00855DF0">
              <w:rPr>
                <w:b/>
                <w:bCs/>
              </w:rPr>
              <w:t>Combination</w:t>
            </w:r>
          </w:p>
        </w:tc>
        <w:tc>
          <w:tcPr>
            <w:tcW w:w="0" w:type="auto"/>
            <w:hideMark/>
          </w:tcPr>
          <w:p w14:paraId="4D2C4FD5" w14:textId="77777777" w:rsidR="00855DF0" w:rsidRPr="00855DF0" w:rsidRDefault="00855DF0" w:rsidP="00855DF0">
            <w:pPr>
              <w:spacing w:after="160" w:line="259" w:lineRule="auto"/>
              <w:jc w:val="left"/>
              <w:rPr>
                <w:b/>
                <w:bCs/>
              </w:rPr>
            </w:pPr>
            <w:r w:rsidRPr="00855DF0">
              <w:rPr>
                <w:b/>
                <w:bCs/>
              </w:rPr>
              <w:t>Total Investment (£m)</w:t>
            </w:r>
          </w:p>
        </w:tc>
        <w:tc>
          <w:tcPr>
            <w:tcW w:w="0" w:type="auto"/>
            <w:hideMark/>
          </w:tcPr>
          <w:p w14:paraId="37FF6BA1" w14:textId="77777777" w:rsidR="00855DF0" w:rsidRPr="00855DF0" w:rsidRDefault="00855DF0" w:rsidP="00855DF0">
            <w:pPr>
              <w:spacing w:after="160" w:line="259" w:lineRule="auto"/>
              <w:jc w:val="left"/>
              <w:rPr>
                <w:b/>
                <w:bCs/>
              </w:rPr>
            </w:pPr>
            <w:r w:rsidRPr="00855DF0">
              <w:rPr>
                <w:b/>
                <w:bCs/>
              </w:rPr>
              <w:t>Combined NPV (£m)</w:t>
            </w:r>
          </w:p>
        </w:tc>
      </w:tr>
      <w:tr w:rsidR="00855DF0" w:rsidRPr="00855DF0" w14:paraId="3C1B7891" w14:textId="77777777" w:rsidTr="008D3140">
        <w:tc>
          <w:tcPr>
            <w:tcW w:w="0" w:type="auto"/>
            <w:hideMark/>
          </w:tcPr>
          <w:p w14:paraId="54BDCB36" w14:textId="77777777" w:rsidR="00855DF0" w:rsidRPr="00855DF0" w:rsidRDefault="00855DF0" w:rsidP="00855DF0">
            <w:pPr>
              <w:spacing w:after="160" w:line="259" w:lineRule="auto"/>
            </w:pPr>
            <w:r w:rsidRPr="00855DF0">
              <w:rPr>
                <w:b/>
                <w:bCs/>
              </w:rPr>
              <w:t>A + B</w:t>
            </w:r>
          </w:p>
        </w:tc>
        <w:tc>
          <w:tcPr>
            <w:tcW w:w="0" w:type="auto"/>
            <w:hideMark/>
          </w:tcPr>
          <w:p w14:paraId="1029B2A2" w14:textId="77777777" w:rsidR="00855DF0" w:rsidRPr="00855DF0" w:rsidRDefault="00855DF0" w:rsidP="00855DF0">
            <w:pPr>
              <w:spacing w:after="160" w:line="259" w:lineRule="auto"/>
            </w:pPr>
            <w:r w:rsidRPr="00855DF0">
              <w:t>100</w:t>
            </w:r>
          </w:p>
        </w:tc>
        <w:tc>
          <w:tcPr>
            <w:tcW w:w="0" w:type="auto"/>
            <w:hideMark/>
          </w:tcPr>
          <w:p w14:paraId="2AB6A66D" w14:textId="77777777" w:rsidR="00855DF0" w:rsidRPr="00855DF0" w:rsidRDefault="00855DF0" w:rsidP="00855DF0">
            <w:pPr>
              <w:spacing w:after="160" w:line="259" w:lineRule="auto"/>
            </w:pPr>
            <w:r w:rsidRPr="00855DF0">
              <w:t>-12.62</w:t>
            </w:r>
          </w:p>
        </w:tc>
      </w:tr>
      <w:tr w:rsidR="00855DF0" w:rsidRPr="00855DF0" w14:paraId="79671826" w14:textId="77777777" w:rsidTr="008D3140">
        <w:tc>
          <w:tcPr>
            <w:tcW w:w="0" w:type="auto"/>
            <w:hideMark/>
          </w:tcPr>
          <w:p w14:paraId="04ED2BC5" w14:textId="77777777" w:rsidR="00855DF0" w:rsidRPr="00855DF0" w:rsidRDefault="00855DF0" w:rsidP="00855DF0">
            <w:pPr>
              <w:spacing w:after="160" w:line="259" w:lineRule="auto"/>
            </w:pPr>
            <w:r w:rsidRPr="00855DF0">
              <w:rPr>
                <w:b/>
                <w:bCs/>
              </w:rPr>
              <w:t>A + C</w:t>
            </w:r>
          </w:p>
        </w:tc>
        <w:tc>
          <w:tcPr>
            <w:tcW w:w="0" w:type="auto"/>
            <w:hideMark/>
          </w:tcPr>
          <w:p w14:paraId="19B4D6EC" w14:textId="77777777" w:rsidR="00855DF0" w:rsidRPr="00855DF0" w:rsidRDefault="00855DF0" w:rsidP="00855DF0">
            <w:pPr>
              <w:spacing w:after="160" w:line="259" w:lineRule="auto"/>
            </w:pPr>
            <w:r w:rsidRPr="00855DF0">
              <w:t>100</w:t>
            </w:r>
          </w:p>
        </w:tc>
        <w:tc>
          <w:tcPr>
            <w:tcW w:w="0" w:type="auto"/>
            <w:hideMark/>
          </w:tcPr>
          <w:p w14:paraId="49A5D19C" w14:textId="77777777" w:rsidR="00855DF0" w:rsidRPr="00855DF0" w:rsidRDefault="00855DF0" w:rsidP="00855DF0">
            <w:pPr>
              <w:spacing w:after="160" w:line="259" w:lineRule="auto"/>
            </w:pPr>
            <w:r w:rsidRPr="00855DF0">
              <w:t>-5.69</w:t>
            </w:r>
          </w:p>
        </w:tc>
      </w:tr>
      <w:tr w:rsidR="00855DF0" w:rsidRPr="00855DF0" w14:paraId="57CB4FE3" w14:textId="77777777" w:rsidTr="008D3140">
        <w:tc>
          <w:tcPr>
            <w:tcW w:w="0" w:type="auto"/>
            <w:hideMark/>
          </w:tcPr>
          <w:p w14:paraId="031658C7" w14:textId="77777777" w:rsidR="00855DF0" w:rsidRPr="00855DF0" w:rsidRDefault="00855DF0" w:rsidP="00855DF0">
            <w:pPr>
              <w:spacing w:after="160" w:line="259" w:lineRule="auto"/>
            </w:pPr>
            <w:r w:rsidRPr="00855DF0">
              <w:rPr>
                <w:b/>
                <w:bCs/>
              </w:rPr>
              <w:t>B + C</w:t>
            </w:r>
          </w:p>
        </w:tc>
        <w:tc>
          <w:tcPr>
            <w:tcW w:w="0" w:type="auto"/>
            <w:hideMark/>
          </w:tcPr>
          <w:p w14:paraId="0B587E39" w14:textId="77777777" w:rsidR="00855DF0" w:rsidRPr="00855DF0" w:rsidRDefault="00855DF0" w:rsidP="00855DF0">
            <w:pPr>
              <w:spacing w:after="160" w:line="259" w:lineRule="auto"/>
            </w:pPr>
            <w:r w:rsidRPr="00855DF0">
              <w:t>100</w:t>
            </w:r>
          </w:p>
        </w:tc>
        <w:tc>
          <w:tcPr>
            <w:tcW w:w="0" w:type="auto"/>
            <w:hideMark/>
          </w:tcPr>
          <w:p w14:paraId="5CEEFF77" w14:textId="77777777" w:rsidR="00855DF0" w:rsidRPr="00855DF0" w:rsidRDefault="00855DF0" w:rsidP="00855DF0">
            <w:pPr>
              <w:spacing w:after="160" w:line="259" w:lineRule="auto"/>
            </w:pPr>
            <w:r w:rsidRPr="00855DF0">
              <w:t>-5.22</w:t>
            </w:r>
          </w:p>
        </w:tc>
      </w:tr>
    </w:tbl>
    <w:p w14:paraId="2DC495F3" w14:textId="77777777" w:rsidR="00855DF0" w:rsidRPr="00855DF0" w:rsidRDefault="00855DF0" w:rsidP="00855DF0">
      <w:pPr>
        <w:spacing w:line="259" w:lineRule="auto"/>
      </w:pPr>
      <w:r w:rsidRPr="00855DF0">
        <w:rPr>
          <w:b/>
          <w:bCs/>
        </w:rPr>
        <w:t>Optimal Combination: Project C Only (or B + C if mandatory to invest £100m)</w:t>
      </w:r>
    </w:p>
    <w:p w14:paraId="69B966FD" w14:textId="77777777" w:rsidR="00855DF0" w:rsidRPr="00855DF0" w:rsidRDefault="00855DF0" w:rsidP="00855DF0">
      <w:pPr>
        <w:spacing w:line="259" w:lineRule="auto"/>
      </w:pPr>
      <w:r w:rsidRPr="00855DF0">
        <w:rPr>
          <w:b/>
          <w:bCs/>
        </w:rPr>
        <w:t>Analysis:</w:t>
      </w:r>
    </w:p>
    <w:p w14:paraId="08B0DE57" w14:textId="0906E6AC" w:rsidR="00855DF0" w:rsidRPr="00855DF0" w:rsidRDefault="00855DF0" w:rsidP="007159A6">
      <w:r w:rsidRPr="002E2BA9">
        <w:rPr>
          <w:b/>
          <w:bCs/>
        </w:rPr>
        <w:lastRenderedPageBreak/>
        <w:t>Best NPV Outcome:</w:t>
      </w:r>
      <w:r w:rsidRPr="00855DF0">
        <w:t xml:space="preserve"> </w:t>
      </w:r>
      <w:r w:rsidR="00222E7E" w:rsidRPr="00222E7E">
        <w:t>In combination (B + C) you get the highest NPV ($-5.22m$) of the three options, but it remains negative and thus costs have been created</w:t>
      </w:r>
      <w:r w:rsidRPr="00855DF0">
        <w:t>.</w:t>
      </w:r>
    </w:p>
    <w:p w14:paraId="044E6EB3" w14:textId="2E1D8FC3" w:rsidR="00855DF0" w:rsidRPr="00855DF0" w:rsidRDefault="00855DF0" w:rsidP="007159A6">
      <w:r w:rsidRPr="002E2BA9">
        <w:rPr>
          <w:b/>
          <w:bCs/>
        </w:rPr>
        <w:t>Superior Alternative:</w:t>
      </w:r>
      <w:r w:rsidRPr="00855DF0">
        <w:t xml:space="preserve"> </w:t>
      </w:r>
      <w:r w:rsidR="00222E7E" w:rsidRPr="00222E7E">
        <w:t>If Marriott is not under any obligation to invest the £100 million, the best solution would be to invest in Project C (£50m) which would generate a positive NPV of £0.86m and allow Marriott to retain a £50m balance to cover additional projects that would create greater value or reduce their debt</w:t>
      </w:r>
      <w:r w:rsidRPr="00855DF0">
        <w:t>.</w:t>
      </w:r>
    </w:p>
    <w:p w14:paraId="4FF97A41" w14:textId="2BFD856F" w:rsidR="00855DF0" w:rsidRPr="00855DF0" w:rsidRDefault="00855DF0" w:rsidP="007159A6">
      <w:r w:rsidRPr="002E2BA9">
        <w:rPr>
          <w:b/>
          <w:bCs/>
        </w:rPr>
        <w:t>Capital Rationing Principle:</w:t>
      </w:r>
      <w:r w:rsidRPr="00855DF0">
        <w:t xml:space="preserve"> </w:t>
      </w:r>
      <w:r w:rsidR="00222E7E" w:rsidRPr="00222E7E">
        <w:t>When working with capital rationing the goal is to maximize total NPV within budget. Project A and Project B both have negative new values (NPV), hence excluding these will increase the overall value</w:t>
      </w:r>
      <w:r w:rsidRPr="00855DF0">
        <w:t>.</w:t>
      </w:r>
    </w:p>
    <w:p w14:paraId="3CE60609" w14:textId="1AE3796B" w:rsidR="008A07F3" w:rsidRPr="00751B8C" w:rsidRDefault="00855DF0" w:rsidP="008A07F3">
      <w:r w:rsidRPr="00751B8C">
        <w:rPr>
          <w:b/>
          <w:bCs/>
        </w:rPr>
        <w:t>Recommendation:</w:t>
      </w:r>
    </w:p>
    <w:p w14:paraId="3EEF7C36" w14:textId="1834EF76" w:rsidR="00855DF0" w:rsidRPr="00751B8C" w:rsidRDefault="008A07F3" w:rsidP="00A52553">
      <w:r w:rsidRPr="00751B8C">
        <w:t>It is advised that Marriott concentrates in investing in only Project C that has an investment amount of £50 million, though keeps the remaining investment amount of the project i.e. 50 million instead of investing the same amount in other projects</w:t>
      </w:r>
      <w:r w:rsidR="00751B8C" w:rsidRPr="00751B8C">
        <w:rPr>
          <w:rFonts w:ascii="Times New Roman" w:eastAsia="Times New Roman" w:hAnsi="Times New Roman" w:cs="Times New Roman"/>
          <w:kern w:val="0"/>
          <w:szCs w:val="24"/>
          <w:lang w:eastAsia="en-IN"/>
          <w14:ligatures w14:val="none"/>
        </w:rPr>
        <w:t xml:space="preserve"> </w:t>
      </w:r>
      <w:r w:rsidR="00751B8C" w:rsidRPr="00751B8C">
        <w:t>(De Carvalho, 2023)</w:t>
      </w:r>
      <w:r w:rsidRPr="00751B8C">
        <w:t xml:space="preserve">. Having this money on hand would also be beneficial to the overall financial strategy of the company as it would allow it to pay off debt, which can then be used to increase the debt-to-EBITDA ratio of Marriott which currently stands at 3.39x aiding in strengthening its financial standing. Secondly, the flexibility of having this capital would enable it to do acquisitions or share buybacks in situations where market valuations are more likely to be </w:t>
      </w:r>
      <w:r w:rsidR="0004325C" w:rsidRPr="00751B8C">
        <w:t>favourable</w:t>
      </w:r>
      <w:r w:rsidRPr="00751B8C">
        <w:t>. Holding a liquidity reserve would also cushion the company against economic risk and assist in long term value creation, reduced financial leverage and increased financial stability</w:t>
      </w:r>
      <w:r w:rsidR="009C3F0B" w:rsidRPr="009C3F0B">
        <w:rPr>
          <w:rFonts w:ascii="Times New Roman" w:eastAsia="Times New Roman" w:hAnsi="Times New Roman" w:cs="Times New Roman"/>
          <w:kern w:val="0"/>
          <w:szCs w:val="24"/>
          <w:lang w:eastAsia="en-IN"/>
          <w14:ligatures w14:val="none"/>
        </w:rPr>
        <w:t xml:space="preserve"> </w:t>
      </w:r>
      <w:r w:rsidR="009C3F0B" w:rsidRPr="009C3F0B">
        <w:t xml:space="preserve">(Hoti </w:t>
      </w:r>
      <w:proofErr w:type="spellStart"/>
      <w:r w:rsidR="009C3F0B" w:rsidRPr="009C3F0B">
        <w:t>Arifaj</w:t>
      </w:r>
      <w:proofErr w:type="spellEnd"/>
      <w:r w:rsidR="009C3F0B" w:rsidRPr="009C3F0B">
        <w:t xml:space="preserve"> et al., 2023)</w:t>
      </w:r>
      <w:r w:rsidRPr="00751B8C">
        <w:t>.</w:t>
      </w:r>
    </w:p>
    <w:p w14:paraId="047CEF4C" w14:textId="77777777" w:rsidR="00855DF0" w:rsidRPr="00855DF0" w:rsidRDefault="00855DF0" w:rsidP="00A52553">
      <w:pPr>
        <w:pStyle w:val="Heading2"/>
      </w:pPr>
      <w:bookmarkStart w:id="26" w:name="_Toc236474123"/>
      <w:r w:rsidRPr="00855DF0">
        <w:t>Conclusion</w:t>
      </w:r>
      <w:bookmarkEnd w:id="26"/>
    </w:p>
    <w:p w14:paraId="57556889" w14:textId="27481F56" w:rsidR="00855DF0" w:rsidRPr="00855DF0" w:rsidRDefault="00222E7E" w:rsidP="00A164EA">
      <w:r w:rsidRPr="00222E7E">
        <w:t>Only project C has a positive NPV, an IRR above cost of capital and a PI &gt; 1.0 and is a financially viable investment. Now that capital has become a constraint, Marriott has to consider only Project C, and not Project A and Project B, where the net present value of capital is negative. The recommendation will contribute to Marriott's strategic objective of profitability enhancement and support liquidity improvement and prudent capital allocation</w:t>
      </w:r>
      <w:r w:rsidR="00855DF0" w:rsidRPr="00855DF0">
        <w:t>.</w:t>
      </w:r>
    </w:p>
    <w:p w14:paraId="7109722C" w14:textId="4C0B9643" w:rsidR="00855DF0" w:rsidRPr="00855DF0" w:rsidRDefault="00855DF0" w:rsidP="00A52553">
      <w:pPr>
        <w:pStyle w:val="Heading1"/>
      </w:pPr>
      <w:bookmarkStart w:id="27" w:name="_Toc236474124"/>
      <w:r w:rsidRPr="00855DF0">
        <w:lastRenderedPageBreak/>
        <w:t>5. Critical Reflection on AI Usage</w:t>
      </w:r>
      <w:bookmarkEnd w:id="27"/>
    </w:p>
    <w:p w14:paraId="126DEC50" w14:textId="77777777" w:rsidR="00855DF0" w:rsidRPr="00855DF0" w:rsidRDefault="00855DF0" w:rsidP="00A52553">
      <w:pPr>
        <w:pStyle w:val="Heading2"/>
      </w:pPr>
      <w:bookmarkStart w:id="28" w:name="_Toc236474125"/>
      <w:r w:rsidRPr="00855DF0">
        <w:t>a. Tool Disclosure</w:t>
      </w:r>
      <w:bookmarkEnd w:id="28"/>
    </w:p>
    <w:p w14:paraId="74D6ADF3" w14:textId="5FD331C4" w:rsidR="00855DF0" w:rsidRPr="00855DF0" w:rsidRDefault="00222E7E" w:rsidP="00102F5C">
      <w:r w:rsidRPr="00222E7E">
        <w:t>This report has been prepared with the help of AI-powered tools, mainly large language models (LLMs), in an advisory capacity. The material was only adapted with the help of AI where it helped with report structure, made clear what the task entailed and recommended appropriate frameworks for financial analysis. It helped them with the setting up of the section heading, in knowing what type of ratios they can expect, and in determining the suitable capital budgeting techniques like NPV, IRR, PBP, ARR and PI. Excellent financial data extraction and calculations of ratios, investment appraisal and written analysis of all financial data was completed manually using financial data from Marriott International's annual reports (2020-2024), SEC filings and credible financial databases. This limited guidance only role is reflected in the AI acknowledgment</w:t>
      </w:r>
      <w:r w:rsidR="00EF415A" w:rsidRPr="00EF415A">
        <w:t>.</w:t>
      </w:r>
    </w:p>
    <w:p w14:paraId="6ADC3491" w14:textId="77777777" w:rsidR="00855DF0" w:rsidRPr="00855DF0" w:rsidRDefault="00855DF0" w:rsidP="00102F5C">
      <w:pPr>
        <w:pStyle w:val="Heading2"/>
      </w:pPr>
      <w:bookmarkStart w:id="29" w:name="_Toc236474126"/>
      <w:r w:rsidRPr="00855DF0">
        <w:t>b. Critical Evaluation of AI Output</w:t>
      </w:r>
      <w:bookmarkEnd w:id="29"/>
    </w:p>
    <w:p w14:paraId="7E9007E3" w14:textId="7B270D6D" w:rsidR="00855DF0" w:rsidRPr="00855DF0" w:rsidRDefault="00222E7E" w:rsidP="00D43672">
      <w:r w:rsidRPr="00222E7E">
        <w:t>Since AI had only been requested to provide structures and not to write analytical text, there was not a high risk of the AI writing logically incorrect reports or hallucinating. All suggestions from the AI system were critically assessed with reference to the assignment brief, the module LO and lecturer support. Multiple primary sources were used for financial data and ratios and the performance of investment appraisal was independently computed and verified. To illustrate, the current ratio was manually calculated using the latter part of the balance sheet and verified using the trustworthy financial databases. The same as NPV and IRR, the Microsoft Excel functions were used for computation and exercised by discounted cash flow method also. If there were descriptions of actions that differed from those expected in the assignment, the lecturer's guidance and module handbook were used as the top priority</w:t>
      </w:r>
      <w:r w:rsidR="00EF415A" w:rsidRPr="00EF415A">
        <w:t>.</w:t>
      </w:r>
    </w:p>
    <w:p w14:paraId="768B82B4" w14:textId="77777777" w:rsidR="00855DF0" w:rsidRPr="00855DF0" w:rsidRDefault="00855DF0" w:rsidP="004C5F72">
      <w:pPr>
        <w:pStyle w:val="Heading2"/>
      </w:pPr>
      <w:bookmarkStart w:id="30" w:name="_Toc236474127"/>
      <w:r w:rsidRPr="00855DF0">
        <w:t>c. Contribution Analysis</w:t>
      </w:r>
      <w:bookmarkEnd w:id="30"/>
    </w:p>
    <w:p w14:paraId="58318D3A" w14:textId="6DD30786" w:rsidR="00222E7E" w:rsidRDefault="00222E7E" w:rsidP="00222E7E">
      <w:r>
        <w:t xml:space="preserve">It is perfectly distinguishable what has been written with AI and what hasn't. AI was used for initial organisation of the report which included the order of sections, suggested format for financial tables, etc. Critical analysis and professional judgement </w:t>
      </w:r>
      <w:r w:rsidR="00B92BDC">
        <w:t>were</w:t>
      </w:r>
      <w:r>
        <w:t xml:space="preserve"> used for all financial statement analysis, ratio interpretation, trend evaluation, </w:t>
      </w:r>
      <w:r>
        <w:lastRenderedPageBreak/>
        <w:t>working capital recommendations and restructuring proposals as well as for investment appraisal and capital rationing decision making.</w:t>
      </w:r>
    </w:p>
    <w:p w14:paraId="1D8093FB" w14:textId="47D0DBBF" w:rsidR="00855DF0" w:rsidRPr="00855DF0" w:rsidRDefault="00222E7E" w:rsidP="00222E7E">
      <w:r>
        <w:t xml:space="preserve">Financial information was hand scraped from the annual reports of Marriott and also corroborated from a variety of sources. All tables, figures and calculations in Excel were obtained independently. None of the recommendations—whether Project C was selected, or maintaining liquidity buffers or preferring long-term financing—were based on the AI-generated conclusions. All the recommendations, such as Project C, liquidity buffers and the use of </w:t>
      </w:r>
      <w:r w:rsidR="00B92BDC">
        <w:t>long-term</w:t>
      </w:r>
      <w:r>
        <w:t xml:space="preserve"> financing, were derived from the financial position assessment of Marriott, not the conclusions generated by the </w:t>
      </w:r>
      <w:r w:rsidR="00855CDF">
        <w:t>AI.</w:t>
      </w:r>
    </w:p>
    <w:p w14:paraId="68B9BC4D" w14:textId="77777777" w:rsidR="00855DF0" w:rsidRPr="00855DF0" w:rsidRDefault="00855DF0" w:rsidP="00281943">
      <w:pPr>
        <w:pStyle w:val="Heading2"/>
      </w:pPr>
      <w:bookmarkStart w:id="31" w:name="_Toc236474128"/>
      <w:r w:rsidRPr="00855DF0">
        <w:t>d. Ethical &amp; Professional Reflection</w:t>
      </w:r>
      <w:bookmarkEnd w:id="31"/>
    </w:p>
    <w:p w14:paraId="2CEA5FF9" w14:textId="3D9176D3" w:rsidR="00222E7E" w:rsidRDefault="00222E7E" w:rsidP="00222E7E">
      <w:r>
        <w:t>There are ethical and professional implications to consider when using AI to make financial choices. It's crucial to be transparent, and to explicitly state the use of AI helps to uphold academic integrity and trust with academic stakeholders. However, the entire financial analysis and suggestions should ALWAYS be made by the financial professional. All calculations, percentages and recommendations were reviewed in the report. It is the responsibility of a CFO to balance the use of AI, as blind trust may lead to inaccurate financing decisions, especially when interpreting data from a wide array of financial sources and examining non-financial risk from political uncertainty and ESG commitments.</w:t>
      </w:r>
    </w:p>
    <w:p w14:paraId="6FA106BE" w14:textId="6EAFADF2" w:rsidR="00046C94" w:rsidRDefault="00222E7E" w:rsidP="00222E7E">
      <w:r>
        <w:t>Publicly available data-maintained data privacy and all suggestions were double-checked with academic literature and primary financial sources, reducing the potential bias of the AI system. While AI can be a valuable tool to increase efficiency, it should not be the sole basis for professional judgment, critical thinking, or ethical decision-making</w:t>
      </w:r>
      <w:r w:rsidR="00EF415A">
        <w:t>.</w:t>
      </w:r>
    </w:p>
    <w:p w14:paraId="65C424EA" w14:textId="77777777" w:rsidR="00046C94" w:rsidRDefault="00046C94">
      <w:pPr>
        <w:spacing w:line="259" w:lineRule="auto"/>
        <w:jc w:val="left"/>
      </w:pPr>
      <w:r>
        <w:br w:type="page"/>
      </w:r>
    </w:p>
    <w:p w14:paraId="23A0AF56" w14:textId="7BD6DB97" w:rsidR="00741AC4" w:rsidRPr="000B6634" w:rsidRDefault="000B6634" w:rsidP="000B6634">
      <w:pPr>
        <w:pStyle w:val="Heading1"/>
        <w:rPr>
          <w:sz w:val="32"/>
        </w:rPr>
      </w:pPr>
      <w:bookmarkStart w:id="32" w:name="_Toc236474129"/>
      <w:r>
        <w:rPr>
          <w:rFonts w:eastAsia="Times New Roman"/>
          <w:lang w:eastAsia="en-IN"/>
        </w:rPr>
        <w:lastRenderedPageBreak/>
        <w:t>R</w:t>
      </w:r>
      <w:r w:rsidR="00741AC4" w:rsidRPr="00741AC4">
        <w:rPr>
          <w:rFonts w:eastAsia="Times New Roman"/>
          <w:lang w:eastAsia="en-IN"/>
        </w:rPr>
        <w:t>eference</w:t>
      </w:r>
      <w:r w:rsidR="00741AC4">
        <w:rPr>
          <w:rFonts w:eastAsia="Times New Roman"/>
          <w:lang w:eastAsia="en-IN"/>
        </w:rPr>
        <w:t>s</w:t>
      </w:r>
      <w:bookmarkEnd w:id="32"/>
    </w:p>
    <w:p w14:paraId="3FA65331" w14:textId="0E42725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Adejumo, A. and </w:t>
      </w:r>
      <w:proofErr w:type="spellStart"/>
      <w:r w:rsidRPr="009E7156">
        <w:rPr>
          <w:rFonts w:ascii="Times New Roman" w:eastAsia="Times New Roman" w:hAnsi="Times New Roman" w:cs="Times New Roman"/>
          <w:kern w:val="0"/>
          <w:szCs w:val="24"/>
          <w:lang w:eastAsia="en-IN"/>
          <w14:ligatures w14:val="none"/>
        </w:rPr>
        <w:t>Ogburie</w:t>
      </w:r>
      <w:proofErr w:type="spellEnd"/>
      <w:r w:rsidRPr="009E7156">
        <w:rPr>
          <w:rFonts w:ascii="Times New Roman" w:eastAsia="Times New Roman" w:hAnsi="Times New Roman" w:cs="Times New Roman"/>
          <w:kern w:val="0"/>
          <w:szCs w:val="24"/>
          <w:lang w:eastAsia="en-IN"/>
          <w14:ligatures w14:val="none"/>
        </w:rPr>
        <w:t xml:space="preserve">, C. (2025). </w:t>
      </w:r>
      <w:r w:rsidRPr="009E7156">
        <w:rPr>
          <w:rFonts w:ascii="Times New Roman" w:eastAsia="Times New Roman" w:hAnsi="Times New Roman" w:cs="Times New Roman"/>
          <w:i/>
          <w:iCs/>
          <w:kern w:val="0"/>
          <w:szCs w:val="24"/>
          <w:lang w:eastAsia="en-IN"/>
          <w14:ligatures w14:val="none"/>
        </w:rPr>
        <w:t>Financial statement manipulation: Ethical and regulatory perspectives</w:t>
      </w:r>
      <w:r w:rsidRPr="009E7156">
        <w:rPr>
          <w:rFonts w:ascii="Times New Roman" w:eastAsia="Times New Roman" w:hAnsi="Times New Roman" w:cs="Times New Roman"/>
          <w:kern w:val="0"/>
          <w:szCs w:val="24"/>
          <w:lang w:eastAsia="en-IN"/>
          <w14:ligatures w14:val="none"/>
        </w:rPr>
        <w:t xml:space="preserve">. [online] researchgate.net. Available at: </w:t>
      </w:r>
      <w:hyperlink r:id="rId11" w:history="1">
        <w:r w:rsidRPr="00FF2D1A">
          <w:rPr>
            <w:rStyle w:val="Hyperlink"/>
            <w:rFonts w:ascii="Times New Roman" w:eastAsia="Times New Roman" w:hAnsi="Times New Roman" w:cs="Times New Roman"/>
            <w:kern w:val="0"/>
            <w:szCs w:val="24"/>
            <w:lang w:eastAsia="en-IN"/>
            <w14:ligatures w14:val="none"/>
          </w:rPr>
          <w:t>https://www.researchgate.net/profile/Adetunji-Adejumo/publication/390268778_Financial_statement_manipulation_Ethical_and_regulatory_perspectives/links/67e6a21003b8d7280e0a23d1/Financial-statement-manipulation-Ethical-and-regulatory-perspectives.pdf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AD25258" w14:textId="7D7E85C9"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Alonge, E., Chibunna, B. and Eyo-Udo, N. (2024). </w:t>
      </w:r>
      <w:r w:rsidRPr="009E7156">
        <w:rPr>
          <w:rFonts w:ascii="Times New Roman" w:eastAsia="Times New Roman" w:hAnsi="Times New Roman" w:cs="Times New Roman"/>
          <w:i/>
          <w:iCs/>
          <w:kern w:val="0"/>
          <w:szCs w:val="24"/>
          <w:lang w:eastAsia="en-IN"/>
          <w14:ligatures w14:val="none"/>
        </w:rPr>
        <w:t>A predictive analytics model for optimizing cash flow management in multi-location and global business enterprises</w:t>
      </w:r>
      <w:r w:rsidRPr="009E7156">
        <w:rPr>
          <w:rFonts w:ascii="Times New Roman" w:eastAsia="Times New Roman" w:hAnsi="Times New Roman" w:cs="Times New Roman"/>
          <w:kern w:val="0"/>
          <w:szCs w:val="24"/>
          <w:lang w:eastAsia="en-IN"/>
          <w14:ligatures w14:val="none"/>
        </w:rPr>
        <w:t xml:space="preserve">. [online] researchgate.net. Available at: </w:t>
      </w:r>
      <w:hyperlink r:id="rId12" w:history="1">
        <w:r w:rsidRPr="00FF2D1A">
          <w:rPr>
            <w:rStyle w:val="Hyperlink"/>
            <w:rFonts w:ascii="Times New Roman" w:eastAsia="Times New Roman" w:hAnsi="Times New Roman" w:cs="Times New Roman"/>
            <w:kern w:val="0"/>
            <w:szCs w:val="24"/>
            <w:lang w:eastAsia="en-IN"/>
            <w14:ligatures w14:val="none"/>
          </w:rPr>
          <w:t>https://www.researchgate.net/profile/Enoch-Alonge/publication/390033672_A_Predictive_Analytics_Model_for_Optimizing_Cash_Flow_Management_in_Multi-Location_and_Global_Business_Enterprises/links/67dc9faf35f7044c924df1d5/A-Predictive-Analytics-Model-for-Optimizing-Cash-Flow-Management-in-Multi-Location-and-Global-Business-Enterprises.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21ADE81E" w14:textId="6738634F"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Arhinful, R. and Radmehr, M. (2023). The impact of financial leverage on the financial performance of the firms listed on the Tokyo Stock Exchange. </w:t>
      </w:r>
      <w:r w:rsidRPr="009E7156">
        <w:rPr>
          <w:rFonts w:ascii="Times New Roman" w:eastAsia="Times New Roman" w:hAnsi="Times New Roman" w:cs="Times New Roman"/>
          <w:i/>
          <w:iCs/>
          <w:kern w:val="0"/>
          <w:szCs w:val="24"/>
          <w:lang w:eastAsia="en-IN"/>
          <w14:ligatures w14:val="none"/>
        </w:rPr>
        <w:t>SAGE Open</w:t>
      </w:r>
      <w:r w:rsidRPr="009E7156">
        <w:rPr>
          <w:rFonts w:ascii="Times New Roman" w:eastAsia="Times New Roman" w:hAnsi="Times New Roman" w:cs="Times New Roman"/>
          <w:kern w:val="0"/>
          <w:szCs w:val="24"/>
          <w:lang w:eastAsia="en-IN"/>
          <w14:ligatures w14:val="none"/>
        </w:rPr>
        <w:t xml:space="preserve">, [online] 13(4). Available at: </w:t>
      </w:r>
      <w:hyperlink r:id="rId13" w:history="1">
        <w:r w:rsidRPr="00FF2D1A">
          <w:rPr>
            <w:rStyle w:val="Hyperlink"/>
            <w:rFonts w:ascii="Times New Roman" w:eastAsia="Times New Roman" w:hAnsi="Times New Roman" w:cs="Times New Roman"/>
            <w:kern w:val="0"/>
            <w:szCs w:val="24"/>
            <w:lang w:eastAsia="en-IN"/>
            <w14:ligatures w14:val="none"/>
          </w:rPr>
          <w:t>https://journals.sagepub.com/doi/full/10.1177/21582440231204099</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27AE7AFA" w14:textId="16A9BC32"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Arifaj</w:t>
      </w:r>
      <w:proofErr w:type="spellEnd"/>
      <w:r w:rsidRPr="009E7156">
        <w:rPr>
          <w:rFonts w:ascii="Times New Roman" w:eastAsia="Times New Roman" w:hAnsi="Times New Roman" w:cs="Times New Roman"/>
          <w:kern w:val="0"/>
          <w:szCs w:val="24"/>
          <w:lang w:eastAsia="en-IN"/>
          <w14:ligatures w14:val="none"/>
        </w:rPr>
        <w:t xml:space="preserve">, A.H., Berisha, V., Morina, F. and Avdyli, E. (2023). Exploring the impact of cash flow, company size, and debt on financial performance in corporations. </w:t>
      </w:r>
      <w:r w:rsidRPr="009E7156">
        <w:rPr>
          <w:rFonts w:ascii="Times New Roman" w:eastAsia="Times New Roman" w:hAnsi="Times New Roman" w:cs="Times New Roman"/>
          <w:i/>
          <w:iCs/>
          <w:kern w:val="0"/>
          <w:szCs w:val="24"/>
          <w:lang w:eastAsia="en-IN"/>
          <w14:ligatures w14:val="none"/>
        </w:rPr>
        <w:t>Investment management &amp; financial innovations</w:t>
      </w:r>
      <w:r w:rsidRPr="009E7156">
        <w:rPr>
          <w:rFonts w:ascii="Times New Roman" w:eastAsia="Times New Roman" w:hAnsi="Times New Roman" w:cs="Times New Roman"/>
          <w:kern w:val="0"/>
          <w:szCs w:val="24"/>
          <w:lang w:eastAsia="en-IN"/>
          <w14:ligatures w14:val="none"/>
        </w:rPr>
        <w:t xml:space="preserve">, [online] 20(3), pp.264–272. Available at: </w:t>
      </w:r>
      <w:hyperlink r:id="rId14" w:history="1">
        <w:r w:rsidRPr="00FF2D1A">
          <w:rPr>
            <w:rStyle w:val="Hyperlink"/>
            <w:rFonts w:ascii="Times New Roman" w:eastAsia="Times New Roman" w:hAnsi="Times New Roman" w:cs="Times New Roman"/>
            <w:kern w:val="0"/>
            <w:szCs w:val="24"/>
            <w:lang w:eastAsia="en-IN"/>
            <w14:ligatures w14:val="none"/>
          </w:rPr>
          <w:t>https://pdfs.semanticscholar.org/b297/a823988fa5f3b58516df9f08c16c2c20d0e5.pdf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BB08583" w14:textId="71362E9F"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Back, K. (2026). </w:t>
      </w:r>
      <w:r w:rsidRPr="009E7156">
        <w:rPr>
          <w:rFonts w:ascii="Times New Roman" w:eastAsia="Times New Roman" w:hAnsi="Times New Roman" w:cs="Times New Roman"/>
          <w:i/>
          <w:iCs/>
          <w:kern w:val="0"/>
          <w:szCs w:val="24"/>
          <w:lang w:eastAsia="en-IN"/>
          <w14:ligatures w14:val="none"/>
        </w:rPr>
        <w:t>Environmental, social, and governance strategies in the hospitality and tourism industry</w:t>
      </w:r>
      <w:r w:rsidRPr="009E7156">
        <w:rPr>
          <w:rFonts w:ascii="Times New Roman" w:eastAsia="Times New Roman" w:hAnsi="Times New Roman" w:cs="Times New Roman"/>
          <w:kern w:val="0"/>
          <w:szCs w:val="24"/>
          <w:lang w:eastAsia="en-IN"/>
          <w14:ligatures w14:val="none"/>
        </w:rPr>
        <w:t xml:space="preserve">. [online] Google Books. Available at: </w:t>
      </w:r>
      <w:hyperlink r:id="rId15" w:history="1">
        <w:r w:rsidRPr="00FF2D1A">
          <w:rPr>
            <w:rStyle w:val="Hyperlink"/>
            <w:rFonts w:ascii="Times New Roman" w:eastAsia="Times New Roman" w:hAnsi="Times New Roman" w:cs="Times New Roman"/>
            <w:kern w:val="0"/>
            <w:szCs w:val="24"/>
            <w:lang w:eastAsia="en-IN"/>
            <w14:ligatures w14:val="none"/>
          </w:rPr>
          <w:t>https://books.google.com/books?hl=en&amp;lr=&amp;id=nIiGEQAAQBAJ&amp;oi=fnd&amp;pg=PA2000&amp;dq=Marriott%27s+has+been+trending+down+for+the+last+five+years</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DFED15F" w14:textId="1F935BE7"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gramStart"/>
      <w:r w:rsidRPr="009E7156">
        <w:rPr>
          <w:rFonts w:ascii="Times New Roman" w:eastAsia="Times New Roman" w:hAnsi="Times New Roman" w:cs="Times New Roman"/>
          <w:kern w:val="0"/>
          <w:szCs w:val="24"/>
          <w:lang w:eastAsia="en-IN"/>
          <w14:ligatures w14:val="none"/>
        </w:rPr>
        <w:t>Blake ,</w:t>
      </w:r>
      <w:proofErr w:type="gramEnd"/>
      <w:r w:rsidRPr="009E7156">
        <w:rPr>
          <w:rFonts w:ascii="Times New Roman" w:eastAsia="Times New Roman" w:hAnsi="Times New Roman" w:cs="Times New Roman"/>
          <w:kern w:val="0"/>
          <w:szCs w:val="24"/>
          <w:lang w:eastAsia="en-IN"/>
          <w14:ligatures w14:val="none"/>
        </w:rPr>
        <w:t xml:space="preserve"> A. (2024). </w:t>
      </w:r>
      <w:r w:rsidRPr="009E7156">
        <w:rPr>
          <w:rFonts w:ascii="Times New Roman" w:eastAsia="Times New Roman" w:hAnsi="Times New Roman" w:cs="Times New Roman"/>
          <w:i/>
          <w:iCs/>
          <w:kern w:val="0"/>
          <w:szCs w:val="24"/>
          <w:lang w:eastAsia="en-IN"/>
          <w14:ligatures w14:val="none"/>
        </w:rPr>
        <w:t>Marriott: Ascending to Rule the Rivalry in Hospitality´s Arena - ProQuest</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hyperlink r:id="rId16" w:history="1">
        <w:r w:rsidRPr="00FF2D1A">
          <w:rPr>
            <w:rStyle w:val="Hyperlink"/>
            <w:rFonts w:ascii="Times New Roman" w:eastAsia="Times New Roman" w:hAnsi="Times New Roman" w:cs="Times New Roman"/>
            <w:kern w:val="0"/>
            <w:szCs w:val="24"/>
            <w:lang w:eastAsia="en-IN"/>
            <w14:ligatures w14:val="none"/>
          </w:rPr>
          <w:t>https://search.proquest.com/openview/7a6504b2c57534714459a17ae2308113/1?pq-origsite=gscholar&amp;cbl=2026366&amp;diss=y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3B3212C" w14:textId="00865015"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gramStart"/>
      <w:r w:rsidRPr="009E7156">
        <w:rPr>
          <w:rFonts w:ascii="Times New Roman" w:eastAsia="Times New Roman" w:hAnsi="Times New Roman" w:cs="Times New Roman"/>
          <w:kern w:val="0"/>
          <w:szCs w:val="24"/>
          <w:lang w:eastAsia="en-IN"/>
          <w14:ligatures w14:val="none"/>
        </w:rPr>
        <w:lastRenderedPageBreak/>
        <w:t>Branco ,</w:t>
      </w:r>
      <w:proofErr w:type="gramEnd"/>
      <w:r w:rsidRPr="009E7156">
        <w:rPr>
          <w:rFonts w:ascii="Times New Roman" w:eastAsia="Times New Roman" w:hAnsi="Times New Roman" w:cs="Times New Roman"/>
          <w:kern w:val="0"/>
          <w:szCs w:val="24"/>
          <w:lang w:eastAsia="en-IN"/>
          <w14:ligatures w14:val="none"/>
        </w:rPr>
        <w:t xml:space="preserve"> R. (2024). </w:t>
      </w:r>
      <w:r w:rsidRPr="009E7156">
        <w:rPr>
          <w:rFonts w:ascii="Times New Roman" w:eastAsia="Times New Roman" w:hAnsi="Times New Roman" w:cs="Times New Roman"/>
          <w:i/>
          <w:iCs/>
          <w:kern w:val="0"/>
          <w:szCs w:val="24"/>
          <w:lang w:eastAsia="en-IN"/>
          <w14:ligatures w14:val="none"/>
        </w:rPr>
        <w:t>Accor Hotels Equity Research: Has the Implementation of Asset-Light Strategy Employed by the Groupe Proven to Enhance Shareholders Value Creation</w:t>
      </w:r>
      <w:proofErr w:type="gramStart"/>
      <w:r w:rsidRPr="009E7156">
        <w:rPr>
          <w:rFonts w:ascii="Times New Roman" w:eastAsia="Times New Roman" w:hAnsi="Times New Roman" w:cs="Times New Roman"/>
          <w:i/>
          <w:iCs/>
          <w:kern w:val="0"/>
          <w:szCs w:val="24"/>
          <w:lang w:eastAsia="en-IN"/>
          <w14:ligatures w14:val="none"/>
        </w:rPr>
        <w:t xml:space="preserve">? </w:t>
      </w:r>
      <w:r w:rsidRPr="009E7156">
        <w:rPr>
          <w:rFonts w:ascii="Times New Roman" w:eastAsia="Times New Roman" w:hAnsi="Times New Roman" w:cs="Times New Roman"/>
          <w:kern w:val="0"/>
          <w:szCs w:val="24"/>
          <w:lang w:eastAsia="en-IN"/>
          <w14:ligatures w14:val="none"/>
        </w:rPr>
        <w:t>.</w:t>
      </w:r>
      <w:proofErr w:type="gramEnd"/>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hyperlink r:id="rId17" w:history="1">
        <w:r w:rsidRPr="00FF2D1A">
          <w:rPr>
            <w:rStyle w:val="Hyperlink"/>
            <w:rFonts w:ascii="Times New Roman" w:eastAsia="Times New Roman" w:hAnsi="Times New Roman" w:cs="Times New Roman"/>
            <w:kern w:val="0"/>
            <w:szCs w:val="24"/>
            <w:lang w:eastAsia="en-IN"/>
            <w14:ligatures w14:val="none"/>
          </w:rPr>
          <w:t>https://search.proquest.com/openview/996218f256d41c6aab3822c1c4099611/1?pq-origsite=gscholar&amp;cbl=2026366&amp;diss=y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A0C71F8" w14:textId="5FE64E9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Brands, R. (2025). </w:t>
      </w:r>
      <w:r w:rsidRPr="009E7156">
        <w:rPr>
          <w:rFonts w:ascii="Times New Roman" w:eastAsia="Times New Roman" w:hAnsi="Times New Roman" w:cs="Times New Roman"/>
          <w:i/>
          <w:iCs/>
          <w:kern w:val="0"/>
          <w:szCs w:val="24"/>
          <w:lang w:eastAsia="en-IN"/>
          <w14:ligatures w14:val="none"/>
        </w:rPr>
        <w:t>Operationally in-line 2Q; FCF generation picks up significantly in 1H</w:t>
      </w:r>
      <w:r w:rsidRPr="009E7156">
        <w:rPr>
          <w:rFonts w:ascii="Times New Roman" w:eastAsia="Times New Roman" w:hAnsi="Times New Roman" w:cs="Times New Roman"/>
          <w:kern w:val="0"/>
          <w:szCs w:val="24"/>
          <w:lang w:eastAsia="en-IN"/>
          <w14:ligatures w14:val="none"/>
        </w:rPr>
        <w:t xml:space="preserve">. [online] </w:t>
      </w:r>
      <w:proofErr w:type="spellStart"/>
      <w:r w:rsidRPr="009E7156">
        <w:rPr>
          <w:rFonts w:ascii="Times New Roman" w:eastAsia="Times New Roman" w:hAnsi="Times New Roman" w:cs="Times New Roman"/>
          <w:kern w:val="0"/>
          <w:szCs w:val="24"/>
          <w:lang w:eastAsia="en-IN"/>
          <w14:ligatures w14:val="none"/>
        </w:rPr>
        <w:t>motilaloswal</w:t>
      </w:r>
      <w:proofErr w:type="spellEnd"/>
      <w:r w:rsidRPr="009E7156">
        <w:rPr>
          <w:rFonts w:ascii="Times New Roman" w:eastAsia="Times New Roman" w:hAnsi="Times New Roman" w:cs="Times New Roman"/>
          <w:kern w:val="0"/>
          <w:szCs w:val="24"/>
          <w:lang w:eastAsia="en-IN"/>
          <w14:ligatures w14:val="none"/>
        </w:rPr>
        <w:t xml:space="preserve">. Available at: </w:t>
      </w:r>
      <w:hyperlink r:id="rId18" w:history="1">
        <w:r w:rsidRPr="00FF2D1A">
          <w:rPr>
            <w:rStyle w:val="Hyperlink"/>
            <w:rFonts w:ascii="Times New Roman" w:eastAsia="Times New Roman" w:hAnsi="Times New Roman" w:cs="Times New Roman"/>
            <w:kern w:val="0"/>
            <w:szCs w:val="24"/>
            <w:lang w:eastAsia="en-IN"/>
            <w14:ligatures w14:val="none"/>
          </w:rPr>
          <w:t>https://ftp.motilaloswal.com/emailer/Research/RELIANCE-20251018-MOSL-RU-PG036.pdf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7A7D20E4" w14:textId="68542FB7"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Bullfincher</w:t>
      </w:r>
      <w:proofErr w:type="spellEnd"/>
      <w:r w:rsidRPr="009E7156">
        <w:rPr>
          <w:rFonts w:ascii="Times New Roman" w:eastAsia="Times New Roman" w:hAnsi="Times New Roman" w:cs="Times New Roman"/>
          <w:kern w:val="0"/>
          <w:szCs w:val="24"/>
          <w:lang w:eastAsia="en-IN"/>
          <w14:ligatures w14:val="none"/>
        </w:rPr>
        <w:t xml:space="preserve"> (2020). </w:t>
      </w:r>
      <w:r w:rsidRPr="009E7156">
        <w:rPr>
          <w:rFonts w:ascii="Times New Roman" w:eastAsia="Times New Roman" w:hAnsi="Times New Roman" w:cs="Times New Roman"/>
          <w:i/>
          <w:iCs/>
          <w:kern w:val="0"/>
          <w:szCs w:val="24"/>
          <w:lang w:eastAsia="en-IN"/>
          <w14:ligatures w14:val="none"/>
        </w:rPr>
        <w:t>Marriott International Financial Statements</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 xml:space="preserve">Marriott International Financial Statements 2020-2024 | </w:t>
      </w:r>
      <w:proofErr w:type="spellStart"/>
      <w:r w:rsidRPr="009E7156">
        <w:rPr>
          <w:rFonts w:ascii="Times New Roman" w:eastAsia="Times New Roman" w:hAnsi="Times New Roman" w:cs="Times New Roman"/>
          <w:i/>
          <w:iCs/>
          <w:kern w:val="0"/>
          <w:szCs w:val="24"/>
          <w:lang w:eastAsia="en-IN"/>
          <w14:ligatures w14:val="none"/>
        </w:rPr>
        <w:t>Bullfincher</w:t>
      </w:r>
      <w:proofErr w:type="spellEnd"/>
      <w:r w:rsidRPr="009E7156">
        <w:rPr>
          <w:rFonts w:ascii="Times New Roman" w:eastAsia="Times New Roman" w:hAnsi="Times New Roman" w:cs="Times New Roman"/>
          <w:kern w:val="0"/>
          <w:szCs w:val="24"/>
          <w:lang w:eastAsia="en-IN"/>
          <w14:ligatures w14:val="none"/>
        </w:rPr>
        <w:t xml:space="preserve">. Available at: </w:t>
      </w:r>
      <w:hyperlink r:id="rId19" w:history="1">
        <w:r w:rsidRPr="00FF2D1A">
          <w:rPr>
            <w:rStyle w:val="Hyperlink"/>
            <w:rFonts w:ascii="Times New Roman" w:eastAsia="Times New Roman" w:hAnsi="Times New Roman" w:cs="Times New Roman"/>
            <w:kern w:val="0"/>
            <w:szCs w:val="24"/>
            <w:lang w:eastAsia="en-IN"/>
            <w14:ligatures w14:val="none"/>
          </w:rPr>
          <w:t>https://bullfincher.io/companies/marriott-international/financial-statements</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2D63B6F3" w14:textId="6D2EDD94"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CAPUANO, A. (2026). </w:t>
      </w:r>
      <w:r w:rsidRPr="009E7156">
        <w:rPr>
          <w:rFonts w:ascii="Times New Roman" w:eastAsia="Times New Roman" w:hAnsi="Times New Roman" w:cs="Times New Roman"/>
          <w:i/>
          <w:iCs/>
          <w:kern w:val="0"/>
          <w:szCs w:val="24"/>
          <w:lang w:eastAsia="en-IN"/>
          <w14:ligatures w14:val="none"/>
        </w:rPr>
        <w:t>Marriott International 2025 Annual Report</w:t>
      </w:r>
      <w:r w:rsidRPr="009E7156">
        <w:rPr>
          <w:rFonts w:ascii="Times New Roman" w:eastAsia="Times New Roman" w:hAnsi="Times New Roman" w:cs="Times New Roman"/>
          <w:kern w:val="0"/>
          <w:szCs w:val="24"/>
          <w:lang w:eastAsia="en-IN"/>
          <w14:ligatures w14:val="none"/>
        </w:rPr>
        <w:t xml:space="preserve">. [online] Gcs-web.com. Available at: </w:t>
      </w:r>
      <w:hyperlink r:id="rId20" w:history="1">
        <w:r w:rsidRPr="00FF2D1A">
          <w:rPr>
            <w:rStyle w:val="Hyperlink"/>
            <w:rFonts w:ascii="Times New Roman" w:eastAsia="Times New Roman" w:hAnsi="Times New Roman" w:cs="Times New Roman"/>
            <w:kern w:val="0"/>
            <w:szCs w:val="24"/>
            <w:lang w:eastAsia="en-IN"/>
            <w14:ligatures w14:val="none"/>
          </w:rPr>
          <w:t>https://marriott.gcs-web.com/static-files/9cf0e9b0-bbfa-48a6-9e21-ffbdbc4b2d78</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56E664F" w14:textId="537E84A0"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Correia, S. (2024). </w:t>
      </w:r>
      <w:r w:rsidRPr="009E7156">
        <w:rPr>
          <w:rFonts w:ascii="Times New Roman" w:eastAsia="Times New Roman" w:hAnsi="Times New Roman" w:cs="Times New Roman"/>
          <w:i/>
          <w:iCs/>
          <w:kern w:val="0"/>
          <w:szCs w:val="24"/>
          <w:lang w:eastAsia="en-IN"/>
          <w14:ligatures w14:val="none"/>
        </w:rPr>
        <w:t xml:space="preserve">Marriott: Ascending to Rule the Rivalry in Hospitality´s </w:t>
      </w:r>
      <w:proofErr w:type="gramStart"/>
      <w:r w:rsidRPr="009E7156">
        <w:rPr>
          <w:rFonts w:ascii="Times New Roman" w:eastAsia="Times New Roman" w:hAnsi="Times New Roman" w:cs="Times New Roman"/>
          <w:i/>
          <w:iCs/>
          <w:kern w:val="0"/>
          <w:szCs w:val="24"/>
          <w:lang w:eastAsia="en-IN"/>
          <w14:ligatures w14:val="none"/>
        </w:rPr>
        <w:t xml:space="preserve">Arena </w:t>
      </w:r>
      <w:r w:rsidRPr="009E7156">
        <w:rPr>
          <w:rFonts w:ascii="Times New Roman" w:eastAsia="Times New Roman" w:hAnsi="Times New Roman" w:cs="Times New Roman"/>
          <w:kern w:val="0"/>
          <w:szCs w:val="24"/>
          <w:lang w:eastAsia="en-IN"/>
          <w14:ligatures w14:val="none"/>
        </w:rPr>
        <w:t>.</w:t>
      </w:r>
      <w:proofErr w:type="gramEnd"/>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hyperlink r:id="rId21" w:history="1">
        <w:r w:rsidRPr="00FF2D1A">
          <w:rPr>
            <w:rStyle w:val="Hyperlink"/>
            <w:rFonts w:ascii="Times New Roman" w:eastAsia="Times New Roman" w:hAnsi="Times New Roman" w:cs="Times New Roman"/>
            <w:kern w:val="0"/>
            <w:szCs w:val="24"/>
            <w:lang w:eastAsia="en-IN"/>
            <w14:ligatures w14:val="none"/>
          </w:rPr>
          <w:t>https://search.proquest.com/openview/7a6504b2c57534714459a17ae2308113/1?pq-origsite=gscholar&amp;cbl=2026366&amp;diss=y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5757E354" w14:textId="0567F74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De Carvalho, F. (2023). </w:t>
      </w:r>
      <w:r w:rsidRPr="009E7156">
        <w:rPr>
          <w:rFonts w:ascii="Times New Roman" w:eastAsia="Times New Roman" w:hAnsi="Times New Roman" w:cs="Times New Roman"/>
          <w:i/>
          <w:iCs/>
          <w:kern w:val="0"/>
          <w:szCs w:val="24"/>
          <w:lang w:eastAsia="en-IN"/>
          <w14:ligatures w14:val="none"/>
        </w:rPr>
        <w:t xml:space="preserve">The Leader of Tomorrow: A Deep Dive </w:t>
      </w:r>
      <w:proofErr w:type="gramStart"/>
      <w:r w:rsidRPr="009E7156">
        <w:rPr>
          <w:rFonts w:ascii="Times New Roman" w:eastAsia="Times New Roman" w:hAnsi="Times New Roman" w:cs="Times New Roman"/>
          <w:i/>
          <w:iCs/>
          <w:kern w:val="0"/>
          <w:szCs w:val="24"/>
          <w:lang w:eastAsia="en-IN"/>
          <w14:ligatures w14:val="none"/>
        </w:rPr>
        <w:t>Into</w:t>
      </w:r>
      <w:proofErr w:type="gramEnd"/>
      <w:r w:rsidRPr="009E7156">
        <w:rPr>
          <w:rFonts w:ascii="Times New Roman" w:eastAsia="Times New Roman" w:hAnsi="Times New Roman" w:cs="Times New Roman"/>
          <w:i/>
          <w:iCs/>
          <w:kern w:val="0"/>
          <w:szCs w:val="24"/>
          <w:lang w:eastAsia="en-IN"/>
          <w14:ligatures w14:val="none"/>
        </w:rPr>
        <w:t xml:space="preserve"> Marriott’s Pipeline Dominance as the Catalyst for Market Share Supremacy</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hyperlink r:id="rId22" w:history="1">
        <w:r w:rsidRPr="00FF2D1A">
          <w:rPr>
            <w:rStyle w:val="Hyperlink"/>
            <w:rFonts w:ascii="Times New Roman" w:eastAsia="Times New Roman" w:hAnsi="Times New Roman" w:cs="Times New Roman"/>
            <w:kern w:val="0"/>
            <w:szCs w:val="24"/>
            <w:lang w:eastAsia="en-IN"/>
            <w14:ligatures w14:val="none"/>
          </w:rPr>
          <w:t>https://search.proquest.com/openview/b005654ed4308db0e217a01e34e2e496/1?pq-origsite=gscholar&amp;cbl=2026366&amp;diss=y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1B8E64E" w14:textId="3C5A690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Fagyas, C. and Datta, P. (2023). An investigation of the factors associated with consumer behaviour at arrival, check-in and the check-out process: A case study Marriott International Inc. in the UK. </w:t>
      </w:r>
      <w:r w:rsidRPr="009E7156">
        <w:rPr>
          <w:rFonts w:ascii="Times New Roman" w:eastAsia="Times New Roman" w:hAnsi="Times New Roman" w:cs="Times New Roman"/>
          <w:i/>
          <w:iCs/>
          <w:kern w:val="0"/>
          <w:szCs w:val="24"/>
          <w:lang w:eastAsia="en-IN"/>
          <w14:ligatures w14:val="none"/>
        </w:rPr>
        <w:t>Journal of Business &amp; Retail Management Research</w:t>
      </w:r>
      <w:r w:rsidRPr="009E7156">
        <w:rPr>
          <w:rFonts w:ascii="Times New Roman" w:eastAsia="Times New Roman" w:hAnsi="Times New Roman" w:cs="Times New Roman"/>
          <w:kern w:val="0"/>
          <w:szCs w:val="24"/>
          <w:lang w:eastAsia="en-IN"/>
          <w14:ligatures w14:val="none"/>
        </w:rPr>
        <w:t xml:space="preserve">, [online] 17(02). Available at: </w:t>
      </w:r>
      <w:hyperlink r:id="rId23" w:history="1">
        <w:r w:rsidRPr="00FF2D1A">
          <w:rPr>
            <w:rStyle w:val="Hyperlink"/>
            <w:rFonts w:ascii="Times New Roman" w:eastAsia="Times New Roman" w:hAnsi="Times New Roman" w:cs="Times New Roman"/>
            <w:kern w:val="0"/>
            <w:szCs w:val="24"/>
            <w:lang w:eastAsia="en-IN"/>
            <w14:ligatures w14:val="none"/>
          </w:rPr>
          <w:t>https://jbrmr.com/cdn/article_file/2023-05-03-09-32-19-AM.pdf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D68218B" w14:textId="0251FCE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Fowosere</w:t>
      </w:r>
      <w:proofErr w:type="spellEnd"/>
      <w:proofErr w:type="gramStart"/>
      <w:r w:rsidRPr="009E7156">
        <w:rPr>
          <w:rFonts w:ascii="Times New Roman" w:eastAsia="Times New Roman" w:hAnsi="Times New Roman" w:cs="Times New Roman"/>
          <w:kern w:val="0"/>
          <w:szCs w:val="24"/>
          <w:lang w:eastAsia="en-IN"/>
          <w14:ligatures w14:val="none"/>
        </w:rPr>
        <w:t>, ,</w:t>
      </w:r>
      <w:proofErr w:type="gramEnd"/>
      <w:r w:rsidRPr="009E7156">
        <w:rPr>
          <w:rFonts w:ascii="Times New Roman" w:eastAsia="Times New Roman" w:hAnsi="Times New Roman" w:cs="Times New Roman"/>
          <w:kern w:val="0"/>
          <w:szCs w:val="24"/>
          <w:lang w:eastAsia="en-IN"/>
          <w14:ligatures w14:val="none"/>
        </w:rPr>
        <w:t xml:space="preserve"> O. and </w:t>
      </w:r>
      <w:proofErr w:type="gramStart"/>
      <w:r w:rsidRPr="009E7156">
        <w:rPr>
          <w:rFonts w:ascii="Times New Roman" w:eastAsia="Times New Roman" w:hAnsi="Times New Roman" w:cs="Times New Roman"/>
          <w:kern w:val="0"/>
          <w:szCs w:val="24"/>
          <w:lang w:eastAsia="en-IN"/>
          <w14:ligatures w14:val="none"/>
        </w:rPr>
        <w:t>Dunston ,</w:t>
      </w:r>
      <w:proofErr w:type="gramEnd"/>
      <w:r w:rsidRPr="009E7156">
        <w:rPr>
          <w:rFonts w:ascii="Times New Roman" w:eastAsia="Times New Roman" w:hAnsi="Times New Roman" w:cs="Times New Roman"/>
          <w:kern w:val="0"/>
          <w:szCs w:val="24"/>
          <w:lang w:eastAsia="en-IN"/>
          <w14:ligatures w14:val="none"/>
        </w:rPr>
        <w:t xml:space="preserve"> S. (2025). </w:t>
      </w:r>
      <w:r w:rsidRPr="009E7156">
        <w:rPr>
          <w:rFonts w:ascii="Times New Roman" w:eastAsia="Times New Roman" w:hAnsi="Times New Roman" w:cs="Times New Roman"/>
          <w:i/>
          <w:iCs/>
          <w:kern w:val="0"/>
          <w:szCs w:val="24"/>
          <w:lang w:eastAsia="en-IN"/>
          <w14:ligatures w14:val="none"/>
        </w:rPr>
        <w:t>Integrative Research Paper: Integrating Strategic Analysis to Marriott International Inc. Business Strategy</w:t>
      </w:r>
      <w:r w:rsidRPr="009E7156">
        <w:rPr>
          <w:rFonts w:ascii="Times New Roman" w:eastAsia="Times New Roman" w:hAnsi="Times New Roman" w:cs="Times New Roman"/>
          <w:kern w:val="0"/>
          <w:szCs w:val="24"/>
          <w:lang w:eastAsia="en-IN"/>
          <w14:ligatures w14:val="none"/>
        </w:rPr>
        <w:t xml:space="preserve">. [online] researchgate.net. Available </w:t>
      </w:r>
      <w:r w:rsidRPr="009E7156">
        <w:rPr>
          <w:rFonts w:ascii="Times New Roman" w:eastAsia="Times New Roman" w:hAnsi="Times New Roman" w:cs="Times New Roman"/>
          <w:kern w:val="0"/>
          <w:szCs w:val="24"/>
          <w:lang w:eastAsia="en-IN"/>
          <w14:ligatures w14:val="none"/>
        </w:rPr>
        <w:lastRenderedPageBreak/>
        <w:t xml:space="preserve">at: </w:t>
      </w:r>
      <w:hyperlink r:id="rId24" w:history="1">
        <w:r w:rsidRPr="00FF2D1A">
          <w:rPr>
            <w:rStyle w:val="Hyperlink"/>
            <w:rFonts w:ascii="Times New Roman" w:eastAsia="Times New Roman" w:hAnsi="Times New Roman" w:cs="Times New Roman"/>
            <w:kern w:val="0"/>
            <w:szCs w:val="24"/>
            <w:lang w:eastAsia="en-IN"/>
            <w14:ligatures w14:val="none"/>
          </w:rPr>
          <w:t>https://www.researchgate.net/profile/Olaoluwa-Fowosere-2/publication/399899135_Integrative_Research_Paper/links/696f03e55cc49c35ce8024ad/Integrative-Research-Paper.pdf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EDB97DA" w14:textId="52FCF472"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Gabrijela Veličković, Stanojevic, J. and Veselinović, M. (2023). Managing Financial Performance toward Achievements in Sustainability Prospects: Comparative Analysis of the e-Commerce and Hospitality Industries. </w:t>
      </w:r>
      <w:r w:rsidRPr="009E7156">
        <w:rPr>
          <w:rFonts w:ascii="Times New Roman" w:eastAsia="Times New Roman" w:hAnsi="Times New Roman" w:cs="Times New Roman"/>
          <w:i/>
          <w:iCs/>
          <w:kern w:val="0"/>
          <w:szCs w:val="24"/>
          <w:lang w:eastAsia="en-IN"/>
          <w14:ligatures w14:val="none"/>
        </w:rPr>
        <w:t>Journal of risk and financial management</w:t>
      </w:r>
      <w:r w:rsidRPr="009E7156">
        <w:rPr>
          <w:rFonts w:ascii="Times New Roman" w:eastAsia="Times New Roman" w:hAnsi="Times New Roman" w:cs="Times New Roman"/>
          <w:kern w:val="0"/>
          <w:szCs w:val="24"/>
          <w:lang w:eastAsia="en-IN"/>
          <w14:ligatures w14:val="none"/>
        </w:rPr>
        <w:t xml:space="preserve">, [online] 16(9), pp.395–395. Available at: </w:t>
      </w:r>
      <w:hyperlink r:id="rId25" w:history="1">
        <w:r w:rsidRPr="00FF2D1A">
          <w:rPr>
            <w:rStyle w:val="Hyperlink"/>
            <w:rFonts w:ascii="Times New Roman" w:eastAsia="Times New Roman" w:hAnsi="Times New Roman" w:cs="Times New Roman"/>
            <w:kern w:val="0"/>
            <w:szCs w:val="24"/>
            <w:lang w:eastAsia="en-IN"/>
            <w14:ligatures w14:val="none"/>
          </w:rPr>
          <w:t>https://www.mdpi.com/1911-8074/16/9/395</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795D7589" w14:textId="13A400F1"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Helhel</w:t>
      </w:r>
      <w:proofErr w:type="spellEnd"/>
      <w:r w:rsidRPr="009E7156">
        <w:rPr>
          <w:rFonts w:ascii="Times New Roman" w:eastAsia="Times New Roman" w:hAnsi="Times New Roman" w:cs="Times New Roman"/>
          <w:kern w:val="0"/>
          <w:szCs w:val="24"/>
          <w:lang w:eastAsia="en-IN"/>
          <w14:ligatures w14:val="none"/>
        </w:rPr>
        <w:t xml:space="preserve">, Y. and </w:t>
      </w:r>
      <w:proofErr w:type="spellStart"/>
      <w:r w:rsidRPr="009E7156">
        <w:rPr>
          <w:rFonts w:ascii="Times New Roman" w:eastAsia="Times New Roman" w:hAnsi="Times New Roman" w:cs="Times New Roman"/>
          <w:kern w:val="0"/>
          <w:szCs w:val="24"/>
          <w:lang w:eastAsia="en-IN"/>
          <w14:ligatures w14:val="none"/>
        </w:rPr>
        <w:t>Helhel</w:t>
      </w:r>
      <w:proofErr w:type="spellEnd"/>
      <w:r w:rsidRPr="009E7156">
        <w:rPr>
          <w:rFonts w:ascii="Times New Roman" w:eastAsia="Times New Roman" w:hAnsi="Times New Roman" w:cs="Times New Roman"/>
          <w:kern w:val="0"/>
          <w:szCs w:val="24"/>
          <w:lang w:eastAsia="en-IN"/>
          <w14:ligatures w14:val="none"/>
        </w:rPr>
        <w:t xml:space="preserve">, S. (2026). An assessment of economic and geopolitical risk sensitivity in the tourism sector: evidence from firm-level performance and stock returns (2012–2025). </w:t>
      </w:r>
      <w:r w:rsidRPr="009E7156">
        <w:rPr>
          <w:rFonts w:ascii="Times New Roman" w:eastAsia="Times New Roman" w:hAnsi="Times New Roman" w:cs="Times New Roman"/>
          <w:i/>
          <w:iCs/>
          <w:kern w:val="0"/>
          <w:szCs w:val="24"/>
          <w:lang w:eastAsia="en-IN"/>
          <w14:ligatures w14:val="none"/>
        </w:rPr>
        <w:t>Journal of Risk and Financial Management</w:t>
      </w:r>
      <w:r w:rsidRPr="009E7156">
        <w:rPr>
          <w:rFonts w:ascii="Times New Roman" w:eastAsia="Times New Roman" w:hAnsi="Times New Roman" w:cs="Times New Roman"/>
          <w:kern w:val="0"/>
          <w:szCs w:val="24"/>
          <w:lang w:eastAsia="en-IN"/>
          <w14:ligatures w14:val="none"/>
        </w:rPr>
        <w:t xml:space="preserve">, [online] 19(2), p.102. Available at: </w:t>
      </w:r>
      <w:hyperlink r:id="rId26" w:history="1">
        <w:r w:rsidRPr="00FF2D1A">
          <w:rPr>
            <w:rStyle w:val="Hyperlink"/>
            <w:rFonts w:ascii="Times New Roman" w:eastAsia="Times New Roman" w:hAnsi="Times New Roman" w:cs="Times New Roman"/>
            <w:kern w:val="0"/>
            <w:szCs w:val="24"/>
            <w:lang w:eastAsia="en-IN"/>
            <w14:ligatures w14:val="none"/>
          </w:rPr>
          <w:t>https://www.mdpi.com/1911-8074/19/2/102</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117305FA" w14:textId="51A5983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Hiremath, K. (2026). </w:t>
      </w:r>
      <w:r w:rsidRPr="009E7156">
        <w:rPr>
          <w:rFonts w:ascii="Times New Roman" w:eastAsia="Times New Roman" w:hAnsi="Times New Roman" w:cs="Times New Roman"/>
          <w:i/>
          <w:iCs/>
          <w:kern w:val="0"/>
          <w:szCs w:val="24"/>
          <w:lang w:eastAsia="en-IN"/>
          <w14:ligatures w14:val="none"/>
        </w:rPr>
        <w:t>Navigating the inflation surge</w:t>
      </w:r>
      <w:r w:rsidRPr="009E7156">
        <w:rPr>
          <w:rFonts w:ascii="Times New Roman" w:eastAsia="Times New Roman" w:hAnsi="Times New Roman" w:cs="Times New Roman"/>
          <w:kern w:val="0"/>
          <w:szCs w:val="24"/>
          <w:lang w:eastAsia="en-IN"/>
          <w14:ligatures w14:val="none"/>
        </w:rPr>
        <w:t xml:space="preserve">. [online] Google Books. Available at: </w:t>
      </w:r>
      <w:hyperlink r:id="rId27" w:history="1">
        <w:r w:rsidRPr="00FF2D1A">
          <w:rPr>
            <w:rStyle w:val="Hyperlink"/>
            <w:rFonts w:ascii="Times New Roman" w:eastAsia="Times New Roman" w:hAnsi="Times New Roman" w:cs="Times New Roman"/>
            <w:kern w:val="0"/>
            <w:szCs w:val="24"/>
            <w:lang w:eastAsia="en-IN"/>
            <w14:ligatures w14:val="none"/>
          </w:rPr>
          <w:t>https://books.google.com/books?hl=en&amp;lr=&amp;id=MxV_EQAAQBAJ&amp;oi=fnd&amp;pg=PA37&amp;dq=Today%27s+high+levels+of+inflation+in+key+markets+(Europe+%26+Asia)+can+drive+up+operating+expenses&amp;ots=EPCQm2tEG0&amp;sig=ielA81XsvoCuYit6D7r4V06Dj8E</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4B90F61" w14:textId="40DB9B6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Horozhankina</w:t>
      </w:r>
      <w:proofErr w:type="spellEnd"/>
      <w:r w:rsidRPr="009E7156">
        <w:rPr>
          <w:rFonts w:ascii="Times New Roman" w:eastAsia="Times New Roman" w:hAnsi="Times New Roman" w:cs="Times New Roman"/>
          <w:kern w:val="0"/>
          <w:szCs w:val="24"/>
          <w:lang w:eastAsia="en-IN"/>
          <w14:ligatures w14:val="none"/>
        </w:rPr>
        <w:t xml:space="preserve">, N., Korneyev, M. and </w:t>
      </w:r>
      <w:proofErr w:type="spellStart"/>
      <w:r w:rsidRPr="009E7156">
        <w:rPr>
          <w:rFonts w:ascii="Times New Roman" w:eastAsia="Times New Roman" w:hAnsi="Times New Roman" w:cs="Times New Roman"/>
          <w:kern w:val="0"/>
          <w:szCs w:val="24"/>
          <w:lang w:eastAsia="en-IN"/>
          <w14:ligatures w14:val="none"/>
        </w:rPr>
        <w:t>Farzullaev</w:t>
      </w:r>
      <w:proofErr w:type="spellEnd"/>
      <w:r w:rsidRPr="009E7156">
        <w:rPr>
          <w:rFonts w:ascii="Times New Roman" w:eastAsia="Times New Roman" w:hAnsi="Times New Roman" w:cs="Times New Roman"/>
          <w:kern w:val="0"/>
          <w:szCs w:val="24"/>
          <w:lang w:eastAsia="en-IN"/>
          <w14:ligatures w14:val="none"/>
        </w:rPr>
        <w:t xml:space="preserve">, R. (2024). Marriott International’s Place in International Hotel Chains. </w:t>
      </w:r>
      <w:r w:rsidRPr="009E7156">
        <w:rPr>
          <w:rFonts w:ascii="Times New Roman" w:eastAsia="Times New Roman" w:hAnsi="Times New Roman" w:cs="Times New Roman"/>
          <w:i/>
          <w:iCs/>
          <w:kern w:val="0"/>
          <w:szCs w:val="24"/>
          <w:lang w:eastAsia="en-IN"/>
          <w14:ligatures w14:val="none"/>
        </w:rPr>
        <w:t>Scientific opinion: Economics and Management</w:t>
      </w:r>
      <w:r w:rsidRPr="009E7156">
        <w:rPr>
          <w:rFonts w:ascii="Times New Roman" w:eastAsia="Times New Roman" w:hAnsi="Times New Roman" w:cs="Times New Roman"/>
          <w:kern w:val="0"/>
          <w:szCs w:val="24"/>
          <w:lang w:eastAsia="en-IN"/>
          <w14:ligatures w14:val="none"/>
        </w:rPr>
        <w:t xml:space="preserve">, [online] (4(88)). Available at: </w:t>
      </w:r>
      <w:hyperlink r:id="rId28" w:history="1">
        <w:r w:rsidRPr="00FF2D1A">
          <w:rPr>
            <w:rStyle w:val="Hyperlink"/>
            <w:rFonts w:ascii="Times New Roman" w:eastAsia="Times New Roman" w:hAnsi="Times New Roman" w:cs="Times New Roman"/>
            <w:kern w:val="0"/>
            <w:szCs w:val="24"/>
            <w:lang w:eastAsia="en-IN"/>
            <w14:ligatures w14:val="none"/>
          </w:rPr>
          <w:t>http://biblio.umsf.dp.ua/jspui/bitstream/123456789/7044/1/6.pdf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4A8FC19F" w14:textId="3D499594"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Hoti Arifaj, A., Berisha, V., Morina, F. and Avdyli, E. (2023). Exploring the Impact of Cash Flow, Company Size, and Debt on Financial Performance in Corporations. </w:t>
      </w:r>
      <w:r w:rsidRPr="009E7156">
        <w:rPr>
          <w:rFonts w:ascii="Times New Roman" w:eastAsia="Times New Roman" w:hAnsi="Times New Roman" w:cs="Times New Roman"/>
          <w:i/>
          <w:iCs/>
          <w:kern w:val="0"/>
          <w:szCs w:val="24"/>
          <w:lang w:eastAsia="en-IN"/>
          <w14:ligatures w14:val="none"/>
        </w:rPr>
        <w:t>Investment Management and Financial Innovations</w:t>
      </w:r>
      <w:r w:rsidRPr="009E7156">
        <w:rPr>
          <w:rFonts w:ascii="Times New Roman" w:eastAsia="Times New Roman" w:hAnsi="Times New Roman" w:cs="Times New Roman"/>
          <w:kern w:val="0"/>
          <w:szCs w:val="24"/>
          <w:lang w:eastAsia="en-IN"/>
          <w14:ligatures w14:val="none"/>
        </w:rPr>
        <w:t xml:space="preserve">, [online] 20(3), pp.264–272. Available at: </w:t>
      </w:r>
      <w:hyperlink r:id="rId29" w:history="1">
        <w:r w:rsidRPr="00FF2D1A">
          <w:rPr>
            <w:rStyle w:val="Hyperlink"/>
            <w:rFonts w:ascii="Times New Roman" w:eastAsia="Times New Roman" w:hAnsi="Times New Roman" w:cs="Times New Roman"/>
            <w:kern w:val="0"/>
            <w:szCs w:val="24"/>
            <w:lang w:eastAsia="en-IN"/>
            <w14:ligatures w14:val="none"/>
          </w:rPr>
          <w:t>https://www.businessperspectives.org/images/pdf/applications/publishing/templates/article/assets/18780/IMFI_2023_03_Arifaj.pdf/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803D23F" w14:textId="274EE771"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Hu, B., Watanabe, M., Uchida, H. and Zhu, Y. (2025). A Model of Supplier Finance *. [online] Available at: </w:t>
      </w:r>
      <w:hyperlink r:id="rId30" w:history="1">
        <w:r w:rsidRPr="00FF2D1A">
          <w:rPr>
            <w:rStyle w:val="Hyperlink"/>
            <w:rFonts w:ascii="Times New Roman" w:eastAsia="Times New Roman" w:hAnsi="Times New Roman" w:cs="Times New Roman"/>
            <w:kern w:val="0"/>
            <w:szCs w:val="24"/>
            <w:lang w:eastAsia="en-IN"/>
            <w14:ligatures w14:val="none"/>
          </w:rPr>
          <w:t>https://bohuecon.github.io/docs/scf_paper.pdf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15A57A6E" w14:textId="2F72D75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Iseal</w:t>
      </w:r>
      <w:proofErr w:type="spellEnd"/>
      <w:proofErr w:type="gramStart"/>
      <w:r w:rsidRPr="009E7156">
        <w:rPr>
          <w:rFonts w:ascii="Times New Roman" w:eastAsia="Times New Roman" w:hAnsi="Times New Roman" w:cs="Times New Roman"/>
          <w:kern w:val="0"/>
          <w:szCs w:val="24"/>
          <w:lang w:eastAsia="en-IN"/>
          <w14:ligatures w14:val="none"/>
        </w:rPr>
        <w:t>, ,</w:t>
      </w:r>
      <w:proofErr w:type="gramEnd"/>
      <w:r w:rsidRPr="009E7156">
        <w:rPr>
          <w:rFonts w:ascii="Times New Roman" w:eastAsia="Times New Roman" w:hAnsi="Times New Roman" w:cs="Times New Roman"/>
          <w:kern w:val="0"/>
          <w:szCs w:val="24"/>
          <w:lang w:eastAsia="en-IN"/>
          <w14:ligatures w14:val="none"/>
        </w:rPr>
        <w:t xml:space="preserve"> S., </w:t>
      </w:r>
      <w:proofErr w:type="gramStart"/>
      <w:r w:rsidRPr="009E7156">
        <w:rPr>
          <w:rFonts w:ascii="Times New Roman" w:eastAsia="Times New Roman" w:hAnsi="Times New Roman" w:cs="Times New Roman"/>
          <w:kern w:val="0"/>
          <w:szCs w:val="24"/>
          <w:lang w:eastAsia="en-IN"/>
          <w14:ligatures w14:val="none"/>
        </w:rPr>
        <w:t>Joseph ,</w:t>
      </w:r>
      <w:proofErr w:type="gramEnd"/>
      <w:r w:rsidRPr="009E7156">
        <w:rPr>
          <w:rFonts w:ascii="Times New Roman" w:eastAsia="Times New Roman" w:hAnsi="Times New Roman" w:cs="Times New Roman"/>
          <w:kern w:val="0"/>
          <w:szCs w:val="24"/>
          <w:lang w:eastAsia="en-IN"/>
          <w14:ligatures w14:val="none"/>
        </w:rPr>
        <w:t xml:space="preserve"> S. and Joseph</w:t>
      </w:r>
      <w:proofErr w:type="gramStart"/>
      <w:r w:rsidRPr="009E7156">
        <w:rPr>
          <w:rFonts w:ascii="Times New Roman" w:eastAsia="Times New Roman" w:hAnsi="Times New Roman" w:cs="Times New Roman"/>
          <w:kern w:val="0"/>
          <w:szCs w:val="24"/>
          <w:lang w:eastAsia="en-IN"/>
          <w14:ligatures w14:val="none"/>
        </w:rPr>
        <w:t>, ,</w:t>
      </w:r>
      <w:proofErr w:type="gramEnd"/>
      <w:r w:rsidRPr="009E7156">
        <w:rPr>
          <w:rFonts w:ascii="Times New Roman" w:eastAsia="Times New Roman" w:hAnsi="Times New Roman" w:cs="Times New Roman"/>
          <w:kern w:val="0"/>
          <w:szCs w:val="24"/>
          <w:lang w:eastAsia="en-IN"/>
          <w14:ligatures w14:val="none"/>
        </w:rPr>
        <w:t xml:space="preserve"> O. (2025). </w:t>
      </w:r>
      <w:r w:rsidRPr="009E7156">
        <w:rPr>
          <w:rFonts w:ascii="Times New Roman" w:eastAsia="Times New Roman" w:hAnsi="Times New Roman" w:cs="Times New Roman"/>
          <w:i/>
          <w:iCs/>
          <w:kern w:val="0"/>
          <w:szCs w:val="24"/>
          <w:lang w:eastAsia="en-IN"/>
          <w14:ligatures w14:val="none"/>
        </w:rPr>
        <w:t>AI in financial services: Using big data for risk assessment and fraud detection</w:t>
      </w:r>
      <w:r w:rsidRPr="009E7156">
        <w:rPr>
          <w:rFonts w:ascii="Times New Roman" w:eastAsia="Times New Roman" w:hAnsi="Times New Roman" w:cs="Times New Roman"/>
          <w:kern w:val="0"/>
          <w:szCs w:val="24"/>
          <w:lang w:eastAsia="en-IN"/>
          <w14:ligatures w14:val="none"/>
        </w:rPr>
        <w:t xml:space="preserve">. [online] researchgate.net. Available at: </w:t>
      </w:r>
      <w:hyperlink r:id="rId31" w:history="1">
        <w:r w:rsidRPr="00FF2D1A">
          <w:rPr>
            <w:rStyle w:val="Hyperlink"/>
            <w:rFonts w:ascii="Times New Roman" w:eastAsia="Times New Roman" w:hAnsi="Times New Roman" w:cs="Times New Roman"/>
            <w:kern w:val="0"/>
            <w:szCs w:val="24"/>
            <w:lang w:eastAsia="en-IN"/>
            <w14:ligatures w14:val="none"/>
          </w:rPr>
          <w:t>https://www.researchgate.net/profile/Sheed-Iseal/publication/388036425_AI_in_Financial_Services_Using_Big_Data_for_Risk_Assessm</w:t>
        </w:r>
        <w:r w:rsidRPr="00FF2D1A">
          <w:rPr>
            <w:rStyle w:val="Hyperlink"/>
            <w:rFonts w:ascii="Times New Roman" w:eastAsia="Times New Roman" w:hAnsi="Times New Roman" w:cs="Times New Roman"/>
            <w:kern w:val="0"/>
            <w:szCs w:val="24"/>
            <w:lang w:eastAsia="en-IN"/>
            <w14:ligatures w14:val="none"/>
          </w:rPr>
          <w:lastRenderedPageBreak/>
          <w:t>ent_and_Fraud_Detection/links/67882c2b1afb4e11f5e7fdf9/AI-in-Financial-Services-Using-Big-Data-for-Risk-Assessment-and-Fraud-Detection.pdf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85682A4" w14:textId="41F3AD97"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Jiang, B. (2023). Analysis of </w:t>
      </w:r>
      <w:proofErr w:type="spellStart"/>
      <w:r w:rsidRPr="009E7156">
        <w:rPr>
          <w:rFonts w:ascii="Times New Roman" w:eastAsia="Times New Roman" w:hAnsi="Times New Roman" w:cs="Times New Roman"/>
          <w:kern w:val="0"/>
          <w:szCs w:val="24"/>
          <w:lang w:eastAsia="en-IN"/>
          <w14:ligatures w14:val="none"/>
        </w:rPr>
        <w:t>marriott’s</w:t>
      </w:r>
      <w:proofErr w:type="spellEnd"/>
      <w:r w:rsidRPr="009E7156">
        <w:rPr>
          <w:rFonts w:ascii="Times New Roman" w:eastAsia="Times New Roman" w:hAnsi="Times New Roman" w:cs="Times New Roman"/>
          <w:kern w:val="0"/>
          <w:szCs w:val="24"/>
          <w:lang w:eastAsia="en-IN"/>
          <w14:ligatures w14:val="none"/>
        </w:rPr>
        <w:t xml:space="preserve"> financial position under the epidemic. </w:t>
      </w:r>
      <w:r w:rsidRPr="009E7156">
        <w:rPr>
          <w:rFonts w:ascii="Times New Roman" w:eastAsia="Times New Roman" w:hAnsi="Times New Roman" w:cs="Times New Roman"/>
          <w:i/>
          <w:iCs/>
          <w:kern w:val="0"/>
          <w:szCs w:val="24"/>
          <w:lang w:eastAsia="en-IN"/>
          <w14:ligatures w14:val="none"/>
        </w:rPr>
        <w:t>Highlights in Business, Economics and Management</w:t>
      </w:r>
      <w:r w:rsidRPr="009E7156">
        <w:rPr>
          <w:rFonts w:ascii="Times New Roman" w:eastAsia="Times New Roman" w:hAnsi="Times New Roman" w:cs="Times New Roman"/>
          <w:kern w:val="0"/>
          <w:szCs w:val="24"/>
          <w:lang w:eastAsia="en-IN"/>
          <w14:ligatures w14:val="none"/>
        </w:rPr>
        <w:t xml:space="preserve">, [online] 10, pp.122–126. Available at: </w:t>
      </w:r>
      <w:hyperlink r:id="rId32" w:history="1">
        <w:r w:rsidRPr="00FF2D1A">
          <w:rPr>
            <w:rStyle w:val="Hyperlink"/>
            <w:rFonts w:ascii="Times New Roman" w:eastAsia="Times New Roman" w:hAnsi="Times New Roman" w:cs="Times New Roman"/>
            <w:kern w:val="0"/>
            <w:szCs w:val="24"/>
            <w:lang w:eastAsia="en-IN"/>
            <w14:ligatures w14:val="none"/>
          </w:rPr>
          <w:t>https://www.researchgate.net/publication/370713419_Analysis_of_Marriott’s_Financial_Position_under_the_Epidemic</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79DE7549" w14:textId="7FAE74B5"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Johansen</w:t>
      </w:r>
      <w:proofErr w:type="gramStart"/>
      <w:r w:rsidRPr="009E7156">
        <w:rPr>
          <w:rFonts w:ascii="Times New Roman" w:eastAsia="Times New Roman" w:hAnsi="Times New Roman" w:cs="Times New Roman"/>
          <w:kern w:val="0"/>
          <w:szCs w:val="24"/>
          <w:lang w:eastAsia="en-IN"/>
          <w14:ligatures w14:val="none"/>
        </w:rPr>
        <w:t>, ,</w:t>
      </w:r>
      <w:proofErr w:type="gramEnd"/>
      <w:r w:rsidRPr="009E7156">
        <w:rPr>
          <w:rFonts w:ascii="Times New Roman" w:eastAsia="Times New Roman" w:hAnsi="Times New Roman" w:cs="Times New Roman"/>
          <w:kern w:val="0"/>
          <w:szCs w:val="24"/>
          <w:lang w:eastAsia="en-IN"/>
          <w14:ligatures w14:val="none"/>
        </w:rPr>
        <w:t xml:space="preserve"> A., Ditlevsen, M. and Gjerrild</w:t>
      </w:r>
      <w:proofErr w:type="gramStart"/>
      <w:r w:rsidRPr="009E7156">
        <w:rPr>
          <w:rFonts w:ascii="Times New Roman" w:eastAsia="Times New Roman" w:hAnsi="Times New Roman" w:cs="Times New Roman"/>
          <w:kern w:val="0"/>
          <w:szCs w:val="24"/>
          <w:lang w:eastAsia="en-IN"/>
          <w14:ligatures w14:val="none"/>
        </w:rPr>
        <w:t>, ,</w:t>
      </w:r>
      <w:proofErr w:type="gramEnd"/>
      <w:r w:rsidRPr="009E7156">
        <w:rPr>
          <w:rFonts w:ascii="Times New Roman" w:eastAsia="Times New Roman" w:hAnsi="Times New Roman" w:cs="Times New Roman"/>
          <w:kern w:val="0"/>
          <w:szCs w:val="24"/>
          <w:lang w:eastAsia="en-IN"/>
          <w14:ligatures w14:val="none"/>
        </w:rPr>
        <w:t xml:space="preserve"> F. (2023). Understanding the </w:t>
      </w:r>
      <w:proofErr w:type="spellStart"/>
      <w:r w:rsidRPr="009E7156">
        <w:rPr>
          <w:rFonts w:ascii="Times New Roman" w:eastAsia="Times New Roman" w:hAnsi="Times New Roman" w:cs="Times New Roman"/>
          <w:kern w:val="0"/>
          <w:szCs w:val="24"/>
          <w:lang w:eastAsia="en-IN"/>
          <w14:ligatures w14:val="none"/>
        </w:rPr>
        <w:t>ev</w:t>
      </w:r>
      <w:proofErr w:type="spellEnd"/>
      <w:r w:rsidRPr="009E7156">
        <w:rPr>
          <w:rFonts w:ascii="Times New Roman" w:eastAsia="Times New Roman" w:hAnsi="Times New Roman" w:cs="Times New Roman"/>
          <w:kern w:val="0"/>
          <w:szCs w:val="24"/>
          <w:lang w:eastAsia="en-IN"/>
          <w14:ligatures w14:val="none"/>
        </w:rPr>
        <w:t>/</w:t>
      </w:r>
      <w:proofErr w:type="spellStart"/>
      <w:r w:rsidRPr="009E7156">
        <w:rPr>
          <w:rFonts w:ascii="Times New Roman" w:eastAsia="Times New Roman" w:hAnsi="Times New Roman" w:cs="Times New Roman"/>
          <w:kern w:val="0"/>
          <w:szCs w:val="24"/>
          <w:lang w:eastAsia="en-IN"/>
          <w14:ligatures w14:val="none"/>
        </w:rPr>
        <w:t>ebitda</w:t>
      </w:r>
      <w:proofErr w:type="spellEnd"/>
      <w:r w:rsidRPr="009E7156">
        <w:rPr>
          <w:rFonts w:ascii="Times New Roman" w:eastAsia="Times New Roman" w:hAnsi="Times New Roman" w:cs="Times New Roman"/>
          <w:kern w:val="0"/>
          <w:szCs w:val="24"/>
          <w:lang w:eastAsia="en-IN"/>
          <w14:ligatures w14:val="none"/>
        </w:rPr>
        <w:t xml:space="preserve"> multiple: the role of value drivers and </w:t>
      </w:r>
      <w:proofErr w:type="spellStart"/>
      <w:r w:rsidRPr="009E7156">
        <w:rPr>
          <w:rFonts w:ascii="Times New Roman" w:eastAsia="Times New Roman" w:hAnsi="Times New Roman" w:cs="Times New Roman"/>
          <w:kern w:val="0"/>
          <w:szCs w:val="24"/>
          <w:lang w:eastAsia="en-IN"/>
          <w14:ligatures w14:val="none"/>
        </w:rPr>
        <w:t>behavioral</w:t>
      </w:r>
      <w:proofErr w:type="spellEnd"/>
      <w:r w:rsidRPr="009E7156">
        <w:rPr>
          <w:rFonts w:ascii="Times New Roman" w:eastAsia="Times New Roman" w:hAnsi="Times New Roman" w:cs="Times New Roman"/>
          <w:kern w:val="0"/>
          <w:szCs w:val="24"/>
          <w:lang w:eastAsia="en-IN"/>
          <w14:ligatures w14:val="none"/>
        </w:rPr>
        <w:t xml:space="preserve"> finance. </w:t>
      </w:r>
      <w:r w:rsidRPr="009E7156">
        <w:rPr>
          <w:rFonts w:ascii="Times New Roman" w:eastAsia="Times New Roman" w:hAnsi="Times New Roman" w:cs="Times New Roman"/>
          <w:i/>
          <w:iCs/>
          <w:kern w:val="0"/>
          <w:szCs w:val="24"/>
          <w:lang w:eastAsia="en-IN"/>
          <w14:ligatures w14:val="none"/>
        </w:rPr>
        <w:t>CBS Research Portal</w:t>
      </w:r>
      <w:r w:rsidRPr="009E7156">
        <w:rPr>
          <w:rFonts w:ascii="Times New Roman" w:eastAsia="Times New Roman" w:hAnsi="Times New Roman" w:cs="Times New Roman"/>
          <w:kern w:val="0"/>
          <w:szCs w:val="24"/>
          <w:lang w:eastAsia="en-IN"/>
          <w14:ligatures w14:val="none"/>
        </w:rPr>
        <w:t xml:space="preserve">. [online] Available at: </w:t>
      </w:r>
      <w:hyperlink r:id="rId33" w:history="1">
        <w:r w:rsidRPr="00FF2D1A">
          <w:rPr>
            <w:rStyle w:val="Hyperlink"/>
            <w:rFonts w:ascii="Times New Roman" w:eastAsia="Times New Roman" w:hAnsi="Times New Roman" w:cs="Times New Roman"/>
            <w:kern w:val="0"/>
            <w:szCs w:val="24"/>
            <w:lang w:eastAsia="en-IN"/>
            <w14:ligatures w14:val="none"/>
          </w:rPr>
          <w:t>https://research.cbs.dk/files/98729992/1586778_Master_Thesis.pdf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6467C0F" w14:textId="31B90CA4"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MarketScreener</w:t>
      </w:r>
      <w:proofErr w:type="spellEnd"/>
      <w:r w:rsidRPr="009E7156">
        <w:rPr>
          <w:rFonts w:ascii="Times New Roman" w:eastAsia="Times New Roman" w:hAnsi="Times New Roman" w:cs="Times New Roman"/>
          <w:kern w:val="0"/>
          <w:szCs w:val="24"/>
          <w:lang w:eastAsia="en-IN"/>
          <w14:ligatures w14:val="none"/>
        </w:rPr>
        <w:t xml:space="preserve"> (2026). </w:t>
      </w:r>
      <w:r w:rsidRPr="009E7156">
        <w:rPr>
          <w:rFonts w:ascii="Times New Roman" w:eastAsia="Times New Roman" w:hAnsi="Times New Roman" w:cs="Times New Roman"/>
          <w:i/>
          <w:iCs/>
          <w:kern w:val="0"/>
          <w:szCs w:val="24"/>
          <w:lang w:eastAsia="en-IN"/>
          <w14:ligatures w14:val="none"/>
        </w:rPr>
        <w:t>Financial Ratios Marriott International, Inc</w:t>
      </w:r>
      <w:r w:rsidRPr="009E7156">
        <w:rPr>
          <w:rFonts w:ascii="Times New Roman" w:eastAsia="Times New Roman" w:hAnsi="Times New Roman" w:cs="Times New Roman"/>
          <w:kern w:val="0"/>
          <w:szCs w:val="24"/>
          <w:lang w:eastAsia="en-IN"/>
          <w14:ligatures w14:val="none"/>
        </w:rPr>
        <w:t xml:space="preserve">. [online] </w:t>
      </w:r>
      <w:proofErr w:type="spellStart"/>
      <w:r w:rsidRPr="009E7156">
        <w:rPr>
          <w:rFonts w:ascii="Times New Roman" w:eastAsia="Times New Roman" w:hAnsi="Times New Roman" w:cs="Times New Roman"/>
          <w:kern w:val="0"/>
          <w:szCs w:val="24"/>
          <w:lang w:eastAsia="en-IN"/>
          <w14:ligatures w14:val="none"/>
        </w:rPr>
        <w:t>MarketScreener</w:t>
      </w:r>
      <w:proofErr w:type="spellEnd"/>
      <w:r w:rsidRPr="009E7156">
        <w:rPr>
          <w:rFonts w:ascii="Times New Roman" w:eastAsia="Times New Roman" w:hAnsi="Times New Roman" w:cs="Times New Roman"/>
          <w:kern w:val="0"/>
          <w:szCs w:val="24"/>
          <w:lang w:eastAsia="en-IN"/>
          <w14:ligatures w14:val="none"/>
        </w:rPr>
        <w:t xml:space="preserve">. Available at: </w:t>
      </w:r>
      <w:hyperlink r:id="rId34" w:history="1">
        <w:r w:rsidRPr="00FF2D1A">
          <w:rPr>
            <w:rStyle w:val="Hyperlink"/>
            <w:rFonts w:ascii="Times New Roman" w:eastAsia="Times New Roman" w:hAnsi="Times New Roman" w:cs="Times New Roman"/>
            <w:kern w:val="0"/>
            <w:szCs w:val="24"/>
            <w:lang w:eastAsia="en-IN"/>
            <w14:ligatures w14:val="none"/>
          </w:rPr>
          <w:t>https://www.marketscreener.com/quote/stock/MARRIOTT-INTERNATIONAL-IN-120974796/finances-ratios/</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3912461C" w14:textId="4574A5C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Marriott International (2024). </w:t>
      </w:r>
      <w:r w:rsidRPr="009E7156">
        <w:rPr>
          <w:rFonts w:ascii="Times New Roman" w:eastAsia="Times New Roman" w:hAnsi="Times New Roman" w:cs="Times New Roman"/>
          <w:i/>
          <w:iCs/>
          <w:kern w:val="0"/>
          <w:szCs w:val="24"/>
          <w:lang w:eastAsia="en-IN"/>
          <w14:ligatures w14:val="none"/>
        </w:rPr>
        <w:t>Annual report</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Marriott International</w:t>
      </w:r>
      <w:r w:rsidRPr="009E7156">
        <w:rPr>
          <w:rFonts w:ascii="Times New Roman" w:eastAsia="Times New Roman" w:hAnsi="Times New Roman" w:cs="Times New Roman"/>
          <w:kern w:val="0"/>
          <w:szCs w:val="24"/>
          <w:lang w:eastAsia="en-IN"/>
          <w14:ligatures w14:val="none"/>
        </w:rPr>
        <w:t xml:space="preserve">. Available at: </w:t>
      </w:r>
      <w:hyperlink r:id="rId35" w:history="1">
        <w:r w:rsidRPr="00FF2D1A">
          <w:rPr>
            <w:rStyle w:val="Hyperlink"/>
            <w:rFonts w:ascii="Times New Roman" w:eastAsia="Times New Roman" w:hAnsi="Times New Roman" w:cs="Times New Roman"/>
            <w:kern w:val="0"/>
            <w:szCs w:val="24"/>
            <w:lang w:eastAsia="en-IN"/>
            <w14:ligatures w14:val="none"/>
          </w:rPr>
          <w:t>https://marriott.gcs-web.com/annual/</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D1860EA" w14:textId="43E98EC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Marriott international (2025). </w:t>
      </w:r>
      <w:r w:rsidRPr="009E7156">
        <w:rPr>
          <w:rFonts w:ascii="Times New Roman" w:eastAsia="Times New Roman" w:hAnsi="Times New Roman" w:cs="Times New Roman"/>
          <w:i/>
          <w:iCs/>
          <w:kern w:val="0"/>
          <w:szCs w:val="24"/>
          <w:lang w:eastAsia="en-IN"/>
          <w14:ligatures w14:val="none"/>
        </w:rPr>
        <w:t xml:space="preserve">Investor </w:t>
      </w:r>
      <w:proofErr w:type="gramStart"/>
      <w:r w:rsidRPr="009E7156">
        <w:rPr>
          <w:rFonts w:ascii="Times New Roman" w:eastAsia="Times New Roman" w:hAnsi="Times New Roman" w:cs="Times New Roman"/>
          <w:i/>
          <w:iCs/>
          <w:kern w:val="0"/>
          <w:szCs w:val="24"/>
          <w:lang w:eastAsia="en-IN"/>
          <w14:ligatures w14:val="none"/>
        </w:rPr>
        <w:t xml:space="preserve">relations </w:t>
      </w:r>
      <w:r w:rsidRPr="009E7156">
        <w:rPr>
          <w:rFonts w:ascii="Times New Roman" w:eastAsia="Times New Roman" w:hAnsi="Times New Roman" w:cs="Times New Roman"/>
          <w:kern w:val="0"/>
          <w:szCs w:val="24"/>
          <w:lang w:eastAsia="en-IN"/>
          <w14:ligatures w14:val="none"/>
        </w:rPr>
        <w:t>.</w:t>
      </w:r>
      <w:proofErr w:type="gramEnd"/>
      <w:r w:rsidRPr="009E7156">
        <w:rPr>
          <w:rFonts w:ascii="Times New Roman" w:eastAsia="Times New Roman" w:hAnsi="Times New Roman" w:cs="Times New Roman"/>
          <w:kern w:val="0"/>
          <w:szCs w:val="24"/>
          <w:lang w:eastAsia="en-IN"/>
          <w14:ligatures w14:val="none"/>
        </w:rPr>
        <w:t xml:space="preserve"> [online] Marriott International. Available at: </w:t>
      </w:r>
      <w:hyperlink r:id="rId36" w:history="1">
        <w:r w:rsidRPr="00FF2D1A">
          <w:rPr>
            <w:rStyle w:val="Hyperlink"/>
            <w:rFonts w:ascii="Times New Roman" w:eastAsia="Times New Roman" w:hAnsi="Times New Roman" w:cs="Times New Roman"/>
            <w:kern w:val="0"/>
            <w:szCs w:val="24"/>
            <w:lang w:eastAsia="en-IN"/>
            <w14:ligatures w14:val="none"/>
          </w:rPr>
          <w:t>https://marriott.gcs-web.com/investor-relations/</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7B4AA215" w14:textId="285E1220"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Muzorewa, M. (2024). </w:t>
      </w:r>
      <w:r w:rsidRPr="009E7156">
        <w:rPr>
          <w:rFonts w:ascii="Times New Roman" w:eastAsia="Times New Roman" w:hAnsi="Times New Roman" w:cs="Times New Roman"/>
          <w:i/>
          <w:iCs/>
          <w:kern w:val="0"/>
          <w:szCs w:val="24"/>
          <w:lang w:eastAsia="en-IN"/>
          <w14:ligatures w14:val="none"/>
        </w:rPr>
        <w:t>Project Management Strategies Used in Hospitality Construction Projects to Improve Performance - ProQuest</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hyperlink r:id="rId37" w:history="1">
        <w:r w:rsidRPr="00FF2D1A">
          <w:rPr>
            <w:rStyle w:val="Hyperlink"/>
            <w:rFonts w:ascii="Times New Roman" w:eastAsia="Times New Roman" w:hAnsi="Times New Roman" w:cs="Times New Roman"/>
            <w:kern w:val="0"/>
            <w:szCs w:val="24"/>
            <w:lang w:eastAsia="en-IN"/>
            <w14:ligatures w14:val="none"/>
          </w:rPr>
          <w:t>https://search.proquest.com/openview/5f44127b46a494db3f4abe1c117e48d5/1?pq-origsite=gscholar&amp;cbl=18750&amp;diss=y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7938FEDB" w14:textId="186D116A"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Ocial</w:t>
      </w:r>
      <w:proofErr w:type="spellEnd"/>
      <w:r w:rsidRPr="009E7156">
        <w:rPr>
          <w:rFonts w:ascii="Times New Roman" w:eastAsia="Times New Roman" w:hAnsi="Times New Roman" w:cs="Times New Roman"/>
          <w:kern w:val="0"/>
          <w:szCs w:val="24"/>
          <w:lang w:eastAsia="en-IN"/>
          <w14:ligatures w14:val="none"/>
        </w:rPr>
        <w:t xml:space="preserve">, </w:t>
      </w:r>
      <w:proofErr w:type="spellStart"/>
      <w:r w:rsidRPr="009E7156">
        <w:rPr>
          <w:rFonts w:ascii="Times New Roman" w:eastAsia="Times New Roman" w:hAnsi="Times New Roman" w:cs="Times New Roman"/>
          <w:kern w:val="0"/>
          <w:szCs w:val="24"/>
          <w:lang w:eastAsia="en-IN"/>
          <w14:ligatures w14:val="none"/>
        </w:rPr>
        <w:t>Overnance</w:t>
      </w:r>
      <w:proofErr w:type="spellEnd"/>
      <w:r w:rsidRPr="009E7156">
        <w:rPr>
          <w:rFonts w:ascii="Times New Roman" w:eastAsia="Times New Roman" w:hAnsi="Times New Roman" w:cs="Times New Roman"/>
          <w:kern w:val="0"/>
          <w:szCs w:val="24"/>
          <w:lang w:eastAsia="en-IN"/>
          <w14:ligatures w14:val="none"/>
        </w:rPr>
        <w:t xml:space="preserve"> and </w:t>
      </w:r>
      <w:proofErr w:type="spellStart"/>
      <w:r w:rsidRPr="009E7156">
        <w:rPr>
          <w:rFonts w:ascii="Times New Roman" w:eastAsia="Times New Roman" w:hAnsi="Times New Roman" w:cs="Times New Roman"/>
          <w:kern w:val="0"/>
          <w:szCs w:val="24"/>
          <w:lang w:eastAsia="en-IN"/>
          <w14:ligatures w14:val="none"/>
        </w:rPr>
        <w:t>Ppendices</w:t>
      </w:r>
      <w:proofErr w:type="spellEnd"/>
      <w:r w:rsidRPr="009E7156">
        <w:rPr>
          <w:rFonts w:ascii="Times New Roman" w:eastAsia="Times New Roman" w:hAnsi="Times New Roman" w:cs="Times New Roman"/>
          <w:kern w:val="0"/>
          <w:szCs w:val="24"/>
          <w:lang w:eastAsia="en-IN"/>
          <w14:ligatures w14:val="none"/>
        </w:rPr>
        <w:t xml:space="preserve"> (2022). Environmental, Social, and Governance Progress 2 2022 Serve 360 Report: Environmental, Social, and Governance Progress •I NTRODUCTION •S ERVE 360: DOING GOOD IN EVERY DIRECTION •E NVIRONMENTAL. [online] Available at: </w:t>
      </w:r>
      <w:hyperlink r:id="rId38" w:history="1">
        <w:r w:rsidRPr="00FF2D1A">
          <w:rPr>
            <w:rStyle w:val="Hyperlink"/>
            <w:rFonts w:ascii="Times New Roman" w:eastAsia="Times New Roman" w:hAnsi="Times New Roman" w:cs="Times New Roman"/>
            <w:kern w:val="0"/>
            <w:szCs w:val="24"/>
            <w:lang w:eastAsia="en-IN"/>
            <w14:ligatures w14:val="none"/>
          </w:rPr>
          <w:t>http://serve360.marriott.com/wp-content/uploads/2022/10/Marriott-2022-Serve-360-ESG-Report-accessible_F.pdf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1A9601E2" w14:textId="418A6C8A"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PAING, Z. (2022). Cooperative Education Report Accounting Intern at Bangkok Marriott Hotel Sukhumvit. [online] Available at: </w:t>
      </w:r>
      <w:hyperlink r:id="rId39" w:history="1">
        <w:r w:rsidRPr="00FF2D1A">
          <w:rPr>
            <w:rStyle w:val="Hyperlink"/>
            <w:rFonts w:ascii="Times New Roman" w:eastAsia="Times New Roman" w:hAnsi="Times New Roman" w:cs="Times New Roman"/>
            <w:kern w:val="0"/>
            <w:szCs w:val="24"/>
            <w:lang w:eastAsia="en-IN"/>
            <w14:ligatures w14:val="none"/>
          </w:rPr>
          <w:t>https://e-research.siam.edu/wp-content/uploads/2023/10/Zaw-Myo-Paing-6208020010-International-Business-Accounting-Intern-at-Bangkok-Marriott-Hotel-Sukhumvit.pdf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7D30B5B" w14:textId="7A616B30"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lastRenderedPageBreak/>
        <w:t xml:space="preserve">Peppas, G., </w:t>
      </w:r>
      <w:proofErr w:type="spellStart"/>
      <w:r w:rsidRPr="009E7156">
        <w:rPr>
          <w:rFonts w:ascii="Times New Roman" w:eastAsia="Times New Roman" w:hAnsi="Times New Roman" w:cs="Times New Roman"/>
          <w:kern w:val="0"/>
          <w:szCs w:val="24"/>
          <w:lang w:eastAsia="en-IN"/>
          <w14:ligatures w14:val="none"/>
        </w:rPr>
        <w:t>Papachristopoulos</w:t>
      </w:r>
      <w:proofErr w:type="spellEnd"/>
      <w:r w:rsidRPr="009E7156">
        <w:rPr>
          <w:rFonts w:ascii="Times New Roman" w:eastAsia="Times New Roman" w:hAnsi="Times New Roman" w:cs="Times New Roman"/>
          <w:kern w:val="0"/>
          <w:szCs w:val="24"/>
          <w:lang w:eastAsia="en-IN"/>
          <w14:ligatures w14:val="none"/>
        </w:rPr>
        <w:t xml:space="preserve">, L. and Tsakonas, G. (2025). Same coin, different value: A multi-year comparative analysis of financial performance of open access and legacy publishers. </w:t>
      </w:r>
      <w:r w:rsidRPr="009E7156">
        <w:rPr>
          <w:rFonts w:ascii="Times New Roman" w:eastAsia="Times New Roman" w:hAnsi="Times New Roman" w:cs="Times New Roman"/>
          <w:i/>
          <w:iCs/>
          <w:kern w:val="0"/>
          <w:szCs w:val="24"/>
          <w:lang w:eastAsia="en-IN"/>
          <w14:ligatures w14:val="none"/>
        </w:rPr>
        <w:t>Publications</w:t>
      </w:r>
      <w:r w:rsidRPr="009E7156">
        <w:rPr>
          <w:rFonts w:ascii="Times New Roman" w:eastAsia="Times New Roman" w:hAnsi="Times New Roman" w:cs="Times New Roman"/>
          <w:kern w:val="0"/>
          <w:szCs w:val="24"/>
          <w:lang w:eastAsia="en-IN"/>
          <w14:ligatures w14:val="none"/>
        </w:rPr>
        <w:t xml:space="preserve">, [online] 13(4), p.46. Available at: </w:t>
      </w:r>
      <w:hyperlink r:id="rId40" w:history="1">
        <w:r w:rsidRPr="00FF2D1A">
          <w:rPr>
            <w:rStyle w:val="Hyperlink"/>
            <w:rFonts w:ascii="Times New Roman" w:eastAsia="Times New Roman" w:hAnsi="Times New Roman" w:cs="Times New Roman"/>
            <w:kern w:val="0"/>
            <w:szCs w:val="24"/>
            <w:lang w:eastAsia="en-IN"/>
            <w14:ligatures w14:val="none"/>
          </w:rPr>
          <w:t>https://www.mdpi.com/2304-6775/13/4/46</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466743C7" w14:textId="3FB7A104"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Phalippou</w:t>
      </w:r>
      <w:proofErr w:type="spellEnd"/>
      <w:r w:rsidRPr="009E7156">
        <w:rPr>
          <w:rFonts w:ascii="Times New Roman" w:eastAsia="Times New Roman" w:hAnsi="Times New Roman" w:cs="Times New Roman"/>
          <w:kern w:val="0"/>
          <w:szCs w:val="24"/>
          <w:lang w:eastAsia="en-IN"/>
          <w14:ligatures w14:val="none"/>
        </w:rPr>
        <w:t xml:space="preserve">, L. (2026). </w:t>
      </w:r>
      <w:r w:rsidRPr="009E7156">
        <w:rPr>
          <w:rFonts w:ascii="Times New Roman" w:eastAsia="Times New Roman" w:hAnsi="Times New Roman" w:cs="Times New Roman"/>
          <w:i/>
          <w:iCs/>
          <w:kern w:val="0"/>
          <w:szCs w:val="24"/>
          <w:lang w:eastAsia="en-IN"/>
          <w14:ligatures w14:val="none"/>
        </w:rPr>
        <w:t>Private equity laid bare</w:t>
      </w:r>
      <w:r w:rsidRPr="009E7156">
        <w:rPr>
          <w:rFonts w:ascii="Times New Roman" w:eastAsia="Times New Roman" w:hAnsi="Times New Roman" w:cs="Times New Roman"/>
          <w:kern w:val="0"/>
          <w:szCs w:val="24"/>
          <w:lang w:eastAsia="en-IN"/>
          <w14:ligatures w14:val="none"/>
        </w:rPr>
        <w:t xml:space="preserve">. [online] Google Books. Available at: </w:t>
      </w:r>
      <w:hyperlink r:id="rId41" w:history="1">
        <w:r w:rsidRPr="00FF2D1A">
          <w:rPr>
            <w:rStyle w:val="Hyperlink"/>
            <w:rFonts w:ascii="Times New Roman" w:eastAsia="Times New Roman" w:hAnsi="Times New Roman" w:cs="Times New Roman"/>
            <w:kern w:val="0"/>
            <w:szCs w:val="24"/>
            <w:lang w:eastAsia="en-IN"/>
            <w14:ligatures w14:val="none"/>
          </w:rPr>
          <w:t>https://books.google.com/books?hl=en&amp;lr=&amp;id=RlvbEQAAQBAJ&amp;oi=fnd&amp;pg=PR7&amp;dq=A+lower+debt-to-EBITDA+ratio+will+improve+Marriott%27s+credit+profile+that+should+reduce+borrowing+costs+and+provide+greater+access+to+capital+markets.&amp;ots=CaaLf7mp48&amp;sig=ck-iGNJ7G-5c37gAaDAcLnqZvYk</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029FF918" w14:textId="04A4E7A8"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Sinaga, A., Mediatrix, M., </w:t>
      </w:r>
      <w:proofErr w:type="spellStart"/>
      <w:r w:rsidRPr="009E7156">
        <w:rPr>
          <w:rFonts w:ascii="Times New Roman" w:eastAsia="Times New Roman" w:hAnsi="Times New Roman" w:cs="Times New Roman"/>
          <w:kern w:val="0"/>
          <w:szCs w:val="24"/>
          <w:lang w:eastAsia="en-IN"/>
          <w14:ligatures w14:val="none"/>
        </w:rPr>
        <w:t>Hutasuhut</w:t>
      </w:r>
      <w:proofErr w:type="spellEnd"/>
      <w:r w:rsidRPr="009E7156">
        <w:rPr>
          <w:rFonts w:ascii="Times New Roman" w:eastAsia="Times New Roman" w:hAnsi="Times New Roman" w:cs="Times New Roman"/>
          <w:kern w:val="0"/>
          <w:szCs w:val="24"/>
          <w:lang w:eastAsia="en-IN"/>
          <w14:ligatures w14:val="none"/>
        </w:rPr>
        <w:t xml:space="preserve">, N.A.A., Zahara, T., Amanda, N.A., </w:t>
      </w:r>
      <w:proofErr w:type="spellStart"/>
      <w:r w:rsidRPr="009E7156">
        <w:rPr>
          <w:rFonts w:ascii="Times New Roman" w:eastAsia="Times New Roman" w:hAnsi="Times New Roman" w:cs="Times New Roman"/>
          <w:kern w:val="0"/>
          <w:szCs w:val="24"/>
          <w:lang w:eastAsia="en-IN"/>
          <w14:ligatures w14:val="none"/>
        </w:rPr>
        <w:t>Fitri</w:t>
      </w:r>
      <w:proofErr w:type="spellEnd"/>
      <w:r w:rsidRPr="009E7156">
        <w:rPr>
          <w:rFonts w:ascii="Times New Roman" w:eastAsia="Times New Roman" w:hAnsi="Times New Roman" w:cs="Times New Roman"/>
          <w:kern w:val="0"/>
          <w:szCs w:val="24"/>
          <w:lang w:eastAsia="en-IN"/>
          <w14:ligatures w14:val="none"/>
        </w:rPr>
        <w:t xml:space="preserve">, A. and Muhammad, N. (2023). Comparison of capital budgeting methods: NPV, IRR, payback period. </w:t>
      </w:r>
      <w:r w:rsidRPr="009E7156">
        <w:rPr>
          <w:rFonts w:ascii="Times New Roman" w:eastAsia="Times New Roman" w:hAnsi="Times New Roman" w:cs="Times New Roman"/>
          <w:i/>
          <w:iCs/>
          <w:kern w:val="0"/>
          <w:szCs w:val="24"/>
          <w:lang w:eastAsia="en-IN"/>
          <w14:ligatures w14:val="none"/>
        </w:rPr>
        <w:t xml:space="preserve">World Journal </w:t>
      </w:r>
      <w:proofErr w:type="gramStart"/>
      <w:r w:rsidRPr="009E7156">
        <w:rPr>
          <w:rFonts w:ascii="Times New Roman" w:eastAsia="Times New Roman" w:hAnsi="Times New Roman" w:cs="Times New Roman"/>
          <w:i/>
          <w:iCs/>
          <w:kern w:val="0"/>
          <w:szCs w:val="24"/>
          <w:lang w:eastAsia="en-IN"/>
          <w14:ligatures w14:val="none"/>
        </w:rPr>
        <w:t>Of</w:t>
      </w:r>
      <w:proofErr w:type="gramEnd"/>
      <w:r w:rsidRPr="009E7156">
        <w:rPr>
          <w:rFonts w:ascii="Times New Roman" w:eastAsia="Times New Roman" w:hAnsi="Times New Roman" w:cs="Times New Roman"/>
          <w:i/>
          <w:iCs/>
          <w:kern w:val="0"/>
          <w:szCs w:val="24"/>
          <w:lang w:eastAsia="en-IN"/>
          <w14:ligatures w14:val="none"/>
        </w:rPr>
        <w:t xml:space="preserve"> Advanced Research and Reviews</w:t>
      </w:r>
      <w:r w:rsidRPr="009E7156">
        <w:rPr>
          <w:rFonts w:ascii="Times New Roman" w:eastAsia="Times New Roman" w:hAnsi="Times New Roman" w:cs="Times New Roman"/>
          <w:kern w:val="0"/>
          <w:szCs w:val="24"/>
          <w:lang w:eastAsia="en-IN"/>
          <w14:ligatures w14:val="none"/>
        </w:rPr>
        <w:t xml:space="preserve">, [online] 19(2), pp.1078–1081. Available at: </w:t>
      </w:r>
      <w:hyperlink r:id="rId42" w:history="1">
        <w:r w:rsidRPr="00FF2D1A">
          <w:rPr>
            <w:rStyle w:val="Hyperlink"/>
            <w:rFonts w:ascii="Times New Roman" w:eastAsia="Times New Roman" w:hAnsi="Times New Roman" w:cs="Times New Roman"/>
            <w:kern w:val="0"/>
            <w:szCs w:val="24"/>
            <w:lang w:eastAsia="en-IN"/>
            <w14:ligatures w14:val="none"/>
          </w:rPr>
          <w:t>https://www.researchgate.net/publication/373513794_Comparison_of_capital_budgeting_methods_NPV_IRR_PAYBACK_PERIOD</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4E23D25A" w14:textId="2D3D2590"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proofErr w:type="spellStart"/>
      <w:r w:rsidRPr="009E7156">
        <w:rPr>
          <w:rFonts w:ascii="Times New Roman" w:eastAsia="Times New Roman" w:hAnsi="Times New Roman" w:cs="Times New Roman"/>
          <w:kern w:val="0"/>
          <w:szCs w:val="24"/>
          <w:lang w:eastAsia="en-IN"/>
          <w14:ligatures w14:val="none"/>
        </w:rPr>
        <w:t>Sneps-Sneppe</w:t>
      </w:r>
      <w:proofErr w:type="spellEnd"/>
      <w:r w:rsidRPr="009E7156">
        <w:rPr>
          <w:rFonts w:ascii="Times New Roman" w:eastAsia="Times New Roman" w:hAnsi="Times New Roman" w:cs="Times New Roman"/>
          <w:kern w:val="0"/>
          <w:szCs w:val="24"/>
          <w:lang w:eastAsia="en-IN"/>
          <w14:ligatures w14:val="none"/>
        </w:rPr>
        <w:t xml:space="preserve">, M. (2023). Use of criteria NPV and IRR for choosing among investment projects. </w:t>
      </w:r>
      <w:r w:rsidRPr="009E7156">
        <w:rPr>
          <w:rFonts w:ascii="Times New Roman" w:eastAsia="Times New Roman" w:hAnsi="Times New Roman" w:cs="Times New Roman"/>
          <w:i/>
          <w:iCs/>
          <w:kern w:val="0"/>
          <w:szCs w:val="24"/>
          <w:lang w:eastAsia="en-IN"/>
          <w14:ligatures w14:val="none"/>
        </w:rPr>
        <w:t>22nd International Scientific Conference Engineering for Rural Development Proceedings</w:t>
      </w:r>
      <w:r w:rsidRPr="009E7156">
        <w:rPr>
          <w:rFonts w:ascii="Times New Roman" w:eastAsia="Times New Roman" w:hAnsi="Times New Roman" w:cs="Times New Roman"/>
          <w:kern w:val="0"/>
          <w:szCs w:val="24"/>
          <w:lang w:eastAsia="en-IN"/>
          <w14:ligatures w14:val="none"/>
        </w:rPr>
        <w:t xml:space="preserve">. [online] Available at: </w:t>
      </w:r>
      <w:hyperlink r:id="rId43" w:history="1">
        <w:r w:rsidRPr="00FF2D1A">
          <w:rPr>
            <w:rStyle w:val="Hyperlink"/>
            <w:rFonts w:ascii="Times New Roman" w:eastAsia="Times New Roman" w:hAnsi="Times New Roman" w:cs="Times New Roman"/>
            <w:kern w:val="0"/>
            <w:szCs w:val="24"/>
            <w:lang w:eastAsia="en-IN"/>
            <w14:ligatures w14:val="none"/>
          </w:rPr>
          <w:t>https://www.tf.lbtu.lv/conference/proceedings2023/Papers/TF146.pdf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4F49AF39" w14:textId="15EA37F5"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Sousa Adão, R. de (2024). </w:t>
      </w:r>
      <w:r w:rsidRPr="009E7156">
        <w:rPr>
          <w:rFonts w:ascii="Times New Roman" w:eastAsia="Times New Roman" w:hAnsi="Times New Roman" w:cs="Times New Roman"/>
          <w:i/>
          <w:iCs/>
          <w:kern w:val="0"/>
          <w:szCs w:val="24"/>
          <w:lang w:eastAsia="en-IN"/>
          <w14:ligatures w14:val="none"/>
        </w:rPr>
        <w:t>Marriott International, Inc. – A home run to excellence - ProQuest</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hyperlink r:id="rId44" w:history="1">
        <w:r w:rsidRPr="00FF2D1A">
          <w:rPr>
            <w:rStyle w:val="Hyperlink"/>
            <w:rFonts w:ascii="Times New Roman" w:eastAsia="Times New Roman" w:hAnsi="Times New Roman" w:cs="Times New Roman"/>
            <w:kern w:val="0"/>
            <w:szCs w:val="24"/>
            <w:lang w:eastAsia="en-IN"/>
            <w14:ligatures w14:val="none"/>
          </w:rPr>
          <w:t>https://search.proquest.com/openview/e86f3c0ca0a149269ac7a642aa8f3e49/1?pq-origsite=gscholar&amp;cbl=2026366&amp;diss=y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58D3F718" w14:textId="14A15419"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Stock Analysis (2026). </w:t>
      </w:r>
      <w:r w:rsidRPr="009E7156">
        <w:rPr>
          <w:rFonts w:ascii="Times New Roman" w:eastAsia="Times New Roman" w:hAnsi="Times New Roman" w:cs="Times New Roman"/>
          <w:i/>
          <w:iCs/>
          <w:kern w:val="0"/>
          <w:szCs w:val="24"/>
          <w:lang w:eastAsia="en-IN"/>
          <w14:ligatures w14:val="none"/>
        </w:rPr>
        <w:t>Marriott International (MAR) financial ratios and metrics</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Stock Analysis</w:t>
      </w:r>
      <w:r w:rsidRPr="009E7156">
        <w:rPr>
          <w:rFonts w:ascii="Times New Roman" w:eastAsia="Times New Roman" w:hAnsi="Times New Roman" w:cs="Times New Roman"/>
          <w:kern w:val="0"/>
          <w:szCs w:val="24"/>
          <w:lang w:eastAsia="en-IN"/>
          <w14:ligatures w14:val="none"/>
        </w:rPr>
        <w:t xml:space="preserve">. Available at: </w:t>
      </w:r>
      <w:hyperlink r:id="rId45" w:history="1">
        <w:r w:rsidRPr="00FF2D1A">
          <w:rPr>
            <w:rStyle w:val="Hyperlink"/>
            <w:rFonts w:ascii="Times New Roman" w:eastAsia="Times New Roman" w:hAnsi="Times New Roman" w:cs="Times New Roman"/>
            <w:kern w:val="0"/>
            <w:szCs w:val="24"/>
            <w:lang w:eastAsia="en-IN"/>
            <w14:ligatures w14:val="none"/>
          </w:rPr>
          <w:t>https://stockanalysis.com/stocks/mar/financials/ratios/</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56BB484E" w14:textId="1A4492FE"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Torres, M. (2023). </w:t>
      </w:r>
      <w:r w:rsidRPr="009E7156">
        <w:rPr>
          <w:rFonts w:ascii="Times New Roman" w:eastAsia="Times New Roman" w:hAnsi="Times New Roman" w:cs="Times New Roman"/>
          <w:i/>
          <w:iCs/>
          <w:kern w:val="0"/>
          <w:szCs w:val="24"/>
          <w:lang w:eastAsia="en-IN"/>
          <w14:ligatures w14:val="none"/>
        </w:rPr>
        <w:t xml:space="preserve">Empowerment and Sustainability to </w:t>
      </w:r>
      <w:proofErr w:type="spellStart"/>
      <w:r w:rsidRPr="009E7156">
        <w:rPr>
          <w:rFonts w:ascii="Times New Roman" w:eastAsia="Times New Roman" w:hAnsi="Times New Roman" w:cs="Times New Roman"/>
          <w:i/>
          <w:iCs/>
          <w:kern w:val="0"/>
          <w:szCs w:val="24"/>
          <w:lang w:eastAsia="en-IN"/>
          <w14:ligatures w14:val="none"/>
        </w:rPr>
        <w:t>Promove</w:t>
      </w:r>
      <w:proofErr w:type="spellEnd"/>
      <w:r w:rsidRPr="009E7156">
        <w:rPr>
          <w:rFonts w:ascii="Times New Roman" w:eastAsia="Times New Roman" w:hAnsi="Times New Roman" w:cs="Times New Roman"/>
          <w:i/>
          <w:iCs/>
          <w:kern w:val="0"/>
          <w:szCs w:val="24"/>
          <w:lang w:eastAsia="en-IN"/>
          <w14:ligatures w14:val="none"/>
        </w:rPr>
        <w:t xml:space="preserve"> a Dynamic, Thoughtful, and Inventive Community: The Case of Green Meetings at Casablanca Marriott Hotel - ProQuest</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Proquest.com</w:t>
      </w:r>
      <w:r w:rsidRPr="009E7156">
        <w:rPr>
          <w:rFonts w:ascii="Times New Roman" w:eastAsia="Times New Roman" w:hAnsi="Times New Roman" w:cs="Times New Roman"/>
          <w:kern w:val="0"/>
          <w:szCs w:val="24"/>
          <w:lang w:eastAsia="en-IN"/>
          <w14:ligatures w14:val="none"/>
        </w:rPr>
        <w:t xml:space="preserve">. Available at: </w:t>
      </w:r>
      <w:r>
        <w:rPr>
          <w:rFonts w:ascii="Times New Roman" w:eastAsia="Times New Roman" w:hAnsi="Times New Roman" w:cs="Times New Roman"/>
          <w:kern w:val="0"/>
          <w:szCs w:val="24"/>
          <w:lang w:eastAsia="en-IN"/>
          <w14:ligatures w14:val="none"/>
        </w:rPr>
        <w:t xml:space="preserve"> </w:t>
      </w:r>
      <w:hyperlink r:id="rId46" w:history="1">
        <w:r w:rsidRPr="00FF2D1A">
          <w:rPr>
            <w:rStyle w:val="Hyperlink"/>
            <w:rFonts w:ascii="Times New Roman" w:eastAsia="Times New Roman" w:hAnsi="Times New Roman" w:cs="Times New Roman"/>
            <w:kern w:val="0"/>
            <w:szCs w:val="24"/>
            <w:lang w:eastAsia="en-IN"/>
            <w14:ligatures w14:val="none"/>
          </w:rPr>
          <w:t>https://search.proquest.com/openview/da147ba927088bf7163e7258e1877967/1?pq-origsite=gscholar&amp;cbl=2026366&amp;diss=y</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69D1CA73" w14:textId="23C6C679"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U.S. Securities and Exchange Commission (2025). </w:t>
      </w:r>
      <w:r w:rsidRPr="009E7156">
        <w:rPr>
          <w:rFonts w:ascii="Times New Roman" w:eastAsia="Times New Roman" w:hAnsi="Times New Roman" w:cs="Times New Roman"/>
          <w:i/>
          <w:iCs/>
          <w:kern w:val="0"/>
          <w:szCs w:val="24"/>
          <w:lang w:eastAsia="en-IN"/>
          <w14:ligatures w14:val="none"/>
        </w:rPr>
        <w:t>mar-20241231</w:t>
      </w:r>
      <w:r w:rsidRPr="009E7156">
        <w:rPr>
          <w:rFonts w:ascii="Times New Roman" w:eastAsia="Times New Roman" w:hAnsi="Times New Roman" w:cs="Times New Roman"/>
          <w:kern w:val="0"/>
          <w:szCs w:val="24"/>
          <w:lang w:eastAsia="en-IN"/>
          <w14:ligatures w14:val="none"/>
        </w:rPr>
        <w:t xml:space="preserve">. [online] </w:t>
      </w:r>
      <w:r w:rsidRPr="009E7156">
        <w:rPr>
          <w:rFonts w:ascii="Times New Roman" w:eastAsia="Times New Roman" w:hAnsi="Times New Roman" w:cs="Times New Roman"/>
          <w:i/>
          <w:iCs/>
          <w:kern w:val="0"/>
          <w:szCs w:val="24"/>
          <w:lang w:eastAsia="en-IN"/>
          <w14:ligatures w14:val="none"/>
        </w:rPr>
        <w:t>Sec.gov</w:t>
      </w:r>
      <w:r w:rsidRPr="009E7156">
        <w:rPr>
          <w:rFonts w:ascii="Times New Roman" w:eastAsia="Times New Roman" w:hAnsi="Times New Roman" w:cs="Times New Roman"/>
          <w:kern w:val="0"/>
          <w:szCs w:val="24"/>
          <w:lang w:eastAsia="en-IN"/>
          <w14:ligatures w14:val="none"/>
        </w:rPr>
        <w:t xml:space="preserve">. Available at: </w:t>
      </w:r>
      <w:hyperlink r:id="rId47" w:history="1">
        <w:r w:rsidRPr="00FF2D1A">
          <w:rPr>
            <w:rStyle w:val="Hyperlink"/>
            <w:rFonts w:ascii="Times New Roman" w:eastAsia="Times New Roman" w:hAnsi="Times New Roman" w:cs="Times New Roman"/>
            <w:kern w:val="0"/>
            <w:szCs w:val="24"/>
            <w:lang w:eastAsia="en-IN"/>
            <w14:ligatures w14:val="none"/>
          </w:rPr>
          <w:t>https://www.sec.gov/Archives/edgar/data/1048286/000162828025004818/mar-20241231.htm/</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3050901F" w14:textId="30E37F95" w:rsidR="009E7156" w:rsidRPr="009E7156" w:rsidRDefault="009E7156" w:rsidP="009E7156">
      <w:pPr>
        <w:spacing w:after="240"/>
        <w:jc w:val="left"/>
        <w:rPr>
          <w:rFonts w:ascii="Times New Roman" w:eastAsia="Times New Roman" w:hAnsi="Times New Roman" w:cs="Times New Roman"/>
          <w:kern w:val="0"/>
          <w:szCs w:val="24"/>
          <w:lang w:eastAsia="en-IN"/>
          <w14:ligatures w14:val="none"/>
        </w:rPr>
      </w:pPr>
      <w:r w:rsidRPr="009E7156">
        <w:rPr>
          <w:rFonts w:ascii="Times New Roman" w:eastAsia="Times New Roman" w:hAnsi="Times New Roman" w:cs="Times New Roman"/>
          <w:kern w:val="0"/>
          <w:szCs w:val="24"/>
          <w:lang w:eastAsia="en-IN"/>
          <w14:ligatures w14:val="none"/>
        </w:rPr>
        <w:t xml:space="preserve">Wesley, S., Jackson, K.N., Ramos, D.M., Vanbeber, S. and Mujtaba, B.G. (2024). Marriott Hotel’s Practices in Mitigating Discrimination Through Inclusionary Employee Resource Groups. </w:t>
      </w:r>
      <w:r w:rsidRPr="009E7156">
        <w:rPr>
          <w:rFonts w:ascii="Times New Roman" w:eastAsia="Times New Roman" w:hAnsi="Times New Roman" w:cs="Times New Roman"/>
          <w:i/>
          <w:iCs/>
          <w:kern w:val="0"/>
          <w:szCs w:val="24"/>
          <w:lang w:eastAsia="en-IN"/>
          <w14:ligatures w14:val="none"/>
        </w:rPr>
        <w:t>Journal of Business Diversity</w:t>
      </w:r>
      <w:r w:rsidRPr="009E7156">
        <w:rPr>
          <w:rFonts w:ascii="Times New Roman" w:eastAsia="Times New Roman" w:hAnsi="Times New Roman" w:cs="Times New Roman"/>
          <w:kern w:val="0"/>
          <w:szCs w:val="24"/>
          <w:lang w:eastAsia="en-IN"/>
          <w14:ligatures w14:val="none"/>
        </w:rPr>
        <w:t xml:space="preserve">, [online] 24(1), pp.41–56. Available at: </w:t>
      </w:r>
      <w:hyperlink r:id="rId48" w:history="1">
        <w:r w:rsidRPr="00FF2D1A">
          <w:rPr>
            <w:rStyle w:val="Hyperlink"/>
            <w:rFonts w:ascii="Times New Roman" w:eastAsia="Times New Roman" w:hAnsi="Times New Roman" w:cs="Times New Roman"/>
            <w:kern w:val="0"/>
            <w:szCs w:val="24"/>
            <w:lang w:eastAsia="en-IN"/>
            <w14:ligatures w14:val="none"/>
          </w:rPr>
          <w:t>https://www.researchgate.net/profile/Bahaudin-G-Mujtaba/publication/379902066_Marriott_Hotel’s_Practices_in_Mitigating_Discrimination_Through_Inclusionary_Employee_Resource_Groups/links/664de551479366623a060819/Marriott-Hotels-Practices-in-Mitigating-Discrimination-Through-Inclusionary-Employee-Resource-Groups.pdf</w:t>
        </w:r>
      </w:hyperlink>
      <w:r w:rsidRPr="009E7156">
        <w:rPr>
          <w:rFonts w:ascii="Times New Roman" w:eastAsia="Times New Roman" w:hAnsi="Times New Roman" w:cs="Times New Roman"/>
          <w:kern w:val="0"/>
          <w:szCs w:val="24"/>
          <w:lang w:eastAsia="en-IN"/>
          <w14:ligatures w14:val="none"/>
        </w:rPr>
        <w:t>.</w:t>
      </w:r>
      <w:r>
        <w:rPr>
          <w:rFonts w:ascii="Times New Roman" w:eastAsia="Times New Roman" w:hAnsi="Times New Roman" w:cs="Times New Roman"/>
          <w:kern w:val="0"/>
          <w:szCs w:val="24"/>
          <w:lang w:eastAsia="en-IN"/>
          <w14:ligatures w14:val="none"/>
        </w:rPr>
        <w:t xml:space="preserve"> </w:t>
      </w:r>
    </w:p>
    <w:p w14:paraId="58EB1C34" w14:textId="77777777" w:rsidR="00741AC4" w:rsidRDefault="00741AC4">
      <w:pPr>
        <w:spacing w:line="259" w:lineRule="auto"/>
        <w:jc w:val="left"/>
        <w:rPr>
          <w:rFonts w:eastAsiaTheme="majorEastAsia" w:cstheme="majorBidi"/>
          <w:b/>
          <w:color w:val="000000" w:themeColor="text1"/>
          <w:sz w:val="32"/>
          <w:szCs w:val="40"/>
        </w:rPr>
      </w:pPr>
      <w:r>
        <w:br w:type="page"/>
      </w:r>
    </w:p>
    <w:p w14:paraId="42DB2E09" w14:textId="12155F06" w:rsidR="00046C94" w:rsidRPr="00046C94" w:rsidRDefault="00046C94" w:rsidP="00046C94">
      <w:pPr>
        <w:pStyle w:val="Heading1"/>
      </w:pPr>
      <w:bookmarkStart w:id="33" w:name="_Toc236474130"/>
      <w:r w:rsidRPr="00046C94">
        <w:lastRenderedPageBreak/>
        <w:t>6. Appendices</w:t>
      </w:r>
      <w:bookmarkEnd w:id="33"/>
    </w:p>
    <w:p w14:paraId="6D81DED7" w14:textId="213A3D84" w:rsidR="00046C94" w:rsidRPr="00046C94" w:rsidRDefault="00046C94" w:rsidP="00046C94">
      <w:pPr>
        <w:pStyle w:val="Heading2"/>
      </w:pPr>
      <w:bookmarkStart w:id="34" w:name="_Toc236474131"/>
      <w:r w:rsidRPr="00046C94">
        <w:t xml:space="preserve">Appendix A: </w:t>
      </w:r>
      <w:r w:rsidR="00026444" w:rsidRPr="00046C94">
        <w:t>Excel Output Screenshots</w:t>
      </w:r>
      <w:bookmarkEnd w:id="34"/>
    </w:p>
    <w:p w14:paraId="22FBBC05" w14:textId="77777777" w:rsidR="001D43F5" w:rsidRDefault="00911601" w:rsidP="001D43F5">
      <w:pPr>
        <w:keepNext/>
      </w:pPr>
      <w:r w:rsidRPr="00911601">
        <w:rPr>
          <w:noProof/>
        </w:rPr>
        <w:drawing>
          <wp:inline distT="0" distB="0" distL="0" distR="0" wp14:anchorId="2F378CE5" wp14:editId="6E035C35">
            <wp:extent cx="5731510" cy="2068195"/>
            <wp:effectExtent l="0" t="0" r="2540" b="8255"/>
            <wp:docPr id="2110275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75106" name=""/>
                    <pic:cNvPicPr/>
                  </pic:nvPicPr>
                  <pic:blipFill>
                    <a:blip r:embed="rId49"/>
                    <a:stretch>
                      <a:fillRect/>
                    </a:stretch>
                  </pic:blipFill>
                  <pic:spPr>
                    <a:xfrm>
                      <a:off x="0" y="0"/>
                      <a:ext cx="5731510" cy="2068195"/>
                    </a:xfrm>
                    <a:prstGeom prst="rect">
                      <a:avLst/>
                    </a:prstGeom>
                  </pic:spPr>
                </pic:pic>
              </a:graphicData>
            </a:graphic>
          </wp:inline>
        </w:drawing>
      </w:r>
    </w:p>
    <w:p w14:paraId="050073A2" w14:textId="4DDE95FA" w:rsidR="00026444" w:rsidRDefault="001D43F5" w:rsidP="001D43F5">
      <w:pPr>
        <w:pStyle w:val="Caption"/>
      </w:pPr>
      <w:bookmarkStart w:id="35" w:name="_Toc236395058"/>
      <w:r>
        <w:t xml:space="preserve">Figure </w:t>
      </w:r>
      <w:fldSimple w:instr=" SEQ Figure \* ARABIC ">
        <w:r w:rsidR="00B428EF">
          <w:rPr>
            <w:noProof/>
          </w:rPr>
          <w:t>3</w:t>
        </w:r>
      </w:fldSimple>
      <w:r>
        <w:t xml:space="preserve">: </w:t>
      </w:r>
      <w:r w:rsidR="00B428EF" w:rsidRPr="00B428EF">
        <w:t>Excel Worksheet for Figure 1</w:t>
      </w:r>
      <w:bookmarkEnd w:id="35"/>
    </w:p>
    <w:p w14:paraId="01AEB807" w14:textId="77777777" w:rsidR="001D43F5" w:rsidRDefault="00911601" w:rsidP="001D43F5">
      <w:pPr>
        <w:keepNext/>
      </w:pPr>
      <w:r>
        <w:rPr>
          <w:noProof/>
        </w:rPr>
        <w:drawing>
          <wp:inline distT="0" distB="0" distL="0" distR="0" wp14:anchorId="207A0ACF" wp14:editId="2A8A9EA8">
            <wp:extent cx="5708489" cy="2343592"/>
            <wp:effectExtent l="0" t="0" r="6985" b="0"/>
            <wp:docPr id="78817313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6589" cy="2355128"/>
                    </a:xfrm>
                    <a:prstGeom prst="rect">
                      <a:avLst/>
                    </a:prstGeom>
                    <a:noFill/>
                  </pic:spPr>
                </pic:pic>
              </a:graphicData>
            </a:graphic>
          </wp:inline>
        </w:drawing>
      </w:r>
    </w:p>
    <w:p w14:paraId="0D59DFE4" w14:textId="6096F2C3" w:rsidR="00911601" w:rsidRDefault="001D43F5" w:rsidP="001D43F5">
      <w:pPr>
        <w:pStyle w:val="Caption"/>
      </w:pPr>
      <w:bookmarkStart w:id="36" w:name="_Toc236395059"/>
      <w:r>
        <w:t xml:space="preserve">Figure </w:t>
      </w:r>
      <w:fldSimple w:instr=" SEQ Figure \* ARABIC ">
        <w:r w:rsidR="00B428EF">
          <w:rPr>
            <w:noProof/>
          </w:rPr>
          <w:t>4</w:t>
        </w:r>
      </w:fldSimple>
      <w:r>
        <w:t xml:space="preserve">: </w:t>
      </w:r>
      <w:r w:rsidR="00B428EF" w:rsidRPr="00B428EF">
        <w:t xml:space="preserve">Excel Worksheet for Figure </w:t>
      </w:r>
      <w:r w:rsidR="00B428EF">
        <w:t>2</w:t>
      </w:r>
      <w:bookmarkEnd w:id="36"/>
    </w:p>
    <w:sectPr w:rsidR="00911601" w:rsidSect="00741AC4">
      <w:footerReference w:type="default" r:id="rId51"/>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BE6E1" w14:textId="77777777" w:rsidR="002F35B9" w:rsidRDefault="002F35B9" w:rsidP="00741AC4">
      <w:pPr>
        <w:spacing w:after="0" w:line="240" w:lineRule="auto"/>
      </w:pPr>
      <w:r>
        <w:separator/>
      </w:r>
    </w:p>
  </w:endnote>
  <w:endnote w:type="continuationSeparator" w:id="0">
    <w:p w14:paraId="3D66D48B" w14:textId="77777777" w:rsidR="002F35B9" w:rsidRDefault="002F35B9" w:rsidP="00741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1114446"/>
      <w:docPartObj>
        <w:docPartGallery w:val="Page Numbers (Bottom of Page)"/>
        <w:docPartUnique/>
      </w:docPartObj>
    </w:sdtPr>
    <w:sdtEndPr>
      <w:rPr>
        <w:noProof/>
      </w:rPr>
    </w:sdtEndPr>
    <w:sdtContent>
      <w:p w14:paraId="4069A933" w14:textId="4DE817DB" w:rsidR="00741AC4" w:rsidRDefault="00741A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274AD" w14:textId="77777777" w:rsidR="00741AC4" w:rsidRDefault="00741A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F7C8" w14:textId="77777777" w:rsidR="002F35B9" w:rsidRDefault="002F35B9" w:rsidP="00741AC4">
      <w:pPr>
        <w:spacing w:after="0" w:line="240" w:lineRule="auto"/>
      </w:pPr>
      <w:r>
        <w:separator/>
      </w:r>
    </w:p>
  </w:footnote>
  <w:footnote w:type="continuationSeparator" w:id="0">
    <w:p w14:paraId="15EE32F1" w14:textId="77777777" w:rsidR="002F35B9" w:rsidRDefault="002F35B9" w:rsidP="00741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74824"/>
    <w:multiLevelType w:val="hybridMultilevel"/>
    <w:tmpl w:val="C08C68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25DE6970"/>
    <w:multiLevelType w:val="multilevel"/>
    <w:tmpl w:val="12780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245076"/>
    <w:multiLevelType w:val="hybridMultilevel"/>
    <w:tmpl w:val="0EC63B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F5434F5"/>
    <w:multiLevelType w:val="multilevel"/>
    <w:tmpl w:val="7DB2A8CC"/>
    <w:styleLink w:val="CurrentList1"/>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F67923"/>
    <w:multiLevelType w:val="multilevel"/>
    <w:tmpl w:val="0F3A8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7505447"/>
    <w:multiLevelType w:val="multilevel"/>
    <w:tmpl w:val="FCCE0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7A6032"/>
    <w:multiLevelType w:val="hybridMultilevel"/>
    <w:tmpl w:val="6B6683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57626843">
    <w:abstractNumId w:val="3"/>
  </w:num>
  <w:num w:numId="2" w16cid:durableId="122583042">
    <w:abstractNumId w:val="5"/>
  </w:num>
  <w:num w:numId="3" w16cid:durableId="100497066">
    <w:abstractNumId w:val="4"/>
  </w:num>
  <w:num w:numId="4" w16cid:durableId="82922838">
    <w:abstractNumId w:val="0"/>
  </w:num>
  <w:num w:numId="5" w16cid:durableId="468594568">
    <w:abstractNumId w:val="1"/>
  </w:num>
  <w:num w:numId="6" w16cid:durableId="1782720913">
    <w:abstractNumId w:val="6"/>
  </w:num>
  <w:num w:numId="7" w16cid:durableId="213391932">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DF0"/>
    <w:rsid w:val="00005EDC"/>
    <w:rsid w:val="00023B46"/>
    <w:rsid w:val="00026444"/>
    <w:rsid w:val="000405DE"/>
    <w:rsid w:val="0004325C"/>
    <w:rsid w:val="00046C94"/>
    <w:rsid w:val="00057C70"/>
    <w:rsid w:val="00066918"/>
    <w:rsid w:val="00081F3D"/>
    <w:rsid w:val="0008254D"/>
    <w:rsid w:val="000B6634"/>
    <w:rsid w:val="000B7CB9"/>
    <w:rsid w:val="000D58C1"/>
    <w:rsid w:val="000F3071"/>
    <w:rsid w:val="000F6705"/>
    <w:rsid w:val="00102F5C"/>
    <w:rsid w:val="0011018F"/>
    <w:rsid w:val="00111136"/>
    <w:rsid w:val="001435FA"/>
    <w:rsid w:val="00194FA5"/>
    <w:rsid w:val="001959A4"/>
    <w:rsid w:val="001C21F6"/>
    <w:rsid w:val="001D43F5"/>
    <w:rsid w:val="001E1942"/>
    <w:rsid w:val="001F4944"/>
    <w:rsid w:val="00200B47"/>
    <w:rsid w:val="00201630"/>
    <w:rsid w:val="002168B4"/>
    <w:rsid w:val="00222E7E"/>
    <w:rsid w:val="00244B05"/>
    <w:rsid w:val="0025275B"/>
    <w:rsid w:val="00257BEB"/>
    <w:rsid w:val="00257C24"/>
    <w:rsid w:val="0026585F"/>
    <w:rsid w:val="0026750D"/>
    <w:rsid w:val="00281943"/>
    <w:rsid w:val="002872EA"/>
    <w:rsid w:val="002C0E2C"/>
    <w:rsid w:val="002D2172"/>
    <w:rsid w:val="002E0EA4"/>
    <w:rsid w:val="002E2BA9"/>
    <w:rsid w:val="002F35B9"/>
    <w:rsid w:val="0030357D"/>
    <w:rsid w:val="00314F24"/>
    <w:rsid w:val="00330185"/>
    <w:rsid w:val="00381446"/>
    <w:rsid w:val="00383A1C"/>
    <w:rsid w:val="003923DC"/>
    <w:rsid w:val="003A032D"/>
    <w:rsid w:val="003A2CDE"/>
    <w:rsid w:val="003B1DFF"/>
    <w:rsid w:val="003D0EB4"/>
    <w:rsid w:val="003E76D8"/>
    <w:rsid w:val="003F0788"/>
    <w:rsid w:val="00407131"/>
    <w:rsid w:val="00421688"/>
    <w:rsid w:val="0042302B"/>
    <w:rsid w:val="0042400B"/>
    <w:rsid w:val="00434B5D"/>
    <w:rsid w:val="0044798C"/>
    <w:rsid w:val="004834B9"/>
    <w:rsid w:val="004A1953"/>
    <w:rsid w:val="004B0B55"/>
    <w:rsid w:val="004B3C6C"/>
    <w:rsid w:val="004C5F72"/>
    <w:rsid w:val="004E4BF0"/>
    <w:rsid w:val="004F3C70"/>
    <w:rsid w:val="004F7FF8"/>
    <w:rsid w:val="00503021"/>
    <w:rsid w:val="00505649"/>
    <w:rsid w:val="005250EE"/>
    <w:rsid w:val="00525531"/>
    <w:rsid w:val="005267AF"/>
    <w:rsid w:val="0054674F"/>
    <w:rsid w:val="005531E6"/>
    <w:rsid w:val="00565553"/>
    <w:rsid w:val="00571EB4"/>
    <w:rsid w:val="005B1C26"/>
    <w:rsid w:val="00601058"/>
    <w:rsid w:val="006044A1"/>
    <w:rsid w:val="00616017"/>
    <w:rsid w:val="00634EEB"/>
    <w:rsid w:val="00645296"/>
    <w:rsid w:val="006A7FDD"/>
    <w:rsid w:val="006B36F0"/>
    <w:rsid w:val="006D7E76"/>
    <w:rsid w:val="006E3E4F"/>
    <w:rsid w:val="006F604C"/>
    <w:rsid w:val="007106C7"/>
    <w:rsid w:val="007159A6"/>
    <w:rsid w:val="00725D8D"/>
    <w:rsid w:val="00741AC4"/>
    <w:rsid w:val="00741B29"/>
    <w:rsid w:val="00751B8C"/>
    <w:rsid w:val="0076794A"/>
    <w:rsid w:val="00786222"/>
    <w:rsid w:val="0079565D"/>
    <w:rsid w:val="007E2D73"/>
    <w:rsid w:val="00804E14"/>
    <w:rsid w:val="00812987"/>
    <w:rsid w:val="008311F2"/>
    <w:rsid w:val="00843066"/>
    <w:rsid w:val="00855CDF"/>
    <w:rsid w:val="00855DF0"/>
    <w:rsid w:val="00885F4E"/>
    <w:rsid w:val="00893E59"/>
    <w:rsid w:val="008A07F3"/>
    <w:rsid w:val="008A4E7C"/>
    <w:rsid w:val="008D3024"/>
    <w:rsid w:val="008D3140"/>
    <w:rsid w:val="00904A63"/>
    <w:rsid w:val="00911601"/>
    <w:rsid w:val="009205DB"/>
    <w:rsid w:val="009247DE"/>
    <w:rsid w:val="009330D1"/>
    <w:rsid w:val="00947E48"/>
    <w:rsid w:val="00965FA8"/>
    <w:rsid w:val="009C179A"/>
    <w:rsid w:val="009C3815"/>
    <w:rsid w:val="009C3F0B"/>
    <w:rsid w:val="009E4A41"/>
    <w:rsid w:val="009E7156"/>
    <w:rsid w:val="009F2FAF"/>
    <w:rsid w:val="00A164EA"/>
    <w:rsid w:val="00A52553"/>
    <w:rsid w:val="00A57151"/>
    <w:rsid w:val="00A60AF2"/>
    <w:rsid w:val="00A83A63"/>
    <w:rsid w:val="00A870EE"/>
    <w:rsid w:val="00A91FB1"/>
    <w:rsid w:val="00AA75CB"/>
    <w:rsid w:val="00AC3DD8"/>
    <w:rsid w:val="00AC7D7B"/>
    <w:rsid w:val="00AE1AA3"/>
    <w:rsid w:val="00AF3F31"/>
    <w:rsid w:val="00B15DAF"/>
    <w:rsid w:val="00B170CA"/>
    <w:rsid w:val="00B22A66"/>
    <w:rsid w:val="00B40116"/>
    <w:rsid w:val="00B428EF"/>
    <w:rsid w:val="00B54351"/>
    <w:rsid w:val="00B8704E"/>
    <w:rsid w:val="00B92BDC"/>
    <w:rsid w:val="00BB37EC"/>
    <w:rsid w:val="00BF29C1"/>
    <w:rsid w:val="00C00C24"/>
    <w:rsid w:val="00C06648"/>
    <w:rsid w:val="00C10F1D"/>
    <w:rsid w:val="00C15171"/>
    <w:rsid w:val="00C44594"/>
    <w:rsid w:val="00C936BB"/>
    <w:rsid w:val="00D14E5B"/>
    <w:rsid w:val="00D2058F"/>
    <w:rsid w:val="00D22EDC"/>
    <w:rsid w:val="00D24FBF"/>
    <w:rsid w:val="00D40DAD"/>
    <w:rsid w:val="00D43672"/>
    <w:rsid w:val="00D7773D"/>
    <w:rsid w:val="00DD2836"/>
    <w:rsid w:val="00E12B73"/>
    <w:rsid w:val="00E20EE9"/>
    <w:rsid w:val="00E34007"/>
    <w:rsid w:val="00E4263F"/>
    <w:rsid w:val="00E47687"/>
    <w:rsid w:val="00E57A5A"/>
    <w:rsid w:val="00E83194"/>
    <w:rsid w:val="00EA5398"/>
    <w:rsid w:val="00EB2D89"/>
    <w:rsid w:val="00EE4889"/>
    <w:rsid w:val="00EE66EC"/>
    <w:rsid w:val="00EF415A"/>
    <w:rsid w:val="00EF598B"/>
    <w:rsid w:val="00F069D2"/>
    <w:rsid w:val="00F43CBD"/>
    <w:rsid w:val="00F461A6"/>
    <w:rsid w:val="00F64634"/>
    <w:rsid w:val="00F94526"/>
    <w:rsid w:val="00FB4485"/>
    <w:rsid w:val="00FB7408"/>
    <w:rsid w:val="00FC7927"/>
    <w:rsid w:val="00FC7F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BE897"/>
  <w15:chartTrackingRefBased/>
  <w15:docId w15:val="{E3BD5097-EA49-4CFF-A5C7-17DA44553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3E59"/>
    <w:pPr>
      <w:spacing w:line="360" w:lineRule="auto"/>
      <w:jc w:val="both"/>
    </w:pPr>
    <w:rPr>
      <w:rFonts w:ascii="Arial" w:hAnsi="Arial"/>
      <w:sz w:val="24"/>
    </w:rPr>
  </w:style>
  <w:style w:type="paragraph" w:styleId="Heading1">
    <w:name w:val="heading 1"/>
    <w:basedOn w:val="Normal"/>
    <w:next w:val="Normal"/>
    <w:link w:val="Heading1Char"/>
    <w:uiPriority w:val="9"/>
    <w:qFormat/>
    <w:rsid w:val="00741AC4"/>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741AC4"/>
    <w:pPr>
      <w:keepNext/>
      <w:keepLines/>
      <w:spacing w:before="160" w:after="80"/>
      <w:outlineLvl w:val="1"/>
    </w:pPr>
    <w:rPr>
      <w:rFonts w:eastAsiaTheme="majorEastAsia" w:cstheme="majorBidi"/>
      <w:b/>
      <w:i/>
      <w:color w:val="000000" w:themeColor="text1"/>
      <w:sz w:val="28"/>
      <w:szCs w:val="32"/>
      <w:u w:val="single"/>
    </w:rPr>
  </w:style>
  <w:style w:type="paragraph" w:styleId="Heading3">
    <w:name w:val="heading 3"/>
    <w:basedOn w:val="Normal"/>
    <w:next w:val="Normal"/>
    <w:link w:val="Heading3Char"/>
    <w:uiPriority w:val="9"/>
    <w:unhideWhenUsed/>
    <w:qFormat/>
    <w:rsid w:val="003923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23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23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23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23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23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23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CurrentList1">
    <w:name w:val="Current List1"/>
    <w:uiPriority w:val="99"/>
    <w:rsid w:val="003923DC"/>
    <w:pPr>
      <w:numPr>
        <w:numId w:val="1"/>
      </w:numPr>
    </w:pPr>
  </w:style>
  <w:style w:type="character" w:customStyle="1" w:styleId="Heading1Char">
    <w:name w:val="Heading 1 Char"/>
    <w:basedOn w:val="DefaultParagraphFont"/>
    <w:link w:val="Heading1"/>
    <w:uiPriority w:val="9"/>
    <w:rsid w:val="00741AC4"/>
    <w:rPr>
      <w:rFonts w:ascii="Arial" w:eastAsiaTheme="majorEastAsia" w:hAnsi="Arial" w:cstheme="majorBidi"/>
      <w:b/>
      <w:color w:val="000000" w:themeColor="text1"/>
      <w:sz w:val="36"/>
      <w:szCs w:val="40"/>
    </w:rPr>
  </w:style>
  <w:style w:type="character" w:customStyle="1" w:styleId="Heading2Char">
    <w:name w:val="Heading 2 Char"/>
    <w:basedOn w:val="DefaultParagraphFont"/>
    <w:link w:val="Heading2"/>
    <w:uiPriority w:val="9"/>
    <w:rsid w:val="00741AC4"/>
    <w:rPr>
      <w:rFonts w:ascii="Arial" w:eastAsiaTheme="majorEastAsia" w:hAnsi="Arial" w:cstheme="majorBidi"/>
      <w:b/>
      <w:i/>
      <w:color w:val="000000" w:themeColor="text1"/>
      <w:sz w:val="28"/>
      <w:szCs w:val="32"/>
      <w:u w:val="single"/>
    </w:rPr>
  </w:style>
  <w:style w:type="character" w:customStyle="1" w:styleId="Heading3Char">
    <w:name w:val="Heading 3 Char"/>
    <w:basedOn w:val="DefaultParagraphFont"/>
    <w:link w:val="Heading3"/>
    <w:uiPriority w:val="9"/>
    <w:rsid w:val="003923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23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23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23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23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23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23DC"/>
    <w:rPr>
      <w:rFonts w:eastAsiaTheme="majorEastAsia" w:cstheme="majorBidi"/>
      <w:color w:val="272727" w:themeColor="text1" w:themeTint="D8"/>
    </w:rPr>
  </w:style>
  <w:style w:type="paragraph" w:styleId="Header">
    <w:name w:val="header"/>
    <w:basedOn w:val="Normal"/>
    <w:link w:val="HeaderChar"/>
    <w:uiPriority w:val="99"/>
    <w:unhideWhenUsed/>
    <w:rsid w:val="00392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23DC"/>
  </w:style>
  <w:style w:type="paragraph" w:styleId="Footer">
    <w:name w:val="footer"/>
    <w:basedOn w:val="Normal"/>
    <w:link w:val="FooterChar"/>
    <w:uiPriority w:val="99"/>
    <w:unhideWhenUsed/>
    <w:rsid w:val="00392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23DC"/>
  </w:style>
  <w:style w:type="paragraph" w:styleId="Title">
    <w:name w:val="Title"/>
    <w:basedOn w:val="Normal"/>
    <w:next w:val="Normal"/>
    <w:link w:val="TitleChar"/>
    <w:uiPriority w:val="10"/>
    <w:qFormat/>
    <w:rsid w:val="003923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23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23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23DC"/>
    <w:rPr>
      <w:rFonts w:eastAsiaTheme="majorEastAsia" w:cstheme="majorBidi"/>
      <w:color w:val="595959" w:themeColor="text1" w:themeTint="A6"/>
      <w:spacing w:val="15"/>
      <w:sz w:val="28"/>
      <w:szCs w:val="28"/>
    </w:rPr>
  </w:style>
  <w:style w:type="character" w:styleId="Hyperlink">
    <w:name w:val="Hyperlink"/>
    <w:basedOn w:val="DefaultParagraphFont"/>
    <w:uiPriority w:val="99"/>
    <w:unhideWhenUsed/>
    <w:rsid w:val="003923DC"/>
    <w:rPr>
      <w:color w:val="0563C1" w:themeColor="hyperlink"/>
      <w:u w:val="single"/>
    </w:rPr>
  </w:style>
  <w:style w:type="character" w:styleId="FollowedHyperlink">
    <w:name w:val="FollowedHyperlink"/>
    <w:basedOn w:val="DefaultParagraphFont"/>
    <w:uiPriority w:val="99"/>
    <w:semiHidden/>
    <w:unhideWhenUsed/>
    <w:rsid w:val="003923DC"/>
    <w:rPr>
      <w:color w:val="954F72" w:themeColor="followedHyperlink"/>
      <w:u w:val="single"/>
    </w:rPr>
  </w:style>
  <w:style w:type="character" w:styleId="Strong">
    <w:name w:val="Strong"/>
    <w:basedOn w:val="DefaultParagraphFont"/>
    <w:uiPriority w:val="22"/>
    <w:qFormat/>
    <w:rsid w:val="003923DC"/>
    <w:rPr>
      <w:b/>
      <w:bCs/>
    </w:rPr>
  </w:style>
  <w:style w:type="table" w:styleId="TableGrid">
    <w:name w:val="Table Grid"/>
    <w:basedOn w:val="TableNormal"/>
    <w:uiPriority w:val="39"/>
    <w:rsid w:val="003923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23DC"/>
    <w:pPr>
      <w:ind w:left="720"/>
      <w:contextualSpacing/>
    </w:pPr>
  </w:style>
  <w:style w:type="paragraph" w:styleId="Quote">
    <w:name w:val="Quote"/>
    <w:basedOn w:val="Normal"/>
    <w:next w:val="Normal"/>
    <w:link w:val="QuoteChar"/>
    <w:uiPriority w:val="29"/>
    <w:qFormat/>
    <w:rsid w:val="003923DC"/>
    <w:pPr>
      <w:spacing w:before="160"/>
      <w:jc w:val="center"/>
    </w:pPr>
    <w:rPr>
      <w:i/>
      <w:iCs/>
      <w:color w:val="404040" w:themeColor="text1" w:themeTint="BF"/>
    </w:rPr>
  </w:style>
  <w:style w:type="character" w:customStyle="1" w:styleId="QuoteChar">
    <w:name w:val="Quote Char"/>
    <w:basedOn w:val="DefaultParagraphFont"/>
    <w:link w:val="Quote"/>
    <w:uiPriority w:val="29"/>
    <w:rsid w:val="003923DC"/>
    <w:rPr>
      <w:i/>
      <w:iCs/>
      <w:color w:val="404040" w:themeColor="text1" w:themeTint="BF"/>
    </w:rPr>
  </w:style>
  <w:style w:type="paragraph" w:styleId="IntenseQuote">
    <w:name w:val="Intense Quote"/>
    <w:basedOn w:val="Normal"/>
    <w:next w:val="Normal"/>
    <w:link w:val="IntenseQuoteChar"/>
    <w:uiPriority w:val="30"/>
    <w:qFormat/>
    <w:rsid w:val="003923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23DC"/>
    <w:rPr>
      <w:i/>
      <w:iCs/>
      <w:color w:val="2F5496" w:themeColor="accent1" w:themeShade="BF"/>
    </w:rPr>
  </w:style>
  <w:style w:type="character" w:styleId="IntenseEmphasis">
    <w:name w:val="Intense Emphasis"/>
    <w:basedOn w:val="DefaultParagraphFont"/>
    <w:uiPriority w:val="21"/>
    <w:qFormat/>
    <w:rsid w:val="003923DC"/>
    <w:rPr>
      <w:i/>
      <w:iCs/>
      <w:color w:val="2F5496" w:themeColor="accent1" w:themeShade="BF"/>
    </w:rPr>
  </w:style>
  <w:style w:type="character" w:styleId="IntenseReference">
    <w:name w:val="Intense Reference"/>
    <w:basedOn w:val="DefaultParagraphFont"/>
    <w:uiPriority w:val="32"/>
    <w:qFormat/>
    <w:rsid w:val="003923DC"/>
    <w:rPr>
      <w:b/>
      <w:bCs/>
      <w:smallCaps/>
      <w:color w:val="2F5496" w:themeColor="accent1" w:themeShade="BF"/>
      <w:spacing w:val="5"/>
    </w:rPr>
  </w:style>
  <w:style w:type="character" w:styleId="UnresolvedMention">
    <w:name w:val="Unresolved Mention"/>
    <w:basedOn w:val="DefaultParagraphFont"/>
    <w:uiPriority w:val="99"/>
    <w:semiHidden/>
    <w:unhideWhenUsed/>
    <w:rsid w:val="003923DC"/>
    <w:rPr>
      <w:color w:val="605E5C"/>
      <w:shd w:val="clear" w:color="auto" w:fill="E1DFDD"/>
    </w:rPr>
  </w:style>
  <w:style w:type="paragraph" w:styleId="Caption">
    <w:name w:val="caption"/>
    <w:basedOn w:val="Normal"/>
    <w:next w:val="Normal"/>
    <w:uiPriority w:val="35"/>
    <w:unhideWhenUsed/>
    <w:qFormat/>
    <w:rsid w:val="00893E5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741AC4"/>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41AC4"/>
    <w:pPr>
      <w:spacing w:after="100"/>
    </w:pPr>
  </w:style>
  <w:style w:type="paragraph" w:styleId="TOC2">
    <w:name w:val="toc 2"/>
    <w:basedOn w:val="Normal"/>
    <w:next w:val="Normal"/>
    <w:autoRedefine/>
    <w:uiPriority w:val="39"/>
    <w:unhideWhenUsed/>
    <w:rsid w:val="00741AC4"/>
    <w:pPr>
      <w:spacing w:after="100"/>
      <w:ind w:left="240"/>
    </w:pPr>
  </w:style>
  <w:style w:type="paragraph" w:styleId="TableofFigures">
    <w:name w:val="table of figures"/>
    <w:basedOn w:val="Normal"/>
    <w:next w:val="Normal"/>
    <w:uiPriority w:val="99"/>
    <w:unhideWhenUsed/>
    <w:rsid w:val="00741AC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sagepub.com/doi/full/10.1177/21582440231204099" TargetMode="External"/><Relationship Id="rId18" Type="http://schemas.openxmlformats.org/officeDocument/2006/relationships/hyperlink" Target="https://ftp.motilaloswal.com/emailer/Research/RELIANCE-20251018-MOSL-RU-PG036.pdf" TargetMode="External"/><Relationship Id="rId26" Type="http://schemas.openxmlformats.org/officeDocument/2006/relationships/hyperlink" Target="https://www.mdpi.com/1911-8074/19/2/102" TargetMode="External"/><Relationship Id="rId39" Type="http://schemas.openxmlformats.org/officeDocument/2006/relationships/hyperlink" Target="https://e-research.siam.edu/wp-content/uploads/2023/10/Zaw-Myo-Paing-6208020010-International-Business-Accounting-Intern-at-Bangkok-Marriott-Hotel-Sukhumvit.pdf" TargetMode="External"/><Relationship Id="rId21" Type="http://schemas.openxmlformats.org/officeDocument/2006/relationships/hyperlink" Target="https://search.proquest.com/openview/7a6504b2c57534714459a17ae2308113/1?pq-origsite=gscholar&amp;cbl=2026366&amp;diss=y" TargetMode="External"/><Relationship Id="rId34" Type="http://schemas.openxmlformats.org/officeDocument/2006/relationships/hyperlink" Target="https://www.marketscreener.com/quote/stock/MARRIOTT-INTERNATIONAL-IN-120974796/finances-ratios/" TargetMode="External"/><Relationship Id="rId42" Type="http://schemas.openxmlformats.org/officeDocument/2006/relationships/hyperlink" Target="https://www.researchgate.net/publication/373513794_Comparison_of_capital_budgeting_methods_NPV_IRR_PAYBACK_PERIOD" TargetMode="External"/><Relationship Id="rId47" Type="http://schemas.openxmlformats.org/officeDocument/2006/relationships/hyperlink" Target="https://www.sec.gov/Archives/edgar/data/1048286/000162828025004818/mar-20241231.htm/" TargetMode="External"/><Relationship Id="rId50" Type="http://schemas.openxmlformats.org/officeDocument/2006/relationships/image" Target="media/image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earch.proquest.com/openview/7a6504b2c57534714459a17ae2308113/1?pq-origsite=gscholar&amp;cbl=2026366&amp;diss=y" TargetMode="External"/><Relationship Id="rId29" Type="http://schemas.openxmlformats.org/officeDocument/2006/relationships/hyperlink" Target="https://www.businessperspectives.org/images/pdf/applications/publishing/templates/article/assets/18780/IMFI_2023_03_Arifaj.pdf/" TargetMode="External"/><Relationship Id="rId11" Type="http://schemas.openxmlformats.org/officeDocument/2006/relationships/hyperlink" Target="https://www.researchgate.net/profile/Adetunji-Adejumo/publication/390268778_Financial_statement_manipulation_Ethical_and_regulatory_perspectives/links/67e6a21003b8d7280e0a23d1/Financial-statement-manipulation-Ethical-and-regulatory-perspectives.pdf" TargetMode="External"/><Relationship Id="rId24" Type="http://schemas.openxmlformats.org/officeDocument/2006/relationships/hyperlink" Target="https://www.researchgate.net/profile/Olaoluwa-Fowosere-2/publication/399899135_Integrative_Research_Paper/links/696f03e55cc49c35ce8024ad/Integrative-Research-Paper.pdf" TargetMode="External"/><Relationship Id="rId32" Type="http://schemas.openxmlformats.org/officeDocument/2006/relationships/hyperlink" Target="https://www.researchgate.net/publication/370713419_Analysis_of_Marriott&#8217;s_Financial_Position_under_the_Epidemic" TargetMode="External"/><Relationship Id="rId37" Type="http://schemas.openxmlformats.org/officeDocument/2006/relationships/hyperlink" Target="https://search.proquest.com/openview/5f44127b46a494db3f4abe1c117e48d5/1?pq-origsite=gscholar&amp;cbl=18750&amp;diss=y" TargetMode="External"/><Relationship Id="rId40" Type="http://schemas.openxmlformats.org/officeDocument/2006/relationships/hyperlink" Target="https://www.mdpi.com/2304-6775/13/4/46" TargetMode="External"/><Relationship Id="rId45" Type="http://schemas.openxmlformats.org/officeDocument/2006/relationships/hyperlink" Target="https://stockanalysis.com/stocks/mar/financials/ratio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https://bullfincher.io/companies/marriott-international/financial-statements" TargetMode="External"/><Relationship Id="rId31" Type="http://schemas.openxmlformats.org/officeDocument/2006/relationships/hyperlink" Target="https://www.researchgate.net/profile/Sheed-Iseal/publication/388036425_AI_in_Financial_Services_Using_Big_Data_for_Risk_Assessment_and_Fraud_Detection/links/67882c2b1afb4e11f5e7fdf9/AI-in-Financial-Services-Using-Big-Data-for-Risk-Assessment-and-Fraud-Detection.pdf" TargetMode="External"/><Relationship Id="rId44" Type="http://schemas.openxmlformats.org/officeDocument/2006/relationships/hyperlink" Target="https://search.proquest.com/openview/e86f3c0ca0a149269ac7a642aa8f3e49/1?pq-origsite=gscholar&amp;cbl=2026366&amp;diss=y"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dfs.semanticscholar.org/b297/a823988fa5f3b58516df9f08c16c2c20d0e5.pdf" TargetMode="External"/><Relationship Id="rId22" Type="http://schemas.openxmlformats.org/officeDocument/2006/relationships/hyperlink" Target="https://search.proquest.com/openview/b005654ed4308db0e217a01e34e2e496/1?pq-origsite=gscholar&amp;cbl=2026366&amp;diss=y" TargetMode="External"/><Relationship Id="rId27" Type="http://schemas.openxmlformats.org/officeDocument/2006/relationships/hyperlink" Target="https://books.google.com/books?hl=en&amp;lr=&amp;id=MxV_EQAAQBAJ&amp;oi=fnd&amp;pg=PA37&amp;dq=Today%27s+high+levels+of+inflation+in+key+markets+(Europe+%26+Asia)+can+drive+up+operating+expenses&amp;ots=EPCQm2tEG0&amp;sig=ielA81XsvoCuYit6D7r4V06Dj8E" TargetMode="External"/><Relationship Id="rId30" Type="http://schemas.openxmlformats.org/officeDocument/2006/relationships/hyperlink" Target="https://bohuecon.github.io/docs/scf_paper.pdf" TargetMode="External"/><Relationship Id="rId35" Type="http://schemas.openxmlformats.org/officeDocument/2006/relationships/hyperlink" Target="https://marriott.gcs-web.com/annual/" TargetMode="External"/><Relationship Id="rId43" Type="http://schemas.openxmlformats.org/officeDocument/2006/relationships/hyperlink" Target="https://www.tf.lbtu.lv/conference/proceedings2023/Papers/TF146.pdf" TargetMode="External"/><Relationship Id="rId48" Type="http://schemas.openxmlformats.org/officeDocument/2006/relationships/hyperlink" Target="https://www.researchgate.net/profile/Bahaudin-G-Mujtaba/publication/379902066_Marriott_Hotel&#8217;s_Practices_in_Mitigating_Discrimination_Through_Inclusionary_Employee_Resource_Groups/links/664de551479366623a060819/Marriott-Hotels-Practices-in-Mitigating-Discrimination-Through-Inclusionary-Employee-Resource-Groups.pdf" TargetMode="External"/><Relationship Id="rId8" Type="http://schemas.openxmlformats.org/officeDocument/2006/relationships/image" Target="media/image1.jp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www.researchgate.net/profile/Enoch-Alonge/publication/390033672_A_Predictive_Analytics_Model_for_Optimizing_Cash_Flow_Management_in_Multi-Location_and_Global_Business_Enterprises/links/67dc9faf35f7044c924df1d5/A-Predictive-Analytics-Model-for-Optimizing-Cash-Flow-Management-in-Multi-Location-and-Global-Business-Enterprises.pdf" TargetMode="External"/><Relationship Id="rId17" Type="http://schemas.openxmlformats.org/officeDocument/2006/relationships/hyperlink" Target="https://search.proquest.com/openview/996218f256d41c6aab3822c1c4099611/1?pq-origsite=gscholar&amp;cbl=2026366&amp;diss=y" TargetMode="External"/><Relationship Id="rId25" Type="http://schemas.openxmlformats.org/officeDocument/2006/relationships/hyperlink" Target="https://www.mdpi.com/1911-8074/16/9/395" TargetMode="External"/><Relationship Id="rId33" Type="http://schemas.openxmlformats.org/officeDocument/2006/relationships/hyperlink" Target="https://research.cbs.dk/files/98729992/1586778_Master_Thesis.pdf" TargetMode="External"/><Relationship Id="rId38" Type="http://schemas.openxmlformats.org/officeDocument/2006/relationships/hyperlink" Target="http://serve360.marriott.com/wp-content/uploads/2022/10/Marriott-2022-Serve-360-ESG-Report-accessible_F.pdf" TargetMode="External"/><Relationship Id="rId46" Type="http://schemas.openxmlformats.org/officeDocument/2006/relationships/hyperlink" Target="https://search.proquest.com/openview/da147ba927088bf7163e7258e1877967/1?pq-origsite=gscholar&amp;cbl=2026366&amp;diss=y" TargetMode="External"/><Relationship Id="rId20" Type="http://schemas.openxmlformats.org/officeDocument/2006/relationships/hyperlink" Target="https://marriott.gcs-web.com/static-files/9cf0e9b0-bbfa-48a6-9e21-ffbdbc4b2d78" TargetMode="External"/><Relationship Id="rId41" Type="http://schemas.openxmlformats.org/officeDocument/2006/relationships/hyperlink" Target="https://books.google.com/books?hl=en&amp;lr=&amp;id=RlvbEQAAQBAJ&amp;oi=fnd&amp;pg=PR7&amp;dq=A+lower+debt-to-EBITDA+ratio+will+improve+Marriott%27s+credit+profile+that+should+reduce+borrowing+costs+and+provide+greater+access+to+capital+markets.&amp;ots=CaaLf7mp48&amp;sig=ck-iGNJ7G-5c37gAaDAcLnqZvYk"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ooks.google.com/books?hl=en&amp;lr=&amp;id=nIiGEQAAQBAJ&amp;oi=fnd&amp;pg=PA2000&amp;dq=Marriott%27s+has+been+trending+down+for+the+last+five+years" TargetMode="External"/><Relationship Id="rId23" Type="http://schemas.openxmlformats.org/officeDocument/2006/relationships/hyperlink" Target="https://jbrmr.com/cdn/article_file/2023-05-03-09-32-19-AM.pdf" TargetMode="External"/><Relationship Id="rId28" Type="http://schemas.openxmlformats.org/officeDocument/2006/relationships/hyperlink" Target="http://biblio.umsf.dp.ua/jspui/bitstream/123456789/7044/1/6.pdf" TargetMode="External"/><Relationship Id="rId36" Type="http://schemas.openxmlformats.org/officeDocument/2006/relationships/hyperlink" Target="https://marriott.gcs-web.com/investor-relations/" TargetMode="External"/><Relationship Id="rId4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774BD-E04A-4221-BEAF-241A315A79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28</Pages>
  <Words>7979</Words>
  <Characters>45482</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kashish vanjani</dc:creator>
  <cp:keywords/>
  <dc:description/>
  <cp:lastModifiedBy>SMIT SADHU</cp:lastModifiedBy>
  <cp:revision>3</cp:revision>
  <dcterms:created xsi:type="dcterms:W3CDTF">2026-08-13T09:06:00Z</dcterms:created>
  <dcterms:modified xsi:type="dcterms:W3CDTF">2026-08-13T09:13:00Z</dcterms:modified>
</cp:coreProperties>
</file>