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25233A2" w14:textId="77777777" w:rsidR="00574A29" w:rsidRDefault="00000000" w:rsidP="00B13E00">
      <w:pPr>
        <w:pStyle w:val="Heading1"/>
        <w:spacing w:after="160" w:line="360" w:lineRule="auto"/>
        <w:ind w:left="11" w:firstLine="0"/>
        <w:jc w:val="center"/>
      </w:pPr>
      <w:r>
        <w:t>Understanding Consent and Battery in the UK</w:t>
      </w:r>
      <w:r>
        <w:rPr>
          <w:b w:val="0"/>
          <w:u w:val="none"/>
        </w:rPr>
        <w:t xml:space="preserve"> </w:t>
      </w:r>
    </w:p>
    <w:p w14:paraId="46939303" w14:textId="534948F9" w:rsidR="00574A29" w:rsidRPr="00856350" w:rsidRDefault="00856350" w:rsidP="00B13E00">
      <w:pPr>
        <w:spacing w:line="360" w:lineRule="auto"/>
        <w:ind w:left="-5" w:right="1"/>
      </w:pPr>
      <w:r w:rsidRPr="00856350">
        <w:t xml:space="preserve">Section 74 of the Sexual Offences Act 2003 states a person consents if he agrees by choice and has the freedom and capacity to make the choice. Common assault and battery </w:t>
      </w:r>
      <w:r w:rsidR="00B13E00" w:rsidRPr="00856350">
        <w:t>are</w:t>
      </w:r>
      <w:r w:rsidRPr="00856350">
        <w:t xml:space="preserve"> dealt under section 39 of the Criminal Justice Act 1988, where battery can be committed without the victim suffering any kind of injury, for example touching can constitute a battery (</w:t>
      </w:r>
      <w:r w:rsidRPr="00856350">
        <w:rPr>
          <w:i/>
          <w:iCs/>
        </w:rPr>
        <w:t>Collins v Willock [1984]</w:t>
      </w:r>
      <w:r w:rsidRPr="00856350">
        <w:t xml:space="preserve">). This assignment will address the following question which is, the concept of consent in the UK and its role in cases involving battery. The purpose of this essay is to provide a thorough understanding of the legal concepts of consent and battery within the context of the UK and shedding light on how exactly it has a significance in the legal framework. This will be delving into real-life cases to explore how consent and battery impact individual rights, and the pursuit of justice. This essay will look to explore the legal significance and the impact and controversy that it has. </w:t>
      </w:r>
    </w:p>
    <w:p w14:paraId="267BA6AB" w14:textId="77777777" w:rsidR="00574A29" w:rsidRPr="00856350" w:rsidRDefault="00000000" w:rsidP="00B13E00">
      <w:pPr>
        <w:spacing w:after="115" w:line="360" w:lineRule="auto"/>
        <w:ind w:left="0" w:firstLine="0"/>
      </w:pPr>
      <w:r w:rsidRPr="00856350">
        <w:t xml:space="preserve"> </w:t>
      </w:r>
    </w:p>
    <w:p w14:paraId="7C7F5BD4" w14:textId="018423C2" w:rsidR="00856350" w:rsidRDefault="00856350" w:rsidP="00B13E00">
      <w:pPr>
        <w:spacing w:line="360" w:lineRule="auto"/>
        <w:ind w:left="-5" w:right="1"/>
      </w:pPr>
      <w:r w:rsidRPr="00856350">
        <w:t>According to Neil Chisholm (2021), consent can mean the difference between both criminal liability and innocence for non-fatal offences, including the actus reus and mens rea. To establish the AR of assault or battery, the perception of imminent force (assault) or the act of touching or force (battery) must be deemed unlawful for either AR to be established. To fulfil the MR of assault or battery, D possess the intention to be reckless regarding the AR. Consequently, in cases where V gives consent, neither assault nor battery can be deemed to have taken place.</w:t>
      </w:r>
      <w:r>
        <w:t xml:space="preserve"> The Sexual Offences Act 2003 provides concept for sexual consent, defining the conditions under which sexual activity is consensual. Consent forms a crucial element in safeguarding personal autonomy and individual rights within the UK's legal system (Sexual Offences Act 2003, Section 74). Consent in the UK hinges on several vital elements, with informed and voluntary consent at the leading edge. Informed consent declares that an individual must possess a clear understanding of the nature and potential consequences of their agreement, such as seen in </w:t>
      </w:r>
      <w:r>
        <w:rPr>
          <w:i/>
        </w:rPr>
        <w:t>Montgomery v Lanarkshire Health Board, 2015.</w:t>
      </w:r>
      <w:r>
        <w:t xml:space="preserve"> Voluntary consent is equally crucial, requiring freedom from any form of coercion, pressure, or duress, as outlined in the Sexual Offences Act 2003. Consent is important as it means to acknowledge an individual’s freedom and independence to understand and choose what happens to their body and information about their own body. An example of the actus reus within a battery law case would be in R v </w:t>
      </w:r>
      <w:r>
        <w:rPr>
          <w:i/>
        </w:rPr>
        <w:t>Rolfe, 1952,</w:t>
      </w:r>
      <w:r>
        <w:t xml:space="preserve"> the defendant had unlawfully inflicted force upon the victim. In the case law </w:t>
      </w:r>
      <w:r>
        <w:rPr>
          <w:i/>
        </w:rPr>
        <w:t>R v Venna, 1976</w:t>
      </w:r>
      <w:r>
        <w:t xml:space="preserve">, this highlights the mens rea in battery as the defendant had intended to inflict force or was subjectively reckless as to whether that force was inflicted. Both cases are relevant as they involve the interplay of consent and battery from the actus and mens rea perspective. In </w:t>
      </w:r>
      <w:r w:rsidRPr="00856350">
        <w:rPr>
          <w:i/>
          <w:iCs/>
        </w:rPr>
        <w:lastRenderedPageBreak/>
        <w:t>R v Rolfe 1952</w:t>
      </w:r>
      <w:r>
        <w:t xml:space="preserve">, the Lord Chief Justice stated that an assault can be committed without touching a person. According to section 39 of the Criminal Justice Act 1988, assault and battery are summary offences which means that the sentencing can range from nominal fines to a maximum punishment of six months imprisonment. Consent plays a vital role within battery and assault cases but cannot be used for murder offences. Within the medical intervention, without valid informed consent is a criminal offence, and the physician in charge of the patient can be charged with battery. This is due to include treatment against the patient’s will or using a different treatment that they had already consented to. </w:t>
      </w:r>
    </w:p>
    <w:p w14:paraId="7B0CC178" w14:textId="77777777" w:rsidR="00856350" w:rsidRDefault="00856350" w:rsidP="00B13E00">
      <w:pPr>
        <w:spacing w:line="360" w:lineRule="auto"/>
        <w:ind w:left="-5" w:right="1"/>
      </w:pPr>
    </w:p>
    <w:p w14:paraId="483905DB" w14:textId="022CF571" w:rsidR="00856350" w:rsidRDefault="00000000" w:rsidP="00B13E00">
      <w:pPr>
        <w:spacing w:line="360" w:lineRule="auto"/>
        <w:ind w:left="-5" w:right="1"/>
      </w:pPr>
      <w:r>
        <w:t>The difference that is between sexual battery and battery is how the crime is defined. A</w:t>
      </w:r>
      <w:r w:rsidR="00856350">
        <w:t>ccording to the Metropolitan Police (2019), anytime</w:t>
      </w:r>
      <w:r>
        <w:t xml:space="preserve"> a person is touched on an intimate part of the body when touching is not wanted is considered by the law to be sexual battery. Restraining a victim could also be included in the description of sexual battery. This means it requires an act of physical act without the victim’s consent. This can be demonstrated in </w:t>
      </w:r>
      <w:r w:rsidR="00856350">
        <w:t xml:space="preserve">the most controversial </w:t>
      </w:r>
      <w:r>
        <w:t xml:space="preserve">case </w:t>
      </w:r>
      <w:r>
        <w:rPr>
          <w:i/>
        </w:rPr>
        <w:t>R v Brown, 1993,</w:t>
      </w:r>
      <w:r>
        <w:t xml:space="preserve"> </w:t>
      </w:r>
      <w:r w:rsidR="00856350">
        <w:t xml:space="preserve">where </w:t>
      </w:r>
      <w:r>
        <w:t xml:space="preserve">the appellants were tried on charges of assault and causing actual bodily harm, contrary to section 47 of the Offences Against the Persons Act 1861, and unlawful wounding contrary to section 20 of that Act. </w:t>
      </w:r>
      <w:r w:rsidRPr="00B13E00">
        <w:t>In this case, the appellants participated in acts in which they consented to the acts being committed, and although they were violent, none of them had suffered any permanent injuries.</w:t>
      </w:r>
      <w:r w:rsidR="00856350" w:rsidRPr="00B13E00">
        <w:t xml:space="preserve"> The case, deemed violent by many, highlighted the unacceptability of inflicting harm. Lord Templeman (1993) cautioned that participants’ consent should be seen as questionable due to potential danger</w:t>
      </w:r>
      <w:r w:rsidR="00B13E00" w:rsidRPr="00B13E00">
        <w:t>.</w:t>
      </w:r>
      <w:r w:rsidR="00B13E00">
        <w:t xml:space="preserve"> </w:t>
      </w:r>
      <w:r w:rsidRPr="00856350">
        <w:t>If an individual agrees to any activity under pressure of intimidation or the slightest bit of threat, it is not considered consent because it was not given freely</w:t>
      </w:r>
      <w:r w:rsidR="00856350">
        <w:t xml:space="preserve">, which can be seen in </w:t>
      </w:r>
      <w:r w:rsidR="00856350" w:rsidRPr="00856350">
        <w:rPr>
          <w:i/>
          <w:iCs/>
        </w:rPr>
        <w:t>Donovan, 1934</w:t>
      </w:r>
      <w:r w:rsidRPr="00856350">
        <w:t>.</w:t>
      </w:r>
      <w:r>
        <w:t xml:space="preserve"> </w:t>
      </w:r>
      <w:r w:rsidR="00856350">
        <w:t xml:space="preserve">In the case of </w:t>
      </w:r>
      <w:r w:rsidR="00856350" w:rsidRPr="00856350">
        <w:rPr>
          <w:i/>
          <w:iCs/>
        </w:rPr>
        <w:t>Donovan, 1934,</w:t>
      </w:r>
      <w:r w:rsidR="00856350">
        <w:t xml:space="preserve"> D had hit a seventeen-year-old prostitute [V] with a cane for the purpose of sexual gratification. The V did not agree to this. The doctor had examined V two days later and saw V suffered a “fairly severe beating</w:t>
      </w:r>
      <w:r w:rsidR="00B13E00">
        <w:t>.”</w:t>
      </w:r>
      <w:r w:rsidR="00856350">
        <w:t xml:space="preserve"> The court ruled that causing harm such as that is against the law and cannot become legal just because the individual agrees to it. </w:t>
      </w:r>
      <w:r>
        <w:t>Consent is about communication, and it should happen every time for every type of activity. If an individual gives consent for something on one occasion, that does not mean that they allow it to happen the next time.</w:t>
      </w:r>
      <w:r w:rsidR="00856350">
        <w:br/>
      </w:r>
    </w:p>
    <w:p w14:paraId="19F5A2D8" w14:textId="77777777" w:rsidR="00856350" w:rsidRDefault="00000000" w:rsidP="00B13E00">
      <w:pPr>
        <w:spacing w:line="360" w:lineRule="auto"/>
        <w:ind w:left="-5" w:right="1"/>
      </w:pPr>
      <w:r>
        <w:t xml:space="preserve">However, there are some instances in which consent is not clearly delivered which can be misinterpreted. For example, if someone is under the influence the use of alcohol or drugs will complicate the understanding of if consent was given freely. Another example would be if an individual agrees to engage in a particular activity but then later decides that they wish to withdraw their consent </w:t>
      </w:r>
      <w:r>
        <w:lastRenderedPageBreak/>
        <w:t xml:space="preserve">during the activity. This will become a grey area if their partner fails to recognize their change of mind and continues, despite them withdrawing their consent. This can be demonstrated in the case of </w:t>
      </w:r>
      <w:r>
        <w:rPr>
          <w:i/>
        </w:rPr>
        <w:t>R v Evans, 2009</w:t>
      </w:r>
      <w:r>
        <w:t>, which believes consent was given although the victim was asleep at the time. Looking at the defendant’s mistaken belief and whether a reasonable person would hold the same belief.</w:t>
      </w:r>
    </w:p>
    <w:p w14:paraId="70B5BA05" w14:textId="0E3AAB68" w:rsidR="00574A29" w:rsidRDefault="00000000" w:rsidP="00B13E00">
      <w:pPr>
        <w:spacing w:line="360" w:lineRule="auto"/>
        <w:ind w:left="-5" w:right="1"/>
      </w:pPr>
      <w:r>
        <w:t xml:space="preserve">In the case </w:t>
      </w:r>
      <w:r>
        <w:rPr>
          <w:i/>
        </w:rPr>
        <w:t xml:space="preserve">R v Ched Evans, 2016, </w:t>
      </w:r>
      <w:r>
        <w:t xml:space="preserve">the focus relies on the controversies that may emerge when considering the issue of consent in cases of alleged sexual assault, especially in situations where alcohol is involved. In the first case study of </w:t>
      </w:r>
      <w:r w:rsidR="00856350">
        <w:rPr>
          <w:i/>
        </w:rPr>
        <w:t>Chad E</w:t>
      </w:r>
      <w:r>
        <w:rPr>
          <w:i/>
        </w:rPr>
        <w:t xml:space="preserve">vans </w:t>
      </w:r>
      <w:r>
        <w:t xml:space="preserve">the ethical dilemmas focus on the belief in consent during sexual activity, particularly when the person is, as in this case, asleep. This case clearly highlights the ethical tension that is between respecting an individual's liberty and the safeguarding against sexual assault. The case study of </w:t>
      </w:r>
      <w:r>
        <w:rPr>
          <w:i/>
        </w:rPr>
        <w:t xml:space="preserve">Evans </w:t>
      </w:r>
      <w:r>
        <w:t xml:space="preserve">delves into the ethical dilemmas on consent within sexual contexts. The controversy surrounds issues that are related to alcohol consumption, the capacity of decisions, and boundaries of informed consent. This case may raise questions about the responsibility of individuals involved in an activity where one or both have consumed alcohol which affects their capacity to provide genuine, freely given consent. In criminal law, consent may be used as an excuse to prevent the defendant from incurring liability for what had been done in cases of battery. What this means is that the victim can prove that they had willingly and knowingly agreed to the activity that occurred, which can be served as a </w:t>
      </w:r>
      <w:r w:rsidR="00856350">
        <w:t>defence</w:t>
      </w:r>
      <w:r>
        <w:t xml:space="preserve"> when proven correct. If there is consent involved it can influence the outcomes of a case, but only if it is genuine, informed and voluntarily given. </w:t>
      </w:r>
      <w:r w:rsidR="00856350">
        <w:t xml:space="preserve">For example, in the case </w:t>
      </w:r>
      <w:r w:rsidR="00856350">
        <w:rPr>
          <w:i/>
          <w:iCs/>
        </w:rPr>
        <w:t>R v Olu</w:t>
      </w:r>
      <w:r w:rsidR="00856350" w:rsidRPr="00856350">
        <w:rPr>
          <w:i/>
          <w:iCs/>
        </w:rPr>
        <w:t>gboja, 1982</w:t>
      </w:r>
      <w:r w:rsidR="00856350">
        <w:t xml:space="preserve">, D had told a frightened girl [V] whom he dragged into his bedroom and told her he would have sex with her. The V had refused to do so but D insisted and ordered her to remove her clothes, which led to a scared V obeying D and led to D having intercourse with the V. There is a difference between real consent and “mere submission” in an atmosphere of fear, and in this case consent was not voluntarily given. </w:t>
      </w:r>
      <w:r w:rsidR="00856350">
        <w:br/>
      </w:r>
      <w:r w:rsidR="00856350">
        <w:br/>
      </w:r>
      <w:r>
        <w:t xml:space="preserve">The possible penalties that a perpetrator would face can include a 6-month imprisonment and/or a fine that can be up to £5000. However, if the assault is racially or religiously aggravated then the maximum sentence would be 2 years rather than 6 months. The public’s awareness of consent and its significance in battery cases has developed due to education, high-profile cases, and campaigns. An example of a campaign would be the 2022 ‘Be Consent Aware’ campaign made by Peter McCall who is a crime commissioner at Cumbria police. McCall’s campaign highlights the message that consent cannot be bought and someone who is intoxicated cannot give consent and offers much advice for those who have been a victim of sexual assault. In society, many have different views or opinions on what consent and </w:t>
      </w:r>
      <w:r>
        <w:lastRenderedPageBreak/>
        <w:t>battery is, for example some may believe that silence equals consent or that being in a past relationship means that consent is already implied from before, without asking their partner more recently</w:t>
      </w:r>
      <w:r w:rsidR="00B13E00">
        <w:t xml:space="preserve">. </w:t>
      </w:r>
    </w:p>
    <w:p w14:paraId="06AE5219" w14:textId="77777777" w:rsidR="00574A29" w:rsidRDefault="00000000" w:rsidP="00B13E00">
      <w:pPr>
        <w:spacing w:after="115" w:line="360" w:lineRule="auto"/>
        <w:ind w:left="0" w:firstLine="0"/>
      </w:pPr>
      <w:r>
        <w:t xml:space="preserve"> </w:t>
      </w:r>
    </w:p>
    <w:p w14:paraId="00420DB2" w14:textId="00C7A563" w:rsidR="00574A29" w:rsidRDefault="00000000" w:rsidP="00B13E00">
      <w:pPr>
        <w:spacing w:after="157" w:line="360" w:lineRule="auto"/>
        <w:ind w:left="-5" w:right="1"/>
      </w:pPr>
      <w:r>
        <w:t xml:space="preserve">In conclusion, this assignment has been able to explore the critical role of consent in battery cases within the UK. It has shown an understanding of consent and battery whilst highlighting the legal significance and impact. The real-life cases such as </w:t>
      </w:r>
      <w:r>
        <w:rPr>
          <w:i/>
        </w:rPr>
        <w:t>R v Rolfe, 1952, R v Venna, 1976, R v Brown, 1993</w:t>
      </w:r>
      <w:r w:rsidR="00B13E00">
        <w:rPr>
          <w:i/>
        </w:rPr>
        <w:t>,</w:t>
      </w:r>
      <w:r>
        <w:rPr>
          <w:i/>
        </w:rPr>
        <w:t xml:space="preserve"> R v Evans, 2009,</w:t>
      </w:r>
      <w:r>
        <w:t xml:space="preserve"> </w:t>
      </w:r>
      <w:r w:rsidR="00856350" w:rsidRPr="00856350">
        <w:rPr>
          <w:i/>
          <w:iCs/>
        </w:rPr>
        <w:t>Donavan 1934, and</w:t>
      </w:r>
      <w:r w:rsidR="00856350">
        <w:rPr>
          <w:i/>
          <w:iCs/>
        </w:rPr>
        <w:t xml:space="preserve"> R v</w:t>
      </w:r>
      <w:r w:rsidR="00856350" w:rsidRPr="00856350">
        <w:rPr>
          <w:i/>
          <w:iCs/>
        </w:rPr>
        <w:t xml:space="preserve"> Olugboja 1982</w:t>
      </w:r>
      <w:r w:rsidR="00856350">
        <w:rPr>
          <w:i/>
          <w:iCs/>
        </w:rPr>
        <w:t>,</w:t>
      </w:r>
      <w:r w:rsidR="00856350">
        <w:t xml:space="preserve"> </w:t>
      </w:r>
      <w:r>
        <w:t>were examined to show how consent impacts the crime of battery and the complexities that follow. Battery, which considers what someone did and what they had intended, has consequences for the people’s safety and what happens to those who commit a battery crime</w:t>
      </w:r>
      <w:r w:rsidR="00B13E00">
        <w:t xml:space="preserve">. </w:t>
      </w:r>
    </w:p>
    <w:p w14:paraId="01140DE8" w14:textId="77777777" w:rsidR="00574A29" w:rsidRDefault="00000000" w:rsidP="00B13E00">
      <w:pPr>
        <w:spacing w:after="115" w:line="360" w:lineRule="auto"/>
        <w:ind w:left="0" w:firstLine="0"/>
      </w:pPr>
      <w:r>
        <w:t xml:space="preserve"> </w:t>
      </w:r>
    </w:p>
    <w:p w14:paraId="5DC5E0E9" w14:textId="55ED12CD" w:rsidR="00574A29" w:rsidRDefault="00000000" w:rsidP="00B13E00">
      <w:pPr>
        <w:pStyle w:val="Heading1"/>
        <w:spacing w:line="360" w:lineRule="auto"/>
        <w:ind w:left="-5"/>
      </w:pPr>
      <w:r>
        <w:t>Case List</w:t>
      </w:r>
      <w:r>
        <w:rPr>
          <w:b w:val="0"/>
          <w:u w:val="none"/>
        </w:rPr>
        <w:t xml:space="preserve"> </w:t>
      </w:r>
      <w:r w:rsidR="00856350">
        <w:rPr>
          <w:b w:val="0"/>
          <w:u w:val="none"/>
        </w:rPr>
        <w:br/>
      </w:r>
      <w:r w:rsidR="00856350" w:rsidRPr="00856350">
        <w:rPr>
          <w:b w:val="0"/>
          <w:bCs/>
          <w:u w:val="none"/>
        </w:rPr>
        <w:t>Collins v Wilcock [1984] 3 All ER 374</w:t>
      </w:r>
      <w:r w:rsidR="00856350">
        <w:rPr>
          <w:b w:val="0"/>
          <w:bCs/>
          <w:u w:val="none"/>
        </w:rPr>
        <w:br/>
      </w:r>
      <w:r w:rsidR="00856350" w:rsidRPr="00856350">
        <w:rPr>
          <w:b w:val="0"/>
          <w:bCs/>
          <w:u w:val="none"/>
        </w:rPr>
        <w:t>R v Donovan [1934] KB 498</w:t>
      </w:r>
      <w:r w:rsidR="00856350" w:rsidRPr="00856350">
        <w:rPr>
          <w:b w:val="0"/>
          <w:bCs/>
          <w:u w:val="none"/>
        </w:rPr>
        <w:br/>
      </w:r>
      <w:r w:rsidRPr="00856350">
        <w:rPr>
          <w:b w:val="0"/>
          <w:bCs/>
          <w:u w:val="none"/>
        </w:rPr>
        <w:t>Montgomery v Lanarkshire Health Board [2015] SC 11 [2015] 1 AC 1430</w:t>
      </w:r>
      <w:r>
        <w:t xml:space="preserve"> </w:t>
      </w:r>
    </w:p>
    <w:p w14:paraId="0B5243A8" w14:textId="77777777" w:rsidR="00574A29" w:rsidRDefault="00000000" w:rsidP="00B13E00">
      <w:pPr>
        <w:spacing w:after="110" w:line="360" w:lineRule="auto"/>
        <w:ind w:left="-5" w:right="1"/>
      </w:pPr>
      <w:r>
        <w:t xml:space="preserve">R v Brown (1994) 2 All ER 75 </w:t>
      </w:r>
    </w:p>
    <w:p w14:paraId="6DFA44EB" w14:textId="77777777" w:rsidR="00574A29" w:rsidRDefault="00000000" w:rsidP="00B13E00">
      <w:pPr>
        <w:spacing w:after="115" w:line="360" w:lineRule="auto"/>
        <w:ind w:left="-5" w:right="1"/>
      </w:pPr>
      <w:r>
        <w:t xml:space="preserve">R v Ched Evans (2016) EWCA Crim 452 </w:t>
      </w:r>
    </w:p>
    <w:p w14:paraId="3532D0C0" w14:textId="5AEDC62C" w:rsidR="00574A29" w:rsidRDefault="00000000" w:rsidP="00B13E00">
      <w:pPr>
        <w:spacing w:line="360" w:lineRule="auto"/>
        <w:ind w:left="-5" w:right="6272"/>
      </w:pPr>
      <w:r>
        <w:t xml:space="preserve">R v Evans (2009) EWCA Crim 650 </w:t>
      </w:r>
      <w:r w:rsidR="00856350">
        <w:br/>
      </w:r>
      <w:r>
        <w:t>R</w:t>
      </w:r>
      <w:r w:rsidR="00856350">
        <w:t xml:space="preserve"> </w:t>
      </w:r>
      <w:r>
        <w:t xml:space="preserve">v Rolfe (1952) 36 Cr App R 4. </w:t>
      </w:r>
    </w:p>
    <w:p w14:paraId="4DA30358" w14:textId="77777777" w:rsidR="00856350" w:rsidRDefault="00000000" w:rsidP="00B13E00">
      <w:pPr>
        <w:spacing w:after="110" w:line="360" w:lineRule="auto"/>
        <w:ind w:left="-5" w:right="1"/>
      </w:pPr>
      <w:r>
        <w:t>R v Venna (1976) QB 421</w:t>
      </w:r>
    </w:p>
    <w:p w14:paraId="797F2672" w14:textId="46B619DC" w:rsidR="00574A29" w:rsidRDefault="00856350" w:rsidP="00B13E00">
      <w:pPr>
        <w:spacing w:after="110" w:line="360" w:lineRule="auto"/>
        <w:ind w:left="-5" w:right="1"/>
      </w:pPr>
      <w:r>
        <w:t xml:space="preserve">R v Olugboja (1982) </w:t>
      </w:r>
      <w:r w:rsidRPr="00856350">
        <w:t>QB 320, [1981] 3 WLR 585</w:t>
      </w:r>
      <w:r>
        <w:t xml:space="preserve"> </w:t>
      </w:r>
    </w:p>
    <w:p w14:paraId="1DF2D54F" w14:textId="77777777" w:rsidR="00574A29" w:rsidRDefault="00000000" w:rsidP="00B13E00">
      <w:pPr>
        <w:spacing w:after="115" w:line="360" w:lineRule="auto"/>
        <w:ind w:left="0" w:firstLine="0"/>
      </w:pPr>
      <w:r>
        <w:t xml:space="preserve"> </w:t>
      </w:r>
    </w:p>
    <w:p w14:paraId="07EDEEC6" w14:textId="77777777" w:rsidR="00574A29" w:rsidRDefault="00000000" w:rsidP="00B13E00">
      <w:pPr>
        <w:pStyle w:val="Heading1"/>
        <w:spacing w:line="360" w:lineRule="auto"/>
        <w:ind w:left="-5"/>
      </w:pPr>
      <w:r>
        <w:t>Reference List</w:t>
      </w:r>
      <w:r>
        <w:rPr>
          <w:b w:val="0"/>
          <w:u w:val="none"/>
        </w:rPr>
        <w:t xml:space="preserve"> </w:t>
      </w:r>
    </w:p>
    <w:p w14:paraId="38BE314C" w14:textId="51E442E1" w:rsidR="00574A29" w:rsidRDefault="00856350" w:rsidP="00B13E00">
      <w:pPr>
        <w:spacing w:after="0" w:line="360" w:lineRule="auto"/>
        <w:ind w:left="0" w:firstLine="0"/>
      </w:pPr>
      <w:r w:rsidRPr="00856350">
        <w:t>Chisholm, N. (2021). English Law of Consent to Harm: Outline and Case Summaries</w:t>
      </w:r>
      <w:r w:rsidRPr="00856350">
        <w:rPr>
          <w:i/>
          <w:iCs/>
        </w:rPr>
        <w:t>. SSRN Electronic Journal</w:t>
      </w:r>
      <w:r w:rsidRPr="00856350">
        <w:t>. doi:</w:t>
      </w:r>
      <w:r>
        <w:t xml:space="preserve"> </w:t>
      </w:r>
      <w:hyperlink r:id="rId5" w:history="1">
        <w:r w:rsidRPr="004470AA">
          <w:rPr>
            <w:rStyle w:val="Hyperlink"/>
          </w:rPr>
          <w:t>https://doi.org/10.2139/ssrn.3771136</w:t>
        </w:r>
      </w:hyperlink>
      <w:r>
        <w:t>. [Accessed 12 April 2024]</w:t>
      </w:r>
    </w:p>
    <w:p w14:paraId="730FA3BD" w14:textId="77777777" w:rsidR="00856350" w:rsidRDefault="00856350" w:rsidP="00B13E00">
      <w:pPr>
        <w:spacing w:after="0" w:line="360" w:lineRule="auto"/>
        <w:ind w:left="0" w:firstLine="0"/>
      </w:pPr>
    </w:p>
    <w:p w14:paraId="73760A39" w14:textId="71B20A80" w:rsidR="00574A29" w:rsidRDefault="00000000" w:rsidP="00B13E00">
      <w:pPr>
        <w:spacing w:line="360" w:lineRule="auto"/>
        <w:ind w:left="-5" w:right="1"/>
      </w:pPr>
      <w:r>
        <w:t xml:space="preserve">Foote, A. &amp; (2022). </w:t>
      </w:r>
      <w:r>
        <w:rPr>
          <w:i/>
        </w:rPr>
        <w:t>Difference Between Sexual Assault and Sexual Battery</w:t>
      </w:r>
      <w:r>
        <w:t xml:space="preserve">. [online] Andreozzi &amp; Foote Attorneys at Law. Available at: </w:t>
      </w:r>
      <w:hyperlink r:id="rId6">
        <w:r>
          <w:rPr>
            <w:color w:val="0563C1"/>
            <w:u w:val="single" w:color="0563C1"/>
          </w:rPr>
          <w:t>https://www.victimscivilattorneys.com/difference</w:t>
        </w:r>
      </w:hyperlink>
      <w:hyperlink r:id="rId7">
        <w:r>
          <w:rPr>
            <w:color w:val="0563C1"/>
            <w:u w:val="single" w:color="0563C1"/>
          </w:rPr>
          <w:t>-</w:t>
        </w:r>
      </w:hyperlink>
      <w:hyperlink r:id="rId8">
        <w:r>
          <w:rPr>
            <w:color w:val="0563C1"/>
            <w:u w:val="single" w:color="0563C1"/>
          </w:rPr>
          <w:t>between</w:t>
        </w:r>
      </w:hyperlink>
      <w:hyperlink r:id="rId9">
        <w:r>
          <w:rPr>
            <w:color w:val="0563C1"/>
            <w:u w:val="single" w:color="0563C1"/>
          </w:rPr>
          <w:t>-</w:t>
        </w:r>
      </w:hyperlink>
      <w:hyperlink r:id="rId10">
        <w:r>
          <w:rPr>
            <w:color w:val="0563C1"/>
            <w:u w:val="single" w:color="0563C1"/>
          </w:rPr>
          <w:t>sexual</w:t>
        </w:r>
      </w:hyperlink>
      <w:hyperlink r:id="rId11"/>
      <w:hyperlink r:id="rId12">
        <w:r>
          <w:rPr>
            <w:color w:val="0563C1"/>
            <w:u w:val="single" w:color="0563C1"/>
          </w:rPr>
          <w:t>assault</w:t>
        </w:r>
      </w:hyperlink>
      <w:hyperlink r:id="rId13">
        <w:r>
          <w:rPr>
            <w:color w:val="0563C1"/>
            <w:u w:val="single" w:color="0563C1"/>
          </w:rPr>
          <w:t>-</w:t>
        </w:r>
      </w:hyperlink>
      <w:hyperlink r:id="rId14">
        <w:r>
          <w:rPr>
            <w:color w:val="0563C1"/>
            <w:u w:val="single" w:color="0563C1"/>
          </w:rPr>
          <w:t>and</w:t>
        </w:r>
      </w:hyperlink>
      <w:hyperlink r:id="rId15">
        <w:r>
          <w:rPr>
            <w:color w:val="0563C1"/>
            <w:u w:val="single" w:color="0563C1"/>
          </w:rPr>
          <w:t>-</w:t>
        </w:r>
      </w:hyperlink>
      <w:hyperlink r:id="rId16">
        <w:r>
          <w:rPr>
            <w:color w:val="0563C1"/>
            <w:u w:val="single" w:color="0563C1"/>
          </w:rPr>
          <w:t>sexual</w:t>
        </w:r>
      </w:hyperlink>
      <w:hyperlink r:id="rId17">
        <w:r>
          <w:rPr>
            <w:color w:val="0563C1"/>
            <w:u w:val="single" w:color="0563C1"/>
          </w:rPr>
          <w:t>-</w:t>
        </w:r>
      </w:hyperlink>
      <w:hyperlink r:id="rId18">
        <w:r>
          <w:rPr>
            <w:color w:val="0563C1"/>
            <w:u w:val="single" w:color="0563C1"/>
          </w:rPr>
          <w:t>battery/</w:t>
        </w:r>
      </w:hyperlink>
      <w:hyperlink r:id="rId19">
        <w:r>
          <w:t xml:space="preserve"> </w:t>
        </w:r>
      </w:hyperlink>
      <w:r>
        <w:t>[Accessed: 08</w:t>
      </w:r>
      <w:r w:rsidR="00856350">
        <w:t xml:space="preserve"> November </w:t>
      </w:r>
      <w:r>
        <w:t xml:space="preserve">2023] </w:t>
      </w:r>
    </w:p>
    <w:p w14:paraId="12730FD7" w14:textId="77777777" w:rsidR="00574A29" w:rsidRDefault="00000000" w:rsidP="00B13E00">
      <w:pPr>
        <w:spacing w:after="0" w:line="360" w:lineRule="auto"/>
        <w:ind w:left="0" w:firstLine="0"/>
      </w:pPr>
      <w:r>
        <w:lastRenderedPageBreak/>
        <w:t xml:space="preserve"> </w:t>
      </w:r>
    </w:p>
    <w:p w14:paraId="63336A91" w14:textId="77777777" w:rsidR="00574A29" w:rsidRDefault="00000000" w:rsidP="00B13E00">
      <w:pPr>
        <w:spacing w:line="360" w:lineRule="auto"/>
        <w:ind w:left="-5"/>
      </w:pPr>
      <w:r>
        <w:t xml:space="preserve">Helpline, C.I. (2022). </w:t>
      </w:r>
      <w:r>
        <w:rPr>
          <w:i/>
        </w:rPr>
        <w:t>Punishment for Assault &amp; GBH - What are the Penalties?</w:t>
      </w:r>
      <w:r>
        <w:t xml:space="preserve"> [online] Criminal Injuries </w:t>
      </w:r>
    </w:p>
    <w:p w14:paraId="61E1E9B1" w14:textId="106FA4DF" w:rsidR="00856350" w:rsidRDefault="00000000" w:rsidP="00B13E00">
      <w:pPr>
        <w:spacing w:after="0" w:line="360" w:lineRule="auto"/>
        <w:ind w:left="0" w:firstLine="0"/>
      </w:pPr>
      <w:r>
        <w:t xml:space="preserve">Helpline. Available at: </w:t>
      </w:r>
      <w:hyperlink r:id="rId20">
        <w:r>
          <w:rPr>
            <w:color w:val="0563C1"/>
            <w:u w:val="single" w:color="0563C1"/>
          </w:rPr>
          <w:t>https://criminalinjurieshelpline.co.uk/blog/punishment</w:t>
        </w:r>
      </w:hyperlink>
      <w:hyperlink r:id="rId21">
        <w:r>
          <w:rPr>
            <w:color w:val="0563C1"/>
            <w:u w:val="single" w:color="0563C1"/>
          </w:rPr>
          <w:t>-</w:t>
        </w:r>
      </w:hyperlink>
      <w:hyperlink r:id="rId22">
        <w:r>
          <w:rPr>
            <w:color w:val="0563C1"/>
            <w:u w:val="single" w:color="0563C1"/>
          </w:rPr>
          <w:t>sentences</w:t>
        </w:r>
      </w:hyperlink>
      <w:hyperlink r:id="rId23">
        <w:r>
          <w:rPr>
            <w:color w:val="0563C1"/>
            <w:u w:val="single" w:color="0563C1"/>
          </w:rPr>
          <w:t>-</w:t>
        </w:r>
      </w:hyperlink>
      <w:hyperlink r:id="rId24">
        <w:r>
          <w:rPr>
            <w:color w:val="0563C1"/>
            <w:u w:val="single" w:color="0563C1"/>
          </w:rPr>
          <w:t>assault</w:t>
        </w:r>
      </w:hyperlink>
      <w:hyperlink r:id="rId25">
        <w:r>
          <w:rPr>
            <w:color w:val="0563C1"/>
            <w:u w:val="single" w:color="0563C1"/>
          </w:rPr>
          <w:t>-</w:t>
        </w:r>
      </w:hyperlink>
      <w:hyperlink r:id="rId26">
        <w:r>
          <w:rPr>
            <w:color w:val="0563C1"/>
            <w:u w:val="single" w:color="0563C1"/>
          </w:rPr>
          <w:t>gbh/</w:t>
        </w:r>
      </w:hyperlink>
      <w:hyperlink r:id="rId27">
        <w:r>
          <w:t xml:space="preserve"> </w:t>
        </w:r>
      </w:hyperlink>
      <w:r>
        <w:t>[Accessed: 08</w:t>
      </w:r>
      <w:r w:rsidR="00856350">
        <w:t xml:space="preserve"> November </w:t>
      </w:r>
      <w:r>
        <w:t xml:space="preserve">2023] </w:t>
      </w:r>
      <w:r w:rsidR="00856350">
        <w:br/>
      </w:r>
      <w:r w:rsidR="00856350">
        <w:br/>
        <w:t xml:space="preserve">Herring, J (2022). </w:t>
      </w:r>
      <w:r w:rsidR="00856350" w:rsidRPr="00856350">
        <w:rPr>
          <w:i/>
          <w:iCs/>
        </w:rPr>
        <w:t>Criminal Law Text, Cases and Materials</w:t>
      </w:r>
      <w:r w:rsidR="00856350">
        <w:t>. 10</w:t>
      </w:r>
      <w:r w:rsidR="00856350" w:rsidRPr="00856350">
        <w:rPr>
          <w:vertAlign w:val="superscript"/>
        </w:rPr>
        <w:t>th</w:t>
      </w:r>
      <w:r w:rsidR="00856350">
        <w:t xml:space="preserve"> edn. Oxford University Press. </w:t>
      </w:r>
      <w:r w:rsidR="00856350">
        <w:br/>
        <w:t xml:space="preserve">Available at: </w:t>
      </w:r>
      <w:hyperlink r:id="rId28" w:history="1">
        <w:r w:rsidR="00856350" w:rsidRPr="00442808">
          <w:rPr>
            <w:rStyle w:val="Hyperlink"/>
          </w:rPr>
          <w:t>https://read.kortext.com/library/books(book:1928573)</w:t>
        </w:r>
      </w:hyperlink>
      <w:r w:rsidR="00856350">
        <w:t xml:space="preserve"> [Accessed: 12 April 2024]</w:t>
      </w:r>
    </w:p>
    <w:p w14:paraId="32CF1148" w14:textId="77777777" w:rsidR="00856350" w:rsidRDefault="00856350" w:rsidP="00B13E00">
      <w:pPr>
        <w:spacing w:after="0" w:line="360" w:lineRule="auto"/>
        <w:ind w:left="0" w:firstLine="0"/>
      </w:pPr>
      <w:r>
        <w:t xml:space="preserve"> </w:t>
      </w:r>
    </w:p>
    <w:p w14:paraId="1A007546" w14:textId="6DED9C94" w:rsidR="00856350" w:rsidRDefault="00000000" w:rsidP="00B13E00">
      <w:pPr>
        <w:spacing w:line="360" w:lineRule="auto"/>
        <w:ind w:left="-5" w:right="1"/>
      </w:pPr>
      <w:r>
        <w:t xml:space="preserve">IPSA LOQUITUR. (n.d.). </w:t>
      </w:r>
      <w:r>
        <w:rPr>
          <w:i/>
        </w:rPr>
        <w:t>Criminal Law: Assault &amp; Battery</w:t>
      </w:r>
      <w:r>
        <w:t xml:space="preserve">. [online] Available at: </w:t>
      </w:r>
      <w:hyperlink r:id="rId29">
        <w:r>
          <w:rPr>
            <w:color w:val="0563C1"/>
            <w:u w:val="single" w:color="0563C1"/>
          </w:rPr>
          <w:t>https://ipsaloquitur.com/criminal</w:t>
        </w:r>
      </w:hyperlink>
      <w:hyperlink r:id="rId30">
        <w:r>
          <w:rPr>
            <w:color w:val="0563C1"/>
            <w:u w:val="single" w:color="0563C1"/>
          </w:rPr>
          <w:t>-</w:t>
        </w:r>
      </w:hyperlink>
      <w:hyperlink r:id="rId31">
        <w:r>
          <w:rPr>
            <w:color w:val="0563C1"/>
            <w:u w:val="single" w:color="0563C1"/>
          </w:rPr>
          <w:t>law/assault</w:t>
        </w:r>
      </w:hyperlink>
      <w:hyperlink r:id="rId32">
        <w:r>
          <w:rPr>
            <w:color w:val="0563C1"/>
            <w:u w:val="single" w:color="0563C1"/>
          </w:rPr>
          <w:t>-</w:t>
        </w:r>
      </w:hyperlink>
      <w:hyperlink r:id="rId33">
        <w:r>
          <w:rPr>
            <w:color w:val="0563C1"/>
            <w:u w:val="single" w:color="0563C1"/>
          </w:rPr>
          <w:t>battery/</w:t>
        </w:r>
      </w:hyperlink>
      <w:hyperlink r:id="rId34">
        <w:r>
          <w:t xml:space="preserve"> </w:t>
        </w:r>
      </w:hyperlink>
      <w:r>
        <w:t>[Accessed: 08</w:t>
      </w:r>
      <w:r w:rsidR="00856350">
        <w:t xml:space="preserve"> November </w:t>
      </w:r>
      <w:r>
        <w:t xml:space="preserve">2023] </w:t>
      </w:r>
    </w:p>
    <w:p w14:paraId="71D767AA" w14:textId="77777777" w:rsidR="00856350" w:rsidRDefault="00856350" w:rsidP="00B13E00">
      <w:pPr>
        <w:spacing w:line="360" w:lineRule="auto"/>
        <w:ind w:left="-5" w:right="1"/>
      </w:pPr>
    </w:p>
    <w:p w14:paraId="552213CD" w14:textId="18D895C6" w:rsidR="00856350" w:rsidRDefault="00856350" w:rsidP="00B13E00">
      <w:pPr>
        <w:spacing w:line="360" w:lineRule="auto"/>
        <w:ind w:left="-5" w:right="1"/>
      </w:pPr>
      <w:r>
        <w:t xml:space="preserve">Metropolitan Police (2019). </w:t>
      </w:r>
      <w:r w:rsidRPr="00856350">
        <w:rPr>
          <w:i/>
          <w:iCs/>
        </w:rPr>
        <w:t>What is rape and sexual assault?</w:t>
      </w:r>
      <w:r>
        <w:t xml:space="preserve"> [online] Police.uk. Available at: </w:t>
      </w:r>
      <w:hyperlink r:id="rId35" w:history="1">
        <w:r w:rsidRPr="004470AA">
          <w:rPr>
            <w:rStyle w:val="Hyperlink"/>
          </w:rPr>
          <w:t>https://www.met.police.uk/advice/advice-and-information/rsa/rape-and-sexual-assault/what-is-rape-and-sexual-assault/</w:t>
        </w:r>
      </w:hyperlink>
      <w:r>
        <w:t xml:space="preserve"> [Accessed: 12 April 2024]</w:t>
      </w:r>
      <w:r>
        <w:br/>
      </w:r>
    </w:p>
    <w:p w14:paraId="4B8FC1FA" w14:textId="29A67EAF" w:rsidR="00574A29" w:rsidRDefault="00000000" w:rsidP="00B13E00">
      <w:pPr>
        <w:spacing w:after="0" w:line="360" w:lineRule="auto"/>
        <w:ind w:left="-15" w:right="266" w:firstLine="0"/>
      </w:pPr>
      <w:r>
        <w:t xml:space="preserve">Milligan, L. (2022). </w:t>
      </w:r>
      <w:r>
        <w:rPr>
          <w:i/>
        </w:rPr>
        <w:t>Commissioner launches ‘Be Consent Aware’ campaign</w:t>
      </w:r>
      <w:r>
        <w:t xml:space="preserve">. [online] Cumbria Police and Crime Commissioner. Available at: </w:t>
      </w:r>
      <w:hyperlink r:id="rId36">
        <w:r>
          <w:rPr>
            <w:color w:val="0563C1"/>
            <w:u w:val="single" w:color="0563C1"/>
          </w:rPr>
          <w:t>https://cumbria</w:t>
        </w:r>
      </w:hyperlink>
      <w:hyperlink r:id="rId37">
        <w:r>
          <w:rPr>
            <w:color w:val="0563C1"/>
            <w:u w:val="single" w:color="0563C1"/>
          </w:rPr>
          <w:t>-</w:t>
        </w:r>
      </w:hyperlink>
      <w:hyperlink r:id="rId38">
        <w:r>
          <w:rPr>
            <w:color w:val="0563C1"/>
            <w:u w:val="single" w:color="0563C1"/>
          </w:rPr>
          <w:t>pcc.gov.uk/commissioner</w:t>
        </w:r>
      </w:hyperlink>
      <w:hyperlink r:id="rId39">
        <w:r>
          <w:rPr>
            <w:color w:val="0563C1"/>
            <w:u w:val="single" w:color="0563C1"/>
          </w:rPr>
          <w:t>-</w:t>
        </w:r>
      </w:hyperlink>
      <w:hyperlink r:id="rId40">
        <w:r>
          <w:rPr>
            <w:color w:val="0563C1"/>
            <w:u w:val="single" w:color="0563C1"/>
          </w:rPr>
          <w:t>launches</w:t>
        </w:r>
      </w:hyperlink>
      <w:hyperlink r:id="rId41">
        <w:r>
          <w:rPr>
            <w:color w:val="0563C1"/>
            <w:u w:val="single" w:color="0563C1"/>
          </w:rPr>
          <w:t>-</w:t>
        </w:r>
      </w:hyperlink>
      <w:hyperlink r:id="rId42">
        <w:r>
          <w:rPr>
            <w:color w:val="0563C1"/>
            <w:u w:val="single" w:color="0563C1"/>
          </w:rPr>
          <w:t>be</w:t>
        </w:r>
      </w:hyperlink>
      <w:hyperlink r:id="rId43">
        <w:r>
          <w:rPr>
            <w:color w:val="0563C1"/>
            <w:u w:val="single" w:color="0563C1"/>
          </w:rPr>
          <w:t>-</w:t>
        </w:r>
      </w:hyperlink>
      <w:hyperlink r:id="rId44">
        <w:r>
          <w:rPr>
            <w:color w:val="0563C1"/>
            <w:u w:val="single" w:color="0563C1"/>
          </w:rPr>
          <w:t>consent</w:t>
        </w:r>
      </w:hyperlink>
      <w:hyperlink r:id="rId45"/>
      <w:hyperlink r:id="rId46">
        <w:r>
          <w:rPr>
            <w:color w:val="0563C1"/>
            <w:u w:val="single" w:color="0563C1"/>
          </w:rPr>
          <w:t>aware</w:t>
        </w:r>
      </w:hyperlink>
      <w:hyperlink r:id="rId47">
        <w:r>
          <w:rPr>
            <w:color w:val="0563C1"/>
            <w:u w:val="single" w:color="0563C1"/>
          </w:rPr>
          <w:t>-</w:t>
        </w:r>
      </w:hyperlink>
      <w:hyperlink r:id="rId48">
        <w:r>
          <w:rPr>
            <w:color w:val="0563C1"/>
            <w:u w:val="single" w:color="0563C1"/>
          </w:rPr>
          <w:t>campaign/</w:t>
        </w:r>
      </w:hyperlink>
      <w:hyperlink r:id="rId49">
        <w:r>
          <w:t xml:space="preserve"> </w:t>
        </w:r>
      </w:hyperlink>
      <w:r>
        <w:t>[Accessed: 08</w:t>
      </w:r>
      <w:r w:rsidR="00856350">
        <w:t xml:space="preserve"> November </w:t>
      </w:r>
      <w:r>
        <w:t xml:space="preserve">2023] </w:t>
      </w:r>
    </w:p>
    <w:p w14:paraId="65116D83" w14:textId="77777777" w:rsidR="00574A29" w:rsidRDefault="00000000" w:rsidP="00B13E00">
      <w:pPr>
        <w:spacing w:after="0" w:line="360" w:lineRule="auto"/>
        <w:ind w:left="0" w:firstLine="0"/>
      </w:pPr>
      <w:r>
        <w:t xml:space="preserve"> </w:t>
      </w:r>
    </w:p>
    <w:p w14:paraId="6F90542E" w14:textId="4B85D5C0" w:rsidR="00574A29" w:rsidRDefault="00000000" w:rsidP="00B13E00">
      <w:pPr>
        <w:spacing w:after="0" w:line="360" w:lineRule="auto"/>
        <w:ind w:left="0" w:firstLine="0"/>
      </w:pPr>
      <w:r>
        <w:t xml:space="preserve">Selinger, P C (2009). </w:t>
      </w:r>
      <w:r>
        <w:rPr>
          <w:i/>
        </w:rPr>
        <w:t>The right to consent: Is it absolute? | British Journal of Medical Practitioners.</w:t>
      </w:r>
      <w:r>
        <w:t xml:space="preserve"> [online] Available at:</w:t>
      </w:r>
      <w:r w:rsidR="00856350">
        <w:t xml:space="preserve"> </w:t>
      </w:r>
      <w:hyperlink r:id="rId50" w:history="1">
        <w:r w:rsidR="00856350" w:rsidRPr="004470AA">
          <w:rPr>
            <w:rStyle w:val="Hyperlink"/>
          </w:rPr>
          <w:t>https://www.bjmp.org/content/right</w:t>
        </w:r>
      </w:hyperlink>
      <w:hyperlink r:id="rId51" w:anchor=":~:text=A%20medical%20intervention%20without%20valid">
        <w:r>
          <w:rPr>
            <w:color w:val="0563C1"/>
            <w:u w:val="single" w:color="0563C1"/>
          </w:rPr>
          <w:t>-</w:t>
        </w:r>
      </w:hyperlink>
      <w:hyperlink r:id="rId52" w:anchor=":~:text=A%20medical%20intervention%20without%20valid">
        <w:r>
          <w:rPr>
            <w:color w:val="0563C1"/>
            <w:u w:val="single" w:color="0563C1"/>
          </w:rPr>
          <w:t>consent</w:t>
        </w:r>
      </w:hyperlink>
      <w:hyperlink r:id="rId53" w:anchor=":~:text=A%20medical%20intervention%20without%20valid">
        <w:r>
          <w:rPr>
            <w:color w:val="0563C1"/>
            <w:u w:val="single" w:color="0563C1"/>
          </w:rPr>
          <w:t>-</w:t>
        </w:r>
      </w:hyperlink>
      <w:hyperlink r:id="rId54" w:anchor=":~:text=A%20medical%20intervention%20without%20valid">
        <w:r>
          <w:rPr>
            <w:color w:val="0563C1"/>
            <w:u w:val="single" w:color="0563C1"/>
          </w:rPr>
          <w:t>it</w:t>
        </w:r>
      </w:hyperlink>
      <w:hyperlink r:id="rId55" w:anchor=":~:text=A%20medical%20intervention%20without%20valid"/>
      <w:hyperlink r:id="rId56" w:anchor=":~:text=A%20medical%20intervention%20without%20valid">
        <w:r>
          <w:rPr>
            <w:color w:val="0563C1"/>
            <w:u w:val="single" w:color="0563C1"/>
          </w:rPr>
          <w:t>absolute#:~:text=A%20medical%20intervention%20without%20valid</w:t>
        </w:r>
      </w:hyperlink>
      <w:hyperlink r:id="rId57" w:anchor=":~:text=A%20medical%20intervention%20without%20valid">
        <w:r>
          <w:t xml:space="preserve"> </w:t>
        </w:r>
      </w:hyperlink>
      <w:r>
        <w:t>Accessed: [08</w:t>
      </w:r>
      <w:r w:rsidR="00856350">
        <w:t xml:space="preserve"> November </w:t>
      </w:r>
      <w:r>
        <w:t>2023]</w:t>
      </w:r>
    </w:p>
    <w:p w14:paraId="0EFA56EF" w14:textId="77777777" w:rsidR="00574A29" w:rsidRDefault="00000000" w:rsidP="00B13E00">
      <w:pPr>
        <w:spacing w:after="0" w:line="360" w:lineRule="auto"/>
        <w:ind w:left="0" w:firstLine="0"/>
      </w:pPr>
      <w:r>
        <w:t xml:space="preserve"> </w:t>
      </w:r>
    </w:p>
    <w:p w14:paraId="34E5C9CB" w14:textId="4277A801" w:rsidR="00574A29" w:rsidRDefault="00000000" w:rsidP="00B13E00">
      <w:pPr>
        <w:spacing w:line="360" w:lineRule="auto"/>
        <w:ind w:left="-5"/>
      </w:pPr>
      <w:r>
        <w:t xml:space="preserve">The Law Dictionary (n.d.). </w:t>
      </w:r>
      <w:r>
        <w:rPr>
          <w:i/>
        </w:rPr>
        <w:t>The Difference Between Sexual Battery, Sexual Assault, &amp; Rape</w:t>
      </w:r>
      <w:r>
        <w:t xml:space="preserve">. [online] Available at: </w:t>
      </w:r>
      <w:hyperlink r:id="rId58">
        <w:r>
          <w:rPr>
            <w:color w:val="0563C1"/>
            <w:u w:val="single" w:color="0563C1"/>
          </w:rPr>
          <w:t>https://thelawdictionary.org/article/the</w:t>
        </w:r>
      </w:hyperlink>
      <w:hyperlink r:id="rId59">
        <w:r>
          <w:rPr>
            <w:color w:val="0563C1"/>
            <w:u w:val="single" w:color="0563C1"/>
          </w:rPr>
          <w:t>-</w:t>
        </w:r>
      </w:hyperlink>
      <w:hyperlink r:id="rId60">
        <w:r>
          <w:rPr>
            <w:color w:val="0563C1"/>
            <w:u w:val="single" w:color="0563C1"/>
          </w:rPr>
          <w:t>difference</w:t>
        </w:r>
      </w:hyperlink>
      <w:hyperlink r:id="rId61">
        <w:r>
          <w:rPr>
            <w:color w:val="0563C1"/>
            <w:u w:val="single" w:color="0563C1"/>
          </w:rPr>
          <w:t>-</w:t>
        </w:r>
      </w:hyperlink>
      <w:hyperlink r:id="rId62">
        <w:r>
          <w:rPr>
            <w:color w:val="0563C1"/>
            <w:u w:val="single" w:color="0563C1"/>
          </w:rPr>
          <w:t>between</w:t>
        </w:r>
      </w:hyperlink>
      <w:hyperlink r:id="rId63">
        <w:r>
          <w:rPr>
            <w:color w:val="0563C1"/>
            <w:u w:val="single" w:color="0563C1"/>
          </w:rPr>
          <w:t>-</w:t>
        </w:r>
      </w:hyperlink>
      <w:hyperlink r:id="rId64">
        <w:r>
          <w:rPr>
            <w:color w:val="0563C1"/>
            <w:u w:val="single" w:color="0563C1"/>
          </w:rPr>
          <w:t>sexual</w:t>
        </w:r>
      </w:hyperlink>
      <w:hyperlink r:id="rId65">
        <w:r>
          <w:rPr>
            <w:color w:val="0563C1"/>
            <w:u w:val="single" w:color="0563C1"/>
          </w:rPr>
          <w:t>-</w:t>
        </w:r>
      </w:hyperlink>
      <w:hyperlink r:id="rId66">
        <w:r>
          <w:rPr>
            <w:color w:val="0563C1"/>
            <w:u w:val="single" w:color="0563C1"/>
          </w:rPr>
          <w:t>battery</w:t>
        </w:r>
      </w:hyperlink>
      <w:hyperlink r:id="rId67">
        <w:r>
          <w:rPr>
            <w:color w:val="0563C1"/>
            <w:u w:val="single" w:color="0563C1"/>
          </w:rPr>
          <w:t>-</w:t>
        </w:r>
      </w:hyperlink>
      <w:hyperlink r:id="rId68">
        <w:r>
          <w:rPr>
            <w:color w:val="0563C1"/>
            <w:u w:val="single" w:color="0563C1"/>
          </w:rPr>
          <w:t>sexual</w:t>
        </w:r>
      </w:hyperlink>
      <w:hyperlink r:id="rId69">
        <w:r>
          <w:rPr>
            <w:color w:val="0563C1"/>
            <w:u w:val="single" w:color="0563C1"/>
          </w:rPr>
          <w:t>-</w:t>
        </w:r>
      </w:hyperlink>
      <w:hyperlink r:id="rId70">
        <w:r>
          <w:rPr>
            <w:color w:val="0563C1"/>
            <w:u w:val="single" w:color="0563C1"/>
          </w:rPr>
          <w:t>assault</w:t>
        </w:r>
      </w:hyperlink>
      <w:hyperlink r:id="rId71"/>
      <w:hyperlink r:id="rId72">
        <w:r>
          <w:rPr>
            <w:color w:val="0563C1"/>
            <w:u w:val="single" w:color="0563C1"/>
          </w:rPr>
          <w:t>rape/</w:t>
        </w:r>
      </w:hyperlink>
      <w:hyperlink r:id="rId73">
        <w:r>
          <w:t xml:space="preserve"> </w:t>
        </w:r>
      </w:hyperlink>
      <w:r>
        <w:t>[Accessed: 08</w:t>
      </w:r>
      <w:r w:rsidR="00856350">
        <w:t xml:space="preserve"> November </w:t>
      </w:r>
      <w:r>
        <w:t xml:space="preserve">2023] </w:t>
      </w:r>
    </w:p>
    <w:p w14:paraId="6E7B48B6" w14:textId="77777777" w:rsidR="00574A29" w:rsidRDefault="00000000" w:rsidP="00B13E00">
      <w:pPr>
        <w:spacing w:after="0" w:line="360" w:lineRule="auto"/>
        <w:ind w:left="0" w:firstLine="0"/>
      </w:pPr>
      <w:r>
        <w:t xml:space="preserve"> </w:t>
      </w:r>
    </w:p>
    <w:p w14:paraId="0AA15167" w14:textId="77777777" w:rsidR="00574A29" w:rsidRDefault="00000000" w:rsidP="00B13E00">
      <w:pPr>
        <w:spacing w:line="360" w:lineRule="auto"/>
        <w:ind w:left="-5"/>
      </w:pPr>
      <w:r>
        <w:t xml:space="preserve">The Supreme Court (2015). </w:t>
      </w:r>
      <w:r>
        <w:rPr>
          <w:i/>
        </w:rPr>
        <w:t xml:space="preserve">Montgomery (Appellant) v Lanarkshire Health Board (Respondent) (Scotland) </w:t>
      </w:r>
    </w:p>
    <w:p w14:paraId="69BC8374" w14:textId="77777777" w:rsidR="00574A29" w:rsidRDefault="00000000" w:rsidP="00B13E00">
      <w:pPr>
        <w:spacing w:line="360" w:lineRule="auto"/>
        <w:ind w:left="-5" w:right="1"/>
      </w:pPr>
      <w:r>
        <w:rPr>
          <w:i/>
        </w:rPr>
        <w:t>- The Supreme Court.</w:t>
      </w:r>
      <w:r>
        <w:t xml:space="preserve"> [online] Supremecourt.uk. Available at: </w:t>
      </w:r>
      <w:hyperlink r:id="rId74">
        <w:r>
          <w:rPr>
            <w:color w:val="0563C1"/>
            <w:u w:val="single" w:color="0563C1"/>
          </w:rPr>
          <w:t>https://www.supremecourt.uk/cases/uksc</w:t>
        </w:r>
      </w:hyperlink>
      <w:hyperlink r:id="rId75">
        <w:r>
          <w:rPr>
            <w:color w:val="0563C1"/>
            <w:u w:val="single" w:color="0563C1"/>
          </w:rPr>
          <w:t>-</w:t>
        </w:r>
      </w:hyperlink>
    </w:p>
    <w:p w14:paraId="000BEB56" w14:textId="2FB53C0D" w:rsidR="00574A29" w:rsidRDefault="00000000" w:rsidP="00B13E00">
      <w:pPr>
        <w:spacing w:after="160" w:line="360" w:lineRule="auto"/>
        <w:ind w:left="-5" w:right="1"/>
      </w:pPr>
      <w:hyperlink r:id="rId76">
        <w:r>
          <w:rPr>
            <w:color w:val="0563C1"/>
            <w:u w:val="single" w:color="0563C1"/>
          </w:rPr>
          <w:t>2013</w:t>
        </w:r>
      </w:hyperlink>
      <w:hyperlink r:id="rId77">
        <w:r>
          <w:rPr>
            <w:color w:val="0563C1"/>
            <w:u w:val="single" w:color="0563C1"/>
          </w:rPr>
          <w:t>-</w:t>
        </w:r>
      </w:hyperlink>
      <w:hyperlink r:id="rId78">
        <w:r>
          <w:rPr>
            <w:color w:val="0563C1"/>
            <w:u w:val="single" w:color="0563C1"/>
          </w:rPr>
          <w:t>0136.html</w:t>
        </w:r>
      </w:hyperlink>
      <w:hyperlink r:id="rId79">
        <w:r>
          <w:t xml:space="preserve"> </w:t>
        </w:r>
      </w:hyperlink>
      <w:r>
        <w:t>[Accessed: 07</w:t>
      </w:r>
      <w:r w:rsidR="00856350">
        <w:t xml:space="preserve"> November </w:t>
      </w:r>
      <w:r>
        <w:t xml:space="preserve">2023] </w:t>
      </w:r>
    </w:p>
    <w:p w14:paraId="644FEED3" w14:textId="4328CA19" w:rsidR="00574A29" w:rsidRDefault="00000000" w:rsidP="00B13E00">
      <w:pPr>
        <w:spacing w:after="160" w:line="360" w:lineRule="auto"/>
        <w:ind w:left="-5" w:right="1"/>
      </w:pPr>
      <w:r>
        <w:lastRenderedPageBreak/>
        <w:t xml:space="preserve">www.cirp.org. (n.d.). </w:t>
      </w:r>
      <w:r>
        <w:rPr>
          <w:i/>
        </w:rPr>
        <w:t>Regina v. Brown [1994], House of Lords.</w:t>
      </w:r>
      <w:r>
        <w:t xml:space="preserve"> [online] Available at: </w:t>
      </w:r>
      <w:hyperlink r:id="rId80">
        <w:r>
          <w:rPr>
            <w:color w:val="0563C1"/>
            <w:u w:val="single" w:color="0563C1"/>
          </w:rPr>
          <w:t>https://www.cirp.org/library/legal/UKlaw/rvbrown1993/</w:t>
        </w:r>
      </w:hyperlink>
      <w:hyperlink r:id="rId81">
        <w:r>
          <w:t xml:space="preserve"> </w:t>
        </w:r>
      </w:hyperlink>
      <w:r>
        <w:t>[Accessed: 08</w:t>
      </w:r>
      <w:r w:rsidR="00856350">
        <w:t xml:space="preserve"> November </w:t>
      </w:r>
      <w:r>
        <w:t xml:space="preserve">2023] </w:t>
      </w:r>
    </w:p>
    <w:p w14:paraId="6989F16A" w14:textId="5BDA661F" w:rsidR="00574A29" w:rsidRDefault="00000000" w:rsidP="00B13E00">
      <w:pPr>
        <w:spacing w:after="155" w:line="360" w:lineRule="auto"/>
        <w:ind w:left="-5" w:right="737"/>
      </w:pPr>
      <w:r>
        <w:t xml:space="preserve">www.cps.gov.uk. (n.d.). Rape and Sexual Offences - Chapter 6: Consent | The Crown Prosecution Service. [online] Available at: </w:t>
      </w:r>
      <w:hyperlink r:id="rId82" w:anchor=":~:text=Section%2074%20defines%20consent%20as">
        <w:r>
          <w:rPr>
            <w:color w:val="0563C1"/>
            <w:u w:val="single" w:color="0563C1"/>
          </w:rPr>
          <w:t>https://www.cps.gov.uk/legal</w:t>
        </w:r>
      </w:hyperlink>
      <w:hyperlink r:id="rId83" w:anchor=":~:text=Section%2074%20defines%20consent%20as">
        <w:r>
          <w:rPr>
            <w:color w:val="0563C1"/>
            <w:u w:val="single" w:color="0563C1"/>
          </w:rPr>
          <w:t>-</w:t>
        </w:r>
      </w:hyperlink>
      <w:hyperlink r:id="rId84" w:anchor=":~:text=Section%2074%20defines%20consent%20as">
        <w:r>
          <w:rPr>
            <w:color w:val="0563C1"/>
            <w:u w:val="single" w:color="0563C1"/>
          </w:rPr>
          <w:t>guidance/rape</w:t>
        </w:r>
      </w:hyperlink>
      <w:hyperlink r:id="rId85" w:anchor=":~:text=Section%2074%20defines%20consent%20as">
        <w:r>
          <w:rPr>
            <w:color w:val="0563C1"/>
            <w:u w:val="single" w:color="0563C1"/>
          </w:rPr>
          <w:t>-</w:t>
        </w:r>
      </w:hyperlink>
      <w:hyperlink r:id="rId86" w:anchor=":~:text=Section%2074%20defines%20consent%20as">
        <w:r>
          <w:rPr>
            <w:color w:val="0563C1"/>
            <w:u w:val="single" w:color="0563C1"/>
          </w:rPr>
          <w:t>and</w:t>
        </w:r>
      </w:hyperlink>
      <w:hyperlink r:id="rId87" w:anchor=":~:text=Section%2074%20defines%20consent%20as">
        <w:r>
          <w:rPr>
            <w:color w:val="0563C1"/>
            <w:u w:val="single" w:color="0563C1"/>
          </w:rPr>
          <w:t>-</w:t>
        </w:r>
      </w:hyperlink>
      <w:hyperlink r:id="rId88" w:anchor=":~:text=Section%2074%20defines%20consent%20as">
        <w:r>
          <w:rPr>
            <w:color w:val="0563C1"/>
            <w:u w:val="single" w:color="0563C1"/>
          </w:rPr>
          <w:t>sexual</w:t>
        </w:r>
      </w:hyperlink>
      <w:hyperlink r:id="rId89" w:anchor=":~:text=Section%2074%20defines%20consent%20as">
        <w:r>
          <w:rPr>
            <w:color w:val="0563C1"/>
            <w:u w:val="single" w:color="0563C1"/>
          </w:rPr>
          <w:t>-</w:t>
        </w:r>
      </w:hyperlink>
      <w:hyperlink r:id="rId90" w:anchor=":~:text=Section%2074%20defines%20consent%20as">
        <w:r>
          <w:rPr>
            <w:color w:val="0563C1"/>
            <w:u w:val="single" w:color="0563C1"/>
          </w:rPr>
          <w:t>offences</w:t>
        </w:r>
      </w:hyperlink>
      <w:hyperlink r:id="rId91" w:anchor=":~:text=Section%2074%20defines%20consent%20as"/>
      <w:hyperlink r:id="rId92" w:anchor=":~:text=Section%2074%20defines%20consent%20as">
        <w:r>
          <w:rPr>
            <w:color w:val="0563C1"/>
            <w:u w:val="single" w:color="0563C1"/>
          </w:rPr>
          <w:t>chapter</w:t>
        </w:r>
      </w:hyperlink>
      <w:hyperlink r:id="rId93" w:anchor=":~:text=Section%2074%20defines%20consent%20as">
        <w:r>
          <w:rPr>
            <w:color w:val="0563C1"/>
            <w:u w:val="single" w:color="0563C1"/>
          </w:rPr>
          <w:t>-</w:t>
        </w:r>
      </w:hyperlink>
      <w:hyperlink r:id="rId94" w:anchor=":~:text=Section%2074%20defines%20consent%20as">
        <w:r>
          <w:rPr>
            <w:color w:val="0563C1"/>
            <w:u w:val="single" w:color="0563C1"/>
          </w:rPr>
          <w:t>6</w:t>
        </w:r>
      </w:hyperlink>
      <w:hyperlink r:id="rId95" w:anchor=":~:text=Section%2074%20defines%20consent%20as">
        <w:r>
          <w:rPr>
            <w:color w:val="0563C1"/>
            <w:u w:val="single" w:color="0563C1"/>
          </w:rPr>
          <w:t>-</w:t>
        </w:r>
      </w:hyperlink>
      <w:hyperlink r:id="rId96" w:anchor=":~:text=Section%2074%20defines%20consent%20as">
        <w:r>
          <w:rPr>
            <w:color w:val="0563C1"/>
            <w:u w:val="single" w:color="0563C1"/>
          </w:rPr>
          <w:t>consent#:~:text=Section%2074%20defines%20consent%20as</w:t>
        </w:r>
      </w:hyperlink>
      <w:hyperlink r:id="rId97" w:anchor=":~:text=Section%2074%20defines%20consent%20as">
        <w:r>
          <w:t xml:space="preserve"> </w:t>
        </w:r>
      </w:hyperlink>
      <w:r>
        <w:t>[Accessed: 07</w:t>
      </w:r>
      <w:r w:rsidR="00856350">
        <w:t xml:space="preserve"> November </w:t>
      </w:r>
      <w:r>
        <w:t xml:space="preserve">2023] </w:t>
      </w:r>
    </w:p>
    <w:p w14:paraId="6BFF5209" w14:textId="77777777" w:rsidR="00574A29" w:rsidRDefault="00000000" w:rsidP="00B13E00">
      <w:pPr>
        <w:spacing w:after="0" w:line="360" w:lineRule="auto"/>
        <w:ind w:left="0" w:firstLine="0"/>
      </w:pPr>
      <w:r>
        <w:t xml:space="preserve"> </w:t>
      </w:r>
    </w:p>
    <w:p w14:paraId="026C499B" w14:textId="1614D9FD" w:rsidR="00574A29" w:rsidRDefault="00574A29" w:rsidP="00B13E00">
      <w:pPr>
        <w:spacing w:after="0" w:line="360" w:lineRule="auto"/>
        <w:ind w:left="0" w:firstLine="0"/>
      </w:pPr>
    </w:p>
    <w:p w14:paraId="0F5069F2" w14:textId="77777777" w:rsidR="00574A29" w:rsidRDefault="00000000" w:rsidP="00B13E00">
      <w:pPr>
        <w:spacing w:after="160" w:line="360" w:lineRule="auto"/>
        <w:ind w:left="0" w:firstLine="0"/>
      </w:pPr>
      <w:r>
        <w:t xml:space="preserve"> </w:t>
      </w:r>
    </w:p>
    <w:p w14:paraId="1AFD29F5" w14:textId="77777777" w:rsidR="00574A29" w:rsidRDefault="00000000" w:rsidP="00B13E00">
      <w:pPr>
        <w:spacing w:after="0" w:line="360" w:lineRule="auto"/>
        <w:ind w:left="0" w:firstLine="0"/>
      </w:pPr>
      <w:r>
        <w:t xml:space="preserve"> </w:t>
      </w:r>
    </w:p>
    <w:p w14:paraId="7D3F5997" w14:textId="77777777" w:rsidR="00574A29" w:rsidRDefault="00000000" w:rsidP="00B13E00">
      <w:pPr>
        <w:spacing w:after="0" w:line="360" w:lineRule="auto"/>
        <w:ind w:left="0" w:firstLine="0"/>
      </w:pPr>
      <w:r>
        <w:t xml:space="preserve"> </w:t>
      </w:r>
    </w:p>
    <w:p w14:paraId="025D01E7" w14:textId="77777777" w:rsidR="00574A29" w:rsidRDefault="00000000" w:rsidP="00B13E00">
      <w:pPr>
        <w:spacing w:after="0" w:line="360" w:lineRule="auto"/>
        <w:ind w:left="0" w:firstLine="0"/>
      </w:pPr>
      <w:r>
        <w:t xml:space="preserve"> </w:t>
      </w:r>
    </w:p>
    <w:sectPr w:rsidR="00574A29">
      <w:pgSz w:w="12240" w:h="15840"/>
      <w:pgMar w:top="1486" w:right="1441" w:bottom="1476"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74A29"/>
    <w:rsid w:val="000569F3"/>
    <w:rsid w:val="00221792"/>
    <w:rsid w:val="00574A29"/>
    <w:rsid w:val="00856350"/>
    <w:rsid w:val="00B13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F6C2D2"/>
  <w15:docId w15:val="{E5121D77-65F4-4120-A9E2-D9FAC21E2C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3" w:line="259" w:lineRule="auto"/>
      <w:ind w:left="10" w:hanging="10"/>
    </w:pPr>
    <w:rPr>
      <w:rFonts w:ascii="Calibri" w:eastAsia="Calibri" w:hAnsi="Calibri" w:cs="Calibri"/>
      <w:color w:val="000000"/>
      <w:sz w:val="22"/>
    </w:rPr>
  </w:style>
  <w:style w:type="paragraph" w:styleId="Heading1">
    <w:name w:val="heading 1"/>
    <w:next w:val="Normal"/>
    <w:link w:val="Heading1Char"/>
    <w:uiPriority w:val="9"/>
    <w:qFormat/>
    <w:pPr>
      <w:keepNext/>
      <w:keepLines/>
      <w:spacing w:after="115" w:line="259" w:lineRule="auto"/>
      <w:ind w:left="21" w:hanging="10"/>
      <w:outlineLvl w:val="0"/>
    </w:pPr>
    <w:rPr>
      <w:rFonts w:ascii="Calibri" w:eastAsia="Calibri" w:hAnsi="Calibri" w:cs="Calibri"/>
      <w:b/>
      <w:color w:val="000000"/>
      <w:sz w:val="22"/>
      <w:u w:val="single" w:color="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Calibri" w:eastAsia="Calibri" w:hAnsi="Calibri" w:cs="Calibri"/>
      <w:b/>
      <w:color w:val="000000"/>
      <w:sz w:val="22"/>
      <w:u w:val="single" w:color="000000"/>
    </w:rPr>
  </w:style>
  <w:style w:type="character" w:styleId="Hyperlink">
    <w:name w:val="Hyperlink"/>
    <w:basedOn w:val="DefaultParagraphFont"/>
    <w:uiPriority w:val="99"/>
    <w:unhideWhenUsed/>
    <w:rsid w:val="00856350"/>
    <w:rPr>
      <w:color w:val="467886" w:themeColor="hyperlink"/>
      <w:u w:val="single"/>
    </w:rPr>
  </w:style>
  <w:style w:type="character" w:styleId="UnresolvedMention">
    <w:name w:val="Unresolved Mention"/>
    <w:basedOn w:val="DefaultParagraphFont"/>
    <w:uiPriority w:val="99"/>
    <w:semiHidden/>
    <w:unhideWhenUsed/>
    <w:rsid w:val="0085635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26" Type="http://schemas.openxmlformats.org/officeDocument/2006/relationships/hyperlink" Target="https://criminalinjurieshelpline.co.uk/blog/punishment-sentences-assault-gbh/" TargetMode="External"/><Relationship Id="rId21" Type="http://schemas.openxmlformats.org/officeDocument/2006/relationships/hyperlink" Target="https://criminalinjurieshelpline.co.uk/blog/punishment-sentences-assault-gbh/" TargetMode="External"/><Relationship Id="rId42" Type="http://schemas.openxmlformats.org/officeDocument/2006/relationships/hyperlink" Target="https://cumbria-pcc.gov.uk/commissioner-launches-be-consent-aware-campaign/" TargetMode="External"/><Relationship Id="rId47" Type="http://schemas.openxmlformats.org/officeDocument/2006/relationships/hyperlink" Target="https://cumbria-pcc.gov.uk/commissioner-launches-be-consent-aware-campaign/" TargetMode="External"/><Relationship Id="rId63" Type="http://schemas.openxmlformats.org/officeDocument/2006/relationships/hyperlink" Target="https://thelawdictionary.org/article/the-difference-between-sexual-battery-sexual-assault-rape/" TargetMode="External"/><Relationship Id="rId68" Type="http://schemas.openxmlformats.org/officeDocument/2006/relationships/hyperlink" Target="https://thelawdictionary.org/article/the-difference-between-sexual-battery-sexual-assault-rape/" TargetMode="External"/><Relationship Id="rId84" Type="http://schemas.openxmlformats.org/officeDocument/2006/relationships/hyperlink" Target="https://www.cps.gov.uk/legal-guidance/rape-and-sexual-offences-chapter-6-consent" TargetMode="External"/><Relationship Id="rId89" Type="http://schemas.openxmlformats.org/officeDocument/2006/relationships/hyperlink" Target="https://www.cps.gov.uk/legal-guidance/rape-and-sexual-offences-chapter-6-consent" TargetMode="External"/><Relationship Id="rId16" Type="http://schemas.openxmlformats.org/officeDocument/2006/relationships/hyperlink" Target="https://www.victimscivilattorneys.com/difference-between-sexual-assault-and-sexual-battery/" TargetMode="External"/><Relationship Id="rId11" Type="http://schemas.openxmlformats.org/officeDocument/2006/relationships/hyperlink" Target="https://www.victimscivilattorneys.com/difference-between-sexual-assault-and-sexual-battery/" TargetMode="External"/><Relationship Id="rId32" Type="http://schemas.openxmlformats.org/officeDocument/2006/relationships/hyperlink" Target="https://ipsaloquitur.com/criminal-law/assault-battery/" TargetMode="External"/><Relationship Id="rId37" Type="http://schemas.openxmlformats.org/officeDocument/2006/relationships/hyperlink" Target="https://cumbria-pcc.gov.uk/commissioner-launches-be-consent-aware-campaign/" TargetMode="External"/><Relationship Id="rId53" Type="http://schemas.openxmlformats.org/officeDocument/2006/relationships/hyperlink" Target="https://www.bjmp.org/content/right-consent-it-absolute" TargetMode="External"/><Relationship Id="rId58" Type="http://schemas.openxmlformats.org/officeDocument/2006/relationships/hyperlink" Target="https://thelawdictionary.org/article/the-difference-between-sexual-battery-sexual-assault-rape/" TargetMode="External"/><Relationship Id="rId74" Type="http://schemas.openxmlformats.org/officeDocument/2006/relationships/hyperlink" Target="https://www.supremecourt.uk/cases/uksc-2013-0136.html" TargetMode="External"/><Relationship Id="rId79" Type="http://schemas.openxmlformats.org/officeDocument/2006/relationships/hyperlink" Target="https://www.supremecourt.uk/cases/uksc-2013-0136.html" TargetMode="External"/><Relationship Id="rId5" Type="http://schemas.openxmlformats.org/officeDocument/2006/relationships/hyperlink" Target="https://doi.org/10.2139/ssrn.3771136" TargetMode="External"/><Relationship Id="rId90" Type="http://schemas.openxmlformats.org/officeDocument/2006/relationships/hyperlink" Target="https://www.cps.gov.uk/legal-guidance/rape-and-sexual-offences-chapter-6-consent" TargetMode="External"/><Relationship Id="rId95" Type="http://schemas.openxmlformats.org/officeDocument/2006/relationships/hyperlink" Target="https://www.cps.gov.uk/legal-guidance/rape-and-sexual-offences-chapter-6-consent" TargetMode="External"/><Relationship Id="rId22" Type="http://schemas.openxmlformats.org/officeDocument/2006/relationships/hyperlink" Target="https://criminalinjurieshelpline.co.uk/blog/punishment-sentences-assault-gbh/" TargetMode="External"/><Relationship Id="rId27" Type="http://schemas.openxmlformats.org/officeDocument/2006/relationships/hyperlink" Target="https://criminalinjurieshelpline.co.uk/blog/punishment-sentences-assault-gbh/" TargetMode="External"/><Relationship Id="rId43" Type="http://schemas.openxmlformats.org/officeDocument/2006/relationships/hyperlink" Target="https://cumbria-pcc.gov.uk/commissioner-launches-be-consent-aware-campaign/" TargetMode="External"/><Relationship Id="rId48" Type="http://schemas.openxmlformats.org/officeDocument/2006/relationships/hyperlink" Target="https://cumbria-pcc.gov.uk/commissioner-launches-be-consent-aware-campaign/" TargetMode="External"/><Relationship Id="rId64" Type="http://schemas.openxmlformats.org/officeDocument/2006/relationships/hyperlink" Target="https://thelawdictionary.org/article/the-difference-between-sexual-battery-sexual-assault-rape/" TargetMode="External"/><Relationship Id="rId69" Type="http://schemas.openxmlformats.org/officeDocument/2006/relationships/hyperlink" Target="https://thelawdictionary.org/article/the-difference-between-sexual-battery-sexual-assault-rape/" TargetMode="External"/><Relationship Id="rId80" Type="http://schemas.openxmlformats.org/officeDocument/2006/relationships/hyperlink" Target="https://www.cirp.org/library/legal/UKlaw/rvbrown1993/" TargetMode="External"/><Relationship Id="rId85" Type="http://schemas.openxmlformats.org/officeDocument/2006/relationships/hyperlink" Target="https://www.cps.gov.uk/legal-guidance/rape-and-sexual-offences-chapter-6-consent" TargetMode="External"/><Relationship Id="rId3" Type="http://schemas.openxmlformats.org/officeDocument/2006/relationships/settings" Target="settings.xml"/><Relationship Id="rId12" Type="http://schemas.openxmlformats.org/officeDocument/2006/relationships/hyperlink" Target="https://www.victimscivilattorneys.com/difference-between-sexual-assault-and-sexual-battery/" TargetMode="External"/><Relationship Id="rId17" Type="http://schemas.openxmlformats.org/officeDocument/2006/relationships/hyperlink" Target="https://www.victimscivilattorneys.com/difference-between-sexual-assault-and-sexual-battery/" TargetMode="External"/><Relationship Id="rId25" Type="http://schemas.openxmlformats.org/officeDocument/2006/relationships/hyperlink" Target="https://criminalinjurieshelpline.co.uk/blog/punishment-sentences-assault-gbh/" TargetMode="External"/><Relationship Id="rId33" Type="http://schemas.openxmlformats.org/officeDocument/2006/relationships/hyperlink" Target="https://ipsaloquitur.com/criminal-law/assault-battery/" TargetMode="External"/><Relationship Id="rId38" Type="http://schemas.openxmlformats.org/officeDocument/2006/relationships/hyperlink" Target="https://cumbria-pcc.gov.uk/commissioner-launches-be-consent-aware-campaign/" TargetMode="External"/><Relationship Id="rId46" Type="http://schemas.openxmlformats.org/officeDocument/2006/relationships/hyperlink" Target="https://cumbria-pcc.gov.uk/commissioner-launches-be-consent-aware-campaign/" TargetMode="External"/><Relationship Id="rId59" Type="http://schemas.openxmlformats.org/officeDocument/2006/relationships/hyperlink" Target="https://thelawdictionary.org/article/the-difference-between-sexual-battery-sexual-assault-rape/" TargetMode="External"/><Relationship Id="rId67" Type="http://schemas.openxmlformats.org/officeDocument/2006/relationships/hyperlink" Target="https://thelawdictionary.org/article/the-difference-between-sexual-battery-sexual-assault-rape/" TargetMode="External"/><Relationship Id="rId20" Type="http://schemas.openxmlformats.org/officeDocument/2006/relationships/hyperlink" Target="https://criminalinjurieshelpline.co.uk/blog/punishment-sentences-assault-gbh/" TargetMode="External"/><Relationship Id="rId41" Type="http://schemas.openxmlformats.org/officeDocument/2006/relationships/hyperlink" Target="https://cumbria-pcc.gov.uk/commissioner-launches-be-consent-aware-campaign/" TargetMode="External"/><Relationship Id="rId54" Type="http://schemas.openxmlformats.org/officeDocument/2006/relationships/hyperlink" Target="https://www.bjmp.org/content/right-consent-it-absolute" TargetMode="External"/><Relationship Id="rId62" Type="http://schemas.openxmlformats.org/officeDocument/2006/relationships/hyperlink" Target="https://thelawdictionary.org/article/the-difference-between-sexual-battery-sexual-assault-rape/" TargetMode="External"/><Relationship Id="rId70" Type="http://schemas.openxmlformats.org/officeDocument/2006/relationships/hyperlink" Target="https://thelawdictionary.org/article/the-difference-between-sexual-battery-sexual-assault-rape/" TargetMode="External"/><Relationship Id="rId75" Type="http://schemas.openxmlformats.org/officeDocument/2006/relationships/hyperlink" Target="https://www.supremecourt.uk/cases/uksc-2013-0136.html" TargetMode="External"/><Relationship Id="rId83" Type="http://schemas.openxmlformats.org/officeDocument/2006/relationships/hyperlink" Target="https://www.cps.gov.uk/legal-guidance/rape-and-sexual-offences-chapter-6-consent" TargetMode="External"/><Relationship Id="rId88" Type="http://schemas.openxmlformats.org/officeDocument/2006/relationships/hyperlink" Target="https://www.cps.gov.uk/legal-guidance/rape-and-sexual-offences-chapter-6-consent" TargetMode="External"/><Relationship Id="rId91" Type="http://schemas.openxmlformats.org/officeDocument/2006/relationships/hyperlink" Target="https://www.cps.gov.uk/legal-guidance/rape-and-sexual-offences-chapter-6-consent" TargetMode="External"/><Relationship Id="rId96" Type="http://schemas.openxmlformats.org/officeDocument/2006/relationships/hyperlink" Target="https://www.cps.gov.uk/legal-guidance/rape-and-sexual-offences-chapter-6-consent" TargetMode="External"/><Relationship Id="rId1" Type="http://schemas.openxmlformats.org/officeDocument/2006/relationships/customXml" Target="../customXml/item1.xml"/><Relationship Id="rId6" Type="http://schemas.openxmlformats.org/officeDocument/2006/relationships/hyperlink" Target="https://www.victimscivilattorneys.com/difference-between-sexual-assault-and-sexual-battery/" TargetMode="External"/><Relationship Id="rId15" Type="http://schemas.openxmlformats.org/officeDocument/2006/relationships/hyperlink" Target="https://www.victimscivilattorneys.com/difference-between-sexual-assault-and-sexual-battery/" TargetMode="External"/><Relationship Id="rId23" Type="http://schemas.openxmlformats.org/officeDocument/2006/relationships/hyperlink" Target="https://criminalinjurieshelpline.co.uk/blog/punishment-sentences-assault-gbh/" TargetMode="External"/><Relationship Id="rId28" Type="http://schemas.openxmlformats.org/officeDocument/2006/relationships/hyperlink" Target="https://read.kortext.com/library/books(book:1928573)" TargetMode="External"/><Relationship Id="rId36" Type="http://schemas.openxmlformats.org/officeDocument/2006/relationships/hyperlink" Target="https://cumbria-pcc.gov.uk/commissioner-launches-be-consent-aware-campaign/" TargetMode="External"/><Relationship Id="rId49" Type="http://schemas.openxmlformats.org/officeDocument/2006/relationships/hyperlink" Target="https://cumbria-pcc.gov.uk/commissioner-launches-be-consent-aware-campaign/" TargetMode="External"/><Relationship Id="rId57" Type="http://schemas.openxmlformats.org/officeDocument/2006/relationships/hyperlink" Target="https://www.bjmp.org/content/right-consent-it-absolute" TargetMode="External"/><Relationship Id="rId10" Type="http://schemas.openxmlformats.org/officeDocument/2006/relationships/hyperlink" Target="https://www.victimscivilattorneys.com/difference-between-sexual-assault-and-sexual-battery/" TargetMode="External"/><Relationship Id="rId31" Type="http://schemas.openxmlformats.org/officeDocument/2006/relationships/hyperlink" Target="https://ipsaloquitur.com/criminal-law/assault-battery/" TargetMode="External"/><Relationship Id="rId44" Type="http://schemas.openxmlformats.org/officeDocument/2006/relationships/hyperlink" Target="https://cumbria-pcc.gov.uk/commissioner-launches-be-consent-aware-campaign/" TargetMode="External"/><Relationship Id="rId52" Type="http://schemas.openxmlformats.org/officeDocument/2006/relationships/hyperlink" Target="https://www.bjmp.org/content/right-consent-it-absolute" TargetMode="External"/><Relationship Id="rId60" Type="http://schemas.openxmlformats.org/officeDocument/2006/relationships/hyperlink" Target="https://thelawdictionary.org/article/the-difference-between-sexual-battery-sexual-assault-rape/" TargetMode="External"/><Relationship Id="rId65" Type="http://schemas.openxmlformats.org/officeDocument/2006/relationships/hyperlink" Target="https://thelawdictionary.org/article/the-difference-between-sexual-battery-sexual-assault-rape/" TargetMode="External"/><Relationship Id="rId73" Type="http://schemas.openxmlformats.org/officeDocument/2006/relationships/hyperlink" Target="https://thelawdictionary.org/article/the-difference-between-sexual-battery-sexual-assault-rape/" TargetMode="External"/><Relationship Id="rId78" Type="http://schemas.openxmlformats.org/officeDocument/2006/relationships/hyperlink" Target="https://www.supremecourt.uk/cases/uksc-2013-0136.html" TargetMode="External"/><Relationship Id="rId81" Type="http://schemas.openxmlformats.org/officeDocument/2006/relationships/hyperlink" Target="https://www.cirp.org/library/legal/UKlaw/rvbrown1993/" TargetMode="External"/><Relationship Id="rId86" Type="http://schemas.openxmlformats.org/officeDocument/2006/relationships/hyperlink" Target="https://www.cps.gov.uk/legal-guidance/rape-and-sexual-offences-chapter-6-consent" TargetMode="External"/><Relationship Id="rId94" Type="http://schemas.openxmlformats.org/officeDocument/2006/relationships/hyperlink" Target="https://www.cps.gov.uk/legal-guidance/rape-and-sexual-offences-chapter-6-consent" TargetMode="External"/><Relationship Id="rId9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victimscivilattorneys.com/difference-between-sexual-assault-and-sexual-battery/" TargetMode="External"/><Relationship Id="rId13" Type="http://schemas.openxmlformats.org/officeDocument/2006/relationships/hyperlink" Target="https://www.victimscivilattorneys.com/difference-between-sexual-assault-and-sexual-battery/" TargetMode="External"/><Relationship Id="rId18" Type="http://schemas.openxmlformats.org/officeDocument/2006/relationships/hyperlink" Target="https://www.victimscivilattorneys.com/difference-between-sexual-assault-and-sexual-battery/" TargetMode="External"/><Relationship Id="rId39" Type="http://schemas.openxmlformats.org/officeDocument/2006/relationships/hyperlink" Target="https://cumbria-pcc.gov.uk/commissioner-launches-be-consent-aware-campaign/" TargetMode="External"/><Relationship Id="rId34" Type="http://schemas.openxmlformats.org/officeDocument/2006/relationships/hyperlink" Target="https://ipsaloquitur.com/criminal-law/assault-battery/" TargetMode="External"/><Relationship Id="rId50" Type="http://schemas.openxmlformats.org/officeDocument/2006/relationships/hyperlink" Target="https://www.bjmp.org/content/right" TargetMode="External"/><Relationship Id="rId55" Type="http://schemas.openxmlformats.org/officeDocument/2006/relationships/hyperlink" Target="https://www.bjmp.org/content/right-consent-it-absolute" TargetMode="External"/><Relationship Id="rId76" Type="http://schemas.openxmlformats.org/officeDocument/2006/relationships/hyperlink" Target="https://www.supremecourt.uk/cases/uksc-2013-0136.html" TargetMode="External"/><Relationship Id="rId97" Type="http://schemas.openxmlformats.org/officeDocument/2006/relationships/hyperlink" Target="https://www.cps.gov.uk/legal-guidance/rape-and-sexual-offences-chapter-6-consent" TargetMode="External"/><Relationship Id="rId7" Type="http://schemas.openxmlformats.org/officeDocument/2006/relationships/hyperlink" Target="https://www.victimscivilattorneys.com/difference-between-sexual-assault-and-sexual-battery/" TargetMode="External"/><Relationship Id="rId71" Type="http://schemas.openxmlformats.org/officeDocument/2006/relationships/hyperlink" Target="https://thelawdictionary.org/article/the-difference-between-sexual-battery-sexual-assault-rape/" TargetMode="External"/><Relationship Id="rId92" Type="http://schemas.openxmlformats.org/officeDocument/2006/relationships/hyperlink" Target="https://www.cps.gov.uk/legal-guidance/rape-and-sexual-offences-chapter-6-consent" TargetMode="External"/><Relationship Id="rId2" Type="http://schemas.openxmlformats.org/officeDocument/2006/relationships/styles" Target="styles.xml"/><Relationship Id="rId29" Type="http://schemas.openxmlformats.org/officeDocument/2006/relationships/hyperlink" Target="https://ipsaloquitur.com/criminal-law/assault-battery/" TargetMode="External"/><Relationship Id="rId24" Type="http://schemas.openxmlformats.org/officeDocument/2006/relationships/hyperlink" Target="https://criminalinjurieshelpline.co.uk/blog/punishment-sentences-assault-gbh/" TargetMode="External"/><Relationship Id="rId40" Type="http://schemas.openxmlformats.org/officeDocument/2006/relationships/hyperlink" Target="https://cumbria-pcc.gov.uk/commissioner-launches-be-consent-aware-campaign/" TargetMode="External"/><Relationship Id="rId45" Type="http://schemas.openxmlformats.org/officeDocument/2006/relationships/hyperlink" Target="https://cumbria-pcc.gov.uk/commissioner-launches-be-consent-aware-campaign/" TargetMode="External"/><Relationship Id="rId66" Type="http://schemas.openxmlformats.org/officeDocument/2006/relationships/hyperlink" Target="https://thelawdictionary.org/article/the-difference-between-sexual-battery-sexual-assault-rape/" TargetMode="External"/><Relationship Id="rId87" Type="http://schemas.openxmlformats.org/officeDocument/2006/relationships/hyperlink" Target="https://www.cps.gov.uk/legal-guidance/rape-and-sexual-offences-chapter-6-consent" TargetMode="External"/><Relationship Id="rId61" Type="http://schemas.openxmlformats.org/officeDocument/2006/relationships/hyperlink" Target="https://thelawdictionary.org/article/the-difference-between-sexual-battery-sexual-assault-rape/" TargetMode="External"/><Relationship Id="rId82" Type="http://schemas.openxmlformats.org/officeDocument/2006/relationships/hyperlink" Target="https://www.cps.gov.uk/legal-guidance/rape-and-sexual-offences-chapter-6-consent" TargetMode="External"/><Relationship Id="rId19" Type="http://schemas.openxmlformats.org/officeDocument/2006/relationships/hyperlink" Target="https://www.victimscivilattorneys.com/difference-between-sexual-assault-and-sexual-battery/" TargetMode="External"/><Relationship Id="rId14" Type="http://schemas.openxmlformats.org/officeDocument/2006/relationships/hyperlink" Target="https://www.victimscivilattorneys.com/difference-between-sexual-assault-and-sexual-battery/" TargetMode="External"/><Relationship Id="rId30" Type="http://schemas.openxmlformats.org/officeDocument/2006/relationships/hyperlink" Target="https://ipsaloquitur.com/criminal-law/assault-battery/" TargetMode="External"/><Relationship Id="rId35" Type="http://schemas.openxmlformats.org/officeDocument/2006/relationships/hyperlink" Target="https://www.met.police.uk/advice/advice-and-information/rsa/rape-and-sexual-assault/what-is-rape-and-sexual-assault/" TargetMode="External"/><Relationship Id="rId56" Type="http://schemas.openxmlformats.org/officeDocument/2006/relationships/hyperlink" Target="https://www.bjmp.org/content/right-consent-it-absolute" TargetMode="External"/><Relationship Id="rId77" Type="http://schemas.openxmlformats.org/officeDocument/2006/relationships/hyperlink" Target="https://www.supremecourt.uk/cases/uksc-2013-0136.html" TargetMode="External"/><Relationship Id="rId8" Type="http://schemas.openxmlformats.org/officeDocument/2006/relationships/hyperlink" Target="https://www.victimscivilattorneys.com/difference-between-sexual-assault-and-sexual-battery/" TargetMode="External"/><Relationship Id="rId51" Type="http://schemas.openxmlformats.org/officeDocument/2006/relationships/hyperlink" Target="https://www.bjmp.org/content/right-consent-it-absolute" TargetMode="External"/><Relationship Id="rId72" Type="http://schemas.openxmlformats.org/officeDocument/2006/relationships/hyperlink" Target="https://thelawdictionary.org/article/the-difference-between-sexual-battery-sexual-assault-rape/" TargetMode="External"/><Relationship Id="rId93" Type="http://schemas.openxmlformats.org/officeDocument/2006/relationships/hyperlink" Target="https://www.cps.gov.uk/legal-guidance/rape-and-sexual-offences-chapter-6-consent" TargetMode="External"/><Relationship Id="rId9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25C19B3-8ABF-4A4A-81FE-EE0ABA4FD8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243</TotalTime>
  <Pages>6</Pages>
  <Words>3436</Words>
  <Characters>19586</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Tanith Coulson (2304246)</dc:creator>
  <cp:keywords/>
  <cp:lastModifiedBy>Tanith Coulson</cp:lastModifiedBy>
  <cp:revision>4</cp:revision>
  <dcterms:created xsi:type="dcterms:W3CDTF">2024-04-12T12:15:00Z</dcterms:created>
  <dcterms:modified xsi:type="dcterms:W3CDTF">2024-04-17T14:36:00Z</dcterms:modified>
</cp:coreProperties>
</file>