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E97443" w14:textId="77777777" w:rsidR="001C552F" w:rsidRPr="00D37DA0" w:rsidRDefault="001C552F" w:rsidP="001C552F">
      <w:pPr>
        <w:spacing w:line="259" w:lineRule="auto"/>
        <w:jc w:val="center"/>
        <w:rPr>
          <w:rFonts w:ascii="Arial" w:hAnsi="Arial" w:cs="Arial"/>
          <w:b/>
          <w:sz w:val="72"/>
          <w:szCs w:val="72"/>
        </w:rPr>
      </w:pPr>
    </w:p>
    <w:p w14:paraId="7CC13E1B" w14:textId="77777777" w:rsidR="001C552F" w:rsidRPr="00D37DA0" w:rsidRDefault="001C552F" w:rsidP="001C552F">
      <w:pPr>
        <w:spacing w:line="259" w:lineRule="auto"/>
        <w:jc w:val="center"/>
        <w:rPr>
          <w:rFonts w:ascii="Arial" w:hAnsi="Arial" w:cs="Arial"/>
          <w:b/>
          <w:sz w:val="72"/>
          <w:szCs w:val="72"/>
        </w:rPr>
      </w:pPr>
    </w:p>
    <w:p w14:paraId="5639096C" w14:textId="77777777" w:rsidR="001C552F" w:rsidRPr="00D37DA0" w:rsidRDefault="001C552F" w:rsidP="001C552F">
      <w:pPr>
        <w:spacing w:line="259" w:lineRule="auto"/>
        <w:jc w:val="center"/>
        <w:rPr>
          <w:rFonts w:ascii="Arial" w:hAnsi="Arial" w:cs="Arial"/>
          <w:b/>
          <w:sz w:val="72"/>
          <w:szCs w:val="72"/>
        </w:rPr>
      </w:pPr>
    </w:p>
    <w:p w14:paraId="2D462CFD" w14:textId="77777777" w:rsidR="007E5724" w:rsidRPr="00D37DA0" w:rsidRDefault="007E5724" w:rsidP="001C552F">
      <w:pPr>
        <w:spacing w:line="259" w:lineRule="auto"/>
        <w:jc w:val="center"/>
        <w:rPr>
          <w:rFonts w:asciiTheme="minorBidi" w:hAnsiTheme="minorBidi"/>
          <w:b/>
          <w:sz w:val="72"/>
          <w:szCs w:val="72"/>
        </w:rPr>
      </w:pPr>
      <w:r w:rsidRPr="00D37DA0">
        <w:rPr>
          <w:rFonts w:asciiTheme="minorBidi" w:hAnsiTheme="minorBidi"/>
          <w:b/>
          <w:sz w:val="72"/>
          <w:szCs w:val="72"/>
        </w:rPr>
        <w:t>Criminal L</w:t>
      </w:r>
      <w:r w:rsidR="001C552F" w:rsidRPr="00D37DA0">
        <w:rPr>
          <w:rFonts w:asciiTheme="minorBidi" w:hAnsiTheme="minorBidi"/>
          <w:b/>
          <w:sz w:val="72"/>
          <w:szCs w:val="72"/>
        </w:rPr>
        <w:t>aw</w:t>
      </w:r>
    </w:p>
    <w:p w14:paraId="3F0247DD" w14:textId="77777777" w:rsidR="007E5724" w:rsidRPr="00D37DA0" w:rsidRDefault="007E5724" w:rsidP="001C552F">
      <w:pPr>
        <w:spacing w:line="259" w:lineRule="auto"/>
        <w:jc w:val="center"/>
        <w:rPr>
          <w:rFonts w:asciiTheme="minorBidi" w:hAnsiTheme="minorBidi"/>
          <w:b/>
          <w:sz w:val="52"/>
          <w:szCs w:val="52"/>
        </w:rPr>
      </w:pPr>
      <w:r w:rsidRPr="00D37DA0">
        <w:rPr>
          <w:rFonts w:asciiTheme="minorBidi" w:hAnsiTheme="minorBidi"/>
          <w:b/>
          <w:sz w:val="52"/>
          <w:szCs w:val="52"/>
        </w:rPr>
        <w:t>BMPL4009_CARD</w:t>
      </w:r>
    </w:p>
    <w:p w14:paraId="7426411D" w14:textId="77777777" w:rsidR="007E5724" w:rsidRPr="00D37DA0" w:rsidRDefault="007E5724" w:rsidP="001C552F">
      <w:pPr>
        <w:spacing w:line="259" w:lineRule="auto"/>
        <w:jc w:val="center"/>
        <w:rPr>
          <w:rFonts w:asciiTheme="minorBidi" w:hAnsiTheme="minorBidi"/>
          <w:b/>
          <w:sz w:val="72"/>
          <w:szCs w:val="72"/>
        </w:rPr>
      </w:pPr>
    </w:p>
    <w:p w14:paraId="3C387B53" w14:textId="77777777" w:rsidR="005B7516" w:rsidRDefault="007E5724" w:rsidP="001C552F">
      <w:pPr>
        <w:spacing w:line="259" w:lineRule="auto"/>
        <w:jc w:val="center"/>
        <w:rPr>
          <w:sz w:val="72"/>
          <w:szCs w:val="72"/>
        </w:rPr>
      </w:pPr>
      <w:r w:rsidRPr="00D37DA0">
        <w:rPr>
          <w:rFonts w:asciiTheme="minorBidi" w:hAnsiTheme="minorBidi"/>
          <w:b/>
          <w:sz w:val="72"/>
          <w:szCs w:val="72"/>
        </w:rPr>
        <w:t>Liability by omission</w:t>
      </w:r>
      <w:r w:rsidR="001C552F" w:rsidRPr="00D37DA0">
        <w:rPr>
          <w:sz w:val="72"/>
          <w:szCs w:val="72"/>
        </w:rPr>
        <w:t xml:space="preserve"> </w:t>
      </w:r>
    </w:p>
    <w:p w14:paraId="762065C4" w14:textId="77777777" w:rsidR="005B7516" w:rsidRDefault="005B7516" w:rsidP="001C552F">
      <w:pPr>
        <w:spacing w:line="259" w:lineRule="auto"/>
        <w:jc w:val="center"/>
        <w:rPr>
          <w:sz w:val="72"/>
          <w:szCs w:val="72"/>
        </w:rPr>
      </w:pPr>
    </w:p>
    <w:p w14:paraId="49EE6844" w14:textId="77777777" w:rsidR="005B7516" w:rsidRDefault="005B7516" w:rsidP="001C552F">
      <w:pPr>
        <w:spacing w:line="259" w:lineRule="auto"/>
        <w:jc w:val="center"/>
        <w:rPr>
          <w:sz w:val="72"/>
          <w:szCs w:val="72"/>
        </w:rPr>
      </w:pPr>
    </w:p>
    <w:p w14:paraId="5EFF18E6" w14:textId="028A7FBB" w:rsidR="001C552F" w:rsidRPr="00D37DA0" w:rsidRDefault="005B7516" w:rsidP="005B7516">
      <w:pPr>
        <w:rPr>
          <w:rFonts w:asciiTheme="majorHAnsi" w:eastAsiaTheme="majorEastAsia" w:hAnsiTheme="majorHAnsi" w:cstheme="majorBidi"/>
        </w:rPr>
      </w:pPr>
      <w:r>
        <w:t xml:space="preserve">                          Student </w:t>
      </w:r>
      <w:proofErr w:type="gramStart"/>
      <w:r>
        <w:t>name :</w:t>
      </w:r>
      <w:proofErr w:type="gramEnd"/>
      <w:r>
        <w:t xml:space="preserve"> Elena Cristina </w:t>
      </w:r>
      <w:proofErr w:type="spellStart"/>
      <w:r>
        <w:t>Martinica</w:t>
      </w:r>
      <w:proofErr w:type="spellEnd"/>
      <w:r w:rsidR="001C552F" w:rsidRPr="00D37DA0">
        <w:br w:type="page"/>
      </w:r>
    </w:p>
    <w:sdt>
      <w:sdtPr>
        <w:rPr>
          <w:rFonts w:ascii="Times New Roman" w:eastAsiaTheme="minorHAnsi" w:hAnsi="Times New Roman" w:cstheme="minorBidi"/>
          <w:b w:val="0"/>
          <w:color w:val="auto"/>
          <w:kern w:val="2"/>
          <w:sz w:val="24"/>
          <w:szCs w:val="22"/>
          <w:lang w:val="en-GB"/>
          <w14:ligatures w14:val="standardContextual"/>
        </w:rPr>
        <w:id w:val="-1765151591"/>
        <w:docPartObj>
          <w:docPartGallery w:val="Table of Contents"/>
          <w:docPartUnique/>
        </w:docPartObj>
      </w:sdtPr>
      <w:sdtEndPr>
        <w:rPr>
          <w:bCs/>
          <w:noProof/>
        </w:rPr>
      </w:sdtEndPr>
      <w:sdtContent>
        <w:p w14:paraId="51E643E7" w14:textId="27C974F0" w:rsidR="001C552F" w:rsidRPr="00D37DA0" w:rsidRDefault="001C552F">
          <w:pPr>
            <w:pStyle w:val="TOCHeading"/>
            <w:rPr>
              <w:color w:val="auto"/>
            </w:rPr>
          </w:pPr>
          <w:r w:rsidRPr="00D37DA0">
            <w:rPr>
              <w:color w:val="auto"/>
            </w:rPr>
            <w:t>Contents</w:t>
          </w:r>
        </w:p>
        <w:p w14:paraId="7F0966B2" w14:textId="4698F37E" w:rsidR="00333D1D" w:rsidRPr="00D37DA0" w:rsidRDefault="001C552F">
          <w:pPr>
            <w:pStyle w:val="TOC1"/>
            <w:tabs>
              <w:tab w:val="right" w:leader="dot" w:pos="9016"/>
            </w:tabs>
            <w:rPr>
              <w:rFonts w:asciiTheme="minorHAnsi" w:eastAsiaTheme="minorEastAsia" w:hAnsiTheme="minorHAnsi"/>
              <w:noProof/>
              <w:sz w:val="22"/>
              <w:lang w:val="en-IN" w:eastAsia="en-IN"/>
            </w:rPr>
          </w:pPr>
          <w:r w:rsidRPr="00D37DA0">
            <w:fldChar w:fldCharType="begin"/>
          </w:r>
          <w:r w:rsidRPr="00D37DA0">
            <w:instrText xml:space="preserve"> TOC \o "1-3" \h \z \u </w:instrText>
          </w:r>
          <w:r w:rsidRPr="00D37DA0">
            <w:fldChar w:fldCharType="separate"/>
          </w:r>
          <w:hyperlink w:anchor="_Toc169369169" w:history="1">
            <w:r w:rsidR="00333D1D" w:rsidRPr="00D37DA0">
              <w:rPr>
                <w:rStyle w:val="Hyperlink"/>
                <w:noProof/>
                <w:color w:val="auto"/>
              </w:rPr>
              <w:t>Task 1</w:t>
            </w:r>
            <w:r w:rsidR="00333D1D" w:rsidRPr="00D37DA0">
              <w:rPr>
                <w:noProof/>
                <w:webHidden/>
              </w:rPr>
              <w:tab/>
            </w:r>
            <w:r w:rsidR="00333D1D" w:rsidRPr="00D37DA0">
              <w:rPr>
                <w:noProof/>
                <w:webHidden/>
              </w:rPr>
              <w:fldChar w:fldCharType="begin"/>
            </w:r>
            <w:r w:rsidR="00333D1D" w:rsidRPr="00D37DA0">
              <w:rPr>
                <w:noProof/>
                <w:webHidden/>
              </w:rPr>
              <w:instrText xml:space="preserve"> PAGEREF _Toc169369169 \h </w:instrText>
            </w:r>
            <w:r w:rsidR="00333D1D" w:rsidRPr="00D37DA0">
              <w:rPr>
                <w:noProof/>
                <w:webHidden/>
              </w:rPr>
            </w:r>
            <w:r w:rsidR="00333D1D" w:rsidRPr="00D37DA0">
              <w:rPr>
                <w:noProof/>
                <w:webHidden/>
              </w:rPr>
              <w:fldChar w:fldCharType="separate"/>
            </w:r>
            <w:r w:rsidR="00333D1D" w:rsidRPr="00D37DA0">
              <w:rPr>
                <w:noProof/>
                <w:webHidden/>
              </w:rPr>
              <w:t>3</w:t>
            </w:r>
            <w:r w:rsidR="00333D1D" w:rsidRPr="00D37DA0">
              <w:rPr>
                <w:noProof/>
                <w:webHidden/>
              </w:rPr>
              <w:fldChar w:fldCharType="end"/>
            </w:r>
          </w:hyperlink>
        </w:p>
        <w:p w14:paraId="26B5C522" w14:textId="53F31954" w:rsidR="00333D1D" w:rsidRPr="00D37DA0" w:rsidRDefault="00000000">
          <w:pPr>
            <w:pStyle w:val="TOC2"/>
            <w:tabs>
              <w:tab w:val="left" w:pos="660"/>
              <w:tab w:val="right" w:leader="dot" w:pos="9016"/>
            </w:tabs>
            <w:rPr>
              <w:rFonts w:asciiTheme="minorHAnsi" w:eastAsiaTheme="minorEastAsia" w:hAnsiTheme="minorHAnsi"/>
              <w:noProof/>
              <w:sz w:val="22"/>
              <w:lang w:val="en-IN" w:eastAsia="en-IN"/>
            </w:rPr>
          </w:pPr>
          <w:hyperlink w:anchor="_Toc169369170" w:history="1">
            <w:r w:rsidR="00333D1D" w:rsidRPr="00D37DA0">
              <w:rPr>
                <w:rStyle w:val="Hyperlink"/>
                <w:noProof/>
                <w:color w:val="auto"/>
              </w:rPr>
              <w:t>1.</w:t>
            </w:r>
            <w:r w:rsidR="00333D1D" w:rsidRPr="00D37DA0">
              <w:rPr>
                <w:rFonts w:asciiTheme="minorHAnsi" w:eastAsiaTheme="minorEastAsia" w:hAnsiTheme="minorHAnsi"/>
                <w:noProof/>
                <w:sz w:val="22"/>
                <w:lang w:val="en-IN" w:eastAsia="en-IN"/>
              </w:rPr>
              <w:tab/>
            </w:r>
            <w:r w:rsidR="00333D1D" w:rsidRPr="00D37DA0">
              <w:rPr>
                <w:rStyle w:val="Hyperlink"/>
                <w:noProof/>
                <w:color w:val="auto"/>
              </w:rPr>
              <w:t>Is there a general duty to act in criminal law?</w:t>
            </w:r>
            <w:r w:rsidR="00333D1D" w:rsidRPr="00D37DA0">
              <w:rPr>
                <w:noProof/>
                <w:webHidden/>
              </w:rPr>
              <w:tab/>
            </w:r>
            <w:r w:rsidR="00333D1D" w:rsidRPr="00D37DA0">
              <w:rPr>
                <w:noProof/>
                <w:webHidden/>
              </w:rPr>
              <w:fldChar w:fldCharType="begin"/>
            </w:r>
            <w:r w:rsidR="00333D1D" w:rsidRPr="00D37DA0">
              <w:rPr>
                <w:noProof/>
                <w:webHidden/>
              </w:rPr>
              <w:instrText xml:space="preserve"> PAGEREF _Toc169369170 \h </w:instrText>
            </w:r>
            <w:r w:rsidR="00333D1D" w:rsidRPr="00D37DA0">
              <w:rPr>
                <w:noProof/>
                <w:webHidden/>
              </w:rPr>
            </w:r>
            <w:r w:rsidR="00333D1D" w:rsidRPr="00D37DA0">
              <w:rPr>
                <w:noProof/>
                <w:webHidden/>
              </w:rPr>
              <w:fldChar w:fldCharType="separate"/>
            </w:r>
            <w:r w:rsidR="00333D1D" w:rsidRPr="00D37DA0">
              <w:rPr>
                <w:noProof/>
                <w:webHidden/>
              </w:rPr>
              <w:t>3</w:t>
            </w:r>
            <w:r w:rsidR="00333D1D" w:rsidRPr="00D37DA0">
              <w:rPr>
                <w:noProof/>
                <w:webHidden/>
              </w:rPr>
              <w:fldChar w:fldCharType="end"/>
            </w:r>
          </w:hyperlink>
        </w:p>
        <w:p w14:paraId="2658769B" w14:textId="4D7FB9A6" w:rsidR="00333D1D" w:rsidRPr="00D37DA0" w:rsidRDefault="00000000">
          <w:pPr>
            <w:pStyle w:val="TOC2"/>
            <w:tabs>
              <w:tab w:val="left" w:pos="660"/>
              <w:tab w:val="right" w:leader="dot" w:pos="9016"/>
            </w:tabs>
            <w:rPr>
              <w:rFonts w:asciiTheme="minorHAnsi" w:eastAsiaTheme="minorEastAsia" w:hAnsiTheme="minorHAnsi"/>
              <w:noProof/>
              <w:sz w:val="22"/>
              <w:lang w:val="en-IN" w:eastAsia="en-IN"/>
            </w:rPr>
          </w:pPr>
          <w:hyperlink w:anchor="_Toc169369171" w:history="1">
            <w:r w:rsidR="00333D1D" w:rsidRPr="00D37DA0">
              <w:rPr>
                <w:rStyle w:val="Hyperlink"/>
                <w:noProof/>
                <w:color w:val="auto"/>
              </w:rPr>
              <w:t>2.</w:t>
            </w:r>
            <w:r w:rsidR="00333D1D" w:rsidRPr="00D37DA0">
              <w:rPr>
                <w:rFonts w:asciiTheme="minorHAnsi" w:eastAsiaTheme="minorEastAsia" w:hAnsiTheme="minorHAnsi"/>
                <w:noProof/>
                <w:sz w:val="22"/>
                <w:lang w:val="en-IN" w:eastAsia="en-IN"/>
              </w:rPr>
              <w:tab/>
            </w:r>
            <w:r w:rsidR="00333D1D" w:rsidRPr="00D37DA0">
              <w:rPr>
                <w:rStyle w:val="Hyperlink"/>
                <w:noProof/>
                <w:color w:val="auto"/>
              </w:rPr>
              <w:t>What are the requirements for a crime to be committed by omission?</w:t>
            </w:r>
            <w:r w:rsidR="00333D1D" w:rsidRPr="00D37DA0">
              <w:rPr>
                <w:noProof/>
                <w:webHidden/>
              </w:rPr>
              <w:tab/>
            </w:r>
            <w:r w:rsidR="00333D1D" w:rsidRPr="00D37DA0">
              <w:rPr>
                <w:noProof/>
                <w:webHidden/>
              </w:rPr>
              <w:fldChar w:fldCharType="begin"/>
            </w:r>
            <w:r w:rsidR="00333D1D" w:rsidRPr="00D37DA0">
              <w:rPr>
                <w:noProof/>
                <w:webHidden/>
              </w:rPr>
              <w:instrText xml:space="preserve"> PAGEREF _Toc169369171 \h </w:instrText>
            </w:r>
            <w:r w:rsidR="00333D1D" w:rsidRPr="00D37DA0">
              <w:rPr>
                <w:noProof/>
                <w:webHidden/>
              </w:rPr>
            </w:r>
            <w:r w:rsidR="00333D1D" w:rsidRPr="00D37DA0">
              <w:rPr>
                <w:noProof/>
                <w:webHidden/>
              </w:rPr>
              <w:fldChar w:fldCharType="separate"/>
            </w:r>
            <w:r w:rsidR="00333D1D" w:rsidRPr="00D37DA0">
              <w:rPr>
                <w:noProof/>
                <w:webHidden/>
              </w:rPr>
              <w:t>3</w:t>
            </w:r>
            <w:r w:rsidR="00333D1D" w:rsidRPr="00D37DA0">
              <w:rPr>
                <w:noProof/>
                <w:webHidden/>
              </w:rPr>
              <w:fldChar w:fldCharType="end"/>
            </w:r>
          </w:hyperlink>
        </w:p>
        <w:p w14:paraId="2ACAD633" w14:textId="5C8FBB85" w:rsidR="00333D1D" w:rsidRPr="00D37DA0" w:rsidRDefault="00000000">
          <w:pPr>
            <w:pStyle w:val="TOC2"/>
            <w:tabs>
              <w:tab w:val="left" w:pos="660"/>
              <w:tab w:val="right" w:leader="dot" w:pos="9016"/>
            </w:tabs>
            <w:rPr>
              <w:rFonts w:asciiTheme="minorHAnsi" w:eastAsiaTheme="minorEastAsia" w:hAnsiTheme="minorHAnsi"/>
              <w:noProof/>
              <w:sz w:val="22"/>
              <w:lang w:val="en-IN" w:eastAsia="en-IN"/>
            </w:rPr>
          </w:pPr>
          <w:hyperlink w:anchor="_Toc169369172" w:history="1">
            <w:r w:rsidR="00333D1D" w:rsidRPr="00D37DA0">
              <w:rPr>
                <w:rStyle w:val="Hyperlink"/>
                <w:noProof/>
                <w:color w:val="auto"/>
              </w:rPr>
              <w:t>3.</w:t>
            </w:r>
            <w:r w:rsidR="00333D1D" w:rsidRPr="00D37DA0">
              <w:rPr>
                <w:rFonts w:asciiTheme="minorHAnsi" w:eastAsiaTheme="minorEastAsia" w:hAnsiTheme="minorHAnsi"/>
                <w:noProof/>
                <w:sz w:val="22"/>
                <w:lang w:val="en-IN" w:eastAsia="en-IN"/>
              </w:rPr>
              <w:tab/>
            </w:r>
            <w:r w:rsidR="00333D1D" w:rsidRPr="00D37DA0">
              <w:rPr>
                <w:rStyle w:val="Hyperlink"/>
                <w:noProof/>
                <w:color w:val="auto"/>
              </w:rPr>
              <w:t>When might a statutory duty to act be present?</w:t>
            </w:r>
            <w:r w:rsidR="00333D1D" w:rsidRPr="00D37DA0">
              <w:rPr>
                <w:noProof/>
                <w:webHidden/>
              </w:rPr>
              <w:tab/>
            </w:r>
            <w:r w:rsidR="00333D1D" w:rsidRPr="00D37DA0">
              <w:rPr>
                <w:noProof/>
                <w:webHidden/>
              </w:rPr>
              <w:fldChar w:fldCharType="begin"/>
            </w:r>
            <w:r w:rsidR="00333D1D" w:rsidRPr="00D37DA0">
              <w:rPr>
                <w:noProof/>
                <w:webHidden/>
              </w:rPr>
              <w:instrText xml:space="preserve"> PAGEREF _Toc169369172 \h </w:instrText>
            </w:r>
            <w:r w:rsidR="00333D1D" w:rsidRPr="00D37DA0">
              <w:rPr>
                <w:noProof/>
                <w:webHidden/>
              </w:rPr>
            </w:r>
            <w:r w:rsidR="00333D1D" w:rsidRPr="00D37DA0">
              <w:rPr>
                <w:noProof/>
                <w:webHidden/>
              </w:rPr>
              <w:fldChar w:fldCharType="separate"/>
            </w:r>
            <w:r w:rsidR="00333D1D" w:rsidRPr="00D37DA0">
              <w:rPr>
                <w:noProof/>
                <w:webHidden/>
              </w:rPr>
              <w:t>4</w:t>
            </w:r>
            <w:r w:rsidR="00333D1D" w:rsidRPr="00D37DA0">
              <w:rPr>
                <w:noProof/>
                <w:webHidden/>
              </w:rPr>
              <w:fldChar w:fldCharType="end"/>
            </w:r>
          </w:hyperlink>
        </w:p>
        <w:p w14:paraId="42883DB7" w14:textId="4BB54633" w:rsidR="00333D1D" w:rsidRPr="00D37DA0" w:rsidRDefault="00000000">
          <w:pPr>
            <w:pStyle w:val="TOC2"/>
            <w:tabs>
              <w:tab w:val="left" w:pos="660"/>
              <w:tab w:val="right" w:leader="dot" w:pos="9016"/>
            </w:tabs>
            <w:rPr>
              <w:rFonts w:asciiTheme="minorHAnsi" w:eastAsiaTheme="minorEastAsia" w:hAnsiTheme="minorHAnsi"/>
              <w:noProof/>
              <w:sz w:val="22"/>
              <w:lang w:val="en-IN" w:eastAsia="en-IN"/>
            </w:rPr>
          </w:pPr>
          <w:hyperlink w:anchor="_Toc169369173" w:history="1">
            <w:r w:rsidR="00333D1D" w:rsidRPr="00D37DA0">
              <w:rPr>
                <w:rStyle w:val="Hyperlink"/>
                <w:noProof/>
                <w:color w:val="auto"/>
              </w:rPr>
              <w:t>4.</w:t>
            </w:r>
            <w:r w:rsidR="00333D1D" w:rsidRPr="00D37DA0">
              <w:rPr>
                <w:rFonts w:asciiTheme="minorHAnsi" w:eastAsiaTheme="minorEastAsia" w:hAnsiTheme="minorHAnsi"/>
                <w:noProof/>
                <w:sz w:val="22"/>
                <w:lang w:val="en-IN" w:eastAsia="en-IN"/>
              </w:rPr>
              <w:tab/>
            </w:r>
            <w:r w:rsidR="00333D1D" w:rsidRPr="00D37DA0">
              <w:rPr>
                <w:rStyle w:val="Hyperlink"/>
                <w:noProof/>
                <w:color w:val="auto"/>
              </w:rPr>
              <w:t>When might a contractual/ duty based on office be present?</w:t>
            </w:r>
            <w:r w:rsidR="00333D1D" w:rsidRPr="00D37DA0">
              <w:rPr>
                <w:noProof/>
                <w:webHidden/>
              </w:rPr>
              <w:tab/>
            </w:r>
            <w:r w:rsidR="00333D1D" w:rsidRPr="00D37DA0">
              <w:rPr>
                <w:noProof/>
                <w:webHidden/>
              </w:rPr>
              <w:fldChar w:fldCharType="begin"/>
            </w:r>
            <w:r w:rsidR="00333D1D" w:rsidRPr="00D37DA0">
              <w:rPr>
                <w:noProof/>
                <w:webHidden/>
              </w:rPr>
              <w:instrText xml:space="preserve"> PAGEREF _Toc169369173 \h </w:instrText>
            </w:r>
            <w:r w:rsidR="00333D1D" w:rsidRPr="00D37DA0">
              <w:rPr>
                <w:noProof/>
                <w:webHidden/>
              </w:rPr>
            </w:r>
            <w:r w:rsidR="00333D1D" w:rsidRPr="00D37DA0">
              <w:rPr>
                <w:noProof/>
                <w:webHidden/>
              </w:rPr>
              <w:fldChar w:fldCharType="separate"/>
            </w:r>
            <w:r w:rsidR="00333D1D" w:rsidRPr="00D37DA0">
              <w:rPr>
                <w:noProof/>
                <w:webHidden/>
              </w:rPr>
              <w:t>4</w:t>
            </w:r>
            <w:r w:rsidR="00333D1D" w:rsidRPr="00D37DA0">
              <w:rPr>
                <w:noProof/>
                <w:webHidden/>
              </w:rPr>
              <w:fldChar w:fldCharType="end"/>
            </w:r>
          </w:hyperlink>
        </w:p>
        <w:p w14:paraId="7FB4717D" w14:textId="7FE2223E" w:rsidR="00333D1D" w:rsidRPr="00D37DA0" w:rsidRDefault="00000000">
          <w:pPr>
            <w:pStyle w:val="TOC2"/>
            <w:tabs>
              <w:tab w:val="left" w:pos="660"/>
              <w:tab w:val="right" w:leader="dot" w:pos="9016"/>
            </w:tabs>
            <w:rPr>
              <w:rFonts w:asciiTheme="minorHAnsi" w:eastAsiaTheme="minorEastAsia" w:hAnsiTheme="minorHAnsi"/>
              <w:noProof/>
              <w:sz w:val="22"/>
              <w:lang w:val="en-IN" w:eastAsia="en-IN"/>
            </w:rPr>
          </w:pPr>
          <w:hyperlink w:anchor="_Toc169369174" w:history="1">
            <w:r w:rsidR="00333D1D" w:rsidRPr="00D37DA0">
              <w:rPr>
                <w:rStyle w:val="Hyperlink"/>
                <w:noProof/>
                <w:color w:val="auto"/>
              </w:rPr>
              <w:t>5.</w:t>
            </w:r>
            <w:r w:rsidR="00333D1D" w:rsidRPr="00D37DA0">
              <w:rPr>
                <w:rFonts w:asciiTheme="minorHAnsi" w:eastAsiaTheme="minorEastAsia" w:hAnsiTheme="minorHAnsi"/>
                <w:noProof/>
                <w:sz w:val="22"/>
                <w:lang w:val="en-IN" w:eastAsia="en-IN"/>
              </w:rPr>
              <w:tab/>
            </w:r>
            <w:r w:rsidR="00333D1D" w:rsidRPr="00D37DA0">
              <w:rPr>
                <w:rStyle w:val="Hyperlink"/>
                <w:noProof/>
                <w:color w:val="auto"/>
              </w:rPr>
              <w:t>When might a duty to act arise from assumed responsibility?</w:t>
            </w:r>
            <w:r w:rsidR="00333D1D" w:rsidRPr="00D37DA0">
              <w:rPr>
                <w:noProof/>
                <w:webHidden/>
              </w:rPr>
              <w:tab/>
            </w:r>
            <w:r w:rsidR="00333D1D" w:rsidRPr="00D37DA0">
              <w:rPr>
                <w:noProof/>
                <w:webHidden/>
              </w:rPr>
              <w:fldChar w:fldCharType="begin"/>
            </w:r>
            <w:r w:rsidR="00333D1D" w:rsidRPr="00D37DA0">
              <w:rPr>
                <w:noProof/>
                <w:webHidden/>
              </w:rPr>
              <w:instrText xml:space="preserve"> PAGEREF _Toc169369174 \h </w:instrText>
            </w:r>
            <w:r w:rsidR="00333D1D" w:rsidRPr="00D37DA0">
              <w:rPr>
                <w:noProof/>
                <w:webHidden/>
              </w:rPr>
            </w:r>
            <w:r w:rsidR="00333D1D" w:rsidRPr="00D37DA0">
              <w:rPr>
                <w:noProof/>
                <w:webHidden/>
              </w:rPr>
              <w:fldChar w:fldCharType="separate"/>
            </w:r>
            <w:r w:rsidR="00333D1D" w:rsidRPr="00D37DA0">
              <w:rPr>
                <w:noProof/>
                <w:webHidden/>
              </w:rPr>
              <w:t>5</w:t>
            </w:r>
            <w:r w:rsidR="00333D1D" w:rsidRPr="00D37DA0">
              <w:rPr>
                <w:noProof/>
                <w:webHidden/>
              </w:rPr>
              <w:fldChar w:fldCharType="end"/>
            </w:r>
          </w:hyperlink>
        </w:p>
        <w:p w14:paraId="4872CAB6" w14:textId="0C9D9971" w:rsidR="00333D1D" w:rsidRPr="00D37DA0" w:rsidRDefault="00000000">
          <w:pPr>
            <w:pStyle w:val="TOC1"/>
            <w:tabs>
              <w:tab w:val="right" w:leader="dot" w:pos="9016"/>
            </w:tabs>
            <w:rPr>
              <w:rFonts w:asciiTheme="minorHAnsi" w:eastAsiaTheme="minorEastAsia" w:hAnsiTheme="minorHAnsi"/>
              <w:noProof/>
              <w:sz w:val="22"/>
              <w:lang w:val="en-IN" w:eastAsia="en-IN"/>
            </w:rPr>
          </w:pPr>
          <w:hyperlink w:anchor="_Toc169369175" w:history="1">
            <w:r w:rsidR="00333D1D" w:rsidRPr="00D37DA0">
              <w:rPr>
                <w:rStyle w:val="Hyperlink"/>
                <w:noProof/>
                <w:color w:val="auto"/>
              </w:rPr>
              <w:t>Task 2</w:t>
            </w:r>
            <w:r w:rsidR="00333D1D" w:rsidRPr="00D37DA0">
              <w:rPr>
                <w:noProof/>
                <w:webHidden/>
              </w:rPr>
              <w:tab/>
            </w:r>
            <w:r w:rsidR="00333D1D" w:rsidRPr="00D37DA0">
              <w:rPr>
                <w:noProof/>
                <w:webHidden/>
              </w:rPr>
              <w:fldChar w:fldCharType="begin"/>
            </w:r>
            <w:r w:rsidR="00333D1D" w:rsidRPr="00D37DA0">
              <w:rPr>
                <w:noProof/>
                <w:webHidden/>
              </w:rPr>
              <w:instrText xml:space="preserve"> PAGEREF _Toc169369175 \h </w:instrText>
            </w:r>
            <w:r w:rsidR="00333D1D" w:rsidRPr="00D37DA0">
              <w:rPr>
                <w:noProof/>
                <w:webHidden/>
              </w:rPr>
            </w:r>
            <w:r w:rsidR="00333D1D" w:rsidRPr="00D37DA0">
              <w:rPr>
                <w:noProof/>
                <w:webHidden/>
              </w:rPr>
              <w:fldChar w:fldCharType="separate"/>
            </w:r>
            <w:r w:rsidR="00333D1D" w:rsidRPr="00D37DA0">
              <w:rPr>
                <w:noProof/>
                <w:webHidden/>
              </w:rPr>
              <w:t>6</w:t>
            </w:r>
            <w:r w:rsidR="00333D1D" w:rsidRPr="00D37DA0">
              <w:rPr>
                <w:noProof/>
                <w:webHidden/>
              </w:rPr>
              <w:fldChar w:fldCharType="end"/>
            </w:r>
          </w:hyperlink>
        </w:p>
        <w:p w14:paraId="76D77D28" w14:textId="0B3C5322" w:rsidR="00333D1D" w:rsidRPr="00D37DA0" w:rsidRDefault="00000000">
          <w:pPr>
            <w:pStyle w:val="TOC2"/>
            <w:tabs>
              <w:tab w:val="left" w:pos="660"/>
              <w:tab w:val="right" w:leader="dot" w:pos="9016"/>
            </w:tabs>
            <w:rPr>
              <w:rFonts w:asciiTheme="minorHAnsi" w:eastAsiaTheme="minorEastAsia" w:hAnsiTheme="minorHAnsi"/>
              <w:noProof/>
              <w:sz w:val="22"/>
              <w:lang w:val="en-IN" w:eastAsia="en-IN"/>
            </w:rPr>
          </w:pPr>
          <w:hyperlink w:anchor="_Toc169369176" w:history="1">
            <w:r w:rsidR="00333D1D" w:rsidRPr="00D37DA0">
              <w:rPr>
                <w:rStyle w:val="Hyperlink"/>
                <w:noProof/>
                <w:color w:val="auto"/>
              </w:rPr>
              <w:t>6.</w:t>
            </w:r>
            <w:r w:rsidR="00333D1D" w:rsidRPr="00D37DA0">
              <w:rPr>
                <w:rFonts w:asciiTheme="minorHAnsi" w:eastAsiaTheme="minorEastAsia" w:hAnsiTheme="minorHAnsi"/>
                <w:noProof/>
                <w:sz w:val="22"/>
                <w:lang w:val="en-IN" w:eastAsia="en-IN"/>
              </w:rPr>
              <w:tab/>
            </w:r>
            <w:r w:rsidR="00333D1D" w:rsidRPr="00D37DA0">
              <w:rPr>
                <w:rStyle w:val="Hyperlink"/>
                <w:noProof/>
                <w:color w:val="auto"/>
              </w:rPr>
              <w:t>Should there be a general duty to act within criminal law of England and Wales. What are the arguments for and against this?</w:t>
            </w:r>
            <w:r w:rsidR="00333D1D" w:rsidRPr="00D37DA0">
              <w:rPr>
                <w:noProof/>
                <w:webHidden/>
              </w:rPr>
              <w:tab/>
            </w:r>
            <w:r w:rsidR="00333D1D" w:rsidRPr="00D37DA0">
              <w:rPr>
                <w:noProof/>
                <w:webHidden/>
              </w:rPr>
              <w:fldChar w:fldCharType="begin"/>
            </w:r>
            <w:r w:rsidR="00333D1D" w:rsidRPr="00D37DA0">
              <w:rPr>
                <w:noProof/>
                <w:webHidden/>
              </w:rPr>
              <w:instrText xml:space="preserve"> PAGEREF _Toc169369176 \h </w:instrText>
            </w:r>
            <w:r w:rsidR="00333D1D" w:rsidRPr="00D37DA0">
              <w:rPr>
                <w:noProof/>
                <w:webHidden/>
              </w:rPr>
            </w:r>
            <w:r w:rsidR="00333D1D" w:rsidRPr="00D37DA0">
              <w:rPr>
                <w:noProof/>
                <w:webHidden/>
              </w:rPr>
              <w:fldChar w:fldCharType="separate"/>
            </w:r>
            <w:r w:rsidR="00333D1D" w:rsidRPr="00D37DA0">
              <w:rPr>
                <w:noProof/>
                <w:webHidden/>
              </w:rPr>
              <w:t>6</w:t>
            </w:r>
            <w:r w:rsidR="00333D1D" w:rsidRPr="00D37DA0">
              <w:rPr>
                <w:noProof/>
                <w:webHidden/>
              </w:rPr>
              <w:fldChar w:fldCharType="end"/>
            </w:r>
          </w:hyperlink>
        </w:p>
        <w:p w14:paraId="43E96DF4" w14:textId="2B43978A" w:rsidR="00333D1D" w:rsidRPr="00D37DA0" w:rsidRDefault="00000000">
          <w:pPr>
            <w:pStyle w:val="TOC1"/>
            <w:tabs>
              <w:tab w:val="right" w:leader="dot" w:pos="9016"/>
            </w:tabs>
            <w:rPr>
              <w:rFonts w:asciiTheme="minorHAnsi" w:eastAsiaTheme="minorEastAsia" w:hAnsiTheme="minorHAnsi"/>
              <w:noProof/>
              <w:sz w:val="22"/>
              <w:lang w:val="en-IN" w:eastAsia="en-IN"/>
            </w:rPr>
          </w:pPr>
          <w:hyperlink w:anchor="_Toc169369177" w:history="1">
            <w:r w:rsidR="00333D1D" w:rsidRPr="00D37DA0">
              <w:rPr>
                <w:rStyle w:val="Hyperlink"/>
                <w:noProof/>
                <w:color w:val="auto"/>
              </w:rPr>
              <w:t>Reference:</w:t>
            </w:r>
            <w:r w:rsidR="00333D1D" w:rsidRPr="00D37DA0">
              <w:rPr>
                <w:noProof/>
                <w:webHidden/>
              </w:rPr>
              <w:tab/>
            </w:r>
            <w:r w:rsidR="00333D1D" w:rsidRPr="00D37DA0">
              <w:rPr>
                <w:noProof/>
                <w:webHidden/>
              </w:rPr>
              <w:fldChar w:fldCharType="begin"/>
            </w:r>
            <w:r w:rsidR="00333D1D" w:rsidRPr="00D37DA0">
              <w:rPr>
                <w:noProof/>
                <w:webHidden/>
              </w:rPr>
              <w:instrText xml:space="preserve"> PAGEREF _Toc169369177 \h </w:instrText>
            </w:r>
            <w:r w:rsidR="00333D1D" w:rsidRPr="00D37DA0">
              <w:rPr>
                <w:noProof/>
                <w:webHidden/>
              </w:rPr>
            </w:r>
            <w:r w:rsidR="00333D1D" w:rsidRPr="00D37DA0">
              <w:rPr>
                <w:noProof/>
                <w:webHidden/>
              </w:rPr>
              <w:fldChar w:fldCharType="separate"/>
            </w:r>
            <w:r w:rsidR="00333D1D" w:rsidRPr="00D37DA0">
              <w:rPr>
                <w:noProof/>
                <w:webHidden/>
              </w:rPr>
              <w:t>8</w:t>
            </w:r>
            <w:r w:rsidR="00333D1D" w:rsidRPr="00D37DA0">
              <w:rPr>
                <w:noProof/>
                <w:webHidden/>
              </w:rPr>
              <w:fldChar w:fldCharType="end"/>
            </w:r>
          </w:hyperlink>
        </w:p>
        <w:p w14:paraId="6D2BFE62" w14:textId="483EC156" w:rsidR="00333D1D" w:rsidRPr="00D37DA0" w:rsidRDefault="00000000">
          <w:pPr>
            <w:pStyle w:val="TOC1"/>
            <w:tabs>
              <w:tab w:val="right" w:leader="dot" w:pos="9016"/>
            </w:tabs>
            <w:rPr>
              <w:rFonts w:asciiTheme="minorHAnsi" w:eastAsiaTheme="minorEastAsia" w:hAnsiTheme="minorHAnsi"/>
              <w:noProof/>
              <w:sz w:val="22"/>
              <w:lang w:val="en-IN" w:eastAsia="en-IN"/>
            </w:rPr>
          </w:pPr>
          <w:hyperlink w:anchor="_Toc169369178" w:history="1">
            <w:r w:rsidR="00333D1D" w:rsidRPr="00D37DA0">
              <w:rPr>
                <w:rStyle w:val="Hyperlink"/>
                <w:noProof/>
                <w:color w:val="auto"/>
                <w:shd w:val="clear" w:color="auto" w:fill="FFFFFF"/>
              </w:rPr>
              <w:t>Case laws:</w:t>
            </w:r>
            <w:r w:rsidR="00333D1D" w:rsidRPr="00D37DA0">
              <w:rPr>
                <w:noProof/>
                <w:webHidden/>
              </w:rPr>
              <w:tab/>
            </w:r>
            <w:r w:rsidR="00333D1D" w:rsidRPr="00D37DA0">
              <w:rPr>
                <w:noProof/>
                <w:webHidden/>
              </w:rPr>
              <w:fldChar w:fldCharType="begin"/>
            </w:r>
            <w:r w:rsidR="00333D1D" w:rsidRPr="00D37DA0">
              <w:rPr>
                <w:noProof/>
                <w:webHidden/>
              </w:rPr>
              <w:instrText xml:space="preserve"> PAGEREF _Toc169369178 \h </w:instrText>
            </w:r>
            <w:r w:rsidR="00333D1D" w:rsidRPr="00D37DA0">
              <w:rPr>
                <w:noProof/>
                <w:webHidden/>
              </w:rPr>
            </w:r>
            <w:r w:rsidR="00333D1D" w:rsidRPr="00D37DA0">
              <w:rPr>
                <w:noProof/>
                <w:webHidden/>
              </w:rPr>
              <w:fldChar w:fldCharType="separate"/>
            </w:r>
            <w:r w:rsidR="00333D1D" w:rsidRPr="00D37DA0">
              <w:rPr>
                <w:noProof/>
                <w:webHidden/>
              </w:rPr>
              <w:t>9</w:t>
            </w:r>
            <w:r w:rsidR="00333D1D" w:rsidRPr="00D37DA0">
              <w:rPr>
                <w:noProof/>
                <w:webHidden/>
              </w:rPr>
              <w:fldChar w:fldCharType="end"/>
            </w:r>
          </w:hyperlink>
        </w:p>
        <w:p w14:paraId="09C7CD1D" w14:textId="4BCAE026" w:rsidR="001C552F" w:rsidRPr="00D37DA0" w:rsidRDefault="001C552F">
          <w:r w:rsidRPr="00D37DA0">
            <w:rPr>
              <w:b/>
              <w:bCs/>
              <w:noProof/>
            </w:rPr>
            <w:fldChar w:fldCharType="end"/>
          </w:r>
        </w:p>
      </w:sdtContent>
    </w:sdt>
    <w:p w14:paraId="56A45EB9" w14:textId="77777777" w:rsidR="001C552F" w:rsidRPr="00D37DA0" w:rsidRDefault="001C552F">
      <w:pPr>
        <w:spacing w:line="259" w:lineRule="auto"/>
        <w:jc w:val="left"/>
        <w:rPr>
          <w:rFonts w:asciiTheme="majorHAnsi" w:eastAsiaTheme="majorEastAsia" w:hAnsiTheme="majorHAnsi" w:cstheme="majorBidi"/>
          <w:sz w:val="32"/>
          <w:szCs w:val="32"/>
        </w:rPr>
      </w:pPr>
      <w:r w:rsidRPr="00D37DA0">
        <w:br w:type="page"/>
      </w:r>
    </w:p>
    <w:p w14:paraId="26195072" w14:textId="7B6B18D3" w:rsidR="002708B7" w:rsidRPr="00D37DA0" w:rsidRDefault="007025C9" w:rsidP="007F2889">
      <w:pPr>
        <w:pStyle w:val="Heading1"/>
        <w:spacing w:line="480" w:lineRule="auto"/>
        <w:rPr>
          <w:color w:val="auto"/>
        </w:rPr>
      </w:pPr>
      <w:bookmarkStart w:id="0" w:name="_Toc169369169"/>
      <w:r w:rsidRPr="00D37DA0">
        <w:rPr>
          <w:color w:val="auto"/>
        </w:rPr>
        <w:lastRenderedPageBreak/>
        <w:t>Task 1</w:t>
      </w:r>
      <w:bookmarkEnd w:id="0"/>
    </w:p>
    <w:p w14:paraId="7F3DA23E" w14:textId="77777777" w:rsidR="007025C9" w:rsidRPr="00D37DA0" w:rsidRDefault="007025C9" w:rsidP="007F2889">
      <w:pPr>
        <w:pStyle w:val="Heading2"/>
        <w:spacing w:line="480" w:lineRule="auto"/>
        <w:rPr>
          <w:color w:val="auto"/>
        </w:rPr>
      </w:pPr>
      <w:bookmarkStart w:id="1" w:name="_Toc169369170"/>
      <w:r w:rsidRPr="00D37DA0">
        <w:rPr>
          <w:color w:val="auto"/>
        </w:rPr>
        <w:t>1.</w:t>
      </w:r>
      <w:r w:rsidRPr="00D37DA0">
        <w:rPr>
          <w:color w:val="auto"/>
        </w:rPr>
        <w:tab/>
        <w:t>Is there a general duty to act in criminal law?</w:t>
      </w:r>
      <w:bookmarkEnd w:id="1"/>
    </w:p>
    <w:p w14:paraId="740A411E" w14:textId="57715A26" w:rsidR="00DC4F0E" w:rsidRPr="00D37DA0" w:rsidRDefault="008A150D" w:rsidP="00DC4F0E">
      <w:pPr>
        <w:spacing w:line="480" w:lineRule="auto"/>
        <w:rPr>
          <w:rFonts w:ascii="Arial" w:hAnsi="Arial" w:cs="Arial"/>
        </w:rPr>
      </w:pPr>
      <w:r w:rsidRPr="00D37DA0">
        <w:rPr>
          <w:rFonts w:ascii="Arial" w:hAnsi="Arial" w:cs="Arial"/>
        </w:rPr>
        <w:t xml:space="preserve">According to the </w:t>
      </w:r>
      <w:r w:rsidR="005B7516">
        <w:rPr>
          <w:rFonts w:ascii="Arial" w:hAnsi="Arial" w:cs="Arial"/>
        </w:rPr>
        <w:t>criminal law's general principles, there is</w:t>
      </w:r>
      <w:r w:rsidRPr="00D37DA0">
        <w:rPr>
          <w:rFonts w:ascii="Arial" w:hAnsi="Arial" w:cs="Arial"/>
        </w:rPr>
        <w:t xml:space="preserve"> no duty to act. So, the individuals are liable to fall actions until and unless a particular legal obligation is present. Legal obligations </w:t>
      </w:r>
      <w:r w:rsidR="005B7516">
        <w:rPr>
          <w:rFonts w:ascii="Arial" w:hAnsi="Arial" w:cs="Arial"/>
        </w:rPr>
        <w:t xml:space="preserve">take place in cases of contractual duties, statutory duties, voluntary assumption of care, special relationships, and the </w:t>
      </w:r>
      <w:r w:rsidRPr="00D37DA0">
        <w:rPr>
          <w:rFonts w:ascii="Arial" w:hAnsi="Arial" w:cs="Arial"/>
        </w:rPr>
        <w:t>creation of dangerous situations</w:t>
      </w:r>
      <w:r w:rsidR="00DC4F0E" w:rsidRPr="00D37DA0">
        <w:rPr>
          <w:rFonts w:ascii="Arial" w:hAnsi="Arial" w:cs="Arial"/>
        </w:rPr>
        <w:t xml:space="preserve"> (</w:t>
      </w:r>
      <w:r w:rsidR="0046671A" w:rsidRPr="00D37DA0">
        <w:rPr>
          <w:rFonts w:ascii="Arial" w:hAnsi="Arial" w:cs="Arial"/>
          <w:szCs w:val="24"/>
          <w:shd w:val="clear" w:color="auto" w:fill="FFFFFF"/>
        </w:rPr>
        <w:t>Littlejohn, 2020</w:t>
      </w:r>
      <w:r w:rsidR="00DC4F0E" w:rsidRPr="00D37DA0">
        <w:rPr>
          <w:rFonts w:ascii="Arial" w:hAnsi="Arial" w:cs="Arial"/>
        </w:rPr>
        <w:t>)</w:t>
      </w:r>
      <w:r w:rsidRPr="00D37DA0">
        <w:rPr>
          <w:rFonts w:ascii="Arial" w:hAnsi="Arial" w:cs="Arial"/>
        </w:rPr>
        <w:t>.</w:t>
      </w:r>
      <w:r w:rsidR="00DC4F0E" w:rsidRPr="00D37DA0">
        <w:rPr>
          <w:rFonts w:ascii="Arial" w:hAnsi="Arial" w:cs="Arial"/>
        </w:rPr>
        <w:t xml:space="preserve"> A breach of contractual duty arose when</w:t>
      </w:r>
      <w:r w:rsidR="005B7516">
        <w:rPr>
          <w:rFonts w:ascii="Arial" w:hAnsi="Arial" w:cs="Arial"/>
        </w:rPr>
        <w:t xml:space="preserve">, in the case of </w:t>
      </w:r>
      <w:r w:rsidR="005B7516" w:rsidRPr="005B7516">
        <w:rPr>
          <w:rFonts w:ascii="Arial" w:hAnsi="Arial" w:cs="Arial"/>
          <w:i/>
          <w:iCs/>
        </w:rPr>
        <w:t xml:space="preserve">R v </w:t>
      </w:r>
      <w:proofErr w:type="spellStart"/>
      <w:r w:rsidR="005B7516" w:rsidRPr="005B7516">
        <w:rPr>
          <w:rFonts w:ascii="Arial" w:hAnsi="Arial" w:cs="Arial"/>
          <w:i/>
          <w:iCs/>
        </w:rPr>
        <w:t>Pittwood</w:t>
      </w:r>
      <w:proofErr w:type="spellEnd"/>
      <w:r w:rsidR="005B7516" w:rsidRPr="005B7516">
        <w:rPr>
          <w:rFonts w:ascii="Arial" w:hAnsi="Arial" w:cs="Arial"/>
          <w:i/>
          <w:iCs/>
        </w:rPr>
        <w:t xml:space="preserve"> (1902) 19 TLR 37,</w:t>
      </w:r>
      <w:r w:rsidR="005B7516">
        <w:rPr>
          <w:rFonts w:ascii="Arial" w:hAnsi="Arial" w:cs="Arial"/>
        </w:rPr>
        <w:t xml:space="preserve"> the railway keeper in the crossing failed to close the gate,</w:t>
      </w:r>
      <w:r w:rsidR="00DC4F0E" w:rsidRPr="00D37DA0">
        <w:rPr>
          <w:rFonts w:ascii="Arial" w:hAnsi="Arial" w:cs="Arial"/>
        </w:rPr>
        <w:t xml:space="preserve"> generating a situation of liability towards any accident that </w:t>
      </w:r>
      <w:r w:rsidR="005B7516">
        <w:rPr>
          <w:rFonts w:ascii="Arial" w:hAnsi="Arial" w:cs="Arial"/>
        </w:rPr>
        <w:t>took</w:t>
      </w:r>
      <w:r w:rsidR="00DC4F0E" w:rsidRPr="00D37DA0">
        <w:rPr>
          <w:rFonts w:ascii="Arial" w:hAnsi="Arial" w:cs="Arial"/>
        </w:rPr>
        <w:t xml:space="preserve"> place.</w:t>
      </w:r>
      <w:r w:rsidRPr="00D37DA0">
        <w:rPr>
          <w:rFonts w:ascii="Arial" w:hAnsi="Arial" w:cs="Arial"/>
        </w:rPr>
        <w:t xml:space="preserve"> </w:t>
      </w:r>
      <w:r w:rsidR="005B7516">
        <w:rPr>
          <w:rFonts w:ascii="Arial" w:hAnsi="Arial" w:cs="Arial"/>
        </w:rPr>
        <w:t xml:space="preserve">The special relationship is the duty that evolves from a </w:t>
      </w:r>
      <w:r w:rsidR="00DC4F0E" w:rsidRPr="00D37DA0">
        <w:rPr>
          <w:rFonts w:ascii="Arial" w:hAnsi="Arial" w:cs="Arial"/>
        </w:rPr>
        <w:t xml:space="preserve">close relationship. However, this relationship is only extended to parents and their children. </w:t>
      </w:r>
      <w:r w:rsidR="005B7516">
        <w:rPr>
          <w:rFonts w:ascii="Arial" w:hAnsi="Arial" w:cs="Arial"/>
        </w:rPr>
        <w:t>The voluntary assumption of responsibility takes place when one takes the initiative to take responsibility for others who are not able to take self–care</w:t>
      </w:r>
      <w:r w:rsidR="00DC4F0E" w:rsidRPr="00D37DA0">
        <w:rPr>
          <w:rFonts w:ascii="Arial" w:hAnsi="Arial" w:cs="Arial"/>
        </w:rPr>
        <w:t xml:space="preserve"> due to illness or age. It is evident from the case law of </w:t>
      </w:r>
      <w:r w:rsidR="00DC4F0E" w:rsidRPr="00D37DA0">
        <w:rPr>
          <w:rFonts w:ascii="Arial" w:hAnsi="Arial" w:cs="Arial"/>
          <w:i/>
          <w:iCs/>
        </w:rPr>
        <w:t>R v Stone and Dobinson [1977] QB 354</w:t>
      </w:r>
      <w:r w:rsidR="00DC4F0E" w:rsidRPr="00D37DA0">
        <w:rPr>
          <w:rFonts w:ascii="Arial" w:hAnsi="Arial" w:cs="Arial"/>
        </w:rPr>
        <w:t xml:space="preserve">. </w:t>
      </w:r>
      <w:r w:rsidR="005B7516">
        <w:rPr>
          <w:rFonts w:ascii="Arial" w:hAnsi="Arial" w:cs="Arial"/>
        </w:rPr>
        <w:t xml:space="preserve">The creation of a </w:t>
      </w:r>
      <w:r w:rsidR="00DC4F0E" w:rsidRPr="00D37DA0">
        <w:rPr>
          <w:rFonts w:ascii="Arial" w:hAnsi="Arial" w:cs="Arial"/>
        </w:rPr>
        <w:t xml:space="preserve">dangerous situation takes place when one is inadvertently evolving a dangerous circumstance. Here, the individual has the duty to rectify the situation. </w:t>
      </w:r>
    </w:p>
    <w:p w14:paraId="0AF13991" w14:textId="48710912" w:rsidR="008A150D" w:rsidRPr="00D37DA0" w:rsidRDefault="008A150D" w:rsidP="007F2889">
      <w:pPr>
        <w:spacing w:line="480" w:lineRule="auto"/>
        <w:rPr>
          <w:rFonts w:ascii="Arial" w:hAnsi="Arial" w:cs="Arial"/>
        </w:rPr>
      </w:pPr>
    </w:p>
    <w:p w14:paraId="7A862193" w14:textId="77777777" w:rsidR="007025C9" w:rsidRPr="00D37DA0" w:rsidRDefault="007025C9" w:rsidP="007F2889">
      <w:pPr>
        <w:pStyle w:val="Heading2"/>
        <w:spacing w:line="480" w:lineRule="auto"/>
        <w:rPr>
          <w:color w:val="auto"/>
        </w:rPr>
      </w:pPr>
      <w:bookmarkStart w:id="2" w:name="_Toc169369171"/>
      <w:r w:rsidRPr="00D37DA0">
        <w:rPr>
          <w:color w:val="auto"/>
        </w:rPr>
        <w:t>2.</w:t>
      </w:r>
      <w:r w:rsidRPr="00D37DA0">
        <w:rPr>
          <w:color w:val="auto"/>
        </w:rPr>
        <w:tab/>
        <w:t>What are the requirements for a crime to be committed by omission?</w:t>
      </w:r>
      <w:bookmarkEnd w:id="2"/>
    </w:p>
    <w:p w14:paraId="43660123" w14:textId="36F12152" w:rsidR="00201573" w:rsidRPr="00D37DA0" w:rsidRDefault="00201573" w:rsidP="007F2889">
      <w:pPr>
        <w:spacing w:line="480" w:lineRule="auto"/>
        <w:rPr>
          <w:rFonts w:ascii="Arial" w:hAnsi="Arial" w:cs="Arial"/>
        </w:rPr>
      </w:pPr>
      <w:r w:rsidRPr="00D37DA0">
        <w:rPr>
          <w:rFonts w:ascii="Arial" w:hAnsi="Arial" w:cs="Arial"/>
        </w:rPr>
        <w:t xml:space="preserve">The following requirements need to be met for a crime to </w:t>
      </w:r>
      <w:r w:rsidR="005B7516">
        <w:rPr>
          <w:rFonts w:ascii="Arial" w:hAnsi="Arial" w:cs="Arial"/>
        </w:rPr>
        <w:t>be</w:t>
      </w:r>
      <w:r w:rsidRPr="00D37DA0">
        <w:rPr>
          <w:rFonts w:ascii="Arial" w:hAnsi="Arial" w:cs="Arial"/>
        </w:rPr>
        <w:t xml:space="preserve"> committed by omission. At first, there must be a duty to act that arose from a contract, a statute, or a special relationship, and voluntary assumption of care. Secondly, when one has failed to meet </w:t>
      </w:r>
      <w:r w:rsidR="001A0B31" w:rsidRPr="00D37DA0">
        <w:rPr>
          <w:rFonts w:ascii="Arial" w:hAnsi="Arial" w:cs="Arial"/>
        </w:rPr>
        <w:t>one’s</w:t>
      </w:r>
      <w:r w:rsidRPr="00D37DA0">
        <w:rPr>
          <w:rFonts w:ascii="Arial" w:hAnsi="Arial" w:cs="Arial"/>
        </w:rPr>
        <w:t xml:space="preserve"> duty and has resulted </w:t>
      </w:r>
      <w:r w:rsidR="005B7516">
        <w:rPr>
          <w:rFonts w:ascii="Arial" w:hAnsi="Arial" w:cs="Arial"/>
        </w:rPr>
        <w:t>in legally identified harm,</w:t>
      </w:r>
      <w:r w:rsidRPr="00D37DA0">
        <w:rPr>
          <w:rFonts w:ascii="Arial" w:hAnsi="Arial" w:cs="Arial"/>
        </w:rPr>
        <w:t xml:space="preserve"> injury, or death. Next, there must be </w:t>
      </w:r>
      <w:r w:rsidR="005B7516">
        <w:rPr>
          <w:rFonts w:ascii="Arial" w:hAnsi="Arial" w:cs="Arial"/>
        </w:rPr>
        <w:t>a connection between</w:t>
      </w:r>
      <w:r w:rsidRPr="00D37DA0">
        <w:rPr>
          <w:rFonts w:ascii="Arial" w:hAnsi="Arial" w:cs="Arial"/>
        </w:rPr>
        <w:t xml:space="preserve"> harm that is caused and omission</w:t>
      </w:r>
      <w:r w:rsidR="001A0B31" w:rsidRPr="00D37DA0">
        <w:rPr>
          <w:rFonts w:ascii="Arial" w:hAnsi="Arial" w:cs="Arial"/>
        </w:rPr>
        <w:t xml:space="preserve"> (</w:t>
      </w:r>
      <w:r w:rsidR="001A0B31" w:rsidRPr="00D37DA0">
        <w:rPr>
          <w:rFonts w:ascii="Arial" w:hAnsi="Arial" w:cs="Arial"/>
          <w:szCs w:val="24"/>
          <w:shd w:val="clear" w:color="auto" w:fill="FFFFFF"/>
        </w:rPr>
        <w:t>Campbell, 2018</w:t>
      </w:r>
      <w:r w:rsidR="001A0B31" w:rsidRPr="00D37DA0">
        <w:rPr>
          <w:rFonts w:ascii="Arial" w:hAnsi="Arial" w:cs="Arial"/>
        </w:rPr>
        <w:t>)</w:t>
      </w:r>
      <w:r w:rsidRPr="00D37DA0">
        <w:rPr>
          <w:rFonts w:ascii="Arial" w:hAnsi="Arial" w:cs="Arial"/>
        </w:rPr>
        <w:t xml:space="preserve">. </w:t>
      </w:r>
      <w:r w:rsidR="00680585" w:rsidRPr="00D37DA0">
        <w:rPr>
          <w:rFonts w:ascii="Arial" w:hAnsi="Arial" w:cs="Arial"/>
        </w:rPr>
        <w:t xml:space="preserve">For </w:t>
      </w:r>
      <w:r w:rsidR="00680585" w:rsidRPr="00D37DA0">
        <w:rPr>
          <w:rFonts w:ascii="Arial" w:hAnsi="Arial" w:cs="Arial"/>
        </w:rPr>
        <w:lastRenderedPageBreak/>
        <w:t xml:space="preserve">instance, in </w:t>
      </w:r>
      <w:r w:rsidR="005B7516">
        <w:rPr>
          <w:rFonts w:ascii="Arial" w:hAnsi="Arial" w:cs="Arial"/>
        </w:rPr>
        <w:t xml:space="preserve">the </w:t>
      </w:r>
      <w:r w:rsidR="00680585" w:rsidRPr="00D37DA0">
        <w:rPr>
          <w:rFonts w:ascii="Arial" w:hAnsi="Arial" w:cs="Arial"/>
        </w:rPr>
        <w:t xml:space="preserve">case of </w:t>
      </w:r>
      <w:r w:rsidR="00680585" w:rsidRPr="00D37DA0">
        <w:rPr>
          <w:rFonts w:ascii="Arial" w:hAnsi="Arial" w:cs="Arial"/>
          <w:i/>
          <w:iCs/>
        </w:rPr>
        <w:t xml:space="preserve">R v Stone and Dobinson [1977] QB 354, </w:t>
      </w:r>
      <w:r w:rsidR="00680585" w:rsidRPr="00D37DA0">
        <w:rPr>
          <w:rFonts w:ascii="Arial" w:hAnsi="Arial" w:cs="Arial"/>
        </w:rPr>
        <w:t xml:space="preserve">the defendants were found liable for not conducting voluntarily assumed care for the vulnerable individual and did not </w:t>
      </w:r>
      <w:r w:rsidR="001A0B31" w:rsidRPr="00D37DA0">
        <w:rPr>
          <w:rFonts w:ascii="Arial" w:hAnsi="Arial" w:cs="Arial"/>
        </w:rPr>
        <w:t>provide</w:t>
      </w:r>
      <w:r w:rsidR="00680585" w:rsidRPr="00D37DA0">
        <w:rPr>
          <w:rFonts w:ascii="Arial" w:hAnsi="Arial" w:cs="Arial"/>
        </w:rPr>
        <w:t xml:space="preserve"> proper care that resulted </w:t>
      </w:r>
      <w:r w:rsidR="005B7516">
        <w:rPr>
          <w:rFonts w:ascii="Arial" w:hAnsi="Arial" w:cs="Arial"/>
        </w:rPr>
        <w:t>in</w:t>
      </w:r>
      <w:r w:rsidR="00680585" w:rsidRPr="00D37DA0">
        <w:rPr>
          <w:rFonts w:ascii="Arial" w:hAnsi="Arial" w:cs="Arial"/>
        </w:rPr>
        <w:t xml:space="preserve"> his death. Hence, these requirements </w:t>
      </w:r>
      <w:r w:rsidR="005B7516">
        <w:rPr>
          <w:rFonts w:ascii="Arial" w:hAnsi="Arial" w:cs="Arial"/>
        </w:rPr>
        <w:t>focus on omission that could be criminal in cases where there are established, and clear failure towards duty to act that directly resulted in</w:t>
      </w:r>
      <w:r w:rsidR="00680585" w:rsidRPr="00D37DA0">
        <w:rPr>
          <w:rFonts w:ascii="Arial" w:hAnsi="Arial" w:cs="Arial"/>
        </w:rPr>
        <w:t xml:space="preserve"> harm. </w:t>
      </w:r>
    </w:p>
    <w:p w14:paraId="06C30AC1" w14:textId="77777777" w:rsidR="007025C9" w:rsidRPr="00D37DA0" w:rsidRDefault="007025C9" w:rsidP="007F2889">
      <w:pPr>
        <w:pStyle w:val="Heading2"/>
        <w:spacing w:line="480" w:lineRule="auto"/>
        <w:rPr>
          <w:color w:val="auto"/>
        </w:rPr>
      </w:pPr>
      <w:bookmarkStart w:id="3" w:name="_Toc169369172"/>
      <w:r w:rsidRPr="00D37DA0">
        <w:rPr>
          <w:color w:val="auto"/>
        </w:rPr>
        <w:t>3.</w:t>
      </w:r>
      <w:r w:rsidRPr="00D37DA0">
        <w:rPr>
          <w:color w:val="auto"/>
        </w:rPr>
        <w:tab/>
        <w:t>When might a statutory duty to act be present?</w:t>
      </w:r>
      <w:bookmarkEnd w:id="3"/>
    </w:p>
    <w:p w14:paraId="7B559E63" w14:textId="3E12A7A7" w:rsidR="007025C9" w:rsidRPr="00D37DA0" w:rsidRDefault="001A0B31" w:rsidP="007F2889">
      <w:pPr>
        <w:spacing w:line="480" w:lineRule="auto"/>
        <w:rPr>
          <w:rFonts w:ascii="Arial" w:hAnsi="Arial" w:cs="Arial"/>
        </w:rPr>
      </w:pPr>
      <w:r w:rsidRPr="00D37DA0">
        <w:rPr>
          <w:rFonts w:ascii="Arial" w:hAnsi="Arial" w:cs="Arial"/>
        </w:rPr>
        <w:t xml:space="preserve">Statutory duty to act takes place in legislation especially when it needs one to do particular actions. </w:t>
      </w:r>
      <w:r w:rsidR="00A156A6" w:rsidRPr="00D37DA0">
        <w:rPr>
          <w:rFonts w:ascii="Arial" w:hAnsi="Arial" w:cs="Arial"/>
        </w:rPr>
        <w:t xml:space="preserve">Statutes are structured to protect </w:t>
      </w:r>
      <w:r w:rsidR="005B7516">
        <w:rPr>
          <w:rFonts w:ascii="Arial" w:hAnsi="Arial" w:cs="Arial"/>
        </w:rPr>
        <w:t xml:space="preserve">the interests of the </w:t>
      </w:r>
      <w:r w:rsidR="00A156A6" w:rsidRPr="00D37DA0">
        <w:rPr>
          <w:rFonts w:ascii="Arial" w:hAnsi="Arial" w:cs="Arial"/>
        </w:rPr>
        <w:t xml:space="preserve">public and impose safety norms. For instance, as per the Road Traffic Act 1988, </w:t>
      </w:r>
      <w:r w:rsidR="005B7516">
        <w:rPr>
          <w:rFonts w:ascii="Arial" w:hAnsi="Arial" w:cs="Arial"/>
        </w:rPr>
        <w:t>drivers need to provide breath samples if they are suspected of drinking and driving</w:t>
      </w:r>
      <w:r w:rsidR="00A156A6" w:rsidRPr="00D37DA0">
        <w:rPr>
          <w:rFonts w:ascii="Arial" w:hAnsi="Arial" w:cs="Arial"/>
        </w:rPr>
        <w:t xml:space="preserve">. However, failure to do so is a statutory obligation and could result </w:t>
      </w:r>
      <w:r w:rsidR="005B7516">
        <w:rPr>
          <w:rFonts w:ascii="Arial" w:hAnsi="Arial" w:cs="Arial"/>
        </w:rPr>
        <w:t>in</w:t>
      </w:r>
      <w:r w:rsidR="00A156A6" w:rsidRPr="00D37DA0">
        <w:rPr>
          <w:rFonts w:ascii="Arial" w:hAnsi="Arial" w:cs="Arial"/>
        </w:rPr>
        <w:t xml:space="preserve"> criminal penalties. Also, the Children and Young Persons Act </w:t>
      </w:r>
      <w:r w:rsidR="005B7516">
        <w:rPr>
          <w:rFonts w:ascii="Arial" w:hAnsi="Arial" w:cs="Arial"/>
        </w:rPr>
        <w:t xml:space="preserve">of </w:t>
      </w:r>
      <w:r w:rsidR="00A156A6" w:rsidRPr="00D37DA0">
        <w:rPr>
          <w:rFonts w:ascii="Arial" w:hAnsi="Arial" w:cs="Arial"/>
        </w:rPr>
        <w:t>1933</w:t>
      </w:r>
      <w:r w:rsidR="005B7516">
        <w:rPr>
          <w:rFonts w:ascii="Arial" w:hAnsi="Arial" w:cs="Arial"/>
        </w:rPr>
        <w:t xml:space="preserve"> mandates parents and guardians to provide essential care for their children, and negligence in</w:t>
      </w:r>
      <w:r w:rsidR="00A156A6" w:rsidRPr="00D37DA0">
        <w:rPr>
          <w:rFonts w:ascii="Arial" w:hAnsi="Arial" w:cs="Arial"/>
        </w:rPr>
        <w:t xml:space="preserve"> these duties could create criminal liabilities for neglecting the child. </w:t>
      </w:r>
      <w:r w:rsidR="00D07467" w:rsidRPr="00D37DA0">
        <w:rPr>
          <w:rFonts w:ascii="Arial" w:hAnsi="Arial" w:cs="Arial"/>
        </w:rPr>
        <w:t xml:space="preserve">The individual in breach </w:t>
      </w:r>
      <w:r w:rsidR="005B7516">
        <w:rPr>
          <w:rFonts w:ascii="Arial" w:hAnsi="Arial" w:cs="Arial"/>
        </w:rPr>
        <w:t>of</w:t>
      </w:r>
      <w:r w:rsidR="00D07467" w:rsidRPr="00D37DA0">
        <w:rPr>
          <w:rFonts w:ascii="Arial" w:hAnsi="Arial" w:cs="Arial"/>
        </w:rPr>
        <w:t xml:space="preserve"> statutory duty is liable to criminal penalties as stated by statute</w:t>
      </w:r>
      <w:r w:rsidR="00AA5B8D" w:rsidRPr="00D37DA0">
        <w:rPr>
          <w:rFonts w:ascii="Arial" w:hAnsi="Arial" w:cs="Arial"/>
        </w:rPr>
        <w:t xml:space="preserve"> (</w:t>
      </w:r>
      <w:r w:rsidR="00AA5B8D" w:rsidRPr="00D37DA0">
        <w:rPr>
          <w:rFonts w:ascii="Arial" w:hAnsi="Arial" w:cs="Arial"/>
          <w:szCs w:val="24"/>
        </w:rPr>
        <w:t>Finch and Fafinski, 2021</w:t>
      </w:r>
      <w:r w:rsidR="00AA5B8D" w:rsidRPr="00D37DA0">
        <w:rPr>
          <w:rFonts w:ascii="Arial" w:hAnsi="Arial" w:cs="Arial"/>
        </w:rPr>
        <w:t>)</w:t>
      </w:r>
      <w:r w:rsidR="00D07467" w:rsidRPr="00D37DA0">
        <w:rPr>
          <w:rFonts w:ascii="Arial" w:hAnsi="Arial" w:cs="Arial"/>
        </w:rPr>
        <w:t xml:space="preserve">. The individual is also liable to pay damages caused due to the injury. </w:t>
      </w:r>
    </w:p>
    <w:p w14:paraId="03803574" w14:textId="77777777" w:rsidR="007025C9" w:rsidRPr="00D37DA0" w:rsidRDefault="007025C9" w:rsidP="007F2889">
      <w:pPr>
        <w:pStyle w:val="Heading2"/>
        <w:spacing w:line="480" w:lineRule="auto"/>
        <w:rPr>
          <w:color w:val="auto"/>
        </w:rPr>
      </w:pPr>
      <w:bookmarkStart w:id="4" w:name="_Toc169369173"/>
      <w:r w:rsidRPr="00D37DA0">
        <w:rPr>
          <w:color w:val="auto"/>
        </w:rPr>
        <w:t>4.</w:t>
      </w:r>
      <w:r w:rsidRPr="00D37DA0">
        <w:rPr>
          <w:color w:val="auto"/>
        </w:rPr>
        <w:tab/>
        <w:t>When might a contractual/ duty based on office be present?</w:t>
      </w:r>
      <w:bookmarkEnd w:id="4"/>
    </w:p>
    <w:p w14:paraId="02911DDB" w14:textId="655F8085" w:rsidR="007025C9" w:rsidRPr="00D37DA0" w:rsidRDefault="00F86818" w:rsidP="007F2889">
      <w:pPr>
        <w:spacing w:line="480" w:lineRule="auto"/>
        <w:rPr>
          <w:rFonts w:ascii="Arial" w:hAnsi="Arial" w:cs="Arial"/>
        </w:rPr>
      </w:pPr>
      <w:r w:rsidRPr="00D37DA0">
        <w:rPr>
          <w:rFonts w:ascii="Arial" w:hAnsi="Arial" w:cs="Arial"/>
        </w:rPr>
        <w:t xml:space="preserve">A Contractual duty should be imposed by </w:t>
      </w:r>
      <w:r w:rsidR="005B7516">
        <w:rPr>
          <w:rFonts w:ascii="Arial" w:hAnsi="Arial" w:cs="Arial"/>
        </w:rPr>
        <w:t>statute</w:t>
      </w:r>
      <w:r w:rsidRPr="00D37DA0">
        <w:rPr>
          <w:rFonts w:ascii="Arial" w:hAnsi="Arial" w:cs="Arial"/>
        </w:rPr>
        <w:t xml:space="preserve">. It takes place when an individual fails to meet contractual </w:t>
      </w:r>
      <w:r w:rsidR="005B7516">
        <w:rPr>
          <w:rFonts w:ascii="Arial" w:hAnsi="Arial" w:cs="Arial"/>
        </w:rPr>
        <w:t>terms</w:t>
      </w:r>
      <w:r w:rsidRPr="00D37DA0">
        <w:rPr>
          <w:rFonts w:ascii="Arial" w:hAnsi="Arial" w:cs="Arial"/>
        </w:rPr>
        <w:t xml:space="preserve"> and evolves circumstances to risk of death. In such cases, </w:t>
      </w:r>
      <w:r w:rsidR="000B396E" w:rsidRPr="00D37DA0">
        <w:rPr>
          <w:rFonts w:ascii="Arial" w:hAnsi="Arial" w:cs="Arial"/>
        </w:rPr>
        <w:t>a</w:t>
      </w:r>
      <w:r w:rsidRPr="00D37DA0">
        <w:rPr>
          <w:rFonts w:ascii="Arial" w:hAnsi="Arial" w:cs="Arial"/>
        </w:rPr>
        <w:t xml:space="preserve"> duty to act is implemented. As in</w:t>
      </w:r>
      <w:r w:rsidR="005B7516">
        <w:rPr>
          <w:rFonts w:ascii="Arial" w:hAnsi="Arial" w:cs="Arial"/>
        </w:rPr>
        <w:t xml:space="preserve"> the</w:t>
      </w:r>
      <w:r w:rsidRPr="00D37DA0">
        <w:rPr>
          <w:rFonts w:ascii="Arial" w:hAnsi="Arial" w:cs="Arial"/>
        </w:rPr>
        <w:t xml:space="preserve"> case law of </w:t>
      </w:r>
      <w:r w:rsidRPr="00D37DA0">
        <w:rPr>
          <w:rFonts w:ascii="Arial" w:hAnsi="Arial" w:cs="Arial"/>
          <w:i/>
          <w:iCs/>
        </w:rPr>
        <w:t>R v Pittwood (1902) 19 TLR 37,</w:t>
      </w:r>
      <w:r w:rsidRPr="00D37DA0">
        <w:rPr>
          <w:rFonts w:ascii="Arial" w:hAnsi="Arial" w:cs="Arial"/>
        </w:rPr>
        <w:t xml:space="preserve"> in this case</w:t>
      </w:r>
      <w:r w:rsidR="005B7516">
        <w:rPr>
          <w:rFonts w:ascii="Arial" w:hAnsi="Arial" w:cs="Arial"/>
        </w:rPr>
        <w:t>,</w:t>
      </w:r>
      <w:r w:rsidRPr="00D37DA0">
        <w:rPr>
          <w:rFonts w:ascii="Arial" w:hAnsi="Arial" w:cs="Arial"/>
        </w:rPr>
        <w:t xml:space="preserve"> a railway staff did not </w:t>
      </w:r>
      <w:r w:rsidR="000B396E" w:rsidRPr="00D37DA0">
        <w:rPr>
          <w:rFonts w:ascii="Arial" w:hAnsi="Arial" w:cs="Arial"/>
        </w:rPr>
        <w:t>close</w:t>
      </w:r>
      <w:r w:rsidRPr="00D37DA0">
        <w:rPr>
          <w:rFonts w:ascii="Arial" w:hAnsi="Arial" w:cs="Arial"/>
        </w:rPr>
        <w:t xml:space="preserve"> the rail gate to avoid the railway line getting crossed by others when the train was arriving. A passerby was hit by the train and died due to it in the tracks. The statutory duty in office also takes place in the case law of </w:t>
      </w:r>
      <w:r w:rsidRPr="00D37DA0">
        <w:rPr>
          <w:rFonts w:ascii="Arial" w:hAnsi="Arial" w:cs="Arial"/>
          <w:i/>
          <w:iCs/>
        </w:rPr>
        <w:t>R v Dytham [1979] QB 722</w:t>
      </w:r>
      <w:r w:rsidRPr="00D37DA0">
        <w:rPr>
          <w:rFonts w:ascii="Arial" w:hAnsi="Arial" w:cs="Arial"/>
        </w:rPr>
        <w:t xml:space="preserve">, when </w:t>
      </w:r>
      <w:r w:rsidR="005B7516">
        <w:rPr>
          <w:rFonts w:ascii="Arial" w:hAnsi="Arial" w:cs="Arial"/>
        </w:rPr>
        <w:t>policemen</w:t>
      </w:r>
      <w:r w:rsidRPr="00D37DA0">
        <w:rPr>
          <w:rFonts w:ascii="Arial" w:hAnsi="Arial" w:cs="Arial"/>
        </w:rPr>
        <w:t xml:space="preserve"> observed a man beaten and did not react accordingly. </w:t>
      </w:r>
      <w:r w:rsidR="005B7516">
        <w:rPr>
          <w:rFonts w:ascii="Arial" w:hAnsi="Arial" w:cs="Arial"/>
        </w:rPr>
        <w:t>They died as a</w:t>
      </w:r>
      <w:r w:rsidRPr="00D37DA0">
        <w:rPr>
          <w:rFonts w:ascii="Arial" w:hAnsi="Arial" w:cs="Arial"/>
        </w:rPr>
        <w:t xml:space="preserve"> result</w:t>
      </w:r>
      <w:r w:rsidR="00AA5B8D" w:rsidRPr="00D37DA0">
        <w:rPr>
          <w:rFonts w:ascii="Arial" w:hAnsi="Arial" w:cs="Arial"/>
        </w:rPr>
        <w:t xml:space="preserve"> (</w:t>
      </w:r>
      <w:r w:rsidR="00AA5B8D" w:rsidRPr="00D37DA0">
        <w:rPr>
          <w:rFonts w:ascii="Arial" w:hAnsi="Arial" w:cs="Arial"/>
          <w:szCs w:val="24"/>
        </w:rPr>
        <w:t>Macdonald, 2018</w:t>
      </w:r>
      <w:r w:rsidR="00AA5B8D" w:rsidRPr="00D37DA0">
        <w:rPr>
          <w:rFonts w:ascii="Arial" w:hAnsi="Arial" w:cs="Arial"/>
        </w:rPr>
        <w:t>)</w:t>
      </w:r>
      <w:r w:rsidRPr="00D37DA0">
        <w:rPr>
          <w:rFonts w:ascii="Arial" w:hAnsi="Arial" w:cs="Arial"/>
        </w:rPr>
        <w:t xml:space="preserve">. The </w:t>
      </w:r>
      <w:r w:rsidR="005B7516">
        <w:rPr>
          <w:rFonts w:ascii="Arial" w:hAnsi="Arial" w:cs="Arial"/>
        </w:rPr>
        <w:t>officer</w:t>
      </w:r>
      <w:r w:rsidRPr="00D37DA0">
        <w:rPr>
          <w:rFonts w:ascii="Arial" w:hAnsi="Arial" w:cs="Arial"/>
        </w:rPr>
        <w:t xml:space="preserve"> was supposed to act </w:t>
      </w:r>
      <w:r w:rsidRPr="00D37DA0">
        <w:rPr>
          <w:rFonts w:ascii="Arial" w:hAnsi="Arial" w:cs="Arial"/>
        </w:rPr>
        <w:lastRenderedPageBreak/>
        <w:t xml:space="preserve">as per the duty </w:t>
      </w:r>
      <w:r w:rsidR="005B7516">
        <w:rPr>
          <w:rFonts w:ascii="Arial" w:hAnsi="Arial" w:cs="Arial"/>
        </w:rPr>
        <w:t>by</w:t>
      </w:r>
      <w:r w:rsidRPr="00D37DA0">
        <w:rPr>
          <w:rFonts w:ascii="Arial" w:hAnsi="Arial" w:cs="Arial"/>
        </w:rPr>
        <w:t xml:space="preserve"> his duty and position. It followed contractual obligation in his duty and his position in the public office. </w:t>
      </w:r>
    </w:p>
    <w:p w14:paraId="688F647A" w14:textId="77777777" w:rsidR="007025C9" w:rsidRPr="00D37DA0" w:rsidRDefault="007025C9" w:rsidP="007F2889">
      <w:pPr>
        <w:pStyle w:val="Heading2"/>
        <w:spacing w:line="480" w:lineRule="auto"/>
        <w:rPr>
          <w:color w:val="auto"/>
        </w:rPr>
      </w:pPr>
      <w:bookmarkStart w:id="5" w:name="_Toc169369174"/>
      <w:r w:rsidRPr="00D37DA0">
        <w:rPr>
          <w:color w:val="auto"/>
        </w:rPr>
        <w:t>5.</w:t>
      </w:r>
      <w:r w:rsidRPr="00D37DA0">
        <w:rPr>
          <w:color w:val="auto"/>
        </w:rPr>
        <w:tab/>
        <w:t>When might a duty to act arise from assumed responsibility?</w:t>
      </w:r>
      <w:bookmarkEnd w:id="5"/>
    </w:p>
    <w:p w14:paraId="06D653A1" w14:textId="754884D2" w:rsidR="007025C9" w:rsidRPr="00D37DA0" w:rsidRDefault="009B33F3" w:rsidP="007F2889">
      <w:pPr>
        <w:spacing w:line="480" w:lineRule="auto"/>
        <w:rPr>
          <w:rFonts w:ascii="Arial" w:hAnsi="Arial" w:cs="Arial"/>
        </w:rPr>
      </w:pPr>
      <w:r w:rsidRPr="00D37DA0">
        <w:rPr>
          <w:rFonts w:ascii="Arial" w:hAnsi="Arial" w:cs="Arial"/>
        </w:rPr>
        <w:t xml:space="preserve">Voluntary assumption of responsibility for care for others is a duty to act. This duty is identified when one takes the responsibility of caring </w:t>
      </w:r>
      <w:r w:rsidR="005B7516">
        <w:rPr>
          <w:rFonts w:ascii="Arial" w:hAnsi="Arial" w:cs="Arial"/>
        </w:rPr>
        <w:t xml:space="preserve">for </w:t>
      </w:r>
      <w:r w:rsidRPr="00D37DA0">
        <w:rPr>
          <w:rFonts w:ascii="Arial" w:hAnsi="Arial" w:cs="Arial"/>
        </w:rPr>
        <w:t>someone who is not able to take care of themselves due to incapacity, illness, or age (</w:t>
      </w:r>
      <w:r w:rsidRPr="00D37DA0">
        <w:rPr>
          <w:rFonts w:ascii="Arial" w:hAnsi="Arial" w:cs="Arial"/>
          <w:szCs w:val="24"/>
        </w:rPr>
        <w:t>Taylor, 2018</w:t>
      </w:r>
      <w:r w:rsidRPr="00D37DA0">
        <w:rPr>
          <w:rFonts w:ascii="Arial" w:hAnsi="Arial" w:cs="Arial"/>
        </w:rPr>
        <w:t xml:space="preserve">). </w:t>
      </w:r>
      <w:r w:rsidR="00CF2187" w:rsidRPr="00D37DA0">
        <w:rPr>
          <w:rFonts w:ascii="Arial" w:hAnsi="Arial" w:cs="Arial"/>
        </w:rPr>
        <w:t xml:space="preserve">It is evident from the case law of </w:t>
      </w:r>
      <w:r w:rsidR="00CF2187" w:rsidRPr="00D37DA0">
        <w:rPr>
          <w:rFonts w:ascii="Arial" w:hAnsi="Arial" w:cs="Arial"/>
          <w:i/>
          <w:iCs/>
        </w:rPr>
        <w:t>R v Gibbins and Proctor (1919) 13 Cr App R 134</w:t>
      </w:r>
      <w:r w:rsidR="005B7516">
        <w:rPr>
          <w:rFonts w:ascii="Arial" w:hAnsi="Arial" w:cs="Arial"/>
        </w:rPr>
        <w:t xml:space="preserve"> when a father, along with his partner,</w:t>
      </w:r>
      <w:r w:rsidR="00CF2187" w:rsidRPr="00D37DA0">
        <w:rPr>
          <w:rFonts w:ascii="Arial" w:hAnsi="Arial" w:cs="Arial"/>
        </w:rPr>
        <w:t xml:space="preserve"> deliberately starved their child to death. In this case</w:t>
      </w:r>
      <w:r w:rsidR="005B7516">
        <w:rPr>
          <w:rFonts w:ascii="Arial" w:hAnsi="Arial" w:cs="Arial"/>
        </w:rPr>
        <w:t>, the father was convicted of</w:t>
      </w:r>
      <w:r w:rsidR="00CF2187" w:rsidRPr="00D37DA0">
        <w:rPr>
          <w:rFonts w:ascii="Arial" w:hAnsi="Arial" w:cs="Arial"/>
        </w:rPr>
        <w:t xml:space="preserve"> the charges of murder because he was supposed to have the duty to take care of the child as a father. The partner was also considered the liability to assume the responsibility for </w:t>
      </w:r>
      <w:r w:rsidR="005B7516">
        <w:rPr>
          <w:rFonts w:ascii="Arial" w:hAnsi="Arial" w:cs="Arial"/>
        </w:rPr>
        <w:t>caring for</w:t>
      </w:r>
      <w:r w:rsidR="00CF2187" w:rsidRPr="00D37DA0">
        <w:rPr>
          <w:rFonts w:ascii="Arial" w:hAnsi="Arial" w:cs="Arial"/>
        </w:rPr>
        <w:t xml:space="preserve"> the child.</w:t>
      </w:r>
      <w:r w:rsidRPr="00D37DA0">
        <w:rPr>
          <w:rFonts w:ascii="Arial" w:hAnsi="Arial" w:cs="Arial"/>
        </w:rPr>
        <w:t xml:space="preserve"> Here, assumed responsibility </w:t>
      </w:r>
      <w:r w:rsidR="005B7516">
        <w:rPr>
          <w:rFonts w:ascii="Arial" w:hAnsi="Arial" w:cs="Arial"/>
        </w:rPr>
        <w:t xml:space="preserve">arises as the child is not capable of taking care of himself, and the father and partner are liable to meet the </w:t>
      </w:r>
      <w:r w:rsidRPr="00D37DA0">
        <w:rPr>
          <w:rFonts w:ascii="Arial" w:hAnsi="Arial" w:cs="Arial"/>
        </w:rPr>
        <w:t>essential requirements of the child.</w:t>
      </w:r>
      <w:r w:rsidR="00CF2187" w:rsidRPr="00D37DA0">
        <w:rPr>
          <w:rFonts w:ascii="Arial" w:hAnsi="Arial" w:cs="Arial"/>
        </w:rPr>
        <w:t xml:space="preserve"> </w:t>
      </w:r>
      <w:r w:rsidR="00D902FC" w:rsidRPr="00D37DA0">
        <w:rPr>
          <w:rFonts w:ascii="Arial" w:hAnsi="Arial" w:cs="Arial"/>
        </w:rPr>
        <w:t>Likewise</w:t>
      </w:r>
      <w:r w:rsidR="005B7516">
        <w:rPr>
          <w:rFonts w:ascii="Arial" w:hAnsi="Arial" w:cs="Arial"/>
        </w:rPr>
        <w:t xml:space="preserve">, in the case law of </w:t>
      </w:r>
      <w:r w:rsidR="005B7516" w:rsidRPr="005B7516">
        <w:rPr>
          <w:rFonts w:ascii="Arial" w:hAnsi="Arial" w:cs="Arial"/>
          <w:i/>
          <w:iCs/>
        </w:rPr>
        <w:t>R v Stone and Dobinson [1977] QB 354</w:t>
      </w:r>
      <w:r w:rsidR="005B7516">
        <w:rPr>
          <w:rFonts w:ascii="Arial" w:hAnsi="Arial" w:cs="Arial"/>
        </w:rPr>
        <w:t>, Fanny, the sister of Stone,</w:t>
      </w:r>
      <w:r w:rsidR="00D902FC" w:rsidRPr="00D37DA0">
        <w:rPr>
          <w:rFonts w:ascii="Arial" w:hAnsi="Arial" w:cs="Arial"/>
        </w:rPr>
        <w:t xml:space="preserve"> came to live with Stone and his partner. Stone and his partner were mentally unstable, while Fanny suffered from anorexia. However, the couple </w:t>
      </w:r>
      <w:r w:rsidR="005B7516">
        <w:rPr>
          <w:rFonts w:ascii="Arial" w:hAnsi="Arial" w:cs="Arial"/>
        </w:rPr>
        <w:t>cared for Fanny in the initial days, but as her condition worsened</w:t>
      </w:r>
      <w:r w:rsidR="00D902FC" w:rsidRPr="00D37DA0">
        <w:rPr>
          <w:rFonts w:ascii="Arial" w:hAnsi="Arial" w:cs="Arial"/>
        </w:rPr>
        <w:t>, the couple were unable to manage</w:t>
      </w:r>
      <w:r w:rsidR="00AA5B8D" w:rsidRPr="00D37DA0">
        <w:rPr>
          <w:rFonts w:ascii="Arial" w:hAnsi="Arial" w:cs="Arial"/>
        </w:rPr>
        <w:t xml:space="preserve"> (</w:t>
      </w:r>
      <w:r w:rsidR="00AA5B8D" w:rsidRPr="00D37DA0">
        <w:rPr>
          <w:rFonts w:ascii="Arial" w:hAnsi="Arial" w:cs="Arial"/>
          <w:szCs w:val="24"/>
          <w:shd w:val="clear" w:color="auto" w:fill="FFFFFF"/>
        </w:rPr>
        <w:t>Williams, 2022</w:t>
      </w:r>
      <w:r w:rsidR="00AA5B8D" w:rsidRPr="00D37DA0">
        <w:rPr>
          <w:rFonts w:ascii="Arial" w:hAnsi="Arial" w:cs="Arial"/>
        </w:rPr>
        <w:t>)</w:t>
      </w:r>
      <w:r w:rsidR="00D902FC" w:rsidRPr="00D37DA0">
        <w:rPr>
          <w:rFonts w:ascii="Arial" w:hAnsi="Arial" w:cs="Arial"/>
        </w:rPr>
        <w:t>. Likewise, they stopped taking care of Fanny</w:t>
      </w:r>
      <w:r w:rsidR="005B7516">
        <w:rPr>
          <w:rFonts w:ascii="Arial" w:hAnsi="Arial" w:cs="Arial"/>
        </w:rPr>
        <w:t>, and as a result,</w:t>
      </w:r>
      <w:r w:rsidR="00D902FC" w:rsidRPr="00D37DA0">
        <w:rPr>
          <w:rFonts w:ascii="Arial" w:hAnsi="Arial" w:cs="Arial"/>
        </w:rPr>
        <w:t xml:space="preserve"> she died. Therefore, the couple was condemned </w:t>
      </w:r>
      <w:r w:rsidR="004B73D4">
        <w:rPr>
          <w:rFonts w:ascii="Arial" w:hAnsi="Arial" w:cs="Arial"/>
        </w:rPr>
        <w:t>for</w:t>
      </w:r>
      <w:r w:rsidR="00D902FC" w:rsidRPr="00D37DA0">
        <w:rPr>
          <w:rFonts w:ascii="Arial" w:hAnsi="Arial" w:cs="Arial"/>
        </w:rPr>
        <w:t xml:space="preserve"> gross negligence murder. </w:t>
      </w:r>
      <w:r w:rsidRPr="00D37DA0">
        <w:rPr>
          <w:rFonts w:ascii="Arial" w:hAnsi="Arial" w:cs="Arial"/>
        </w:rPr>
        <w:t xml:space="preserve">Here, assumed responsibility arose as the couple took care </w:t>
      </w:r>
      <w:r w:rsidR="005B7516">
        <w:rPr>
          <w:rFonts w:ascii="Arial" w:hAnsi="Arial" w:cs="Arial"/>
        </w:rPr>
        <w:t xml:space="preserve">of </w:t>
      </w:r>
      <w:r w:rsidR="004B73D4">
        <w:rPr>
          <w:rFonts w:ascii="Arial" w:hAnsi="Arial" w:cs="Arial"/>
        </w:rPr>
        <w:t xml:space="preserve">her </w:t>
      </w:r>
      <w:r w:rsidR="005B7516">
        <w:rPr>
          <w:rFonts w:ascii="Arial" w:hAnsi="Arial" w:cs="Arial"/>
        </w:rPr>
        <w:t>in the initial days and could have informed the local health and social care centre to take care of Fanny when her condition worsened</w:t>
      </w:r>
      <w:r w:rsidRPr="00D37DA0">
        <w:rPr>
          <w:rFonts w:ascii="Arial" w:hAnsi="Arial" w:cs="Arial"/>
        </w:rPr>
        <w:t xml:space="preserve">. </w:t>
      </w:r>
    </w:p>
    <w:p w14:paraId="72B546F4" w14:textId="77777777" w:rsidR="007025C9" w:rsidRPr="00D37DA0" w:rsidRDefault="007025C9" w:rsidP="007F2889">
      <w:pPr>
        <w:spacing w:line="480" w:lineRule="auto"/>
        <w:rPr>
          <w:rFonts w:ascii="Arial" w:hAnsi="Arial" w:cs="Arial"/>
        </w:rPr>
      </w:pPr>
    </w:p>
    <w:p w14:paraId="77B5A905" w14:textId="35186370" w:rsidR="007025C9" w:rsidRPr="00D37DA0" w:rsidRDefault="007025C9" w:rsidP="007F2889">
      <w:pPr>
        <w:pStyle w:val="Heading1"/>
        <w:spacing w:line="480" w:lineRule="auto"/>
        <w:rPr>
          <w:color w:val="auto"/>
        </w:rPr>
      </w:pPr>
      <w:bookmarkStart w:id="6" w:name="_Toc169369175"/>
      <w:r w:rsidRPr="00D37DA0">
        <w:rPr>
          <w:color w:val="auto"/>
        </w:rPr>
        <w:lastRenderedPageBreak/>
        <w:t>Task 2</w:t>
      </w:r>
      <w:bookmarkEnd w:id="6"/>
    </w:p>
    <w:p w14:paraId="6656626F" w14:textId="2C1116D6" w:rsidR="007025C9" w:rsidRPr="00D37DA0" w:rsidRDefault="007025C9" w:rsidP="007F2889">
      <w:pPr>
        <w:pStyle w:val="Heading2"/>
        <w:spacing w:line="480" w:lineRule="auto"/>
        <w:rPr>
          <w:color w:val="auto"/>
        </w:rPr>
      </w:pPr>
      <w:bookmarkStart w:id="7" w:name="_Toc169369176"/>
      <w:r w:rsidRPr="00D37DA0">
        <w:rPr>
          <w:color w:val="auto"/>
        </w:rPr>
        <w:t>6.</w:t>
      </w:r>
      <w:r w:rsidRPr="00D37DA0">
        <w:rPr>
          <w:color w:val="auto"/>
        </w:rPr>
        <w:tab/>
        <w:t xml:space="preserve">Should there be a general duty to act within </w:t>
      </w:r>
      <w:r w:rsidR="004B73D4">
        <w:rPr>
          <w:color w:val="auto"/>
        </w:rPr>
        <w:t>the criminal law of England and Wales?</w:t>
      </w:r>
      <w:r w:rsidRPr="00D37DA0">
        <w:rPr>
          <w:color w:val="auto"/>
        </w:rPr>
        <w:t xml:space="preserve"> What are the arguments for and against this?</w:t>
      </w:r>
      <w:bookmarkEnd w:id="7"/>
    </w:p>
    <w:p w14:paraId="6282DB66" w14:textId="0716DA35" w:rsidR="007025C9" w:rsidRPr="00D37DA0" w:rsidRDefault="00446663" w:rsidP="007F2889">
      <w:pPr>
        <w:spacing w:line="480" w:lineRule="auto"/>
        <w:rPr>
          <w:rFonts w:ascii="Arial" w:hAnsi="Arial" w:cs="Arial"/>
        </w:rPr>
      </w:pPr>
      <w:r w:rsidRPr="00D37DA0">
        <w:rPr>
          <w:rFonts w:ascii="Arial" w:hAnsi="Arial" w:cs="Arial"/>
        </w:rPr>
        <w:t xml:space="preserve">Imposing a general duty to act upon citizens </w:t>
      </w:r>
      <w:r w:rsidR="004B73D4">
        <w:rPr>
          <w:rFonts w:ascii="Arial" w:hAnsi="Arial" w:cs="Arial"/>
        </w:rPr>
        <w:t>leaves</w:t>
      </w:r>
      <w:r w:rsidRPr="00D37DA0">
        <w:rPr>
          <w:rFonts w:ascii="Arial" w:hAnsi="Arial" w:cs="Arial"/>
        </w:rPr>
        <w:t xml:space="preserve"> them with </w:t>
      </w:r>
      <w:r w:rsidR="004B73D4">
        <w:rPr>
          <w:rFonts w:ascii="Arial" w:hAnsi="Arial" w:cs="Arial"/>
        </w:rPr>
        <w:t>heavy-duty</w:t>
      </w:r>
      <w:r w:rsidRPr="00D37DA0">
        <w:rPr>
          <w:rFonts w:ascii="Arial" w:hAnsi="Arial" w:cs="Arial"/>
        </w:rPr>
        <w:t xml:space="preserve"> as there increases the area of obligation to help others</w:t>
      </w:r>
      <w:r w:rsidR="00AA5B8D" w:rsidRPr="00D37DA0">
        <w:rPr>
          <w:rFonts w:ascii="Arial" w:hAnsi="Arial" w:cs="Arial"/>
        </w:rPr>
        <w:t xml:space="preserve"> (</w:t>
      </w:r>
      <w:r w:rsidR="00AA5B8D" w:rsidRPr="00D37DA0">
        <w:rPr>
          <w:rFonts w:ascii="Arial" w:hAnsi="Arial" w:cs="Arial"/>
          <w:szCs w:val="24"/>
          <w:shd w:val="clear" w:color="auto" w:fill="FFFFFF"/>
        </w:rPr>
        <w:t>Robinson, 2017</w:t>
      </w:r>
      <w:r w:rsidR="00AA5B8D" w:rsidRPr="00D37DA0">
        <w:rPr>
          <w:rFonts w:ascii="Arial" w:hAnsi="Arial" w:cs="Arial"/>
        </w:rPr>
        <w:t>)</w:t>
      </w:r>
      <w:r w:rsidRPr="00D37DA0">
        <w:rPr>
          <w:rFonts w:ascii="Arial" w:hAnsi="Arial" w:cs="Arial"/>
        </w:rPr>
        <w:t xml:space="preserve">. Moreover, there are certain situations when it becomes tougher to prove causation. In such cases, </w:t>
      </w:r>
      <w:r w:rsidR="004B73D4">
        <w:rPr>
          <w:rFonts w:ascii="Arial" w:hAnsi="Arial" w:cs="Arial"/>
        </w:rPr>
        <w:t>the general duty to act opens the floodgates</w:t>
      </w:r>
      <w:r w:rsidRPr="00D37DA0">
        <w:rPr>
          <w:rFonts w:ascii="Arial" w:hAnsi="Arial" w:cs="Arial"/>
        </w:rPr>
        <w:t xml:space="preserve"> to various numbers of </w:t>
      </w:r>
      <w:r w:rsidR="00856D0C" w:rsidRPr="00D37DA0">
        <w:rPr>
          <w:rFonts w:ascii="Arial" w:hAnsi="Arial" w:cs="Arial"/>
        </w:rPr>
        <w:t>unfair</w:t>
      </w:r>
      <w:r w:rsidRPr="00D37DA0">
        <w:rPr>
          <w:rFonts w:ascii="Arial" w:hAnsi="Arial" w:cs="Arial"/>
        </w:rPr>
        <w:t xml:space="preserve"> prosecutions</w:t>
      </w:r>
      <w:r w:rsidR="009C7DA3" w:rsidRPr="00D37DA0">
        <w:rPr>
          <w:rFonts w:ascii="Arial" w:hAnsi="Arial" w:cs="Arial"/>
        </w:rPr>
        <w:t xml:space="preserve"> (</w:t>
      </w:r>
      <w:r w:rsidR="009C7DA3" w:rsidRPr="00D37DA0">
        <w:rPr>
          <w:rFonts w:ascii="Arial" w:hAnsi="Arial" w:cs="Arial"/>
          <w:szCs w:val="24"/>
        </w:rPr>
        <w:t>Finch and Fafinski, 2021</w:t>
      </w:r>
      <w:r w:rsidR="009C7DA3" w:rsidRPr="00D37DA0">
        <w:rPr>
          <w:rFonts w:ascii="Arial" w:hAnsi="Arial" w:cs="Arial"/>
        </w:rPr>
        <w:t>)</w:t>
      </w:r>
      <w:r w:rsidRPr="00D37DA0">
        <w:rPr>
          <w:rFonts w:ascii="Arial" w:hAnsi="Arial" w:cs="Arial"/>
        </w:rPr>
        <w:t xml:space="preserve">. </w:t>
      </w:r>
      <w:r w:rsidR="007B54C8" w:rsidRPr="00D37DA0">
        <w:rPr>
          <w:rFonts w:ascii="Arial" w:hAnsi="Arial" w:cs="Arial"/>
        </w:rPr>
        <w:t>However, criminal liability related to omission could be justified in some of the cases when one person is found liable to fail an act when that person is under the legal obligation of duty to act. Meanwhile, it requires some kind of closeness and relationship between the defend</w:t>
      </w:r>
      <w:r w:rsidR="00136D66" w:rsidRPr="00D37DA0">
        <w:rPr>
          <w:rFonts w:ascii="Arial" w:hAnsi="Arial" w:cs="Arial"/>
        </w:rPr>
        <w:t>ant</w:t>
      </w:r>
      <w:r w:rsidR="007B54C8" w:rsidRPr="00D37DA0">
        <w:rPr>
          <w:rFonts w:ascii="Arial" w:hAnsi="Arial" w:cs="Arial"/>
        </w:rPr>
        <w:t xml:space="preserve"> and </w:t>
      </w:r>
      <w:r w:rsidR="004B73D4">
        <w:rPr>
          <w:rFonts w:ascii="Arial" w:hAnsi="Arial" w:cs="Arial"/>
        </w:rPr>
        <w:t xml:space="preserve">the </w:t>
      </w:r>
      <w:r w:rsidR="007B54C8" w:rsidRPr="00D37DA0">
        <w:rPr>
          <w:rFonts w:ascii="Arial" w:hAnsi="Arial" w:cs="Arial"/>
        </w:rPr>
        <w:t>claimant</w:t>
      </w:r>
      <w:r w:rsidR="00AA5B8D" w:rsidRPr="00D37DA0">
        <w:rPr>
          <w:rFonts w:ascii="Arial" w:hAnsi="Arial" w:cs="Arial"/>
        </w:rPr>
        <w:t xml:space="preserve"> (</w:t>
      </w:r>
      <w:r w:rsidR="00AA5B8D" w:rsidRPr="00D37DA0">
        <w:rPr>
          <w:rFonts w:ascii="Arial" w:hAnsi="Arial" w:cs="Arial"/>
          <w:szCs w:val="24"/>
          <w:shd w:val="clear" w:color="auto" w:fill="FFFFFF"/>
        </w:rPr>
        <w:t>Sepinwall, 2017</w:t>
      </w:r>
      <w:r w:rsidR="00AA5B8D" w:rsidRPr="00D37DA0">
        <w:rPr>
          <w:rFonts w:ascii="Arial" w:hAnsi="Arial" w:cs="Arial"/>
        </w:rPr>
        <w:t>)</w:t>
      </w:r>
      <w:r w:rsidR="007B54C8" w:rsidRPr="00D37DA0">
        <w:rPr>
          <w:rFonts w:ascii="Arial" w:hAnsi="Arial" w:cs="Arial"/>
        </w:rPr>
        <w:t xml:space="preserve">. </w:t>
      </w:r>
    </w:p>
    <w:p w14:paraId="6804B2EC" w14:textId="5770C46E" w:rsidR="00B83C27" w:rsidRPr="00D37DA0" w:rsidRDefault="009A5572" w:rsidP="007F2889">
      <w:pPr>
        <w:spacing w:line="480" w:lineRule="auto"/>
        <w:rPr>
          <w:rFonts w:ascii="Arial" w:hAnsi="Arial" w:cs="Arial"/>
        </w:rPr>
      </w:pPr>
      <w:r w:rsidRPr="00D37DA0">
        <w:rPr>
          <w:rFonts w:ascii="Arial" w:hAnsi="Arial" w:cs="Arial"/>
        </w:rPr>
        <w:t xml:space="preserve">The argument on </w:t>
      </w:r>
      <w:r w:rsidR="004B73D4">
        <w:rPr>
          <w:rFonts w:ascii="Arial" w:hAnsi="Arial" w:cs="Arial"/>
        </w:rPr>
        <w:t xml:space="preserve">the general duty to act as per the criminal law of England and Wales hovers around stating the </w:t>
      </w:r>
      <w:r w:rsidRPr="00D37DA0">
        <w:rPr>
          <w:rFonts w:ascii="Arial" w:hAnsi="Arial" w:cs="Arial"/>
        </w:rPr>
        <w:t xml:space="preserve">autonomy of individuals in </w:t>
      </w:r>
      <w:r w:rsidR="004B73D4">
        <w:rPr>
          <w:rFonts w:ascii="Arial" w:hAnsi="Arial" w:cs="Arial"/>
        </w:rPr>
        <w:t>societal responsibility. There are arguments that impose a general duty to act to promote societal welfare by assuring individuals to act in</w:t>
      </w:r>
      <w:r w:rsidRPr="00D37DA0">
        <w:rPr>
          <w:rFonts w:ascii="Arial" w:hAnsi="Arial" w:cs="Arial"/>
        </w:rPr>
        <w:t xml:space="preserve"> emergencies</w:t>
      </w:r>
      <w:r w:rsidR="00F33F39" w:rsidRPr="00D37DA0">
        <w:rPr>
          <w:rFonts w:ascii="Arial" w:hAnsi="Arial" w:cs="Arial"/>
        </w:rPr>
        <w:t xml:space="preserve"> (</w:t>
      </w:r>
      <w:r w:rsidR="00F33F39" w:rsidRPr="00D37DA0">
        <w:rPr>
          <w:rFonts w:ascii="Arial" w:hAnsi="Arial" w:cs="Arial"/>
          <w:szCs w:val="24"/>
          <w:shd w:val="clear" w:color="auto" w:fill="FFFFFF"/>
        </w:rPr>
        <w:t>Sepinwall, 2017</w:t>
      </w:r>
      <w:r w:rsidR="00F33F39" w:rsidRPr="00D37DA0">
        <w:rPr>
          <w:rFonts w:ascii="Arial" w:hAnsi="Arial" w:cs="Arial"/>
        </w:rPr>
        <w:t>)</w:t>
      </w:r>
      <w:r w:rsidRPr="00D37DA0">
        <w:rPr>
          <w:rFonts w:ascii="Arial" w:hAnsi="Arial" w:cs="Arial"/>
        </w:rPr>
        <w:t xml:space="preserve">. </w:t>
      </w:r>
      <w:r w:rsidR="00136D66" w:rsidRPr="00D37DA0">
        <w:rPr>
          <w:rFonts w:ascii="Arial" w:hAnsi="Arial" w:cs="Arial"/>
        </w:rPr>
        <w:t xml:space="preserve">Several authors and professionals have also highlighted the significance of protecting one’s freedom and the risk associated with </w:t>
      </w:r>
      <w:r w:rsidR="005C03FD" w:rsidRPr="00D37DA0">
        <w:rPr>
          <w:rFonts w:ascii="Arial" w:hAnsi="Arial" w:cs="Arial"/>
        </w:rPr>
        <w:t>identifying</w:t>
      </w:r>
      <w:r w:rsidR="00136D66" w:rsidRPr="00D37DA0">
        <w:rPr>
          <w:rFonts w:ascii="Arial" w:hAnsi="Arial" w:cs="Arial"/>
        </w:rPr>
        <w:t xml:space="preserve"> </w:t>
      </w:r>
      <w:r w:rsidR="004B73D4">
        <w:rPr>
          <w:rFonts w:ascii="Arial" w:hAnsi="Arial" w:cs="Arial"/>
        </w:rPr>
        <w:t xml:space="preserve">a </w:t>
      </w:r>
      <w:r w:rsidR="00136D66" w:rsidRPr="00D37DA0">
        <w:rPr>
          <w:rFonts w:ascii="Arial" w:hAnsi="Arial" w:cs="Arial"/>
        </w:rPr>
        <w:t>general duty to act</w:t>
      </w:r>
      <w:r w:rsidR="00AA5B8D" w:rsidRPr="00D37DA0">
        <w:rPr>
          <w:rFonts w:ascii="Arial" w:hAnsi="Arial" w:cs="Arial"/>
        </w:rPr>
        <w:t xml:space="preserve"> (</w:t>
      </w:r>
      <w:r w:rsidR="00AA5B8D" w:rsidRPr="00D37DA0">
        <w:rPr>
          <w:rFonts w:ascii="Arial" w:hAnsi="Arial" w:cs="Arial"/>
          <w:szCs w:val="24"/>
          <w:shd w:val="clear" w:color="auto" w:fill="FFFFFF"/>
        </w:rPr>
        <w:t>Robinson, 2019</w:t>
      </w:r>
      <w:r w:rsidR="00AA5B8D" w:rsidRPr="00D37DA0">
        <w:rPr>
          <w:rFonts w:ascii="Arial" w:hAnsi="Arial" w:cs="Arial"/>
        </w:rPr>
        <w:t>)</w:t>
      </w:r>
      <w:r w:rsidR="00136D66" w:rsidRPr="00D37DA0">
        <w:rPr>
          <w:rFonts w:ascii="Arial" w:hAnsi="Arial" w:cs="Arial"/>
        </w:rPr>
        <w:t xml:space="preserve">. It shall </w:t>
      </w:r>
      <w:r w:rsidR="005C03FD" w:rsidRPr="00D37DA0">
        <w:rPr>
          <w:rFonts w:ascii="Arial" w:hAnsi="Arial" w:cs="Arial"/>
        </w:rPr>
        <w:t>challenge</w:t>
      </w:r>
      <w:r w:rsidR="00136D66" w:rsidRPr="00D37DA0">
        <w:rPr>
          <w:rFonts w:ascii="Arial" w:hAnsi="Arial" w:cs="Arial"/>
        </w:rPr>
        <w:t xml:space="preserve"> freedom and implement collective responsibility. </w:t>
      </w:r>
    </w:p>
    <w:p w14:paraId="1D37A7BF" w14:textId="7C34D743" w:rsidR="00F31BC3" w:rsidRPr="00D37DA0" w:rsidRDefault="00B83C27" w:rsidP="007F2889">
      <w:pPr>
        <w:spacing w:line="480" w:lineRule="auto"/>
        <w:rPr>
          <w:rFonts w:ascii="Arial" w:hAnsi="Arial" w:cs="Arial"/>
        </w:rPr>
      </w:pPr>
      <w:r w:rsidRPr="00D37DA0">
        <w:rPr>
          <w:rFonts w:ascii="Arial" w:hAnsi="Arial" w:cs="Arial"/>
        </w:rPr>
        <w:t>Critics argue</w:t>
      </w:r>
      <w:r w:rsidR="004B73D4">
        <w:rPr>
          <w:rFonts w:ascii="Arial" w:hAnsi="Arial" w:cs="Arial"/>
        </w:rPr>
        <w:t xml:space="preserve"> </w:t>
      </w:r>
      <w:r w:rsidR="00542CDD" w:rsidRPr="00D37DA0">
        <w:rPr>
          <w:rFonts w:ascii="Arial" w:hAnsi="Arial" w:cs="Arial"/>
        </w:rPr>
        <w:t xml:space="preserve">that </w:t>
      </w:r>
      <w:r w:rsidR="004B73D4">
        <w:rPr>
          <w:rFonts w:ascii="Arial" w:hAnsi="Arial" w:cs="Arial"/>
        </w:rPr>
        <w:t>the general duty to act is imposed, which could result in the creation of unreasonable restrictions and burdens</w:t>
      </w:r>
      <w:r w:rsidR="00542CDD" w:rsidRPr="00D37DA0">
        <w:rPr>
          <w:rFonts w:ascii="Arial" w:hAnsi="Arial" w:cs="Arial"/>
        </w:rPr>
        <w:t xml:space="preserve"> and limitless liability on individuals. It was suggested that these duties could result </w:t>
      </w:r>
      <w:r w:rsidR="004B73D4">
        <w:rPr>
          <w:rFonts w:ascii="Arial" w:hAnsi="Arial" w:cs="Arial"/>
        </w:rPr>
        <w:t>in</w:t>
      </w:r>
      <w:r w:rsidR="00542CDD" w:rsidRPr="00D37DA0">
        <w:rPr>
          <w:rFonts w:ascii="Arial" w:hAnsi="Arial" w:cs="Arial"/>
        </w:rPr>
        <w:t xml:space="preserve"> various practical and legal challenges along with problems of unfair prosecution risk and proving causation. This could tend to infringe on autonomy and freedoms as one could </w:t>
      </w:r>
      <w:r w:rsidR="004B73D4">
        <w:rPr>
          <w:rFonts w:ascii="Arial" w:hAnsi="Arial" w:cs="Arial"/>
        </w:rPr>
        <w:t xml:space="preserve">be required to legally intervene in conditions that might have been </w:t>
      </w:r>
      <w:r w:rsidR="00542CDD" w:rsidRPr="00D37DA0">
        <w:rPr>
          <w:rFonts w:ascii="Arial" w:hAnsi="Arial" w:cs="Arial"/>
        </w:rPr>
        <w:t>avoided</w:t>
      </w:r>
      <w:r w:rsidR="00F33F39" w:rsidRPr="00D37DA0">
        <w:rPr>
          <w:rFonts w:ascii="Arial" w:hAnsi="Arial" w:cs="Arial"/>
        </w:rPr>
        <w:t xml:space="preserve"> (</w:t>
      </w:r>
      <w:proofErr w:type="spellStart"/>
      <w:r w:rsidR="00F33F39" w:rsidRPr="00D37DA0">
        <w:rPr>
          <w:rFonts w:ascii="Arial" w:hAnsi="Arial" w:cs="Arial"/>
          <w:szCs w:val="24"/>
          <w:shd w:val="clear" w:color="auto" w:fill="FFFFFF"/>
        </w:rPr>
        <w:t>Bassiouni</w:t>
      </w:r>
      <w:proofErr w:type="spellEnd"/>
      <w:r w:rsidR="00F33F39" w:rsidRPr="00D37DA0">
        <w:rPr>
          <w:rFonts w:ascii="Arial" w:hAnsi="Arial" w:cs="Arial"/>
          <w:szCs w:val="24"/>
          <w:shd w:val="clear" w:color="auto" w:fill="FFFFFF"/>
        </w:rPr>
        <w:t>, 2023</w:t>
      </w:r>
      <w:r w:rsidR="00F33F39" w:rsidRPr="00D37DA0">
        <w:rPr>
          <w:rFonts w:ascii="Arial" w:hAnsi="Arial" w:cs="Arial"/>
        </w:rPr>
        <w:t>)</w:t>
      </w:r>
      <w:r w:rsidR="00542CDD" w:rsidRPr="00D37DA0">
        <w:rPr>
          <w:rFonts w:ascii="Arial" w:hAnsi="Arial" w:cs="Arial"/>
        </w:rPr>
        <w:t xml:space="preserve">. </w:t>
      </w:r>
      <w:r w:rsidR="005C03FD" w:rsidRPr="00D37DA0">
        <w:rPr>
          <w:rFonts w:ascii="Arial" w:hAnsi="Arial" w:cs="Arial"/>
        </w:rPr>
        <w:t xml:space="preserve">At last, it is the interest of </w:t>
      </w:r>
      <w:r w:rsidR="005C03FD" w:rsidRPr="00D37DA0">
        <w:rPr>
          <w:rFonts w:ascii="Arial" w:hAnsi="Arial" w:cs="Arial"/>
        </w:rPr>
        <w:lastRenderedPageBreak/>
        <w:t xml:space="preserve">the people in the society to help one another. The question related to </w:t>
      </w:r>
      <w:r w:rsidR="004B73D4">
        <w:rPr>
          <w:rFonts w:ascii="Arial" w:hAnsi="Arial" w:cs="Arial"/>
        </w:rPr>
        <w:t>the duty to act arises when moral obligation turns into</w:t>
      </w:r>
      <w:r w:rsidR="005C03FD" w:rsidRPr="00D37DA0">
        <w:rPr>
          <w:rFonts w:ascii="Arial" w:hAnsi="Arial" w:cs="Arial"/>
        </w:rPr>
        <w:t xml:space="preserve"> a legal duty. </w:t>
      </w:r>
      <w:r w:rsidR="004B73D4">
        <w:rPr>
          <w:rFonts w:ascii="Arial" w:hAnsi="Arial" w:cs="Arial"/>
        </w:rPr>
        <w:t xml:space="preserve">English criminal law approaches a legal duty to act in a particular situation rather than </w:t>
      </w:r>
      <w:r w:rsidR="005C03FD" w:rsidRPr="00D37DA0">
        <w:rPr>
          <w:rFonts w:ascii="Arial" w:hAnsi="Arial" w:cs="Arial"/>
        </w:rPr>
        <w:t>formulating a general duty to act</w:t>
      </w:r>
      <w:r w:rsidR="00AA5B8D" w:rsidRPr="00D37DA0">
        <w:rPr>
          <w:rFonts w:ascii="Arial" w:hAnsi="Arial" w:cs="Arial"/>
        </w:rPr>
        <w:t xml:space="preserve"> (</w:t>
      </w:r>
      <w:proofErr w:type="spellStart"/>
      <w:r w:rsidR="00AA5B8D" w:rsidRPr="00D37DA0">
        <w:rPr>
          <w:rFonts w:ascii="Arial" w:hAnsi="Arial" w:cs="Arial"/>
          <w:szCs w:val="24"/>
          <w:shd w:val="clear" w:color="auto" w:fill="FFFFFF"/>
        </w:rPr>
        <w:t>Bronitt</w:t>
      </w:r>
      <w:proofErr w:type="spellEnd"/>
      <w:r w:rsidR="00AA5B8D" w:rsidRPr="00D37DA0">
        <w:rPr>
          <w:rFonts w:ascii="Arial" w:hAnsi="Arial" w:cs="Arial"/>
          <w:szCs w:val="24"/>
          <w:shd w:val="clear" w:color="auto" w:fill="FFFFFF"/>
        </w:rPr>
        <w:t xml:space="preserve"> &amp; McSherry, 2017</w:t>
      </w:r>
      <w:r w:rsidR="00AA5B8D" w:rsidRPr="00D37DA0">
        <w:rPr>
          <w:rFonts w:ascii="Arial" w:hAnsi="Arial" w:cs="Arial"/>
        </w:rPr>
        <w:t>)</w:t>
      </w:r>
      <w:r w:rsidR="005C03FD" w:rsidRPr="00D37DA0">
        <w:rPr>
          <w:rFonts w:ascii="Arial" w:hAnsi="Arial" w:cs="Arial"/>
        </w:rPr>
        <w:t xml:space="preserve">. For instance, in a special relationship, one could set down in </w:t>
      </w:r>
      <w:r w:rsidR="001E2D2C" w:rsidRPr="00D37DA0">
        <w:rPr>
          <w:rFonts w:ascii="Arial" w:hAnsi="Arial" w:cs="Arial"/>
        </w:rPr>
        <w:t>decree</w:t>
      </w:r>
      <w:r w:rsidR="005C03FD" w:rsidRPr="00D37DA0">
        <w:rPr>
          <w:rFonts w:ascii="Arial" w:hAnsi="Arial" w:cs="Arial"/>
        </w:rPr>
        <w:t xml:space="preserve">. </w:t>
      </w:r>
      <w:r w:rsidR="001E2D2C" w:rsidRPr="00D37DA0">
        <w:rPr>
          <w:rFonts w:ascii="Arial" w:hAnsi="Arial" w:cs="Arial"/>
        </w:rPr>
        <w:t xml:space="preserve">The main circumstances </w:t>
      </w:r>
      <w:r w:rsidR="004B73D4">
        <w:rPr>
          <w:rFonts w:ascii="Arial" w:hAnsi="Arial" w:cs="Arial"/>
        </w:rPr>
        <w:t>take place when the defendant's</w:t>
      </w:r>
      <w:r w:rsidR="001E2D2C" w:rsidRPr="00D37DA0">
        <w:rPr>
          <w:rFonts w:ascii="Arial" w:hAnsi="Arial" w:cs="Arial"/>
        </w:rPr>
        <w:t xml:space="preserve"> duty to act comes from duties stated as per the Act of Parliament. For example, the offence of child negligence is under section 1 </w:t>
      </w:r>
      <w:r w:rsidR="004B73D4">
        <w:rPr>
          <w:rFonts w:ascii="Arial" w:hAnsi="Arial" w:cs="Arial"/>
        </w:rPr>
        <w:t>of</w:t>
      </w:r>
      <w:r w:rsidR="001E2D2C" w:rsidRPr="00D37DA0">
        <w:rPr>
          <w:rFonts w:ascii="Arial" w:hAnsi="Arial" w:cs="Arial"/>
        </w:rPr>
        <w:t xml:space="preserve"> the Children and Young Persons Act 1933</w:t>
      </w:r>
      <w:r w:rsidR="00AA5B8D" w:rsidRPr="00D37DA0">
        <w:rPr>
          <w:rFonts w:ascii="Arial" w:hAnsi="Arial" w:cs="Arial"/>
        </w:rPr>
        <w:t xml:space="preserve"> (</w:t>
      </w:r>
      <w:r w:rsidR="00AA5B8D" w:rsidRPr="00D37DA0">
        <w:rPr>
          <w:rFonts w:ascii="Arial" w:hAnsi="Arial" w:cs="Arial"/>
          <w:szCs w:val="24"/>
          <w:shd w:val="clear" w:color="auto" w:fill="FFFFFF"/>
        </w:rPr>
        <w:t>Herring, 2021</w:t>
      </w:r>
      <w:r w:rsidR="00AA5B8D" w:rsidRPr="00D37DA0">
        <w:rPr>
          <w:rFonts w:ascii="Arial" w:hAnsi="Arial" w:cs="Arial"/>
        </w:rPr>
        <w:t>)</w:t>
      </w:r>
      <w:r w:rsidR="001E2D2C" w:rsidRPr="00D37DA0">
        <w:rPr>
          <w:rFonts w:ascii="Arial" w:hAnsi="Arial" w:cs="Arial"/>
        </w:rPr>
        <w:t xml:space="preserve">. It </w:t>
      </w:r>
      <w:r w:rsidR="004B73D4">
        <w:rPr>
          <w:rFonts w:ascii="Arial" w:hAnsi="Arial" w:cs="Arial"/>
        </w:rPr>
        <w:t>is an offence for the parents or the guardians to fail</w:t>
      </w:r>
      <w:r w:rsidR="001E2D2C" w:rsidRPr="00D37DA0">
        <w:rPr>
          <w:rFonts w:ascii="Arial" w:hAnsi="Arial" w:cs="Arial"/>
        </w:rPr>
        <w:t xml:space="preserve"> to deliver proper food, medical aid, clothing, and lodging for the children who are under their care. </w:t>
      </w:r>
    </w:p>
    <w:p w14:paraId="45A20C50" w14:textId="0F94FDD3" w:rsidR="003E4AFB" w:rsidRPr="00D37DA0" w:rsidRDefault="003E4AFB" w:rsidP="007F2889">
      <w:pPr>
        <w:spacing w:line="480" w:lineRule="auto"/>
        <w:rPr>
          <w:rFonts w:ascii="Arial" w:hAnsi="Arial" w:cs="Arial"/>
        </w:rPr>
      </w:pPr>
      <w:r w:rsidRPr="00D37DA0">
        <w:rPr>
          <w:rFonts w:ascii="Arial" w:hAnsi="Arial" w:cs="Arial"/>
        </w:rPr>
        <w:t xml:space="preserve">However, it could be urged that </w:t>
      </w:r>
      <w:r w:rsidR="004B73D4">
        <w:rPr>
          <w:rFonts w:ascii="Arial" w:hAnsi="Arial" w:cs="Arial"/>
        </w:rPr>
        <w:t xml:space="preserve">the benefit of liability subject to omission is that offences </w:t>
      </w:r>
      <w:r w:rsidRPr="00D37DA0">
        <w:rPr>
          <w:rFonts w:ascii="Arial" w:hAnsi="Arial" w:cs="Arial"/>
        </w:rPr>
        <w:t xml:space="preserve">are easy to prove. It is easy for the court to establish that the defendants were not able to act, </w:t>
      </w:r>
      <w:r w:rsidR="004B73D4">
        <w:rPr>
          <w:rFonts w:ascii="Arial" w:hAnsi="Arial" w:cs="Arial"/>
        </w:rPr>
        <w:t xml:space="preserve">or </w:t>
      </w:r>
      <w:r w:rsidRPr="00D37DA0">
        <w:rPr>
          <w:rFonts w:ascii="Arial" w:hAnsi="Arial" w:cs="Arial"/>
        </w:rPr>
        <w:t xml:space="preserve">else they carried out another act. It was argued that criminal offences by omission assures that </w:t>
      </w:r>
      <w:r w:rsidR="004B73D4">
        <w:rPr>
          <w:rFonts w:ascii="Arial" w:hAnsi="Arial" w:cs="Arial"/>
        </w:rPr>
        <w:t>responsibility is</w:t>
      </w:r>
      <w:r w:rsidRPr="00D37DA0">
        <w:rPr>
          <w:rFonts w:ascii="Arial" w:hAnsi="Arial" w:cs="Arial"/>
        </w:rPr>
        <w:t xml:space="preserve"> </w:t>
      </w:r>
      <w:r w:rsidR="003F299E" w:rsidRPr="00D37DA0">
        <w:rPr>
          <w:rFonts w:ascii="Arial" w:hAnsi="Arial" w:cs="Arial"/>
        </w:rPr>
        <w:t>answerable</w:t>
      </w:r>
      <w:r w:rsidRPr="00D37DA0">
        <w:rPr>
          <w:rFonts w:ascii="Arial" w:hAnsi="Arial" w:cs="Arial"/>
        </w:rPr>
        <w:t xml:space="preserve"> for one’s behaviour and does not go off free so easily</w:t>
      </w:r>
      <w:r w:rsidR="00AA5B8D" w:rsidRPr="00D37DA0">
        <w:rPr>
          <w:rFonts w:ascii="Arial" w:hAnsi="Arial" w:cs="Arial"/>
        </w:rPr>
        <w:t xml:space="preserve"> (</w:t>
      </w:r>
      <w:proofErr w:type="spellStart"/>
      <w:r w:rsidR="00AA5B8D" w:rsidRPr="00D37DA0">
        <w:rPr>
          <w:rFonts w:ascii="Arial" w:hAnsi="Arial" w:cs="Arial"/>
          <w:szCs w:val="24"/>
          <w:shd w:val="clear" w:color="auto" w:fill="FFFFFF"/>
        </w:rPr>
        <w:t>Bassiouni</w:t>
      </w:r>
      <w:proofErr w:type="spellEnd"/>
      <w:r w:rsidR="00AA5B8D" w:rsidRPr="00D37DA0">
        <w:rPr>
          <w:rFonts w:ascii="Arial" w:hAnsi="Arial" w:cs="Arial"/>
          <w:szCs w:val="24"/>
          <w:shd w:val="clear" w:color="auto" w:fill="FFFFFF"/>
        </w:rPr>
        <w:t>, 2023</w:t>
      </w:r>
      <w:r w:rsidR="00AA5B8D" w:rsidRPr="00D37DA0">
        <w:rPr>
          <w:rFonts w:ascii="Arial" w:hAnsi="Arial" w:cs="Arial"/>
        </w:rPr>
        <w:t>)</w:t>
      </w:r>
      <w:r w:rsidRPr="00D37DA0">
        <w:rPr>
          <w:rFonts w:ascii="Arial" w:hAnsi="Arial" w:cs="Arial"/>
        </w:rPr>
        <w:t xml:space="preserve">. </w:t>
      </w:r>
      <w:r w:rsidR="003F299E" w:rsidRPr="00D37DA0">
        <w:rPr>
          <w:rFonts w:ascii="Arial" w:hAnsi="Arial" w:cs="Arial"/>
        </w:rPr>
        <w:t xml:space="preserve">A </w:t>
      </w:r>
      <w:r w:rsidR="004B73D4">
        <w:rPr>
          <w:rFonts w:ascii="Arial" w:hAnsi="Arial" w:cs="Arial"/>
        </w:rPr>
        <w:t xml:space="preserve">counterargument could be made that a general duty to act would be implemented with an unfair burden upon common citizens and should be very </w:t>
      </w:r>
      <w:r w:rsidR="003F299E" w:rsidRPr="00D37DA0">
        <w:rPr>
          <w:rFonts w:ascii="Arial" w:hAnsi="Arial" w:cs="Arial"/>
        </w:rPr>
        <w:t>restrictive on their regular lives</w:t>
      </w:r>
      <w:r w:rsidR="009A5572" w:rsidRPr="00D37DA0">
        <w:rPr>
          <w:rFonts w:ascii="Arial" w:hAnsi="Arial" w:cs="Arial"/>
        </w:rPr>
        <w:t xml:space="preserve"> (</w:t>
      </w:r>
      <w:proofErr w:type="spellStart"/>
      <w:r w:rsidR="009A5572" w:rsidRPr="00D37DA0">
        <w:rPr>
          <w:rFonts w:ascii="Arial" w:hAnsi="Arial" w:cs="Arial"/>
          <w:szCs w:val="24"/>
          <w:shd w:val="clear" w:color="auto" w:fill="FFFFFF"/>
        </w:rPr>
        <w:t>Bronitt</w:t>
      </w:r>
      <w:proofErr w:type="spellEnd"/>
      <w:r w:rsidR="009A5572" w:rsidRPr="00D37DA0">
        <w:rPr>
          <w:rFonts w:ascii="Arial" w:hAnsi="Arial" w:cs="Arial"/>
          <w:szCs w:val="24"/>
          <w:shd w:val="clear" w:color="auto" w:fill="FFFFFF"/>
        </w:rPr>
        <w:t xml:space="preserve"> &amp; McSherry, 2017</w:t>
      </w:r>
      <w:r w:rsidR="009A5572" w:rsidRPr="00D37DA0">
        <w:rPr>
          <w:rFonts w:ascii="Arial" w:hAnsi="Arial" w:cs="Arial"/>
        </w:rPr>
        <w:t>)</w:t>
      </w:r>
      <w:r w:rsidR="003F299E" w:rsidRPr="00D37DA0">
        <w:rPr>
          <w:rFonts w:ascii="Arial" w:hAnsi="Arial" w:cs="Arial"/>
        </w:rPr>
        <w:t xml:space="preserve">. </w:t>
      </w:r>
    </w:p>
    <w:p w14:paraId="1FD05FD9" w14:textId="785C39C5" w:rsidR="009F0F9E" w:rsidRPr="00D37DA0" w:rsidRDefault="003F299E" w:rsidP="00D1671B">
      <w:pPr>
        <w:spacing w:line="480" w:lineRule="auto"/>
        <w:rPr>
          <w:rFonts w:ascii="Arial" w:hAnsi="Arial" w:cs="Arial"/>
        </w:rPr>
      </w:pPr>
      <w:r w:rsidRPr="00D37DA0">
        <w:rPr>
          <w:rFonts w:ascii="Arial" w:hAnsi="Arial" w:cs="Arial"/>
        </w:rPr>
        <w:t xml:space="preserve">Crimes related to omission are mainly useful in association </w:t>
      </w:r>
      <w:r w:rsidR="004B73D4">
        <w:rPr>
          <w:rFonts w:ascii="Arial" w:hAnsi="Arial" w:cs="Arial"/>
        </w:rPr>
        <w:t xml:space="preserve">with the </w:t>
      </w:r>
      <w:r w:rsidRPr="00D37DA0">
        <w:rPr>
          <w:rFonts w:ascii="Arial" w:hAnsi="Arial" w:cs="Arial"/>
        </w:rPr>
        <w:t xml:space="preserve">regulation of businesses. There are various situations in which people fail to act and face </w:t>
      </w:r>
      <w:r w:rsidR="004B73D4">
        <w:rPr>
          <w:rFonts w:ascii="Arial" w:hAnsi="Arial" w:cs="Arial"/>
        </w:rPr>
        <w:t>far-reaching</w:t>
      </w:r>
      <w:r w:rsidRPr="00D37DA0">
        <w:rPr>
          <w:rFonts w:ascii="Arial" w:hAnsi="Arial" w:cs="Arial"/>
        </w:rPr>
        <w:t xml:space="preserve"> circumstances for their other members in the surroundings. So, it is essential that organisations could prosecute their inactions. The organisations have resources to contract with critical situations and shield people</w:t>
      </w:r>
      <w:r w:rsidR="00AA5B8D" w:rsidRPr="00D37DA0">
        <w:rPr>
          <w:rFonts w:ascii="Arial" w:hAnsi="Arial" w:cs="Arial"/>
        </w:rPr>
        <w:t xml:space="preserve"> (</w:t>
      </w:r>
      <w:r w:rsidR="00AA5B8D" w:rsidRPr="00D37DA0">
        <w:rPr>
          <w:rFonts w:ascii="Arial" w:hAnsi="Arial" w:cs="Arial"/>
          <w:szCs w:val="24"/>
          <w:shd w:val="clear" w:color="auto" w:fill="FFFFFF"/>
        </w:rPr>
        <w:t>Robinson &amp; Darley, 2019</w:t>
      </w:r>
      <w:r w:rsidR="00AA5B8D" w:rsidRPr="00D37DA0">
        <w:rPr>
          <w:rFonts w:ascii="Arial" w:hAnsi="Arial" w:cs="Arial"/>
        </w:rPr>
        <w:t>)</w:t>
      </w:r>
      <w:r w:rsidRPr="00D37DA0">
        <w:rPr>
          <w:rFonts w:ascii="Arial" w:hAnsi="Arial" w:cs="Arial"/>
        </w:rPr>
        <w:t xml:space="preserve">. Moreover, the presence of </w:t>
      </w:r>
      <w:r w:rsidR="004B73D4">
        <w:rPr>
          <w:rFonts w:ascii="Arial" w:hAnsi="Arial" w:cs="Arial"/>
        </w:rPr>
        <w:t xml:space="preserve">a duty to act could enhance standards and would provide greater benefits towards </w:t>
      </w:r>
      <w:r w:rsidRPr="00D37DA0">
        <w:rPr>
          <w:rFonts w:ascii="Arial" w:hAnsi="Arial" w:cs="Arial"/>
        </w:rPr>
        <w:t xml:space="preserve">society. </w:t>
      </w:r>
      <w:r w:rsidR="009F0F9E" w:rsidRPr="00D37DA0">
        <w:rPr>
          <w:rFonts w:ascii="Arial" w:hAnsi="Arial" w:cs="Arial"/>
        </w:rPr>
        <w:br w:type="page"/>
      </w:r>
    </w:p>
    <w:p w14:paraId="77535F6B" w14:textId="3F0A8FE0" w:rsidR="007025C9" w:rsidRPr="00D37DA0" w:rsidRDefault="009F0F9E" w:rsidP="00715DD6">
      <w:pPr>
        <w:pStyle w:val="Heading1"/>
        <w:rPr>
          <w:color w:val="auto"/>
        </w:rPr>
      </w:pPr>
      <w:bookmarkStart w:id="8" w:name="_Toc169369177"/>
      <w:r w:rsidRPr="00D37DA0">
        <w:rPr>
          <w:color w:val="auto"/>
        </w:rPr>
        <w:lastRenderedPageBreak/>
        <w:t>Reference:</w:t>
      </w:r>
      <w:bookmarkEnd w:id="8"/>
    </w:p>
    <w:p w14:paraId="1A1A4C70" w14:textId="77777777" w:rsidR="00290123" w:rsidRPr="00D37DA0" w:rsidRDefault="00290123" w:rsidP="009F0F9E">
      <w:pPr>
        <w:rPr>
          <w:rFonts w:ascii="Arial" w:hAnsi="Arial" w:cs="Arial"/>
          <w:szCs w:val="24"/>
        </w:rPr>
      </w:pPr>
      <w:bookmarkStart w:id="9" w:name="_Hlk168159155"/>
      <w:proofErr w:type="spellStart"/>
      <w:r w:rsidRPr="00D37DA0">
        <w:rPr>
          <w:rFonts w:ascii="Arial" w:hAnsi="Arial" w:cs="Arial"/>
          <w:szCs w:val="24"/>
          <w:shd w:val="clear" w:color="auto" w:fill="FFFFFF"/>
        </w:rPr>
        <w:t>Bassiouni</w:t>
      </w:r>
      <w:proofErr w:type="spellEnd"/>
      <w:r w:rsidRPr="00D37DA0">
        <w:rPr>
          <w:rFonts w:ascii="Arial" w:hAnsi="Arial" w:cs="Arial"/>
          <w:szCs w:val="24"/>
          <w:shd w:val="clear" w:color="auto" w:fill="FFFFFF"/>
        </w:rPr>
        <w:t>,</w:t>
      </w:r>
      <w:bookmarkEnd w:id="9"/>
      <w:r w:rsidRPr="00D37DA0">
        <w:rPr>
          <w:rFonts w:ascii="Arial" w:hAnsi="Arial" w:cs="Arial"/>
          <w:szCs w:val="24"/>
          <w:shd w:val="clear" w:color="auto" w:fill="FFFFFF"/>
        </w:rPr>
        <w:t xml:space="preserve"> M. C. (2023). </w:t>
      </w:r>
      <w:r w:rsidRPr="00D37DA0">
        <w:rPr>
          <w:rFonts w:ascii="Arial" w:hAnsi="Arial" w:cs="Arial"/>
          <w:i/>
          <w:iCs/>
          <w:szCs w:val="24"/>
          <w:shd w:val="clear" w:color="auto" w:fill="FFFFFF"/>
        </w:rPr>
        <w:t>Crimes against humanity in international criminal law</w:t>
      </w:r>
      <w:r w:rsidRPr="00D37DA0">
        <w:rPr>
          <w:rFonts w:ascii="Arial" w:hAnsi="Arial" w:cs="Arial"/>
          <w:szCs w:val="24"/>
          <w:shd w:val="clear" w:color="auto" w:fill="FFFFFF"/>
        </w:rPr>
        <w:t>. BRILL.</w:t>
      </w:r>
    </w:p>
    <w:p w14:paraId="7DF32439" w14:textId="77777777" w:rsidR="00290123" w:rsidRPr="00D37DA0" w:rsidRDefault="00290123" w:rsidP="009F0F9E">
      <w:pPr>
        <w:rPr>
          <w:rFonts w:ascii="Arial" w:hAnsi="Arial" w:cs="Arial"/>
          <w:sz w:val="32"/>
          <w:szCs w:val="32"/>
        </w:rPr>
      </w:pPr>
      <w:bookmarkStart w:id="10" w:name="_Hlk168159287"/>
      <w:proofErr w:type="spellStart"/>
      <w:r w:rsidRPr="00D37DA0">
        <w:rPr>
          <w:rFonts w:ascii="Arial" w:hAnsi="Arial" w:cs="Arial"/>
          <w:szCs w:val="24"/>
          <w:shd w:val="clear" w:color="auto" w:fill="FFFFFF"/>
        </w:rPr>
        <w:t>Bronitt</w:t>
      </w:r>
      <w:proofErr w:type="spellEnd"/>
      <w:r w:rsidRPr="00D37DA0">
        <w:rPr>
          <w:rFonts w:ascii="Arial" w:hAnsi="Arial" w:cs="Arial"/>
          <w:szCs w:val="24"/>
          <w:shd w:val="clear" w:color="auto" w:fill="FFFFFF"/>
        </w:rPr>
        <w:t>, S., &amp; McSherry</w:t>
      </w:r>
      <w:bookmarkEnd w:id="10"/>
      <w:r w:rsidRPr="00D37DA0">
        <w:rPr>
          <w:rFonts w:ascii="Arial" w:hAnsi="Arial" w:cs="Arial"/>
          <w:szCs w:val="24"/>
          <w:shd w:val="clear" w:color="auto" w:fill="FFFFFF"/>
        </w:rPr>
        <w:t>, B. (2017</w:t>
      </w:r>
      <w:r w:rsidRPr="004B73D4">
        <w:rPr>
          <w:rFonts w:ascii="Arial" w:hAnsi="Arial" w:cs="Arial"/>
          <w:i/>
          <w:iCs/>
          <w:szCs w:val="24"/>
          <w:shd w:val="clear" w:color="auto" w:fill="FFFFFF"/>
        </w:rPr>
        <w:t>). Principles of criminal law 4e</w:t>
      </w:r>
      <w:r w:rsidRPr="00D37DA0">
        <w:rPr>
          <w:rFonts w:ascii="Arial" w:hAnsi="Arial" w:cs="Arial"/>
          <w:szCs w:val="24"/>
          <w:shd w:val="clear" w:color="auto" w:fill="FFFFFF"/>
        </w:rPr>
        <w:t>. </w:t>
      </w:r>
      <w:r w:rsidRPr="004B73D4">
        <w:t>Thomson Reuters</w:t>
      </w:r>
      <w:r w:rsidRPr="00D37DA0">
        <w:rPr>
          <w:rFonts w:ascii="Arial" w:hAnsi="Arial" w:cs="Arial"/>
          <w:szCs w:val="24"/>
          <w:shd w:val="clear" w:color="auto" w:fill="FFFFFF"/>
        </w:rPr>
        <w:t>.</w:t>
      </w:r>
    </w:p>
    <w:p w14:paraId="73C1A01B" w14:textId="77777777" w:rsidR="00290123" w:rsidRPr="00D37DA0" w:rsidRDefault="00290123" w:rsidP="009F0F9E">
      <w:pPr>
        <w:rPr>
          <w:rFonts w:ascii="Arial" w:hAnsi="Arial" w:cs="Arial"/>
          <w:szCs w:val="24"/>
          <w:shd w:val="clear" w:color="auto" w:fill="FFFFFF"/>
        </w:rPr>
      </w:pPr>
      <w:bookmarkStart w:id="11" w:name="_Hlk168158833"/>
      <w:r w:rsidRPr="00D37DA0">
        <w:rPr>
          <w:rFonts w:ascii="Arial" w:hAnsi="Arial" w:cs="Arial"/>
          <w:szCs w:val="24"/>
          <w:shd w:val="clear" w:color="auto" w:fill="FFFFFF"/>
        </w:rPr>
        <w:t>Campbell</w:t>
      </w:r>
      <w:bookmarkEnd w:id="11"/>
      <w:r w:rsidRPr="00D37DA0">
        <w:rPr>
          <w:rFonts w:ascii="Arial" w:hAnsi="Arial" w:cs="Arial"/>
          <w:szCs w:val="24"/>
          <w:shd w:val="clear" w:color="auto" w:fill="FFFFFF"/>
        </w:rPr>
        <w:t>, L. (2018). Corporate liability and the criminalisation of failure. </w:t>
      </w:r>
      <w:r w:rsidRPr="00D37DA0">
        <w:rPr>
          <w:rFonts w:ascii="Arial" w:hAnsi="Arial" w:cs="Arial"/>
          <w:i/>
          <w:iCs/>
          <w:szCs w:val="24"/>
          <w:shd w:val="clear" w:color="auto" w:fill="FFFFFF"/>
        </w:rPr>
        <w:t>Law and Financial Markets Review</w:t>
      </w:r>
      <w:r w:rsidRPr="00D37DA0">
        <w:rPr>
          <w:rFonts w:ascii="Arial" w:hAnsi="Arial" w:cs="Arial"/>
          <w:szCs w:val="24"/>
          <w:shd w:val="clear" w:color="auto" w:fill="FFFFFF"/>
        </w:rPr>
        <w:t>, </w:t>
      </w:r>
      <w:r w:rsidRPr="00D37DA0">
        <w:rPr>
          <w:rFonts w:ascii="Arial" w:hAnsi="Arial" w:cs="Arial"/>
          <w:i/>
          <w:iCs/>
          <w:szCs w:val="24"/>
          <w:shd w:val="clear" w:color="auto" w:fill="FFFFFF"/>
        </w:rPr>
        <w:t>12</w:t>
      </w:r>
      <w:r w:rsidRPr="00D37DA0">
        <w:rPr>
          <w:rFonts w:ascii="Arial" w:hAnsi="Arial" w:cs="Arial"/>
          <w:szCs w:val="24"/>
          <w:shd w:val="clear" w:color="auto" w:fill="FFFFFF"/>
        </w:rPr>
        <w:t>(2), 57-70.</w:t>
      </w:r>
    </w:p>
    <w:p w14:paraId="66282052" w14:textId="77777777" w:rsidR="00290123" w:rsidRPr="00D37DA0" w:rsidRDefault="00290123" w:rsidP="009F0F9E">
      <w:pPr>
        <w:rPr>
          <w:rFonts w:ascii="Arial" w:hAnsi="Arial" w:cs="Arial"/>
          <w:szCs w:val="24"/>
        </w:rPr>
      </w:pPr>
      <w:bookmarkStart w:id="12" w:name="_Hlk168158859"/>
      <w:r w:rsidRPr="00D37DA0">
        <w:rPr>
          <w:rFonts w:ascii="Arial" w:hAnsi="Arial" w:cs="Arial"/>
          <w:szCs w:val="24"/>
        </w:rPr>
        <w:t>Finch, E. and Fafinski</w:t>
      </w:r>
      <w:bookmarkEnd w:id="12"/>
      <w:r w:rsidRPr="00D37DA0">
        <w:rPr>
          <w:rFonts w:ascii="Arial" w:hAnsi="Arial" w:cs="Arial"/>
          <w:szCs w:val="24"/>
        </w:rPr>
        <w:t xml:space="preserve">, S. (2021) </w:t>
      </w:r>
      <w:r w:rsidRPr="00D37DA0">
        <w:rPr>
          <w:rFonts w:ascii="Arial" w:hAnsi="Arial" w:cs="Arial"/>
          <w:i/>
          <w:iCs/>
          <w:szCs w:val="24"/>
        </w:rPr>
        <w:t>Criminal law</w:t>
      </w:r>
      <w:r w:rsidRPr="00D37DA0">
        <w:rPr>
          <w:rFonts w:ascii="Arial" w:hAnsi="Arial" w:cs="Arial"/>
          <w:szCs w:val="24"/>
        </w:rPr>
        <w:t>. 8th edition. Harlow, England: Pearson.</w:t>
      </w:r>
    </w:p>
    <w:p w14:paraId="2C6CD503" w14:textId="77777777" w:rsidR="00290123" w:rsidRPr="00D37DA0" w:rsidRDefault="00290123" w:rsidP="009F0F9E">
      <w:pPr>
        <w:rPr>
          <w:rFonts w:ascii="Arial" w:hAnsi="Arial" w:cs="Arial"/>
          <w:szCs w:val="24"/>
        </w:rPr>
      </w:pPr>
      <w:bookmarkStart w:id="13" w:name="_Hlk168159098"/>
      <w:r w:rsidRPr="00D37DA0">
        <w:rPr>
          <w:rFonts w:ascii="Arial" w:hAnsi="Arial" w:cs="Arial"/>
          <w:szCs w:val="24"/>
          <w:shd w:val="clear" w:color="auto" w:fill="FFFFFF"/>
        </w:rPr>
        <w:t>Herring</w:t>
      </w:r>
      <w:bookmarkEnd w:id="13"/>
      <w:r w:rsidRPr="00D37DA0">
        <w:rPr>
          <w:rFonts w:ascii="Arial" w:hAnsi="Arial" w:cs="Arial"/>
          <w:szCs w:val="24"/>
          <w:shd w:val="clear" w:color="auto" w:fill="FFFFFF"/>
        </w:rPr>
        <w:t>, J. (2021). </w:t>
      </w:r>
      <w:r w:rsidRPr="00D37DA0">
        <w:rPr>
          <w:rFonts w:ascii="Arial" w:hAnsi="Arial" w:cs="Arial"/>
          <w:i/>
          <w:iCs/>
          <w:szCs w:val="24"/>
          <w:shd w:val="clear" w:color="auto" w:fill="FFFFFF"/>
        </w:rPr>
        <w:t>Criminal law: The basics</w:t>
      </w:r>
      <w:r w:rsidRPr="00D37DA0">
        <w:rPr>
          <w:rFonts w:ascii="Arial" w:hAnsi="Arial" w:cs="Arial"/>
          <w:szCs w:val="24"/>
          <w:shd w:val="clear" w:color="auto" w:fill="FFFFFF"/>
        </w:rPr>
        <w:t>. Routledge.</w:t>
      </w:r>
    </w:p>
    <w:p w14:paraId="6634AB28" w14:textId="77777777" w:rsidR="00290123" w:rsidRPr="00D37DA0" w:rsidRDefault="00290123" w:rsidP="009F0F9E">
      <w:pPr>
        <w:rPr>
          <w:rFonts w:ascii="Arial" w:hAnsi="Arial" w:cs="Arial"/>
          <w:szCs w:val="24"/>
        </w:rPr>
      </w:pPr>
      <w:r w:rsidRPr="00D37DA0">
        <w:rPr>
          <w:rFonts w:ascii="Arial" w:hAnsi="Arial" w:cs="Arial"/>
          <w:szCs w:val="24"/>
        </w:rPr>
        <w:t xml:space="preserve">Herring, J. (2022) </w:t>
      </w:r>
      <w:r w:rsidRPr="004B73D4">
        <w:rPr>
          <w:rFonts w:ascii="Arial" w:hAnsi="Arial" w:cs="Arial"/>
          <w:i/>
          <w:iCs/>
          <w:szCs w:val="24"/>
        </w:rPr>
        <w:t xml:space="preserve">Criminal </w:t>
      </w:r>
      <w:proofErr w:type="gramStart"/>
      <w:r w:rsidRPr="004B73D4">
        <w:rPr>
          <w:rFonts w:ascii="Arial" w:hAnsi="Arial" w:cs="Arial"/>
          <w:i/>
          <w:iCs/>
          <w:szCs w:val="24"/>
        </w:rPr>
        <w:t>law :</w:t>
      </w:r>
      <w:proofErr w:type="gramEnd"/>
      <w:r w:rsidRPr="004B73D4">
        <w:rPr>
          <w:rFonts w:ascii="Arial" w:hAnsi="Arial" w:cs="Arial"/>
          <w:i/>
          <w:iCs/>
          <w:szCs w:val="24"/>
        </w:rPr>
        <w:t xml:space="preserve"> text, cases, and materials</w:t>
      </w:r>
      <w:r w:rsidRPr="00D37DA0">
        <w:rPr>
          <w:rFonts w:ascii="Arial" w:hAnsi="Arial" w:cs="Arial"/>
          <w:szCs w:val="24"/>
        </w:rPr>
        <w:t>. Tenth edition. Oxford: Oxford University Press.</w:t>
      </w:r>
    </w:p>
    <w:p w14:paraId="0D96F9EC" w14:textId="77777777" w:rsidR="00290123" w:rsidRPr="00D37DA0" w:rsidRDefault="00290123" w:rsidP="009F0F9E">
      <w:pPr>
        <w:rPr>
          <w:rFonts w:ascii="Arial" w:hAnsi="Arial" w:cs="Arial"/>
          <w:szCs w:val="24"/>
        </w:rPr>
      </w:pPr>
      <w:bookmarkStart w:id="14" w:name="_Hlk168159121"/>
      <w:r w:rsidRPr="00D37DA0">
        <w:rPr>
          <w:rFonts w:ascii="Arial" w:hAnsi="Arial" w:cs="Arial"/>
          <w:szCs w:val="24"/>
          <w:shd w:val="clear" w:color="auto" w:fill="FFFFFF"/>
        </w:rPr>
        <w:t>Kaplan</w:t>
      </w:r>
      <w:bookmarkEnd w:id="14"/>
      <w:r w:rsidRPr="00D37DA0">
        <w:rPr>
          <w:rFonts w:ascii="Arial" w:hAnsi="Arial" w:cs="Arial"/>
          <w:szCs w:val="24"/>
          <w:shd w:val="clear" w:color="auto" w:fill="FFFFFF"/>
        </w:rPr>
        <w:t>, J., Weisberg, R., &amp; Binder, G. (2021). </w:t>
      </w:r>
      <w:r w:rsidRPr="00D37DA0">
        <w:rPr>
          <w:rFonts w:ascii="Arial" w:hAnsi="Arial" w:cs="Arial"/>
          <w:i/>
          <w:iCs/>
          <w:szCs w:val="24"/>
          <w:shd w:val="clear" w:color="auto" w:fill="FFFFFF"/>
        </w:rPr>
        <w:t>Criminal law: Cases and materials</w:t>
      </w:r>
      <w:r w:rsidRPr="00D37DA0">
        <w:rPr>
          <w:rFonts w:ascii="Arial" w:hAnsi="Arial" w:cs="Arial"/>
          <w:szCs w:val="24"/>
          <w:shd w:val="clear" w:color="auto" w:fill="FFFFFF"/>
        </w:rPr>
        <w:t>. Aspen Publishing.</w:t>
      </w:r>
    </w:p>
    <w:p w14:paraId="73FE84C9" w14:textId="77777777" w:rsidR="00290123" w:rsidRPr="00D37DA0" w:rsidRDefault="00290123" w:rsidP="0046671A">
      <w:pPr>
        <w:rPr>
          <w:rFonts w:ascii="Arial" w:hAnsi="Arial" w:cs="Arial"/>
          <w:sz w:val="32"/>
          <w:szCs w:val="32"/>
        </w:rPr>
      </w:pPr>
      <w:r w:rsidRPr="00D37DA0">
        <w:rPr>
          <w:rFonts w:ascii="Arial" w:hAnsi="Arial" w:cs="Arial"/>
          <w:szCs w:val="24"/>
          <w:shd w:val="clear" w:color="auto" w:fill="FFFFFF"/>
        </w:rPr>
        <w:t xml:space="preserve">Littlejohn, C. (2020). </w:t>
      </w:r>
      <w:r w:rsidRPr="004B73D4">
        <w:rPr>
          <w:rFonts w:ascii="Arial" w:hAnsi="Arial" w:cs="Arial"/>
          <w:i/>
          <w:iCs/>
          <w:szCs w:val="24"/>
          <w:shd w:val="clear" w:color="auto" w:fill="FFFFFF"/>
        </w:rPr>
        <w:t>Truth, knowledge, and the standard of proof in criminal law. </w:t>
      </w:r>
      <w:proofErr w:type="spellStart"/>
      <w:r w:rsidRPr="004B73D4">
        <w:rPr>
          <w:rFonts w:ascii="Arial" w:hAnsi="Arial" w:cs="Arial"/>
          <w:i/>
          <w:iCs/>
          <w:szCs w:val="24"/>
          <w:shd w:val="clear" w:color="auto" w:fill="FFFFFF"/>
        </w:rPr>
        <w:t>Synthese</w:t>
      </w:r>
      <w:proofErr w:type="spellEnd"/>
      <w:r w:rsidRPr="004B73D4">
        <w:rPr>
          <w:rFonts w:ascii="Arial" w:hAnsi="Arial" w:cs="Arial"/>
          <w:i/>
          <w:iCs/>
          <w:szCs w:val="24"/>
          <w:shd w:val="clear" w:color="auto" w:fill="FFFFFF"/>
        </w:rPr>
        <w:t>,</w:t>
      </w:r>
      <w:r w:rsidRPr="00D37DA0">
        <w:rPr>
          <w:rFonts w:ascii="Arial" w:hAnsi="Arial" w:cs="Arial"/>
          <w:szCs w:val="24"/>
          <w:shd w:val="clear" w:color="auto" w:fill="FFFFFF"/>
        </w:rPr>
        <w:t> </w:t>
      </w:r>
      <w:r w:rsidRPr="00D37DA0">
        <w:rPr>
          <w:rFonts w:ascii="Arial" w:hAnsi="Arial" w:cs="Arial"/>
          <w:i/>
          <w:iCs/>
          <w:szCs w:val="24"/>
          <w:shd w:val="clear" w:color="auto" w:fill="FFFFFF"/>
        </w:rPr>
        <w:t>197</w:t>
      </w:r>
      <w:r w:rsidRPr="00D37DA0">
        <w:rPr>
          <w:rFonts w:ascii="Arial" w:hAnsi="Arial" w:cs="Arial"/>
          <w:szCs w:val="24"/>
          <w:shd w:val="clear" w:color="auto" w:fill="FFFFFF"/>
        </w:rPr>
        <w:t>(12), 5253-5286.</w:t>
      </w:r>
    </w:p>
    <w:p w14:paraId="0638F9C0" w14:textId="77777777" w:rsidR="00290123" w:rsidRPr="00D37DA0" w:rsidRDefault="00290123" w:rsidP="009F0F9E">
      <w:pPr>
        <w:rPr>
          <w:rFonts w:ascii="Arial" w:hAnsi="Arial" w:cs="Arial"/>
          <w:szCs w:val="24"/>
        </w:rPr>
      </w:pPr>
      <w:bookmarkStart w:id="15" w:name="_Hlk168158884"/>
      <w:r w:rsidRPr="00D37DA0">
        <w:rPr>
          <w:rFonts w:ascii="Arial" w:hAnsi="Arial" w:cs="Arial"/>
          <w:szCs w:val="24"/>
        </w:rPr>
        <w:t>Macdonald</w:t>
      </w:r>
      <w:bookmarkEnd w:id="15"/>
      <w:r w:rsidRPr="00D37DA0">
        <w:rPr>
          <w:rFonts w:ascii="Arial" w:hAnsi="Arial" w:cs="Arial"/>
          <w:szCs w:val="24"/>
        </w:rPr>
        <w:t xml:space="preserve">, S.K. (2018) </w:t>
      </w:r>
      <w:r w:rsidRPr="004B73D4">
        <w:rPr>
          <w:rFonts w:ascii="Arial" w:hAnsi="Arial" w:cs="Arial"/>
          <w:i/>
          <w:iCs/>
          <w:szCs w:val="24"/>
        </w:rPr>
        <w:t>Text, cases, and materials on criminal law</w:t>
      </w:r>
      <w:r w:rsidRPr="00D37DA0">
        <w:rPr>
          <w:rFonts w:ascii="Arial" w:hAnsi="Arial" w:cs="Arial"/>
          <w:szCs w:val="24"/>
        </w:rPr>
        <w:t>. Second edition. Harlow, England: Pearson Education Limited.</w:t>
      </w:r>
    </w:p>
    <w:p w14:paraId="52D1EF6C" w14:textId="77777777" w:rsidR="00290123" w:rsidRPr="00D37DA0" w:rsidRDefault="00290123" w:rsidP="009F0F9E">
      <w:pPr>
        <w:rPr>
          <w:rFonts w:ascii="Arial" w:hAnsi="Arial" w:cs="Arial"/>
          <w:szCs w:val="24"/>
        </w:rPr>
      </w:pPr>
      <w:bookmarkStart w:id="16" w:name="_Hlk168158999"/>
      <w:r w:rsidRPr="00D37DA0">
        <w:rPr>
          <w:rFonts w:ascii="Arial" w:hAnsi="Arial" w:cs="Arial"/>
          <w:szCs w:val="24"/>
          <w:shd w:val="clear" w:color="auto" w:fill="FFFFFF"/>
        </w:rPr>
        <w:t>Robinson</w:t>
      </w:r>
      <w:bookmarkEnd w:id="16"/>
      <w:r w:rsidRPr="00D37DA0">
        <w:rPr>
          <w:rFonts w:ascii="Arial" w:hAnsi="Arial" w:cs="Arial"/>
          <w:szCs w:val="24"/>
          <w:shd w:val="clear" w:color="auto" w:fill="FFFFFF"/>
        </w:rPr>
        <w:t>, P. H. (2017). Imputed criminal liability. In </w:t>
      </w:r>
      <w:r w:rsidRPr="00D37DA0">
        <w:rPr>
          <w:rFonts w:ascii="Arial" w:hAnsi="Arial" w:cs="Arial"/>
          <w:i/>
          <w:iCs/>
          <w:szCs w:val="24"/>
          <w:shd w:val="clear" w:color="auto" w:fill="FFFFFF"/>
        </w:rPr>
        <w:t>The Structure and Limits of Criminal Law</w:t>
      </w:r>
      <w:r w:rsidRPr="00D37DA0">
        <w:rPr>
          <w:rFonts w:ascii="Arial" w:hAnsi="Arial" w:cs="Arial"/>
          <w:szCs w:val="24"/>
          <w:shd w:val="clear" w:color="auto" w:fill="FFFFFF"/>
        </w:rPr>
        <w:t> (pp. 29-96). Routledge.</w:t>
      </w:r>
    </w:p>
    <w:p w14:paraId="5ADAF6AC" w14:textId="77777777" w:rsidR="00290123" w:rsidRPr="00D37DA0" w:rsidRDefault="00290123" w:rsidP="009F0F9E">
      <w:pPr>
        <w:rPr>
          <w:rFonts w:ascii="Arial" w:hAnsi="Arial" w:cs="Arial"/>
          <w:szCs w:val="24"/>
        </w:rPr>
      </w:pPr>
      <w:bookmarkStart w:id="17" w:name="_Hlk168159071"/>
      <w:r w:rsidRPr="00D37DA0">
        <w:rPr>
          <w:rFonts w:ascii="Arial" w:hAnsi="Arial" w:cs="Arial"/>
          <w:szCs w:val="24"/>
          <w:shd w:val="clear" w:color="auto" w:fill="FFFFFF"/>
        </w:rPr>
        <w:t>Robinson,</w:t>
      </w:r>
      <w:bookmarkEnd w:id="17"/>
      <w:r w:rsidRPr="00D37DA0">
        <w:rPr>
          <w:rFonts w:ascii="Arial" w:hAnsi="Arial" w:cs="Arial"/>
          <w:szCs w:val="24"/>
          <w:shd w:val="clear" w:color="auto" w:fill="FFFFFF"/>
        </w:rPr>
        <w:t xml:space="preserve"> P. H. (2019). </w:t>
      </w:r>
      <w:r w:rsidRPr="00D37DA0">
        <w:rPr>
          <w:rFonts w:ascii="Arial" w:hAnsi="Arial" w:cs="Arial"/>
          <w:i/>
          <w:iCs/>
          <w:szCs w:val="24"/>
          <w:shd w:val="clear" w:color="auto" w:fill="FFFFFF"/>
        </w:rPr>
        <w:t>Justice, liability, and blame: Community views and the criminal law</w:t>
      </w:r>
      <w:r w:rsidRPr="00D37DA0">
        <w:rPr>
          <w:rFonts w:ascii="Arial" w:hAnsi="Arial" w:cs="Arial"/>
          <w:szCs w:val="24"/>
          <w:shd w:val="clear" w:color="auto" w:fill="FFFFFF"/>
        </w:rPr>
        <w:t>. Routledge.</w:t>
      </w:r>
    </w:p>
    <w:p w14:paraId="1D3608AA" w14:textId="77777777" w:rsidR="00290123" w:rsidRPr="00D37DA0" w:rsidRDefault="00290123" w:rsidP="009F0F9E">
      <w:pPr>
        <w:rPr>
          <w:rFonts w:ascii="Arial" w:hAnsi="Arial" w:cs="Arial"/>
          <w:szCs w:val="24"/>
          <w:shd w:val="clear" w:color="auto" w:fill="FFFFFF"/>
        </w:rPr>
      </w:pPr>
      <w:bookmarkStart w:id="18" w:name="_Hlk168159191"/>
      <w:r w:rsidRPr="00D37DA0">
        <w:rPr>
          <w:rFonts w:ascii="Arial" w:hAnsi="Arial" w:cs="Arial"/>
          <w:szCs w:val="24"/>
          <w:shd w:val="clear" w:color="auto" w:fill="FFFFFF"/>
        </w:rPr>
        <w:t>Robinson, P. H., &amp; Darley</w:t>
      </w:r>
      <w:bookmarkEnd w:id="18"/>
      <w:r w:rsidRPr="00D37DA0">
        <w:rPr>
          <w:rFonts w:ascii="Arial" w:hAnsi="Arial" w:cs="Arial"/>
          <w:szCs w:val="24"/>
          <w:shd w:val="clear" w:color="auto" w:fill="FFFFFF"/>
        </w:rPr>
        <w:t xml:space="preserve">, J. M. (2019). The role of deterrence in the formulation of criminal law rules: At its worst when doing its best. </w:t>
      </w:r>
      <w:r w:rsidRPr="004B73D4">
        <w:rPr>
          <w:rFonts w:ascii="Arial" w:hAnsi="Arial" w:cs="Arial"/>
          <w:i/>
          <w:iCs/>
          <w:szCs w:val="24"/>
          <w:shd w:val="clear" w:color="auto" w:fill="FFFFFF"/>
        </w:rPr>
        <w:t>In</w:t>
      </w:r>
      <w:r w:rsidRPr="00D37DA0">
        <w:rPr>
          <w:rFonts w:ascii="Arial" w:hAnsi="Arial" w:cs="Arial"/>
          <w:szCs w:val="24"/>
          <w:shd w:val="clear" w:color="auto" w:fill="FFFFFF"/>
        </w:rPr>
        <w:t> </w:t>
      </w:r>
      <w:r w:rsidRPr="00D37DA0">
        <w:rPr>
          <w:rFonts w:ascii="Arial" w:hAnsi="Arial" w:cs="Arial"/>
          <w:i/>
          <w:iCs/>
          <w:szCs w:val="24"/>
          <w:shd w:val="clear" w:color="auto" w:fill="FFFFFF"/>
        </w:rPr>
        <w:t>Deterrence</w:t>
      </w:r>
      <w:r w:rsidRPr="00D37DA0">
        <w:rPr>
          <w:rFonts w:ascii="Arial" w:hAnsi="Arial" w:cs="Arial"/>
          <w:szCs w:val="24"/>
          <w:shd w:val="clear" w:color="auto" w:fill="FFFFFF"/>
        </w:rPr>
        <w:t> (pp. 3-56). Routledge.</w:t>
      </w:r>
    </w:p>
    <w:p w14:paraId="3CF735FA" w14:textId="77777777" w:rsidR="00290123" w:rsidRPr="00D37DA0" w:rsidRDefault="00290123" w:rsidP="009F0F9E">
      <w:pPr>
        <w:rPr>
          <w:rFonts w:ascii="Arial" w:hAnsi="Arial" w:cs="Arial"/>
          <w:szCs w:val="24"/>
        </w:rPr>
      </w:pPr>
      <w:bookmarkStart w:id="19" w:name="_Hlk168159025"/>
      <w:r w:rsidRPr="00D37DA0">
        <w:rPr>
          <w:rFonts w:ascii="Arial" w:hAnsi="Arial" w:cs="Arial"/>
          <w:szCs w:val="24"/>
          <w:shd w:val="clear" w:color="auto" w:fill="FFFFFF"/>
        </w:rPr>
        <w:t xml:space="preserve">Sepinwall, </w:t>
      </w:r>
      <w:bookmarkEnd w:id="19"/>
      <w:r w:rsidRPr="00D37DA0">
        <w:rPr>
          <w:rFonts w:ascii="Arial" w:hAnsi="Arial" w:cs="Arial"/>
          <w:szCs w:val="24"/>
          <w:shd w:val="clear" w:color="auto" w:fill="FFFFFF"/>
        </w:rPr>
        <w:t>A. J. (2017). Faultless Guilt: Toward a Relationship-Based Account of Criminal Liability. </w:t>
      </w:r>
      <w:r w:rsidRPr="00D37DA0">
        <w:rPr>
          <w:rFonts w:ascii="Arial" w:hAnsi="Arial" w:cs="Arial"/>
          <w:i/>
          <w:iCs/>
          <w:szCs w:val="24"/>
          <w:shd w:val="clear" w:color="auto" w:fill="FFFFFF"/>
        </w:rPr>
        <w:t>Am. Crim. L. Rev.</w:t>
      </w:r>
      <w:r w:rsidRPr="00D37DA0">
        <w:rPr>
          <w:rFonts w:ascii="Arial" w:hAnsi="Arial" w:cs="Arial"/>
          <w:szCs w:val="24"/>
          <w:shd w:val="clear" w:color="auto" w:fill="FFFFFF"/>
        </w:rPr>
        <w:t>, </w:t>
      </w:r>
      <w:r w:rsidRPr="00D37DA0">
        <w:rPr>
          <w:rFonts w:ascii="Arial" w:hAnsi="Arial" w:cs="Arial"/>
          <w:i/>
          <w:iCs/>
          <w:szCs w:val="24"/>
          <w:shd w:val="clear" w:color="auto" w:fill="FFFFFF"/>
        </w:rPr>
        <w:t>54</w:t>
      </w:r>
      <w:r w:rsidRPr="00D37DA0">
        <w:rPr>
          <w:rFonts w:ascii="Arial" w:hAnsi="Arial" w:cs="Arial"/>
          <w:szCs w:val="24"/>
          <w:shd w:val="clear" w:color="auto" w:fill="FFFFFF"/>
        </w:rPr>
        <w:t>, 521.</w:t>
      </w:r>
    </w:p>
    <w:p w14:paraId="72DE97F3" w14:textId="77777777" w:rsidR="00290123" w:rsidRPr="00D37DA0" w:rsidRDefault="00290123" w:rsidP="009F0F9E">
      <w:pPr>
        <w:rPr>
          <w:rFonts w:ascii="Arial" w:hAnsi="Arial" w:cs="Arial"/>
          <w:szCs w:val="24"/>
        </w:rPr>
      </w:pPr>
      <w:bookmarkStart w:id="20" w:name="_Hlk168158903"/>
      <w:r w:rsidRPr="00D37DA0">
        <w:rPr>
          <w:rFonts w:ascii="Arial" w:hAnsi="Arial" w:cs="Arial"/>
          <w:szCs w:val="24"/>
        </w:rPr>
        <w:t>Taylor</w:t>
      </w:r>
      <w:bookmarkEnd w:id="20"/>
      <w:r w:rsidRPr="00D37DA0">
        <w:rPr>
          <w:rFonts w:ascii="Arial" w:hAnsi="Arial" w:cs="Arial"/>
          <w:szCs w:val="24"/>
        </w:rPr>
        <w:t xml:space="preserve">, L. (2018) </w:t>
      </w:r>
      <w:r w:rsidRPr="004B73D4">
        <w:rPr>
          <w:rFonts w:ascii="Arial" w:hAnsi="Arial" w:cs="Arial"/>
          <w:i/>
          <w:iCs/>
          <w:szCs w:val="24"/>
        </w:rPr>
        <w:t>Elliott and Quinn’s criminal law</w:t>
      </w:r>
      <w:r w:rsidRPr="00D37DA0">
        <w:rPr>
          <w:rFonts w:ascii="Arial" w:hAnsi="Arial" w:cs="Arial"/>
          <w:szCs w:val="24"/>
        </w:rPr>
        <w:t>. Twelfth edition. Harlow, England ; Pearson Education Limited.</w:t>
      </w:r>
    </w:p>
    <w:p w14:paraId="60784734" w14:textId="77777777" w:rsidR="00290123" w:rsidRPr="00D37DA0" w:rsidRDefault="00290123" w:rsidP="009F0F9E">
      <w:pPr>
        <w:rPr>
          <w:rFonts w:ascii="Arial" w:hAnsi="Arial" w:cs="Arial"/>
          <w:szCs w:val="24"/>
          <w:shd w:val="clear" w:color="auto" w:fill="FFFFFF"/>
        </w:rPr>
      </w:pPr>
      <w:bookmarkStart w:id="21" w:name="_Hlk168158973"/>
      <w:r w:rsidRPr="00D37DA0">
        <w:rPr>
          <w:rFonts w:ascii="Arial" w:hAnsi="Arial" w:cs="Arial"/>
          <w:szCs w:val="24"/>
          <w:shd w:val="clear" w:color="auto" w:fill="FFFFFF"/>
        </w:rPr>
        <w:t>Williams</w:t>
      </w:r>
      <w:bookmarkEnd w:id="21"/>
      <w:r w:rsidRPr="00D37DA0">
        <w:rPr>
          <w:rFonts w:ascii="Arial" w:hAnsi="Arial" w:cs="Arial"/>
          <w:szCs w:val="24"/>
          <w:shd w:val="clear" w:color="auto" w:fill="FFFFFF"/>
        </w:rPr>
        <w:t>, G. (2022). What is Fundamental in Criminal Law?. </w:t>
      </w:r>
      <w:r w:rsidRPr="00D37DA0">
        <w:rPr>
          <w:rFonts w:ascii="Arial" w:hAnsi="Arial" w:cs="Arial"/>
          <w:i/>
          <w:iCs/>
          <w:szCs w:val="24"/>
          <w:shd w:val="clear" w:color="auto" w:fill="FFFFFF"/>
        </w:rPr>
        <w:t>Criminal Justice Ethics</w:t>
      </w:r>
      <w:r w:rsidRPr="00D37DA0">
        <w:rPr>
          <w:rFonts w:ascii="Arial" w:hAnsi="Arial" w:cs="Arial"/>
          <w:szCs w:val="24"/>
          <w:shd w:val="clear" w:color="auto" w:fill="FFFFFF"/>
        </w:rPr>
        <w:t>, </w:t>
      </w:r>
      <w:r w:rsidRPr="00D37DA0">
        <w:rPr>
          <w:rFonts w:ascii="Arial" w:hAnsi="Arial" w:cs="Arial"/>
          <w:i/>
          <w:iCs/>
          <w:szCs w:val="24"/>
          <w:shd w:val="clear" w:color="auto" w:fill="FFFFFF"/>
        </w:rPr>
        <w:t>41</w:t>
      </w:r>
      <w:r w:rsidRPr="00D37DA0">
        <w:rPr>
          <w:rFonts w:ascii="Arial" w:hAnsi="Arial" w:cs="Arial"/>
          <w:szCs w:val="24"/>
          <w:shd w:val="clear" w:color="auto" w:fill="FFFFFF"/>
        </w:rPr>
        <w:t>(3), 278-290.</w:t>
      </w:r>
    </w:p>
    <w:p w14:paraId="421B8928" w14:textId="528B0A88" w:rsidR="00B42245" w:rsidRPr="00D37DA0" w:rsidRDefault="00B42245" w:rsidP="00B42245">
      <w:pPr>
        <w:pStyle w:val="Heading1"/>
        <w:rPr>
          <w:color w:val="auto"/>
          <w:shd w:val="clear" w:color="auto" w:fill="FFFFFF"/>
        </w:rPr>
      </w:pPr>
      <w:bookmarkStart w:id="22" w:name="_Toc169369178"/>
      <w:r w:rsidRPr="00D37DA0">
        <w:rPr>
          <w:color w:val="auto"/>
          <w:shd w:val="clear" w:color="auto" w:fill="FFFFFF"/>
        </w:rPr>
        <w:lastRenderedPageBreak/>
        <w:t>Case laws:</w:t>
      </w:r>
      <w:bookmarkEnd w:id="22"/>
    </w:p>
    <w:p w14:paraId="21203D33" w14:textId="5B43420F" w:rsidR="00B42245" w:rsidRPr="00D37DA0" w:rsidRDefault="00B42245" w:rsidP="00B42245">
      <w:pPr>
        <w:rPr>
          <w:rFonts w:ascii="Arial" w:hAnsi="Arial" w:cs="Arial"/>
          <w:i/>
          <w:iCs/>
        </w:rPr>
      </w:pPr>
      <w:r w:rsidRPr="00D37DA0">
        <w:rPr>
          <w:rFonts w:ascii="Arial" w:hAnsi="Arial" w:cs="Arial"/>
          <w:i/>
          <w:iCs/>
        </w:rPr>
        <w:t xml:space="preserve">R v </w:t>
      </w:r>
      <w:proofErr w:type="spellStart"/>
      <w:r w:rsidRPr="00D37DA0">
        <w:rPr>
          <w:rFonts w:ascii="Arial" w:hAnsi="Arial" w:cs="Arial"/>
          <w:i/>
          <w:iCs/>
        </w:rPr>
        <w:t>Pittwood</w:t>
      </w:r>
      <w:proofErr w:type="spellEnd"/>
      <w:r w:rsidRPr="00D37DA0">
        <w:rPr>
          <w:rFonts w:ascii="Arial" w:hAnsi="Arial" w:cs="Arial"/>
          <w:i/>
          <w:iCs/>
        </w:rPr>
        <w:t xml:space="preserve"> (1902) 19 TLR 37</w:t>
      </w:r>
    </w:p>
    <w:p w14:paraId="5F0362A2" w14:textId="77777777" w:rsidR="00B42245" w:rsidRPr="00D37DA0" w:rsidRDefault="00B42245" w:rsidP="00B42245">
      <w:r w:rsidRPr="00D37DA0">
        <w:rPr>
          <w:rFonts w:ascii="Arial" w:hAnsi="Arial" w:cs="Arial"/>
          <w:i/>
          <w:iCs/>
        </w:rPr>
        <w:t xml:space="preserve">R v </w:t>
      </w:r>
      <w:proofErr w:type="spellStart"/>
      <w:r w:rsidRPr="00D37DA0">
        <w:rPr>
          <w:rFonts w:ascii="Arial" w:hAnsi="Arial" w:cs="Arial"/>
          <w:i/>
          <w:iCs/>
        </w:rPr>
        <w:t>Dytham</w:t>
      </w:r>
      <w:proofErr w:type="spellEnd"/>
      <w:r w:rsidRPr="00D37DA0">
        <w:rPr>
          <w:rFonts w:ascii="Arial" w:hAnsi="Arial" w:cs="Arial"/>
          <w:i/>
          <w:iCs/>
        </w:rPr>
        <w:t xml:space="preserve"> [1979] QB 722</w:t>
      </w:r>
    </w:p>
    <w:p w14:paraId="1FEBD332" w14:textId="77777777" w:rsidR="00B42245" w:rsidRPr="00D37DA0" w:rsidRDefault="00B42245" w:rsidP="00B42245">
      <w:r w:rsidRPr="00D37DA0">
        <w:rPr>
          <w:rFonts w:ascii="Arial" w:hAnsi="Arial" w:cs="Arial"/>
          <w:i/>
          <w:iCs/>
        </w:rPr>
        <w:t>R v Gibbins and Proctor (1919) 13 Cr App R 134</w:t>
      </w:r>
    </w:p>
    <w:p w14:paraId="3511DFAF" w14:textId="77777777" w:rsidR="00B42245" w:rsidRPr="00D37DA0" w:rsidRDefault="00B42245" w:rsidP="00B42245">
      <w:r w:rsidRPr="00D37DA0">
        <w:rPr>
          <w:rFonts w:ascii="Arial" w:hAnsi="Arial" w:cs="Arial"/>
          <w:i/>
          <w:iCs/>
        </w:rPr>
        <w:t>R v Stone and Dobinson [1977] QB 354</w:t>
      </w:r>
    </w:p>
    <w:p w14:paraId="3C2BC009" w14:textId="77777777" w:rsidR="00B42245" w:rsidRPr="00D37DA0" w:rsidRDefault="00B42245" w:rsidP="00B42245"/>
    <w:sectPr w:rsidR="00B42245" w:rsidRPr="00D37DA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270B73" w14:textId="77777777" w:rsidR="007D3600" w:rsidRDefault="007D3600" w:rsidP="007025C9">
      <w:pPr>
        <w:spacing w:after="0" w:line="240" w:lineRule="auto"/>
      </w:pPr>
      <w:r>
        <w:separator/>
      </w:r>
    </w:p>
  </w:endnote>
  <w:endnote w:type="continuationSeparator" w:id="0">
    <w:p w14:paraId="750E4490" w14:textId="77777777" w:rsidR="007D3600" w:rsidRDefault="007D3600" w:rsidP="00702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9093888"/>
      <w:docPartObj>
        <w:docPartGallery w:val="Page Numbers (Bottom of Page)"/>
        <w:docPartUnique/>
      </w:docPartObj>
    </w:sdtPr>
    <w:sdtEndPr>
      <w:rPr>
        <w:noProof/>
      </w:rPr>
    </w:sdtEndPr>
    <w:sdtContent>
      <w:p w14:paraId="5649FD49" w14:textId="38D4E978" w:rsidR="007025C9" w:rsidRDefault="007025C9">
        <w:pPr>
          <w:pStyle w:val="Footer"/>
          <w:jc w:val="center"/>
        </w:pPr>
        <w:r>
          <w:fldChar w:fldCharType="begin"/>
        </w:r>
        <w:r>
          <w:instrText xml:space="preserve"> PAGE   \* MERGEFORMAT </w:instrText>
        </w:r>
        <w:r>
          <w:fldChar w:fldCharType="separate"/>
        </w:r>
        <w:r w:rsidR="00DD15E0">
          <w:rPr>
            <w:noProof/>
          </w:rPr>
          <w:t>7</w:t>
        </w:r>
        <w:r>
          <w:rPr>
            <w:noProof/>
          </w:rPr>
          <w:fldChar w:fldCharType="end"/>
        </w:r>
      </w:p>
    </w:sdtContent>
  </w:sdt>
  <w:p w14:paraId="24EFBC60" w14:textId="77777777" w:rsidR="007025C9" w:rsidRDefault="00702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296604" w14:textId="77777777" w:rsidR="007D3600" w:rsidRDefault="007D3600" w:rsidP="007025C9">
      <w:pPr>
        <w:spacing w:after="0" w:line="240" w:lineRule="auto"/>
      </w:pPr>
      <w:r>
        <w:separator/>
      </w:r>
    </w:p>
  </w:footnote>
  <w:footnote w:type="continuationSeparator" w:id="0">
    <w:p w14:paraId="1A29DF73" w14:textId="77777777" w:rsidR="007D3600" w:rsidRDefault="007D3600" w:rsidP="007025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3B7E90"/>
    <w:multiLevelType w:val="hybridMultilevel"/>
    <w:tmpl w:val="519423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15126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2C55"/>
    <w:rsid w:val="0005750A"/>
    <w:rsid w:val="00087115"/>
    <w:rsid w:val="000A0EBD"/>
    <w:rsid w:val="000B396E"/>
    <w:rsid w:val="00102BF8"/>
    <w:rsid w:val="001252DC"/>
    <w:rsid w:val="00136D66"/>
    <w:rsid w:val="001A0B31"/>
    <w:rsid w:val="001C552F"/>
    <w:rsid w:val="001E2D2C"/>
    <w:rsid w:val="00201573"/>
    <w:rsid w:val="002708B7"/>
    <w:rsid w:val="00290123"/>
    <w:rsid w:val="002F2C55"/>
    <w:rsid w:val="00333D1D"/>
    <w:rsid w:val="003E4AFB"/>
    <w:rsid w:val="003F299E"/>
    <w:rsid w:val="003F4D88"/>
    <w:rsid w:val="004071FF"/>
    <w:rsid w:val="00446663"/>
    <w:rsid w:val="0046671A"/>
    <w:rsid w:val="004B73D4"/>
    <w:rsid w:val="00542CDD"/>
    <w:rsid w:val="005572D2"/>
    <w:rsid w:val="005B7488"/>
    <w:rsid w:val="005B7516"/>
    <w:rsid w:val="005C03FD"/>
    <w:rsid w:val="0064025F"/>
    <w:rsid w:val="00680585"/>
    <w:rsid w:val="006C1DE3"/>
    <w:rsid w:val="007025C9"/>
    <w:rsid w:val="00711640"/>
    <w:rsid w:val="00715DD6"/>
    <w:rsid w:val="007B54C8"/>
    <w:rsid w:val="007D3600"/>
    <w:rsid w:val="007E5724"/>
    <w:rsid w:val="007F2889"/>
    <w:rsid w:val="00856D0C"/>
    <w:rsid w:val="008A150D"/>
    <w:rsid w:val="009A5572"/>
    <w:rsid w:val="009B33F3"/>
    <w:rsid w:val="009C7DA3"/>
    <w:rsid w:val="009E7434"/>
    <w:rsid w:val="009F0F9E"/>
    <w:rsid w:val="00A156A6"/>
    <w:rsid w:val="00A21189"/>
    <w:rsid w:val="00A213C5"/>
    <w:rsid w:val="00A6241A"/>
    <w:rsid w:val="00A64ED8"/>
    <w:rsid w:val="00AA0001"/>
    <w:rsid w:val="00AA5B8D"/>
    <w:rsid w:val="00AB618F"/>
    <w:rsid w:val="00AF5E61"/>
    <w:rsid w:val="00B42245"/>
    <w:rsid w:val="00B83C27"/>
    <w:rsid w:val="00BD5AD2"/>
    <w:rsid w:val="00C438C4"/>
    <w:rsid w:val="00C63FAD"/>
    <w:rsid w:val="00CF2187"/>
    <w:rsid w:val="00D07467"/>
    <w:rsid w:val="00D1671B"/>
    <w:rsid w:val="00D37DA0"/>
    <w:rsid w:val="00D618C7"/>
    <w:rsid w:val="00D902FC"/>
    <w:rsid w:val="00DB6752"/>
    <w:rsid w:val="00DC4F0E"/>
    <w:rsid w:val="00DD15E0"/>
    <w:rsid w:val="00E8127A"/>
    <w:rsid w:val="00F31BC3"/>
    <w:rsid w:val="00F33F39"/>
    <w:rsid w:val="00F86818"/>
    <w:rsid w:val="00F96482"/>
    <w:rsid w:val="00FE49A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B6A0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5C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E5724"/>
    <w:pPr>
      <w:keepNext/>
      <w:keepLines/>
      <w:spacing w:before="240" w:after="0"/>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E5724"/>
    <w:pPr>
      <w:keepNext/>
      <w:keepLines/>
      <w:spacing w:before="40" w:after="0"/>
      <w:outlineLvl w:val="1"/>
    </w:pPr>
    <w:rPr>
      <w:rFonts w:ascii="Arial" w:eastAsiaTheme="majorEastAsia" w:hAnsi="Arial" w:cstheme="majorBidi"/>
      <w:b/>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25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5C9"/>
    <w:rPr>
      <w:rFonts w:ascii="Times New Roman" w:hAnsi="Times New Roman"/>
      <w:sz w:val="24"/>
      <w:lang w:val="en-GB"/>
    </w:rPr>
  </w:style>
  <w:style w:type="paragraph" w:styleId="Footer">
    <w:name w:val="footer"/>
    <w:basedOn w:val="Normal"/>
    <w:link w:val="FooterChar"/>
    <w:uiPriority w:val="99"/>
    <w:unhideWhenUsed/>
    <w:rsid w:val="007025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5C9"/>
    <w:rPr>
      <w:rFonts w:ascii="Times New Roman" w:hAnsi="Times New Roman"/>
      <w:sz w:val="24"/>
      <w:lang w:val="en-GB"/>
    </w:rPr>
  </w:style>
  <w:style w:type="paragraph" w:styleId="ListParagraph">
    <w:name w:val="List Paragraph"/>
    <w:basedOn w:val="Normal"/>
    <w:uiPriority w:val="34"/>
    <w:qFormat/>
    <w:rsid w:val="009F0F9E"/>
    <w:pPr>
      <w:ind w:left="720"/>
      <w:contextualSpacing/>
    </w:pPr>
  </w:style>
  <w:style w:type="character" w:customStyle="1" w:styleId="Heading1Char">
    <w:name w:val="Heading 1 Char"/>
    <w:basedOn w:val="DefaultParagraphFont"/>
    <w:link w:val="Heading1"/>
    <w:uiPriority w:val="9"/>
    <w:rsid w:val="007E5724"/>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7E5724"/>
    <w:rPr>
      <w:rFonts w:ascii="Arial" w:eastAsiaTheme="majorEastAsia" w:hAnsi="Arial" w:cstheme="majorBidi"/>
      <w:b/>
      <w:color w:val="2F5496" w:themeColor="accent1" w:themeShade="BF"/>
      <w:sz w:val="26"/>
      <w:szCs w:val="26"/>
      <w:lang w:val="en-GB"/>
    </w:rPr>
  </w:style>
  <w:style w:type="paragraph" w:styleId="TOCHeading">
    <w:name w:val="TOC Heading"/>
    <w:basedOn w:val="Heading1"/>
    <w:next w:val="Normal"/>
    <w:uiPriority w:val="39"/>
    <w:unhideWhenUsed/>
    <w:qFormat/>
    <w:rsid w:val="001C552F"/>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1C552F"/>
    <w:pPr>
      <w:spacing w:after="100"/>
    </w:pPr>
  </w:style>
  <w:style w:type="paragraph" w:styleId="TOC2">
    <w:name w:val="toc 2"/>
    <w:basedOn w:val="Normal"/>
    <w:next w:val="Normal"/>
    <w:autoRedefine/>
    <w:uiPriority w:val="39"/>
    <w:unhideWhenUsed/>
    <w:rsid w:val="001C552F"/>
    <w:pPr>
      <w:spacing w:after="100"/>
      <w:ind w:left="240"/>
    </w:pPr>
  </w:style>
  <w:style w:type="character" w:styleId="Hyperlink">
    <w:name w:val="Hyperlink"/>
    <w:basedOn w:val="DefaultParagraphFont"/>
    <w:uiPriority w:val="99"/>
    <w:unhideWhenUsed/>
    <w:rsid w:val="001C55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D798C-DA49-6E4D-952B-D11BCD84D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Pages>
  <Words>2069</Words>
  <Characters>10306</Characters>
  <Application>Microsoft Office Word</Application>
  <DocSecurity>0</DocSecurity>
  <Lines>187</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12307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2024-06-01T05:25:00Z</dcterms:created>
  <dcterms:modified xsi:type="dcterms:W3CDTF">2024-06-17T18:45:00Z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d1af30b1b22b76ebcf0328ce2ed24b85f3faf09c87b822a220bd742ecc69102b</vt:lpwstr>
  </property>
</Properties>
</file>