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B56AF4" w14:textId="0D3B18AE" w:rsidR="00781CC7" w:rsidRDefault="00781CC7">
      <w:pPr>
        <w:pStyle w:val="Title"/>
        <w:spacing w:after="300"/>
        <w:jc w:val="center"/>
      </w:pPr>
      <w:r w:rsidRPr="00775D93">
        <w:rPr>
          <w:b/>
          <w:bCs/>
          <w:noProof/>
          <w:lang w:eastAsia="en-GB"/>
        </w:rPr>
        <w:drawing>
          <wp:anchor distT="0" distB="0" distL="114300" distR="114300" simplePos="0" relativeHeight="251659264" behindDoc="1" locked="0" layoutInCell="1" allowOverlap="1" wp14:anchorId="2F2E8582" wp14:editId="55BF05E5">
            <wp:simplePos x="0" y="0"/>
            <wp:positionH relativeFrom="column">
              <wp:posOffset>1775460</wp:posOffset>
            </wp:positionH>
            <wp:positionV relativeFrom="paragraph">
              <wp:posOffset>0</wp:posOffset>
            </wp:positionV>
            <wp:extent cx="2115879" cy="837536"/>
            <wp:effectExtent l="0" t="0" r="0" b="1270"/>
            <wp:wrapTight wrapText="bothSides">
              <wp:wrapPolygon edited="0">
                <wp:start x="0" y="0"/>
                <wp:lineTo x="0" y="21141"/>
                <wp:lineTo x="21393" y="21141"/>
                <wp:lineTo x="21393" y="0"/>
                <wp:lineTo x="0" y="0"/>
              </wp:wrapPolygon>
            </wp:wrapTight>
            <wp:docPr id="5" name="Picture 4">
              <a:extLst xmlns:a="http://schemas.openxmlformats.org/drawingml/2006/main">
                <a:ext uri="{FF2B5EF4-FFF2-40B4-BE49-F238E27FC236}">
                  <a16:creationId xmlns:a16="http://schemas.microsoft.com/office/drawing/2014/main" id="{3413E58D-20B2-0E84-CFBC-B04C3A9B7A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413E58D-20B2-0E84-CFBC-B04C3A9B7A3A}"/>
                        </a:ext>
                      </a:extLst>
                    </pic:cNvPr>
                    <pic:cNvPicPr>
                      <a:picLocks noChangeAspect="1"/>
                    </pic:cNvPicPr>
                  </pic:nvPicPr>
                  <pic:blipFill>
                    <a:blip r:embed="rId7"/>
                    <a:stretch>
                      <a:fillRect/>
                    </a:stretch>
                  </pic:blipFill>
                  <pic:spPr>
                    <a:xfrm>
                      <a:off x="0" y="0"/>
                      <a:ext cx="2115879" cy="837536"/>
                    </a:xfrm>
                    <a:prstGeom prst="rect">
                      <a:avLst/>
                    </a:prstGeom>
                  </pic:spPr>
                </pic:pic>
              </a:graphicData>
            </a:graphic>
          </wp:anchor>
        </w:drawing>
      </w:r>
    </w:p>
    <w:p w14:paraId="475B1B82" w14:textId="77777777" w:rsidR="00781CC7" w:rsidRDefault="00781CC7">
      <w:pPr>
        <w:pStyle w:val="Title"/>
        <w:spacing w:after="300"/>
        <w:jc w:val="center"/>
      </w:pPr>
    </w:p>
    <w:p w14:paraId="72D678DF" w14:textId="77777777" w:rsidR="00781CC7" w:rsidRPr="00781CC7" w:rsidRDefault="00781CC7" w:rsidP="00781CC7">
      <w:pPr>
        <w:spacing w:after="400" w:line="240" w:lineRule="auto"/>
        <w:jc w:val="center"/>
        <w:rPr>
          <w:b/>
          <w:bCs/>
        </w:rPr>
      </w:pPr>
      <w:proofErr w:type="spellStart"/>
      <w:r w:rsidRPr="00781CC7">
        <w:rPr>
          <w:b/>
          <w:bCs/>
        </w:rPr>
        <w:t>Programme</w:t>
      </w:r>
      <w:proofErr w:type="spellEnd"/>
      <w:r w:rsidRPr="00781CC7">
        <w:rPr>
          <w:b/>
          <w:bCs/>
        </w:rPr>
        <w:t>: BA (Hons) Leadership and Management Skills for the Workplace</w:t>
      </w:r>
    </w:p>
    <w:p w14:paraId="68BBE7A9" w14:textId="4E23E3D4" w:rsidR="00781CC7" w:rsidRDefault="00781CC7" w:rsidP="00781CC7">
      <w:pPr>
        <w:spacing w:after="400" w:line="240" w:lineRule="auto"/>
        <w:jc w:val="center"/>
      </w:pPr>
      <w:r>
        <w:t>Module: LCLM 6001-Strategic Management for Business</w:t>
      </w:r>
    </w:p>
    <w:p w14:paraId="0073BAEB" w14:textId="13FFD476" w:rsidR="00781CC7" w:rsidRDefault="00781CC7" w:rsidP="00781CC7">
      <w:pPr>
        <w:spacing w:after="400" w:line="240" w:lineRule="auto"/>
        <w:jc w:val="center"/>
      </w:pPr>
      <w:r>
        <w:t>Component - 2</w:t>
      </w:r>
    </w:p>
    <w:p w14:paraId="5C2A6170" w14:textId="07A28277" w:rsidR="00CE6525" w:rsidRDefault="00B34831">
      <w:pPr>
        <w:pStyle w:val="Title"/>
        <w:spacing w:after="300"/>
        <w:jc w:val="center"/>
        <w:rPr>
          <w:sz w:val="26"/>
          <w:szCs w:val="26"/>
        </w:rPr>
      </w:pPr>
      <w:r w:rsidRPr="00781CC7">
        <w:rPr>
          <w:sz w:val="26"/>
          <w:szCs w:val="26"/>
        </w:rPr>
        <w:t>C2 Interview Preparation Notes: Vodafone UK Board Simulation</w:t>
      </w:r>
    </w:p>
    <w:p w14:paraId="210648F3" w14:textId="77777777" w:rsidR="00781CC7" w:rsidRDefault="00781CC7">
      <w:pPr>
        <w:pStyle w:val="Title"/>
        <w:spacing w:after="300"/>
        <w:jc w:val="center"/>
        <w:rPr>
          <w:sz w:val="26"/>
          <w:szCs w:val="26"/>
        </w:rPr>
      </w:pPr>
    </w:p>
    <w:p w14:paraId="1034C57A" w14:textId="77777777" w:rsidR="00781CC7" w:rsidRDefault="00781CC7">
      <w:pPr>
        <w:pStyle w:val="Title"/>
        <w:spacing w:after="300"/>
        <w:jc w:val="center"/>
        <w:rPr>
          <w:sz w:val="26"/>
          <w:szCs w:val="26"/>
        </w:rPr>
      </w:pPr>
    </w:p>
    <w:p w14:paraId="3A03EEF8" w14:textId="411C82E0" w:rsidR="00781CC7" w:rsidRPr="00781CC7" w:rsidRDefault="00781CC7" w:rsidP="00781CC7">
      <w:pPr>
        <w:pStyle w:val="Title"/>
        <w:spacing w:after="300"/>
        <w:ind w:left="2160" w:firstLine="720"/>
        <w:rPr>
          <w:sz w:val="24"/>
          <w:szCs w:val="24"/>
        </w:rPr>
      </w:pPr>
      <w:r w:rsidRPr="00781CC7">
        <w:rPr>
          <w:sz w:val="24"/>
          <w:szCs w:val="24"/>
        </w:rPr>
        <w:t>Student Name</w:t>
      </w:r>
      <w:proofErr w:type="gramStart"/>
      <w:r>
        <w:rPr>
          <w:sz w:val="24"/>
          <w:szCs w:val="24"/>
        </w:rPr>
        <w:tab/>
      </w:r>
      <w:r w:rsidRPr="00781CC7">
        <w:rPr>
          <w:sz w:val="24"/>
          <w:szCs w:val="24"/>
        </w:rPr>
        <w:t>:</w:t>
      </w:r>
      <w:r w:rsidR="00A77772">
        <w:rPr>
          <w:sz w:val="24"/>
          <w:szCs w:val="24"/>
        </w:rPr>
        <w:t>Namita</w:t>
      </w:r>
      <w:proofErr w:type="gramEnd"/>
      <w:r w:rsidR="00A77772">
        <w:rPr>
          <w:sz w:val="24"/>
          <w:szCs w:val="24"/>
        </w:rPr>
        <w:t xml:space="preserve"> Yadav</w:t>
      </w:r>
    </w:p>
    <w:p w14:paraId="7200B457" w14:textId="371D92C0" w:rsidR="00781CC7" w:rsidRPr="00781CC7" w:rsidRDefault="00781CC7" w:rsidP="00781CC7">
      <w:pPr>
        <w:pStyle w:val="Title"/>
        <w:spacing w:after="300"/>
        <w:ind w:left="2160" w:firstLine="720"/>
        <w:rPr>
          <w:sz w:val="24"/>
          <w:szCs w:val="24"/>
        </w:rPr>
      </w:pPr>
      <w:r w:rsidRPr="00781CC7">
        <w:rPr>
          <w:sz w:val="24"/>
          <w:szCs w:val="24"/>
        </w:rPr>
        <w:t>Student ID</w:t>
      </w:r>
      <w:r>
        <w:rPr>
          <w:sz w:val="24"/>
          <w:szCs w:val="24"/>
        </w:rPr>
        <w:tab/>
      </w:r>
      <w:r w:rsidRPr="00781CC7">
        <w:rPr>
          <w:sz w:val="24"/>
          <w:szCs w:val="24"/>
        </w:rPr>
        <w:t>:</w:t>
      </w:r>
      <w:r w:rsidR="00A77772">
        <w:rPr>
          <w:sz w:val="24"/>
          <w:szCs w:val="24"/>
        </w:rPr>
        <w:t>2313042</w:t>
      </w:r>
    </w:p>
    <w:p w14:paraId="60E8E4FF" w14:textId="77777777" w:rsidR="00E85E39" w:rsidRDefault="00E85E39">
      <w:pPr>
        <w:pStyle w:val="Title"/>
        <w:spacing w:after="300"/>
        <w:jc w:val="center"/>
      </w:pPr>
    </w:p>
    <w:p w14:paraId="309F86DA" w14:textId="6B3266E6" w:rsidR="00E85E39" w:rsidRDefault="00781CC7" w:rsidP="00E85E39">
      <w:pPr>
        <w:spacing w:after="400"/>
        <w:jc w:val="center"/>
      </w:pPr>
      <w:r>
        <w:t xml:space="preserve"> </w:t>
      </w:r>
    </w:p>
    <w:p w14:paraId="73051D27" w14:textId="77777777" w:rsidR="00E85E39" w:rsidRDefault="00E85E39">
      <w:pPr>
        <w:pStyle w:val="Title"/>
        <w:spacing w:after="300"/>
        <w:jc w:val="center"/>
      </w:pPr>
    </w:p>
    <w:p w14:paraId="263C57B5" w14:textId="77777777" w:rsidR="007C6371" w:rsidRDefault="007C6371">
      <w:pPr>
        <w:spacing w:line="240" w:lineRule="auto"/>
        <w:jc w:val="left"/>
        <w:rPr>
          <w:b/>
          <w:color w:val="2E74B5"/>
          <w:sz w:val="30"/>
          <w:szCs w:val="32"/>
        </w:rPr>
      </w:pPr>
      <w:r>
        <w:br w:type="page"/>
      </w:r>
    </w:p>
    <w:p w14:paraId="73FD7C03" w14:textId="77777777" w:rsidR="00CE6525" w:rsidRDefault="00B34831">
      <w:pPr>
        <w:pStyle w:val="Heading1"/>
        <w:spacing w:before="300" w:after="150"/>
      </w:pPr>
      <w:r>
        <w:lastRenderedPageBreak/>
        <w:t>Set 1: Contextual Awareness</w:t>
      </w:r>
    </w:p>
    <w:p w14:paraId="5E8B874F" w14:textId="77777777" w:rsidR="00CE6525" w:rsidRDefault="00B34831">
      <w:pPr>
        <w:spacing w:before="150" w:after="80"/>
      </w:pPr>
      <w:r>
        <w:rPr>
          <w:b/>
          <w:bCs/>
        </w:rPr>
        <w:t xml:space="preserve">Q1. How were strategic growth options </w:t>
      </w:r>
      <w:proofErr w:type="spellStart"/>
      <w:r>
        <w:rPr>
          <w:b/>
          <w:bCs/>
        </w:rPr>
        <w:t>prioritised</w:t>
      </w:r>
      <w:proofErr w:type="spellEnd"/>
      <w:r>
        <w:rPr>
          <w:b/>
          <w:bCs/>
        </w:rPr>
        <w:t>, and what criteria or evaluation process was used?</w:t>
      </w:r>
    </w:p>
    <w:p w14:paraId="29D2C43B" w14:textId="77777777" w:rsidR="00DD3835" w:rsidRDefault="00DD3835">
      <w:pPr>
        <w:spacing w:before="150" w:after="80"/>
      </w:pPr>
      <w:r w:rsidRPr="00DD3835">
        <w:t xml:space="preserve">The above </w:t>
      </w:r>
      <w:proofErr w:type="spellStart"/>
      <w:r w:rsidRPr="00DD3835">
        <w:t>prioritisation</w:t>
      </w:r>
      <w:proofErr w:type="spellEnd"/>
      <w:r w:rsidRPr="00DD3835">
        <w:t xml:space="preserve"> was done according to the Ansoff Matrix, which defines four paths depending on the combination of existing or new product and existing or new markets (Quaranta and Wang, 2024). Market penetration was the least attractive since the UK consumer mobile market is already saturated and limited by the tariff cap as a condition of a merger. Diversification has been eliminated since it would distract management focus on the integration itself at the risk of execution that is at the peak. This put market development and product development, both of which expand upon the 5G standalone platform already financed by the £11 billion investment </w:t>
      </w:r>
      <w:proofErr w:type="spellStart"/>
      <w:r w:rsidRPr="00DD3835">
        <w:t>programme</w:t>
      </w:r>
      <w:proofErr w:type="spellEnd"/>
      <w:r w:rsidRPr="00DD3835">
        <w:t>, as the more robust combined alternative.</w:t>
      </w:r>
    </w:p>
    <w:p w14:paraId="15BEDFCE" w14:textId="77777777" w:rsidR="00CE6525" w:rsidRDefault="00B34831">
      <w:pPr>
        <w:spacing w:before="150" w:after="80"/>
      </w:pPr>
      <w:r>
        <w:rPr>
          <w:b/>
          <w:bCs/>
        </w:rPr>
        <w:t>Q2. How was feasibility ensured, beyond a proposal being theoretically sound?</w:t>
      </w:r>
    </w:p>
    <w:p w14:paraId="569CA98B" w14:textId="77777777" w:rsidR="00DD3835" w:rsidRPr="00DD3835" w:rsidRDefault="00DD3835" w:rsidP="007C6371">
      <w:r w:rsidRPr="00DD3835">
        <w:t>The Suitability, Feasibility and Acceptability framework was used to test the feasibility (Johnson et al., 2020). The suitability was countered with the PESTEL and Five Forces results that indicated increasing enterprise requirements of connectivity and a competitive environment where a competitive edge is now based on the quality of a network instead of price. The reason why it was feasible was that the investment of £11 billion and the anticipated 700 million in yearly synergies is already in place and therefore the recommendation does not entail any additional capital than what has been approved. Acceptability was evaluated relative to the shareholder enthusiasm to grow the organization organically, rather than make additional acquisitions, and relative to regulatory tolerance, as the plan does not run counter to the tariff and wholesale promises given to obtain merger approval. Feasibility was also compared with timing: the report suggests that the enterprise 5G proposition should launch in 18 months, not too long to demonstrate tangible gains before the fifth-year synergy deadline, but not too short to disregard the reality of the operation of integrating two networks that have been previously separate.</w:t>
      </w:r>
    </w:p>
    <w:p w14:paraId="53210CD1" w14:textId="77777777" w:rsidR="00CE6525" w:rsidRDefault="00B34831">
      <w:pPr>
        <w:spacing w:before="150" w:after="80"/>
      </w:pPr>
      <w:r>
        <w:rPr>
          <w:b/>
          <w:bCs/>
        </w:rPr>
        <w:t>Q3. What were the most influential factors shaping the strategic recommendations?</w:t>
      </w:r>
    </w:p>
    <w:p w14:paraId="35F5872B" w14:textId="77777777" w:rsidR="00CE6525" w:rsidRDefault="00B34831">
      <w:pPr>
        <w:spacing w:after="200"/>
      </w:pPr>
      <w:r>
        <w:t xml:space="preserve">The most influential factor was the shift in competitive basis identified through Porter's Five Forces: consolidation from four operators to three concentrates competition on network quality and converged offers rather than headline price (Mugo, 2020). This single finding shaped the </w:t>
      </w:r>
      <w:r>
        <w:lastRenderedPageBreak/>
        <w:t>recommendation to pursue differentiation rather than cost leadership, since the £11 billion network investment only pays off commercially if the business competes on quality.</w:t>
      </w:r>
    </w:p>
    <w:p w14:paraId="274F3CE9" w14:textId="77777777" w:rsidR="007C6371" w:rsidRDefault="007C6371">
      <w:pPr>
        <w:spacing w:line="240" w:lineRule="auto"/>
        <w:jc w:val="left"/>
        <w:rPr>
          <w:b/>
          <w:color w:val="2E74B5"/>
          <w:sz w:val="30"/>
          <w:szCs w:val="32"/>
        </w:rPr>
      </w:pPr>
      <w:r>
        <w:br w:type="page"/>
      </w:r>
    </w:p>
    <w:p w14:paraId="25E08AA4" w14:textId="77777777" w:rsidR="00CE6525" w:rsidRDefault="00B34831">
      <w:pPr>
        <w:pStyle w:val="Heading1"/>
        <w:spacing w:before="300" w:after="150"/>
      </w:pPr>
      <w:r>
        <w:lastRenderedPageBreak/>
        <w:t>Set 2: Process Awareness</w:t>
      </w:r>
    </w:p>
    <w:p w14:paraId="323380CF" w14:textId="77777777" w:rsidR="00CE6525" w:rsidRDefault="00B34831">
      <w:pPr>
        <w:spacing w:before="150" w:after="80"/>
      </w:pPr>
      <w:r>
        <w:rPr>
          <w:b/>
          <w:bCs/>
        </w:rPr>
        <w:t>Q1. Were any strategic options explored and rejected, and what was the decision-making process?</w:t>
      </w:r>
    </w:p>
    <w:p w14:paraId="7CE146C2" w14:textId="77777777" w:rsidR="00CE6525" w:rsidRDefault="00B34831">
      <w:pPr>
        <w:spacing w:after="200"/>
      </w:pPr>
      <w:r>
        <w:t>Market penetration through further discounting was rejected because it offered minimal growth in a saturated market and risked breaching the pricing undertakings given to the Competition and Markets Authority. Diversification into unrelated markets was rejected on the basis that broader technology, media and telecommunications merger research shows integration failure is common when management attention is split across new ventures during post-merger consolidation (</w:t>
      </w:r>
      <w:proofErr w:type="spellStart"/>
      <w:r>
        <w:t>Kostochko</w:t>
      </w:r>
      <w:proofErr w:type="spellEnd"/>
      <w:r>
        <w:t xml:space="preserve"> and Grigorieva, 2024).</w:t>
      </w:r>
    </w:p>
    <w:p w14:paraId="69647E34" w14:textId="77777777" w:rsidR="00CE6525" w:rsidRDefault="00B34831">
      <w:pPr>
        <w:spacing w:before="150" w:after="80"/>
      </w:pPr>
      <w:r>
        <w:rPr>
          <w:b/>
          <w:bCs/>
        </w:rPr>
        <w:t>Q2. How do Vodafone's mission, values, and commitments translate into measurable strategic goals?</w:t>
      </w:r>
    </w:p>
    <w:p w14:paraId="4F4A894D" w14:textId="77777777" w:rsidR="00CE6525" w:rsidRDefault="00B34831">
      <w:pPr>
        <w:spacing w:after="200"/>
      </w:pPr>
      <w:r>
        <w:t xml:space="preserve">The commitments to digital inclusion and responsible connectivity translate into measurable targets in the implementation plan: population coverage percentage for standalone 5G, the number of enterprise contracts signed, and quarterly synergy </w:t>
      </w:r>
      <w:proofErr w:type="spellStart"/>
      <w:r>
        <w:t>realisation</w:t>
      </w:r>
      <w:proofErr w:type="spellEnd"/>
      <w:r>
        <w:t xml:space="preserve"> against the £700 million target. Digital inclusion specifically is addressed less directly, mainly through continued social tariffs, which is acknowledged as a gap that a board member may reasonably probe.</w:t>
      </w:r>
    </w:p>
    <w:p w14:paraId="798224D6" w14:textId="77777777" w:rsidR="00CE6525" w:rsidRDefault="00B34831">
      <w:pPr>
        <w:spacing w:before="150" w:after="80"/>
      </w:pPr>
      <w:r>
        <w:rPr>
          <w:b/>
          <w:bCs/>
        </w:rPr>
        <w:t>Q3. What external factors should the board be most concerned about when shaping future strategy?</w:t>
      </w:r>
    </w:p>
    <w:p w14:paraId="10CC2C18" w14:textId="77777777" w:rsidR="00CE6525" w:rsidRDefault="00B34831">
      <w:pPr>
        <w:spacing w:after="200"/>
      </w:pPr>
      <w:r>
        <w:t>The factors of greatest concern are regulatory monitoring of the merger remedies by Ofcom, and the risk that low-cost mobile virtual network operators erode margins from the wholesale side without competing directly at retail (Bai et al., 2022). Both sit outside management's direct control, which is why the implementation plan treats compliance reporting as a standing quarterly item rather than a one-off task.</w:t>
      </w:r>
    </w:p>
    <w:p w14:paraId="03C43C0F" w14:textId="77777777" w:rsidR="00CE6525" w:rsidRDefault="00B34831">
      <w:pPr>
        <w:spacing w:before="150" w:after="80"/>
      </w:pPr>
      <w:r>
        <w:rPr>
          <w:b/>
          <w:bCs/>
        </w:rPr>
        <w:t xml:space="preserve">Q4. What assumptions are being made about customer </w:t>
      </w:r>
      <w:proofErr w:type="spellStart"/>
      <w:r>
        <w:rPr>
          <w:b/>
          <w:bCs/>
        </w:rPr>
        <w:t>behaviour</w:t>
      </w:r>
      <w:proofErr w:type="spellEnd"/>
      <w:r>
        <w:rPr>
          <w:b/>
          <w:bCs/>
        </w:rPr>
        <w:t>, digital demand, or 5G adoption, and how confident is the report in them?</w:t>
      </w:r>
    </w:p>
    <w:p w14:paraId="1A40CCCA" w14:textId="77777777" w:rsidR="00DD3835" w:rsidRDefault="00DD3835">
      <w:pPr>
        <w:spacing w:before="150" w:after="80"/>
      </w:pPr>
      <w:r w:rsidRPr="00DD3835">
        <w:t xml:space="preserve">The report estimates enterprise 5G adoption will follow industry-wide estimates, as Vodafone does not report enterprise 5G revenue in the UK. This is a moderate confidence but not a high one, and the weakest aspect of the report. Under duress, the more truthful response would be that the assumption would be double-checking it against Vodafone own internal enterprise </w:t>
      </w:r>
      <w:r w:rsidRPr="00DD3835">
        <w:lastRenderedPageBreak/>
        <w:t xml:space="preserve">sales data before the strategy is settled, and that it already points out this as a </w:t>
      </w:r>
      <w:proofErr w:type="spellStart"/>
      <w:r w:rsidRPr="00DD3835">
        <w:t>gapage</w:t>
      </w:r>
      <w:proofErr w:type="spellEnd"/>
      <w:r w:rsidRPr="00DD3835">
        <w:t xml:space="preserve"> instead of taking industry-wide figures as an alternative to company-specific evidence.</w:t>
      </w:r>
    </w:p>
    <w:p w14:paraId="42FD23D8" w14:textId="77777777" w:rsidR="00CE6525" w:rsidRDefault="00B34831">
      <w:pPr>
        <w:spacing w:before="150" w:after="80"/>
      </w:pPr>
      <w:r>
        <w:rPr>
          <w:b/>
          <w:bCs/>
        </w:rPr>
        <w:t>Q5. What does current research on competitor activity suggest about the risks of the growth strategy?</w:t>
      </w:r>
    </w:p>
    <w:p w14:paraId="0454F3BC" w14:textId="77777777" w:rsidR="00057900" w:rsidRDefault="00DD3835" w:rsidP="00057900">
      <w:r w:rsidRPr="00DD3835">
        <w:t>There are two risks that are prominent. First, the three-Operator market is most likely to be met with BT/EE and Virgin Media O2 also repositioning themselves on the basis of network quality, which may narrow the differentiation window more quickly than might otherwise be supposed. Second, the rise of alternative services like satellite broadband and low-cost resellers is external to the traditional three-competitor competitive set and is straining margins (Bai et al., 2022). Neither risk can nullify the recommendation, but both indicate that the time frame within which network investment turns into a tangible competitive edge could be shorter than the report itself is suggesting.</w:t>
      </w:r>
    </w:p>
    <w:p w14:paraId="4A1713BE" w14:textId="77777777" w:rsidR="007C6371" w:rsidRDefault="007C6371">
      <w:pPr>
        <w:spacing w:line="240" w:lineRule="auto"/>
        <w:jc w:val="left"/>
        <w:rPr>
          <w:b/>
          <w:color w:val="2E74B5"/>
          <w:sz w:val="30"/>
          <w:szCs w:val="32"/>
        </w:rPr>
      </w:pPr>
      <w:r>
        <w:br w:type="page"/>
      </w:r>
    </w:p>
    <w:p w14:paraId="725D2C73" w14:textId="77777777" w:rsidR="00CE6525" w:rsidRDefault="00B34831">
      <w:pPr>
        <w:pStyle w:val="Heading1"/>
        <w:spacing w:before="300" w:after="150"/>
      </w:pPr>
      <w:r>
        <w:lastRenderedPageBreak/>
        <w:t>Set 3: Professional Competence</w:t>
      </w:r>
    </w:p>
    <w:p w14:paraId="7B7F1C1A" w14:textId="77777777" w:rsidR="00CE6525" w:rsidRDefault="00B34831">
      <w:pPr>
        <w:spacing w:before="150" w:after="80"/>
      </w:pPr>
      <w:r>
        <w:rPr>
          <w:b/>
          <w:bCs/>
        </w:rPr>
        <w:t>Q1. How would the recommendations be explained to internal teams or stakeholders unfamiliar with the technical side of telecoms?</w:t>
      </w:r>
    </w:p>
    <w:p w14:paraId="56661A0A" w14:textId="77777777" w:rsidR="00057900" w:rsidRDefault="00057900">
      <w:pPr>
        <w:spacing w:before="150" w:after="80"/>
      </w:pPr>
      <w:r w:rsidRPr="00057900">
        <w:t>It explains itself better in results than technology standalone 5G and network slicing are the means, and the business result is a new, non-consumer revenue that is not reliant on winning price wars with BT/EE and Virgin Media O2. Enterprise Internet of things services may be better defined in terms of concrete applications, like intelligent logistics or transportation, than technical specifications.</w:t>
      </w:r>
    </w:p>
    <w:p w14:paraId="2601D092" w14:textId="77777777" w:rsidR="00CE6525" w:rsidRDefault="00B34831">
      <w:pPr>
        <w:spacing w:before="150" w:after="80"/>
      </w:pPr>
      <w:r>
        <w:rPr>
          <w:b/>
          <w:bCs/>
        </w:rPr>
        <w:t>Q2. If the board challenged one of the proposals, how would it be defended using evidence and clear reasoning?</w:t>
      </w:r>
    </w:p>
    <w:p w14:paraId="2EAB29D6" w14:textId="77777777" w:rsidR="007C6371" w:rsidRDefault="00057900">
      <w:pPr>
        <w:spacing w:before="150" w:after="80"/>
      </w:pPr>
      <w:r w:rsidRPr="00057900">
        <w:t>The tariff cap already restricts the extent to which Vodafone can compete on price, and a cost leadership position would be inconsistent with a regulatory commitment that is already provided, whereas differentiation would turn the current £11 billion investment into a defensible position (Grant, 2021). Standalone 5G and managed Internet of Things platforms are not a speculative add-on, but a continuation of infrastructure already deployed, and systematic review evidence on 5G rollout indicates that enterprise connectivity is the more sustainable area of growth, rather than additional consumer price competition, on the product development route in particular (Tummala and Kumari, 2025).</w:t>
      </w:r>
    </w:p>
    <w:p w14:paraId="7770C471" w14:textId="77777777" w:rsidR="00CE6525" w:rsidRDefault="00B34831">
      <w:pPr>
        <w:spacing w:before="150" w:after="80"/>
      </w:pPr>
      <w:r>
        <w:rPr>
          <w:b/>
          <w:bCs/>
        </w:rPr>
        <w:t>Q3. What sources or types of evidence were most influential in shaping the recommendations during the report-writing process?</w:t>
      </w:r>
    </w:p>
    <w:p w14:paraId="3C2D0AC1" w14:textId="77777777" w:rsidR="00CE6525" w:rsidRDefault="00B34831">
      <w:pPr>
        <w:spacing w:after="200"/>
      </w:pPr>
      <w:r>
        <w:t>The Suitability, Feasibility and Acceptability framework and Mendelow's power-interest matrix were the most influential, since both forced explicit justification rather than description (</w:t>
      </w:r>
      <w:proofErr w:type="spellStart"/>
      <w:r>
        <w:t>Ginige</w:t>
      </w:r>
      <w:proofErr w:type="spellEnd"/>
      <w:r>
        <w:t xml:space="preserve">, Amaratunga and Haigh, 2018). Underlying the stakeholder section was the broader argument that an </w:t>
      </w:r>
      <w:proofErr w:type="spellStart"/>
      <w:r>
        <w:t>organisation</w:t>
      </w:r>
      <w:proofErr w:type="spellEnd"/>
      <w:r>
        <w:t xml:space="preserve"> owes obligations beyond its shareholders, which shaped the decision to give regulators, employees and smaller business partners a differentiated engagement plan rather than treating all stakeholders as equally important (Freeman, Harrison and </w:t>
      </w:r>
      <w:proofErr w:type="spellStart"/>
      <w:r>
        <w:t>Zyglidopoulos</w:t>
      </w:r>
      <w:proofErr w:type="spellEnd"/>
      <w:r>
        <w:t>, 2018).</w:t>
      </w:r>
    </w:p>
    <w:p w14:paraId="27025094" w14:textId="77777777" w:rsidR="00CE6525" w:rsidRDefault="00B34831">
      <w:pPr>
        <w:spacing w:before="150" w:after="80"/>
      </w:pPr>
      <w:r>
        <w:rPr>
          <w:b/>
          <w:bCs/>
        </w:rPr>
        <w:t>Q4. What would be improved in the analytical process if the project were repeated?</w:t>
      </w:r>
    </w:p>
    <w:p w14:paraId="1ED9F5AA" w14:textId="77777777" w:rsidR="00CE6525" w:rsidRDefault="00B34831">
      <w:pPr>
        <w:spacing w:after="200"/>
      </w:pPr>
      <w:r>
        <w:t>More attention would be given to primary data on enterprise 5G adoption specifically for the UK market, since the current report relies on an assumption drawn from general industry publishing rather than Vodafone-specific disclosure.</w:t>
      </w:r>
    </w:p>
    <w:p w14:paraId="2AB24191" w14:textId="77777777" w:rsidR="00CE6525" w:rsidRDefault="00B34831">
      <w:pPr>
        <w:spacing w:before="150" w:after="80"/>
      </w:pPr>
      <w:r>
        <w:rPr>
          <w:b/>
          <w:bCs/>
        </w:rPr>
        <w:lastRenderedPageBreak/>
        <w:t>Q5. Looking back, what aspects of the analytical process were most effective, and why?</w:t>
      </w:r>
    </w:p>
    <w:p w14:paraId="138A241B" w14:textId="77777777" w:rsidR="00CE6525" w:rsidRDefault="00B34831">
      <w:pPr>
        <w:spacing w:after="200"/>
      </w:pPr>
      <w:r>
        <w:t>Working through the Ansoff options systematically before settling on a combined route was most effective, since it produced a clearly reasoned elimination trail that can be defended question by question in this interview, rather than a recommendation presented without a visible line of reasoning behind it.</w:t>
      </w:r>
    </w:p>
    <w:p w14:paraId="3597DDC6" w14:textId="77777777" w:rsidR="007C6371" w:rsidRDefault="007C6371">
      <w:pPr>
        <w:spacing w:line="240" w:lineRule="auto"/>
        <w:jc w:val="left"/>
        <w:rPr>
          <w:b/>
          <w:color w:val="2E74B5"/>
          <w:sz w:val="30"/>
          <w:szCs w:val="32"/>
        </w:rPr>
      </w:pPr>
      <w:r>
        <w:br w:type="page"/>
      </w:r>
    </w:p>
    <w:p w14:paraId="1E23D717" w14:textId="77777777" w:rsidR="00CE6525" w:rsidRDefault="00B34831">
      <w:pPr>
        <w:pStyle w:val="Heading1"/>
        <w:spacing w:before="300" w:after="150"/>
      </w:pPr>
      <w:r>
        <w:lastRenderedPageBreak/>
        <w:t>References</w:t>
      </w:r>
    </w:p>
    <w:p w14:paraId="5FFF3EE2" w14:textId="77777777" w:rsidR="00CE6525" w:rsidRDefault="00B34831">
      <w:pPr>
        <w:spacing w:after="120"/>
      </w:pPr>
      <w:r>
        <w:t>Bai, Y., Wang, R.Y., Peng, R.X. and Jayakar, K. (2022) 'Drivers of mergers and acquisitions in the telecommunication industry: the differences between blockbuster and small M&amp;As', International Journal on Media Management, 24(1), pp. 27-44.</w:t>
      </w:r>
    </w:p>
    <w:p w14:paraId="5E1C4069" w14:textId="77777777" w:rsidR="00CE6525" w:rsidRDefault="00B34831">
      <w:pPr>
        <w:spacing w:after="120"/>
      </w:pPr>
      <w:r>
        <w:t xml:space="preserve">Freeman, R.E., Harrison, J.S. and </w:t>
      </w:r>
      <w:proofErr w:type="spellStart"/>
      <w:r>
        <w:t>Zyglidopoulos</w:t>
      </w:r>
      <w:proofErr w:type="spellEnd"/>
      <w:r>
        <w:t>, S. (2018) Stakeholder Theory: Concepts and Strategies. Cambridge: Cambridge University Press.</w:t>
      </w:r>
    </w:p>
    <w:p w14:paraId="7CDFF3F4" w14:textId="77777777" w:rsidR="00CE6525" w:rsidRDefault="00B34831">
      <w:pPr>
        <w:spacing w:after="120"/>
      </w:pPr>
      <w:r>
        <w:t>Ginige, K., Amaratunga, D. and Haigh, R. (2018) 'Mapping stakeholders associated with societal challenges: a methodological framework', Procedia Engineering, 212, pp. 1195-1202.</w:t>
      </w:r>
    </w:p>
    <w:p w14:paraId="369EC27D" w14:textId="77777777" w:rsidR="00CE6525" w:rsidRDefault="00B34831">
      <w:pPr>
        <w:spacing w:after="120"/>
      </w:pPr>
      <w:r>
        <w:t xml:space="preserve">Grant, R.M. (2021) Contemporary Strategy Analysis. 11th </w:t>
      </w:r>
      <w:proofErr w:type="spellStart"/>
      <w:r>
        <w:t>edn</w:t>
      </w:r>
      <w:proofErr w:type="spellEnd"/>
      <w:r>
        <w:t>. Chichester: Wiley.</w:t>
      </w:r>
    </w:p>
    <w:p w14:paraId="03981027" w14:textId="77777777" w:rsidR="00CE6525" w:rsidRDefault="00B34831">
      <w:pPr>
        <w:spacing w:after="120"/>
      </w:pPr>
      <w:r>
        <w:t xml:space="preserve">Johnson, G., Whittington, R., Scholes, K., Angwin, D. and </w:t>
      </w:r>
      <w:proofErr w:type="spellStart"/>
      <w:r>
        <w:t>Regnér</w:t>
      </w:r>
      <w:proofErr w:type="spellEnd"/>
      <w:r>
        <w:t xml:space="preserve">, P. (2020) Exploring Strategy: Text and Cases. 12th </w:t>
      </w:r>
      <w:proofErr w:type="spellStart"/>
      <w:r>
        <w:t>edn</w:t>
      </w:r>
      <w:proofErr w:type="spellEnd"/>
      <w:r>
        <w:t>. Harlow: Pearson.</w:t>
      </w:r>
    </w:p>
    <w:p w14:paraId="7BB05A5E" w14:textId="77777777" w:rsidR="00CE6525" w:rsidRDefault="00B34831">
      <w:pPr>
        <w:spacing w:after="120"/>
      </w:pPr>
      <w:r>
        <w:t>Kostochko, A. and Grigorieva, S. (2024) 'Are mergers and acquisitions boosting company performance in the technology, media and telecommunications sector?', Journal of Corporate Finance Research, 18(4), pp. 51-65.</w:t>
      </w:r>
    </w:p>
    <w:p w14:paraId="3787BCD0" w14:textId="77777777" w:rsidR="00CE6525" w:rsidRDefault="00B34831">
      <w:pPr>
        <w:spacing w:after="120"/>
      </w:pPr>
      <w:r>
        <w:t>Mugo, P. (2020) 'Porter's five forces influence on competitive advantage in telecommunication industry in Kenya', European Journal of Business and Strategic Management, 5(2), pp. 30-49.</w:t>
      </w:r>
    </w:p>
    <w:p w14:paraId="6D634A5B" w14:textId="77777777" w:rsidR="00CE6525" w:rsidRDefault="00B34831">
      <w:pPr>
        <w:spacing w:after="120"/>
      </w:pPr>
      <w:r>
        <w:t xml:space="preserve">Quaranta, A. and Wang, L.H. (2024) 'The application of the Ansoff Matrix in dental business management', </w:t>
      </w:r>
      <w:proofErr w:type="spellStart"/>
      <w:r>
        <w:t>Annali</w:t>
      </w:r>
      <w:proofErr w:type="spellEnd"/>
      <w:r>
        <w:t xml:space="preserve"> di </w:t>
      </w:r>
      <w:proofErr w:type="spellStart"/>
      <w:r>
        <w:t>Stomatologia</w:t>
      </w:r>
      <w:proofErr w:type="spellEnd"/>
      <w:r>
        <w:t>, 15(3), pp. 175-178.</w:t>
      </w:r>
    </w:p>
    <w:p w14:paraId="15287A40" w14:textId="77777777" w:rsidR="00CE6525" w:rsidRDefault="00B34831">
      <w:pPr>
        <w:spacing w:after="120"/>
      </w:pPr>
      <w:r>
        <w:t>Tummala, M. and Kumari, A. (2025) 'A systematic review on current and future prospects of 5G communications', Cogent Engineering, 12(1), article 2547635.</w:t>
      </w:r>
    </w:p>
    <w:p w14:paraId="4CE6A006" w14:textId="77777777" w:rsidR="00CE6525" w:rsidRDefault="00B34831">
      <w:pPr>
        <w:spacing w:after="120"/>
      </w:pPr>
      <w:r>
        <w:t>Vodafone (2025) Our strategic priorities. Available at: https://www.vodafone.com/our-company/our-strategic-priorities (Accessed: 22 July 2026).</w:t>
      </w:r>
    </w:p>
    <w:sectPr w:rsidR="00CE6525">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670BFF" w14:textId="77777777" w:rsidR="00B81BC0" w:rsidRDefault="00B81BC0" w:rsidP="007C6371">
      <w:pPr>
        <w:spacing w:line="240" w:lineRule="auto"/>
      </w:pPr>
      <w:r>
        <w:separator/>
      </w:r>
    </w:p>
  </w:endnote>
  <w:endnote w:type="continuationSeparator" w:id="0">
    <w:p w14:paraId="556BA8FB" w14:textId="77777777" w:rsidR="00B81BC0" w:rsidRDefault="00B81BC0" w:rsidP="007C63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6489623"/>
      <w:docPartObj>
        <w:docPartGallery w:val="Page Numbers (Bottom of Page)"/>
        <w:docPartUnique/>
      </w:docPartObj>
    </w:sdtPr>
    <w:sdtEndPr>
      <w:rPr>
        <w:noProof/>
      </w:rPr>
    </w:sdtEndPr>
    <w:sdtContent>
      <w:p w14:paraId="57A7B04D" w14:textId="77777777" w:rsidR="00E85E39" w:rsidRDefault="00E85E39">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57236259" w14:textId="77777777" w:rsidR="007C6371" w:rsidRDefault="007C63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DE8CEA" w14:textId="77777777" w:rsidR="00B81BC0" w:rsidRDefault="00B81BC0" w:rsidP="007C6371">
      <w:pPr>
        <w:spacing w:line="240" w:lineRule="auto"/>
      </w:pPr>
      <w:r>
        <w:separator/>
      </w:r>
    </w:p>
  </w:footnote>
  <w:footnote w:type="continuationSeparator" w:id="0">
    <w:p w14:paraId="7EBF809F" w14:textId="77777777" w:rsidR="00B81BC0" w:rsidRDefault="00B81BC0" w:rsidP="007C63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F22C06"/>
    <w:multiLevelType w:val="hybridMultilevel"/>
    <w:tmpl w:val="37F88340"/>
    <w:lvl w:ilvl="0" w:tplc="D3A27500">
      <w:start w:val="1"/>
      <w:numFmt w:val="bullet"/>
      <w:lvlText w:val="●"/>
      <w:lvlJc w:val="left"/>
      <w:pPr>
        <w:ind w:left="720" w:hanging="360"/>
      </w:pPr>
    </w:lvl>
    <w:lvl w:ilvl="1" w:tplc="00EEFB88">
      <w:start w:val="1"/>
      <w:numFmt w:val="bullet"/>
      <w:lvlText w:val="○"/>
      <w:lvlJc w:val="left"/>
      <w:pPr>
        <w:ind w:left="1440" w:hanging="360"/>
      </w:pPr>
    </w:lvl>
    <w:lvl w:ilvl="2" w:tplc="2E1A0CBE">
      <w:start w:val="1"/>
      <w:numFmt w:val="bullet"/>
      <w:lvlText w:val="■"/>
      <w:lvlJc w:val="left"/>
      <w:pPr>
        <w:ind w:left="2160" w:hanging="360"/>
      </w:pPr>
    </w:lvl>
    <w:lvl w:ilvl="3" w:tplc="282CA9EC">
      <w:start w:val="1"/>
      <w:numFmt w:val="bullet"/>
      <w:lvlText w:val="●"/>
      <w:lvlJc w:val="left"/>
      <w:pPr>
        <w:ind w:left="2880" w:hanging="360"/>
      </w:pPr>
    </w:lvl>
    <w:lvl w:ilvl="4" w:tplc="4D52B6C2">
      <w:start w:val="1"/>
      <w:numFmt w:val="bullet"/>
      <w:lvlText w:val="○"/>
      <w:lvlJc w:val="left"/>
      <w:pPr>
        <w:ind w:left="3600" w:hanging="360"/>
      </w:pPr>
    </w:lvl>
    <w:lvl w:ilvl="5" w:tplc="E7AAEB90">
      <w:start w:val="1"/>
      <w:numFmt w:val="bullet"/>
      <w:lvlText w:val="■"/>
      <w:lvlJc w:val="left"/>
      <w:pPr>
        <w:ind w:left="4320" w:hanging="360"/>
      </w:pPr>
    </w:lvl>
    <w:lvl w:ilvl="6" w:tplc="8D463FC6">
      <w:start w:val="1"/>
      <w:numFmt w:val="bullet"/>
      <w:lvlText w:val="●"/>
      <w:lvlJc w:val="left"/>
      <w:pPr>
        <w:ind w:left="5040" w:hanging="360"/>
      </w:pPr>
    </w:lvl>
    <w:lvl w:ilvl="7" w:tplc="03D0C31A">
      <w:start w:val="1"/>
      <w:numFmt w:val="bullet"/>
      <w:lvlText w:val="●"/>
      <w:lvlJc w:val="left"/>
      <w:pPr>
        <w:ind w:left="5760" w:hanging="360"/>
      </w:pPr>
    </w:lvl>
    <w:lvl w:ilvl="8" w:tplc="761A62A6">
      <w:start w:val="1"/>
      <w:numFmt w:val="bullet"/>
      <w:lvlText w:val="●"/>
      <w:lvlJc w:val="left"/>
      <w:pPr>
        <w:ind w:left="6480" w:hanging="360"/>
      </w:pPr>
    </w:lvl>
  </w:abstractNum>
  <w:num w:numId="1" w16cid:durableId="95717724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525"/>
    <w:rsid w:val="00057900"/>
    <w:rsid w:val="005C5901"/>
    <w:rsid w:val="00781819"/>
    <w:rsid w:val="00781CC7"/>
    <w:rsid w:val="007C6371"/>
    <w:rsid w:val="00A77772"/>
    <w:rsid w:val="00B34831"/>
    <w:rsid w:val="00B81BC0"/>
    <w:rsid w:val="00C92742"/>
    <w:rsid w:val="00CE6525"/>
    <w:rsid w:val="00DD3835"/>
    <w:rsid w:val="00E85E39"/>
    <w:rsid w:val="00F37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7A13E"/>
  <w15:docId w15:val="{F32AF25E-315B-41E3-84E2-BA9F951A1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371"/>
    <w:pPr>
      <w:spacing w:line="360" w:lineRule="auto"/>
      <w:jc w:val="both"/>
    </w:pPr>
    <w:rPr>
      <w:sz w:val="24"/>
    </w:rPr>
  </w:style>
  <w:style w:type="paragraph" w:styleId="Heading1">
    <w:name w:val="heading 1"/>
    <w:qFormat/>
    <w:rsid w:val="007C6371"/>
    <w:pPr>
      <w:spacing w:line="360" w:lineRule="auto"/>
      <w:jc w:val="both"/>
      <w:outlineLvl w:val="0"/>
    </w:pPr>
    <w:rPr>
      <w:b/>
      <w:color w:val="2E74B5"/>
      <w:sz w:val="30"/>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7C6371"/>
    <w:pPr>
      <w:tabs>
        <w:tab w:val="center" w:pos="4680"/>
        <w:tab w:val="right" w:pos="9360"/>
      </w:tabs>
      <w:spacing w:line="240" w:lineRule="auto"/>
    </w:pPr>
  </w:style>
  <w:style w:type="character" w:customStyle="1" w:styleId="HeaderChar">
    <w:name w:val="Header Char"/>
    <w:basedOn w:val="DefaultParagraphFont"/>
    <w:link w:val="Header"/>
    <w:uiPriority w:val="99"/>
    <w:rsid w:val="007C6371"/>
    <w:rPr>
      <w:sz w:val="24"/>
    </w:rPr>
  </w:style>
  <w:style w:type="paragraph" w:styleId="Footer">
    <w:name w:val="footer"/>
    <w:basedOn w:val="Normal"/>
    <w:link w:val="FooterChar"/>
    <w:uiPriority w:val="99"/>
    <w:unhideWhenUsed/>
    <w:rsid w:val="007C6371"/>
    <w:pPr>
      <w:tabs>
        <w:tab w:val="center" w:pos="4680"/>
        <w:tab w:val="right" w:pos="9360"/>
      </w:tabs>
      <w:spacing w:line="240" w:lineRule="auto"/>
    </w:pPr>
  </w:style>
  <w:style w:type="character" w:customStyle="1" w:styleId="FooterChar">
    <w:name w:val="Footer Char"/>
    <w:basedOn w:val="DefaultParagraphFont"/>
    <w:link w:val="Footer"/>
    <w:uiPriority w:val="99"/>
    <w:rsid w:val="007C637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1572</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Namita Yadav (2313042)</cp:lastModifiedBy>
  <cp:revision>2</cp:revision>
  <dcterms:created xsi:type="dcterms:W3CDTF">2026-07-29T22:29:00Z</dcterms:created>
  <dcterms:modified xsi:type="dcterms:W3CDTF">2026-07-29T22:29:00Z</dcterms:modified>
</cp:coreProperties>
</file>