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8FD039" w14:textId="02AB9CF9" w:rsidR="002402EB" w:rsidRDefault="009F241C">
      <w:pPr>
        <w:rPr>
          <w:b/>
          <w:sz w:val="40"/>
          <w:szCs w:val="40"/>
        </w:rPr>
      </w:pPr>
      <w:r>
        <w:rPr>
          <w:b/>
          <w:sz w:val="40"/>
          <w:szCs w:val="40"/>
        </w:rPr>
        <w:t>Breach of duty: Questions</w:t>
      </w:r>
      <w:r w:rsidR="00B87FB8">
        <w:rPr>
          <w:b/>
          <w:sz w:val="40"/>
          <w:szCs w:val="40"/>
        </w:rPr>
        <w:t xml:space="preserve"> and Answers</w:t>
      </w:r>
    </w:p>
    <w:p w14:paraId="3FB1C125" w14:textId="2CB9960C" w:rsidR="009F241C" w:rsidRDefault="009F241C" w:rsidP="009F241C">
      <w:pPr>
        <w:pStyle w:val="ListParagraph"/>
        <w:rPr>
          <w:bCs/>
        </w:rPr>
      </w:pPr>
    </w:p>
    <w:p w14:paraId="66BE0494" w14:textId="31197FB7" w:rsidR="009F241C" w:rsidRPr="009C4AFB" w:rsidRDefault="009F241C" w:rsidP="009F241C">
      <w:pPr>
        <w:pStyle w:val="ListParagraph"/>
        <w:numPr>
          <w:ilvl w:val="0"/>
          <w:numId w:val="2"/>
        </w:numPr>
        <w:rPr>
          <w:bCs/>
          <w:sz w:val="36"/>
          <w:szCs w:val="36"/>
        </w:rPr>
      </w:pPr>
      <w:r w:rsidRPr="009C4AFB">
        <w:rPr>
          <w:bCs/>
          <w:sz w:val="36"/>
          <w:szCs w:val="36"/>
        </w:rPr>
        <w:t>What are the characteristics of the “reasonable” person?</w:t>
      </w:r>
      <w:r w:rsidR="00486CA5">
        <w:rPr>
          <w:bCs/>
          <w:sz w:val="36"/>
          <w:szCs w:val="36"/>
        </w:rPr>
        <w:t xml:space="preserve"> </w:t>
      </w:r>
      <w:r w:rsidR="00486CA5">
        <w:rPr>
          <w:bCs/>
          <w:i/>
          <w:iCs/>
          <w:sz w:val="36"/>
          <w:szCs w:val="36"/>
        </w:rPr>
        <w:t xml:space="preserve">The “reasonable” person is a hypothetical person whose characteristics are then applied to the defendant in a negligence action to see what the defendant should have done, or not done, in the circumstances.  This is described as an objective test because the individual strengths and weaknesses of the defendant are not the deciding factors in determining whether a breach of the duty of care has occurred.  There is a subjective element in the sense that the hypothetical reasonable person must be put into the situation in which the defendant’s behaviour is being judged.  The reasonable person should be prudent but is not necessarily required to take excessive steps to avoid all accidents.  The famous definition from </w:t>
      </w:r>
      <w:r w:rsidR="00486CA5">
        <w:rPr>
          <w:b/>
          <w:i/>
          <w:iCs/>
          <w:sz w:val="36"/>
          <w:szCs w:val="36"/>
        </w:rPr>
        <w:t xml:space="preserve">Blyth v Birmingham </w:t>
      </w:r>
      <w:proofErr w:type="spellStart"/>
      <w:r w:rsidR="00486CA5">
        <w:rPr>
          <w:b/>
          <w:i/>
          <w:iCs/>
          <w:sz w:val="36"/>
          <w:szCs w:val="36"/>
        </w:rPr>
        <w:t>Waterwok</w:t>
      </w:r>
      <w:proofErr w:type="spellEnd"/>
      <w:r w:rsidR="00486CA5">
        <w:rPr>
          <w:b/>
          <w:i/>
          <w:iCs/>
          <w:sz w:val="36"/>
          <w:szCs w:val="36"/>
        </w:rPr>
        <w:t xml:space="preserve"> Co [1856] </w:t>
      </w:r>
      <w:r w:rsidR="00486CA5">
        <w:rPr>
          <w:bCs/>
          <w:i/>
          <w:iCs/>
          <w:sz w:val="36"/>
          <w:szCs w:val="36"/>
        </w:rPr>
        <w:t>is often quoted in this context.</w:t>
      </w:r>
    </w:p>
    <w:p w14:paraId="63A83E8B" w14:textId="3A454C82" w:rsidR="009F241C" w:rsidRDefault="009F241C" w:rsidP="009F241C">
      <w:pPr>
        <w:pStyle w:val="ListParagraph"/>
        <w:numPr>
          <w:ilvl w:val="0"/>
          <w:numId w:val="2"/>
        </w:numPr>
        <w:rPr>
          <w:bCs/>
          <w:sz w:val="36"/>
          <w:szCs w:val="36"/>
        </w:rPr>
      </w:pPr>
      <w:r w:rsidRPr="009C4AFB">
        <w:rPr>
          <w:bCs/>
          <w:sz w:val="36"/>
          <w:szCs w:val="36"/>
        </w:rPr>
        <w:t>What factors may a judge take into account when deciding whether or not the defendant is in breach of his duty of care?</w:t>
      </w:r>
    </w:p>
    <w:p w14:paraId="0F94EB30" w14:textId="0AC04614" w:rsidR="00486CA5" w:rsidRDefault="00486CA5" w:rsidP="00486CA5">
      <w:pPr>
        <w:pStyle w:val="ListParagraph"/>
        <w:ind w:left="1080"/>
        <w:rPr>
          <w:bCs/>
          <w:i/>
          <w:iCs/>
          <w:sz w:val="36"/>
          <w:szCs w:val="36"/>
        </w:rPr>
      </w:pPr>
      <w:r>
        <w:rPr>
          <w:bCs/>
          <w:i/>
          <w:iCs/>
          <w:sz w:val="36"/>
          <w:szCs w:val="36"/>
        </w:rPr>
        <w:t>Several factors may be relevant and no single factor will determine the matter:</w:t>
      </w:r>
    </w:p>
    <w:p w14:paraId="0D4D32E1" w14:textId="25F02CBB" w:rsidR="00486CA5" w:rsidRDefault="00486CA5" w:rsidP="00486CA5">
      <w:pPr>
        <w:pStyle w:val="ListParagraph"/>
        <w:numPr>
          <w:ilvl w:val="0"/>
          <w:numId w:val="3"/>
        </w:numPr>
        <w:rPr>
          <w:bCs/>
          <w:i/>
          <w:iCs/>
          <w:sz w:val="36"/>
          <w:szCs w:val="36"/>
        </w:rPr>
      </w:pPr>
      <w:r>
        <w:rPr>
          <w:bCs/>
          <w:i/>
          <w:iCs/>
          <w:sz w:val="36"/>
          <w:szCs w:val="36"/>
        </w:rPr>
        <w:t xml:space="preserve">The degree of probability that the damage will occur – how likely is </w:t>
      </w:r>
      <w:proofErr w:type="spellStart"/>
      <w:r>
        <w:rPr>
          <w:bCs/>
          <w:i/>
          <w:iCs/>
          <w:sz w:val="36"/>
          <w:szCs w:val="36"/>
        </w:rPr>
        <w:t>is</w:t>
      </w:r>
      <w:proofErr w:type="spellEnd"/>
      <w:r>
        <w:rPr>
          <w:bCs/>
          <w:i/>
          <w:iCs/>
          <w:sz w:val="36"/>
          <w:szCs w:val="36"/>
        </w:rPr>
        <w:t xml:space="preserve"> that some harm will result from the alleged negligence;</w:t>
      </w:r>
    </w:p>
    <w:p w14:paraId="09F0C752" w14:textId="5B8AB1C5" w:rsidR="00486CA5" w:rsidRDefault="00486CA5" w:rsidP="00486CA5">
      <w:pPr>
        <w:pStyle w:val="ListParagraph"/>
        <w:numPr>
          <w:ilvl w:val="0"/>
          <w:numId w:val="3"/>
        </w:numPr>
        <w:rPr>
          <w:bCs/>
          <w:i/>
          <w:iCs/>
          <w:sz w:val="36"/>
          <w:szCs w:val="36"/>
        </w:rPr>
      </w:pPr>
      <w:r>
        <w:rPr>
          <w:bCs/>
          <w:i/>
          <w:iCs/>
          <w:sz w:val="36"/>
          <w:szCs w:val="36"/>
        </w:rPr>
        <w:lastRenderedPageBreak/>
        <w:t xml:space="preserve">The magnitude of that likely harm – the greater the risk, </w:t>
      </w:r>
      <w:r w:rsidR="00A656E3">
        <w:rPr>
          <w:bCs/>
          <w:i/>
          <w:iCs/>
          <w:sz w:val="36"/>
          <w:szCs w:val="36"/>
        </w:rPr>
        <w:t>the greater the precautions that should be taken to guard against it happening;</w:t>
      </w:r>
    </w:p>
    <w:p w14:paraId="72D2B2EC" w14:textId="47C3DAA3" w:rsidR="00A656E3" w:rsidRDefault="00A656E3" w:rsidP="00486CA5">
      <w:pPr>
        <w:pStyle w:val="ListParagraph"/>
        <w:numPr>
          <w:ilvl w:val="0"/>
          <w:numId w:val="3"/>
        </w:numPr>
        <w:rPr>
          <w:bCs/>
          <w:i/>
          <w:iCs/>
          <w:sz w:val="36"/>
          <w:szCs w:val="36"/>
        </w:rPr>
      </w:pPr>
      <w:r>
        <w:rPr>
          <w:bCs/>
          <w:i/>
          <w:iCs/>
          <w:sz w:val="36"/>
          <w:szCs w:val="36"/>
        </w:rPr>
        <w:t>The importance of the objective to be achieved by the defendant’s behaviour;</w:t>
      </w:r>
    </w:p>
    <w:p w14:paraId="3FA77EAD" w14:textId="7ECB2F2C" w:rsidR="00A656E3" w:rsidRDefault="00A656E3" w:rsidP="00486CA5">
      <w:pPr>
        <w:pStyle w:val="ListParagraph"/>
        <w:numPr>
          <w:ilvl w:val="0"/>
          <w:numId w:val="3"/>
        </w:numPr>
        <w:rPr>
          <w:bCs/>
          <w:i/>
          <w:iCs/>
          <w:sz w:val="36"/>
          <w:szCs w:val="36"/>
        </w:rPr>
      </w:pPr>
      <w:r>
        <w:rPr>
          <w:bCs/>
          <w:i/>
          <w:iCs/>
          <w:sz w:val="36"/>
          <w:szCs w:val="36"/>
        </w:rPr>
        <w:t>The burden of taking precautions against the risk occurring;</w:t>
      </w:r>
    </w:p>
    <w:p w14:paraId="53DD9FCC" w14:textId="08985053" w:rsidR="00A656E3" w:rsidRPr="00486CA5" w:rsidRDefault="00A656E3" w:rsidP="00486CA5">
      <w:pPr>
        <w:pStyle w:val="ListParagraph"/>
        <w:numPr>
          <w:ilvl w:val="0"/>
          <w:numId w:val="3"/>
        </w:numPr>
        <w:rPr>
          <w:bCs/>
          <w:i/>
          <w:iCs/>
          <w:sz w:val="36"/>
          <w:szCs w:val="36"/>
        </w:rPr>
      </w:pPr>
      <w:r>
        <w:rPr>
          <w:bCs/>
          <w:i/>
          <w:iCs/>
          <w:sz w:val="36"/>
          <w:szCs w:val="36"/>
        </w:rPr>
        <w:t>Whether the defendant is conforming to some accepted standard of practice in that area of activity.</w:t>
      </w:r>
    </w:p>
    <w:p w14:paraId="60D5BADB" w14:textId="564E3966" w:rsidR="009F241C" w:rsidRDefault="009C4AFB" w:rsidP="009F241C">
      <w:pPr>
        <w:pStyle w:val="ListParagraph"/>
        <w:numPr>
          <w:ilvl w:val="0"/>
          <w:numId w:val="2"/>
        </w:numPr>
        <w:rPr>
          <w:bCs/>
          <w:sz w:val="36"/>
          <w:szCs w:val="36"/>
        </w:rPr>
      </w:pPr>
      <w:r w:rsidRPr="009C4AFB">
        <w:rPr>
          <w:bCs/>
          <w:sz w:val="36"/>
          <w:szCs w:val="36"/>
        </w:rPr>
        <w:t xml:space="preserve">What is the </w:t>
      </w:r>
      <w:proofErr w:type="spellStart"/>
      <w:r w:rsidRPr="009C4AFB">
        <w:rPr>
          <w:b/>
          <w:i/>
          <w:iCs/>
          <w:sz w:val="36"/>
          <w:szCs w:val="36"/>
        </w:rPr>
        <w:t>Bolam</w:t>
      </w:r>
      <w:proofErr w:type="spellEnd"/>
      <w:r w:rsidRPr="009C4AFB">
        <w:rPr>
          <w:bCs/>
          <w:sz w:val="36"/>
          <w:szCs w:val="36"/>
        </w:rPr>
        <w:t xml:space="preserve"> test?</w:t>
      </w:r>
    </w:p>
    <w:p w14:paraId="11FCCF35" w14:textId="31CDFB07" w:rsidR="00A656E3" w:rsidRDefault="00A656E3" w:rsidP="00A656E3">
      <w:pPr>
        <w:pStyle w:val="ListParagraph"/>
        <w:ind w:left="1080"/>
        <w:rPr>
          <w:bCs/>
          <w:i/>
          <w:iCs/>
          <w:sz w:val="36"/>
          <w:szCs w:val="36"/>
        </w:rPr>
      </w:pPr>
      <w:r>
        <w:rPr>
          <w:bCs/>
          <w:i/>
          <w:iCs/>
          <w:sz w:val="36"/>
          <w:szCs w:val="36"/>
        </w:rPr>
        <w:t xml:space="preserve">The </w:t>
      </w:r>
      <w:proofErr w:type="spellStart"/>
      <w:r>
        <w:rPr>
          <w:bCs/>
          <w:i/>
          <w:iCs/>
          <w:sz w:val="36"/>
          <w:szCs w:val="36"/>
        </w:rPr>
        <w:t>Bolam</w:t>
      </w:r>
      <w:proofErr w:type="spellEnd"/>
      <w:r>
        <w:rPr>
          <w:bCs/>
          <w:i/>
          <w:iCs/>
          <w:sz w:val="36"/>
          <w:szCs w:val="36"/>
        </w:rPr>
        <w:t xml:space="preserve"> test comes from </w:t>
      </w:r>
      <w:proofErr w:type="spellStart"/>
      <w:r>
        <w:rPr>
          <w:b/>
          <w:i/>
          <w:iCs/>
          <w:sz w:val="36"/>
          <w:szCs w:val="36"/>
        </w:rPr>
        <w:t>Bolam</w:t>
      </w:r>
      <w:proofErr w:type="spellEnd"/>
      <w:r>
        <w:rPr>
          <w:b/>
          <w:i/>
          <w:iCs/>
          <w:sz w:val="36"/>
          <w:szCs w:val="36"/>
        </w:rPr>
        <w:t xml:space="preserve"> v Friern Hospital Management Committee [1957] </w:t>
      </w:r>
      <w:r>
        <w:rPr>
          <w:bCs/>
          <w:i/>
          <w:iCs/>
          <w:sz w:val="36"/>
          <w:szCs w:val="36"/>
        </w:rPr>
        <w:t xml:space="preserve">in which the court was considering how to create the hypothetical reasonable person when the defendant has, or holds himself out as having, a special skill.  Those who practise as a doctor are holding themselves out to have the skill of a qualified medical practitioner and they are no longer judged against the standards of a hypothetical lay person but against that of a hypothetical, reasonable, qualified medical practitioner.  The court may also recognise that there can be legitimate differences of professional opinion as to the appropriate treatment in any given situation.  The opening part of the test can be applied to any defendant who has, or professes to have, a special skill.  The second part uses the specific illustration of </w:t>
      </w:r>
      <w:r>
        <w:rPr>
          <w:bCs/>
          <w:i/>
          <w:iCs/>
          <w:sz w:val="36"/>
          <w:szCs w:val="36"/>
        </w:rPr>
        <w:lastRenderedPageBreak/>
        <w:t xml:space="preserve">alternative views on correct practice. A “doctor is not guilty of negligence if he has acted in accordance with a practice accepted as proper by a responsible body of medical men skilled in that particular art”.  In </w:t>
      </w:r>
      <w:r>
        <w:rPr>
          <w:b/>
          <w:i/>
          <w:iCs/>
          <w:sz w:val="36"/>
          <w:szCs w:val="36"/>
        </w:rPr>
        <w:t xml:space="preserve">Bolitho v City and Hackney Health Authority [1997] </w:t>
      </w:r>
      <w:r>
        <w:rPr>
          <w:bCs/>
          <w:i/>
          <w:iCs/>
          <w:sz w:val="36"/>
          <w:szCs w:val="36"/>
        </w:rPr>
        <w:t>the House of Lords added that any such body of responsible practitioners should also be able to show that their preference for any given practice had a logical basis.</w:t>
      </w:r>
    </w:p>
    <w:p w14:paraId="46240F63" w14:textId="0CB1A6F2" w:rsidR="003447CE" w:rsidRDefault="003447CE" w:rsidP="003447CE">
      <w:pPr>
        <w:pStyle w:val="ListParagraph"/>
        <w:numPr>
          <w:ilvl w:val="0"/>
          <w:numId w:val="2"/>
        </w:numPr>
        <w:rPr>
          <w:bCs/>
          <w:sz w:val="36"/>
          <w:szCs w:val="36"/>
        </w:rPr>
      </w:pPr>
      <w:r>
        <w:rPr>
          <w:bCs/>
          <w:sz w:val="36"/>
          <w:szCs w:val="36"/>
        </w:rPr>
        <w:t>Why do the courts expect even learner drivers to achieve a level of competence that is likely to require a higher level of experience than they have acquired?</w:t>
      </w:r>
    </w:p>
    <w:p w14:paraId="165E4505" w14:textId="35337251" w:rsidR="00B87FB8" w:rsidRPr="00B87FB8" w:rsidRDefault="00B87FB8" w:rsidP="00B87FB8">
      <w:pPr>
        <w:pStyle w:val="ListParagraph"/>
        <w:ind w:left="1080"/>
        <w:rPr>
          <w:bCs/>
          <w:i/>
          <w:iCs/>
          <w:sz w:val="36"/>
          <w:szCs w:val="36"/>
        </w:rPr>
      </w:pPr>
      <w:r>
        <w:rPr>
          <w:bCs/>
          <w:i/>
          <w:iCs/>
          <w:sz w:val="36"/>
          <w:szCs w:val="36"/>
        </w:rPr>
        <w:t>The courts expect learner drivers to achieve an unrealistically high level of competence because the cost of a car accident is borne by an insurance company and it would be very difficult to vary the standard according to each driver’s experience.</w:t>
      </w:r>
    </w:p>
    <w:p w14:paraId="0FAAF5D0" w14:textId="11B569D1" w:rsidR="003447CE" w:rsidRDefault="003447CE" w:rsidP="003447CE">
      <w:pPr>
        <w:pStyle w:val="ListParagraph"/>
        <w:numPr>
          <w:ilvl w:val="0"/>
          <w:numId w:val="2"/>
        </w:numPr>
        <w:rPr>
          <w:bCs/>
          <w:sz w:val="36"/>
          <w:szCs w:val="36"/>
        </w:rPr>
      </w:pPr>
      <w:r>
        <w:rPr>
          <w:bCs/>
          <w:sz w:val="36"/>
          <w:szCs w:val="36"/>
        </w:rPr>
        <w:t xml:space="preserve">Does the House of Lords decision in </w:t>
      </w:r>
      <w:r>
        <w:rPr>
          <w:b/>
          <w:i/>
          <w:iCs/>
          <w:sz w:val="36"/>
          <w:szCs w:val="36"/>
        </w:rPr>
        <w:t>Bolitho v City and Hackney Health Authority [1997]</w:t>
      </w:r>
      <w:r>
        <w:rPr>
          <w:bCs/>
          <w:sz w:val="36"/>
          <w:szCs w:val="36"/>
        </w:rPr>
        <w:t>make it easier or more difficult for a doctor to establish that his conduct was not negligent?</w:t>
      </w:r>
    </w:p>
    <w:p w14:paraId="77A928FA" w14:textId="0A3E67EE" w:rsidR="00B87FB8" w:rsidRPr="00B87FB8" w:rsidRDefault="00B87FB8" w:rsidP="00B87FB8">
      <w:pPr>
        <w:pStyle w:val="ListParagraph"/>
        <w:ind w:left="1080"/>
        <w:rPr>
          <w:bCs/>
          <w:i/>
          <w:iCs/>
          <w:sz w:val="36"/>
          <w:szCs w:val="36"/>
        </w:rPr>
      </w:pPr>
      <w:r w:rsidRPr="00B87FB8">
        <w:rPr>
          <w:bCs/>
          <w:i/>
          <w:iCs/>
          <w:sz w:val="36"/>
          <w:szCs w:val="36"/>
        </w:rPr>
        <w:t xml:space="preserve">The decision in </w:t>
      </w:r>
      <w:r w:rsidRPr="00B87FB8">
        <w:rPr>
          <w:b/>
          <w:i/>
          <w:iCs/>
          <w:sz w:val="36"/>
          <w:szCs w:val="36"/>
        </w:rPr>
        <w:t xml:space="preserve">Bolitho v City and Hackney Health Authority [1997] </w:t>
      </w:r>
      <w:r w:rsidRPr="00B87FB8">
        <w:rPr>
          <w:bCs/>
          <w:i/>
          <w:iCs/>
          <w:sz w:val="36"/>
          <w:szCs w:val="36"/>
        </w:rPr>
        <w:t xml:space="preserve">makes it more difficult for doctors to establish that their conduct was not negligent.  The doctor must now show both that they acted in accordance with the prevailing standards expected of </w:t>
      </w:r>
      <w:r w:rsidRPr="00B87FB8">
        <w:rPr>
          <w:bCs/>
          <w:i/>
          <w:iCs/>
          <w:sz w:val="36"/>
          <w:szCs w:val="36"/>
        </w:rPr>
        <w:lastRenderedPageBreak/>
        <w:t xml:space="preserve">doctors </w:t>
      </w:r>
      <w:r w:rsidRPr="00B87FB8">
        <w:rPr>
          <w:b/>
          <w:i/>
          <w:iCs/>
          <w:sz w:val="36"/>
          <w:szCs w:val="36"/>
        </w:rPr>
        <w:t xml:space="preserve">and </w:t>
      </w:r>
      <w:r w:rsidRPr="00B87FB8">
        <w:rPr>
          <w:bCs/>
          <w:i/>
          <w:iCs/>
          <w:sz w:val="36"/>
          <w:szCs w:val="36"/>
        </w:rPr>
        <w:t>that those standards are based on rational and consistent principles.</w:t>
      </w:r>
    </w:p>
    <w:p w14:paraId="4E790058" w14:textId="1725D7ED" w:rsidR="003447CE" w:rsidRDefault="003447CE" w:rsidP="003447CE">
      <w:pPr>
        <w:pStyle w:val="ListParagraph"/>
        <w:numPr>
          <w:ilvl w:val="0"/>
          <w:numId w:val="2"/>
        </w:numPr>
        <w:rPr>
          <w:bCs/>
          <w:sz w:val="36"/>
          <w:szCs w:val="36"/>
        </w:rPr>
      </w:pPr>
      <w:r>
        <w:rPr>
          <w:bCs/>
          <w:sz w:val="36"/>
          <w:szCs w:val="36"/>
        </w:rPr>
        <w:t>Imagine that, in 2021, it is conclusively proved that even moderate quantities of tea can cause throat cancer.  Would the widow of a tea drinker who died in 2018 have a cause of action?</w:t>
      </w:r>
    </w:p>
    <w:p w14:paraId="21D956FF" w14:textId="1809EDE6" w:rsidR="00B87FB8" w:rsidRPr="00B87FB8" w:rsidRDefault="00B87FB8" w:rsidP="00B87FB8">
      <w:pPr>
        <w:pStyle w:val="ListParagraph"/>
        <w:ind w:left="1080"/>
        <w:rPr>
          <w:bCs/>
          <w:i/>
          <w:iCs/>
          <w:sz w:val="36"/>
          <w:szCs w:val="36"/>
        </w:rPr>
      </w:pPr>
      <w:r>
        <w:rPr>
          <w:bCs/>
          <w:i/>
          <w:iCs/>
          <w:sz w:val="36"/>
          <w:szCs w:val="36"/>
        </w:rPr>
        <w:t>The widow would not have a cause of action because, in 2018 no conclusive link between drinking tea and throat cancer had been established.</w:t>
      </w:r>
    </w:p>
    <w:p w14:paraId="19100546" w14:textId="52221A5F" w:rsidR="003447CE" w:rsidRDefault="003447CE" w:rsidP="003447CE">
      <w:pPr>
        <w:pStyle w:val="ListParagraph"/>
        <w:numPr>
          <w:ilvl w:val="0"/>
          <w:numId w:val="2"/>
        </w:numPr>
        <w:rPr>
          <w:bCs/>
          <w:sz w:val="36"/>
          <w:szCs w:val="36"/>
        </w:rPr>
      </w:pPr>
      <w:r>
        <w:rPr>
          <w:bCs/>
          <w:sz w:val="36"/>
          <w:szCs w:val="36"/>
        </w:rPr>
        <w:t xml:space="preserve">Why was the defendant liable for damages to the Claimant in </w:t>
      </w:r>
      <w:r>
        <w:rPr>
          <w:b/>
          <w:i/>
          <w:iCs/>
          <w:sz w:val="36"/>
          <w:szCs w:val="36"/>
        </w:rPr>
        <w:t>Haley v London Electricity Board</w:t>
      </w:r>
      <w:r w:rsidR="00C16CC5">
        <w:rPr>
          <w:b/>
          <w:i/>
          <w:iCs/>
          <w:sz w:val="36"/>
          <w:szCs w:val="36"/>
        </w:rPr>
        <w:t xml:space="preserve"> [1964]</w:t>
      </w:r>
      <w:r w:rsidR="00C16CC5">
        <w:rPr>
          <w:bCs/>
          <w:sz w:val="36"/>
          <w:szCs w:val="36"/>
        </w:rPr>
        <w:t>?</w:t>
      </w:r>
    </w:p>
    <w:p w14:paraId="091D50AE" w14:textId="65CE3569" w:rsidR="00CB7EFE" w:rsidRDefault="00B87FB8" w:rsidP="00CB7EFE">
      <w:pPr>
        <w:pStyle w:val="ListParagraph"/>
        <w:ind w:left="1080"/>
        <w:rPr>
          <w:bCs/>
          <w:i/>
          <w:iCs/>
          <w:sz w:val="36"/>
          <w:szCs w:val="36"/>
        </w:rPr>
      </w:pPr>
      <w:r>
        <w:rPr>
          <w:bCs/>
          <w:i/>
          <w:iCs/>
          <w:sz w:val="36"/>
          <w:szCs w:val="36"/>
        </w:rPr>
        <w:t xml:space="preserve">The defendant was liable because a significant proportion of people (0.2%) are blind.  It is obvious to a reasonable person that a sledgehammer is inadequate to </w:t>
      </w:r>
      <w:r w:rsidR="00CB7EFE">
        <w:rPr>
          <w:bCs/>
          <w:i/>
          <w:iCs/>
          <w:sz w:val="36"/>
          <w:szCs w:val="36"/>
        </w:rPr>
        <w:t>protect a blind person from the risk of falling into the hole and that, as happened to Mr Haley, this means of identifying the hole could actually increase the chance of a blind person falling into it.</w:t>
      </w:r>
    </w:p>
    <w:p w14:paraId="32E3F46E" w14:textId="792A5439" w:rsidR="00CB7EFE" w:rsidRDefault="00CB7EFE" w:rsidP="00CB7EFE">
      <w:pPr>
        <w:pStyle w:val="ListParagraph"/>
        <w:numPr>
          <w:ilvl w:val="0"/>
          <w:numId w:val="2"/>
        </w:numPr>
        <w:rPr>
          <w:bCs/>
          <w:sz w:val="36"/>
          <w:szCs w:val="36"/>
        </w:rPr>
      </w:pPr>
      <w:r>
        <w:rPr>
          <w:bCs/>
          <w:sz w:val="36"/>
          <w:szCs w:val="36"/>
        </w:rPr>
        <w:t xml:space="preserve">Is it likely that a court would find a table tennis regulatory body negligent for not having </w:t>
      </w:r>
      <w:r w:rsidR="002B7DCF">
        <w:rPr>
          <w:bCs/>
          <w:sz w:val="36"/>
          <w:szCs w:val="36"/>
        </w:rPr>
        <w:t>resuscitation equipment available at an international tournament?  If so, why; if not, why not?</w:t>
      </w:r>
    </w:p>
    <w:p w14:paraId="67EE0A90" w14:textId="1684F8C1" w:rsidR="002B7DCF" w:rsidRPr="002B7DCF" w:rsidRDefault="002B7DCF" w:rsidP="002B7DCF">
      <w:pPr>
        <w:pStyle w:val="ListParagraph"/>
        <w:ind w:left="1080"/>
        <w:rPr>
          <w:bCs/>
          <w:i/>
          <w:iCs/>
          <w:sz w:val="36"/>
          <w:szCs w:val="36"/>
        </w:rPr>
      </w:pPr>
      <w:r>
        <w:rPr>
          <w:bCs/>
          <w:i/>
          <w:iCs/>
          <w:sz w:val="36"/>
          <w:szCs w:val="36"/>
        </w:rPr>
        <w:t xml:space="preserve">It is extremely unlikely that a person would suffer a serious head injury during a table tennis match.  A lawyer arguing for the table tennis regulatory body in such a case would seek to distinguish the case from </w:t>
      </w:r>
      <w:r>
        <w:rPr>
          <w:b/>
          <w:i/>
          <w:iCs/>
          <w:sz w:val="36"/>
          <w:szCs w:val="36"/>
        </w:rPr>
        <w:lastRenderedPageBreak/>
        <w:t xml:space="preserve">Watson v British Boxing Board of Control [2001] </w:t>
      </w:r>
      <w:r>
        <w:rPr>
          <w:bCs/>
          <w:i/>
          <w:iCs/>
          <w:sz w:val="36"/>
          <w:szCs w:val="36"/>
        </w:rPr>
        <w:t>by providing statistics that showed that the risk of a person suffering a serious head injury during a table tennis match was very much lower than if they were taking place in a boxing match.  It is therefore unlikely that a court would find a table tennis regulatory body negligent for not providing resuscitation equipment.</w:t>
      </w:r>
    </w:p>
    <w:p w14:paraId="6EB96A56" w14:textId="0647B57F" w:rsidR="002B7DCF" w:rsidRDefault="002B7DCF" w:rsidP="00CB7EFE">
      <w:pPr>
        <w:pStyle w:val="ListParagraph"/>
        <w:numPr>
          <w:ilvl w:val="0"/>
          <w:numId w:val="2"/>
        </w:numPr>
        <w:rPr>
          <w:bCs/>
          <w:sz w:val="36"/>
          <w:szCs w:val="36"/>
        </w:rPr>
      </w:pPr>
      <w:r>
        <w:rPr>
          <w:bCs/>
          <w:sz w:val="36"/>
          <w:szCs w:val="36"/>
        </w:rPr>
        <w:t xml:space="preserve">What, if any, difference might it have made to the decision in </w:t>
      </w:r>
      <w:proofErr w:type="spellStart"/>
      <w:r>
        <w:rPr>
          <w:b/>
          <w:i/>
          <w:iCs/>
          <w:sz w:val="36"/>
          <w:szCs w:val="36"/>
        </w:rPr>
        <w:t>Chittock</w:t>
      </w:r>
      <w:proofErr w:type="spellEnd"/>
      <w:r>
        <w:rPr>
          <w:b/>
          <w:i/>
          <w:iCs/>
          <w:sz w:val="36"/>
          <w:szCs w:val="36"/>
        </w:rPr>
        <w:t xml:space="preserve"> v Woodbridge School [2002] </w:t>
      </w:r>
      <w:r>
        <w:rPr>
          <w:bCs/>
          <w:sz w:val="36"/>
          <w:szCs w:val="36"/>
        </w:rPr>
        <w:t>if the claimant had been aged 11 years and had never been skiing before?</w:t>
      </w:r>
    </w:p>
    <w:p w14:paraId="080A7127" w14:textId="78DFD620" w:rsidR="002B7DCF" w:rsidRPr="002B7DCF" w:rsidRDefault="002B7DCF" w:rsidP="002B7DCF">
      <w:pPr>
        <w:pStyle w:val="ListParagraph"/>
        <w:ind w:left="1080"/>
        <w:rPr>
          <w:bCs/>
          <w:sz w:val="36"/>
          <w:szCs w:val="36"/>
        </w:rPr>
      </w:pPr>
      <w:r>
        <w:rPr>
          <w:bCs/>
          <w:i/>
          <w:iCs/>
          <w:sz w:val="36"/>
          <w:szCs w:val="36"/>
        </w:rPr>
        <w:t xml:space="preserve">If the Claimant in </w:t>
      </w:r>
      <w:proofErr w:type="spellStart"/>
      <w:r>
        <w:rPr>
          <w:b/>
          <w:i/>
          <w:iCs/>
          <w:sz w:val="36"/>
          <w:szCs w:val="36"/>
        </w:rPr>
        <w:t>Chittock</w:t>
      </w:r>
      <w:proofErr w:type="spellEnd"/>
      <w:r>
        <w:rPr>
          <w:b/>
          <w:i/>
          <w:iCs/>
          <w:sz w:val="36"/>
          <w:szCs w:val="36"/>
        </w:rPr>
        <w:t xml:space="preserve"> v Woodbridge School [2002] </w:t>
      </w:r>
      <w:r w:rsidRPr="002B7DCF">
        <w:rPr>
          <w:bCs/>
          <w:i/>
          <w:iCs/>
          <w:sz w:val="36"/>
          <w:szCs w:val="36"/>
        </w:rPr>
        <w:t>had been younger</w:t>
      </w:r>
      <w:r>
        <w:rPr>
          <w:bCs/>
          <w:i/>
          <w:iCs/>
          <w:sz w:val="36"/>
          <w:szCs w:val="36"/>
        </w:rPr>
        <w:t xml:space="preserve"> with no skiing experience, their age and inexperience would mean that they were at significantly greater risk than the claimant in </w:t>
      </w:r>
      <w:r>
        <w:rPr>
          <w:b/>
          <w:i/>
          <w:iCs/>
          <w:sz w:val="36"/>
          <w:szCs w:val="36"/>
        </w:rPr>
        <w:t>Woodbridge</w:t>
      </w:r>
      <w:r>
        <w:rPr>
          <w:bCs/>
          <w:i/>
          <w:iCs/>
          <w:sz w:val="36"/>
          <w:szCs w:val="36"/>
        </w:rPr>
        <w:t xml:space="preserve">, so the standard of care necessary to protect them would be higher – they would be a more vulnerable claimant, as in </w:t>
      </w:r>
      <w:r>
        <w:rPr>
          <w:b/>
          <w:i/>
          <w:iCs/>
          <w:sz w:val="36"/>
          <w:szCs w:val="36"/>
        </w:rPr>
        <w:t xml:space="preserve">Paris v Stepney Borough Council [1951].  </w:t>
      </w:r>
      <w:r>
        <w:rPr>
          <w:bCs/>
          <w:i/>
          <w:iCs/>
          <w:sz w:val="36"/>
          <w:szCs w:val="36"/>
        </w:rPr>
        <w:t>It is therefore likely that the court would have found that issuing a reprimand was insufficient.</w:t>
      </w:r>
    </w:p>
    <w:p w14:paraId="6A0CF35A" w14:textId="3E2694B1" w:rsidR="00C16CC5" w:rsidRDefault="00C16CC5" w:rsidP="003447CE">
      <w:pPr>
        <w:pStyle w:val="ListParagraph"/>
        <w:numPr>
          <w:ilvl w:val="0"/>
          <w:numId w:val="2"/>
        </w:numPr>
        <w:rPr>
          <w:bCs/>
          <w:sz w:val="36"/>
          <w:szCs w:val="36"/>
        </w:rPr>
      </w:pPr>
      <w:r>
        <w:rPr>
          <w:bCs/>
          <w:sz w:val="36"/>
          <w:szCs w:val="36"/>
        </w:rPr>
        <w:t>What is the standard of proof in negligence?</w:t>
      </w:r>
    </w:p>
    <w:p w14:paraId="692328EF" w14:textId="40469F9F" w:rsidR="002B7DCF" w:rsidRPr="002B7DCF" w:rsidRDefault="002B7DCF" w:rsidP="002B7DCF">
      <w:pPr>
        <w:pStyle w:val="ListParagraph"/>
        <w:ind w:left="1080"/>
        <w:rPr>
          <w:bCs/>
          <w:i/>
          <w:iCs/>
          <w:sz w:val="36"/>
          <w:szCs w:val="36"/>
        </w:rPr>
      </w:pPr>
      <w:r>
        <w:rPr>
          <w:bCs/>
          <w:i/>
          <w:iCs/>
          <w:sz w:val="36"/>
          <w:szCs w:val="36"/>
        </w:rPr>
        <w:t>The standard of proof in negligence is on the “balance of probabilities” – this is the standard that applies throughout civil law.</w:t>
      </w:r>
    </w:p>
    <w:p w14:paraId="6628E48D" w14:textId="77777777" w:rsidR="00CB7EFE" w:rsidRPr="00CB7EFE" w:rsidRDefault="00CB7EFE" w:rsidP="00CB7EFE">
      <w:pPr>
        <w:pStyle w:val="ListParagraph"/>
        <w:ind w:left="1080"/>
        <w:rPr>
          <w:bCs/>
          <w:i/>
          <w:iCs/>
          <w:sz w:val="36"/>
          <w:szCs w:val="36"/>
        </w:rPr>
      </w:pPr>
    </w:p>
    <w:p w14:paraId="5227395F" w14:textId="70665B05" w:rsidR="00C16CC5" w:rsidRDefault="00C16CC5" w:rsidP="003447CE">
      <w:pPr>
        <w:pStyle w:val="ListParagraph"/>
        <w:numPr>
          <w:ilvl w:val="0"/>
          <w:numId w:val="2"/>
        </w:numPr>
        <w:rPr>
          <w:bCs/>
          <w:sz w:val="36"/>
          <w:szCs w:val="36"/>
        </w:rPr>
      </w:pPr>
      <w:r>
        <w:rPr>
          <w:bCs/>
          <w:sz w:val="36"/>
          <w:szCs w:val="36"/>
        </w:rPr>
        <w:lastRenderedPageBreak/>
        <w:t>What does it mean to state that the burden of proof is reversed?</w:t>
      </w:r>
    </w:p>
    <w:p w14:paraId="21BEBADD" w14:textId="74A4FE21" w:rsidR="002B7DCF" w:rsidRDefault="002B7DCF" w:rsidP="002B7DCF">
      <w:pPr>
        <w:pStyle w:val="ListParagraph"/>
        <w:ind w:left="1080"/>
        <w:rPr>
          <w:bCs/>
          <w:i/>
          <w:iCs/>
          <w:sz w:val="36"/>
          <w:szCs w:val="36"/>
        </w:rPr>
      </w:pPr>
      <w:r>
        <w:rPr>
          <w:bCs/>
          <w:i/>
          <w:iCs/>
          <w:sz w:val="36"/>
          <w:szCs w:val="36"/>
        </w:rPr>
        <w:t xml:space="preserve">Normally, the claimant in a civil action must establish </w:t>
      </w:r>
      <w:r w:rsidR="00D9762F">
        <w:rPr>
          <w:bCs/>
          <w:i/>
          <w:iCs/>
          <w:sz w:val="36"/>
          <w:szCs w:val="36"/>
        </w:rPr>
        <w:t>every aspect of their claim on the balance of probabilities.  If the burden of proof is reversed, the effect is that the defendant is presumed to have been negligent, and the burden of proof now falls on them; they must establish, on the balance of probabilities, that they were not negligent.</w:t>
      </w:r>
    </w:p>
    <w:p w14:paraId="78B62501" w14:textId="4DD3E277" w:rsidR="00602B10" w:rsidRDefault="00602B10" w:rsidP="00602B10">
      <w:pPr>
        <w:rPr>
          <w:bCs/>
          <w:sz w:val="36"/>
          <w:szCs w:val="36"/>
        </w:rPr>
      </w:pPr>
      <w:r>
        <w:rPr>
          <w:bCs/>
          <w:sz w:val="36"/>
          <w:szCs w:val="36"/>
        </w:rPr>
        <w:t>Causation and remoteness of damage questions.</w:t>
      </w:r>
    </w:p>
    <w:p w14:paraId="54A3D98E" w14:textId="67886D12" w:rsidR="00602B10" w:rsidRDefault="00602B10" w:rsidP="00602B10">
      <w:pPr>
        <w:pStyle w:val="ListParagraph"/>
        <w:numPr>
          <w:ilvl w:val="0"/>
          <w:numId w:val="2"/>
        </w:numPr>
        <w:rPr>
          <w:bCs/>
          <w:sz w:val="36"/>
          <w:szCs w:val="36"/>
        </w:rPr>
      </w:pPr>
      <w:r>
        <w:rPr>
          <w:bCs/>
          <w:sz w:val="36"/>
          <w:szCs w:val="36"/>
        </w:rPr>
        <w:t>Explain the “but for” test.</w:t>
      </w:r>
    </w:p>
    <w:p w14:paraId="77CD4392" w14:textId="0282F5E1" w:rsidR="00602B10" w:rsidRPr="00602B10" w:rsidRDefault="00602B10" w:rsidP="00602B10">
      <w:pPr>
        <w:pStyle w:val="ListParagraph"/>
        <w:ind w:left="1080"/>
        <w:rPr>
          <w:bCs/>
          <w:i/>
          <w:iCs/>
          <w:sz w:val="36"/>
          <w:szCs w:val="36"/>
        </w:rPr>
      </w:pPr>
      <w:r>
        <w:rPr>
          <w:bCs/>
          <w:i/>
          <w:iCs/>
          <w:sz w:val="36"/>
          <w:szCs w:val="36"/>
        </w:rPr>
        <w:t xml:space="preserve">The “but for” test is applied to the sequence of events on which a negligence claim is based to assess whether the defendant’s breach of duty of care was a factual cause of the damage which the claimant has gone on to suffer.  So, a breach of duty is a cause of that harm, if the harm would not have occurred “but for” the defendant’s negligence. </w:t>
      </w:r>
      <w:r>
        <w:rPr>
          <w:b/>
          <w:i/>
          <w:iCs/>
          <w:sz w:val="36"/>
          <w:szCs w:val="36"/>
        </w:rPr>
        <w:t xml:space="preserve">Barnett v Chelsea Kensington Hospital Management Committee [1969] </w:t>
      </w:r>
      <w:r>
        <w:rPr>
          <w:bCs/>
          <w:i/>
          <w:iCs/>
          <w:sz w:val="36"/>
          <w:szCs w:val="36"/>
        </w:rPr>
        <w:t xml:space="preserve">is frequently used to illustrate the operation of the test in graphic circumstances.  Undoubtedly the doctor who failed to attend Mr Barnett was in  breach of his duty of care to a patient but the poison which Mr Barnett had unwittingly drunk in his tea was already so far spread through his body that the doctor’s negligence did not cause Mr Barnett’s death.  </w:t>
      </w:r>
      <w:r>
        <w:rPr>
          <w:bCs/>
          <w:i/>
          <w:iCs/>
          <w:sz w:val="36"/>
          <w:szCs w:val="36"/>
        </w:rPr>
        <w:lastRenderedPageBreak/>
        <w:t>The “but for” test has limited value when there are multiple possible causal factors in the scenario but it can operate as a device for excluding inoperative factors.</w:t>
      </w:r>
    </w:p>
    <w:p w14:paraId="0CE79E73" w14:textId="751F7008" w:rsidR="00602B10" w:rsidRDefault="00602B10" w:rsidP="00602B10">
      <w:pPr>
        <w:pStyle w:val="ListParagraph"/>
        <w:numPr>
          <w:ilvl w:val="0"/>
          <w:numId w:val="2"/>
        </w:numPr>
        <w:rPr>
          <w:bCs/>
          <w:sz w:val="36"/>
          <w:szCs w:val="36"/>
        </w:rPr>
      </w:pPr>
      <w:r>
        <w:rPr>
          <w:bCs/>
          <w:sz w:val="36"/>
          <w:szCs w:val="36"/>
        </w:rPr>
        <w:t xml:space="preserve">In what circumstances will </w:t>
      </w:r>
      <w:r>
        <w:rPr>
          <w:b/>
          <w:i/>
          <w:iCs/>
          <w:sz w:val="36"/>
          <w:szCs w:val="36"/>
        </w:rPr>
        <w:t xml:space="preserve">Fairchild v </w:t>
      </w:r>
      <w:proofErr w:type="spellStart"/>
      <w:r>
        <w:rPr>
          <w:b/>
          <w:i/>
          <w:iCs/>
          <w:sz w:val="36"/>
          <w:szCs w:val="36"/>
        </w:rPr>
        <w:t>Glenhaven</w:t>
      </w:r>
      <w:proofErr w:type="spellEnd"/>
      <w:r>
        <w:rPr>
          <w:b/>
          <w:i/>
          <w:iCs/>
          <w:sz w:val="36"/>
          <w:szCs w:val="36"/>
        </w:rPr>
        <w:t xml:space="preserve"> Funeral Services [2002] </w:t>
      </w:r>
      <w:r>
        <w:rPr>
          <w:bCs/>
          <w:sz w:val="36"/>
          <w:szCs w:val="36"/>
        </w:rPr>
        <w:t>be the appropriate authority?</w:t>
      </w:r>
    </w:p>
    <w:p w14:paraId="5219E50F" w14:textId="0D343ED2" w:rsidR="00602B10" w:rsidRPr="00FE778E" w:rsidRDefault="00602B10" w:rsidP="00602B10">
      <w:pPr>
        <w:pStyle w:val="ListParagraph"/>
        <w:ind w:left="1080"/>
        <w:rPr>
          <w:bCs/>
          <w:i/>
          <w:iCs/>
          <w:sz w:val="36"/>
          <w:szCs w:val="36"/>
        </w:rPr>
      </w:pPr>
      <w:r>
        <w:rPr>
          <w:bCs/>
          <w:i/>
          <w:iCs/>
          <w:sz w:val="36"/>
          <w:szCs w:val="36"/>
        </w:rPr>
        <w:t xml:space="preserve">In </w:t>
      </w:r>
      <w:r>
        <w:rPr>
          <w:b/>
          <w:i/>
          <w:iCs/>
          <w:sz w:val="36"/>
          <w:szCs w:val="36"/>
        </w:rPr>
        <w:t xml:space="preserve">Fairchild </w:t>
      </w:r>
      <w:r>
        <w:rPr>
          <w:bCs/>
          <w:i/>
          <w:iCs/>
          <w:sz w:val="36"/>
          <w:szCs w:val="36"/>
        </w:rPr>
        <w:t xml:space="preserve">there were multiple defendants (employers), all of whom had been in breach of their duty of care to certain employees.  The claimants were now suffering from mesothelioma, which could have been caused by as little as one fibre of asbestos getting into their lungs many years before the disease became apparent to its victims.  The burden on the claimants is to prove a causal connection </w:t>
      </w:r>
      <w:r w:rsidR="00FE778E">
        <w:rPr>
          <w:bCs/>
          <w:i/>
          <w:iCs/>
          <w:sz w:val="36"/>
          <w:szCs w:val="36"/>
        </w:rPr>
        <w:t xml:space="preserve">between the negligence of the defendant and the injury to the claimant  but on these facts there is no means by which this link could be established.  Unless the Law Lords were willing to recognise a variation on the normal expectation of proof of causation, there would be substantial injustice to the claimants.  The Law Lords permitted proof of causation on the basis that each defendant employer had </w:t>
      </w:r>
      <w:r w:rsidR="00FE778E">
        <w:rPr>
          <w:b/>
          <w:i/>
          <w:iCs/>
          <w:sz w:val="36"/>
          <w:szCs w:val="36"/>
        </w:rPr>
        <w:t xml:space="preserve">materially increased the risk </w:t>
      </w:r>
      <w:r w:rsidR="00FE778E">
        <w:rPr>
          <w:bCs/>
          <w:i/>
          <w:iCs/>
          <w:sz w:val="36"/>
          <w:szCs w:val="36"/>
        </w:rPr>
        <w:t xml:space="preserve">of an employee suffering from mesothelioma.  Notice that there may be multiple defendants but the harm suffered by each claimant is indivisible.  This makes the situation different from that in cases such as </w:t>
      </w:r>
      <w:proofErr w:type="spellStart"/>
      <w:r w:rsidR="00FE778E">
        <w:rPr>
          <w:b/>
          <w:i/>
          <w:iCs/>
          <w:sz w:val="36"/>
          <w:szCs w:val="36"/>
        </w:rPr>
        <w:t>Wilsher</w:t>
      </w:r>
      <w:proofErr w:type="spellEnd"/>
      <w:r w:rsidR="00FE778E">
        <w:rPr>
          <w:b/>
          <w:i/>
          <w:iCs/>
          <w:sz w:val="36"/>
          <w:szCs w:val="36"/>
        </w:rPr>
        <w:t xml:space="preserve"> v Essex Health Authority [1987]</w:t>
      </w:r>
      <w:r w:rsidR="00FE778E">
        <w:rPr>
          <w:bCs/>
          <w:i/>
          <w:iCs/>
          <w:sz w:val="36"/>
          <w:szCs w:val="36"/>
        </w:rPr>
        <w:t xml:space="preserve"> in which </w:t>
      </w:r>
      <w:r w:rsidR="00FE778E">
        <w:rPr>
          <w:bCs/>
          <w:i/>
          <w:iCs/>
          <w:sz w:val="36"/>
          <w:szCs w:val="36"/>
        </w:rPr>
        <w:lastRenderedPageBreak/>
        <w:t>the negligence of the doctor was only one of several possible and different causes of the blindness suffered by the claimant.</w:t>
      </w:r>
    </w:p>
    <w:sectPr w:rsidR="00602B10" w:rsidRPr="00FE77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87D57"/>
    <w:multiLevelType w:val="hybridMultilevel"/>
    <w:tmpl w:val="864A58A8"/>
    <w:lvl w:ilvl="0" w:tplc="A158155A">
      <w:start w:val="1"/>
      <w:numFmt w:val="decimal"/>
      <w:lvlText w:val="%1."/>
      <w:lvlJc w:val="left"/>
      <w:pPr>
        <w:ind w:left="720" w:hanging="360"/>
      </w:pPr>
      <w:rPr>
        <w:rFonts w:hint="default"/>
        <w:sz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30F4017"/>
    <w:multiLevelType w:val="hybridMultilevel"/>
    <w:tmpl w:val="D3C017A6"/>
    <w:lvl w:ilvl="0" w:tplc="6322A34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65A41AE1"/>
    <w:multiLevelType w:val="hybridMultilevel"/>
    <w:tmpl w:val="BA001E8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2EB"/>
    <w:rsid w:val="001A52B4"/>
    <w:rsid w:val="002402EB"/>
    <w:rsid w:val="002B7DCF"/>
    <w:rsid w:val="003447CE"/>
    <w:rsid w:val="00486CA5"/>
    <w:rsid w:val="00602B10"/>
    <w:rsid w:val="009C4AFB"/>
    <w:rsid w:val="009F241C"/>
    <w:rsid w:val="00A656E3"/>
    <w:rsid w:val="00B87FB8"/>
    <w:rsid w:val="00C16CC5"/>
    <w:rsid w:val="00C93032"/>
    <w:rsid w:val="00CB7EFE"/>
    <w:rsid w:val="00D9762F"/>
    <w:rsid w:val="00ED0B71"/>
    <w:rsid w:val="00FE7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E3BD7"/>
  <w15:docId w15:val="{5EB65EDC-001E-CB42-B60F-80EE122D6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24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52B9FD-A838-4213-B75C-6EF62485A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1333</Words>
  <Characters>7602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Holmes</dc:creator>
  <cp:lastModifiedBy>Louise Holmes</cp:lastModifiedBy>
  <cp:revision>2</cp:revision>
  <cp:lastPrinted>2018-12-04T11:57:00Z</cp:lastPrinted>
  <dcterms:created xsi:type="dcterms:W3CDTF">2020-10-07T10:50:00Z</dcterms:created>
  <dcterms:modified xsi:type="dcterms:W3CDTF">2020-10-07T10:50:00Z</dcterms:modified>
</cp:coreProperties>
</file>