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8BF76" w14:textId="228F576B" w:rsidR="00992EB8" w:rsidRPr="00F10CDD" w:rsidRDefault="00000000">
      <w:pPr>
        <w:pStyle w:val="Heading1"/>
        <w:rPr>
          <w:rFonts w:ascii="Arial" w:hAnsi="Arial" w:cs="Arial"/>
          <w:sz w:val="24"/>
          <w:szCs w:val="24"/>
        </w:rPr>
      </w:pPr>
      <w:bookmarkStart w:id="0" w:name="annotated-bibliography"/>
      <w:r w:rsidRPr="00F10CDD">
        <w:rPr>
          <w:rFonts w:ascii="Arial" w:hAnsi="Arial" w:cs="Arial"/>
          <w:sz w:val="24"/>
          <w:szCs w:val="24"/>
        </w:rPr>
        <w:t>Annotated Bibliography</w:t>
      </w:r>
      <w:r w:rsidR="00F10CDD" w:rsidRPr="00F10CDD">
        <w:rPr>
          <w:rFonts w:ascii="Arial" w:hAnsi="Arial" w:cs="Arial"/>
          <w:sz w:val="24"/>
          <w:szCs w:val="24"/>
        </w:rPr>
        <w:t xml:space="preserve"> and Short Report</w:t>
      </w:r>
    </w:p>
    <w:p w14:paraId="23D5E710" w14:textId="1E47C471" w:rsidR="00992EB8" w:rsidRPr="00F10CDD" w:rsidRDefault="00992EB8">
      <w:pPr>
        <w:rPr>
          <w:rFonts w:ascii="Arial" w:hAnsi="Arial" w:cs="Arial"/>
          <w:sz w:val="22"/>
          <w:szCs w:val="22"/>
        </w:rPr>
      </w:pPr>
    </w:p>
    <w:p w14:paraId="17CC99C5" w14:textId="3AA05970" w:rsidR="00992EB8" w:rsidRPr="004735CD" w:rsidRDefault="00000000">
      <w:pPr>
        <w:pStyle w:val="FirstParagraph"/>
        <w:rPr>
          <w:rFonts w:ascii="Arial" w:hAnsi="Arial" w:cs="Arial"/>
          <w:sz w:val="22"/>
          <w:szCs w:val="22"/>
        </w:rPr>
      </w:pPr>
      <w:bookmarkStart w:id="1" w:name="title-page"/>
      <w:r w:rsidRPr="004735CD">
        <w:rPr>
          <w:rFonts w:ascii="Arial" w:hAnsi="Arial" w:cs="Arial"/>
          <w:b/>
          <w:bCs/>
          <w:sz w:val="22"/>
          <w:szCs w:val="22"/>
        </w:rPr>
        <w:t>Name:</w:t>
      </w:r>
      <w:r w:rsidRPr="004735CD">
        <w:rPr>
          <w:rFonts w:ascii="Arial" w:hAnsi="Arial" w:cs="Arial"/>
          <w:sz w:val="22"/>
          <w:szCs w:val="22"/>
        </w:rPr>
        <w:t xml:space="preserve"> Rehana Begum Parvin</w:t>
      </w:r>
      <w:r w:rsidRPr="004735CD">
        <w:rPr>
          <w:rFonts w:ascii="Arial" w:hAnsi="Arial" w:cs="Arial"/>
          <w:sz w:val="22"/>
          <w:szCs w:val="22"/>
        </w:rPr>
        <w:br/>
      </w:r>
      <w:r w:rsidRPr="004735CD">
        <w:rPr>
          <w:rFonts w:ascii="Arial" w:hAnsi="Arial" w:cs="Arial"/>
          <w:b/>
          <w:bCs/>
          <w:sz w:val="22"/>
          <w:szCs w:val="22"/>
        </w:rPr>
        <w:t>Student Number:</w:t>
      </w:r>
      <w:r w:rsidRPr="004735CD">
        <w:rPr>
          <w:rFonts w:ascii="Arial" w:hAnsi="Arial" w:cs="Arial"/>
          <w:sz w:val="22"/>
          <w:szCs w:val="22"/>
        </w:rPr>
        <w:t xml:space="preserve"> 2435923</w:t>
      </w:r>
      <w:r w:rsidRPr="004735CD">
        <w:rPr>
          <w:rFonts w:ascii="Arial" w:hAnsi="Arial" w:cs="Arial"/>
          <w:sz w:val="22"/>
          <w:szCs w:val="22"/>
        </w:rPr>
        <w:br/>
      </w:r>
      <w:r w:rsidRPr="004735CD">
        <w:rPr>
          <w:rFonts w:ascii="Arial" w:hAnsi="Arial" w:cs="Arial"/>
          <w:b/>
          <w:bCs/>
          <w:sz w:val="22"/>
          <w:szCs w:val="22"/>
        </w:rPr>
        <w:t>Module Code:</w:t>
      </w:r>
      <w:r w:rsidRPr="004735CD">
        <w:rPr>
          <w:rFonts w:ascii="Arial" w:hAnsi="Arial" w:cs="Arial"/>
          <w:sz w:val="22"/>
          <w:szCs w:val="22"/>
        </w:rPr>
        <w:t xml:space="preserve"> LCHS40</w:t>
      </w:r>
      <w:r w:rsidR="004735CD" w:rsidRPr="004735CD">
        <w:rPr>
          <w:rFonts w:ascii="Arial" w:hAnsi="Arial" w:cs="Arial"/>
          <w:sz w:val="22"/>
          <w:szCs w:val="22"/>
        </w:rPr>
        <w:t>10</w:t>
      </w:r>
      <w:r w:rsidRPr="004735CD">
        <w:rPr>
          <w:rFonts w:ascii="Arial" w:hAnsi="Arial" w:cs="Arial"/>
          <w:sz w:val="22"/>
          <w:szCs w:val="22"/>
        </w:rPr>
        <w:t>_BIRM</w:t>
      </w:r>
      <w:r w:rsidRPr="004735CD">
        <w:rPr>
          <w:rFonts w:ascii="Arial" w:hAnsi="Arial" w:cs="Arial"/>
          <w:sz w:val="22"/>
          <w:szCs w:val="22"/>
        </w:rPr>
        <w:br/>
      </w:r>
      <w:r w:rsidRPr="004735CD">
        <w:rPr>
          <w:rFonts w:ascii="Arial" w:hAnsi="Arial" w:cs="Arial"/>
          <w:b/>
          <w:bCs/>
          <w:sz w:val="22"/>
          <w:szCs w:val="22"/>
        </w:rPr>
        <w:t>Module Title:</w:t>
      </w:r>
      <w:r w:rsidRPr="004735CD">
        <w:rPr>
          <w:rFonts w:ascii="Arial" w:hAnsi="Arial" w:cs="Arial"/>
          <w:sz w:val="22"/>
          <w:szCs w:val="22"/>
        </w:rPr>
        <w:t xml:space="preserve"> </w:t>
      </w:r>
      <w:r w:rsidR="004735CD" w:rsidRPr="00CF63DE">
        <w:rPr>
          <w:rFonts w:ascii="Arial" w:hAnsi="Arial" w:cs="Arial"/>
          <w:bCs/>
          <w:sz w:val="22"/>
          <w:szCs w:val="22"/>
        </w:rPr>
        <w:t>Psychology</w:t>
      </w:r>
      <w:r w:rsidR="004735CD" w:rsidRPr="00CF63DE">
        <w:rPr>
          <w:rFonts w:ascii="Arial" w:hAnsi="Arial" w:cs="Arial"/>
          <w:bCs/>
          <w:spacing w:val="-6"/>
          <w:sz w:val="22"/>
          <w:szCs w:val="22"/>
        </w:rPr>
        <w:t xml:space="preserve"> </w:t>
      </w:r>
      <w:r w:rsidR="004735CD" w:rsidRPr="00CF63DE">
        <w:rPr>
          <w:rFonts w:ascii="Arial" w:hAnsi="Arial" w:cs="Arial"/>
          <w:bCs/>
          <w:sz w:val="22"/>
          <w:szCs w:val="22"/>
        </w:rPr>
        <w:t>in</w:t>
      </w:r>
      <w:r w:rsidR="004735CD" w:rsidRPr="00CF63DE">
        <w:rPr>
          <w:rFonts w:ascii="Arial" w:hAnsi="Arial" w:cs="Arial"/>
          <w:bCs/>
          <w:spacing w:val="-4"/>
          <w:sz w:val="22"/>
          <w:szCs w:val="22"/>
        </w:rPr>
        <w:t xml:space="preserve"> </w:t>
      </w:r>
      <w:r w:rsidR="004735CD" w:rsidRPr="00CF63DE">
        <w:rPr>
          <w:rFonts w:ascii="Arial" w:hAnsi="Arial" w:cs="Arial"/>
          <w:bCs/>
          <w:sz w:val="22"/>
          <w:szCs w:val="22"/>
        </w:rPr>
        <w:t>Health</w:t>
      </w:r>
      <w:r w:rsidR="004735CD" w:rsidRPr="00CF63DE">
        <w:rPr>
          <w:rFonts w:ascii="Arial" w:hAnsi="Arial" w:cs="Arial"/>
          <w:bCs/>
          <w:spacing w:val="-3"/>
          <w:sz w:val="22"/>
          <w:szCs w:val="22"/>
        </w:rPr>
        <w:t xml:space="preserve"> </w:t>
      </w:r>
      <w:r w:rsidR="004735CD" w:rsidRPr="00CF63DE">
        <w:rPr>
          <w:rFonts w:ascii="Arial" w:hAnsi="Arial" w:cs="Arial"/>
          <w:bCs/>
          <w:sz w:val="22"/>
          <w:szCs w:val="22"/>
        </w:rPr>
        <w:t>and</w:t>
      </w:r>
      <w:r w:rsidR="004735CD" w:rsidRPr="00CF63DE">
        <w:rPr>
          <w:rFonts w:ascii="Arial" w:hAnsi="Arial" w:cs="Arial"/>
          <w:bCs/>
          <w:spacing w:val="-4"/>
          <w:sz w:val="22"/>
          <w:szCs w:val="22"/>
        </w:rPr>
        <w:t xml:space="preserve"> </w:t>
      </w:r>
      <w:r w:rsidR="004735CD" w:rsidRPr="00CF63DE">
        <w:rPr>
          <w:rFonts w:ascii="Arial" w:hAnsi="Arial" w:cs="Arial"/>
          <w:bCs/>
          <w:sz w:val="22"/>
          <w:szCs w:val="22"/>
        </w:rPr>
        <w:t>Social</w:t>
      </w:r>
      <w:r w:rsidR="004735CD" w:rsidRPr="00CF63DE">
        <w:rPr>
          <w:rFonts w:ascii="Arial" w:hAnsi="Arial" w:cs="Arial"/>
          <w:bCs/>
          <w:spacing w:val="-4"/>
          <w:sz w:val="22"/>
          <w:szCs w:val="22"/>
        </w:rPr>
        <w:t xml:space="preserve"> Care</w:t>
      </w:r>
      <w:r w:rsidRPr="004735CD">
        <w:rPr>
          <w:rFonts w:ascii="Arial" w:hAnsi="Arial" w:cs="Arial"/>
          <w:sz w:val="22"/>
          <w:szCs w:val="22"/>
        </w:rPr>
        <w:br/>
      </w:r>
      <w:r w:rsidRPr="004735CD">
        <w:rPr>
          <w:rFonts w:ascii="Arial" w:hAnsi="Arial" w:cs="Arial"/>
          <w:b/>
          <w:bCs/>
          <w:sz w:val="22"/>
          <w:szCs w:val="22"/>
        </w:rPr>
        <w:t>Lecturer:</w:t>
      </w:r>
      <w:r w:rsidRPr="004735CD">
        <w:rPr>
          <w:rFonts w:ascii="Arial" w:hAnsi="Arial" w:cs="Arial"/>
          <w:sz w:val="22"/>
          <w:szCs w:val="22"/>
        </w:rPr>
        <w:t xml:space="preserve"> </w:t>
      </w:r>
      <w:r w:rsidR="004735CD" w:rsidRPr="004735CD">
        <w:rPr>
          <w:sz w:val="22"/>
          <w:szCs w:val="22"/>
        </w:rPr>
        <w:t>Neale Haddon</w:t>
      </w:r>
      <w:r w:rsidRPr="004735CD">
        <w:rPr>
          <w:rFonts w:ascii="Arial" w:hAnsi="Arial" w:cs="Arial"/>
          <w:sz w:val="22"/>
          <w:szCs w:val="22"/>
        </w:rPr>
        <w:br/>
      </w:r>
      <w:r w:rsidRPr="004735CD">
        <w:rPr>
          <w:rFonts w:ascii="Arial" w:hAnsi="Arial" w:cs="Arial"/>
          <w:b/>
          <w:bCs/>
          <w:sz w:val="22"/>
          <w:szCs w:val="22"/>
        </w:rPr>
        <w:t>Assignment Title:</w:t>
      </w:r>
      <w:r w:rsidRPr="004735CD">
        <w:rPr>
          <w:rFonts w:ascii="Arial" w:hAnsi="Arial" w:cs="Arial"/>
          <w:sz w:val="22"/>
          <w:szCs w:val="22"/>
        </w:rPr>
        <w:t xml:space="preserve"> Annotated Bibliography</w:t>
      </w:r>
      <w:r w:rsidR="004735CD" w:rsidRPr="004735CD">
        <w:rPr>
          <w:rFonts w:ascii="Arial" w:hAnsi="Arial" w:cs="Arial"/>
          <w:sz w:val="22"/>
          <w:szCs w:val="22"/>
        </w:rPr>
        <w:t xml:space="preserve"> and Short report</w:t>
      </w:r>
    </w:p>
    <w:p w14:paraId="1F33D191" w14:textId="4247D554" w:rsidR="00992EB8" w:rsidRPr="00F10CDD" w:rsidRDefault="00992EB8">
      <w:pPr>
        <w:rPr>
          <w:rFonts w:ascii="Arial" w:hAnsi="Arial" w:cs="Arial"/>
          <w:sz w:val="22"/>
          <w:szCs w:val="22"/>
        </w:rPr>
      </w:pPr>
    </w:p>
    <w:p w14:paraId="21FB6797" w14:textId="77777777" w:rsidR="00992EB8" w:rsidRPr="00F10CDD" w:rsidRDefault="00000000">
      <w:pPr>
        <w:pStyle w:val="Heading2"/>
        <w:rPr>
          <w:rFonts w:ascii="Arial" w:hAnsi="Arial" w:cs="Arial"/>
          <w:sz w:val="22"/>
          <w:szCs w:val="22"/>
        </w:rPr>
      </w:pPr>
      <w:bookmarkStart w:id="2" w:name="part-a-annotated-bibliography"/>
      <w:bookmarkEnd w:id="1"/>
      <w:r w:rsidRPr="00F10CDD">
        <w:rPr>
          <w:rFonts w:ascii="Arial" w:hAnsi="Arial" w:cs="Arial"/>
          <w:sz w:val="22"/>
          <w:szCs w:val="22"/>
        </w:rPr>
        <w:t>Part A: Annotated Bibliography</w:t>
      </w:r>
    </w:p>
    <w:p w14:paraId="44C1E35F" w14:textId="58CFCCC8" w:rsidR="00992EB8" w:rsidRPr="00F10CDD" w:rsidRDefault="00992EB8">
      <w:pPr>
        <w:rPr>
          <w:rFonts w:ascii="Arial" w:hAnsi="Arial" w:cs="Arial"/>
          <w:sz w:val="22"/>
          <w:szCs w:val="22"/>
        </w:rPr>
      </w:pPr>
    </w:p>
    <w:p w14:paraId="5D3C9358" w14:textId="77777777" w:rsidR="00992EB8" w:rsidRPr="00F10CDD" w:rsidRDefault="00000000">
      <w:pPr>
        <w:pStyle w:val="Heading3"/>
        <w:rPr>
          <w:rFonts w:ascii="Arial" w:hAnsi="Arial" w:cs="Arial"/>
          <w:sz w:val="22"/>
          <w:szCs w:val="22"/>
        </w:rPr>
      </w:pPr>
      <w:bookmarkStart w:id="3" w:name="X05167fee6e34f5c6b13e5bd3bc9f1ca68ffd761"/>
      <w:r w:rsidRPr="00F10CDD">
        <w:rPr>
          <w:rFonts w:ascii="Arial" w:hAnsi="Arial" w:cs="Arial"/>
          <w:sz w:val="22"/>
          <w:szCs w:val="22"/>
        </w:rPr>
        <w:t xml:space="preserve">1. Erikson, E.H. (1997) </w:t>
      </w:r>
      <w:r w:rsidRPr="00F10CDD">
        <w:rPr>
          <w:rFonts w:ascii="Arial" w:hAnsi="Arial" w:cs="Arial"/>
          <w:i/>
          <w:iCs/>
          <w:sz w:val="22"/>
          <w:szCs w:val="22"/>
        </w:rPr>
        <w:t>The Life Cycle Completed</w:t>
      </w:r>
      <w:r w:rsidRPr="00F10CDD">
        <w:rPr>
          <w:rFonts w:ascii="Arial" w:hAnsi="Arial" w:cs="Arial"/>
          <w:sz w:val="22"/>
          <w:szCs w:val="22"/>
        </w:rPr>
        <w:t>. New York: W.W. Norton</w:t>
      </w:r>
    </w:p>
    <w:p w14:paraId="77ED7D05" w14:textId="77777777" w:rsidR="00992EB8" w:rsidRPr="00F10CDD" w:rsidRDefault="00000000">
      <w:pPr>
        <w:pStyle w:val="FirstParagraph"/>
        <w:rPr>
          <w:rFonts w:ascii="Arial" w:hAnsi="Arial" w:cs="Arial"/>
          <w:sz w:val="22"/>
          <w:szCs w:val="22"/>
        </w:rPr>
      </w:pPr>
      <w:r w:rsidRPr="00F10CDD">
        <w:rPr>
          <w:rFonts w:ascii="Arial" w:hAnsi="Arial" w:cs="Arial"/>
          <w:b/>
          <w:bCs/>
          <w:sz w:val="22"/>
          <w:szCs w:val="22"/>
        </w:rPr>
        <w:t>Key Points:</w:t>
      </w:r>
      <w:r w:rsidRPr="00F10CDD">
        <w:rPr>
          <w:rFonts w:ascii="Arial" w:hAnsi="Arial" w:cs="Arial"/>
          <w:sz w:val="22"/>
          <w:szCs w:val="22"/>
        </w:rPr>
        <w:br/>
        <w:t>Erikson’s psychosocial theory presents eight distinct developmental stages that humans experience throughout their entire life. The primary conflict that defines the later stages of human life exists between Integrity and Despair because older people reflect on their life achievements together with their unfulfilled aspirations. The resolution of this stage results in wisdom and acceptance, but its failure results in despair and a fear of death. Erikson demonstrates that human development continues during adult life and people will face their past unresolved conflicts at later times in their existence.</w:t>
      </w:r>
    </w:p>
    <w:p w14:paraId="6CE211CA" w14:textId="77777777" w:rsidR="00992EB8" w:rsidRPr="00F10CDD" w:rsidRDefault="00000000">
      <w:pPr>
        <w:pStyle w:val="BodyText"/>
        <w:rPr>
          <w:rFonts w:ascii="Arial" w:hAnsi="Arial" w:cs="Arial"/>
          <w:sz w:val="22"/>
          <w:szCs w:val="22"/>
        </w:rPr>
      </w:pPr>
      <w:r w:rsidRPr="00F10CDD">
        <w:rPr>
          <w:rFonts w:ascii="Arial" w:hAnsi="Arial" w:cs="Arial"/>
          <w:b/>
          <w:bCs/>
          <w:sz w:val="22"/>
          <w:szCs w:val="22"/>
        </w:rPr>
        <w:t>Critical Relevance to Supporting Older Adults:</w:t>
      </w:r>
      <w:r w:rsidRPr="00F10CDD">
        <w:rPr>
          <w:rFonts w:ascii="Arial" w:hAnsi="Arial" w:cs="Arial"/>
          <w:sz w:val="22"/>
          <w:szCs w:val="22"/>
        </w:rPr>
        <w:br/>
        <w:t xml:space="preserve">Erikson’s framework which shows how older adults need both emotional and existential support beyond their physical care needs creates vital significance for health and social care fields. The Integrity vs Despair stage provides practitioners with essential knowledge which helps them conduct life reviews while maintaining dignity and supporting the creation of meaning which people require to achieve their later life wellbeing needs. The critics who oppose Erikson’s stages argue that these stages demonstrate cultural bias while showing a life path development which does not match the experiences of different cultures and people who have experienced disruptive life events. The theory demands that care workers apply </w:t>
      </w:r>
      <w:proofErr w:type="gramStart"/>
      <w:r w:rsidRPr="00F10CDD">
        <w:rPr>
          <w:rFonts w:ascii="Arial" w:hAnsi="Arial" w:cs="Arial"/>
          <w:sz w:val="22"/>
          <w:szCs w:val="22"/>
        </w:rPr>
        <w:t>its</w:t>
      </w:r>
      <w:proofErr w:type="gramEnd"/>
      <w:r w:rsidRPr="00F10CDD">
        <w:rPr>
          <w:rFonts w:ascii="Arial" w:hAnsi="Arial" w:cs="Arial"/>
          <w:sz w:val="22"/>
          <w:szCs w:val="22"/>
        </w:rPr>
        <w:t xml:space="preserve"> principles through flexible implementation because older adults will experience trust and autonomy conflicts when they face illness or dependency or loss of loved ones.</w:t>
      </w:r>
    </w:p>
    <w:p w14:paraId="37D15EA8" w14:textId="36F0099F" w:rsidR="00992EB8" w:rsidRPr="00F10CDD" w:rsidRDefault="00992EB8">
      <w:pPr>
        <w:rPr>
          <w:rFonts w:ascii="Arial" w:hAnsi="Arial" w:cs="Arial"/>
          <w:sz w:val="22"/>
          <w:szCs w:val="22"/>
        </w:rPr>
      </w:pPr>
    </w:p>
    <w:p w14:paraId="4B7ADCBC" w14:textId="77777777" w:rsidR="006C429E" w:rsidRPr="00F10CDD" w:rsidRDefault="006C429E">
      <w:pPr>
        <w:rPr>
          <w:rFonts w:ascii="Arial" w:hAnsi="Arial" w:cs="Arial"/>
          <w:sz w:val="22"/>
          <w:szCs w:val="22"/>
        </w:rPr>
      </w:pPr>
    </w:p>
    <w:p w14:paraId="5CF9E395" w14:textId="77777777" w:rsidR="006C429E" w:rsidRPr="00F10CDD" w:rsidRDefault="006C429E">
      <w:pPr>
        <w:rPr>
          <w:rFonts w:ascii="Arial" w:hAnsi="Arial" w:cs="Arial"/>
          <w:sz w:val="22"/>
          <w:szCs w:val="22"/>
        </w:rPr>
      </w:pPr>
    </w:p>
    <w:p w14:paraId="614A7267" w14:textId="77777777" w:rsidR="006C429E" w:rsidRPr="00F10CDD" w:rsidRDefault="006C429E">
      <w:pPr>
        <w:rPr>
          <w:rFonts w:ascii="Arial" w:hAnsi="Arial" w:cs="Arial"/>
          <w:sz w:val="22"/>
          <w:szCs w:val="22"/>
        </w:rPr>
      </w:pPr>
    </w:p>
    <w:p w14:paraId="05B05453" w14:textId="77777777" w:rsidR="006C429E" w:rsidRDefault="006C429E">
      <w:pPr>
        <w:rPr>
          <w:rFonts w:ascii="Arial" w:hAnsi="Arial" w:cs="Arial"/>
          <w:sz w:val="22"/>
          <w:szCs w:val="22"/>
        </w:rPr>
      </w:pPr>
    </w:p>
    <w:p w14:paraId="1C7A067B" w14:textId="77777777" w:rsidR="00F10CDD" w:rsidRPr="00F10CDD" w:rsidRDefault="00F10CDD">
      <w:pPr>
        <w:rPr>
          <w:rFonts w:ascii="Arial" w:hAnsi="Arial" w:cs="Arial"/>
          <w:sz w:val="22"/>
          <w:szCs w:val="22"/>
        </w:rPr>
      </w:pPr>
    </w:p>
    <w:p w14:paraId="762918A3" w14:textId="77777777" w:rsidR="00992EB8" w:rsidRPr="00F10CDD" w:rsidRDefault="00000000">
      <w:pPr>
        <w:pStyle w:val="Heading3"/>
        <w:rPr>
          <w:rFonts w:ascii="Arial" w:hAnsi="Arial" w:cs="Arial"/>
          <w:sz w:val="22"/>
          <w:szCs w:val="22"/>
        </w:rPr>
      </w:pPr>
      <w:bookmarkStart w:id="4" w:name="X7e7340f20b98e5ec356c7b4fb5c83dc39e422cc"/>
      <w:bookmarkEnd w:id="3"/>
      <w:r w:rsidRPr="00F10CDD">
        <w:rPr>
          <w:rFonts w:ascii="Arial" w:hAnsi="Arial" w:cs="Arial"/>
          <w:sz w:val="22"/>
          <w:szCs w:val="22"/>
        </w:rPr>
        <w:lastRenderedPageBreak/>
        <w:t xml:space="preserve">2. Havighurst, R.J. (1961) ‘Successful Ageing’, </w:t>
      </w:r>
      <w:r w:rsidRPr="00F10CDD">
        <w:rPr>
          <w:rFonts w:ascii="Arial" w:hAnsi="Arial" w:cs="Arial"/>
          <w:i/>
          <w:iCs/>
          <w:sz w:val="22"/>
          <w:szCs w:val="22"/>
        </w:rPr>
        <w:t>The Gerontologist</w:t>
      </w:r>
      <w:r w:rsidRPr="00F10CDD">
        <w:rPr>
          <w:rFonts w:ascii="Arial" w:hAnsi="Arial" w:cs="Arial"/>
          <w:sz w:val="22"/>
          <w:szCs w:val="22"/>
        </w:rPr>
        <w:t>, 1(1), pp. 8–13.</w:t>
      </w:r>
    </w:p>
    <w:p w14:paraId="769D4E01" w14:textId="77777777" w:rsidR="006C429E" w:rsidRPr="00F10CDD" w:rsidRDefault="006C429E" w:rsidP="006C429E">
      <w:pPr>
        <w:pStyle w:val="BodyText"/>
        <w:rPr>
          <w:rFonts w:ascii="Arial" w:hAnsi="Arial" w:cs="Arial"/>
          <w:sz w:val="22"/>
          <w:szCs w:val="22"/>
        </w:rPr>
      </w:pPr>
    </w:p>
    <w:p w14:paraId="21A31B9B" w14:textId="77777777" w:rsidR="00992EB8" w:rsidRPr="00F10CDD" w:rsidRDefault="00000000">
      <w:pPr>
        <w:pStyle w:val="FirstParagraph"/>
        <w:rPr>
          <w:rFonts w:ascii="Arial" w:hAnsi="Arial" w:cs="Arial"/>
          <w:sz w:val="22"/>
          <w:szCs w:val="22"/>
        </w:rPr>
      </w:pPr>
      <w:r w:rsidRPr="00F10CDD">
        <w:rPr>
          <w:rFonts w:ascii="Arial" w:hAnsi="Arial" w:cs="Arial"/>
          <w:b/>
          <w:bCs/>
          <w:sz w:val="22"/>
          <w:szCs w:val="22"/>
        </w:rPr>
        <w:t>Key Points:</w:t>
      </w:r>
      <w:r w:rsidRPr="00F10CDD">
        <w:rPr>
          <w:rFonts w:ascii="Arial" w:hAnsi="Arial" w:cs="Arial"/>
          <w:sz w:val="22"/>
          <w:szCs w:val="22"/>
        </w:rPr>
        <w:br/>
        <w:t>According to Havighurst’s Activity Theory, older adults achieve maximum life satisfaction by maintaining their existing social roles and participating in active roles and engaging in social activities. He argues that aging does not lead to inevitable decline because people maintain their well-being through continuous lifestyle patterns and active participation in meaningful activities. The theory demonstrates that individuals who withdraw from society do not do so as a natural process because social structures usually compel this behavior.</w:t>
      </w:r>
    </w:p>
    <w:p w14:paraId="0966BC7D" w14:textId="77777777" w:rsidR="00992EB8" w:rsidRPr="00F10CDD" w:rsidRDefault="00000000">
      <w:pPr>
        <w:pStyle w:val="BodyText"/>
        <w:rPr>
          <w:rFonts w:ascii="Arial" w:hAnsi="Arial" w:cs="Arial"/>
          <w:sz w:val="22"/>
          <w:szCs w:val="22"/>
        </w:rPr>
      </w:pPr>
      <w:r w:rsidRPr="00F10CDD">
        <w:rPr>
          <w:rFonts w:ascii="Arial" w:hAnsi="Arial" w:cs="Arial"/>
          <w:b/>
          <w:bCs/>
          <w:sz w:val="22"/>
          <w:szCs w:val="22"/>
        </w:rPr>
        <w:t>Critical Relevance to Supporting Older Adults:</w:t>
      </w:r>
      <w:r w:rsidRPr="00F10CDD">
        <w:rPr>
          <w:rFonts w:ascii="Arial" w:hAnsi="Arial" w:cs="Arial"/>
          <w:sz w:val="22"/>
          <w:szCs w:val="22"/>
        </w:rPr>
        <w:br/>
        <w:t>Activity Theory brings essential benefits to current social care standards because it helps people achieve independence through community participation and customized activity development.</w:t>
      </w:r>
    </w:p>
    <w:p w14:paraId="4559BD35" w14:textId="77777777" w:rsidR="00992EB8" w:rsidRPr="00F10CDD" w:rsidRDefault="00000000">
      <w:pPr>
        <w:pStyle w:val="BodyText"/>
        <w:rPr>
          <w:rFonts w:ascii="Arial" w:hAnsi="Arial" w:cs="Arial"/>
          <w:sz w:val="22"/>
          <w:szCs w:val="22"/>
        </w:rPr>
      </w:pPr>
      <w:r w:rsidRPr="00F10CDD">
        <w:rPr>
          <w:rFonts w:ascii="Arial" w:hAnsi="Arial" w:cs="Arial"/>
          <w:sz w:val="22"/>
          <w:szCs w:val="22"/>
        </w:rPr>
        <w:t>The framework supports various social activities which include social clubs and volunteering programs and cognitive stimulation activities.</w:t>
      </w:r>
    </w:p>
    <w:p w14:paraId="1EBC8421" w14:textId="77777777" w:rsidR="00992EB8" w:rsidRPr="00F10CDD" w:rsidRDefault="00000000">
      <w:pPr>
        <w:pStyle w:val="BodyText"/>
        <w:rPr>
          <w:rFonts w:ascii="Arial" w:hAnsi="Arial" w:cs="Arial"/>
          <w:sz w:val="22"/>
          <w:szCs w:val="22"/>
        </w:rPr>
      </w:pPr>
      <w:r w:rsidRPr="00F10CDD">
        <w:rPr>
          <w:rFonts w:ascii="Arial" w:hAnsi="Arial" w:cs="Arial"/>
          <w:sz w:val="22"/>
          <w:szCs w:val="22"/>
        </w:rPr>
        <w:t>The theory fails to demonstrate its validity because it asserts that every elderly person wants to maintain their physical activity throughout the day which does not reflect the actual desires of individuals who experience chronic health conditions and disabilities and social withdrawal.</w:t>
      </w:r>
    </w:p>
    <w:p w14:paraId="4125B2B7" w14:textId="45969FE6" w:rsidR="00992EB8" w:rsidRPr="00F10CDD" w:rsidRDefault="00000000">
      <w:pPr>
        <w:pStyle w:val="BodyText"/>
        <w:rPr>
          <w:rFonts w:ascii="Arial" w:hAnsi="Arial" w:cs="Arial"/>
          <w:sz w:val="22"/>
          <w:szCs w:val="22"/>
        </w:rPr>
      </w:pPr>
      <w:r w:rsidRPr="00F10CDD">
        <w:rPr>
          <w:rFonts w:ascii="Arial" w:hAnsi="Arial" w:cs="Arial"/>
          <w:sz w:val="22"/>
          <w:szCs w:val="22"/>
        </w:rPr>
        <w:t>A person-centered approach is crucial</w:t>
      </w:r>
      <w:r w:rsidR="00CD27E2">
        <w:rPr>
          <w:rFonts w:ascii="Arial" w:hAnsi="Arial" w:cs="Arial"/>
          <w:sz w:val="22"/>
          <w:szCs w:val="22"/>
        </w:rPr>
        <w:t>.</w:t>
      </w:r>
      <w:r w:rsidR="006C429E" w:rsidRPr="00F10CDD">
        <w:rPr>
          <w:rFonts w:ascii="Arial" w:hAnsi="Arial" w:cs="Arial"/>
          <w:sz w:val="22"/>
          <w:szCs w:val="22"/>
        </w:rPr>
        <w:t xml:space="preserve"> </w:t>
      </w:r>
      <w:r w:rsidR="00CD27E2">
        <w:rPr>
          <w:rFonts w:ascii="Arial" w:hAnsi="Arial" w:cs="Arial"/>
          <w:sz w:val="22"/>
          <w:szCs w:val="22"/>
        </w:rPr>
        <w:t>C</w:t>
      </w:r>
      <w:r w:rsidRPr="00F10CDD">
        <w:rPr>
          <w:rFonts w:ascii="Arial" w:hAnsi="Arial" w:cs="Arial"/>
          <w:sz w:val="22"/>
          <w:szCs w:val="22"/>
        </w:rPr>
        <w:t>are providers should promote participation while refraining from pressuring individuals into activities that do not resonate with their personal values or energy capacities.</w:t>
      </w:r>
    </w:p>
    <w:p w14:paraId="5E45F051" w14:textId="0BC6857C" w:rsidR="00992EB8" w:rsidRPr="00F10CDD" w:rsidRDefault="00992EB8">
      <w:pPr>
        <w:rPr>
          <w:rFonts w:ascii="Arial" w:hAnsi="Arial" w:cs="Arial"/>
          <w:sz w:val="22"/>
          <w:szCs w:val="22"/>
        </w:rPr>
      </w:pPr>
    </w:p>
    <w:p w14:paraId="26936074" w14:textId="77777777" w:rsidR="006C429E" w:rsidRPr="00F10CDD" w:rsidRDefault="006C429E">
      <w:pPr>
        <w:rPr>
          <w:rFonts w:ascii="Arial" w:hAnsi="Arial" w:cs="Arial"/>
          <w:sz w:val="22"/>
          <w:szCs w:val="22"/>
        </w:rPr>
      </w:pPr>
    </w:p>
    <w:p w14:paraId="36F7FDFE" w14:textId="77777777" w:rsidR="006C429E" w:rsidRPr="00F10CDD" w:rsidRDefault="006C429E">
      <w:pPr>
        <w:rPr>
          <w:rFonts w:ascii="Arial" w:hAnsi="Arial" w:cs="Arial"/>
          <w:sz w:val="22"/>
          <w:szCs w:val="22"/>
        </w:rPr>
      </w:pPr>
    </w:p>
    <w:p w14:paraId="40CAD056" w14:textId="77777777" w:rsidR="006C429E" w:rsidRPr="00F10CDD" w:rsidRDefault="006C429E">
      <w:pPr>
        <w:rPr>
          <w:rFonts w:ascii="Arial" w:hAnsi="Arial" w:cs="Arial"/>
          <w:sz w:val="22"/>
          <w:szCs w:val="22"/>
        </w:rPr>
      </w:pPr>
    </w:p>
    <w:p w14:paraId="2ADD9ED1" w14:textId="77777777" w:rsidR="006C429E" w:rsidRPr="00F10CDD" w:rsidRDefault="006C429E">
      <w:pPr>
        <w:rPr>
          <w:rFonts w:ascii="Arial" w:hAnsi="Arial" w:cs="Arial"/>
          <w:sz w:val="22"/>
          <w:szCs w:val="22"/>
        </w:rPr>
      </w:pPr>
    </w:p>
    <w:p w14:paraId="4529A98E" w14:textId="77777777" w:rsidR="006C429E" w:rsidRPr="00F10CDD" w:rsidRDefault="006C429E">
      <w:pPr>
        <w:rPr>
          <w:rFonts w:ascii="Arial" w:hAnsi="Arial" w:cs="Arial"/>
          <w:sz w:val="22"/>
          <w:szCs w:val="22"/>
        </w:rPr>
      </w:pPr>
    </w:p>
    <w:p w14:paraId="7EEB361D" w14:textId="77777777" w:rsidR="006C429E" w:rsidRPr="00F10CDD" w:rsidRDefault="006C429E">
      <w:pPr>
        <w:rPr>
          <w:rFonts w:ascii="Arial" w:hAnsi="Arial" w:cs="Arial"/>
          <w:sz w:val="22"/>
          <w:szCs w:val="22"/>
        </w:rPr>
      </w:pPr>
    </w:p>
    <w:p w14:paraId="149E21A5" w14:textId="77777777" w:rsidR="006C429E" w:rsidRPr="00F10CDD" w:rsidRDefault="006C429E">
      <w:pPr>
        <w:rPr>
          <w:rFonts w:ascii="Arial" w:hAnsi="Arial" w:cs="Arial"/>
          <w:sz w:val="22"/>
          <w:szCs w:val="22"/>
        </w:rPr>
      </w:pPr>
    </w:p>
    <w:p w14:paraId="6EDF3490" w14:textId="77777777" w:rsidR="006C429E" w:rsidRPr="00F10CDD" w:rsidRDefault="006C429E">
      <w:pPr>
        <w:rPr>
          <w:rFonts w:ascii="Arial" w:hAnsi="Arial" w:cs="Arial"/>
          <w:sz w:val="22"/>
          <w:szCs w:val="22"/>
        </w:rPr>
      </w:pPr>
    </w:p>
    <w:p w14:paraId="78A67662" w14:textId="77777777" w:rsidR="006C429E" w:rsidRPr="00F10CDD" w:rsidRDefault="006C429E">
      <w:pPr>
        <w:rPr>
          <w:rFonts w:ascii="Arial" w:hAnsi="Arial" w:cs="Arial"/>
          <w:sz w:val="22"/>
          <w:szCs w:val="22"/>
        </w:rPr>
      </w:pPr>
    </w:p>
    <w:p w14:paraId="08503505" w14:textId="77777777" w:rsidR="006C429E" w:rsidRPr="00F10CDD" w:rsidRDefault="006C429E">
      <w:pPr>
        <w:rPr>
          <w:rFonts w:ascii="Arial" w:hAnsi="Arial" w:cs="Arial"/>
          <w:sz w:val="22"/>
          <w:szCs w:val="22"/>
        </w:rPr>
      </w:pPr>
    </w:p>
    <w:p w14:paraId="18CAE7A4" w14:textId="77777777" w:rsidR="006C429E" w:rsidRPr="00F10CDD" w:rsidRDefault="006C429E">
      <w:pPr>
        <w:rPr>
          <w:rFonts w:ascii="Arial" w:hAnsi="Arial" w:cs="Arial"/>
          <w:sz w:val="22"/>
          <w:szCs w:val="22"/>
        </w:rPr>
      </w:pPr>
    </w:p>
    <w:p w14:paraId="3C214B76" w14:textId="77777777" w:rsidR="00992EB8" w:rsidRPr="00F10CDD" w:rsidRDefault="00000000">
      <w:pPr>
        <w:pStyle w:val="Heading3"/>
        <w:rPr>
          <w:rFonts w:ascii="Arial" w:hAnsi="Arial" w:cs="Arial"/>
          <w:sz w:val="22"/>
          <w:szCs w:val="22"/>
        </w:rPr>
      </w:pPr>
      <w:bookmarkStart w:id="5" w:name="X2e78b9526f7447be6a1bea27cef46bbdb915d1d"/>
      <w:bookmarkEnd w:id="4"/>
      <w:r w:rsidRPr="00F10CDD">
        <w:rPr>
          <w:rFonts w:ascii="Arial" w:hAnsi="Arial" w:cs="Arial"/>
          <w:sz w:val="22"/>
          <w:szCs w:val="22"/>
        </w:rPr>
        <w:lastRenderedPageBreak/>
        <w:t xml:space="preserve">3. Bowlby, J. (1988) </w:t>
      </w:r>
      <w:r w:rsidRPr="00F10CDD">
        <w:rPr>
          <w:rFonts w:ascii="Arial" w:hAnsi="Arial" w:cs="Arial"/>
          <w:i/>
          <w:iCs/>
          <w:sz w:val="22"/>
          <w:szCs w:val="22"/>
        </w:rPr>
        <w:t>A Secure Base: Parent-Child Attachment and Healthy Human Development</w:t>
      </w:r>
      <w:r w:rsidRPr="00F10CDD">
        <w:rPr>
          <w:rFonts w:ascii="Arial" w:hAnsi="Arial" w:cs="Arial"/>
          <w:sz w:val="22"/>
          <w:szCs w:val="22"/>
        </w:rPr>
        <w:t>. London: Routledge</w:t>
      </w:r>
    </w:p>
    <w:p w14:paraId="6458C741" w14:textId="4332BD1F" w:rsidR="00992EB8" w:rsidRPr="00F10CDD" w:rsidRDefault="00000000">
      <w:pPr>
        <w:pStyle w:val="FirstParagraph"/>
        <w:rPr>
          <w:rFonts w:ascii="Arial" w:hAnsi="Arial" w:cs="Arial"/>
          <w:sz w:val="22"/>
          <w:szCs w:val="22"/>
        </w:rPr>
      </w:pPr>
      <w:r w:rsidRPr="00F10CDD">
        <w:rPr>
          <w:rFonts w:ascii="Arial" w:hAnsi="Arial" w:cs="Arial"/>
          <w:b/>
          <w:bCs/>
          <w:sz w:val="22"/>
          <w:szCs w:val="22"/>
        </w:rPr>
        <w:t>Key Points:</w:t>
      </w:r>
      <w:r w:rsidRPr="00F10CDD">
        <w:rPr>
          <w:rFonts w:ascii="Arial" w:hAnsi="Arial" w:cs="Arial"/>
          <w:sz w:val="22"/>
          <w:szCs w:val="22"/>
        </w:rPr>
        <w:br/>
        <w:t xml:space="preserve">Bowlby’s Attachment Theory explains how early caregiver relationships shape a person’s emotional control and trust abilities and their ability to form relationships throughout their entire life. The research started with childhood as its main </w:t>
      </w:r>
      <w:proofErr w:type="gramStart"/>
      <w:r w:rsidRPr="00F10CDD">
        <w:rPr>
          <w:rFonts w:ascii="Arial" w:hAnsi="Arial" w:cs="Arial"/>
          <w:sz w:val="22"/>
          <w:szCs w:val="22"/>
        </w:rPr>
        <w:t>focus</w:t>
      </w:r>
      <w:proofErr w:type="gramEnd"/>
      <w:r w:rsidRPr="00F10CDD">
        <w:rPr>
          <w:rFonts w:ascii="Arial" w:hAnsi="Arial" w:cs="Arial"/>
          <w:sz w:val="22"/>
          <w:szCs w:val="22"/>
        </w:rPr>
        <w:t xml:space="preserve"> but later studies showed that attachment styles which include secure avoidant </w:t>
      </w:r>
      <w:r w:rsidR="00CF4074" w:rsidRPr="00F10CDD">
        <w:rPr>
          <w:rFonts w:ascii="Arial" w:hAnsi="Arial" w:cs="Arial"/>
          <w:sz w:val="22"/>
          <w:szCs w:val="22"/>
        </w:rPr>
        <w:t>ambivalence</w:t>
      </w:r>
      <w:r w:rsidRPr="00F10CDD">
        <w:rPr>
          <w:rFonts w:ascii="Arial" w:hAnsi="Arial" w:cs="Arial"/>
          <w:sz w:val="22"/>
          <w:szCs w:val="22"/>
        </w:rPr>
        <w:t xml:space="preserve"> and disorgani</w:t>
      </w:r>
      <w:r w:rsidR="00CF4074">
        <w:rPr>
          <w:rFonts w:ascii="Arial" w:hAnsi="Arial" w:cs="Arial"/>
          <w:sz w:val="22"/>
          <w:szCs w:val="22"/>
        </w:rPr>
        <w:t>s</w:t>
      </w:r>
      <w:r w:rsidRPr="00F10CDD">
        <w:rPr>
          <w:rFonts w:ascii="Arial" w:hAnsi="Arial" w:cs="Arial"/>
          <w:sz w:val="22"/>
          <w:szCs w:val="22"/>
        </w:rPr>
        <w:t>ed patterns continue to impact adult relationships and coping skills and dependency responses. Bowlby considers attachment to function as an evolutionary system that guides human behavior to maintain safety and establish proximity with caregivers.</w:t>
      </w:r>
    </w:p>
    <w:p w14:paraId="3CE0FD34" w14:textId="77777777" w:rsidR="00992EB8" w:rsidRPr="00F10CDD" w:rsidRDefault="00000000">
      <w:pPr>
        <w:pStyle w:val="BodyText"/>
        <w:rPr>
          <w:rFonts w:ascii="Arial" w:hAnsi="Arial" w:cs="Arial"/>
          <w:sz w:val="22"/>
          <w:szCs w:val="22"/>
        </w:rPr>
      </w:pPr>
      <w:r w:rsidRPr="00F10CDD">
        <w:rPr>
          <w:rFonts w:ascii="Arial" w:hAnsi="Arial" w:cs="Arial"/>
          <w:b/>
          <w:bCs/>
          <w:sz w:val="22"/>
          <w:szCs w:val="22"/>
        </w:rPr>
        <w:t>Critical Relevance to Supporting Older Adults:</w:t>
      </w:r>
      <w:r w:rsidRPr="00F10CDD">
        <w:rPr>
          <w:rFonts w:ascii="Arial" w:hAnsi="Arial" w:cs="Arial"/>
          <w:sz w:val="22"/>
          <w:szCs w:val="22"/>
        </w:rPr>
        <w:br/>
        <w:t>The study of Attachment Theory provides important insights about how elderly people respond to their moving to assisted living facilities and their need for help from caregivers and their experience of losing loved ones. People with insecure attachment face challenges in developing trust because they tend to avoid help from others and experience heightened anxiety. Care workers use attachment-informed strategies which include maintaining consistency and demonstrating emotional attunement and providing reassurance to create secure relationships that help reduce their clients’ distress. The theory receives criticism for its excessive focus on early childhood development while it fails to acknowledge cultural differences and adult resilience. People should see attachment patterns as changing elements which develop through their experiences during different periods of their existence.</w:t>
      </w:r>
    </w:p>
    <w:p w14:paraId="1C1895E8" w14:textId="77777777" w:rsidR="006C429E" w:rsidRPr="00F10CDD" w:rsidRDefault="006C429E">
      <w:pPr>
        <w:pStyle w:val="Heading3"/>
        <w:rPr>
          <w:rFonts w:ascii="Arial" w:hAnsi="Arial" w:cs="Arial"/>
          <w:sz w:val="22"/>
          <w:szCs w:val="22"/>
        </w:rPr>
      </w:pPr>
      <w:bookmarkStart w:id="6" w:name="X05280a6776eb484e8dc41c9c540772dde522f13"/>
      <w:bookmarkEnd w:id="5"/>
    </w:p>
    <w:p w14:paraId="1D17BCFE" w14:textId="77777777" w:rsidR="006C429E" w:rsidRPr="00F10CDD" w:rsidRDefault="006C429E" w:rsidP="006C429E">
      <w:pPr>
        <w:pStyle w:val="BodyText"/>
        <w:rPr>
          <w:rFonts w:ascii="Arial" w:hAnsi="Arial" w:cs="Arial"/>
          <w:sz w:val="22"/>
          <w:szCs w:val="22"/>
        </w:rPr>
      </w:pPr>
    </w:p>
    <w:p w14:paraId="2A53A8EC" w14:textId="3B8C9ABA" w:rsidR="00992EB8" w:rsidRPr="00F10CDD" w:rsidRDefault="00000000">
      <w:pPr>
        <w:pStyle w:val="Heading3"/>
        <w:rPr>
          <w:rFonts w:ascii="Arial" w:hAnsi="Arial" w:cs="Arial"/>
          <w:sz w:val="22"/>
          <w:szCs w:val="22"/>
        </w:rPr>
      </w:pPr>
      <w:r w:rsidRPr="00F10CDD">
        <w:rPr>
          <w:rFonts w:ascii="Arial" w:hAnsi="Arial" w:cs="Arial"/>
          <w:sz w:val="22"/>
          <w:szCs w:val="22"/>
        </w:rPr>
        <w:t xml:space="preserve">4. Seligman, M.E.P. and Csikszentmihalyi, M. (2000) ‘Positive Psychology: An Introduction’, </w:t>
      </w:r>
      <w:r w:rsidRPr="00F10CDD">
        <w:rPr>
          <w:rFonts w:ascii="Arial" w:hAnsi="Arial" w:cs="Arial"/>
          <w:i/>
          <w:iCs/>
          <w:sz w:val="22"/>
          <w:szCs w:val="22"/>
        </w:rPr>
        <w:t>American Psychologist</w:t>
      </w:r>
      <w:r w:rsidRPr="00F10CDD">
        <w:rPr>
          <w:rFonts w:ascii="Arial" w:hAnsi="Arial" w:cs="Arial"/>
          <w:sz w:val="22"/>
          <w:szCs w:val="22"/>
        </w:rPr>
        <w:t>, 55(1), pp. 5–14.</w:t>
      </w:r>
    </w:p>
    <w:p w14:paraId="66842040" w14:textId="77777777" w:rsidR="00992EB8" w:rsidRPr="00F10CDD" w:rsidRDefault="00000000">
      <w:pPr>
        <w:pStyle w:val="FirstParagraph"/>
        <w:rPr>
          <w:rFonts w:ascii="Arial" w:hAnsi="Arial" w:cs="Arial"/>
          <w:sz w:val="22"/>
          <w:szCs w:val="22"/>
        </w:rPr>
      </w:pPr>
      <w:r w:rsidRPr="00F10CDD">
        <w:rPr>
          <w:rFonts w:ascii="Arial" w:hAnsi="Arial" w:cs="Arial"/>
          <w:b/>
          <w:bCs/>
          <w:sz w:val="22"/>
          <w:szCs w:val="22"/>
        </w:rPr>
        <w:t>Key Points:</w:t>
      </w:r>
      <w:r w:rsidRPr="00F10CDD">
        <w:rPr>
          <w:rFonts w:ascii="Arial" w:hAnsi="Arial" w:cs="Arial"/>
          <w:sz w:val="22"/>
          <w:szCs w:val="22"/>
        </w:rPr>
        <w:br/>
        <w:t>This article serves as the starting point for Positive Psychology because it presents fundamental information about the movement, which studies human strengths and well-being and resilience and optimal performance, instead of studying human disorders. The authors argue that adults’ wellbeing depends on their ability to experience positive feelings and their capacity to engage with life and find purpose and achieve success and build supportive relationships with others. The researchers show that people need to develop hope and gratitude and purpose throughout their entire lives which includes their advanced age. Positive psychology reinterprets ageing as a phase of potential growth rather than a certain decline.</w:t>
      </w:r>
    </w:p>
    <w:p w14:paraId="75D63221" w14:textId="2E27A039" w:rsidR="00992EB8" w:rsidRPr="00F10CDD" w:rsidRDefault="00000000">
      <w:pPr>
        <w:pStyle w:val="BodyText"/>
        <w:rPr>
          <w:rFonts w:ascii="Arial" w:hAnsi="Arial" w:cs="Arial"/>
          <w:sz w:val="22"/>
          <w:szCs w:val="22"/>
        </w:rPr>
      </w:pPr>
      <w:r w:rsidRPr="00F10CDD">
        <w:rPr>
          <w:rFonts w:ascii="Arial" w:hAnsi="Arial" w:cs="Arial"/>
          <w:b/>
          <w:bCs/>
          <w:sz w:val="22"/>
          <w:szCs w:val="22"/>
        </w:rPr>
        <w:t>Critical Relevance to Supporting Older Adults:</w:t>
      </w:r>
      <w:r w:rsidRPr="00F10CDD">
        <w:rPr>
          <w:rFonts w:ascii="Arial" w:hAnsi="Arial" w:cs="Arial"/>
          <w:sz w:val="22"/>
          <w:szCs w:val="22"/>
        </w:rPr>
        <w:br/>
        <w:t xml:space="preserve">Positive psychology provides valuable practical advantages which benefit both health care and social care fields because it helps people build resilience and achieve independence and develop emotional health. The combination of gratitude journaling and strengths-based care planning and meaning-centered activities enables older adults to improve their </w:t>
      </w:r>
      <w:r w:rsidR="006C429E" w:rsidRPr="00F10CDD">
        <w:rPr>
          <w:rFonts w:ascii="Arial" w:hAnsi="Arial" w:cs="Arial"/>
          <w:sz w:val="22"/>
          <w:szCs w:val="22"/>
        </w:rPr>
        <w:t>quality of life</w:t>
      </w:r>
      <w:r w:rsidRPr="00F10CDD">
        <w:rPr>
          <w:rFonts w:ascii="Arial" w:hAnsi="Arial" w:cs="Arial"/>
          <w:sz w:val="22"/>
          <w:szCs w:val="22"/>
        </w:rPr>
        <w:t xml:space="preserve"> especially those who face chronic illnesses and cognitive decline. Some critics argue that positive psychology fails to address structural inequalities which include poverty and lack of essential care resources while it places too much burden on individuals to keep a positive mindset. Care workers must establish an equilibrium between strengths-based approaches and their advocacy responsibilities while delivering complete support to their clients.</w:t>
      </w:r>
    </w:p>
    <w:p w14:paraId="3D644F69" w14:textId="77777777" w:rsidR="00AC7658" w:rsidRPr="00F10CDD" w:rsidRDefault="00AC7658">
      <w:pPr>
        <w:rPr>
          <w:rFonts w:ascii="Arial" w:hAnsi="Arial" w:cs="Arial"/>
          <w:sz w:val="22"/>
          <w:szCs w:val="22"/>
        </w:rPr>
      </w:pPr>
    </w:p>
    <w:p w14:paraId="5CA2A3AD" w14:textId="77777777" w:rsidR="00AC7658" w:rsidRPr="00AC7658" w:rsidRDefault="00AC7658" w:rsidP="00CF4074">
      <w:pPr>
        <w:pStyle w:val="Heading1"/>
        <w:rPr>
          <w:lang w:val="en-GB"/>
        </w:rPr>
      </w:pPr>
      <w:r w:rsidRPr="00AC7658">
        <w:rPr>
          <w:lang w:val="en-GB"/>
        </w:rPr>
        <w:lastRenderedPageBreak/>
        <w:t>Part B: Short Report</w:t>
      </w:r>
    </w:p>
    <w:p w14:paraId="666DFCB6"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Introduction</w:t>
      </w:r>
    </w:p>
    <w:p w14:paraId="2484BC4B"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Promoting psychological wellbeing is essential for establishing effective residential care practices which provide services to older adults. The process of aging results in major life transitions which affect multiple aspects of a person's existence including their health status, level of independence and social identity, along with their social relationships. Psychological theories enable professionals to acquire understanding about human experiences while they develop methods which promote emotional resilience and life satisfaction in others. This report shows how residential care facilities use Erikson's Psychosocial Theory by applying its Integrity vs Despair stage to enhance resident wellbeing. The case scenario demonstrates how to implement the method and then the main obstacle gets identified with its corresponding solution method.</w:t>
      </w:r>
    </w:p>
    <w:p w14:paraId="13384B7C"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Applying Erikson’s Theory to improve Wellbeing in Residential Care</w:t>
      </w:r>
    </w:p>
    <w:p w14:paraId="71B49D66"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Erikson's theory proposes that human beings keep developing throughout their entire lives, with their development divided into distinct stages that include major psychological conflicts. The period after middle age marks the time when people face the vital struggle between Integrity and Despair. At this point, individuals contemplate their life experiences, accomplishments, relationships, and lingering regrets. The successful resolution of this conflict brings people integrity, acceptance, and wisdom, while the unresolved conflict leads to despair, hopelessness, and death-related fears.</w:t>
      </w:r>
    </w:p>
    <w:p w14:paraId="39074B97"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Supporting Life Review</w:t>
      </w:r>
    </w:p>
    <w:p w14:paraId="67EBAB4E"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Residential care personnel can apply Erikson’s theory to improve life-review activities which allow residents to explore their life stories and understand their past experiences. This may include, reminiscence sessions which use photographs and music and personal items, the creation of life-story books or digital memory profiles, the process of encouraging residents to share their personal stories with others including staff members, the activities establish a connection to past identities while they help people build self-worth and express their feelings which contributes to their mental health development.</w:t>
      </w:r>
    </w:p>
    <w:p w14:paraId="5717CC2A"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Enhancing Identity and Dignity</w:t>
      </w:r>
    </w:p>
    <w:p w14:paraId="7354C525" w14:textId="08A46F70" w:rsidR="00AC7658" w:rsidRPr="00F10CDD" w:rsidRDefault="00AC7658" w:rsidP="00AC7658">
      <w:pPr>
        <w:rPr>
          <w:rFonts w:ascii="Arial" w:hAnsi="Arial" w:cs="Arial"/>
          <w:sz w:val="22"/>
          <w:szCs w:val="22"/>
          <w:lang w:val="en-GB"/>
        </w:rPr>
      </w:pPr>
      <w:r w:rsidRPr="00AC7658">
        <w:rPr>
          <w:rFonts w:ascii="Arial" w:hAnsi="Arial" w:cs="Arial"/>
          <w:sz w:val="22"/>
          <w:szCs w:val="22"/>
          <w:lang w:val="en-GB"/>
        </w:rPr>
        <w:t>Staff members recognize that integrity is critical to their work because it helps them to treat residents as unique individuals who need different types of assistance. The process of developing</w:t>
      </w:r>
      <w:r w:rsidR="00CF4074">
        <w:rPr>
          <w:rFonts w:ascii="Arial" w:hAnsi="Arial" w:cs="Arial"/>
          <w:sz w:val="22"/>
          <w:szCs w:val="22"/>
          <w:lang w:val="en-GB"/>
        </w:rPr>
        <w:t xml:space="preserve"> </w:t>
      </w:r>
      <w:r w:rsidRPr="00AC7658">
        <w:rPr>
          <w:rFonts w:ascii="Arial" w:hAnsi="Arial" w:cs="Arial"/>
          <w:sz w:val="22"/>
          <w:szCs w:val="22"/>
          <w:lang w:val="en-GB"/>
        </w:rPr>
        <w:t>care plans needs to include personal preferences and cultural backgrounds and previous roles in order to maintain dignity and build a strong sense of identity.</w:t>
      </w:r>
    </w:p>
    <w:p w14:paraId="35C2F737" w14:textId="77777777" w:rsidR="00965B13" w:rsidRPr="00F10CDD" w:rsidRDefault="00965B13" w:rsidP="00AC7658">
      <w:pPr>
        <w:rPr>
          <w:rFonts w:ascii="Arial" w:hAnsi="Arial" w:cs="Arial"/>
          <w:sz w:val="22"/>
          <w:szCs w:val="22"/>
          <w:lang w:val="en-GB"/>
        </w:rPr>
      </w:pPr>
    </w:p>
    <w:p w14:paraId="032FEE25" w14:textId="77777777" w:rsidR="00965B13" w:rsidRDefault="00965B13" w:rsidP="00AC7658">
      <w:pPr>
        <w:rPr>
          <w:rFonts w:ascii="Arial" w:hAnsi="Arial" w:cs="Arial"/>
          <w:sz w:val="22"/>
          <w:szCs w:val="22"/>
          <w:lang w:val="en-GB"/>
        </w:rPr>
      </w:pPr>
    </w:p>
    <w:p w14:paraId="2EDEFB79" w14:textId="77777777" w:rsidR="00F10CDD" w:rsidRDefault="00F10CDD" w:rsidP="00AC7658">
      <w:pPr>
        <w:rPr>
          <w:rFonts w:ascii="Arial" w:hAnsi="Arial" w:cs="Arial"/>
          <w:sz w:val="22"/>
          <w:szCs w:val="22"/>
          <w:lang w:val="en-GB"/>
        </w:rPr>
      </w:pPr>
    </w:p>
    <w:p w14:paraId="3DD1BFA6" w14:textId="77777777" w:rsidR="00F10CDD" w:rsidRDefault="00F10CDD" w:rsidP="00AC7658">
      <w:pPr>
        <w:rPr>
          <w:rFonts w:ascii="Arial" w:hAnsi="Arial" w:cs="Arial"/>
          <w:sz w:val="22"/>
          <w:szCs w:val="22"/>
          <w:lang w:val="en-GB"/>
        </w:rPr>
      </w:pPr>
    </w:p>
    <w:p w14:paraId="730CC907" w14:textId="77777777" w:rsidR="00F10CDD" w:rsidRDefault="00F10CDD" w:rsidP="00AC7658">
      <w:pPr>
        <w:rPr>
          <w:rFonts w:ascii="Arial" w:hAnsi="Arial" w:cs="Arial"/>
          <w:sz w:val="22"/>
          <w:szCs w:val="22"/>
          <w:lang w:val="en-GB"/>
        </w:rPr>
      </w:pPr>
    </w:p>
    <w:p w14:paraId="57E5B168" w14:textId="77777777" w:rsidR="00CF4074" w:rsidRPr="00AC7658" w:rsidRDefault="00CF4074" w:rsidP="00AC7658">
      <w:pPr>
        <w:rPr>
          <w:rFonts w:ascii="Arial" w:hAnsi="Arial" w:cs="Arial"/>
          <w:sz w:val="22"/>
          <w:szCs w:val="22"/>
          <w:lang w:val="en-GB"/>
        </w:rPr>
      </w:pPr>
    </w:p>
    <w:p w14:paraId="161C002D"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lastRenderedPageBreak/>
        <w:t>Promoting Purpose and Contribution</w:t>
      </w:r>
    </w:p>
    <w:p w14:paraId="4B3F68D5"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Erikson demonstrates that people need to see their existence as purposeful in order to achieve genuine happiness. The care homes create pathways for residents to connect with others through their mentoring of younger staff and active participation in group activities and sharing their expertise. The experiences create two positive outcomes which include enhanced feelings of usefulness and a deepened sense of belonging.</w:t>
      </w:r>
    </w:p>
    <w:p w14:paraId="5AA58CD8"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Case Scenario – Applying the Theory in Practice</w:t>
      </w:r>
    </w:p>
    <w:p w14:paraId="1C190FAA" w14:textId="77777777" w:rsidR="00AC7658" w:rsidRPr="00AC7658" w:rsidRDefault="00AC7658" w:rsidP="00AC7658">
      <w:pPr>
        <w:rPr>
          <w:rFonts w:ascii="Arial" w:hAnsi="Arial" w:cs="Arial"/>
          <w:sz w:val="22"/>
          <w:szCs w:val="22"/>
          <w:lang w:val="en-GB"/>
        </w:rPr>
      </w:pPr>
      <w:proofErr w:type="gramStart"/>
      <w:r w:rsidRPr="00AC7658">
        <w:rPr>
          <w:rFonts w:ascii="Arial" w:hAnsi="Arial" w:cs="Arial"/>
          <w:sz w:val="22"/>
          <w:szCs w:val="22"/>
          <w:lang w:val="en-GB"/>
        </w:rPr>
        <w:t>A</w:t>
      </w:r>
      <w:proofErr w:type="gramEnd"/>
      <w:r w:rsidRPr="00AC7658">
        <w:rPr>
          <w:rFonts w:ascii="Arial" w:hAnsi="Arial" w:cs="Arial"/>
          <w:sz w:val="22"/>
          <w:szCs w:val="22"/>
          <w:lang w:val="en-GB"/>
        </w:rPr>
        <w:t xml:space="preserve"> 87-year-old woman named Mrs. A moved to a care home because she had a fall. She appears to be distant from others while she constantly expresses disappointment about what she considers her failures in life. She expresses her feeling of being a burden to others by showing no desire to participate in social activities.</w:t>
      </w:r>
    </w:p>
    <w:p w14:paraId="087AB465"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Based on Erikson’s Theory</w:t>
      </w:r>
    </w:p>
    <w:p w14:paraId="66672CAE" w14:textId="08E744D0"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 xml:space="preserve">A senior care worker initiates weekly life-review sessions with Mrs. A. The worker uses her old photographs and youthful music collection to help her proceed through her life story which includes her childhood and family history and community activities. Mrs. A recounts tales of raising her children, her volunteer work at a local charity, and her enthusiasm for gardening. The </w:t>
      </w:r>
      <w:r w:rsidR="00CF4074" w:rsidRPr="00AC7658">
        <w:rPr>
          <w:rFonts w:ascii="Arial" w:hAnsi="Arial" w:cs="Arial"/>
          <w:sz w:val="22"/>
          <w:szCs w:val="22"/>
          <w:lang w:val="en-GB"/>
        </w:rPr>
        <w:t>health</w:t>
      </w:r>
      <w:r w:rsidRPr="00AC7658">
        <w:rPr>
          <w:rFonts w:ascii="Arial" w:hAnsi="Arial" w:cs="Arial"/>
          <w:sz w:val="22"/>
          <w:szCs w:val="22"/>
          <w:lang w:val="en-GB"/>
        </w:rPr>
        <w:t xml:space="preserve"> care team could create personalised and person-</w:t>
      </w:r>
      <w:r w:rsidR="00CF4074" w:rsidRPr="00AC7658">
        <w:rPr>
          <w:rFonts w:ascii="Arial" w:hAnsi="Arial" w:cs="Arial"/>
          <w:sz w:val="22"/>
          <w:szCs w:val="22"/>
          <w:lang w:val="en-GB"/>
        </w:rPr>
        <w:t>centred</w:t>
      </w:r>
      <w:r w:rsidRPr="00AC7658">
        <w:rPr>
          <w:rFonts w:ascii="Arial" w:hAnsi="Arial" w:cs="Arial"/>
          <w:sz w:val="22"/>
          <w:szCs w:val="22"/>
          <w:lang w:val="en-GB"/>
        </w:rPr>
        <w:t xml:space="preserve"> story books based on their life, they could also invite her over to help around in the garden and could encourage her to share some knowledge about gardening with other residents in the area.</w:t>
      </w:r>
    </w:p>
    <w:p w14:paraId="1F29EC93" w14:textId="77777777" w:rsidR="00AC7658" w:rsidRPr="00F10CDD" w:rsidRDefault="00AC7658" w:rsidP="00AC7658">
      <w:pPr>
        <w:rPr>
          <w:rFonts w:ascii="Arial" w:hAnsi="Arial" w:cs="Arial"/>
          <w:sz w:val="22"/>
          <w:szCs w:val="22"/>
          <w:lang w:val="en-GB"/>
        </w:rPr>
      </w:pPr>
      <w:r w:rsidRPr="00AC7658">
        <w:rPr>
          <w:rFonts w:ascii="Arial" w:hAnsi="Arial" w:cs="Arial"/>
          <w:sz w:val="22"/>
          <w:szCs w:val="22"/>
          <w:lang w:val="en-GB"/>
        </w:rPr>
        <w:t xml:space="preserve">Time advancements lead to Mrs. </w:t>
      </w:r>
      <w:proofErr w:type="gramStart"/>
      <w:r w:rsidRPr="00AC7658">
        <w:rPr>
          <w:rFonts w:ascii="Arial" w:hAnsi="Arial" w:cs="Arial"/>
          <w:sz w:val="22"/>
          <w:szCs w:val="22"/>
          <w:lang w:val="en-GB"/>
        </w:rPr>
        <w:t>A</w:t>
      </w:r>
      <w:proofErr w:type="gramEnd"/>
      <w:r w:rsidRPr="00AC7658">
        <w:rPr>
          <w:rFonts w:ascii="Arial" w:hAnsi="Arial" w:cs="Arial"/>
          <w:sz w:val="22"/>
          <w:szCs w:val="22"/>
          <w:lang w:val="en-GB"/>
        </w:rPr>
        <w:t xml:space="preserve"> achieving greater self-confidence through her increasing participation in activities. She values her past work achievements and wants to receive recognition for her gardening abilities. Her integrity understanding becomes more profound while her feelings of despair start to fade. The theory of Erikson shows how it can lead to the development of major personal development programs which help people achieve improved health outcomes.</w:t>
      </w:r>
    </w:p>
    <w:p w14:paraId="1C3F82D5" w14:textId="77777777" w:rsidR="00965B13" w:rsidRPr="00F10CDD" w:rsidRDefault="00965B13" w:rsidP="00AC7658">
      <w:pPr>
        <w:rPr>
          <w:rFonts w:ascii="Arial" w:hAnsi="Arial" w:cs="Arial"/>
          <w:sz w:val="22"/>
          <w:szCs w:val="22"/>
          <w:lang w:val="en-GB"/>
        </w:rPr>
      </w:pPr>
    </w:p>
    <w:p w14:paraId="29439482" w14:textId="77777777" w:rsidR="00965B13" w:rsidRPr="00F10CDD" w:rsidRDefault="00965B13" w:rsidP="00AC7658">
      <w:pPr>
        <w:rPr>
          <w:rFonts w:ascii="Arial" w:hAnsi="Arial" w:cs="Arial"/>
          <w:sz w:val="22"/>
          <w:szCs w:val="22"/>
          <w:lang w:val="en-GB"/>
        </w:rPr>
      </w:pPr>
    </w:p>
    <w:p w14:paraId="754FDA6B" w14:textId="77777777" w:rsidR="00965B13" w:rsidRPr="00F10CDD" w:rsidRDefault="00965B13" w:rsidP="00AC7658">
      <w:pPr>
        <w:rPr>
          <w:rFonts w:ascii="Arial" w:hAnsi="Arial" w:cs="Arial"/>
          <w:sz w:val="22"/>
          <w:szCs w:val="22"/>
          <w:lang w:val="en-GB"/>
        </w:rPr>
      </w:pPr>
    </w:p>
    <w:p w14:paraId="78C722F5" w14:textId="77777777" w:rsidR="00965B13" w:rsidRPr="00F10CDD" w:rsidRDefault="00965B13" w:rsidP="00AC7658">
      <w:pPr>
        <w:rPr>
          <w:rFonts w:ascii="Arial" w:hAnsi="Arial" w:cs="Arial"/>
          <w:sz w:val="22"/>
          <w:szCs w:val="22"/>
          <w:lang w:val="en-GB"/>
        </w:rPr>
      </w:pPr>
    </w:p>
    <w:p w14:paraId="1335166A" w14:textId="77777777" w:rsidR="00965B13" w:rsidRPr="00F10CDD" w:rsidRDefault="00965B13" w:rsidP="00AC7658">
      <w:pPr>
        <w:rPr>
          <w:rFonts w:ascii="Arial" w:hAnsi="Arial" w:cs="Arial"/>
          <w:sz w:val="22"/>
          <w:szCs w:val="22"/>
          <w:lang w:val="en-GB"/>
        </w:rPr>
      </w:pPr>
    </w:p>
    <w:p w14:paraId="6628737B" w14:textId="77777777" w:rsidR="00965B13" w:rsidRPr="00F10CDD" w:rsidRDefault="00965B13" w:rsidP="00AC7658">
      <w:pPr>
        <w:rPr>
          <w:rFonts w:ascii="Arial" w:hAnsi="Arial" w:cs="Arial"/>
          <w:sz w:val="22"/>
          <w:szCs w:val="22"/>
          <w:lang w:val="en-GB"/>
        </w:rPr>
      </w:pPr>
    </w:p>
    <w:p w14:paraId="7AB78F43" w14:textId="77777777" w:rsidR="00965B13" w:rsidRPr="00F10CDD" w:rsidRDefault="00965B13" w:rsidP="00AC7658">
      <w:pPr>
        <w:rPr>
          <w:rFonts w:ascii="Arial" w:hAnsi="Arial" w:cs="Arial"/>
          <w:sz w:val="22"/>
          <w:szCs w:val="22"/>
          <w:lang w:val="en-GB"/>
        </w:rPr>
      </w:pPr>
    </w:p>
    <w:p w14:paraId="6B6FA91B" w14:textId="77777777" w:rsidR="00965B13" w:rsidRDefault="00965B13" w:rsidP="00AC7658">
      <w:pPr>
        <w:rPr>
          <w:rFonts w:ascii="Arial" w:hAnsi="Arial" w:cs="Arial"/>
          <w:sz w:val="22"/>
          <w:szCs w:val="22"/>
          <w:lang w:val="en-GB"/>
        </w:rPr>
      </w:pPr>
    </w:p>
    <w:p w14:paraId="416F1EA7" w14:textId="77777777" w:rsidR="00F10CDD" w:rsidRDefault="00F10CDD" w:rsidP="00AC7658">
      <w:pPr>
        <w:rPr>
          <w:rFonts w:ascii="Arial" w:hAnsi="Arial" w:cs="Arial"/>
          <w:sz w:val="22"/>
          <w:szCs w:val="22"/>
          <w:lang w:val="en-GB"/>
        </w:rPr>
      </w:pPr>
    </w:p>
    <w:p w14:paraId="6039F569" w14:textId="77777777" w:rsidR="00F10CDD" w:rsidRDefault="00F10CDD" w:rsidP="00AC7658">
      <w:pPr>
        <w:rPr>
          <w:rFonts w:ascii="Arial" w:hAnsi="Arial" w:cs="Arial"/>
          <w:sz w:val="22"/>
          <w:szCs w:val="22"/>
          <w:lang w:val="en-GB"/>
        </w:rPr>
      </w:pPr>
    </w:p>
    <w:p w14:paraId="55237292" w14:textId="77777777" w:rsidR="00F10CDD" w:rsidRPr="00AC7658" w:rsidRDefault="00F10CDD" w:rsidP="00AC7658">
      <w:pPr>
        <w:rPr>
          <w:rFonts w:ascii="Arial" w:hAnsi="Arial" w:cs="Arial"/>
          <w:sz w:val="22"/>
          <w:szCs w:val="22"/>
          <w:lang w:val="en-GB"/>
        </w:rPr>
      </w:pPr>
    </w:p>
    <w:p w14:paraId="26658351" w14:textId="77777777" w:rsidR="00AC7658" w:rsidRPr="00AC7658" w:rsidRDefault="00AC7658" w:rsidP="00AC7658">
      <w:pPr>
        <w:rPr>
          <w:rFonts w:ascii="Arial" w:hAnsi="Arial" w:cs="Arial"/>
          <w:sz w:val="22"/>
          <w:szCs w:val="22"/>
          <w:lang w:val="en-GB"/>
        </w:rPr>
      </w:pPr>
      <w:r w:rsidRPr="00AC7658">
        <w:rPr>
          <w:rFonts w:ascii="Arial" w:hAnsi="Arial" w:cs="Arial"/>
          <w:b/>
          <w:bCs/>
          <w:sz w:val="22"/>
          <w:szCs w:val="22"/>
          <w:lang w:val="en-GB"/>
        </w:rPr>
        <w:lastRenderedPageBreak/>
        <w:t>Challenges in applying to Theory</w:t>
      </w:r>
      <w:r w:rsidRPr="00AC7658">
        <w:rPr>
          <w:rFonts w:ascii="Arial" w:hAnsi="Arial" w:cs="Arial"/>
          <w:sz w:val="22"/>
          <w:szCs w:val="22"/>
          <w:lang w:val="en-GB"/>
        </w:rPr>
        <w:t>:</w:t>
      </w:r>
    </w:p>
    <w:p w14:paraId="1F6B91F2"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The implementation of Erikson's theory faces a major challenge because life review procedures will bring about emotional distress for those who undergo them. Some residents will have to face their distressing memories and their unresolved problems and their experiences of trauma. The</w:t>
      </w:r>
    </w:p>
    <w:p w14:paraId="7CCAAA61"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situation leads to three different emotional responses which include sadness and anxiety and social withdrawal. People who want to engage in deep reflection should not be forced to do so because it will create negative effects for them.</w:t>
      </w:r>
    </w:p>
    <w:p w14:paraId="05F757A8"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 xml:space="preserve">The most effective strategy requires implementation of a sensitive approach which </w:t>
      </w:r>
      <w:proofErr w:type="spellStart"/>
      <w:r w:rsidRPr="00AC7658">
        <w:rPr>
          <w:rFonts w:ascii="Arial" w:hAnsi="Arial" w:cs="Arial"/>
          <w:sz w:val="22"/>
          <w:szCs w:val="22"/>
          <w:lang w:val="en-GB"/>
        </w:rPr>
        <w:t>centers</w:t>
      </w:r>
      <w:proofErr w:type="spellEnd"/>
      <w:r w:rsidRPr="00AC7658">
        <w:rPr>
          <w:rFonts w:ascii="Arial" w:hAnsi="Arial" w:cs="Arial"/>
          <w:sz w:val="22"/>
          <w:szCs w:val="22"/>
          <w:lang w:val="en-GB"/>
        </w:rPr>
        <w:t xml:space="preserve"> on the needs of individuals. Health care professionals would need to build trust through their dedication to treat others with compassion through all their interactions. Residents should have the authority to determine how their discussions will proceed through both time and content. The team should use soft prompts to guide users instead of using direct questioning techniques. The health care professionals should focus on positive attributes together with their achievements and good memories. They should seek help from mental health experts whenever they need it. People who want to express themselves without using words should have access to different well-being activities which include art music and sensory experiences. The methodology ensures that interventions maintain their supportive and respectful character while providing residents with safe spaces to conduct life review sessions.</w:t>
      </w:r>
    </w:p>
    <w:p w14:paraId="7CEA8ACA"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Erikson's Psychosocial Theory provides a vital framework which helps understand the emotional and existential needs of elderly people who live in residential care facilities. The professional staff can enhance the mental health of residents through their work which helps people review their lives while they establish their identity and personal value and life purpose. Sensitive person-</w:t>
      </w:r>
      <w:proofErr w:type="spellStart"/>
      <w:r w:rsidRPr="00AC7658">
        <w:rPr>
          <w:rFonts w:ascii="Arial" w:hAnsi="Arial" w:cs="Arial"/>
          <w:sz w:val="22"/>
          <w:szCs w:val="22"/>
          <w:lang w:val="en-GB"/>
        </w:rPr>
        <w:t>centered</w:t>
      </w:r>
      <w:proofErr w:type="spellEnd"/>
      <w:r w:rsidRPr="00AC7658">
        <w:rPr>
          <w:rFonts w:ascii="Arial" w:hAnsi="Arial" w:cs="Arial"/>
          <w:sz w:val="22"/>
          <w:szCs w:val="22"/>
          <w:lang w:val="en-GB"/>
        </w:rPr>
        <w:t xml:space="preserve"> methods enable staff members to handle emotional distress together with other challenges which arise during their work. Daily care practices which incorporate Erikson's theory create a compassionate environment which helps older adults feel valued and understood while they experience peace with their life histories.</w:t>
      </w:r>
    </w:p>
    <w:p w14:paraId="787DDB9D" w14:textId="77777777" w:rsidR="00AC7658" w:rsidRPr="00F10CDD" w:rsidRDefault="00AC7658">
      <w:pPr>
        <w:rPr>
          <w:rFonts w:ascii="Arial" w:hAnsi="Arial" w:cs="Arial"/>
          <w:sz w:val="22"/>
          <w:szCs w:val="22"/>
        </w:rPr>
      </w:pPr>
    </w:p>
    <w:p w14:paraId="3DE85669" w14:textId="77777777" w:rsidR="00AC7658" w:rsidRPr="00F10CDD" w:rsidRDefault="00AC7658">
      <w:pPr>
        <w:rPr>
          <w:rFonts w:ascii="Arial" w:hAnsi="Arial" w:cs="Arial"/>
          <w:sz w:val="22"/>
          <w:szCs w:val="22"/>
        </w:rPr>
      </w:pPr>
    </w:p>
    <w:p w14:paraId="2631957E" w14:textId="77777777" w:rsidR="00AC7658" w:rsidRPr="00F10CDD" w:rsidRDefault="00AC7658">
      <w:pPr>
        <w:rPr>
          <w:rFonts w:ascii="Arial" w:hAnsi="Arial" w:cs="Arial"/>
          <w:sz w:val="22"/>
          <w:szCs w:val="22"/>
        </w:rPr>
      </w:pPr>
    </w:p>
    <w:p w14:paraId="192DBBD1" w14:textId="77777777" w:rsidR="00AC7658" w:rsidRPr="00F10CDD" w:rsidRDefault="00AC7658">
      <w:pPr>
        <w:rPr>
          <w:rFonts w:ascii="Arial" w:hAnsi="Arial" w:cs="Arial"/>
          <w:sz w:val="22"/>
          <w:szCs w:val="22"/>
        </w:rPr>
      </w:pPr>
    </w:p>
    <w:p w14:paraId="1EEEBCB5" w14:textId="77777777" w:rsidR="00AC7658" w:rsidRPr="00F10CDD" w:rsidRDefault="00AC7658">
      <w:pPr>
        <w:rPr>
          <w:rFonts w:ascii="Arial" w:hAnsi="Arial" w:cs="Arial"/>
          <w:sz w:val="22"/>
          <w:szCs w:val="22"/>
        </w:rPr>
      </w:pPr>
    </w:p>
    <w:p w14:paraId="4FEEF387" w14:textId="77777777" w:rsidR="00AC7658" w:rsidRPr="00F10CDD" w:rsidRDefault="00AC7658">
      <w:pPr>
        <w:rPr>
          <w:rFonts w:ascii="Arial" w:hAnsi="Arial" w:cs="Arial"/>
          <w:sz w:val="22"/>
          <w:szCs w:val="22"/>
        </w:rPr>
      </w:pPr>
    </w:p>
    <w:p w14:paraId="003FC0C1" w14:textId="77777777" w:rsidR="00AC7658" w:rsidRDefault="00AC7658">
      <w:pPr>
        <w:rPr>
          <w:rFonts w:ascii="Arial" w:hAnsi="Arial" w:cs="Arial"/>
          <w:sz w:val="22"/>
          <w:szCs w:val="22"/>
        </w:rPr>
      </w:pPr>
    </w:p>
    <w:p w14:paraId="32FE9F89" w14:textId="77777777" w:rsidR="00F10CDD" w:rsidRDefault="00F10CDD">
      <w:pPr>
        <w:rPr>
          <w:rFonts w:ascii="Arial" w:hAnsi="Arial" w:cs="Arial"/>
          <w:sz w:val="22"/>
          <w:szCs w:val="22"/>
        </w:rPr>
      </w:pPr>
    </w:p>
    <w:p w14:paraId="418853AC" w14:textId="77777777" w:rsidR="00F10CDD" w:rsidRDefault="00F10CDD">
      <w:pPr>
        <w:rPr>
          <w:rFonts w:ascii="Arial" w:hAnsi="Arial" w:cs="Arial"/>
          <w:sz w:val="22"/>
          <w:szCs w:val="22"/>
        </w:rPr>
      </w:pPr>
    </w:p>
    <w:p w14:paraId="57C3FA5D" w14:textId="77777777" w:rsidR="00F10CDD" w:rsidRPr="00F10CDD" w:rsidRDefault="00F10CDD">
      <w:pPr>
        <w:rPr>
          <w:rFonts w:ascii="Arial" w:hAnsi="Arial" w:cs="Arial"/>
          <w:sz w:val="22"/>
          <w:szCs w:val="22"/>
        </w:rPr>
      </w:pPr>
    </w:p>
    <w:p w14:paraId="0FFB5CCB" w14:textId="77777777" w:rsidR="00992EB8" w:rsidRPr="00F10CDD" w:rsidRDefault="00000000">
      <w:pPr>
        <w:pStyle w:val="Heading2"/>
        <w:rPr>
          <w:rFonts w:ascii="Arial" w:hAnsi="Arial" w:cs="Arial"/>
          <w:sz w:val="22"/>
          <w:szCs w:val="22"/>
        </w:rPr>
      </w:pPr>
      <w:bookmarkStart w:id="7" w:name="reference-list"/>
      <w:bookmarkEnd w:id="2"/>
      <w:bookmarkEnd w:id="6"/>
      <w:r w:rsidRPr="00F10CDD">
        <w:rPr>
          <w:rFonts w:ascii="Arial" w:hAnsi="Arial" w:cs="Arial"/>
          <w:sz w:val="22"/>
          <w:szCs w:val="22"/>
        </w:rPr>
        <w:lastRenderedPageBreak/>
        <w:t>Reference List</w:t>
      </w:r>
    </w:p>
    <w:p w14:paraId="39239257" w14:textId="77777777" w:rsidR="00992EB8" w:rsidRPr="00F10CDD" w:rsidRDefault="00000000">
      <w:pPr>
        <w:pStyle w:val="FirstParagraph"/>
        <w:rPr>
          <w:rFonts w:ascii="Arial" w:hAnsi="Arial" w:cs="Arial"/>
          <w:sz w:val="22"/>
          <w:szCs w:val="22"/>
        </w:rPr>
      </w:pPr>
      <w:r w:rsidRPr="00F10CDD">
        <w:rPr>
          <w:rFonts w:ascii="Arial" w:hAnsi="Arial" w:cs="Arial"/>
          <w:sz w:val="22"/>
          <w:szCs w:val="22"/>
        </w:rPr>
        <w:t xml:space="preserve">Erikson, E.H. (1997) </w:t>
      </w:r>
      <w:r w:rsidRPr="00F10CDD">
        <w:rPr>
          <w:rFonts w:ascii="Arial" w:hAnsi="Arial" w:cs="Arial"/>
          <w:i/>
          <w:iCs/>
          <w:sz w:val="22"/>
          <w:szCs w:val="22"/>
        </w:rPr>
        <w:t>The Life Cycle Completed</w:t>
      </w:r>
      <w:r w:rsidRPr="00F10CDD">
        <w:rPr>
          <w:rFonts w:ascii="Arial" w:hAnsi="Arial" w:cs="Arial"/>
          <w:sz w:val="22"/>
          <w:szCs w:val="22"/>
        </w:rPr>
        <w:t>. New York: W.W. Norton.</w:t>
      </w:r>
    </w:p>
    <w:p w14:paraId="24B1EF18" w14:textId="77777777" w:rsidR="00992EB8" w:rsidRPr="00F10CDD" w:rsidRDefault="00000000">
      <w:pPr>
        <w:pStyle w:val="BodyText"/>
        <w:rPr>
          <w:rFonts w:ascii="Arial" w:hAnsi="Arial" w:cs="Arial"/>
          <w:sz w:val="22"/>
          <w:szCs w:val="22"/>
        </w:rPr>
      </w:pPr>
      <w:r w:rsidRPr="00F10CDD">
        <w:rPr>
          <w:rFonts w:ascii="Arial" w:hAnsi="Arial" w:cs="Arial"/>
          <w:sz w:val="22"/>
          <w:szCs w:val="22"/>
        </w:rPr>
        <w:t xml:space="preserve">Havighurst, R.J. (1961) ‘Successful Ageing’, </w:t>
      </w:r>
      <w:r w:rsidRPr="00F10CDD">
        <w:rPr>
          <w:rFonts w:ascii="Arial" w:hAnsi="Arial" w:cs="Arial"/>
          <w:i/>
          <w:iCs/>
          <w:sz w:val="22"/>
          <w:szCs w:val="22"/>
        </w:rPr>
        <w:t>The Gerontologist</w:t>
      </w:r>
      <w:r w:rsidRPr="00F10CDD">
        <w:rPr>
          <w:rFonts w:ascii="Arial" w:hAnsi="Arial" w:cs="Arial"/>
          <w:sz w:val="22"/>
          <w:szCs w:val="22"/>
        </w:rPr>
        <w:t>, 1(1), pp. 8–13.</w:t>
      </w:r>
    </w:p>
    <w:p w14:paraId="592E3D3D" w14:textId="77777777" w:rsidR="00992EB8" w:rsidRPr="00F10CDD" w:rsidRDefault="00000000">
      <w:pPr>
        <w:pStyle w:val="BodyText"/>
        <w:rPr>
          <w:rFonts w:ascii="Arial" w:hAnsi="Arial" w:cs="Arial"/>
          <w:sz w:val="22"/>
          <w:szCs w:val="22"/>
        </w:rPr>
      </w:pPr>
      <w:r w:rsidRPr="00F10CDD">
        <w:rPr>
          <w:rFonts w:ascii="Arial" w:hAnsi="Arial" w:cs="Arial"/>
          <w:sz w:val="22"/>
          <w:szCs w:val="22"/>
        </w:rPr>
        <w:t xml:space="preserve">Bowlby, J. (1988) </w:t>
      </w:r>
      <w:r w:rsidRPr="00F10CDD">
        <w:rPr>
          <w:rFonts w:ascii="Arial" w:hAnsi="Arial" w:cs="Arial"/>
          <w:i/>
          <w:iCs/>
          <w:sz w:val="22"/>
          <w:szCs w:val="22"/>
        </w:rPr>
        <w:t>A Secure Base: Parent-Child Attachment and Healthy Human Development</w:t>
      </w:r>
      <w:r w:rsidRPr="00F10CDD">
        <w:rPr>
          <w:rFonts w:ascii="Arial" w:hAnsi="Arial" w:cs="Arial"/>
          <w:sz w:val="22"/>
          <w:szCs w:val="22"/>
        </w:rPr>
        <w:t>. London: Routledge.</w:t>
      </w:r>
    </w:p>
    <w:p w14:paraId="14E708AD" w14:textId="07D987B2" w:rsidR="00992EB8" w:rsidRPr="00F10CDD" w:rsidRDefault="00000000" w:rsidP="006C429E">
      <w:pPr>
        <w:pStyle w:val="BodyText"/>
        <w:rPr>
          <w:rFonts w:ascii="Arial" w:hAnsi="Arial" w:cs="Arial"/>
          <w:sz w:val="22"/>
          <w:szCs w:val="22"/>
        </w:rPr>
      </w:pPr>
      <w:r w:rsidRPr="00F10CDD">
        <w:rPr>
          <w:rFonts w:ascii="Arial" w:hAnsi="Arial" w:cs="Arial"/>
          <w:sz w:val="22"/>
          <w:szCs w:val="22"/>
        </w:rPr>
        <w:t xml:space="preserve">Seligman, M.E.P. and Csikszentmihalyi, M. (2000) ‘Positive Psychology: An Introduction’, </w:t>
      </w:r>
      <w:r w:rsidRPr="00F10CDD">
        <w:rPr>
          <w:rFonts w:ascii="Arial" w:hAnsi="Arial" w:cs="Arial"/>
          <w:i/>
          <w:iCs/>
          <w:sz w:val="22"/>
          <w:szCs w:val="22"/>
        </w:rPr>
        <w:t>American Psychologist</w:t>
      </w:r>
      <w:r w:rsidRPr="00F10CDD">
        <w:rPr>
          <w:rFonts w:ascii="Arial" w:hAnsi="Arial" w:cs="Arial"/>
          <w:sz w:val="22"/>
          <w:szCs w:val="22"/>
        </w:rPr>
        <w:t>, 55(1), pp. 5–14.</w:t>
      </w:r>
      <w:bookmarkStart w:id="8" w:name="final-checks-before-submission"/>
      <w:bookmarkEnd w:id="0"/>
      <w:bookmarkEnd w:id="7"/>
      <w:bookmarkEnd w:id="8"/>
    </w:p>
    <w:sectPr w:rsidR="00992EB8" w:rsidRPr="00F10CDD">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B2F02C04"/>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43D46ED8"/>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 w16cid:durableId="792478291">
    <w:abstractNumId w:val="0"/>
  </w:num>
  <w:num w:numId="2" w16cid:durableId="1865286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2"/>
    <w:compatSetting w:name="useWord2013TrackBottomHyphenation" w:uri="http://schemas.microsoft.com/office/word" w:val="1"/>
  </w:compat>
  <w:rsids>
    <w:rsidRoot w:val="00992EB8"/>
    <w:rsid w:val="004735CD"/>
    <w:rsid w:val="006C429E"/>
    <w:rsid w:val="00965B13"/>
    <w:rsid w:val="00992EB8"/>
    <w:rsid w:val="00AC7658"/>
    <w:rsid w:val="00CD27E2"/>
    <w:rsid w:val="00CD5E7F"/>
    <w:rsid w:val="00CF4074"/>
    <w:rsid w:val="00CF63DE"/>
    <w:rsid w:val="00F10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B50DD"/>
  <w15:docId w15:val="{027BB819-B9FA-40D4-930E-F3250B0D1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2100</Words>
  <Characters>11972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Mohammed Muhibur Rahman</dc:creator>
  <cp:keywords/>
  <cp:lastModifiedBy>Mohammed Muhibur Rahman</cp:lastModifiedBy>
  <cp:revision>7</cp:revision>
  <dcterms:created xsi:type="dcterms:W3CDTF">2026-03-24T12:16:00Z</dcterms:created>
  <dcterms:modified xsi:type="dcterms:W3CDTF">2026-03-24T12:31:00Z</dcterms:modified>
</cp:coreProperties>
</file>