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20C1DB25" w:rsidR="004A7D3D" w:rsidRPr="004A1148" w:rsidRDefault="002F0570" w:rsidP="00F5276B">
            <w:pPr>
              <w:pStyle w:val="TableText"/>
              <w:ind w:left="284"/>
              <w:rPr>
                <w:rFonts w:cs="Arial"/>
              </w:rPr>
            </w:pPr>
            <w:r>
              <w:rPr>
                <w:rFonts w:cs="Arial"/>
              </w:rPr>
              <w:t>B</w:t>
            </w:r>
          </w:p>
        </w:tc>
        <w:tc>
          <w:tcPr>
            <w:tcW w:w="2561" w:type="dxa"/>
            <w:vAlign w:val="bottom"/>
          </w:tcPr>
          <w:p w14:paraId="325D5AA6" w14:textId="5D5B86A3" w:rsidR="002F0570" w:rsidRPr="004A1148" w:rsidRDefault="002F0570" w:rsidP="00F5276B">
            <w:pPr>
              <w:pStyle w:val="TableText"/>
              <w:rPr>
                <w:rFonts w:cs="Arial"/>
              </w:rPr>
            </w:pPr>
            <w:r>
              <w:rPr>
                <w:rFonts w:cs="Arial"/>
              </w:rPr>
              <w:t>172.16.2.0</w:t>
            </w:r>
          </w:p>
        </w:tc>
        <w:tc>
          <w:tcPr>
            <w:tcW w:w="2552" w:type="dxa"/>
          </w:tcPr>
          <w:p w14:paraId="64D79944" w14:textId="0F3BCA00" w:rsidR="004A7D3D" w:rsidRPr="004A1148" w:rsidRDefault="002F0570" w:rsidP="00F5276B">
            <w:pPr>
              <w:pStyle w:val="TableText"/>
              <w:rPr>
                <w:rFonts w:cs="Arial"/>
              </w:rPr>
            </w:pPr>
            <w:r>
              <w:rPr>
                <w:rFonts w:cs="Arial"/>
              </w:rPr>
              <w:t>255.255.248.0</w:t>
            </w:r>
          </w:p>
        </w:tc>
        <w:tc>
          <w:tcPr>
            <w:tcW w:w="2724" w:type="dxa"/>
            <w:vAlign w:val="bottom"/>
          </w:tcPr>
          <w:p w14:paraId="426B55D1" w14:textId="4A2D9EBB" w:rsidR="004A7D3D" w:rsidRPr="004A1148" w:rsidRDefault="00A85FC0" w:rsidP="00F5276B">
            <w:pPr>
              <w:pStyle w:val="TableText"/>
              <w:rPr>
                <w:rFonts w:cs="Arial"/>
              </w:rPr>
            </w:pPr>
            <w:r>
              <w:rPr>
                <w:rFonts w:cs="Arial"/>
              </w:rPr>
              <w:t>172.16.2.1</w:t>
            </w:r>
          </w:p>
        </w:tc>
        <w:tc>
          <w:tcPr>
            <w:tcW w:w="2922" w:type="dxa"/>
            <w:vAlign w:val="bottom"/>
          </w:tcPr>
          <w:p w14:paraId="2AC7FFA7" w14:textId="58D6BA6B" w:rsidR="004A7D3D" w:rsidRPr="004A1148" w:rsidRDefault="00A85FC0" w:rsidP="00F5276B">
            <w:pPr>
              <w:pStyle w:val="TableText"/>
              <w:rPr>
                <w:rFonts w:cs="Arial"/>
              </w:rPr>
            </w:pPr>
            <w:r>
              <w:rPr>
                <w:rFonts w:cs="Arial"/>
              </w:rPr>
              <w:t>172.16.9.254</w:t>
            </w:r>
          </w:p>
        </w:tc>
        <w:tc>
          <w:tcPr>
            <w:tcW w:w="2905" w:type="dxa"/>
            <w:vAlign w:val="bottom"/>
          </w:tcPr>
          <w:p w14:paraId="55A78382" w14:textId="6EF80A7D" w:rsidR="004A7D3D" w:rsidRPr="004A1148" w:rsidRDefault="00A85FC0"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4800D662" w:rsidR="004A7D3D" w:rsidRPr="004A1148" w:rsidRDefault="002F0570" w:rsidP="00F5276B">
            <w:pPr>
              <w:pStyle w:val="TableText"/>
              <w:ind w:left="284"/>
              <w:rPr>
                <w:rFonts w:cs="Arial"/>
              </w:rPr>
            </w:pPr>
            <w:r>
              <w:rPr>
                <w:rFonts w:cs="Arial"/>
              </w:rPr>
              <w:t>D</w:t>
            </w:r>
          </w:p>
        </w:tc>
        <w:tc>
          <w:tcPr>
            <w:tcW w:w="2561" w:type="dxa"/>
            <w:vAlign w:val="bottom"/>
          </w:tcPr>
          <w:p w14:paraId="5D565D23" w14:textId="028F10A8" w:rsidR="004A7D3D" w:rsidRPr="004A1148" w:rsidRDefault="002F0570" w:rsidP="00F5276B">
            <w:pPr>
              <w:pStyle w:val="TableText"/>
              <w:rPr>
                <w:rFonts w:cs="Arial"/>
              </w:rPr>
            </w:pPr>
            <w:r>
              <w:rPr>
                <w:rFonts w:cs="Arial"/>
              </w:rPr>
              <w:t>172.16.10.0</w:t>
            </w:r>
          </w:p>
        </w:tc>
        <w:tc>
          <w:tcPr>
            <w:tcW w:w="2552" w:type="dxa"/>
          </w:tcPr>
          <w:p w14:paraId="5E77A652" w14:textId="5335FB98" w:rsidR="004A7D3D" w:rsidRPr="004A1148" w:rsidRDefault="00A85FC0" w:rsidP="00F5276B">
            <w:pPr>
              <w:pStyle w:val="TableText"/>
              <w:rPr>
                <w:rFonts w:cs="Arial"/>
              </w:rPr>
            </w:pPr>
            <w:r>
              <w:rPr>
                <w:rFonts w:cs="Arial"/>
              </w:rPr>
              <w:t>255.255.254.0</w:t>
            </w:r>
          </w:p>
        </w:tc>
        <w:tc>
          <w:tcPr>
            <w:tcW w:w="2724" w:type="dxa"/>
            <w:vAlign w:val="bottom"/>
          </w:tcPr>
          <w:p w14:paraId="553FF9D4" w14:textId="14071649" w:rsidR="004A7D3D" w:rsidRPr="004A1148" w:rsidRDefault="00A85FC0" w:rsidP="00F5276B">
            <w:pPr>
              <w:pStyle w:val="TableText"/>
              <w:rPr>
                <w:rFonts w:cs="Arial"/>
              </w:rPr>
            </w:pPr>
            <w:r>
              <w:rPr>
                <w:rFonts w:cs="Arial"/>
              </w:rPr>
              <w:t>172.16.10.1</w:t>
            </w:r>
          </w:p>
        </w:tc>
        <w:tc>
          <w:tcPr>
            <w:tcW w:w="2922" w:type="dxa"/>
            <w:vAlign w:val="bottom"/>
          </w:tcPr>
          <w:p w14:paraId="12602C5C" w14:textId="47171067" w:rsidR="004A7D3D" w:rsidRPr="004A1148" w:rsidRDefault="00A85FC0" w:rsidP="00F5276B">
            <w:pPr>
              <w:pStyle w:val="TableText"/>
              <w:rPr>
                <w:rFonts w:cs="Arial"/>
              </w:rPr>
            </w:pPr>
            <w:r>
              <w:rPr>
                <w:rFonts w:cs="Arial"/>
              </w:rPr>
              <w:t>172.16.11.254</w:t>
            </w:r>
          </w:p>
        </w:tc>
        <w:tc>
          <w:tcPr>
            <w:tcW w:w="2905" w:type="dxa"/>
            <w:vAlign w:val="bottom"/>
          </w:tcPr>
          <w:p w14:paraId="0E927FF2" w14:textId="605B74CD" w:rsidR="004A7D3D" w:rsidRPr="004A1148" w:rsidRDefault="00A85FC0"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632D536D" w:rsidR="004A7D3D" w:rsidRPr="004A1148" w:rsidRDefault="002F0570" w:rsidP="00F5276B">
            <w:pPr>
              <w:pStyle w:val="TableText"/>
              <w:ind w:left="284"/>
              <w:rPr>
                <w:rFonts w:cs="Arial"/>
              </w:rPr>
            </w:pPr>
            <w:r>
              <w:rPr>
                <w:rFonts w:cs="Arial"/>
              </w:rPr>
              <w:t>F</w:t>
            </w:r>
          </w:p>
        </w:tc>
        <w:tc>
          <w:tcPr>
            <w:tcW w:w="2561" w:type="dxa"/>
            <w:vAlign w:val="bottom"/>
          </w:tcPr>
          <w:p w14:paraId="3114BB27" w14:textId="49C4E225" w:rsidR="004A7D3D" w:rsidRPr="004A1148" w:rsidRDefault="002F0570" w:rsidP="00F5276B">
            <w:pPr>
              <w:pStyle w:val="TableText"/>
              <w:rPr>
                <w:rFonts w:cs="Arial"/>
              </w:rPr>
            </w:pPr>
            <w:r>
              <w:rPr>
                <w:rFonts w:cs="Arial"/>
              </w:rPr>
              <w:t>172.16.12.0</w:t>
            </w:r>
          </w:p>
        </w:tc>
        <w:tc>
          <w:tcPr>
            <w:tcW w:w="2552" w:type="dxa"/>
          </w:tcPr>
          <w:p w14:paraId="0D8FD5C7" w14:textId="1D5EAB40" w:rsidR="004A7D3D" w:rsidRPr="004A1148" w:rsidRDefault="00A85FC0" w:rsidP="00F5276B">
            <w:pPr>
              <w:pStyle w:val="TableText"/>
              <w:rPr>
                <w:rFonts w:cs="Arial"/>
              </w:rPr>
            </w:pPr>
            <w:r>
              <w:rPr>
                <w:rFonts w:cs="Arial"/>
              </w:rPr>
              <w:t>255.255.255.0</w:t>
            </w:r>
          </w:p>
        </w:tc>
        <w:tc>
          <w:tcPr>
            <w:tcW w:w="2724" w:type="dxa"/>
            <w:vAlign w:val="bottom"/>
          </w:tcPr>
          <w:p w14:paraId="035CA129" w14:textId="72FC6F0B" w:rsidR="004A7D3D" w:rsidRPr="004A1148" w:rsidRDefault="00A85FC0" w:rsidP="00F5276B">
            <w:pPr>
              <w:pStyle w:val="TableText"/>
              <w:rPr>
                <w:rFonts w:cs="Arial"/>
              </w:rPr>
            </w:pPr>
            <w:r>
              <w:rPr>
                <w:rFonts w:cs="Arial"/>
              </w:rPr>
              <w:t>172.16.12.1</w:t>
            </w:r>
          </w:p>
        </w:tc>
        <w:tc>
          <w:tcPr>
            <w:tcW w:w="2922" w:type="dxa"/>
            <w:vAlign w:val="bottom"/>
          </w:tcPr>
          <w:p w14:paraId="139F5B25" w14:textId="77B8B64D" w:rsidR="004A7D3D" w:rsidRPr="004A1148" w:rsidRDefault="00A85FC0" w:rsidP="00F5276B">
            <w:pPr>
              <w:pStyle w:val="TableText"/>
              <w:rPr>
                <w:rFonts w:cs="Arial"/>
              </w:rPr>
            </w:pPr>
            <w:r>
              <w:rPr>
                <w:rFonts w:cs="Arial"/>
              </w:rPr>
              <w:t>172.16.12.254</w:t>
            </w:r>
          </w:p>
        </w:tc>
        <w:tc>
          <w:tcPr>
            <w:tcW w:w="2905" w:type="dxa"/>
            <w:vAlign w:val="bottom"/>
          </w:tcPr>
          <w:p w14:paraId="63784539" w14:textId="12E0A43F" w:rsidR="004A7D3D" w:rsidRPr="004A1148" w:rsidRDefault="00A85FC0" w:rsidP="00F5276B">
            <w:pPr>
              <w:pStyle w:val="TableText"/>
              <w:ind w:left="284"/>
              <w:rPr>
                <w:rFonts w:cs="Arial"/>
              </w:rPr>
            </w:pPr>
            <w:r>
              <w:rPr>
                <w:rFonts w:cs="Arial"/>
              </w:rPr>
              <w:t>172.16.12.25</w:t>
            </w:r>
          </w:p>
        </w:tc>
      </w:tr>
      <w:tr w:rsidR="004A7D3D" w:rsidRPr="004A1148" w14:paraId="6FCEA750" w14:textId="77777777" w:rsidTr="005554AB">
        <w:trPr>
          <w:cantSplit/>
          <w:trHeight w:val="510"/>
          <w:jc w:val="center"/>
        </w:trPr>
        <w:tc>
          <w:tcPr>
            <w:tcW w:w="1412" w:type="dxa"/>
            <w:vAlign w:val="bottom"/>
          </w:tcPr>
          <w:p w14:paraId="023D3E13" w14:textId="5CE67707" w:rsidR="004A7D3D" w:rsidRPr="004A1148" w:rsidRDefault="002F0570" w:rsidP="00F5276B">
            <w:pPr>
              <w:pStyle w:val="TableText"/>
              <w:ind w:left="284"/>
              <w:rPr>
                <w:rFonts w:cs="Arial"/>
              </w:rPr>
            </w:pPr>
            <w:r>
              <w:rPr>
                <w:rFonts w:cs="Arial"/>
              </w:rPr>
              <w:t>E</w:t>
            </w:r>
          </w:p>
        </w:tc>
        <w:tc>
          <w:tcPr>
            <w:tcW w:w="2561" w:type="dxa"/>
            <w:vAlign w:val="bottom"/>
          </w:tcPr>
          <w:p w14:paraId="028301AC" w14:textId="4CDC07F2" w:rsidR="004A7D3D" w:rsidRPr="004A1148" w:rsidRDefault="002F0570" w:rsidP="00F5276B">
            <w:pPr>
              <w:pStyle w:val="TableText"/>
              <w:rPr>
                <w:rFonts w:cs="Arial"/>
              </w:rPr>
            </w:pPr>
            <w:r>
              <w:rPr>
                <w:rFonts w:cs="Arial"/>
              </w:rPr>
              <w:t>172.16.13.0</w:t>
            </w:r>
          </w:p>
        </w:tc>
        <w:tc>
          <w:tcPr>
            <w:tcW w:w="2552" w:type="dxa"/>
          </w:tcPr>
          <w:p w14:paraId="0E107CA2" w14:textId="5F881924" w:rsidR="004A7D3D" w:rsidRPr="004A1148" w:rsidRDefault="00A85FC0" w:rsidP="00F5276B">
            <w:pPr>
              <w:pStyle w:val="TableText"/>
              <w:rPr>
                <w:rFonts w:cs="Arial"/>
              </w:rPr>
            </w:pPr>
            <w:r>
              <w:rPr>
                <w:rFonts w:cs="Arial"/>
              </w:rPr>
              <w:t>255.255.255.192</w:t>
            </w:r>
          </w:p>
        </w:tc>
        <w:tc>
          <w:tcPr>
            <w:tcW w:w="2724" w:type="dxa"/>
            <w:vAlign w:val="bottom"/>
          </w:tcPr>
          <w:p w14:paraId="76E3E1C0" w14:textId="4DC462C1" w:rsidR="004A7D3D" w:rsidRPr="004A1148" w:rsidRDefault="00A85FC0" w:rsidP="00F5276B">
            <w:pPr>
              <w:pStyle w:val="TableText"/>
              <w:rPr>
                <w:rFonts w:cs="Arial"/>
              </w:rPr>
            </w:pPr>
            <w:r>
              <w:rPr>
                <w:rFonts w:cs="Arial"/>
              </w:rPr>
              <w:t>172.16.13.1</w:t>
            </w:r>
          </w:p>
        </w:tc>
        <w:tc>
          <w:tcPr>
            <w:tcW w:w="2922" w:type="dxa"/>
            <w:vAlign w:val="bottom"/>
          </w:tcPr>
          <w:p w14:paraId="1F58716B" w14:textId="32F47672" w:rsidR="004A7D3D" w:rsidRPr="004A1148" w:rsidRDefault="00A85FC0" w:rsidP="00F5276B">
            <w:pPr>
              <w:pStyle w:val="TableText"/>
              <w:rPr>
                <w:rFonts w:cs="Arial"/>
              </w:rPr>
            </w:pPr>
            <w:r>
              <w:rPr>
                <w:rFonts w:cs="Arial"/>
              </w:rPr>
              <w:t>172.16.13.62</w:t>
            </w:r>
          </w:p>
        </w:tc>
        <w:tc>
          <w:tcPr>
            <w:tcW w:w="2905" w:type="dxa"/>
            <w:vAlign w:val="bottom"/>
          </w:tcPr>
          <w:p w14:paraId="1F03CCA5" w14:textId="0E13689C" w:rsidR="004A7D3D" w:rsidRPr="004A1148" w:rsidRDefault="00A85FC0"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1071401B" w:rsidR="004A7D3D" w:rsidRPr="004A1148" w:rsidRDefault="002F0570" w:rsidP="00F5276B">
            <w:pPr>
              <w:pStyle w:val="TableText"/>
              <w:ind w:left="284"/>
              <w:rPr>
                <w:rFonts w:cs="Arial"/>
              </w:rPr>
            </w:pPr>
            <w:r>
              <w:rPr>
                <w:rFonts w:cs="Arial"/>
              </w:rPr>
              <w:t>A</w:t>
            </w:r>
          </w:p>
        </w:tc>
        <w:tc>
          <w:tcPr>
            <w:tcW w:w="2561" w:type="dxa"/>
            <w:vAlign w:val="bottom"/>
          </w:tcPr>
          <w:p w14:paraId="18067B56" w14:textId="19B1CDEA" w:rsidR="004A7D3D" w:rsidRPr="004A1148" w:rsidRDefault="002F0570" w:rsidP="00F5276B">
            <w:pPr>
              <w:pStyle w:val="TableText"/>
              <w:rPr>
                <w:rFonts w:cs="Arial"/>
              </w:rPr>
            </w:pPr>
            <w:r>
              <w:rPr>
                <w:rFonts w:cs="Arial"/>
              </w:rPr>
              <w:t>172.16.13.64</w:t>
            </w:r>
          </w:p>
        </w:tc>
        <w:tc>
          <w:tcPr>
            <w:tcW w:w="2552" w:type="dxa"/>
          </w:tcPr>
          <w:p w14:paraId="309D051E" w14:textId="18CB1F2A" w:rsidR="004A7D3D" w:rsidRPr="004A1148" w:rsidRDefault="00A85FC0" w:rsidP="00F5276B">
            <w:pPr>
              <w:pStyle w:val="TableText"/>
              <w:rPr>
                <w:rFonts w:cs="Arial"/>
              </w:rPr>
            </w:pPr>
            <w:r>
              <w:rPr>
                <w:rFonts w:cs="Arial"/>
              </w:rPr>
              <w:t>255.255.255.224</w:t>
            </w:r>
          </w:p>
        </w:tc>
        <w:tc>
          <w:tcPr>
            <w:tcW w:w="2724" w:type="dxa"/>
            <w:vAlign w:val="bottom"/>
          </w:tcPr>
          <w:p w14:paraId="4BB66377" w14:textId="2D89EACF" w:rsidR="004A7D3D" w:rsidRPr="004A1148" w:rsidRDefault="00A85FC0" w:rsidP="00F5276B">
            <w:pPr>
              <w:pStyle w:val="TableText"/>
              <w:rPr>
                <w:rFonts w:cs="Arial"/>
              </w:rPr>
            </w:pPr>
            <w:r>
              <w:rPr>
                <w:rFonts w:cs="Arial"/>
              </w:rPr>
              <w:t>172.16.13.65</w:t>
            </w:r>
          </w:p>
        </w:tc>
        <w:tc>
          <w:tcPr>
            <w:tcW w:w="2922" w:type="dxa"/>
            <w:vAlign w:val="bottom"/>
          </w:tcPr>
          <w:p w14:paraId="2F12A22D" w14:textId="386A95E4" w:rsidR="004A7D3D" w:rsidRPr="004A1148" w:rsidRDefault="00A85FC0" w:rsidP="00F5276B">
            <w:pPr>
              <w:pStyle w:val="TableText"/>
              <w:rPr>
                <w:rFonts w:cs="Arial"/>
              </w:rPr>
            </w:pPr>
            <w:r>
              <w:rPr>
                <w:rFonts w:cs="Arial"/>
              </w:rPr>
              <w:t>172.16.13.94</w:t>
            </w:r>
          </w:p>
        </w:tc>
        <w:tc>
          <w:tcPr>
            <w:tcW w:w="2905" w:type="dxa"/>
            <w:vAlign w:val="bottom"/>
          </w:tcPr>
          <w:p w14:paraId="78E458EF" w14:textId="099DFAB0" w:rsidR="004A7D3D" w:rsidRPr="004A1148" w:rsidRDefault="00A85FC0" w:rsidP="00F5276B">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63B5093F" w:rsidR="004A7D3D" w:rsidRPr="004A1148" w:rsidRDefault="002F0570" w:rsidP="00F5276B">
            <w:pPr>
              <w:pStyle w:val="TableText"/>
              <w:ind w:left="284"/>
              <w:rPr>
                <w:rFonts w:cs="Arial"/>
              </w:rPr>
            </w:pPr>
            <w:r>
              <w:rPr>
                <w:rFonts w:cs="Arial"/>
              </w:rPr>
              <w:t>C</w:t>
            </w:r>
          </w:p>
        </w:tc>
        <w:tc>
          <w:tcPr>
            <w:tcW w:w="2561" w:type="dxa"/>
            <w:vAlign w:val="bottom"/>
          </w:tcPr>
          <w:p w14:paraId="31F64227" w14:textId="160FDA99" w:rsidR="004A7D3D" w:rsidRPr="004A1148" w:rsidRDefault="002F0570" w:rsidP="00F5276B">
            <w:pPr>
              <w:pStyle w:val="TableText"/>
              <w:rPr>
                <w:rFonts w:cs="Arial"/>
              </w:rPr>
            </w:pPr>
            <w:r>
              <w:rPr>
                <w:rFonts w:cs="Arial"/>
              </w:rPr>
              <w:t>172.16.13.96</w:t>
            </w:r>
          </w:p>
        </w:tc>
        <w:tc>
          <w:tcPr>
            <w:tcW w:w="2552" w:type="dxa"/>
          </w:tcPr>
          <w:p w14:paraId="55665601" w14:textId="30DF09CA" w:rsidR="004A7D3D" w:rsidRPr="004A1148" w:rsidRDefault="00A85FC0" w:rsidP="00F5276B">
            <w:pPr>
              <w:pStyle w:val="TableText"/>
              <w:rPr>
                <w:rFonts w:cs="Arial"/>
              </w:rPr>
            </w:pPr>
            <w:r>
              <w:rPr>
                <w:rFonts w:cs="Arial"/>
              </w:rPr>
              <w:t>255.255.255.248</w:t>
            </w:r>
          </w:p>
        </w:tc>
        <w:tc>
          <w:tcPr>
            <w:tcW w:w="2724" w:type="dxa"/>
            <w:vAlign w:val="bottom"/>
          </w:tcPr>
          <w:p w14:paraId="4F549E4B" w14:textId="1A1634A0" w:rsidR="004A7D3D" w:rsidRPr="004A1148" w:rsidRDefault="00A85FC0" w:rsidP="00F5276B">
            <w:pPr>
              <w:pStyle w:val="TableText"/>
              <w:rPr>
                <w:rFonts w:cs="Arial"/>
              </w:rPr>
            </w:pPr>
            <w:r>
              <w:rPr>
                <w:rFonts w:cs="Arial"/>
              </w:rPr>
              <w:t>172.16.13.97</w:t>
            </w:r>
          </w:p>
        </w:tc>
        <w:tc>
          <w:tcPr>
            <w:tcW w:w="2922" w:type="dxa"/>
            <w:vAlign w:val="bottom"/>
          </w:tcPr>
          <w:p w14:paraId="7C499210" w14:textId="0373F206" w:rsidR="004A7D3D" w:rsidRPr="004A1148" w:rsidRDefault="00A85FC0" w:rsidP="00F5276B">
            <w:pPr>
              <w:pStyle w:val="TableText"/>
              <w:rPr>
                <w:rFonts w:cs="Arial"/>
              </w:rPr>
            </w:pPr>
            <w:r>
              <w:rPr>
                <w:rFonts w:cs="Arial"/>
              </w:rPr>
              <w:t>172.16.13.102</w:t>
            </w:r>
          </w:p>
        </w:tc>
        <w:tc>
          <w:tcPr>
            <w:tcW w:w="2905" w:type="dxa"/>
            <w:vAlign w:val="bottom"/>
          </w:tcPr>
          <w:p w14:paraId="2D756274" w14:textId="1DB30975" w:rsidR="004A7D3D" w:rsidRPr="004A1148" w:rsidRDefault="00A85FC0" w:rsidP="00F5276B">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F5276B">
            <w:pPr>
              <w:pStyle w:val="TableText"/>
              <w:ind w:left="284"/>
              <w:rPr>
                <w:rFonts w:cs="Arial"/>
              </w:rPr>
            </w:pPr>
          </w:p>
        </w:tc>
        <w:tc>
          <w:tcPr>
            <w:tcW w:w="2561" w:type="dxa"/>
            <w:vAlign w:val="bottom"/>
          </w:tcPr>
          <w:p w14:paraId="0D69D9DC" w14:textId="77777777" w:rsidR="004A7D3D" w:rsidRPr="004A1148" w:rsidRDefault="004A7D3D" w:rsidP="00F5276B">
            <w:pPr>
              <w:pStyle w:val="TableText"/>
              <w:rPr>
                <w:rFonts w:cs="Arial"/>
              </w:rPr>
            </w:pPr>
          </w:p>
        </w:tc>
        <w:tc>
          <w:tcPr>
            <w:tcW w:w="2552" w:type="dxa"/>
          </w:tcPr>
          <w:p w14:paraId="30D77B01" w14:textId="77777777" w:rsidR="004A7D3D" w:rsidRPr="004A1148" w:rsidRDefault="004A7D3D" w:rsidP="00F5276B">
            <w:pPr>
              <w:pStyle w:val="TableText"/>
              <w:rPr>
                <w:rFonts w:cs="Arial"/>
              </w:rPr>
            </w:pPr>
          </w:p>
        </w:tc>
        <w:tc>
          <w:tcPr>
            <w:tcW w:w="2724" w:type="dxa"/>
            <w:vAlign w:val="bottom"/>
          </w:tcPr>
          <w:p w14:paraId="5596A409" w14:textId="77777777" w:rsidR="004A7D3D" w:rsidRPr="004A1148" w:rsidRDefault="004A7D3D" w:rsidP="00F5276B">
            <w:pPr>
              <w:pStyle w:val="TableText"/>
              <w:rPr>
                <w:rFonts w:cs="Arial"/>
              </w:rPr>
            </w:pPr>
          </w:p>
        </w:tc>
        <w:tc>
          <w:tcPr>
            <w:tcW w:w="2922" w:type="dxa"/>
            <w:vAlign w:val="bottom"/>
          </w:tcPr>
          <w:p w14:paraId="0F1FE2D6" w14:textId="77777777" w:rsidR="004A7D3D" w:rsidRPr="004A1148" w:rsidRDefault="004A7D3D" w:rsidP="00F5276B">
            <w:pPr>
              <w:pStyle w:val="TableText"/>
              <w:rPr>
                <w:rFonts w:cs="Arial"/>
              </w:rPr>
            </w:pPr>
          </w:p>
        </w:tc>
        <w:tc>
          <w:tcPr>
            <w:tcW w:w="2905" w:type="dxa"/>
            <w:vAlign w:val="bottom"/>
          </w:tcPr>
          <w:p w14:paraId="554DDEFE" w14:textId="77777777" w:rsidR="004A7D3D" w:rsidRPr="004A1148" w:rsidRDefault="004A7D3D" w:rsidP="00F5276B">
            <w:pPr>
              <w:pStyle w:val="TableText"/>
              <w:ind w:left="284"/>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F5276B">
            <w:pPr>
              <w:pStyle w:val="TableText"/>
              <w:ind w:left="284"/>
              <w:rPr>
                <w:rFonts w:cs="Arial"/>
              </w:rPr>
            </w:pPr>
          </w:p>
        </w:tc>
        <w:tc>
          <w:tcPr>
            <w:tcW w:w="2561" w:type="dxa"/>
            <w:vAlign w:val="bottom"/>
          </w:tcPr>
          <w:p w14:paraId="1F850D77" w14:textId="77777777" w:rsidR="004A7D3D" w:rsidRPr="004A1148" w:rsidRDefault="004A7D3D" w:rsidP="00F5276B">
            <w:pPr>
              <w:pStyle w:val="TableText"/>
              <w:rPr>
                <w:rFonts w:cs="Arial"/>
              </w:rPr>
            </w:pPr>
          </w:p>
        </w:tc>
        <w:tc>
          <w:tcPr>
            <w:tcW w:w="2552" w:type="dxa"/>
          </w:tcPr>
          <w:p w14:paraId="4E625FAD" w14:textId="77777777" w:rsidR="004A7D3D" w:rsidRPr="004A1148" w:rsidRDefault="004A7D3D" w:rsidP="00F5276B">
            <w:pPr>
              <w:pStyle w:val="TableText"/>
              <w:rPr>
                <w:rFonts w:cs="Arial"/>
              </w:rPr>
            </w:pPr>
          </w:p>
        </w:tc>
        <w:tc>
          <w:tcPr>
            <w:tcW w:w="2724" w:type="dxa"/>
            <w:vAlign w:val="bottom"/>
          </w:tcPr>
          <w:p w14:paraId="2EFD5AB2" w14:textId="77777777" w:rsidR="004A7D3D" w:rsidRPr="004A1148" w:rsidRDefault="004A7D3D" w:rsidP="00F5276B">
            <w:pPr>
              <w:pStyle w:val="TableText"/>
              <w:rPr>
                <w:rFonts w:cs="Arial"/>
              </w:rPr>
            </w:pPr>
          </w:p>
        </w:tc>
        <w:tc>
          <w:tcPr>
            <w:tcW w:w="2922" w:type="dxa"/>
            <w:vAlign w:val="bottom"/>
          </w:tcPr>
          <w:p w14:paraId="488D3941" w14:textId="77777777" w:rsidR="004A7D3D" w:rsidRPr="004A1148" w:rsidRDefault="004A7D3D" w:rsidP="00F5276B">
            <w:pPr>
              <w:pStyle w:val="TableText"/>
              <w:rPr>
                <w:rFonts w:cs="Arial"/>
              </w:rPr>
            </w:pPr>
          </w:p>
        </w:tc>
        <w:tc>
          <w:tcPr>
            <w:tcW w:w="2905" w:type="dxa"/>
            <w:vAlign w:val="bottom"/>
          </w:tcPr>
          <w:p w14:paraId="6CDA3D3D" w14:textId="77777777" w:rsidR="004A7D3D" w:rsidRPr="004A1148" w:rsidRDefault="004A7D3D" w:rsidP="00F5276B">
            <w:pPr>
              <w:pStyle w:val="TableText"/>
              <w:ind w:left="284"/>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3C645F89" w:rsidR="006D5DA8" w:rsidRDefault="00812A9B" w:rsidP="00812A9B">
      <w:pPr>
        <w:pStyle w:val="Heading2"/>
        <w:rPr>
          <w:sz w:val="32"/>
        </w:rPr>
      </w:pPr>
      <w:r w:rsidRPr="00812A9B">
        <w:rPr>
          <w:sz w:val="32"/>
        </w:rPr>
        <w:lastRenderedPageBreak/>
        <w:t>Features of IPv6</w:t>
      </w:r>
    </w:p>
    <w:p w14:paraId="71B1EB80" w14:textId="51A47A72" w:rsidR="00812A9B" w:rsidRDefault="00812A9B" w:rsidP="00812A9B"/>
    <w:p w14:paraId="2F2BBA9A" w14:textId="1863042A" w:rsidR="00D07305" w:rsidRDefault="005B75C9" w:rsidP="00812A9B">
      <w:pPr>
        <w:rPr>
          <w:rFonts w:ascii="Arial" w:hAnsi="Arial" w:cs="Arial"/>
        </w:rPr>
      </w:pPr>
      <w:r>
        <w:rPr>
          <w:rFonts w:ascii="Arial" w:hAnsi="Arial" w:cs="Arial"/>
        </w:rPr>
        <w:t>The reasoning we even need IPv6 in the first place is because over time we have more people and devices connecting to the internet each day and the amount of addresses that IPv4 can hold is only around 4.3 billion. Comparing that number to how many people who are alive today really does surpass how many addresses IPv4 can hold. Now IPv6 has been introduced it not only is able to hold more addresses which comes to around billions and billions which we most likely won’t see reached within our lifetime. It has also many more improvements to what IPv4 was so essentially it is a hugely improved version of IPv4</w:t>
      </w:r>
      <w:sdt>
        <w:sdtPr>
          <w:rPr>
            <w:rFonts w:ascii="Arial" w:hAnsi="Arial" w:cs="Arial"/>
          </w:rPr>
          <w:id w:val="545254639"/>
          <w:citation/>
        </w:sdtPr>
        <w:sdtEndPr/>
        <w:sdtContent>
          <w:r>
            <w:rPr>
              <w:rFonts w:ascii="Arial" w:hAnsi="Arial" w:cs="Arial"/>
            </w:rPr>
            <w:fldChar w:fldCharType="begin"/>
          </w:r>
          <w:r>
            <w:rPr>
              <w:rFonts w:ascii="Arial" w:hAnsi="Arial" w:cs="Arial"/>
            </w:rPr>
            <w:instrText xml:space="preserve"> CITATION Lam07 \l 2057 </w:instrText>
          </w:r>
          <w:r>
            <w:rPr>
              <w:rFonts w:ascii="Arial" w:hAnsi="Arial" w:cs="Arial"/>
            </w:rPr>
            <w:fldChar w:fldCharType="separate"/>
          </w:r>
          <w:r w:rsidR="007D1054">
            <w:rPr>
              <w:rFonts w:ascii="Arial" w:hAnsi="Arial" w:cs="Arial"/>
              <w:noProof/>
            </w:rPr>
            <w:t xml:space="preserve"> </w:t>
          </w:r>
          <w:r w:rsidR="007D1054" w:rsidRPr="007D1054">
            <w:rPr>
              <w:rFonts w:ascii="Arial" w:hAnsi="Arial" w:cs="Arial"/>
              <w:noProof/>
            </w:rPr>
            <w:t>[1]</w:t>
          </w:r>
          <w:r>
            <w:rPr>
              <w:rFonts w:ascii="Arial" w:hAnsi="Arial" w:cs="Arial"/>
            </w:rPr>
            <w:fldChar w:fldCharType="end"/>
          </w:r>
        </w:sdtContent>
      </w:sdt>
      <w:r>
        <w:rPr>
          <w:rFonts w:ascii="Arial" w:hAnsi="Arial" w:cs="Arial"/>
        </w:rPr>
        <w:t>.</w:t>
      </w:r>
      <w:r w:rsidR="00603D95">
        <w:rPr>
          <w:rFonts w:ascii="Arial" w:hAnsi="Arial" w:cs="Arial"/>
        </w:rPr>
        <w:t xml:space="preserve"> That being said you wouldn’t necessarily consider IPv4 to be made completely redundant as it does have its uses although they may not be as effective and efficient as IPv6.</w:t>
      </w:r>
      <w:bookmarkStart w:id="0" w:name="_GoBack"/>
      <w:bookmarkEnd w:id="0"/>
    </w:p>
    <w:p w14:paraId="2F647E83" w14:textId="01168790" w:rsidR="00D07305" w:rsidRDefault="00D07305" w:rsidP="00812A9B">
      <w:pPr>
        <w:rPr>
          <w:rFonts w:ascii="Arial" w:hAnsi="Arial" w:cs="Arial"/>
        </w:rPr>
      </w:pPr>
    </w:p>
    <w:p w14:paraId="585B4141" w14:textId="09F20956" w:rsidR="00D07305" w:rsidRDefault="00D07305" w:rsidP="00812A9B">
      <w:pPr>
        <w:rPr>
          <w:rFonts w:ascii="Arial" w:hAnsi="Arial" w:cs="Arial"/>
        </w:rPr>
      </w:pPr>
      <w:r>
        <w:rPr>
          <w:rFonts w:ascii="Arial" w:hAnsi="Arial" w:cs="Arial"/>
        </w:rPr>
        <w:t>IPv6 has a much bigger address space than IPv4 in fact IPv4 only holds 32</w:t>
      </w:r>
      <w:r w:rsidR="00B8764B">
        <w:rPr>
          <w:rFonts w:ascii="Arial" w:hAnsi="Arial" w:cs="Arial"/>
        </w:rPr>
        <w:t>-</w:t>
      </w:r>
      <w:r>
        <w:rPr>
          <w:rFonts w:ascii="Arial" w:hAnsi="Arial" w:cs="Arial"/>
        </w:rPr>
        <w:t xml:space="preserve">bit address where as IPv6 hold a </w:t>
      </w:r>
      <w:r w:rsidR="00B8764B">
        <w:rPr>
          <w:rFonts w:ascii="Arial" w:hAnsi="Arial" w:cs="Arial"/>
        </w:rPr>
        <w:t>128-bit</w:t>
      </w:r>
      <w:r>
        <w:rPr>
          <w:rFonts w:ascii="Arial" w:hAnsi="Arial" w:cs="Arial"/>
        </w:rPr>
        <w:t xml:space="preserve"> address.</w:t>
      </w:r>
      <w:r w:rsidR="00B8764B">
        <w:rPr>
          <w:rFonts w:ascii="Arial" w:hAnsi="Arial" w:cs="Arial"/>
        </w:rPr>
        <w:t xml:space="preserve"> Having a larger bit address allows IPv6 to have the ability to have a possibility of billions upon billions of available addresses which means it has more availability in comparison. It is also known that IPv4 uses broad casts very prolifically causing a lot of problems and the worst of which is the broadcast storm. What this does to the network is essentially make every device within the network stop what it’s doing and respond to the traffic regardless of whether it’s meant for that device or not which can consume a lot of the bandwidth within the network. IPv6 uses multicast traffic instead. It also uses a different form of communication called Anycast which allows the same address to be placed on more than once device. This makes it possible for traffic to be directed to the closest host with that IP address meaning there will be less traffic passing throughout the entire network</w:t>
      </w:r>
      <w:sdt>
        <w:sdtPr>
          <w:rPr>
            <w:rFonts w:ascii="Arial" w:hAnsi="Arial" w:cs="Arial"/>
          </w:rPr>
          <w:id w:val="-563402657"/>
          <w:citation/>
        </w:sdtPr>
        <w:sdtEndPr/>
        <w:sdtContent>
          <w:r w:rsidR="00B8764B">
            <w:rPr>
              <w:rFonts w:ascii="Arial" w:hAnsi="Arial" w:cs="Arial"/>
            </w:rPr>
            <w:fldChar w:fldCharType="begin"/>
          </w:r>
          <w:r w:rsidR="00B8764B">
            <w:rPr>
              <w:rFonts w:ascii="Arial" w:hAnsi="Arial" w:cs="Arial"/>
            </w:rPr>
            <w:instrText xml:space="preserve"> CITATION Lam07 \l 2057 </w:instrText>
          </w:r>
          <w:r w:rsidR="00B8764B">
            <w:rPr>
              <w:rFonts w:ascii="Arial" w:hAnsi="Arial" w:cs="Arial"/>
            </w:rPr>
            <w:fldChar w:fldCharType="separate"/>
          </w:r>
          <w:r w:rsidR="007D1054">
            <w:rPr>
              <w:rFonts w:ascii="Arial" w:hAnsi="Arial" w:cs="Arial"/>
              <w:noProof/>
            </w:rPr>
            <w:t xml:space="preserve"> </w:t>
          </w:r>
          <w:r w:rsidR="007D1054" w:rsidRPr="007D1054">
            <w:rPr>
              <w:rFonts w:ascii="Arial" w:hAnsi="Arial" w:cs="Arial"/>
              <w:noProof/>
            </w:rPr>
            <w:t>[1]</w:t>
          </w:r>
          <w:r w:rsidR="00B8764B">
            <w:rPr>
              <w:rFonts w:ascii="Arial" w:hAnsi="Arial" w:cs="Arial"/>
            </w:rPr>
            <w:fldChar w:fldCharType="end"/>
          </w:r>
        </w:sdtContent>
      </w:sdt>
      <w:r w:rsidR="00B8764B">
        <w:rPr>
          <w:rFonts w:ascii="Arial" w:hAnsi="Arial" w:cs="Arial"/>
        </w:rPr>
        <w:t>.</w:t>
      </w:r>
    </w:p>
    <w:p w14:paraId="4D88ED46" w14:textId="264E9F59" w:rsidR="00CA1528" w:rsidRDefault="00CA1528" w:rsidP="00812A9B">
      <w:pPr>
        <w:rPr>
          <w:rFonts w:ascii="Arial" w:hAnsi="Arial" w:cs="Arial"/>
        </w:rPr>
      </w:pPr>
    </w:p>
    <w:p w14:paraId="3F90DA7F" w14:textId="7511A55A" w:rsidR="00EB2FC0" w:rsidRDefault="00CA1531" w:rsidP="00812A9B">
      <w:pPr>
        <w:rPr>
          <w:rFonts w:ascii="Arial" w:hAnsi="Arial" w:cs="Arial"/>
        </w:rPr>
      </w:pPr>
      <w:r>
        <w:rPr>
          <w:rFonts w:ascii="Arial" w:hAnsi="Arial" w:cs="Arial"/>
        </w:rPr>
        <w:t>IPv6 also has stateless autoconfi</w:t>
      </w:r>
      <w:r w:rsidR="00EB2FC0">
        <w:rPr>
          <w:rFonts w:ascii="Arial" w:hAnsi="Arial" w:cs="Arial"/>
        </w:rPr>
        <w:t>guration which is a mechanism where hosts can self-generate a routable address. IPv4 had something similar to this although it was only usable on the local subnet and was never forwarded by the router. IPv6 also eliminates the need for NAT/PAT. The reason it’s able to eliminate the need for it is because of the amount of addresses IPv6 can generate. IPv6 also eliminates broadcasts as it doesn’t use layer 3 broadcast addresses. It does however, employ solicited node multicast addresses which is a more efficient and selective method for processes and address resolution. IPv6 also has a lot of transition tools to help with the transition from IPv4 to IPv6 which includes tunnelling and NAT. NAT can provide a mechanism that allows an IPv4 address to be translated into an IPv6 address and vice versa</w:t>
      </w:r>
      <w:sdt>
        <w:sdtPr>
          <w:rPr>
            <w:rFonts w:ascii="Arial" w:hAnsi="Arial" w:cs="Arial"/>
          </w:rPr>
          <w:id w:val="-82530535"/>
          <w:citation/>
        </w:sdtPr>
        <w:sdtEndPr/>
        <w:sdtContent>
          <w:r w:rsidR="00EB2FC0">
            <w:rPr>
              <w:rFonts w:ascii="Arial" w:hAnsi="Arial" w:cs="Arial"/>
            </w:rPr>
            <w:fldChar w:fldCharType="begin"/>
          </w:r>
          <w:r w:rsidR="00EB2FC0">
            <w:rPr>
              <w:rFonts w:ascii="Arial" w:hAnsi="Arial" w:cs="Arial"/>
            </w:rPr>
            <w:instrText xml:space="preserve"> CITATION Ric13 \l 2057 </w:instrText>
          </w:r>
          <w:r w:rsidR="00EB2FC0">
            <w:rPr>
              <w:rFonts w:ascii="Arial" w:hAnsi="Arial" w:cs="Arial"/>
            </w:rPr>
            <w:fldChar w:fldCharType="separate"/>
          </w:r>
          <w:r w:rsidR="007D1054">
            <w:rPr>
              <w:rFonts w:ascii="Arial" w:hAnsi="Arial" w:cs="Arial"/>
              <w:noProof/>
            </w:rPr>
            <w:t xml:space="preserve"> </w:t>
          </w:r>
          <w:r w:rsidR="007D1054" w:rsidRPr="007D1054">
            <w:rPr>
              <w:rFonts w:ascii="Arial" w:hAnsi="Arial" w:cs="Arial"/>
              <w:noProof/>
            </w:rPr>
            <w:t>[2]</w:t>
          </w:r>
          <w:r w:rsidR="00EB2FC0">
            <w:rPr>
              <w:rFonts w:ascii="Arial" w:hAnsi="Arial" w:cs="Arial"/>
            </w:rPr>
            <w:fldChar w:fldCharType="end"/>
          </w:r>
        </w:sdtContent>
      </w:sdt>
      <w:r w:rsidR="00EB2FC0">
        <w:rPr>
          <w:rFonts w:ascii="Arial" w:hAnsi="Arial" w:cs="Arial"/>
        </w:rPr>
        <w:t>.</w:t>
      </w:r>
    </w:p>
    <w:p w14:paraId="7E246410" w14:textId="551FC4CE" w:rsidR="00C5165D" w:rsidRDefault="00C5165D" w:rsidP="00812A9B">
      <w:pPr>
        <w:rPr>
          <w:rFonts w:ascii="Arial" w:hAnsi="Arial" w:cs="Arial"/>
        </w:rPr>
      </w:pPr>
    </w:p>
    <w:p w14:paraId="3ECDEA94" w14:textId="10211637" w:rsidR="00C5165D" w:rsidRDefault="00C5165D" w:rsidP="00812A9B">
      <w:pPr>
        <w:rPr>
          <w:rFonts w:ascii="Arial" w:hAnsi="Arial" w:cs="Arial"/>
        </w:rPr>
      </w:pPr>
      <w:r>
        <w:rPr>
          <w:rFonts w:ascii="Arial" w:hAnsi="Arial" w:cs="Arial"/>
        </w:rPr>
        <w:t xml:space="preserve">Although IPv6 is a lot better than IPv4 in many ways mentioned above it doesn’t necessarily mean it’s going away any time soon. Although it has been discussed for a long time with regards to the transition of IPv6. Dual stack allows the existence of IPv4 and IPv6 devices to be on the same network. A dual stack device could be a host, a server or router configured to run both IPv4 and IPv6 simultaneously. There is also tunnelling which is a method that allows transporting of IPv6 packets over IPv4 only networks. This is accomplished by encapsulating the IPv6 packet inside of </w:t>
      </w:r>
      <w:r w:rsidR="00E62035">
        <w:rPr>
          <w:rFonts w:ascii="Arial" w:hAnsi="Arial" w:cs="Arial"/>
        </w:rPr>
        <w:t>an</w:t>
      </w:r>
      <w:r>
        <w:rPr>
          <w:rFonts w:ascii="Arial" w:hAnsi="Arial" w:cs="Arial"/>
        </w:rPr>
        <w:t xml:space="preserve"> IPv4 packet</w:t>
      </w:r>
      <w:sdt>
        <w:sdtPr>
          <w:rPr>
            <w:rFonts w:ascii="Arial" w:hAnsi="Arial" w:cs="Arial"/>
          </w:rPr>
          <w:id w:val="548655592"/>
          <w:citation/>
        </w:sdtPr>
        <w:sdtEndPr/>
        <w:sdtContent>
          <w:r>
            <w:rPr>
              <w:rFonts w:ascii="Arial" w:hAnsi="Arial" w:cs="Arial"/>
            </w:rPr>
            <w:fldChar w:fldCharType="begin"/>
          </w:r>
          <w:r>
            <w:rPr>
              <w:rFonts w:ascii="Arial" w:hAnsi="Arial" w:cs="Arial"/>
            </w:rPr>
            <w:instrText xml:space="preserve"> CITATION Ric13 \l 2057 </w:instrText>
          </w:r>
          <w:r>
            <w:rPr>
              <w:rFonts w:ascii="Arial" w:hAnsi="Arial" w:cs="Arial"/>
            </w:rPr>
            <w:fldChar w:fldCharType="separate"/>
          </w:r>
          <w:r w:rsidR="007D1054">
            <w:rPr>
              <w:rFonts w:ascii="Arial" w:hAnsi="Arial" w:cs="Arial"/>
              <w:noProof/>
            </w:rPr>
            <w:t xml:space="preserve"> </w:t>
          </w:r>
          <w:r w:rsidR="007D1054" w:rsidRPr="007D1054">
            <w:rPr>
              <w:rFonts w:ascii="Arial" w:hAnsi="Arial" w:cs="Arial"/>
              <w:noProof/>
            </w:rPr>
            <w:t>[2]</w:t>
          </w:r>
          <w:r>
            <w:rPr>
              <w:rFonts w:ascii="Arial" w:hAnsi="Arial" w:cs="Arial"/>
            </w:rPr>
            <w:fldChar w:fldCharType="end"/>
          </w:r>
        </w:sdtContent>
      </w:sdt>
      <w:r>
        <w:rPr>
          <w:rFonts w:ascii="Arial" w:hAnsi="Arial" w:cs="Arial"/>
        </w:rPr>
        <w:t xml:space="preserve">. </w:t>
      </w:r>
      <w:r w:rsidR="007871AD">
        <w:rPr>
          <w:rFonts w:ascii="Arial" w:hAnsi="Arial" w:cs="Arial"/>
        </w:rPr>
        <w:t>IPv6 also has in built security due to IPSec now being something that is required and is mandatory. IPv4 had this optional which makes IPv6 a lot more secure in comparison and you would see this in most things that were an updated version of itself. IPv6 also has better quality service of support as it includes a new field called Flow Label. What this does is it essentially allows the router to identify and provide handling for packets that belong to a certain flow. What this does is it makes traffic identification a lot easier regardless of it being encrypted with IPSec</w:t>
      </w:r>
      <w:sdt>
        <w:sdtPr>
          <w:rPr>
            <w:rFonts w:ascii="Arial" w:hAnsi="Arial" w:cs="Arial"/>
          </w:rPr>
          <w:id w:val="-1970813729"/>
          <w:citation/>
        </w:sdtPr>
        <w:sdtEndPr/>
        <w:sdtContent>
          <w:r w:rsidR="007871AD">
            <w:rPr>
              <w:rFonts w:ascii="Arial" w:hAnsi="Arial" w:cs="Arial"/>
            </w:rPr>
            <w:fldChar w:fldCharType="begin"/>
          </w:r>
          <w:r w:rsidR="007871AD">
            <w:rPr>
              <w:rFonts w:ascii="Arial" w:hAnsi="Arial" w:cs="Arial"/>
            </w:rPr>
            <w:instrText xml:space="preserve"> CITATION Rou12 \l 2057 </w:instrText>
          </w:r>
          <w:r w:rsidR="007871AD">
            <w:rPr>
              <w:rFonts w:ascii="Arial" w:hAnsi="Arial" w:cs="Arial"/>
            </w:rPr>
            <w:fldChar w:fldCharType="separate"/>
          </w:r>
          <w:r w:rsidR="007D1054">
            <w:rPr>
              <w:rFonts w:ascii="Arial" w:hAnsi="Arial" w:cs="Arial"/>
              <w:noProof/>
            </w:rPr>
            <w:t xml:space="preserve"> </w:t>
          </w:r>
          <w:r w:rsidR="007D1054" w:rsidRPr="007D1054">
            <w:rPr>
              <w:rFonts w:ascii="Arial" w:hAnsi="Arial" w:cs="Arial"/>
              <w:noProof/>
            </w:rPr>
            <w:t>[3]</w:t>
          </w:r>
          <w:r w:rsidR="007871AD">
            <w:rPr>
              <w:rFonts w:ascii="Arial" w:hAnsi="Arial" w:cs="Arial"/>
            </w:rPr>
            <w:fldChar w:fldCharType="end"/>
          </w:r>
        </w:sdtContent>
      </w:sdt>
      <w:r w:rsidR="007871AD">
        <w:rPr>
          <w:rFonts w:ascii="Arial" w:hAnsi="Arial" w:cs="Arial"/>
        </w:rPr>
        <w:t>.</w:t>
      </w:r>
    </w:p>
    <w:p w14:paraId="791E8629" w14:textId="230DBF3E" w:rsidR="007871AD" w:rsidRDefault="007871AD" w:rsidP="00812A9B">
      <w:pPr>
        <w:rPr>
          <w:rFonts w:ascii="Arial" w:hAnsi="Arial" w:cs="Arial"/>
        </w:rPr>
      </w:pPr>
    </w:p>
    <w:p w14:paraId="616E7A2C" w14:textId="0B7AD334" w:rsidR="007871AD" w:rsidRDefault="003A3487" w:rsidP="00812A9B">
      <w:pPr>
        <w:rPr>
          <w:rFonts w:ascii="Arial" w:hAnsi="Arial" w:cs="Arial"/>
        </w:rPr>
      </w:pPr>
      <w:r>
        <w:rPr>
          <w:rFonts w:ascii="Arial" w:hAnsi="Arial" w:cs="Arial"/>
        </w:rPr>
        <w:t>IPv6 has designed itself to keep mobility in mind. What this feature does is it allows things such as a mobile phone to travel different geographical areas and remain with the same IP address. This feature takes advantage of the auto configuration feature and extension headers.</w:t>
      </w:r>
      <w:r w:rsidR="00292119">
        <w:rPr>
          <w:rFonts w:ascii="Arial" w:hAnsi="Arial" w:cs="Arial"/>
        </w:rPr>
        <w:t xml:space="preserve"> The address types in IPv6 involve a lot of the hexadecimal number system</w:t>
      </w:r>
      <w:r w:rsidR="00292119">
        <w:rPr>
          <w:rFonts w:ascii="Arial" w:hAnsi="Arial" w:cs="Arial"/>
        </w:rPr>
        <w:tab/>
        <w:t xml:space="preserve"> and as IPv6 has a 128-bit address it means there </w:t>
      </w:r>
      <w:r w:rsidR="00134B87">
        <w:rPr>
          <w:rFonts w:ascii="Arial" w:hAnsi="Arial" w:cs="Arial"/>
        </w:rPr>
        <w:t>are countless possibilities to what it could come out with. There are several different address types such as Link-Local Address which is an auto configured IPv6 address. You have Unique-Local Address which is a globally unique address which should be used for local communication despite it being globally unique. This address type contains the Interface ID, Local Bit, Prefix, Global ID and the Subnet ID</w:t>
      </w:r>
      <w:r w:rsidR="007F29FC">
        <w:rPr>
          <w:rFonts w:ascii="Arial" w:hAnsi="Arial" w:cs="Arial"/>
        </w:rPr>
        <w:t>.</w:t>
      </w:r>
      <w:sdt>
        <w:sdtPr>
          <w:rPr>
            <w:rFonts w:ascii="Arial" w:hAnsi="Arial" w:cs="Arial"/>
          </w:rPr>
          <w:id w:val="439116924"/>
          <w:citation/>
        </w:sdtPr>
        <w:sdtEndPr/>
        <w:sdtContent>
          <w:r w:rsidR="00134B87">
            <w:rPr>
              <w:rFonts w:ascii="Arial" w:hAnsi="Arial" w:cs="Arial"/>
            </w:rPr>
            <w:fldChar w:fldCharType="begin"/>
          </w:r>
          <w:r w:rsidR="00134B87">
            <w:rPr>
              <w:rFonts w:ascii="Arial" w:hAnsi="Arial" w:cs="Arial"/>
            </w:rPr>
            <w:instrText xml:space="preserve"> CITATION Poi19 \l 2057 </w:instrText>
          </w:r>
          <w:r w:rsidR="00134B87">
            <w:rPr>
              <w:rFonts w:ascii="Arial" w:hAnsi="Arial" w:cs="Arial"/>
            </w:rPr>
            <w:fldChar w:fldCharType="separate"/>
          </w:r>
          <w:r w:rsidR="007D1054">
            <w:rPr>
              <w:rFonts w:ascii="Arial" w:hAnsi="Arial" w:cs="Arial"/>
              <w:noProof/>
            </w:rPr>
            <w:t xml:space="preserve"> </w:t>
          </w:r>
          <w:r w:rsidR="007D1054" w:rsidRPr="007D1054">
            <w:rPr>
              <w:rFonts w:ascii="Arial" w:hAnsi="Arial" w:cs="Arial"/>
              <w:noProof/>
            </w:rPr>
            <w:t>[4]</w:t>
          </w:r>
          <w:r w:rsidR="00134B87">
            <w:rPr>
              <w:rFonts w:ascii="Arial" w:hAnsi="Arial" w:cs="Arial"/>
            </w:rPr>
            <w:fldChar w:fldCharType="end"/>
          </w:r>
        </w:sdtContent>
      </w:sdt>
      <w:r w:rsidR="008C6FCA">
        <w:rPr>
          <w:rFonts w:ascii="Arial" w:hAnsi="Arial" w:cs="Arial"/>
        </w:rPr>
        <w:t>.</w:t>
      </w:r>
    </w:p>
    <w:p w14:paraId="0895746C" w14:textId="02053242" w:rsidR="00A06F4D" w:rsidRDefault="00A06F4D" w:rsidP="00812A9B">
      <w:pPr>
        <w:rPr>
          <w:rFonts w:ascii="Arial" w:hAnsi="Arial" w:cs="Arial"/>
        </w:rPr>
      </w:pPr>
    </w:p>
    <w:p w14:paraId="1C65C294" w14:textId="01B3CE7D" w:rsidR="007F29FC" w:rsidRDefault="007F29FC" w:rsidP="00812A9B">
      <w:pPr>
        <w:rPr>
          <w:rFonts w:ascii="Arial" w:hAnsi="Arial" w:cs="Arial"/>
        </w:rPr>
      </w:pPr>
      <w:r>
        <w:rPr>
          <w:rFonts w:ascii="Arial" w:hAnsi="Arial" w:cs="Arial"/>
        </w:rPr>
        <w:t xml:space="preserve">The IPv6 address is made of 128 bits which are then divided into eight blocks of 16. This totals to 128 and then each block </w:t>
      </w:r>
      <w:proofErr w:type="gramStart"/>
      <w:r w:rsidR="00603D95">
        <w:rPr>
          <w:rFonts w:ascii="Arial" w:hAnsi="Arial" w:cs="Arial"/>
        </w:rPr>
        <w:t>is</w:t>
      </w:r>
      <w:proofErr w:type="gramEnd"/>
      <w:r>
        <w:rPr>
          <w:rFonts w:ascii="Arial" w:hAnsi="Arial" w:cs="Arial"/>
        </w:rPr>
        <w:t xml:space="preserve"> converted to digital hexadecimal numbers which are separated by the colon symbols. Although this address may seem unnecessarily long there are rules used for the address which shortens it. The first rule is that the address has its leading zeroes discarded so if a block had the numbers 0032 the zeroes will be removed to make it shorter giving just 32. The second rule is that if a block contains consecutive zeroes within it you would remove them and replace them with a colon.</w:t>
      </w:r>
      <w:r w:rsidR="00603D95">
        <w:rPr>
          <w:rFonts w:ascii="Arial" w:hAnsi="Arial" w:cs="Arial"/>
        </w:rPr>
        <w:t xml:space="preserve"> So,</w:t>
      </w:r>
      <w:r>
        <w:rPr>
          <w:rFonts w:ascii="Arial" w:hAnsi="Arial" w:cs="Arial"/>
        </w:rPr>
        <w:t xml:space="preserve"> for example</w:t>
      </w:r>
      <w:r w:rsidR="00603D95">
        <w:rPr>
          <w:rFonts w:ascii="Arial" w:hAnsi="Arial" w:cs="Arial"/>
        </w:rPr>
        <w:t>,</w:t>
      </w:r>
      <w:r>
        <w:rPr>
          <w:rFonts w:ascii="Arial" w:hAnsi="Arial" w:cs="Arial"/>
        </w:rPr>
        <w:t xml:space="preserve"> 0000 would turn </w:t>
      </w:r>
      <w:proofErr w:type="gramStart"/>
      <w:r>
        <w:rPr>
          <w:rFonts w:ascii="Arial" w:hAnsi="Arial" w:cs="Arial"/>
        </w:rPr>
        <w:t>into :</w:t>
      </w:r>
      <w:proofErr w:type="gramEnd"/>
      <w:r>
        <w:rPr>
          <w:rFonts w:ascii="Arial" w:hAnsi="Arial" w:cs="Arial"/>
        </w:rPr>
        <w:t>: in the address</w:t>
      </w:r>
      <w:r w:rsidR="00603D95">
        <w:rPr>
          <w:rFonts w:ascii="Arial" w:hAnsi="Arial" w:cs="Arial"/>
        </w:rPr>
        <w:t>. There also exists a rule where if there are consecutive blocks of zeroes then they can be replaced by only one singular zero</w:t>
      </w:r>
      <w:sdt>
        <w:sdtPr>
          <w:rPr>
            <w:rFonts w:ascii="Arial" w:hAnsi="Arial" w:cs="Arial"/>
          </w:rPr>
          <w:id w:val="-2012682554"/>
          <w:citation/>
        </w:sdtPr>
        <w:sdtEndPr/>
        <w:sdtContent>
          <w:r w:rsidR="00603D95">
            <w:rPr>
              <w:rFonts w:ascii="Arial" w:hAnsi="Arial" w:cs="Arial"/>
            </w:rPr>
            <w:fldChar w:fldCharType="begin"/>
          </w:r>
          <w:r w:rsidR="00603D95">
            <w:rPr>
              <w:rFonts w:ascii="Arial" w:hAnsi="Arial" w:cs="Arial"/>
            </w:rPr>
            <w:instrText xml:space="preserve"> CITATION Poi19 \l 2057 </w:instrText>
          </w:r>
          <w:r w:rsidR="00603D95">
            <w:rPr>
              <w:rFonts w:ascii="Arial" w:hAnsi="Arial" w:cs="Arial"/>
            </w:rPr>
            <w:fldChar w:fldCharType="separate"/>
          </w:r>
          <w:r w:rsidR="00603D95">
            <w:rPr>
              <w:rFonts w:ascii="Arial" w:hAnsi="Arial" w:cs="Arial"/>
              <w:noProof/>
            </w:rPr>
            <w:t xml:space="preserve"> </w:t>
          </w:r>
          <w:r w:rsidR="00603D95" w:rsidRPr="00603D95">
            <w:rPr>
              <w:rFonts w:ascii="Arial" w:hAnsi="Arial" w:cs="Arial"/>
              <w:noProof/>
            </w:rPr>
            <w:t>[4]</w:t>
          </w:r>
          <w:r w:rsidR="00603D95">
            <w:rPr>
              <w:rFonts w:ascii="Arial" w:hAnsi="Arial" w:cs="Arial"/>
            </w:rPr>
            <w:fldChar w:fldCharType="end"/>
          </w:r>
        </w:sdtContent>
      </w:sdt>
      <w:r w:rsidR="00603D95">
        <w:rPr>
          <w:rFonts w:ascii="Arial" w:hAnsi="Arial" w:cs="Arial"/>
        </w:rPr>
        <w:t>.</w:t>
      </w:r>
    </w:p>
    <w:p w14:paraId="3E1D92C6" w14:textId="774DCCE8" w:rsidR="007871AD" w:rsidRDefault="007871AD" w:rsidP="00812A9B">
      <w:pPr>
        <w:rPr>
          <w:rFonts w:ascii="Arial" w:hAnsi="Arial" w:cs="Arial"/>
        </w:rPr>
      </w:pPr>
    </w:p>
    <w:p w14:paraId="7EBACA00" w14:textId="77777777" w:rsidR="007A713C" w:rsidRDefault="007A713C" w:rsidP="00812A9B">
      <w:pPr>
        <w:rPr>
          <w:rFonts w:ascii="Arial" w:hAnsi="Arial" w:cs="Arial"/>
        </w:rPr>
      </w:pPr>
    </w:p>
    <w:sdt>
      <w:sdtPr>
        <w:rPr>
          <w:b w:val="0"/>
          <w:sz w:val="20"/>
        </w:rPr>
        <w:id w:val="-797752171"/>
        <w:docPartObj>
          <w:docPartGallery w:val="Bibliographies"/>
          <w:docPartUnique/>
        </w:docPartObj>
      </w:sdtPr>
      <w:sdtEndPr/>
      <w:sdtContent>
        <w:p w14:paraId="3BA28029" w14:textId="2AB7CCD9" w:rsidR="00D07305" w:rsidRDefault="00D07305">
          <w:pPr>
            <w:pStyle w:val="Heading1"/>
          </w:pPr>
          <w:r>
            <w:t>References</w:t>
          </w:r>
        </w:p>
        <w:sdt>
          <w:sdtPr>
            <w:id w:val="-573587230"/>
            <w:bibliography/>
          </w:sdtPr>
          <w:sdtEndPr/>
          <w:sdtContent>
            <w:p w14:paraId="0B53038F" w14:textId="77777777" w:rsidR="007D1054" w:rsidRDefault="00D07305">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472"/>
              </w:tblGrid>
              <w:tr w:rsidR="007D1054" w14:paraId="5CEAD43E" w14:textId="77777777">
                <w:trPr>
                  <w:divId w:val="264118044"/>
                  <w:tblCellSpacing w:w="15" w:type="dxa"/>
                </w:trPr>
                <w:tc>
                  <w:tcPr>
                    <w:tcW w:w="50" w:type="pct"/>
                    <w:hideMark/>
                  </w:tcPr>
                  <w:p w14:paraId="76EBF3B8" w14:textId="338B8AA7" w:rsidR="007D1054" w:rsidRDefault="007D1054">
                    <w:pPr>
                      <w:pStyle w:val="Bibliography"/>
                      <w:rPr>
                        <w:noProof/>
                        <w:sz w:val="24"/>
                        <w:szCs w:val="24"/>
                      </w:rPr>
                    </w:pPr>
                    <w:r>
                      <w:rPr>
                        <w:noProof/>
                      </w:rPr>
                      <w:t xml:space="preserve">[1] </w:t>
                    </w:r>
                  </w:p>
                </w:tc>
                <w:tc>
                  <w:tcPr>
                    <w:tcW w:w="0" w:type="auto"/>
                    <w:hideMark/>
                  </w:tcPr>
                  <w:p w14:paraId="54F1D7A6" w14:textId="77777777" w:rsidR="007D1054" w:rsidRDefault="007D1054">
                    <w:pPr>
                      <w:pStyle w:val="Bibliography"/>
                      <w:rPr>
                        <w:noProof/>
                      </w:rPr>
                    </w:pPr>
                    <w:r>
                      <w:rPr>
                        <w:noProof/>
                      </w:rPr>
                      <w:t xml:space="preserve">T. Lammle, Cisco Certified Network Associate, Wiley Publishing, 2007. </w:t>
                    </w:r>
                  </w:p>
                </w:tc>
              </w:tr>
              <w:tr w:rsidR="007D1054" w14:paraId="5F338AE3" w14:textId="77777777">
                <w:trPr>
                  <w:divId w:val="264118044"/>
                  <w:tblCellSpacing w:w="15" w:type="dxa"/>
                </w:trPr>
                <w:tc>
                  <w:tcPr>
                    <w:tcW w:w="50" w:type="pct"/>
                    <w:hideMark/>
                  </w:tcPr>
                  <w:p w14:paraId="37DD3FAA" w14:textId="77777777" w:rsidR="007D1054" w:rsidRDefault="007D1054">
                    <w:pPr>
                      <w:pStyle w:val="Bibliography"/>
                      <w:rPr>
                        <w:noProof/>
                      </w:rPr>
                    </w:pPr>
                    <w:r>
                      <w:rPr>
                        <w:noProof/>
                      </w:rPr>
                      <w:t xml:space="preserve">[2] </w:t>
                    </w:r>
                  </w:p>
                </w:tc>
                <w:tc>
                  <w:tcPr>
                    <w:tcW w:w="0" w:type="auto"/>
                    <w:hideMark/>
                  </w:tcPr>
                  <w:p w14:paraId="3DE0413D" w14:textId="77777777" w:rsidR="007D1054" w:rsidRDefault="007D1054">
                    <w:pPr>
                      <w:pStyle w:val="Bibliography"/>
                      <w:rPr>
                        <w:noProof/>
                      </w:rPr>
                    </w:pPr>
                    <w:r>
                      <w:rPr>
                        <w:noProof/>
                      </w:rPr>
                      <w:t xml:space="preserve">R. Graziani, IPv6 Fundamentals, Indianapolis: Cisco Press, 2013. </w:t>
                    </w:r>
                  </w:p>
                </w:tc>
              </w:tr>
              <w:tr w:rsidR="007D1054" w14:paraId="7F2FE700" w14:textId="77777777">
                <w:trPr>
                  <w:divId w:val="264118044"/>
                  <w:tblCellSpacing w:w="15" w:type="dxa"/>
                </w:trPr>
                <w:tc>
                  <w:tcPr>
                    <w:tcW w:w="50" w:type="pct"/>
                    <w:hideMark/>
                  </w:tcPr>
                  <w:p w14:paraId="57641C7A" w14:textId="77777777" w:rsidR="007D1054" w:rsidRDefault="007D1054">
                    <w:pPr>
                      <w:pStyle w:val="Bibliography"/>
                      <w:rPr>
                        <w:noProof/>
                      </w:rPr>
                    </w:pPr>
                    <w:r>
                      <w:rPr>
                        <w:noProof/>
                      </w:rPr>
                      <w:t xml:space="preserve">[3] </w:t>
                    </w:r>
                  </w:p>
                </w:tc>
                <w:tc>
                  <w:tcPr>
                    <w:tcW w:w="0" w:type="auto"/>
                    <w:hideMark/>
                  </w:tcPr>
                  <w:p w14:paraId="36A55162" w14:textId="77777777" w:rsidR="007D1054" w:rsidRDefault="007D1054">
                    <w:pPr>
                      <w:pStyle w:val="Bibliography"/>
                      <w:rPr>
                        <w:noProof/>
                      </w:rPr>
                    </w:pPr>
                    <w:r>
                      <w:rPr>
                        <w:noProof/>
                      </w:rPr>
                      <w:t>“Router Switch,” Router Switch, 12 January 2012. [Online]. Available: https://blog.router-switch.com/2012/01/main-feature-of-ipv6/. [Accessed 11 December 2019].</w:t>
                    </w:r>
                  </w:p>
                </w:tc>
              </w:tr>
              <w:tr w:rsidR="007D1054" w14:paraId="0E5FCA1E" w14:textId="77777777">
                <w:trPr>
                  <w:divId w:val="264118044"/>
                  <w:tblCellSpacing w:w="15" w:type="dxa"/>
                </w:trPr>
                <w:tc>
                  <w:tcPr>
                    <w:tcW w:w="50" w:type="pct"/>
                    <w:hideMark/>
                  </w:tcPr>
                  <w:p w14:paraId="6BBDF95D" w14:textId="77777777" w:rsidR="007D1054" w:rsidRDefault="007D1054">
                    <w:pPr>
                      <w:pStyle w:val="Bibliography"/>
                      <w:rPr>
                        <w:noProof/>
                      </w:rPr>
                    </w:pPr>
                    <w:r>
                      <w:rPr>
                        <w:noProof/>
                      </w:rPr>
                      <w:t xml:space="preserve">[4] </w:t>
                    </w:r>
                  </w:p>
                </w:tc>
                <w:tc>
                  <w:tcPr>
                    <w:tcW w:w="0" w:type="auto"/>
                    <w:hideMark/>
                  </w:tcPr>
                  <w:p w14:paraId="7214431E" w14:textId="77777777" w:rsidR="007D1054" w:rsidRDefault="007D1054">
                    <w:pPr>
                      <w:pStyle w:val="Bibliography"/>
                      <w:rPr>
                        <w:noProof/>
                      </w:rPr>
                    </w:pPr>
                    <w:r>
                      <w:rPr>
                        <w:noProof/>
                      </w:rPr>
                      <w:t>T. Point, “Tutorials Point,” Tutorials Point Simply Learning, [Online]. Available: https://www.tutorialspoint.com/ipv6/index.htm. [Accessed 11 December 2019].</w:t>
                    </w:r>
                  </w:p>
                </w:tc>
              </w:tr>
            </w:tbl>
            <w:p w14:paraId="0BD989E3" w14:textId="77777777" w:rsidR="007D1054" w:rsidRDefault="007D1054">
              <w:pPr>
                <w:divId w:val="264118044"/>
                <w:rPr>
                  <w:noProof/>
                </w:rPr>
              </w:pPr>
            </w:p>
            <w:p w14:paraId="641B730B" w14:textId="4390F29A" w:rsidR="00D07305" w:rsidRDefault="00D07305">
              <w:r>
                <w:rPr>
                  <w:b/>
                  <w:bCs/>
                  <w:noProof/>
                </w:rPr>
                <w:fldChar w:fldCharType="end"/>
              </w:r>
            </w:p>
          </w:sdtContent>
        </w:sdt>
      </w:sdtContent>
    </w:sdt>
    <w:p w14:paraId="2DFA4573" w14:textId="56A5BC0A" w:rsidR="00812A9B" w:rsidRDefault="00812A9B" w:rsidP="00812A9B">
      <w:pPr>
        <w:rPr>
          <w:rFonts w:ascii="Arial" w:hAnsi="Arial" w:cs="Arial"/>
        </w:rPr>
      </w:pPr>
    </w:p>
    <w:p w14:paraId="38BF95B8" w14:textId="28DF7BB4" w:rsidR="005B75C9" w:rsidRDefault="005B75C9" w:rsidP="00812A9B">
      <w:pPr>
        <w:rPr>
          <w:rFonts w:ascii="Arial" w:hAnsi="Arial" w:cs="Arial"/>
        </w:rPr>
      </w:pPr>
    </w:p>
    <w:p w14:paraId="20996349" w14:textId="77777777" w:rsidR="005B75C9" w:rsidRPr="00812A9B" w:rsidRDefault="005B75C9" w:rsidP="00812A9B">
      <w:pPr>
        <w:rPr>
          <w:rFonts w:ascii="Arial" w:hAnsi="Arial" w:cs="Arial"/>
        </w:rPr>
      </w:pPr>
    </w:p>
    <w:sectPr w:rsidR="005B75C9" w:rsidRPr="00812A9B"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CCD7ED" w14:textId="77777777" w:rsidR="00CF5CDF" w:rsidRDefault="00CF5CDF">
      <w:r>
        <w:separator/>
      </w:r>
    </w:p>
  </w:endnote>
  <w:endnote w:type="continuationSeparator" w:id="0">
    <w:p w14:paraId="769B78C4" w14:textId="77777777" w:rsidR="00CF5CDF" w:rsidRDefault="00CF5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37B08E" w14:textId="77777777" w:rsidR="00CF5CDF" w:rsidRDefault="00CF5CDF">
      <w:r>
        <w:separator/>
      </w:r>
    </w:p>
  </w:footnote>
  <w:footnote w:type="continuationSeparator" w:id="0">
    <w:p w14:paraId="7523EA83" w14:textId="77777777" w:rsidR="00CF5CDF" w:rsidRDefault="00CF5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34B87"/>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1B25"/>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2119"/>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0570"/>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48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5C9"/>
    <w:rsid w:val="005B7BEA"/>
    <w:rsid w:val="005C0490"/>
    <w:rsid w:val="005D1D58"/>
    <w:rsid w:val="005D4035"/>
    <w:rsid w:val="005E11AB"/>
    <w:rsid w:val="005E316F"/>
    <w:rsid w:val="005E6E27"/>
    <w:rsid w:val="005F3E76"/>
    <w:rsid w:val="005F526A"/>
    <w:rsid w:val="00603190"/>
    <w:rsid w:val="00603D95"/>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871AD"/>
    <w:rsid w:val="007919F0"/>
    <w:rsid w:val="00792A2A"/>
    <w:rsid w:val="007A0717"/>
    <w:rsid w:val="007A0994"/>
    <w:rsid w:val="007A4950"/>
    <w:rsid w:val="007A713C"/>
    <w:rsid w:val="007B0E70"/>
    <w:rsid w:val="007B1BD0"/>
    <w:rsid w:val="007B5081"/>
    <w:rsid w:val="007B58FD"/>
    <w:rsid w:val="007B796B"/>
    <w:rsid w:val="007C2987"/>
    <w:rsid w:val="007C4AB6"/>
    <w:rsid w:val="007C4C48"/>
    <w:rsid w:val="007D1054"/>
    <w:rsid w:val="007D2A88"/>
    <w:rsid w:val="007D43D0"/>
    <w:rsid w:val="007F29FC"/>
    <w:rsid w:val="007F44F2"/>
    <w:rsid w:val="007F4DA4"/>
    <w:rsid w:val="007F5D21"/>
    <w:rsid w:val="00800069"/>
    <w:rsid w:val="00800C74"/>
    <w:rsid w:val="00801FAF"/>
    <w:rsid w:val="00802E62"/>
    <w:rsid w:val="00807B02"/>
    <w:rsid w:val="00807F3C"/>
    <w:rsid w:val="00812373"/>
    <w:rsid w:val="00812A9B"/>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C6FCA"/>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280B"/>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06F4D"/>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5FC0"/>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8764B"/>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65D"/>
    <w:rsid w:val="00C519BA"/>
    <w:rsid w:val="00C66B33"/>
    <w:rsid w:val="00C75DF8"/>
    <w:rsid w:val="00C7673E"/>
    <w:rsid w:val="00C803C6"/>
    <w:rsid w:val="00C80527"/>
    <w:rsid w:val="00C82D8F"/>
    <w:rsid w:val="00C868FA"/>
    <w:rsid w:val="00C87AB1"/>
    <w:rsid w:val="00C92323"/>
    <w:rsid w:val="00C93A58"/>
    <w:rsid w:val="00C93B79"/>
    <w:rsid w:val="00C93BCB"/>
    <w:rsid w:val="00C94B3B"/>
    <w:rsid w:val="00CA0B03"/>
    <w:rsid w:val="00CA1528"/>
    <w:rsid w:val="00CA1531"/>
    <w:rsid w:val="00CB7BA1"/>
    <w:rsid w:val="00CC3E10"/>
    <w:rsid w:val="00CD01C2"/>
    <w:rsid w:val="00CD670B"/>
    <w:rsid w:val="00CE0E43"/>
    <w:rsid w:val="00CE3C9B"/>
    <w:rsid w:val="00CE65AB"/>
    <w:rsid w:val="00CF0772"/>
    <w:rsid w:val="00CF22C3"/>
    <w:rsid w:val="00CF2B64"/>
    <w:rsid w:val="00CF3CEE"/>
    <w:rsid w:val="00CF4266"/>
    <w:rsid w:val="00CF4570"/>
    <w:rsid w:val="00CF5CDF"/>
    <w:rsid w:val="00D039EC"/>
    <w:rsid w:val="00D049CD"/>
    <w:rsid w:val="00D05E50"/>
    <w:rsid w:val="00D07305"/>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088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2035"/>
    <w:rsid w:val="00E6406E"/>
    <w:rsid w:val="00E66CC0"/>
    <w:rsid w:val="00E67885"/>
    <w:rsid w:val="00E7050F"/>
    <w:rsid w:val="00E72F65"/>
    <w:rsid w:val="00E85CCF"/>
    <w:rsid w:val="00E95072"/>
    <w:rsid w:val="00E959F2"/>
    <w:rsid w:val="00E95F50"/>
    <w:rsid w:val="00EA0E09"/>
    <w:rsid w:val="00EA2479"/>
    <w:rsid w:val="00EB0EB8"/>
    <w:rsid w:val="00EB2FC0"/>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D07305"/>
    <w:rPr>
      <w:b/>
      <w:sz w:val="36"/>
      <w:shd w:val="pct15" w:color="auto" w:fill="auto"/>
      <w:lang w:eastAsia="en-GB"/>
    </w:rPr>
  </w:style>
  <w:style w:type="paragraph" w:styleId="Bibliography">
    <w:name w:val="Bibliography"/>
    <w:basedOn w:val="Normal"/>
    <w:next w:val="Normal"/>
    <w:uiPriority w:val="37"/>
    <w:unhideWhenUsed/>
    <w:rsid w:val="00D073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210389066">
      <w:bodyDiv w:val="1"/>
      <w:marLeft w:val="0"/>
      <w:marRight w:val="0"/>
      <w:marTop w:val="0"/>
      <w:marBottom w:val="0"/>
      <w:divBdr>
        <w:top w:val="none" w:sz="0" w:space="0" w:color="auto"/>
        <w:left w:val="none" w:sz="0" w:space="0" w:color="auto"/>
        <w:bottom w:val="none" w:sz="0" w:space="0" w:color="auto"/>
        <w:right w:val="none" w:sz="0" w:space="0" w:color="auto"/>
      </w:divBdr>
    </w:div>
    <w:div w:id="249510240">
      <w:bodyDiv w:val="1"/>
      <w:marLeft w:val="0"/>
      <w:marRight w:val="0"/>
      <w:marTop w:val="0"/>
      <w:marBottom w:val="0"/>
      <w:divBdr>
        <w:top w:val="none" w:sz="0" w:space="0" w:color="auto"/>
        <w:left w:val="none" w:sz="0" w:space="0" w:color="auto"/>
        <w:bottom w:val="none" w:sz="0" w:space="0" w:color="auto"/>
        <w:right w:val="none" w:sz="0" w:space="0" w:color="auto"/>
      </w:divBdr>
    </w:div>
    <w:div w:id="264118044">
      <w:bodyDiv w:val="1"/>
      <w:marLeft w:val="0"/>
      <w:marRight w:val="0"/>
      <w:marTop w:val="0"/>
      <w:marBottom w:val="0"/>
      <w:divBdr>
        <w:top w:val="none" w:sz="0" w:space="0" w:color="auto"/>
        <w:left w:val="none" w:sz="0" w:space="0" w:color="auto"/>
        <w:bottom w:val="none" w:sz="0" w:space="0" w:color="auto"/>
        <w:right w:val="none" w:sz="0" w:space="0" w:color="auto"/>
      </w:divBdr>
    </w:div>
    <w:div w:id="355421812">
      <w:bodyDiv w:val="1"/>
      <w:marLeft w:val="0"/>
      <w:marRight w:val="0"/>
      <w:marTop w:val="0"/>
      <w:marBottom w:val="0"/>
      <w:divBdr>
        <w:top w:val="none" w:sz="0" w:space="0" w:color="auto"/>
        <w:left w:val="none" w:sz="0" w:space="0" w:color="auto"/>
        <w:bottom w:val="none" w:sz="0" w:space="0" w:color="auto"/>
        <w:right w:val="none" w:sz="0" w:space="0" w:color="auto"/>
      </w:divBdr>
    </w:div>
    <w:div w:id="392197046">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23001750">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72749501">
      <w:bodyDiv w:val="1"/>
      <w:marLeft w:val="0"/>
      <w:marRight w:val="0"/>
      <w:marTop w:val="0"/>
      <w:marBottom w:val="0"/>
      <w:divBdr>
        <w:top w:val="none" w:sz="0" w:space="0" w:color="auto"/>
        <w:left w:val="none" w:sz="0" w:space="0" w:color="auto"/>
        <w:bottom w:val="none" w:sz="0" w:space="0" w:color="auto"/>
        <w:right w:val="none" w:sz="0" w:space="0" w:color="auto"/>
      </w:divBdr>
    </w:div>
    <w:div w:id="847645074">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0917056">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47660582">
      <w:bodyDiv w:val="1"/>
      <w:marLeft w:val="0"/>
      <w:marRight w:val="0"/>
      <w:marTop w:val="0"/>
      <w:marBottom w:val="0"/>
      <w:divBdr>
        <w:top w:val="none" w:sz="0" w:space="0" w:color="auto"/>
        <w:left w:val="none" w:sz="0" w:space="0" w:color="auto"/>
        <w:bottom w:val="none" w:sz="0" w:space="0" w:color="auto"/>
        <w:right w:val="none" w:sz="0" w:space="0" w:color="auto"/>
      </w:divBdr>
    </w:div>
    <w:div w:id="997802330">
      <w:bodyDiv w:val="1"/>
      <w:marLeft w:val="0"/>
      <w:marRight w:val="0"/>
      <w:marTop w:val="0"/>
      <w:marBottom w:val="0"/>
      <w:divBdr>
        <w:top w:val="none" w:sz="0" w:space="0" w:color="auto"/>
        <w:left w:val="none" w:sz="0" w:space="0" w:color="auto"/>
        <w:bottom w:val="none" w:sz="0" w:space="0" w:color="auto"/>
        <w:right w:val="none" w:sz="0" w:space="0" w:color="auto"/>
      </w:divBdr>
    </w:div>
    <w:div w:id="1013458108">
      <w:bodyDiv w:val="1"/>
      <w:marLeft w:val="0"/>
      <w:marRight w:val="0"/>
      <w:marTop w:val="0"/>
      <w:marBottom w:val="0"/>
      <w:divBdr>
        <w:top w:val="none" w:sz="0" w:space="0" w:color="auto"/>
        <w:left w:val="none" w:sz="0" w:space="0" w:color="auto"/>
        <w:bottom w:val="none" w:sz="0" w:space="0" w:color="auto"/>
        <w:right w:val="none" w:sz="0" w:space="0" w:color="auto"/>
      </w:divBdr>
    </w:div>
    <w:div w:id="1093084391">
      <w:bodyDiv w:val="1"/>
      <w:marLeft w:val="0"/>
      <w:marRight w:val="0"/>
      <w:marTop w:val="0"/>
      <w:marBottom w:val="0"/>
      <w:divBdr>
        <w:top w:val="none" w:sz="0" w:space="0" w:color="auto"/>
        <w:left w:val="none" w:sz="0" w:space="0" w:color="auto"/>
        <w:bottom w:val="none" w:sz="0" w:space="0" w:color="auto"/>
        <w:right w:val="none" w:sz="0" w:space="0" w:color="auto"/>
      </w:divBdr>
    </w:div>
    <w:div w:id="110168492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29711661">
      <w:bodyDiv w:val="1"/>
      <w:marLeft w:val="0"/>
      <w:marRight w:val="0"/>
      <w:marTop w:val="0"/>
      <w:marBottom w:val="0"/>
      <w:divBdr>
        <w:top w:val="none" w:sz="0" w:space="0" w:color="auto"/>
        <w:left w:val="none" w:sz="0" w:space="0" w:color="auto"/>
        <w:bottom w:val="none" w:sz="0" w:space="0" w:color="auto"/>
        <w:right w:val="none" w:sz="0" w:space="0" w:color="auto"/>
      </w:divBdr>
    </w:div>
    <w:div w:id="1166242172">
      <w:bodyDiv w:val="1"/>
      <w:marLeft w:val="0"/>
      <w:marRight w:val="0"/>
      <w:marTop w:val="0"/>
      <w:marBottom w:val="0"/>
      <w:divBdr>
        <w:top w:val="none" w:sz="0" w:space="0" w:color="auto"/>
        <w:left w:val="none" w:sz="0" w:space="0" w:color="auto"/>
        <w:bottom w:val="none" w:sz="0" w:space="0" w:color="auto"/>
        <w:right w:val="none" w:sz="0" w:space="0" w:color="auto"/>
      </w:divBdr>
    </w:div>
    <w:div w:id="1252083505">
      <w:bodyDiv w:val="1"/>
      <w:marLeft w:val="0"/>
      <w:marRight w:val="0"/>
      <w:marTop w:val="0"/>
      <w:marBottom w:val="0"/>
      <w:divBdr>
        <w:top w:val="none" w:sz="0" w:space="0" w:color="auto"/>
        <w:left w:val="none" w:sz="0" w:space="0" w:color="auto"/>
        <w:bottom w:val="none" w:sz="0" w:space="0" w:color="auto"/>
        <w:right w:val="none" w:sz="0" w:space="0" w:color="auto"/>
      </w:divBdr>
    </w:div>
    <w:div w:id="1310791945">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56543594">
      <w:bodyDiv w:val="1"/>
      <w:marLeft w:val="0"/>
      <w:marRight w:val="0"/>
      <w:marTop w:val="0"/>
      <w:marBottom w:val="0"/>
      <w:divBdr>
        <w:top w:val="none" w:sz="0" w:space="0" w:color="auto"/>
        <w:left w:val="none" w:sz="0" w:space="0" w:color="auto"/>
        <w:bottom w:val="none" w:sz="0" w:space="0" w:color="auto"/>
        <w:right w:val="none" w:sz="0" w:space="0" w:color="auto"/>
      </w:divBdr>
    </w:div>
    <w:div w:id="1374039934">
      <w:bodyDiv w:val="1"/>
      <w:marLeft w:val="0"/>
      <w:marRight w:val="0"/>
      <w:marTop w:val="0"/>
      <w:marBottom w:val="0"/>
      <w:divBdr>
        <w:top w:val="none" w:sz="0" w:space="0" w:color="auto"/>
        <w:left w:val="none" w:sz="0" w:space="0" w:color="auto"/>
        <w:bottom w:val="none" w:sz="0" w:space="0" w:color="auto"/>
        <w:right w:val="none" w:sz="0" w:space="0" w:color="auto"/>
      </w:divBdr>
    </w:div>
    <w:div w:id="1393187842">
      <w:bodyDiv w:val="1"/>
      <w:marLeft w:val="0"/>
      <w:marRight w:val="0"/>
      <w:marTop w:val="0"/>
      <w:marBottom w:val="0"/>
      <w:divBdr>
        <w:top w:val="none" w:sz="0" w:space="0" w:color="auto"/>
        <w:left w:val="none" w:sz="0" w:space="0" w:color="auto"/>
        <w:bottom w:val="none" w:sz="0" w:space="0" w:color="auto"/>
        <w:right w:val="none" w:sz="0" w:space="0" w:color="auto"/>
      </w:divBdr>
    </w:div>
    <w:div w:id="1427577352">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31504444">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37626624">
      <w:bodyDiv w:val="1"/>
      <w:marLeft w:val="0"/>
      <w:marRight w:val="0"/>
      <w:marTop w:val="0"/>
      <w:marBottom w:val="0"/>
      <w:divBdr>
        <w:top w:val="none" w:sz="0" w:space="0" w:color="auto"/>
        <w:left w:val="none" w:sz="0" w:space="0" w:color="auto"/>
        <w:bottom w:val="none" w:sz="0" w:space="0" w:color="auto"/>
        <w:right w:val="none" w:sz="0" w:space="0" w:color="auto"/>
      </w:divBdr>
    </w:div>
    <w:div w:id="1785659682">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76964580">
      <w:bodyDiv w:val="1"/>
      <w:marLeft w:val="0"/>
      <w:marRight w:val="0"/>
      <w:marTop w:val="0"/>
      <w:marBottom w:val="0"/>
      <w:divBdr>
        <w:top w:val="none" w:sz="0" w:space="0" w:color="auto"/>
        <w:left w:val="none" w:sz="0" w:space="0" w:color="auto"/>
        <w:bottom w:val="none" w:sz="0" w:space="0" w:color="auto"/>
        <w:right w:val="none" w:sz="0" w:space="0" w:color="auto"/>
      </w:divBdr>
    </w:div>
    <w:div w:id="193234924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2025209706">
      <w:bodyDiv w:val="1"/>
      <w:marLeft w:val="0"/>
      <w:marRight w:val="0"/>
      <w:marTop w:val="0"/>
      <w:marBottom w:val="0"/>
      <w:divBdr>
        <w:top w:val="none" w:sz="0" w:space="0" w:color="auto"/>
        <w:left w:val="none" w:sz="0" w:space="0" w:color="auto"/>
        <w:bottom w:val="none" w:sz="0" w:space="0" w:color="auto"/>
        <w:right w:val="none" w:sz="0" w:space="0" w:color="auto"/>
      </w:divBdr>
    </w:div>
    <w:div w:id="2047676956">
      <w:bodyDiv w:val="1"/>
      <w:marLeft w:val="0"/>
      <w:marRight w:val="0"/>
      <w:marTop w:val="0"/>
      <w:marBottom w:val="0"/>
      <w:divBdr>
        <w:top w:val="none" w:sz="0" w:space="0" w:color="auto"/>
        <w:left w:val="none" w:sz="0" w:space="0" w:color="auto"/>
        <w:bottom w:val="none" w:sz="0" w:space="0" w:color="auto"/>
        <w:right w:val="none" w:sz="0" w:space="0" w:color="auto"/>
      </w:divBdr>
    </w:div>
    <w:div w:id="20743471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Lam07</b:Tag>
    <b:SourceType>Book</b:SourceType>
    <b:Guid>{E65AA7CE-3004-4B96-8AA0-9C1E054138A7}</b:Guid>
    <b:Author>
      <b:Author>
        <b:NameList>
          <b:Person>
            <b:Last>Lammle</b:Last>
            <b:First>Todd</b:First>
          </b:Person>
        </b:NameList>
      </b:Author>
    </b:Author>
    <b:Title>Cisco Certified Network Associate</b:Title>
    <b:Year>2007</b:Year>
    <b:Publisher>Wiley Publishing</b:Publisher>
    <b:RefOrder>1</b:RefOrder>
  </b:Source>
  <b:Source>
    <b:Tag>Ric13</b:Tag>
    <b:SourceType>Book</b:SourceType>
    <b:Guid>{28E221F0-F420-4C73-86E0-E8B5A2D25506}</b:Guid>
    <b:Author>
      <b:Author>
        <b:NameList>
          <b:Person>
            <b:Last>Graziani</b:Last>
            <b:First>Rick</b:First>
          </b:Person>
        </b:NameList>
      </b:Author>
    </b:Author>
    <b:Title>IPv6 Fundamentals</b:Title>
    <b:Year>2013</b:Year>
    <b:City>Indianapolis</b:City>
    <b:Publisher>Cisco Press</b:Publisher>
    <b:RefOrder>2</b:RefOrder>
  </b:Source>
  <b:Source>
    <b:Tag>Rou12</b:Tag>
    <b:SourceType>InternetSite</b:SourceType>
    <b:Guid>{693D33C2-FA5F-498F-8273-69AF51FE7FA1}</b:Guid>
    <b:Title>Router Switch</b:Title>
    <b:Year>2012</b:Year>
    <b:ProductionCompany>Router Switch</b:ProductionCompany>
    <b:Month>January </b:Month>
    <b:Day>12</b:Day>
    <b:YearAccessed>2019</b:YearAccessed>
    <b:MonthAccessed>December</b:MonthAccessed>
    <b:DayAccessed>11</b:DayAccessed>
    <b:URL>https://blog.router-switch.com/2012/01/main-feature-of-ipv6/</b:URL>
    <b:RefOrder>3</b:RefOrder>
  </b:Source>
  <b:Source>
    <b:Tag>Poi19</b:Tag>
    <b:SourceType>InternetSite</b:SourceType>
    <b:Guid>{00504D76-00D7-4A99-BB77-EC5AD4270DD1}</b:Guid>
    <b:Author>
      <b:Author>
        <b:NameList>
          <b:Person>
            <b:Last>Point</b:Last>
            <b:First>Tutroials</b:First>
          </b:Person>
        </b:NameList>
      </b:Author>
    </b:Author>
    <b:Title>Tutorials Point</b:Title>
    <b:ProductionCompany>Tutorials Point Simply Learning</b:ProductionCompany>
    <b:YearAccessed>2019</b:YearAccessed>
    <b:MonthAccessed>December</b:MonthAccessed>
    <b:DayAccessed>11</b:DayAccessed>
    <b:URL>https://www.tutorialspoint.com/ipv6/index.htm</b:URL>
    <b:Comments>No direct Authors or date on this source although the website was originally created in 2006</b:Comments>
    <b:RefOrder>4</b:RefOrder>
  </b:Source>
</b:Sources>
</file>

<file path=customXml/itemProps1.xml><?xml version="1.0" encoding="utf-8"?>
<ds:datastoreItem xmlns:ds="http://schemas.openxmlformats.org/officeDocument/2006/customXml" ds:itemID="{94452134-1481-45FB-BA6B-EA4970FF0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144</TotalTime>
  <Pages>4</Pages>
  <Words>1165</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7427</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Harry Roberts (1802886)</cp:lastModifiedBy>
  <cp:revision>7</cp:revision>
  <cp:lastPrinted>2014-11-07T14:47:00Z</cp:lastPrinted>
  <dcterms:created xsi:type="dcterms:W3CDTF">2019-12-11T13:20:00Z</dcterms:created>
  <dcterms:modified xsi:type="dcterms:W3CDTF">2019-12-11T15:55:00Z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