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25DC4B" w14:textId="59ED4F3B" w:rsidR="00A929BF"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 xml:space="preserve">STUDEND NAME: IONELA SORINA OCNEANU </w:t>
      </w:r>
    </w:p>
    <w:p w14:paraId="3127B9F4" w14:textId="4FA5E670"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 xml:space="preserve">STUDENT ID: 2234046 </w:t>
      </w:r>
    </w:p>
    <w:p w14:paraId="71D2A0E7" w14:textId="14398878"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MODULE CODE: LCBB5010</w:t>
      </w:r>
    </w:p>
    <w:p w14:paraId="0C263B38" w14:textId="6AADDA0C"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 xml:space="preserve">LECTURE NAME: PATRICK YEBOAH </w:t>
      </w:r>
    </w:p>
    <w:p w14:paraId="3C22D9DB" w14:textId="3A35BBF7"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 xml:space="preserve">COMPANY NHS ENGLAND </w:t>
      </w:r>
    </w:p>
    <w:p w14:paraId="22E57323" w14:textId="3027C77B" w:rsidR="00241380" w:rsidRPr="00241380" w:rsidRDefault="00241380" w:rsidP="00241380">
      <w:pPr>
        <w:spacing w:line="360" w:lineRule="auto"/>
        <w:jc w:val="both"/>
        <w:rPr>
          <w:rFonts w:ascii="Times New Roman" w:hAnsi="Times New Roman" w:cs="Times New Roman"/>
        </w:rPr>
      </w:pPr>
      <w:r w:rsidRPr="00241380">
        <w:rPr>
          <w:rFonts w:ascii="Times New Roman" w:hAnsi="Times New Roman" w:cs="Times New Roman"/>
        </w:rPr>
        <w:t>2000 WORDS COUNT</w:t>
      </w:r>
    </w:p>
    <w:p w14:paraId="44309289" w14:textId="77777777" w:rsidR="0095454B" w:rsidRPr="00241380" w:rsidRDefault="0095454B" w:rsidP="00241380">
      <w:pPr>
        <w:spacing w:line="360" w:lineRule="auto"/>
        <w:jc w:val="both"/>
        <w:rPr>
          <w:rFonts w:ascii="Times New Roman" w:hAnsi="Times New Roman" w:cs="Times New Roman"/>
        </w:rPr>
      </w:pPr>
    </w:p>
    <w:p w14:paraId="3D1E8249" w14:textId="77777777" w:rsidR="0095454B" w:rsidRPr="00241380" w:rsidRDefault="0095454B" w:rsidP="00241380">
      <w:pPr>
        <w:spacing w:line="360" w:lineRule="auto"/>
        <w:jc w:val="both"/>
        <w:rPr>
          <w:rFonts w:ascii="Times New Roman" w:hAnsi="Times New Roman" w:cs="Times New Roman"/>
        </w:rPr>
      </w:pPr>
    </w:p>
    <w:p w14:paraId="7C022B15" w14:textId="77777777" w:rsidR="0095454B" w:rsidRPr="00241380" w:rsidRDefault="0095454B" w:rsidP="00241380">
      <w:pPr>
        <w:spacing w:line="360" w:lineRule="auto"/>
        <w:jc w:val="both"/>
        <w:rPr>
          <w:rFonts w:ascii="Times New Roman" w:hAnsi="Times New Roman" w:cs="Times New Roman"/>
        </w:rPr>
      </w:pPr>
    </w:p>
    <w:p w14:paraId="6003E7AE" w14:textId="77777777" w:rsidR="0095454B" w:rsidRPr="00241380" w:rsidRDefault="0095454B" w:rsidP="00241380">
      <w:pPr>
        <w:spacing w:line="360" w:lineRule="auto"/>
        <w:jc w:val="both"/>
        <w:rPr>
          <w:rFonts w:ascii="Times New Roman" w:hAnsi="Times New Roman" w:cs="Times New Roman"/>
        </w:rPr>
      </w:pPr>
    </w:p>
    <w:p w14:paraId="61858825" w14:textId="77777777" w:rsidR="0095454B" w:rsidRPr="00241380" w:rsidRDefault="0095454B" w:rsidP="00241380">
      <w:pPr>
        <w:spacing w:line="360" w:lineRule="auto"/>
        <w:jc w:val="both"/>
        <w:rPr>
          <w:rFonts w:ascii="Times New Roman" w:hAnsi="Times New Roman" w:cs="Times New Roman"/>
        </w:rPr>
      </w:pPr>
    </w:p>
    <w:p w14:paraId="4E682DC5" w14:textId="77777777" w:rsidR="0095454B" w:rsidRPr="00241380" w:rsidRDefault="0095454B" w:rsidP="00241380">
      <w:pPr>
        <w:spacing w:line="360" w:lineRule="auto"/>
        <w:jc w:val="both"/>
        <w:rPr>
          <w:rFonts w:ascii="Times New Roman" w:hAnsi="Times New Roman" w:cs="Times New Roman"/>
        </w:rPr>
      </w:pPr>
    </w:p>
    <w:p w14:paraId="52C41B3E" w14:textId="77777777" w:rsidR="0095454B" w:rsidRPr="00241380" w:rsidRDefault="0095454B" w:rsidP="00241380">
      <w:pPr>
        <w:spacing w:line="360" w:lineRule="auto"/>
        <w:jc w:val="both"/>
        <w:rPr>
          <w:rFonts w:ascii="Times New Roman" w:hAnsi="Times New Roman" w:cs="Times New Roman"/>
        </w:rPr>
      </w:pPr>
    </w:p>
    <w:p w14:paraId="23E1CE68" w14:textId="77777777" w:rsidR="0095454B" w:rsidRPr="00241380" w:rsidRDefault="0095454B" w:rsidP="00241380">
      <w:pPr>
        <w:spacing w:line="360" w:lineRule="auto"/>
        <w:jc w:val="both"/>
        <w:rPr>
          <w:rFonts w:ascii="Times New Roman" w:hAnsi="Times New Roman" w:cs="Times New Roman"/>
        </w:rPr>
      </w:pPr>
    </w:p>
    <w:p w14:paraId="3FEC3B17" w14:textId="77777777" w:rsidR="0095454B" w:rsidRPr="00241380" w:rsidRDefault="0095454B" w:rsidP="00241380">
      <w:pPr>
        <w:spacing w:line="360" w:lineRule="auto"/>
        <w:jc w:val="both"/>
        <w:rPr>
          <w:rFonts w:ascii="Times New Roman" w:hAnsi="Times New Roman" w:cs="Times New Roman"/>
        </w:rPr>
      </w:pPr>
    </w:p>
    <w:p w14:paraId="777C8867" w14:textId="77777777" w:rsidR="0095454B" w:rsidRPr="00241380" w:rsidRDefault="0095454B" w:rsidP="00241380">
      <w:pPr>
        <w:spacing w:line="360" w:lineRule="auto"/>
        <w:jc w:val="both"/>
        <w:rPr>
          <w:rFonts w:ascii="Times New Roman" w:hAnsi="Times New Roman" w:cs="Times New Roman"/>
        </w:rPr>
      </w:pPr>
    </w:p>
    <w:p w14:paraId="65C5C4A5" w14:textId="77777777" w:rsidR="0095454B" w:rsidRPr="00241380" w:rsidRDefault="0095454B" w:rsidP="00241380">
      <w:pPr>
        <w:spacing w:line="360" w:lineRule="auto"/>
        <w:jc w:val="both"/>
        <w:rPr>
          <w:rFonts w:ascii="Times New Roman" w:hAnsi="Times New Roman" w:cs="Times New Roman"/>
        </w:rPr>
      </w:pPr>
    </w:p>
    <w:p w14:paraId="351EECFB" w14:textId="77777777" w:rsidR="0095454B" w:rsidRPr="00241380" w:rsidRDefault="0095454B" w:rsidP="00241380">
      <w:pPr>
        <w:spacing w:line="360" w:lineRule="auto"/>
        <w:jc w:val="both"/>
        <w:rPr>
          <w:rFonts w:ascii="Times New Roman" w:hAnsi="Times New Roman" w:cs="Times New Roman"/>
        </w:rPr>
      </w:pPr>
    </w:p>
    <w:p w14:paraId="148DE184" w14:textId="77777777" w:rsidR="0095454B" w:rsidRPr="00241380" w:rsidRDefault="0095454B" w:rsidP="00241380">
      <w:pPr>
        <w:spacing w:line="360" w:lineRule="auto"/>
        <w:jc w:val="both"/>
        <w:rPr>
          <w:rFonts w:ascii="Times New Roman" w:hAnsi="Times New Roman" w:cs="Times New Roman"/>
        </w:rPr>
      </w:pPr>
    </w:p>
    <w:p w14:paraId="086CB41F" w14:textId="77777777" w:rsidR="0095454B" w:rsidRPr="00241380" w:rsidRDefault="0095454B" w:rsidP="00241380">
      <w:pPr>
        <w:spacing w:line="360" w:lineRule="auto"/>
        <w:jc w:val="both"/>
        <w:rPr>
          <w:rFonts w:ascii="Times New Roman" w:hAnsi="Times New Roman" w:cs="Times New Roman"/>
        </w:rPr>
      </w:pPr>
    </w:p>
    <w:p w14:paraId="2DE02F0A" w14:textId="77777777" w:rsidR="0095454B" w:rsidRPr="00241380" w:rsidRDefault="0095454B" w:rsidP="00241380">
      <w:pPr>
        <w:spacing w:line="360" w:lineRule="auto"/>
        <w:jc w:val="both"/>
        <w:rPr>
          <w:rFonts w:ascii="Times New Roman" w:hAnsi="Times New Roman" w:cs="Times New Roman"/>
        </w:rPr>
      </w:pPr>
    </w:p>
    <w:p w14:paraId="28C4B552" w14:textId="77777777" w:rsidR="0095454B" w:rsidRPr="00241380" w:rsidRDefault="0095454B" w:rsidP="00241380">
      <w:pPr>
        <w:spacing w:line="360" w:lineRule="auto"/>
        <w:jc w:val="both"/>
        <w:rPr>
          <w:rFonts w:ascii="Times New Roman" w:hAnsi="Times New Roman" w:cs="Times New Roman"/>
        </w:rPr>
      </w:pPr>
    </w:p>
    <w:p w14:paraId="73E8190A" w14:textId="77777777" w:rsidR="0095454B" w:rsidRPr="00241380" w:rsidRDefault="0095454B" w:rsidP="00241380">
      <w:pPr>
        <w:spacing w:line="360" w:lineRule="auto"/>
        <w:jc w:val="both"/>
        <w:rPr>
          <w:rFonts w:ascii="Times New Roman" w:hAnsi="Times New Roman" w:cs="Times New Roman"/>
        </w:rPr>
      </w:pPr>
    </w:p>
    <w:p w14:paraId="1718BD38" w14:textId="77777777" w:rsidR="0095454B" w:rsidRPr="00241380" w:rsidRDefault="0095454B" w:rsidP="00241380">
      <w:pPr>
        <w:spacing w:line="360" w:lineRule="auto"/>
        <w:jc w:val="both"/>
        <w:rPr>
          <w:rFonts w:ascii="Times New Roman" w:hAnsi="Times New Roman" w:cs="Times New Roman"/>
        </w:rPr>
      </w:pPr>
    </w:p>
    <w:sdt>
      <w:sdtPr>
        <w:id w:val="-1428423065"/>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44DB667" w14:textId="0DF10747" w:rsidR="00241380" w:rsidRDefault="00241380">
          <w:pPr>
            <w:pStyle w:val="TOCHeading"/>
          </w:pPr>
          <w:r>
            <w:t>Table of Contents</w:t>
          </w:r>
        </w:p>
        <w:p w14:paraId="0484AAD6" w14:textId="2C0A9F57" w:rsidR="00241380" w:rsidRDefault="00241380">
          <w:pPr>
            <w:pStyle w:val="TOC1"/>
            <w:tabs>
              <w:tab w:val="right" w:leader="dot" w:pos="9016"/>
            </w:tabs>
            <w:rPr>
              <w:noProof/>
            </w:rPr>
          </w:pPr>
          <w:r>
            <w:fldChar w:fldCharType="begin"/>
          </w:r>
          <w:r>
            <w:instrText xml:space="preserve"> TOC \o "1-3" \h \z \u </w:instrText>
          </w:r>
          <w:r>
            <w:fldChar w:fldCharType="separate"/>
          </w:r>
          <w:hyperlink w:anchor="_Toc211174639" w:history="1">
            <w:r w:rsidRPr="00B45A78">
              <w:rPr>
                <w:rStyle w:val="Hyperlink"/>
                <w:noProof/>
              </w:rPr>
              <w:t>INTRODUCTION</w:t>
            </w:r>
            <w:r>
              <w:rPr>
                <w:noProof/>
                <w:webHidden/>
              </w:rPr>
              <w:tab/>
            </w:r>
            <w:r>
              <w:rPr>
                <w:noProof/>
                <w:webHidden/>
              </w:rPr>
              <w:fldChar w:fldCharType="begin"/>
            </w:r>
            <w:r>
              <w:rPr>
                <w:noProof/>
                <w:webHidden/>
              </w:rPr>
              <w:instrText xml:space="preserve"> PAGEREF _Toc211174639 \h </w:instrText>
            </w:r>
            <w:r>
              <w:rPr>
                <w:noProof/>
                <w:webHidden/>
              </w:rPr>
            </w:r>
            <w:r>
              <w:rPr>
                <w:noProof/>
                <w:webHidden/>
              </w:rPr>
              <w:fldChar w:fldCharType="separate"/>
            </w:r>
            <w:r>
              <w:rPr>
                <w:noProof/>
                <w:webHidden/>
              </w:rPr>
              <w:t>3</w:t>
            </w:r>
            <w:r>
              <w:rPr>
                <w:noProof/>
                <w:webHidden/>
              </w:rPr>
              <w:fldChar w:fldCharType="end"/>
            </w:r>
          </w:hyperlink>
        </w:p>
        <w:p w14:paraId="709A777B" w14:textId="54F1B79D" w:rsidR="00241380" w:rsidRDefault="00241380">
          <w:pPr>
            <w:pStyle w:val="TOC1"/>
            <w:tabs>
              <w:tab w:val="right" w:leader="dot" w:pos="9016"/>
            </w:tabs>
            <w:rPr>
              <w:noProof/>
            </w:rPr>
          </w:pPr>
          <w:hyperlink w:anchor="_Toc211174640" w:history="1">
            <w:r w:rsidRPr="00B45A78">
              <w:rPr>
                <w:rStyle w:val="Hyperlink"/>
                <w:noProof/>
              </w:rPr>
              <w:t>COST ANALYSIS AND BUSINESS MODEL</w:t>
            </w:r>
            <w:r>
              <w:rPr>
                <w:noProof/>
                <w:webHidden/>
              </w:rPr>
              <w:tab/>
            </w:r>
            <w:r>
              <w:rPr>
                <w:noProof/>
                <w:webHidden/>
              </w:rPr>
              <w:fldChar w:fldCharType="begin"/>
            </w:r>
            <w:r>
              <w:rPr>
                <w:noProof/>
                <w:webHidden/>
              </w:rPr>
              <w:instrText xml:space="preserve"> PAGEREF _Toc211174640 \h </w:instrText>
            </w:r>
            <w:r>
              <w:rPr>
                <w:noProof/>
                <w:webHidden/>
              </w:rPr>
            </w:r>
            <w:r>
              <w:rPr>
                <w:noProof/>
                <w:webHidden/>
              </w:rPr>
              <w:fldChar w:fldCharType="separate"/>
            </w:r>
            <w:r>
              <w:rPr>
                <w:noProof/>
                <w:webHidden/>
              </w:rPr>
              <w:t>4</w:t>
            </w:r>
            <w:r>
              <w:rPr>
                <w:noProof/>
                <w:webHidden/>
              </w:rPr>
              <w:fldChar w:fldCharType="end"/>
            </w:r>
          </w:hyperlink>
        </w:p>
        <w:p w14:paraId="70E69C2C" w14:textId="1062E5B1" w:rsidR="00241380" w:rsidRDefault="00241380">
          <w:pPr>
            <w:pStyle w:val="TOC1"/>
            <w:tabs>
              <w:tab w:val="right" w:leader="dot" w:pos="9016"/>
            </w:tabs>
            <w:rPr>
              <w:noProof/>
            </w:rPr>
          </w:pPr>
          <w:hyperlink w:anchor="_Toc211174641" w:history="1">
            <w:r w:rsidRPr="00B45A78">
              <w:rPr>
                <w:rStyle w:val="Hyperlink"/>
                <w:noProof/>
              </w:rPr>
              <w:t>BUDGETTING AND FINANCIAL PLANING</w:t>
            </w:r>
            <w:r>
              <w:rPr>
                <w:noProof/>
                <w:webHidden/>
              </w:rPr>
              <w:tab/>
            </w:r>
            <w:r>
              <w:rPr>
                <w:noProof/>
                <w:webHidden/>
              </w:rPr>
              <w:fldChar w:fldCharType="begin"/>
            </w:r>
            <w:r>
              <w:rPr>
                <w:noProof/>
                <w:webHidden/>
              </w:rPr>
              <w:instrText xml:space="preserve"> PAGEREF _Toc211174641 \h </w:instrText>
            </w:r>
            <w:r>
              <w:rPr>
                <w:noProof/>
                <w:webHidden/>
              </w:rPr>
            </w:r>
            <w:r>
              <w:rPr>
                <w:noProof/>
                <w:webHidden/>
              </w:rPr>
              <w:fldChar w:fldCharType="separate"/>
            </w:r>
            <w:r>
              <w:rPr>
                <w:noProof/>
                <w:webHidden/>
              </w:rPr>
              <w:t>7</w:t>
            </w:r>
            <w:r>
              <w:rPr>
                <w:noProof/>
                <w:webHidden/>
              </w:rPr>
              <w:fldChar w:fldCharType="end"/>
            </w:r>
          </w:hyperlink>
        </w:p>
        <w:p w14:paraId="5A0232CD" w14:textId="0768FC87" w:rsidR="00241380" w:rsidRDefault="00241380">
          <w:pPr>
            <w:pStyle w:val="TOC1"/>
            <w:tabs>
              <w:tab w:val="right" w:leader="dot" w:pos="9016"/>
            </w:tabs>
            <w:rPr>
              <w:noProof/>
            </w:rPr>
          </w:pPr>
          <w:hyperlink w:anchor="_Toc211174642" w:history="1">
            <w:r w:rsidRPr="00B45A78">
              <w:rPr>
                <w:rStyle w:val="Hyperlink"/>
                <w:noProof/>
              </w:rPr>
              <w:t>Performance Measurement and Decision-Making</w:t>
            </w:r>
            <w:r>
              <w:rPr>
                <w:noProof/>
                <w:webHidden/>
              </w:rPr>
              <w:tab/>
            </w:r>
            <w:r>
              <w:rPr>
                <w:noProof/>
                <w:webHidden/>
              </w:rPr>
              <w:fldChar w:fldCharType="begin"/>
            </w:r>
            <w:r>
              <w:rPr>
                <w:noProof/>
                <w:webHidden/>
              </w:rPr>
              <w:instrText xml:space="preserve"> PAGEREF _Toc211174642 \h </w:instrText>
            </w:r>
            <w:r>
              <w:rPr>
                <w:noProof/>
                <w:webHidden/>
              </w:rPr>
            </w:r>
            <w:r>
              <w:rPr>
                <w:noProof/>
                <w:webHidden/>
              </w:rPr>
              <w:fldChar w:fldCharType="separate"/>
            </w:r>
            <w:r>
              <w:rPr>
                <w:noProof/>
                <w:webHidden/>
              </w:rPr>
              <w:t>9</w:t>
            </w:r>
            <w:r>
              <w:rPr>
                <w:noProof/>
                <w:webHidden/>
              </w:rPr>
              <w:fldChar w:fldCharType="end"/>
            </w:r>
          </w:hyperlink>
        </w:p>
        <w:p w14:paraId="2163D531" w14:textId="31BCA84A" w:rsidR="00241380" w:rsidRDefault="00241380">
          <w:pPr>
            <w:pStyle w:val="TOC1"/>
            <w:tabs>
              <w:tab w:val="right" w:leader="dot" w:pos="9016"/>
            </w:tabs>
            <w:rPr>
              <w:noProof/>
            </w:rPr>
          </w:pPr>
          <w:hyperlink w:anchor="_Toc211174643" w:history="1">
            <w:r w:rsidRPr="00B45A78">
              <w:rPr>
                <w:rStyle w:val="Hyperlink"/>
                <w:noProof/>
              </w:rPr>
              <w:t>Sustainability and Ethical Considerations</w:t>
            </w:r>
            <w:r>
              <w:rPr>
                <w:noProof/>
                <w:webHidden/>
              </w:rPr>
              <w:tab/>
            </w:r>
            <w:r>
              <w:rPr>
                <w:noProof/>
                <w:webHidden/>
              </w:rPr>
              <w:fldChar w:fldCharType="begin"/>
            </w:r>
            <w:r>
              <w:rPr>
                <w:noProof/>
                <w:webHidden/>
              </w:rPr>
              <w:instrText xml:space="preserve"> PAGEREF _Toc211174643 \h </w:instrText>
            </w:r>
            <w:r>
              <w:rPr>
                <w:noProof/>
                <w:webHidden/>
              </w:rPr>
            </w:r>
            <w:r>
              <w:rPr>
                <w:noProof/>
                <w:webHidden/>
              </w:rPr>
              <w:fldChar w:fldCharType="separate"/>
            </w:r>
            <w:r>
              <w:rPr>
                <w:noProof/>
                <w:webHidden/>
              </w:rPr>
              <w:t>10</w:t>
            </w:r>
            <w:r>
              <w:rPr>
                <w:noProof/>
                <w:webHidden/>
              </w:rPr>
              <w:fldChar w:fldCharType="end"/>
            </w:r>
          </w:hyperlink>
        </w:p>
        <w:p w14:paraId="0DF66FCD" w14:textId="2D3E0768" w:rsidR="00241380" w:rsidRDefault="00241380">
          <w:pPr>
            <w:pStyle w:val="TOC1"/>
            <w:tabs>
              <w:tab w:val="right" w:leader="dot" w:pos="9016"/>
            </w:tabs>
            <w:rPr>
              <w:noProof/>
            </w:rPr>
          </w:pPr>
          <w:hyperlink w:anchor="_Toc211174644" w:history="1">
            <w:r w:rsidRPr="00B45A78">
              <w:rPr>
                <w:rStyle w:val="Hyperlink"/>
                <w:noProof/>
              </w:rPr>
              <w:t>Conclusion and Recommendations</w:t>
            </w:r>
            <w:r>
              <w:rPr>
                <w:noProof/>
                <w:webHidden/>
              </w:rPr>
              <w:tab/>
            </w:r>
            <w:r>
              <w:rPr>
                <w:noProof/>
                <w:webHidden/>
              </w:rPr>
              <w:fldChar w:fldCharType="begin"/>
            </w:r>
            <w:r>
              <w:rPr>
                <w:noProof/>
                <w:webHidden/>
              </w:rPr>
              <w:instrText xml:space="preserve"> PAGEREF _Toc211174644 \h </w:instrText>
            </w:r>
            <w:r>
              <w:rPr>
                <w:noProof/>
                <w:webHidden/>
              </w:rPr>
            </w:r>
            <w:r>
              <w:rPr>
                <w:noProof/>
                <w:webHidden/>
              </w:rPr>
              <w:fldChar w:fldCharType="separate"/>
            </w:r>
            <w:r>
              <w:rPr>
                <w:noProof/>
                <w:webHidden/>
              </w:rPr>
              <w:t>12</w:t>
            </w:r>
            <w:r>
              <w:rPr>
                <w:noProof/>
                <w:webHidden/>
              </w:rPr>
              <w:fldChar w:fldCharType="end"/>
            </w:r>
          </w:hyperlink>
        </w:p>
        <w:p w14:paraId="422BCB63" w14:textId="355EA81E" w:rsidR="00241380" w:rsidRDefault="00241380">
          <w:pPr>
            <w:pStyle w:val="TOC1"/>
            <w:tabs>
              <w:tab w:val="right" w:leader="dot" w:pos="9016"/>
            </w:tabs>
            <w:rPr>
              <w:noProof/>
            </w:rPr>
          </w:pPr>
          <w:hyperlink w:anchor="_Toc211174645" w:history="1">
            <w:r w:rsidRPr="00B45A78">
              <w:rPr>
                <w:rStyle w:val="Hyperlink"/>
                <w:noProof/>
              </w:rPr>
              <w:t>Recommendations</w:t>
            </w:r>
            <w:r>
              <w:rPr>
                <w:noProof/>
                <w:webHidden/>
              </w:rPr>
              <w:tab/>
            </w:r>
            <w:r>
              <w:rPr>
                <w:noProof/>
                <w:webHidden/>
              </w:rPr>
              <w:fldChar w:fldCharType="begin"/>
            </w:r>
            <w:r>
              <w:rPr>
                <w:noProof/>
                <w:webHidden/>
              </w:rPr>
              <w:instrText xml:space="preserve"> PAGEREF _Toc211174645 \h </w:instrText>
            </w:r>
            <w:r>
              <w:rPr>
                <w:noProof/>
                <w:webHidden/>
              </w:rPr>
            </w:r>
            <w:r>
              <w:rPr>
                <w:noProof/>
                <w:webHidden/>
              </w:rPr>
              <w:fldChar w:fldCharType="separate"/>
            </w:r>
            <w:r>
              <w:rPr>
                <w:noProof/>
                <w:webHidden/>
              </w:rPr>
              <w:t>12</w:t>
            </w:r>
            <w:r>
              <w:rPr>
                <w:noProof/>
                <w:webHidden/>
              </w:rPr>
              <w:fldChar w:fldCharType="end"/>
            </w:r>
          </w:hyperlink>
        </w:p>
        <w:p w14:paraId="25266C7C" w14:textId="23FCEE8D" w:rsidR="00241380" w:rsidRDefault="00241380">
          <w:pPr>
            <w:pStyle w:val="TOC1"/>
            <w:tabs>
              <w:tab w:val="right" w:leader="dot" w:pos="9016"/>
            </w:tabs>
            <w:rPr>
              <w:noProof/>
            </w:rPr>
          </w:pPr>
          <w:hyperlink w:anchor="_Toc211174646" w:history="1">
            <w:r w:rsidRPr="00B45A78">
              <w:rPr>
                <w:rStyle w:val="Hyperlink"/>
                <w:noProof/>
              </w:rPr>
              <w:t>References:</w:t>
            </w:r>
            <w:r>
              <w:rPr>
                <w:noProof/>
                <w:webHidden/>
              </w:rPr>
              <w:tab/>
            </w:r>
            <w:r>
              <w:rPr>
                <w:noProof/>
                <w:webHidden/>
              </w:rPr>
              <w:fldChar w:fldCharType="begin"/>
            </w:r>
            <w:r>
              <w:rPr>
                <w:noProof/>
                <w:webHidden/>
              </w:rPr>
              <w:instrText xml:space="preserve"> PAGEREF _Toc211174646 \h </w:instrText>
            </w:r>
            <w:r>
              <w:rPr>
                <w:noProof/>
                <w:webHidden/>
              </w:rPr>
            </w:r>
            <w:r>
              <w:rPr>
                <w:noProof/>
                <w:webHidden/>
              </w:rPr>
              <w:fldChar w:fldCharType="separate"/>
            </w:r>
            <w:r>
              <w:rPr>
                <w:noProof/>
                <w:webHidden/>
              </w:rPr>
              <w:t>13</w:t>
            </w:r>
            <w:r>
              <w:rPr>
                <w:noProof/>
                <w:webHidden/>
              </w:rPr>
              <w:fldChar w:fldCharType="end"/>
            </w:r>
          </w:hyperlink>
        </w:p>
        <w:p w14:paraId="245B4F48" w14:textId="39585CE8" w:rsidR="00241380" w:rsidRDefault="00241380">
          <w:r>
            <w:rPr>
              <w:b/>
              <w:bCs/>
            </w:rPr>
            <w:fldChar w:fldCharType="end"/>
          </w:r>
        </w:p>
      </w:sdtContent>
    </w:sdt>
    <w:p w14:paraId="7D741B9A" w14:textId="77777777" w:rsidR="0095454B" w:rsidRPr="00241380" w:rsidRDefault="0095454B" w:rsidP="00241380">
      <w:pPr>
        <w:spacing w:line="360" w:lineRule="auto"/>
        <w:jc w:val="both"/>
        <w:rPr>
          <w:rFonts w:ascii="Times New Roman" w:hAnsi="Times New Roman" w:cs="Times New Roman"/>
        </w:rPr>
      </w:pPr>
    </w:p>
    <w:p w14:paraId="2F9CD636" w14:textId="77777777" w:rsidR="0095454B" w:rsidRPr="00241380" w:rsidRDefault="0095454B" w:rsidP="00241380">
      <w:pPr>
        <w:spacing w:line="360" w:lineRule="auto"/>
        <w:jc w:val="both"/>
        <w:rPr>
          <w:rFonts w:ascii="Times New Roman" w:hAnsi="Times New Roman" w:cs="Times New Roman"/>
        </w:rPr>
      </w:pPr>
    </w:p>
    <w:p w14:paraId="606EB208" w14:textId="77777777" w:rsidR="0095454B" w:rsidRPr="00241380" w:rsidRDefault="0095454B" w:rsidP="00241380">
      <w:pPr>
        <w:spacing w:line="360" w:lineRule="auto"/>
        <w:jc w:val="both"/>
        <w:rPr>
          <w:rFonts w:ascii="Times New Roman" w:hAnsi="Times New Roman" w:cs="Times New Roman"/>
        </w:rPr>
      </w:pPr>
    </w:p>
    <w:p w14:paraId="46D7C719" w14:textId="77777777" w:rsidR="0095454B" w:rsidRPr="00241380" w:rsidRDefault="0095454B" w:rsidP="00241380">
      <w:pPr>
        <w:spacing w:line="360" w:lineRule="auto"/>
        <w:jc w:val="both"/>
        <w:rPr>
          <w:rFonts w:ascii="Times New Roman" w:hAnsi="Times New Roman" w:cs="Times New Roman"/>
        </w:rPr>
      </w:pPr>
    </w:p>
    <w:p w14:paraId="4BEFD3FC" w14:textId="77777777" w:rsidR="0095454B" w:rsidRPr="00241380" w:rsidRDefault="0095454B" w:rsidP="00241380">
      <w:pPr>
        <w:spacing w:line="360" w:lineRule="auto"/>
        <w:jc w:val="both"/>
        <w:rPr>
          <w:rFonts w:ascii="Times New Roman" w:hAnsi="Times New Roman" w:cs="Times New Roman"/>
        </w:rPr>
      </w:pPr>
    </w:p>
    <w:p w14:paraId="1C6A29EC" w14:textId="77777777" w:rsidR="0095454B" w:rsidRPr="00241380" w:rsidRDefault="0095454B" w:rsidP="00241380">
      <w:pPr>
        <w:spacing w:line="360" w:lineRule="auto"/>
        <w:jc w:val="both"/>
        <w:rPr>
          <w:rFonts w:ascii="Times New Roman" w:hAnsi="Times New Roman" w:cs="Times New Roman"/>
        </w:rPr>
      </w:pPr>
    </w:p>
    <w:p w14:paraId="12B820F0" w14:textId="77777777" w:rsidR="0095454B" w:rsidRDefault="0095454B" w:rsidP="00241380">
      <w:pPr>
        <w:pStyle w:val="Heading1"/>
      </w:pPr>
    </w:p>
    <w:p w14:paraId="531A0B38" w14:textId="77777777" w:rsidR="00241380" w:rsidRDefault="00241380" w:rsidP="00241380"/>
    <w:p w14:paraId="46B96F72" w14:textId="77777777" w:rsidR="00241380" w:rsidRDefault="00241380" w:rsidP="00241380"/>
    <w:p w14:paraId="1F6934F9" w14:textId="77777777" w:rsidR="00241380" w:rsidRPr="00241380" w:rsidRDefault="00241380" w:rsidP="00241380"/>
    <w:p w14:paraId="364FB84B" w14:textId="3CB7F83F" w:rsidR="0095454B" w:rsidRPr="00241380" w:rsidRDefault="0095454B" w:rsidP="00241380">
      <w:pPr>
        <w:pStyle w:val="Heading1"/>
      </w:pPr>
      <w:bookmarkStart w:id="0" w:name="_Toc211174639"/>
      <w:r w:rsidRPr="00241380">
        <w:lastRenderedPageBreak/>
        <w:t>INTRODUCTION</w:t>
      </w:r>
      <w:bookmarkEnd w:id="0"/>
    </w:p>
    <w:p w14:paraId="484005CF" w14:textId="1EAFF61C" w:rsidR="0095454B" w:rsidRPr="00241380" w:rsidRDefault="004E0943" w:rsidP="00241380">
      <w:pPr>
        <w:spacing w:line="360" w:lineRule="auto"/>
        <w:jc w:val="both"/>
        <w:rPr>
          <w:rFonts w:ascii="Times New Roman" w:hAnsi="Times New Roman" w:cs="Times New Roman"/>
        </w:rPr>
      </w:pPr>
      <w:r w:rsidRPr="00241380">
        <w:rPr>
          <w:rFonts w:ascii="Times New Roman" w:hAnsi="Times New Roman" w:cs="Times New Roman"/>
          <w:noProof/>
        </w:rPr>
        <w:drawing>
          <wp:inline distT="0" distB="0" distL="0" distR="0" wp14:anchorId="4DB3A646" wp14:editId="1DED2CFE">
            <wp:extent cx="3573780" cy="2260866"/>
            <wp:effectExtent l="0" t="0" r="7620" b="6350"/>
            <wp:docPr id="875285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81403" cy="2265689"/>
                    </a:xfrm>
                    <a:prstGeom prst="rect">
                      <a:avLst/>
                    </a:prstGeom>
                    <a:noFill/>
                    <a:ln>
                      <a:noFill/>
                    </a:ln>
                  </pic:spPr>
                </pic:pic>
              </a:graphicData>
            </a:graphic>
          </wp:inline>
        </w:drawing>
      </w:r>
    </w:p>
    <w:p w14:paraId="38CAA1C0" w14:textId="77777777" w:rsidR="0095454B" w:rsidRPr="00241380" w:rsidRDefault="0095454B" w:rsidP="00241380">
      <w:pPr>
        <w:spacing w:line="360" w:lineRule="auto"/>
        <w:jc w:val="both"/>
        <w:rPr>
          <w:rFonts w:ascii="Times New Roman" w:hAnsi="Times New Roman" w:cs="Times New Roman"/>
        </w:rPr>
      </w:pPr>
    </w:p>
    <w:p w14:paraId="27A9A59C" w14:textId="77777777"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The National Health Service (NHS) operates within the public healthcare industry in the United Kingdom, providing universal healthcare funded primarily through taxation. Established in 1948, the NHS is one of the largest publicly funded health systems in the world, employing over 1.3 million people across England, Scotland, Wales, and Northern Ireland (NHS England, 2023). It delivers a wide range of services including hospital care, general practice, dentistry, mental health, and community health services (The King’s Fund, 2022). As demand for healthcare rises and resources remain limited, efficient management and financial accountability have become increasingly vital (HM Treasury, 2023).</w:t>
      </w:r>
    </w:p>
    <w:p w14:paraId="32432225" w14:textId="77777777" w:rsidR="0095454B" w:rsidRPr="00241380" w:rsidRDefault="0095454B" w:rsidP="00241380">
      <w:pPr>
        <w:spacing w:line="360" w:lineRule="auto"/>
        <w:jc w:val="both"/>
        <w:rPr>
          <w:rFonts w:ascii="Times New Roman" w:hAnsi="Times New Roman" w:cs="Times New Roman"/>
        </w:rPr>
      </w:pPr>
    </w:p>
    <w:p w14:paraId="09702DE9" w14:textId="214A676B" w:rsidR="001718D1" w:rsidRPr="001718D1" w:rsidRDefault="001718D1" w:rsidP="00241380">
      <w:pPr>
        <w:spacing w:line="360" w:lineRule="auto"/>
        <w:jc w:val="both"/>
        <w:rPr>
          <w:rFonts w:ascii="Times New Roman" w:hAnsi="Times New Roman" w:cs="Times New Roman"/>
        </w:rPr>
      </w:pPr>
      <w:r w:rsidRPr="001718D1">
        <w:rPr>
          <w:rFonts w:ascii="Times New Roman" w:hAnsi="Times New Roman" w:cs="Times New Roman"/>
        </w:rPr>
        <w:t xml:space="preserve">Management accounting has a vital role to play in the facilitation of good decision making in contemporary organisations like the NHS. It gives useful financial and non-financial input for planning, budgeting, and control (Drury, 2022). Variance analysis, cost-benefit analysis, and </w:t>
      </w:r>
      <w:r w:rsidR="00241380" w:rsidRPr="00241380">
        <w:rPr>
          <w:rFonts w:ascii="Times New Roman" w:hAnsi="Times New Roman" w:cs="Times New Roman"/>
        </w:rPr>
        <w:t>activity-based</w:t>
      </w:r>
      <w:r w:rsidRPr="001718D1">
        <w:rPr>
          <w:rFonts w:ascii="Times New Roman" w:hAnsi="Times New Roman" w:cs="Times New Roman"/>
        </w:rPr>
        <w:t xml:space="preserve"> costing </w:t>
      </w:r>
      <w:r w:rsidRPr="00241380">
        <w:rPr>
          <w:rFonts w:ascii="Times New Roman" w:hAnsi="Times New Roman" w:cs="Times New Roman"/>
        </w:rPr>
        <w:t>is</w:t>
      </w:r>
      <w:r w:rsidRPr="001718D1">
        <w:rPr>
          <w:rFonts w:ascii="Times New Roman" w:hAnsi="Times New Roman" w:cs="Times New Roman"/>
        </w:rPr>
        <w:t xml:space="preserve"> some of the approaches that can be used by managers to evaluate efficiency, manage costs and provide strategic allocation of resources. By doing so, management accounting increases transparency, underpins long term sustainability and makes certain scarce public funds are being spent in the most effective way to deliver the best possible patient care (Chartered Institute of Management Accountants [CIMA], 2021).</w:t>
      </w:r>
    </w:p>
    <w:p w14:paraId="303143D0" w14:textId="4E2EC483" w:rsidR="0095454B" w:rsidRPr="00241380" w:rsidRDefault="0095454B" w:rsidP="00241380">
      <w:pPr>
        <w:spacing w:line="360" w:lineRule="auto"/>
        <w:jc w:val="both"/>
        <w:rPr>
          <w:rFonts w:ascii="Times New Roman" w:hAnsi="Times New Roman" w:cs="Times New Roman"/>
        </w:rPr>
      </w:pPr>
    </w:p>
    <w:p w14:paraId="77C755E3" w14:textId="77777777" w:rsidR="00817BB0" w:rsidRPr="00241380" w:rsidRDefault="00817BB0" w:rsidP="00241380">
      <w:pPr>
        <w:spacing w:line="360" w:lineRule="auto"/>
        <w:jc w:val="both"/>
        <w:rPr>
          <w:rFonts w:ascii="Times New Roman" w:hAnsi="Times New Roman" w:cs="Times New Roman"/>
        </w:rPr>
      </w:pPr>
    </w:p>
    <w:p w14:paraId="15E7A4F1" w14:textId="77777777" w:rsidR="00817BB0" w:rsidRPr="00241380" w:rsidRDefault="00817BB0" w:rsidP="00241380">
      <w:pPr>
        <w:spacing w:line="360" w:lineRule="auto"/>
        <w:jc w:val="both"/>
        <w:rPr>
          <w:rFonts w:ascii="Times New Roman" w:hAnsi="Times New Roman" w:cs="Times New Roman"/>
        </w:rPr>
      </w:pPr>
    </w:p>
    <w:p w14:paraId="65AA2BA1" w14:textId="72AF60C1" w:rsidR="00817BB0" w:rsidRPr="00241380" w:rsidRDefault="0095454B" w:rsidP="00241380">
      <w:pPr>
        <w:pStyle w:val="Heading1"/>
      </w:pPr>
      <w:bookmarkStart w:id="1" w:name="_Toc211174640"/>
      <w:r w:rsidRPr="00241380">
        <w:t>COST ANALYSIS AND BUSINESS MODEL</w:t>
      </w:r>
      <w:bookmarkEnd w:id="1"/>
      <w:r w:rsidRPr="00241380">
        <w:t xml:space="preserve"> </w:t>
      </w:r>
    </w:p>
    <w:p w14:paraId="00BC5DA3" w14:textId="65AD002C" w:rsidR="00817BB0" w:rsidRPr="00241380" w:rsidRDefault="00817BB0" w:rsidP="00241380">
      <w:pPr>
        <w:spacing w:line="360" w:lineRule="auto"/>
        <w:jc w:val="both"/>
        <w:rPr>
          <w:rFonts w:ascii="Times New Roman" w:hAnsi="Times New Roman" w:cs="Times New Roman"/>
        </w:rPr>
      </w:pPr>
      <w:r w:rsidRPr="00241380">
        <w:rPr>
          <w:rFonts w:ascii="Times New Roman" w:hAnsi="Times New Roman" w:cs="Times New Roman"/>
          <w:noProof/>
        </w:rPr>
        <w:drawing>
          <wp:inline distT="0" distB="0" distL="0" distR="0" wp14:anchorId="38EC824F" wp14:editId="47B7D7E2">
            <wp:extent cx="5783177" cy="3329940"/>
            <wp:effectExtent l="0" t="0" r="8255" b="3810"/>
            <wp:docPr id="573659970" name="Picture 2" descr="A blue circle with red and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59970" name="Picture 2" descr="A blue circle with red and blu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6319" cy="3337507"/>
                    </a:xfrm>
                    <a:prstGeom prst="rect">
                      <a:avLst/>
                    </a:prstGeom>
                    <a:noFill/>
                    <a:ln>
                      <a:noFill/>
                    </a:ln>
                  </pic:spPr>
                </pic:pic>
              </a:graphicData>
            </a:graphic>
          </wp:inline>
        </w:drawing>
      </w:r>
    </w:p>
    <w:p w14:paraId="00AA4BB9" w14:textId="77777777" w:rsidR="00817BB0" w:rsidRPr="00241380" w:rsidRDefault="00817BB0" w:rsidP="00241380">
      <w:pPr>
        <w:spacing w:line="360" w:lineRule="auto"/>
        <w:jc w:val="both"/>
        <w:rPr>
          <w:rFonts w:ascii="Times New Roman" w:hAnsi="Times New Roman" w:cs="Times New Roman"/>
        </w:rPr>
      </w:pPr>
    </w:p>
    <w:p w14:paraId="744DB125" w14:textId="77777777" w:rsidR="00817BB0" w:rsidRPr="00241380" w:rsidRDefault="00817BB0" w:rsidP="00241380">
      <w:pPr>
        <w:spacing w:line="360" w:lineRule="auto"/>
        <w:jc w:val="both"/>
        <w:rPr>
          <w:rFonts w:ascii="Times New Roman" w:hAnsi="Times New Roman" w:cs="Times New Roman"/>
        </w:rPr>
      </w:pPr>
      <w:r w:rsidRPr="00241380">
        <w:rPr>
          <w:rFonts w:ascii="Times New Roman" w:hAnsi="Times New Roman" w:cs="Times New Roman"/>
        </w:rPr>
        <w:t>Integrated care boards (ICBs) £107.8 billion</w:t>
      </w:r>
    </w:p>
    <w:p w14:paraId="6391DBA1" w14:textId="77777777" w:rsidR="00817BB0" w:rsidRPr="00241380" w:rsidRDefault="00817BB0" w:rsidP="00241380">
      <w:pPr>
        <w:spacing w:line="360" w:lineRule="auto"/>
        <w:jc w:val="both"/>
        <w:rPr>
          <w:rFonts w:ascii="Times New Roman" w:hAnsi="Times New Roman" w:cs="Times New Roman"/>
        </w:rPr>
      </w:pPr>
      <w:r w:rsidRPr="00241380">
        <w:rPr>
          <w:rFonts w:ascii="Times New Roman" w:hAnsi="Times New Roman" w:cs="Times New Roman"/>
        </w:rPr>
        <w:t>Direct commissioning £29.8 billion</w:t>
      </w:r>
    </w:p>
    <w:p w14:paraId="6DA3A280" w14:textId="77777777" w:rsidR="00817BB0" w:rsidRPr="00241380" w:rsidRDefault="00817BB0" w:rsidP="00241380">
      <w:pPr>
        <w:spacing w:line="360" w:lineRule="auto"/>
        <w:jc w:val="both"/>
        <w:rPr>
          <w:rFonts w:ascii="Times New Roman" w:hAnsi="Times New Roman" w:cs="Times New Roman"/>
        </w:rPr>
      </w:pPr>
      <w:r w:rsidRPr="00241380">
        <w:rPr>
          <w:rFonts w:ascii="Times New Roman" w:hAnsi="Times New Roman" w:cs="Times New Roman"/>
        </w:rPr>
        <w:t>Service development fund £3.8 billion</w:t>
      </w:r>
    </w:p>
    <w:p w14:paraId="399E01BC" w14:textId="77777777" w:rsidR="00817BB0" w:rsidRPr="00241380" w:rsidRDefault="00817BB0" w:rsidP="00241380">
      <w:pPr>
        <w:spacing w:line="360" w:lineRule="auto"/>
        <w:jc w:val="both"/>
        <w:rPr>
          <w:rFonts w:ascii="Times New Roman" w:hAnsi="Times New Roman" w:cs="Times New Roman"/>
        </w:rPr>
      </w:pPr>
      <w:r w:rsidRPr="00241380">
        <w:rPr>
          <w:rFonts w:ascii="Times New Roman" w:hAnsi="Times New Roman" w:cs="Times New Roman"/>
        </w:rPr>
        <w:t>NHS England central admin and programme £3.2 billion</w:t>
      </w:r>
    </w:p>
    <w:p w14:paraId="7DB55F3C" w14:textId="77777777" w:rsidR="00817BB0" w:rsidRPr="00241380" w:rsidRDefault="00817BB0" w:rsidP="00241380">
      <w:pPr>
        <w:spacing w:line="360" w:lineRule="auto"/>
        <w:jc w:val="both"/>
        <w:rPr>
          <w:rFonts w:ascii="Times New Roman" w:hAnsi="Times New Roman" w:cs="Times New Roman"/>
        </w:rPr>
      </w:pPr>
      <w:r w:rsidRPr="00241380">
        <w:rPr>
          <w:rFonts w:ascii="Times New Roman" w:hAnsi="Times New Roman" w:cs="Times New Roman"/>
        </w:rPr>
        <w:t>Elective services recovery fund £2.3 billion</w:t>
      </w:r>
    </w:p>
    <w:p w14:paraId="2A432928" w14:textId="32138E1D" w:rsidR="00817BB0" w:rsidRPr="00241380" w:rsidRDefault="00817BB0" w:rsidP="00241380">
      <w:pPr>
        <w:spacing w:line="360" w:lineRule="auto"/>
        <w:jc w:val="both"/>
        <w:rPr>
          <w:rFonts w:ascii="Times New Roman" w:hAnsi="Times New Roman" w:cs="Times New Roman"/>
        </w:rPr>
      </w:pPr>
      <w:r w:rsidRPr="00241380">
        <w:rPr>
          <w:rFonts w:ascii="Times New Roman" w:hAnsi="Times New Roman" w:cs="Times New Roman"/>
        </w:rPr>
        <w:t>Other system funding £6.1 billion (other system funding includes £3.4 billion for increased employer pension contributions).</w:t>
      </w:r>
    </w:p>
    <w:p w14:paraId="290A9DFC" w14:textId="77777777" w:rsidR="00764E65" w:rsidRPr="00241380" w:rsidRDefault="00764E65" w:rsidP="00241380">
      <w:pPr>
        <w:spacing w:line="360" w:lineRule="auto"/>
        <w:jc w:val="both"/>
        <w:rPr>
          <w:rFonts w:ascii="Times New Roman" w:hAnsi="Times New Roman" w:cs="Times New Roman"/>
        </w:rPr>
      </w:pPr>
    </w:p>
    <w:p w14:paraId="30F7020E" w14:textId="77777777" w:rsidR="00764E65" w:rsidRPr="00241380" w:rsidRDefault="00764E65" w:rsidP="00241380">
      <w:pPr>
        <w:spacing w:line="360" w:lineRule="auto"/>
        <w:jc w:val="both"/>
        <w:rPr>
          <w:rFonts w:ascii="Times New Roman" w:hAnsi="Times New Roman" w:cs="Times New Roman"/>
        </w:rPr>
      </w:pPr>
    </w:p>
    <w:p w14:paraId="6FEFC011" w14:textId="3417F6BF" w:rsidR="00764E65" w:rsidRPr="00241380" w:rsidRDefault="00764E65" w:rsidP="00241380">
      <w:pPr>
        <w:spacing w:line="360" w:lineRule="auto"/>
        <w:jc w:val="both"/>
        <w:rPr>
          <w:rFonts w:ascii="Times New Roman" w:hAnsi="Times New Roman" w:cs="Times New Roman"/>
        </w:rPr>
      </w:pPr>
      <w:r w:rsidRPr="00241380">
        <w:rPr>
          <w:rFonts w:ascii="Times New Roman" w:hAnsi="Times New Roman" w:cs="Times New Roman"/>
          <w:noProof/>
        </w:rPr>
        <w:lastRenderedPageBreak/>
        <w:drawing>
          <wp:inline distT="0" distB="0" distL="0" distR="0" wp14:anchorId="3D814A5B" wp14:editId="4D24F58E">
            <wp:extent cx="3461296" cy="2278380"/>
            <wp:effectExtent l="0" t="0" r="6350" b="7620"/>
            <wp:docPr id="228943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64001" cy="2280161"/>
                    </a:xfrm>
                    <a:prstGeom prst="rect">
                      <a:avLst/>
                    </a:prstGeom>
                    <a:noFill/>
                    <a:ln>
                      <a:noFill/>
                    </a:ln>
                  </pic:spPr>
                </pic:pic>
              </a:graphicData>
            </a:graphic>
          </wp:inline>
        </w:drawing>
      </w:r>
    </w:p>
    <w:p w14:paraId="585B6873" w14:textId="77777777" w:rsidR="00764E65" w:rsidRPr="00241380" w:rsidRDefault="00764E65" w:rsidP="00241380">
      <w:pPr>
        <w:spacing w:line="360" w:lineRule="auto"/>
        <w:jc w:val="both"/>
        <w:rPr>
          <w:rFonts w:ascii="Times New Roman" w:hAnsi="Times New Roman" w:cs="Times New Roman"/>
        </w:rPr>
      </w:pPr>
      <w:r w:rsidRPr="00241380">
        <w:rPr>
          <w:rFonts w:ascii="Times New Roman" w:hAnsi="Times New Roman" w:cs="Times New Roman"/>
        </w:rPr>
        <w:t>NHS revenue in England (2015–2025).</w:t>
      </w:r>
    </w:p>
    <w:p w14:paraId="369B913A" w14:textId="45C2D66C" w:rsidR="00817BB0" w:rsidRPr="00241380" w:rsidRDefault="00764E65" w:rsidP="00241380">
      <w:pPr>
        <w:spacing w:line="360" w:lineRule="auto"/>
        <w:jc w:val="both"/>
        <w:rPr>
          <w:rFonts w:ascii="Times New Roman" w:hAnsi="Times New Roman" w:cs="Times New Roman"/>
        </w:rPr>
      </w:pPr>
      <w:r w:rsidRPr="00241380">
        <w:rPr>
          <w:rFonts w:ascii="Times New Roman" w:hAnsi="Times New Roman" w:cs="Times New Roman"/>
        </w:rPr>
        <w:t>It projects a steady rise from about £125 billion in 2015 to roughly £210 billion in 2025,</w:t>
      </w:r>
    </w:p>
    <w:p w14:paraId="4F8CA9C0" w14:textId="77777777" w:rsidR="001718D1" w:rsidRPr="00241380" w:rsidRDefault="001718D1" w:rsidP="00241380">
      <w:pPr>
        <w:spacing w:line="360" w:lineRule="auto"/>
        <w:jc w:val="both"/>
        <w:rPr>
          <w:rFonts w:ascii="Times New Roman" w:hAnsi="Times New Roman" w:cs="Times New Roman"/>
        </w:rPr>
      </w:pPr>
    </w:p>
    <w:p w14:paraId="4B1FF364" w14:textId="77777777" w:rsidR="001718D1" w:rsidRPr="001718D1" w:rsidRDefault="001718D1" w:rsidP="00241380">
      <w:pPr>
        <w:spacing w:line="360" w:lineRule="auto"/>
        <w:jc w:val="both"/>
        <w:rPr>
          <w:rFonts w:ascii="Times New Roman" w:hAnsi="Times New Roman" w:cs="Times New Roman"/>
        </w:rPr>
      </w:pPr>
      <w:r w:rsidRPr="001718D1">
        <w:rPr>
          <w:rFonts w:ascii="Times New Roman" w:hAnsi="Times New Roman" w:cs="Times New Roman"/>
        </w:rPr>
        <w:t>The NHS has a mix of both general and specific revenue sources; the main source is general taxation, seconded by National Insurance contributions from insured persons, some patient charges are involved (NHS England, 2023). Whereas private healthcare providers earn money from fees paid per service and through insurance, the NHS is funded by government allocations that are distributed among trusts and commissioning bodies. This model provides all equitability of health care for everybody, not based upon their financial capacity, but at the same time, it changes organization to improve on costs management in which pressures have been mounting from increasing demand for healthcare and budgetary limitations (The King’s Fund, 2022).</w:t>
      </w:r>
    </w:p>
    <w:p w14:paraId="23C92663" w14:textId="7EF6266B" w:rsidR="001718D1" w:rsidRPr="001718D1" w:rsidRDefault="001718D1" w:rsidP="00241380">
      <w:pPr>
        <w:spacing w:line="360" w:lineRule="auto"/>
        <w:jc w:val="both"/>
        <w:rPr>
          <w:rFonts w:ascii="Times New Roman" w:hAnsi="Times New Roman" w:cs="Times New Roman"/>
        </w:rPr>
      </w:pPr>
      <w:r w:rsidRPr="001718D1">
        <w:rPr>
          <w:rFonts w:ascii="Times New Roman" w:hAnsi="Times New Roman" w:cs="Times New Roman"/>
        </w:rPr>
        <w:t>The NHS’s budget is fixed and set annually by the Department of Health and Social Care (DHSC). The funds are further allocated to NHS England and local Integrated Care Boards (ICBs) responsible for the planning and commissioning of services for their populations (HM Treasury, 2023). This model facilitates long-term service delivery, while constraining flexibility due to funds being programmed contingent to public expenditure reviews and political priorities.</w:t>
      </w:r>
    </w:p>
    <w:p w14:paraId="0C73AFFF" w14:textId="77777777" w:rsidR="001718D1" w:rsidRPr="00241380" w:rsidRDefault="001718D1" w:rsidP="00241380">
      <w:pPr>
        <w:spacing w:line="360" w:lineRule="auto"/>
        <w:jc w:val="both"/>
        <w:rPr>
          <w:rFonts w:ascii="Times New Roman" w:hAnsi="Times New Roman" w:cs="Times New Roman"/>
        </w:rPr>
      </w:pPr>
    </w:p>
    <w:p w14:paraId="4AFA7737" w14:textId="77777777" w:rsidR="001718D1" w:rsidRPr="00241380" w:rsidRDefault="001718D1" w:rsidP="00241380">
      <w:pPr>
        <w:spacing w:line="360" w:lineRule="auto"/>
        <w:jc w:val="both"/>
        <w:rPr>
          <w:rFonts w:ascii="Times New Roman" w:hAnsi="Times New Roman" w:cs="Times New Roman"/>
        </w:rPr>
      </w:pPr>
    </w:p>
    <w:p w14:paraId="581EE99D" w14:textId="77777777" w:rsidR="001718D1" w:rsidRPr="00241380" w:rsidRDefault="001718D1" w:rsidP="00241380">
      <w:pPr>
        <w:spacing w:line="360" w:lineRule="auto"/>
        <w:jc w:val="both"/>
        <w:rPr>
          <w:rFonts w:ascii="Times New Roman" w:hAnsi="Times New Roman" w:cs="Times New Roman"/>
        </w:rPr>
      </w:pPr>
    </w:p>
    <w:p w14:paraId="743FE4D4" w14:textId="77777777"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lastRenderedPageBreak/>
        <w:t>From a cost perspective, the NHS has a complex cost structure comprising both fixed and variable costs. Fixed costs represent long-term commitments such as staff salaries, facility maintenance, equipment depreciation, and administrative overheads (Drury, 2022). Given the NHS’s scale as one of the largest employers globally, employee remuneration constitutes approximately 45% of total expenditure (NHS Digital, 2023). These costs remain relatively stable regardless of patient volumes, contributing to high operational rigidity.</w:t>
      </w:r>
    </w:p>
    <w:p w14:paraId="467BCA0D" w14:textId="77777777" w:rsidR="00764E65" w:rsidRPr="00241380" w:rsidRDefault="00764E65" w:rsidP="00241380">
      <w:pPr>
        <w:spacing w:line="360" w:lineRule="auto"/>
        <w:jc w:val="both"/>
        <w:rPr>
          <w:rFonts w:ascii="Times New Roman" w:hAnsi="Times New Roman" w:cs="Times New Roman"/>
        </w:rPr>
      </w:pPr>
    </w:p>
    <w:p w14:paraId="14576DE4" w14:textId="77777777" w:rsidR="00764E65" w:rsidRPr="00241380" w:rsidRDefault="00764E65" w:rsidP="00241380">
      <w:pPr>
        <w:spacing w:line="360" w:lineRule="auto"/>
        <w:jc w:val="both"/>
        <w:rPr>
          <w:rFonts w:ascii="Times New Roman" w:hAnsi="Times New Roman" w:cs="Times New Roman"/>
        </w:rPr>
      </w:pPr>
    </w:p>
    <w:p w14:paraId="48CBCA84" w14:textId="1607369C" w:rsidR="00764E65" w:rsidRPr="00241380" w:rsidRDefault="00F234CA" w:rsidP="00241380">
      <w:pPr>
        <w:spacing w:line="360" w:lineRule="auto"/>
        <w:jc w:val="both"/>
        <w:rPr>
          <w:rFonts w:ascii="Times New Roman" w:hAnsi="Times New Roman" w:cs="Times New Roman"/>
        </w:rPr>
      </w:pPr>
      <w:r w:rsidRPr="00241380">
        <w:rPr>
          <w:rFonts w:ascii="Times New Roman" w:hAnsi="Times New Roman" w:cs="Times New Roman"/>
          <w:noProof/>
        </w:rPr>
        <w:drawing>
          <wp:inline distT="0" distB="0" distL="0" distR="0" wp14:anchorId="1924BDBC" wp14:editId="3743E2D9">
            <wp:extent cx="3886356" cy="2521997"/>
            <wp:effectExtent l="0" t="0" r="0" b="0"/>
            <wp:docPr id="3949702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93452" cy="2526602"/>
                    </a:xfrm>
                    <a:prstGeom prst="rect">
                      <a:avLst/>
                    </a:prstGeom>
                    <a:noFill/>
                    <a:ln>
                      <a:noFill/>
                    </a:ln>
                  </pic:spPr>
                </pic:pic>
              </a:graphicData>
            </a:graphic>
          </wp:inline>
        </w:drawing>
      </w:r>
    </w:p>
    <w:p w14:paraId="42A03B00" w14:textId="37E95651" w:rsidR="004A2D0A" w:rsidRPr="004A2D0A" w:rsidRDefault="004A2D0A" w:rsidP="00241380">
      <w:pPr>
        <w:spacing w:line="360" w:lineRule="auto"/>
        <w:jc w:val="both"/>
        <w:rPr>
          <w:rFonts w:ascii="Times New Roman" w:hAnsi="Times New Roman" w:cs="Times New Roman"/>
        </w:rPr>
      </w:pPr>
      <w:r w:rsidRPr="00241380">
        <w:rPr>
          <w:rFonts w:ascii="Times New Roman" w:hAnsi="Times New Roman" w:cs="Times New Roman"/>
        </w:rPr>
        <w:t>V</w:t>
      </w:r>
      <w:r w:rsidRPr="004A2D0A">
        <w:rPr>
          <w:rFonts w:ascii="Times New Roman" w:hAnsi="Times New Roman" w:cs="Times New Roman"/>
        </w:rPr>
        <w:t>ariable costs vary according to the scale of healthcare activities. These are medical products, pharmaceuticals, diagnostic tests, energy use and outsourced services (CIMA 2021). For example, when peoples-</w:t>
      </w:r>
      <w:r w:rsidRPr="00241380">
        <w:rPr>
          <w:rFonts w:ascii="Times New Roman" w:hAnsi="Times New Roman" w:cs="Times New Roman"/>
        </w:rPr>
        <w:t>patients</w:t>
      </w:r>
      <w:r w:rsidRPr="004A2D0A">
        <w:rPr>
          <w:rFonts w:ascii="Times New Roman" w:hAnsi="Times New Roman" w:cs="Times New Roman"/>
        </w:rPr>
        <w:t xml:space="preserve"> were admitted for care or at crisis such as the COVID-19 pandemic demand for supplies and emergency care also increased drastically resulting to highly ramp-up in variable costs.</w:t>
      </w:r>
    </w:p>
    <w:p w14:paraId="1804404D" w14:textId="7ABF5027" w:rsidR="004A2D0A" w:rsidRPr="004A2D0A" w:rsidRDefault="004A2D0A" w:rsidP="00241380">
      <w:pPr>
        <w:spacing w:line="360" w:lineRule="auto"/>
        <w:jc w:val="both"/>
        <w:rPr>
          <w:rFonts w:ascii="Times New Roman" w:hAnsi="Times New Roman" w:cs="Times New Roman"/>
        </w:rPr>
      </w:pPr>
      <w:r w:rsidRPr="004A2D0A">
        <w:rPr>
          <w:rFonts w:ascii="Times New Roman" w:hAnsi="Times New Roman" w:cs="Times New Roman"/>
        </w:rPr>
        <w:t xml:space="preserve">Management accounting tools (i.e., activity-based costing, cost-volume-profit analysis) are indispensable </w:t>
      </w:r>
      <w:r w:rsidRPr="00241380">
        <w:rPr>
          <w:rFonts w:ascii="Times New Roman" w:hAnsi="Times New Roman" w:cs="Times New Roman"/>
        </w:rPr>
        <w:t>to</w:t>
      </w:r>
      <w:r w:rsidRPr="004A2D0A">
        <w:rPr>
          <w:rFonts w:ascii="Times New Roman" w:hAnsi="Times New Roman" w:cs="Times New Roman"/>
        </w:rPr>
        <w:t xml:space="preserve"> understand these costs behaviour and facilitate the decision-making process. When NHS managers can track cost drivers and distinguish between fixed and variable costs, we can increase the precision of budgeting, calculate the relative cost efficiency across providers and plan how best to deliver service. This plan-led approach allows the NHS to make efficient use of resources and safeguard financial sustainability and quality healthcare within budgetary limits.</w:t>
      </w:r>
    </w:p>
    <w:p w14:paraId="3E2D3157" w14:textId="77777777" w:rsidR="0095454B" w:rsidRPr="00241380" w:rsidRDefault="0095454B" w:rsidP="00241380">
      <w:pPr>
        <w:spacing w:line="360" w:lineRule="auto"/>
        <w:jc w:val="both"/>
        <w:rPr>
          <w:rFonts w:ascii="Times New Roman" w:hAnsi="Times New Roman" w:cs="Times New Roman"/>
        </w:rPr>
      </w:pPr>
    </w:p>
    <w:p w14:paraId="0772C784" w14:textId="2B0D8D5B" w:rsidR="0095454B" w:rsidRPr="00241380" w:rsidRDefault="0095454B" w:rsidP="00241380">
      <w:pPr>
        <w:pStyle w:val="Heading1"/>
      </w:pPr>
      <w:bookmarkStart w:id="2" w:name="_Toc211174641"/>
      <w:r w:rsidRPr="00241380">
        <w:lastRenderedPageBreak/>
        <w:t>BUDGETTING AND FINANCIAL PLANING</w:t>
      </w:r>
      <w:bookmarkEnd w:id="2"/>
      <w:r w:rsidRPr="00241380">
        <w:t xml:space="preserve"> </w:t>
      </w:r>
    </w:p>
    <w:p w14:paraId="023B7E52" w14:textId="5D0D3E45" w:rsidR="00F234CA" w:rsidRPr="00241380" w:rsidRDefault="00F234CA" w:rsidP="00241380">
      <w:pPr>
        <w:spacing w:line="360" w:lineRule="auto"/>
        <w:jc w:val="both"/>
        <w:rPr>
          <w:rFonts w:ascii="Times New Roman" w:hAnsi="Times New Roman" w:cs="Times New Roman"/>
        </w:rPr>
      </w:pPr>
      <w:r w:rsidRPr="00241380">
        <w:rPr>
          <w:rFonts w:ascii="Times New Roman" w:hAnsi="Times New Roman" w:cs="Times New Roman"/>
          <w:noProof/>
        </w:rPr>
        <w:drawing>
          <wp:inline distT="0" distB="0" distL="0" distR="0" wp14:anchorId="589B3C55" wp14:editId="53C13CBC">
            <wp:extent cx="4231767" cy="2918460"/>
            <wp:effectExtent l="0" t="0" r="0" b="0"/>
            <wp:docPr id="14904080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35267" cy="2920874"/>
                    </a:xfrm>
                    <a:prstGeom prst="rect">
                      <a:avLst/>
                    </a:prstGeom>
                    <a:noFill/>
                    <a:ln>
                      <a:noFill/>
                    </a:ln>
                  </pic:spPr>
                </pic:pic>
              </a:graphicData>
            </a:graphic>
          </wp:inline>
        </w:drawing>
      </w:r>
    </w:p>
    <w:p w14:paraId="208984EF" w14:textId="0CC5CF07"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Budgeting and financial planning are central to the operational management of an organisation like the NHS. In the public sector context, a budget serves as a financial plan that defines resource allocation, constrains spending, ensures accountability, and aligns operations with strategic priorities (Drury, 2022). For the NHS, budgeting enables health authorities, Integrated Care Boards (ICBs), and trusts to plan for anticipated service demand, workforce costs, capital investment, and contingencies. It also provides a benchmark against which actual performance is monitored, and variances (positive or negative) are investigated.</w:t>
      </w:r>
    </w:p>
    <w:p w14:paraId="604EA30E" w14:textId="06E2256F" w:rsidR="004A2D0A" w:rsidRPr="004A2D0A" w:rsidRDefault="004A2D0A" w:rsidP="00241380">
      <w:pPr>
        <w:spacing w:line="360" w:lineRule="auto"/>
        <w:jc w:val="both"/>
        <w:rPr>
          <w:rFonts w:ascii="Times New Roman" w:hAnsi="Times New Roman" w:cs="Times New Roman"/>
        </w:rPr>
      </w:pPr>
      <w:r w:rsidRPr="004A2D0A">
        <w:rPr>
          <w:rFonts w:ascii="Times New Roman" w:hAnsi="Times New Roman" w:cs="Times New Roman"/>
        </w:rPr>
        <w:t xml:space="preserve">In 2025, NHS England is bound by financial directions from the Secretary of State that determine the level of revenue and capital resource use. NHS England shall not exceed £205,111 million in revenue resource use and £4,857 million in capital resource use for 2025-26. These top-down limits imply that the NHS </w:t>
      </w:r>
      <w:r w:rsidRPr="00241380">
        <w:rPr>
          <w:rFonts w:ascii="Times New Roman" w:hAnsi="Times New Roman" w:cs="Times New Roman"/>
        </w:rPr>
        <w:t>must</w:t>
      </w:r>
      <w:r w:rsidRPr="004A2D0A">
        <w:rPr>
          <w:rFonts w:ascii="Times New Roman" w:hAnsi="Times New Roman" w:cs="Times New Roman"/>
        </w:rPr>
        <w:t xml:space="preserve"> plan within finite resource envelopes – which in turn force it to prioritise between activities, and to try to control costs and make efficiency gains from within (the process known as internal budgeting).</w:t>
      </w:r>
    </w:p>
    <w:p w14:paraId="43D24905" w14:textId="77777777" w:rsidR="004A2D0A" w:rsidRPr="004A2D0A" w:rsidRDefault="004A2D0A" w:rsidP="00241380">
      <w:pPr>
        <w:spacing w:line="360" w:lineRule="auto"/>
        <w:jc w:val="both"/>
        <w:rPr>
          <w:rFonts w:ascii="Times New Roman" w:hAnsi="Times New Roman" w:cs="Times New Roman"/>
        </w:rPr>
      </w:pPr>
      <w:r w:rsidRPr="004A2D0A">
        <w:rPr>
          <w:rFonts w:ascii="Times New Roman" w:hAnsi="Times New Roman" w:cs="Times New Roman"/>
        </w:rPr>
        <w:t>More recent planning guidance also reflects it in the form of an instruction to NHS organisations to reduce their cost base by minimum 1% and deliver a 4% productivity gain as a response to the increase demand pressures. This can be seen as the management's in-house decision-making to save money by cutting waste, reorganising services and demanding efficiency. For instance, controls on agency staff spending are being applied and trusts are being advised not to overspend but to instead live within their means.</w:t>
      </w:r>
    </w:p>
    <w:p w14:paraId="75482519" w14:textId="77777777" w:rsidR="004A2D0A" w:rsidRPr="004A2D0A" w:rsidRDefault="004A2D0A" w:rsidP="00241380">
      <w:pPr>
        <w:spacing w:line="360" w:lineRule="auto"/>
        <w:jc w:val="both"/>
        <w:rPr>
          <w:rFonts w:ascii="Times New Roman" w:hAnsi="Times New Roman" w:cs="Times New Roman"/>
        </w:rPr>
      </w:pPr>
      <w:r w:rsidRPr="004A2D0A">
        <w:rPr>
          <w:rFonts w:ascii="Times New Roman" w:hAnsi="Times New Roman" w:cs="Times New Roman"/>
        </w:rPr>
        <w:lastRenderedPageBreak/>
        <w:t>The NHS’s resource budgets (for day-to-day running) will increase over the SR period. The real-terms growth in the budget of DHSC is estimated to be around 2.8% per year over the years 2025/26–28/29. Day-to-day or resource expenditure (excluding depreciation) will also rise from approximately £193.3 billion in 2024/25 to about £202.0 billion in 2025/26 during the period. This increase recognises inflation, demographics, and the importance of building capacity into front line services.</w:t>
      </w:r>
    </w:p>
    <w:p w14:paraId="56BD9452" w14:textId="77777777" w:rsidR="0095454B" w:rsidRPr="00241380" w:rsidRDefault="0095454B" w:rsidP="00241380">
      <w:pPr>
        <w:spacing w:line="360" w:lineRule="auto"/>
        <w:jc w:val="both"/>
        <w:rPr>
          <w:rFonts w:ascii="Times New Roman" w:hAnsi="Times New Roman" w:cs="Times New Roman"/>
        </w:rPr>
      </w:pPr>
    </w:p>
    <w:p w14:paraId="3AB14074" w14:textId="2A3235CD" w:rsidR="00A351EB" w:rsidRPr="00241380" w:rsidRDefault="00A351EB" w:rsidP="00241380">
      <w:pPr>
        <w:spacing w:line="360" w:lineRule="auto"/>
        <w:jc w:val="both"/>
        <w:rPr>
          <w:rFonts w:ascii="Times New Roman" w:hAnsi="Times New Roman" w:cs="Times New Roman"/>
        </w:rPr>
      </w:pPr>
      <w:r w:rsidRPr="00241380">
        <w:rPr>
          <w:rFonts w:ascii="Times New Roman" w:hAnsi="Times New Roman" w:cs="Times New Roman"/>
          <w:noProof/>
        </w:rPr>
        <w:drawing>
          <wp:inline distT="0" distB="0" distL="0" distR="0" wp14:anchorId="597297AD" wp14:editId="1533D3F9">
            <wp:extent cx="2841506" cy="2750820"/>
            <wp:effectExtent l="0" t="0" r="0" b="0"/>
            <wp:docPr id="11837395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50858" cy="2759873"/>
                    </a:xfrm>
                    <a:prstGeom prst="rect">
                      <a:avLst/>
                    </a:prstGeom>
                    <a:noFill/>
                    <a:ln>
                      <a:noFill/>
                    </a:ln>
                  </pic:spPr>
                </pic:pic>
              </a:graphicData>
            </a:graphic>
          </wp:inline>
        </w:drawing>
      </w:r>
    </w:p>
    <w:p w14:paraId="24A88EDB" w14:textId="77777777" w:rsidR="00A351EB" w:rsidRPr="00241380" w:rsidRDefault="00A351EB" w:rsidP="00241380">
      <w:pPr>
        <w:spacing w:line="360" w:lineRule="auto"/>
        <w:jc w:val="both"/>
        <w:rPr>
          <w:rFonts w:ascii="Times New Roman" w:hAnsi="Times New Roman" w:cs="Times New Roman"/>
        </w:rPr>
      </w:pPr>
    </w:p>
    <w:p w14:paraId="14016FF7" w14:textId="62D07778"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 xml:space="preserve">However, capital budgets are largely held flat in real terms, placing more emphasis on operational efficiency to manage cost pressures.  Because revenue growth is limited, internal management must make trade-offs: cutting overheads, streamlining service delivery, and shifting resources to high-priority areas such as digital transformation, prevention, and community care. The announced capital allocation for 2025/26 is split across system-level operational investments (£4.9 billion) to complement revenue planning.  </w:t>
      </w:r>
    </w:p>
    <w:p w14:paraId="16311D3E" w14:textId="77777777" w:rsidR="0095454B" w:rsidRPr="00241380" w:rsidRDefault="0095454B" w:rsidP="00241380">
      <w:pPr>
        <w:spacing w:line="360" w:lineRule="auto"/>
        <w:jc w:val="both"/>
        <w:rPr>
          <w:rFonts w:ascii="Times New Roman" w:hAnsi="Times New Roman" w:cs="Times New Roman"/>
        </w:rPr>
      </w:pPr>
    </w:p>
    <w:p w14:paraId="5515F413" w14:textId="07BA29BC"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 xml:space="preserve"> </w:t>
      </w:r>
      <w:r w:rsidR="004A2D0A" w:rsidRPr="00241380">
        <w:rPr>
          <w:rFonts w:ascii="Times New Roman" w:hAnsi="Times New Roman" w:cs="Times New Roman"/>
        </w:rPr>
        <w:t>B</w:t>
      </w:r>
      <w:r w:rsidRPr="00241380">
        <w:rPr>
          <w:rFonts w:ascii="Times New Roman" w:hAnsi="Times New Roman" w:cs="Times New Roman"/>
        </w:rPr>
        <w:t>udgeting in the NHS is a powerful instrument that sets financial constraints, drives prioritisation, and incentivises internal cost discipline. The 2025 financial year demonstrates how management must respond to externally imposed budget limits by enforcing internal cost controls, productivity mandates, and re-allocation of resources to remain within bounds while maintaining essential service delivery.</w:t>
      </w:r>
    </w:p>
    <w:p w14:paraId="401581EB" w14:textId="44766EB9" w:rsidR="0095454B" w:rsidRPr="00241380" w:rsidRDefault="0095454B" w:rsidP="00241380">
      <w:pPr>
        <w:pStyle w:val="Heading1"/>
      </w:pPr>
      <w:bookmarkStart w:id="3" w:name="_Toc211174642"/>
      <w:r w:rsidRPr="00241380">
        <w:lastRenderedPageBreak/>
        <w:t>Performance Measurement and Decision-Making</w:t>
      </w:r>
      <w:bookmarkEnd w:id="3"/>
      <w:r w:rsidRPr="00241380">
        <w:t xml:space="preserve"> </w:t>
      </w:r>
    </w:p>
    <w:p w14:paraId="1425E2C0" w14:textId="77777777" w:rsidR="0095454B" w:rsidRPr="00241380" w:rsidRDefault="0095454B" w:rsidP="00241380">
      <w:pPr>
        <w:spacing w:line="360" w:lineRule="auto"/>
        <w:jc w:val="both"/>
        <w:rPr>
          <w:rFonts w:ascii="Times New Roman" w:hAnsi="Times New Roman" w:cs="Times New Roman"/>
        </w:rPr>
      </w:pPr>
    </w:p>
    <w:p w14:paraId="06CD68F0" w14:textId="77777777" w:rsidR="004E0943"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Performance measurement within the National Health Service (NHS) extends beyond financial indicators to include a wide range of non-financial key performance indicators (KPIs) that assess service quality, efficiency, accessibility, and patient outcomes. These KPIs form the foundation for strategic decision-making and continuous improvement in service delivery (NHS England, 2024).</w:t>
      </w:r>
    </w:p>
    <w:p w14:paraId="3A25BFE8" w14:textId="77777777" w:rsidR="00A351EB" w:rsidRPr="00241380" w:rsidRDefault="00A351EB" w:rsidP="00241380">
      <w:pPr>
        <w:spacing w:line="360" w:lineRule="auto"/>
        <w:jc w:val="both"/>
        <w:rPr>
          <w:rFonts w:ascii="Times New Roman" w:hAnsi="Times New Roman" w:cs="Times New Roman"/>
        </w:rPr>
      </w:pPr>
    </w:p>
    <w:p w14:paraId="0C789314" w14:textId="36B9891A"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 xml:space="preserve"> Five key non-financial KPIs include:</w:t>
      </w:r>
    </w:p>
    <w:p w14:paraId="2D5F4A2B" w14:textId="77777777" w:rsidR="00A351EB" w:rsidRPr="00241380" w:rsidRDefault="00A351EB" w:rsidP="00241380">
      <w:pPr>
        <w:spacing w:line="360" w:lineRule="auto"/>
        <w:jc w:val="both"/>
        <w:rPr>
          <w:rFonts w:ascii="Times New Roman" w:hAnsi="Times New Roman" w:cs="Times New Roman"/>
        </w:rPr>
      </w:pPr>
    </w:p>
    <w:p w14:paraId="07957ABD" w14:textId="03D81657" w:rsidR="00A351EB" w:rsidRPr="00241380" w:rsidRDefault="00A351EB" w:rsidP="00241380">
      <w:pPr>
        <w:spacing w:line="360" w:lineRule="auto"/>
        <w:jc w:val="both"/>
        <w:rPr>
          <w:rFonts w:ascii="Times New Roman" w:hAnsi="Times New Roman" w:cs="Times New Roman"/>
        </w:rPr>
      </w:pPr>
      <w:r w:rsidRPr="00241380">
        <w:rPr>
          <w:rFonts w:ascii="Times New Roman" w:hAnsi="Times New Roman" w:cs="Times New Roman"/>
          <w:noProof/>
        </w:rPr>
        <w:drawing>
          <wp:inline distT="0" distB="0" distL="0" distR="0" wp14:anchorId="56D0DB7B" wp14:editId="5358EAC8">
            <wp:extent cx="3405516" cy="2545080"/>
            <wp:effectExtent l="0" t="0" r="4445" b="7620"/>
            <wp:docPr id="12623953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07056" cy="2546231"/>
                    </a:xfrm>
                    <a:prstGeom prst="rect">
                      <a:avLst/>
                    </a:prstGeom>
                    <a:noFill/>
                    <a:ln>
                      <a:noFill/>
                    </a:ln>
                  </pic:spPr>
                </pic:pic>
              </a:graphicData>
            </a:graphic>
          </wp:inline>
        </w:drawing>
      </w:r>
    </w:p>
    <w:p w14:paraId="08AF2A01" w14:textId="77777777"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ab/>
        <w:t>1.</w:t>
      </w:r>
      <w:r w:rsidRPr="00241380">
        <w:rPr>
          <w:rFonts w:ascii="Times New Roman" w:hAnsi="Times New Roman" w:cs="Times New Roman"/>
        </w:rPr>
        <w:tab/>
        <w:t>Patient waiting times – measured across elective and emergency care; a reduction of 52% in patients waiting more than 65 weeks for elective treatment was reported in 2023/24 (NHS England, 2024).</w:t>
      </w:r>
    </w:p>
    <w:p w14:paraId="42EB23A2" w14:textId="77777777"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ab/>
        <w:t>2.</w:t>
      </w:r>
      <w:r w:rsidRPr="00241380">
        <w:rPr>
          <w:rFonts w:ascii="Times New Roman" w:hAnsi="Times New Roman" w:cs="Times New Roman"/>
        </w:rPr>
        <w:tab/>
        <w:t>Patient satisfaction scores – measured through the NHS Friends and Family Test and annual surveys, providing feedback on service experience (The King’s Fund, 2023).</w:t>
      </w:r>
    </w:p>
    <w:p w14:paraId="51C2CB54" w14:textId="77777777"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ab/>
        <w:t>3.</w:t>
      </w:r>
      <w:r w:rsidRPr="00241380">
        <w:rPr>
          <w:rFonts w:ascii="Times New Roman" w:hAnsi="Times New Roman" w:cs="Times New Roman"/>
        </w:rPr>
        <w:tab/>
        <w:t>Staff retention and engagement rates – a key workforce metric influencing service stability and quality of care (NHS Digital, 2023).</w:t>
      </w:r>
    </w:p>
    <w:p w14:paraId="38FF2850" w14:textId="49CFA18A"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ab/>
        <w:t>4.</w:t>
      </w:r>
      <w:r w:rsidRPr="00241380">
        <w:rPr>
          <w:rFonts w:ascii="Times New Roman" w:hAnsi="Times New Roman" w:cs="Times New Roman"/>
        </w:rPr>
        <w:tab/>
        <w:t>Operational efficiency (bed occupancy rates) indicating the utilization of healthcare resources and capacity management (CIMA, 2021).</w:t>
      </w:r>
    </w:p>
    <w:p w14:paraId="2FBA53E3" w14:textId="77777777"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lastRenderedPageBreak/>
        <w:tab/>
        <w:t>5.</w:t>
      </w:r>
      <w:r w:rsidRPr="00241380">
        <w:rPr>
          <w:rFonts w:ascii="Times New Roman" w:hAnsi="Times New Roman" w:cs="Times New Roman"/>
        </w:rPr>
        <w:tab/>
        <w:t>Preventive care coverage – such as the percentage of eligible patients receiving annual health checks for long-term conditions (NHS England, 2024).</w:t>
      </w:r>
    </w:p>
    <w:p w14:paraId="1A31089A" w14:textId="77777777" w:rsidR="0095454B" w:rsidRPr="00241380" w:rsidRDefault="0095454B" w:rsidP="00241380">
      <w:pPr>
        <w:spacing w:line="360" w:lineRule="auto"/>
        <w:jc w:val="both"/>
        <w:rPr>
          <w:rFonts w:ascii="Times New Roman" w:hAnsi="Times New Roman" w:cs="Times New Roman"/>
        </w:rPr>
      </w:pPr>
    </w:p>
    <w:p w14:paraId="6623CD51" w14:textId="77777777"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These KPIs collectively inform performance dashboards that guide managerial decisions and policy priorities across NHS trusts and integrated care systems.</w:t>
      </w:r>
    </w:p>
    <w:p w14:paraId="40C0B923" w14:textId="77777777" w:rsidR="00A874CE" w:rsidRPr="00A874CE" w:rsidRDefault="00A874CE" w:rsidP="00241380">
      <w:pPr>
        <w:spacing w:line="360" w:lineRule="auto"/>
        <w:jc w:val="both"/>
        <w:rPr>
          <w:rFonts w:ascii="Times New Roman" w:hAnsi="Times New Roman" w:cs="Times New Roman"/>
        </w:rPr>
      </w:pPr>
      <w:r w:rsidRPr="00A874CE">
        <w:rPr>
          <w:rFonts w:ascii="Times New Roman" w:hAnsi="Times New Roman" w:cs="Times New Roman"/>
        </w:rPr>
        <w:t>Strategic decision-making in the NHS is becoming more data-informed by both financial and non-financial performance. For example, long-standing problems with waiting times for elective care were addressed through the Elective Recovery Plan which redirected funding and introduced targeted performance management in efforts to address backlogs (HM Treasury, 2023). Similarly, data on staff retention and well-being led to workforce strategies that prioritized flexible working, mental health support and recruitment campaigns – notably for nursing and general practice (NHS England, 2024).</w:t>
      </w:r>
    </w:p>
    <w:p w14:paraId="3C8B4A08" w14:textId="2A94FA4F" w:rsidR="00A874CE" w:rsidRPr="00A874CE" w:rsidRDefault="00A874CE" w:rsidP="00241380">
      <w:pPr>
        <w:spacing w:line="360" w:lineRule="auto"/>
        <w:jc w:val="both"/>
        <w:rPr>
          <w:rFonts w:ascii="Times New Roman" w:hAnsi="Times New Roman" w:cs="Times New Roman"/>
        </w:rPr>
      </w:pPr>
      <w:r w:rsidRPr="00A874CE">
        <w:rPr>
          <w:rFonts w:ascii="Times New Roman" w:hAnsi="Times New Roman" w:cs="Times New Roman"/>
        </w:rPr>
        <w:t xml:space="preserve">Non-financial KPIs have already been used to drive some technology-led healthcare reform initiatives, for example a move towards virtual consultations and </w:t>
      </w:r>
      <w:r w:rsidRPr="00241380">
        <w:rPr>
          <w:rFonts w:ascii="Times New Roman" w:hAnsi="Times New Roman" w:cs="Times New Roman"/>
        </w:rPr>
        <w:t>health</w:t>
      </w:r>
      <w:r w:rsidRPr="00A874CE">
        <w:rPr>
          <w:rFonts w:ascii="Times New Roman" w:hAnsi="Times New Roman" w:cs="Times New Roman"/>
        </w:rPr>
        <w:t xml:space="preserve"> record use to foster better access and efficiency whilst reducing operational pressures (The Health Foundation, 2024). In addition, the inclusion of hospital performance league tables in 2025 signifies a policy change towards transparency and accountability for performance with managerial appraisal and incentives now being related to financial control as well as patient care (Department of Health and Social Care, 2025).</w:t>
      </w:r>
    </w:p>
    <w:p w14:paraId="0688804F" w14:textId="77777777" w:rsidR="0095454B" w:rsidRPr="00241380" w:rsidRDefault="0095454B" w:rsidP="00241380">
      <w:pPr>
        <w:spacing w:line="360" w:lineRule="auto"/>
        <w:jc w:val="both"/>
        <w:rPr>
          <w:rFonts w:ascii="Times New Roman" w:hAnsi="Times New Roman" w:cs="Times New Roman"/>
        </w:rPr>
      </w:pPr>
    </w:p>
    <w:p w14:paraId="2C50273D" w14:textId="77777777"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Overall, the integration of financial and non-financial performance data allows NHS managers to make evidence-based strategic decisions that balance efficiency, service quality, and equity in healthcare delivery, ensuring sustainability in an environment of fiscal constraint and rising demand.</w:t>
      </w:r>
    </w:p>
    <w:p w14:paraId="107635A3" w14:textId="4F3979BC" w:rsidR="0095454B" w:rsidRPr="00241380" w:rsidRDefault="004E0943" w:rsidP="00241380">
      <w:pPr>
        <w:pStyle w:val="Heading1"/>
      </w:pPr>
      <w:bookmarkStart w:id="4" w:name="_Toc211174643"/>
      <w:r w:rsidRPr="00241380">
        <w:t>S</w:t>
      </w:r>
      <w:r w:rsidR="0095454B" w:rsidRPr="00241380">
        <w:t>ustainability and Ethical Considerations</w:t>
      </w:r>
      <w:bookmarkEnd w:id="4"/>
      <w:r w:rsidR="0095454B" w:rsidRPr="00241380">
        <w:t xml:space="preserve"> </w:t>
      </w:r>
    </w:p>
    <w:p w14:paraId="2AB4F534" w14:textId="4A0B8434" w:rsidR="00A874CE" w:rsidRPr="00241380" w:rsidRDefault="00A874CE" w:rsidP="00241380">
      <w:pPr>
        <w:spacing w:line="360" w:lineRule="auto"/>
        <w:jc w:val="both"/>
        <w:rPr>
          <w:rFonts w:ascii="Times New Roman" w:hAnsi="Times New Roman" w:cs="Times New Roman"/>
        </w:rPr>
      </w:pPr>
      <w:r w:rsidRPr="00A874CE">
        <w:rPr>
          <w:rFonts w:ascii="Times New Roman" w:hAnsi="Times New Roman" w:cs="Times New Roman"/>
        </w:rPr>
        <w:t>The National Health Service (NHS) has increasingly come to prioritise sustainability as a crucial aspect in strategic and financial decision-making. As the world’s largest public sector organisation</w:t>
      </w:r>
      <w:r w:rsidRPr="00241380">
        <w:rPr>
          <w:rFonts w:ascii="Times New Roman" w:hAnsi="Times New Roman" w:cs="Times New Roman"/>
        </w:rPr>
        <w:t>.</w:t>
      </w:r>
      <w:r w:rsidRPr="00A874CE">
        <w:rPr>
          <w:rFonts w:ascii="Times New Roman" w:hAnsi="Times New Roman" w:cs="Times New Roman"/>
        </w:rPr>
        <w:t xml:space="preserve"> The NHS recognises the essential need to balance economic efficiency with environmental stewardship and social equity (NHS England, 2023). Sustainability goals are now being incorporated into financial planning and investing activities through initiatives such </w:t>
      </w:r>
      <w:r w:rsidRPr="00A874CE">
        <w:rPr>
          <w:rFonts w:ascii="Times New Roman" w:hAnsi="Times New Roman" w:cs="Times New Roman"/>
        </w:rPr>
        <w:lastRenderedPageBreak/>
        <w:t xml:space="preserve">as ‘Delivering a Net Zero NHS’ which sets the value basis for the health service to achieve net-zero carbon emissions by 2040 (NHS England, 2020). Low-carbon infrastructure, renewable energy systems and green procurement processes are now the order of the day for capital budgets with financial resource allocation tied </w:t>
      </w:r>
      <w:r w:rsidRPr="00241380">
        <w:rPr>
          <w:rFonts w:ascii="Times New Roman" w:hAnsi="Times New Roman" w:cs="Times New Roman"/>
        </w:rPr>
        <w:t>into</w:t>
      </w:r>
      <w:r w:rsidRPr="00A874CE">
        <w:rPr>
          <w:rFonts w:ascii="Times New Roman" w:hAnsi="Times New Roman" w:cs="Times New Roman"/>
        </w:rPr>
        <w:t xml:space="preserve"> </w:t>
      </w:r>
      <w:r w:rsidRPr="00241380">
        <w:rPr>
          <w:rFonts w:ascii="Times New Roman" w:hAnsi="Times New Roman" w:cs="Times New Roman"/>
        </w:rPr>
        <w:t>long-term</w:t>
      </w:r>
      <w:r w:rsidRPr="00A874CE">
        <w:rPr>
          <w:rFonts w:ascii="Times New Roman" w:hAnsi="Times New Roman" w:cs="Times New Roman"/>
        </w:rPr>
        <w:t xml:space="preserve"> environmental targets (The Health Foundation, 2024). Furthermore, management accounting also enables sustainability </w:t>
      </w:r>
      <w:r w:rsidRPr="00241380">
        <w:rPr>
          <w:rFonts w:ascii="Times New Roman" w:hAnsi="Times New Roman" w:cs="Times New Roman"/>
        </w:rPr>
        <w:t>using</w:t>
      </w:r>
      <w:r w:rsidRPr="00A874CE">
        <w:rPr>
          <w:rFonts w:ascii="Times New Roman" w:hAnsi="Times New Roman" w:cs="Times New Roman"/>
        </w:rPr>
        <w:t xml:space="preserve"> specific tools such as lifecycle costing and sustainability reporting that helps managers in assessing short-term financial performance and </w:t>
      </w:r>
      <w:r w:rsidRPr="00241380">
        <w:rPr>
          <w:rFonts w:ascii="Times New Roman" w:hAnsi="Times New Roman" w:cs="Times New Roman"/>
        </w:rPr>
        <w:t>long-term</w:t>
      </w:r>
      <w:r w:rsidRPr="00A874CE">
        <w:rPr>
          <w:rFonts w:ascii="Times New Roman" w:hAnsi="Times New Roman" w:cs="Times New Roman"/>
        </w:rPr>
        <w:t xml:space="preserve"> environmental impact (CIMA, 2021).</w:t>
      </w:r>
    </w:p>
    <w:p w14:paraId="3479F183" w14:textId="37A74317" w:rsidR="0057227E" w:rsidRPr="00241380" w:rsidRDefault="0057227E" w:rsidP="00241380">
      <w:pPr>
        <w:spacing w:line="360" w:lineRule="auto"/>
        <w:jc w:val="both"/>
        <w:rPr>
          <w:rFonts w:ascii="Times New Roman" w:hAnsi="Times New Roman" w:cs="Times New Roman"/>
        </w:rPr>
      </w:pPr>
      <w:r w:rsidRPr="00241380">
        <w:rPr>
          <w:rFonts w:ascii="Times New Roman" w:hAnsi="Times New Roman" w:cs="Times New Roman"/>
          <w:noProof/>
        </w:rPr>
        <w:drawing>
          <wp:inline distT="0" distB="0" distL="0" distR="0" wp14:anchorId="4613FB32" wp14:editId="7E4DDDB7">
            <wp:extent cx="3474720" cy="2119070"/>
            <wp:effectExtent l="0" t="0" r="0" b="0"/>
            <wp:docPr id="12654392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78759" cy="2121533"/>
                    </a:xfrm>
                    <a:prstGeom prst="rect">
                      <a:avLst/>
                    </a:prstGeom>
                    <a:noFill/>
                    <a:ln>
                      <a:noFill/>
                    </a:ln>
                  </pic:spPr>
                </pic:pic>
              </a:graphicData>
            </a:graphic>
          </wp:inline>
        </w:drawing>
      </w:r>
    </w:p>
    <w:p w14:paraId="4E399F46" w14:textId="77777777" w:rsidR="0057227E" w:rsidRPr="00241380" w:rsidRDefault="0057227E" w:rsidP="00241380">
      <w:pPr>
        <w:spacing w:line="360" w:lineRule="auto"/>
        <w:jc w:val="both"/>
        <w:rPr>
          <w:rFonts w:ascii="Times New Roman" w:hAnsi="Times New Roman" w:cs="Times New Roman"/>
        </w:rPr>
      </w:pPr>
    </w:p>
    <w:p w14:paraId="5F8F3690" w14:textId="77777777"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Ethical considerations are equally significant in NHS cost management and resource allocation. Unlike profit-oriented firms, the NHS operates within a moral framework based on equity, access, and fairness. Cost-management decisions must therefore ensure that efficiency improvements do not compromise patient safety or quality of care (Drury, 2022). For example, initiatives such as cost-saving through staff reductions or service consolidation must be evaluated against their potential ethical consequences on patient outcomes and workforce welfare.</w:t>
      </w:r>
    </w:p>
    <w:p w14:paraId="142D1A17" w14:textId="77777777" w:rsidR="0095454B" w:rsidRPr="00241380" w:rsidRDefault="0095454B" w:rsidP="00241380">
      <w:pPr>
        <w:spacing w:line="360" w:lineRule="auto"/>
        <w:jc w:val="both"/>
        <w:rPr>
          <w:rFonts w:ascii="Times New Roman" w:hAnsi="Times New Roman" w:cs="Times New Roman"/>
        </w:rPr>
      </w:pPr>
    </w:p>
    <w:p w14:paraId="214EADCA" w14:textId="795ADEFF"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 xml:space="preserve">Furthermore, ethical decision-making extends to procurement and supplier management, where the NHS is expected to uphold standards of transparency, fair labour practices, and environmental compliance (Department of Health and Social </w:t>
      </w:r>
      <w:r w:rsidR="004E0943" w:rsidRPr="00241380">
        <w:rPr>
          <w:rFonts w:ascii="Times New Roman" w:hAnsi="Times New Roman" w:cs="Times New Roman"/>
        </w:rPr>
        <w:t>Care,</w:t>
      </w:r>
      <w:r w:rsidRPr="00241380">
        <w:rPr>
          <w:rFonts w:ascii="Times New Roman" w:hAnsi="Times New Roman" w:cs="Times New Roman"/>
        </w:rPr>
        <w:t xml:space="preserve"> 2024). While the NHS does not engage in market-based pricing, ethical principles underpin its resource prioritisation ensuring that treatments are allocated based on clinical need rather than cost-effectiveness alone.</w:t>
      </w:r>
    </w:p>
    <w:p w14:paraId="626DD228" w14:textId="77777777" w:rsidR="0095454B" w:rsidRPr="00241380" w:rsidRDefault="0095454B" w:rsidP="00241380">
      <w:pPr>
        <w:spacing w:line="360" w:lineRule="auto"/>
        <w:jc w:val="both"/>
        <w:rPr>
          <w:rFonts w:ascii="Times New Roman" w:hAnsi="Times New Roman" w:cs="Times New Roman"/>
        </w:rPr>
      </w:pPr>
    </w:p>
    <w:p w14:paraId="6AB5B629" w14:textId="2A243614" w:rsidR="0095454B" w:rsidRPr="00241380" w:rsidRDefault="0095454B" w:rsidP="00241380">
      <w:pPr>
        <w:spacing w:line="360" w:lineRule="auto"/>
        <w:jc w:val="both"/>
        <w:rPr>
          <w:rFonts w:ascii="Times New Roman" w:hAnsi="Times New Roman" w:cs="Times New Roman"/>
        </w:rPr>
      </w:pPr>
      <w:r w:rsidRPr="00241380">
        <w:rPr>
          <w:rFonts w:ascii="Times New Roman" w:hAnsi="Times New Roman" w:cs="Times New Roman"/>
        </w:rPr>
        <w:t>Overall, integrating sustainability and ethics into financial decision-making strengthens the NHS’s legitimacy, enhances public trust, and ensures that financial efficiency aligns with its broader social purpose.</w:t>
      </w:r>
    </w:p>
    <w:p w14:paraId="15214BD7" w14:textId="77777777" w:rsidR="004E0943" w:rsidRPr="00241380" w:rsidRDefault="004E0943" w:rsidP="00241380">
      <w:pPr>
        <w:spacing w:line="360" w:lineRule="auto"/>
        <w:jc w:val="both"/>
        <w:rPr>
          <w:rFonts w:ascii="Times New Roman" w:hAnsi="Times New Roman" w:cs="Times New Roman"/>
        </w:rPr>
      </w:pPr>
    </w:p>
    <w:p w14:paraId="20F81E7D" w14:textId="74129C59" w:rsidR="004E0943" w:rsidRPr="00241380" w:rsidRDefault="004E0943" w:rsidP="00241380">
      <w:pPr>
        <w:pStyle w:val="Heading1"/>
      </w:pPr>
      <w:bookmarkStart w:id="5" w:name="_Toc211174644"/>
      <w:r w:rsidRPr="00241380">
        <w:t>Conclusion and Recommendations</w:t>
      </w:r>
      <w:bookmarkEnd w:id="5"/>
      <w:r w:rsidRPr="00241380">
        <w:t xml:space="preserve"> </w:t>
      </w:r>
    </w:p>
    <w:p w14:paraId="69B65662" w14:textId="77777777" w:rsidR="004E0943" w:rsidRPr="00241380" w:rsidRDefault="004E0943" w:rsidP="00241380">
      <w:pPr>
        <w:spacing w:line="360" w:lineRule="auto"/>
        <w:jc w:val="both"/>
        <w:rPr>
          <w:rFonts w:ascii="Times New Roman" w:hAnsi="Times New Roman" w:cs="Times New Roman"/>
        </w:rPr>
      </w:pPr>
    </w:p>
    <w:p w14:paraId="131CD78E" w14:textId="4FE41DCC" w:rsidR="004E0943" w:rsidRPr="00241380" w:rsidRDefault="004E0943" w:rsidP="00241380">
      <w:pPr>
        <w:spacing w:line="360" w:lineRule="auto"/>
        <w:jc w:val="both"/>
        <w:rPr>
          <w:rFonts w:ascii="Times New Roman" w:hAnsi="Times New Roman" w:cs="Times New Roman"/>
        </w:rPr>
      </w:pPr>
      <w:r w:rsidRPr="00241380">
        <w:rPr>
          <w:rFonts w:ascii="Times New Roman" w:hAnsi="Times New Roman" w:cs="Times New Roman"/>
        </w:rPr>
        <w:t xml:space="preserve">In </w:t>
      </w:r>
      <w:r w:rsidR="00A351EB" w:rsidRPr="00241380">
        <w:rPr>
          <w:rFonts w:ascii="Times New Roman" w:hAnsi="Times New Roman" w:cs="Times New Roman"/>
        </w:rPr>
        <w:t>this report</w:t>
      </w:r>
      <w:r w:rsidRPr="00241380">
        <w:rPr>
          <w:rFonts w:ascii="Times New Roman" w:hAnsi="Times New Roman" w:cs="Times New Roman"/>
        </w:rPr>
        <w:t xml:space="preserve"> I have </w:t>
      </w:r>
      <w:r w:rsidR="0057227E" w:rsidRPr="00241380">
        <w:rPr>
          <w:rFonts w:ascii="Times New Roman" w:hAnsi="Times New Roman" w:cs="Times New Roman"/>
        </w:rPr>
        <w:t>been demonstrated</w:t>
      </w:r>
      <w:r w:rsidRPr="00241380">
        <w:rPr>
          <w:rFonts w:ascii="Times New Roman" w:hAnsi="Times New Roman" w:cs="Times New Roman"/>
        </w:rPr>
        <w:t xml:space="preserve"> that effective management accounting is essential for supporting financial sustainability and strategic decision-making within the National Health Service (NHS). The analysis highlighted how management accounting tools such as budgeting, cost analysis, and performance measurement enable NHS managers to allocate resources efficiently, monitor performance, and maintain accountability. Furthermore, sustainability and ethical considerations have become integral to financial decision-making, ensuring that cost efficiency aligns with environmental responsibility and equitable patient care (Drury, 2022; NHS England, 2023).</w:t>
      </w:r>
    </w:p>
    <w:p w14:paraId="54860FEB" w14:textId="10A11CF1" w:rsidR="004E0943" w:rsidRPr="00241380" w:rsidRDefault="0057227E" w:rsidP="00241380">
      <w:pPr>
        <w:pStyle w:val="Heading1"/>
      </w:pPr>
      <w:bookmarkStart w:id="6" w:name="_Toc211174645"/>
      <w:r w:rsidRPr="00241380">
        <w:t>Recommendations</w:t>
      </w:r>
      <w:bookmarkEnd w:id="6"/>
      <w:r w:rsidRPr="00241380">
        <w:t xml:space="preserve"> </w:t>
      </w:r>
    </w:p>
    <w:p w14:paraId="71A5BDCA" w14:textId="7F77B12F" w:rsidR="00241380" w:rsidRPr="00241380" w:rsidRDefault="00241380" w:rsidP="00241380">
      <w:pPr>
        <w:spacing w:line="360" w:lineRule="auto"/>
        <w:jc w:val="both"/>
        <w:rPr>
          <w:rFonts w:ascii="Times New Roman" w:hAnsi="Times New Roman" w:cs="Times New Roman"/>
        </w:rPr>
      </w:pPr>
      <w:r w:rsidRPr="00241380">
        <w:rPr>
          <w:rFonts w:ascii="Times New Roman" w:hAnsi="Times New Roman" w:cs="Times New Roman"/>
        </w:rPr>
        <w:t xml:space="preserve">To improve future performance, the NHS needs to place greater emphasis on the fit between financial and operational management. An emerging second generation of comprehensive cost implementation focused on extensive activity-based costing and advanced financial performance dashboards is additionally identifying KPIs that connect expenditure to patient outcomes, underpinning value-added decision making and achievement of lean standard costs (CIMA16, 2021). Further investment in digital financial management systems alongside real-time analytics would enhance the reliability of forecasting, resource distribution and transparency across trusts (The Health Foundation, 2024). Second, integrating environmental accountancy into NHS budgeting systems would create an additional organisational system to ensure that sustainability targets – be they emissions reduction or driving low carbon procurement </w:t>
      </w:r>
      <w:r w:rsidRPr="00241380">
        <w:rPr>
          <w:rFonts w:ascii="Times New Roman" w:hAnsi="Times New Roman" w:cs="Times New Roman"/>
        </w:rPr>
        <w:t>action are</w:t>
      </w:r>
      <w:r w:rsidRPr="00241380">
        <w:rPr>
          <w:rFonts w:ascii="Times New Roman" w:hAnsi="Times New Roman" w:cs="Times New Roman"/>
        </w:rPr>
        <w:t xml:space="preserve"> embedded within financial planning (NHS England, 2020). These strategies overall improve efficiency, accountability and long-term sustainability while maintaining the NHS’s ethical commitment to equitable access and patient interests (Drury, 2022; NHS England, 2023). Combining that knowledge with financial, digital and </w:t>
      </w:r>
      <w:r w:rsidRPr="00241380">
        <w:rPr>
          <w:rFonts w:ascii="Times New Roman" w:hAnsi="Times New Roman" w:cs="Times New Roman"/>
        </w:rPr>
        <w:lastRenderedPageBreak/>
        <w:t>environmental innovation will enable the NHS to remain both resilient and responsive to future healthcare needs.</w:t>
      </w:r>
    </w:p>
    <w:p w14:paraId="2882A325" w14:textId="6E061470" w:rsidR="004E0943" w:rsidRPr="00241380" w:rsidRDefault="0057227E" w:rsidP="00241380">
      <w:pPr>
        <w:spacing w:line="360" w:lineRule="auto"/>
        <w:jc w:val="both"/>
        <w:rPr>
          <w:rFonts w:ascii="Times New Roman" w:hAnsi="Times New Roman" w:cs="Times New Roman"/>
        </w:rPr>
      </w:pPr>
      <w:r w:rsidRPr="00241380">
        <w:rPr>
          <w:rFonts w:ascii="Times New Roman" w:hAnsi="Times New Roman" w:cs="Times New Roman"/>
        </w:rPr>
        <w:t xml:space="preserve">The </w:t>
      </w:r>
      <w:r w:rsidR="004E0943" w:rsidRPr="00241380">
        <w:rPr>
          <w:rFonts w:ascii="Times New Roman" w:hAnsi="Times New Roman" w:cs="Times New Roman"/>
        </w:rPr>
        <w:t>NHS can improve efficiency, accountability, and sustainability while continuing to deliver high-quality, equitable healthcare.</w:t>
      </w:r>
    </w:p>
    <w:p w14:paraId="4854AB38" w14:textId="77777777" w:rsidR="004E0943" w:rsidRPr="00241380" w:rsidRDefault="004E0943" w:rsidP="00241380">
      <w:pPr>
        <w:pStyle w:val="Heading1"/>
      </w:pPr>
    </w:p>
    <w:p w14:paraId="2DCD4E57" w14:textId="2FD24CDF" w:rsidR="0095454B" w:rsidRPr="00241380" w:rsidRDefault="0057227E" w:rsidP="00241380">
      <w:pPr>
        <w:pStyle w:val="Heading1"/>
      </w:pPr>
      <w:bookmarkStart w:id="7" w:name="_Toc211174646"/>
      <w:r w:rsidRPr="00241380">
        <w:t>References:</w:t>
      </w:r>
      <w:bookmarkEnd w:id="7"/>
    </w:p>
    <w:p w14:paraId="23A82B04" w14:textId="77777777" w:rsidR="0057227E" w:rsidRPr="00241380" w:rsidRDefault="0057227E" w:rsidP="00241380">
      <w:pPr>
        <w:spacing w:line="360" w:lineRule="auto"/>
        <w:jc w:val="both"/>
        <w:rPr>
          <w:rFonts w:ascii="Times New Roman" w:hAnsi="Times New Roman" w:cs="Times New Roman"/>
        </w:rPr>
      </w:pPr>
    </w:p>
    <w:p w14:paraId="3E548DA2" w14:textId="1586D276" w:rsidR="001718D1" w:rsidRPr="00241380" w:rsidRDefault="0057227E" w:rsidP="00241380">
      <w:pPr>
        <w:spacing w:line="360" w:lineRule="auto"/>
        <w:jc w:val="both"/>
        <w:rPr>
          <w:rFonts w:ascii="Times New Roman" w:hAnsi="Times New Roman" w:cs="Times New Roman"/>
        </w:rPr>
      </w:pPr>
      <w:r w:rsidRPr="00241380">
        <w:rPr>
          <w:rFonts w:ascii="Times New Roman" w:hAnsi="Times New Roman" w:cs="Times New Roman"/>
        </w:rPr>
        <w:tab/>
      </w:r>
      <w:r w:rsidR="00241380">
        <w:rPr>
          <w:rFonts w:ascii="Times New Roman" w:hAnsi="Times New Roman" w:cs="Times New Roman"/>
        </w:rPr>
        <w:t xml:space="preserve">1.       </w:t>
      </w:r>
      <w:r w:rsidR="001718D1" w:rsidRPr="00241380">
        <w:rPr>
          <w:rFonts w:ascii="Times New Roman" w:hAnsi="Times New Roman" w:cs="Times New Roman"/>
        </w:rPr>
        <w:t>Chartered Institute of Management Accountants (CIMA) (2021) Management Accounting: Business Strategy and Decision Making. London: CIMA.</w:t>
      </w:r>
    </w:p>
    <w:p w14:paraId="4CCA551F" w14:textId="77777777" w:rsidR="001718D1" w:rsidRPr="00241380" w:rsidRDefault="001718D1" w:rsidP="00241380">
      <w:pPr>
        <w:spacing w:line="360" w:lineRule="auto"/>
        <w:jc w:val="both"/>
        <w:rPr>
          <w:rFonts w:ascii="Times New Roman" w:hAnsi="Times New Roman" w:cs="Times New Roman"/>
        </w:rPr>
      </w:pPr>
      <w:r w:rsidRPr="00241380">
        <w:rPr>
          <w:rFonts w:ascii="Times New Roman" w:hAnsi="Times New Roman" w:cs="Times New Roman"/>
        </w:rPr>
        <w:tab/>
        <w:t>2.</w:t>
      </w:r>
      <w:r w:rsidRPr="00241380">
        <w:rPr>
          <w:rFonts w:ascii="Times New Roman" w:hAnsi="Times New Roman" w:cs="Times New Roman"/>
        </w:rPr>
        <w:tab/>
        <w:t xml:space="preserve">Drury, C. (2022) Management and Cost Accounting. 11th </w:t>
      </w:r>
      <w:proofErr w:type="spellStart"/>
      <w:r w:rsidRPr="00241380">
        <w:rPr>
          <w:rFonts w:ascii="Times New Roman" w:hAnsi="Times New Roman" w:cs="Times New Roman"/>
        </w:rPr>
        <w:t>edn</w:t>
      </w:r>
      <w:proofErr w:type="spellEnd"/>
      <w:r w:rsidRPr="00241380">
        <w:rPr>
          <w:rFonts w:ascii="Times New Roman" w:hAnsi="Times New Roman" w:cs="Times New Roman"/>
        </w:rPr>
        <w:t>. Andover: Cengage Learning.</w:t>
      </w:r>
    </w:p>
    <w:p w14:paraId="093054DD" w14:textId="77777777" w:rsidR="001718D1" w:rsidRPr="00241380" w:rsidRDefault="001718D1" w:rsidP="00241380">
      <w:pPr>
        <w:spacing w:line="360" w:lineRule="auto"/>
        <w:jc w:val="both"/>
        <w:rPr>
          <w:rFonts w:ascii="Times New Roman" w:hAnsi="Times New Roman" w:cs="Times New Roman"/>
        </w:rPr>
      </w:pPr>
      <w:r w:rsidRPr="00241380">
        <w:rPr>
          <w:rFonts w:ascii="Times New Roman" w:hAnsi="Times New Roman" w:cs="Times New Roman"/>
        </w:rPr>
        <w:tab/>
        <w:t>3.</w:t>
      </w:r>
      <w:r w:rsidRPr="00241380">
        <w:rPr>
          <w:rFonts w:ascii="Times New Roman" w:hAnsi="Times New Roman" w:cs="Times New Roman"/>
        </w:rPr>
        <w:tab/>
        <w:t>NHS England (2020) Delivering a Net Zero NHS. London: NHS England.</w:t>
      </w:r>
    </w:p>
    <w:p w14:paraId="1E346A85" w14:textId="77777777" w:rsidR="001718D1" w:rsidRPr="00241380" w:rsidRDefault="001718D1" w:rsidP="00241380">
      <w:pPr>
        <w:spacing w:line="360" w:lineRule="auto"/>
        <w:jc w:val="both"/>
        <w:rPr>
          <w:rFonts w:ascii="Times New Roman" w:hAnsi="Times New Roman" w:cs="Times New Roman"/>
        </w:rPr>
      </w:pPr>
      <w:r w:rsidRPr="00241380">
        <w:rPr>
          <w:rFonts w:ascii="Times New Roman" w:hAnsi="Times New Roman" w:cs="Times New Roman"/>
        </w:rPr>
        <w:tab/>
        <w:t>4.</w:t>
      </w:r>
      <w:r w:rsidRPr="00241380">
        <w:rPr>
          <w:rFonts w:ascii="Times New Roman" w:hAnsi="Times New Roman" w:cs="Times New Roman"/>
        </w:rPr>
        <w:tab/>
        <w:t>NHS England (2023) Annual Report and Accounts 2023/24. London: NHS England.</w:t>
      </w:r>
    </w:p>
    <w:p w14:paraId="5BE727B0" w14:textId="77777777" w:rsidR="001718D1" w:rsidRPr="00241380" w:rsidRDefault="001718D1" w:rsidP="00241380">
      <w:pPr>
        <w:spacing w:line="360" w:lineRule="auto"/>
        <w:jc w:val="both"/>
        <w:rPr>
          <w:rFonts w:ascii="Times New Roman" w:hAnsi="Times New Roman" w:cs="Times New Roman"/>
        </w:rPr>
      </w:pPr>
      <w:r w:rsidRPr="00241380">
        <w:rPr>
          <w:rFonts w:ascii="Times New Roman" w:hAnsi="Times New Roman" w:cs="Times New Roman"/>
        </w:rPr>
        <w:tab/>
        <w:t>5.</w:t>
      </w:r>
      <w:r w:rsidRPr="00241380">
        <w:rPr>
          <w:rFonts w:ascii="Times New Roman" w:hAnsi="Times New Roman" w:cs="Times New Roman"/>
        </w:rPr>
        <w:tab/>
        <w:t>The Health Foundation (2024) Investing in the Future NHS: Digital Transformation and System Efficiency. London: The Health Foundation.</w:t>
      </w:r>
    </w:p>
    <w:p w14:paraId="4DEA6DB1" w14:textId="77777777" w:rsidR="001718D1" w:rsidRPr="00241380" w:rsidRDefault="001718D1" w:rsidP="00241380">
      <w:pPr>
        <w:spacing w:line="360" w:lineRule="auto"/>
        <w:jc w:val="both"/>
        <w:rPr>
          <w:rFonts w:ascii="Times New Roman" w:hAnsi="Times New Roman" w:cs="Times New Roman"/>
        </w:rPr>
      </w:pPr>
      <w:r w:rsidRPr="00241380">
        <w:rPr>
          <w:rFonts w:ascii="Times New Roman" w:hAnsi="Times New Roman" w:cs="Times New Roman"/>
        </w:rPr>
        <w:tab/>
        <w:t>6.</w:t>
      </w:r>
      <w:r w:rsidRPr="00241380">
        <w:rPr>
          <w:rFonts w:ascii="Times New Roman" w:hAnsi="Times New Roman" w:cs="Times New Roman"/>
        </w:rPr>
        <w:tab/>
        <w:t>Department of Health and Social Care (DHSC) (2024) Procurement Policy and Ethical Standards in Public Health. London: DHSC.</w:t>
      </w:r>
    </w:p>
    <w:p w14:paraId="357F0893" w14:textId="77777777" w:rsidR="001718D1" w:rsidRPr="00241380" w:rsidRDefault="001718D1" w:rsidP="00241380">
      <w:pPr>
        <w:spacing w:line="360" w:lineRule="auto"/>
        <w:jc w:val="both"/>
        <w:rPr>
          <w:rFonts w:ascii="Times New Roman" w:hAnsi="Times New Roman" w:cs="Times New Roman"/>
        </w:rPr>
      </w:pPr>
      <w:r w:rsidRPr="00241380">
        <w:rPr>
          <w:rFonts w:ascii="Times New Roman" w:hAnsi="Times New Roman" w:cs="Times New Roman"/>
        </w:rPr>
        <w:tab/>
        <w:t>7.</w:t>
      </w:r>
      <w:r w:rsidRPr="00241380">
        <w:rPr>
          <w:rFonts w:ascii="Times New Roman" w:hAnsi="Times New Roman" w:cs="Times New Roman"/>
        </w:rPr>
        <w:tab/>
        <w:t>NHS England (2023) Sustainability and Transformation Partnerships Progress Report. London: NHS England.</w:t>
      </w:r>
    </w:p>
    <w:p w14:paraId="6578D11B" w14:textId="77777777" w:rsidR="001718D1" w:rsidRPr="00241380" w:rsidRDefault="001718D1" w:rsidP="00241380">
      <w:pPr>
        <w:spacing w:line="360" w:lineRule="auto"/>
        <w:jc w:val="both"/>
        <w:rPr>
          <w:rFonts w:ascii="Times New Roman" w:hAnsi="Times New Roman" w:cs="Times New Roman"/>
        </w:rPr>
      </w:pPr>
      <w:r w:rsidRPr="00241380">
        <w:rPr>
          <w:rFonts w:ascii="Times New Roman" w:hAnsi="Times New Roman" w:cs="Times New Roman"/>
        </w:rPr>
        <w:tab/>
        <w:t>8.</w:t>
      </w:r>
      <w:r w:rsidRPr="00241380">
        <w:rPr>
          <w:rFonts w:ascii="Times New Roman" w:hAnsi="Times New Roman" w:cs="Times New Roman"/>
        </w:rPr>
        <w:tab/>
        <w:t>HM Treasury (2023) Public Expenditure Statistical Analyses 2023. London: The Stationery Office.</w:t>
      </w:r>
    </w:p>
    <w:p w14:paraId="66FAF39D" w14:textId="77777777" w:rsidR="001718D1" w:rsidRPr="00241380" w:rsidRDefault="001718D1" w:rsidP="00241380">
      <w:pPr>
        <w:spacing w:line="360" w:lineRule="auto"/>
        <w:jc w:val="both"/>
        <w:rPr>
          <w:rFonts w:ascii="Times New Roman" w:hAnsi="Times New Roman" w:cs="Times New Roman"/>
        </w:rPr>
      </w:pPr>
      <w:r w:rsidRPr="00241380">
        <w:rPr>
          <w:rFonts w:ascii="Times New Roman" w:hAnsi="Times New Roman" w:cs="Times New Roman"/>
        </w:rPr>
        <w:tab/>
        <w:t>9.</w:t>
      </w:r>
      <w:r w:rsidRPr="00241380">
        <w:rPr>
          <w:rFonts w:ascii="Times New Roman" w:hAnsi="Times New Roman" w:cs="Times New Roman"/>
        </w:rPr>
        <w:tab/>
        <w:t>NHS Digital (2023) NHS Workforce Statistics. London: NHS Digital.</w:t>
      </w:r>
    </w:p>
    <w:p w14:paraId="0586F91F" w14:textId="4460C313" w:rsidR="001718D1" w:rsidRPr="00241380" w:rsidRDefault="001718D1" w:rsidP="00241380">
      <w:pPr>
        <w:spacing w:line="360" w:lineRule="auto"/>
        <w:jc w:val="both"/>
        <w:rPr>
          <w:rFonts w:ascii="Times New Roman" w:hAnsi="Times New Roman" w:cs="Times New Roman"/>
        </w:rPr>
      </w:pPr>
      <w:r w:rsidRPr="00241380">
        <w:rPr>
          <w:rFonts w:ascii="Times New Roman" w:hAnsi="Times New Roman" w:cs="Times New Roman"/>
        </w:rPr>
        <w:tab/>
        <w:t>10.</w:t>
      </w:r>
      <w:r w:rsidRPr="00241380">
        <w:rPr>
          <w:rFonts w:ascii="Times New Roman" w:hAnsi="Times New Roman" w:cs="Times New Roman"/>
        </w:rPr>
        <w:tab/>
        <w:t>The King’s Fund (2024) The NHS Budget: How It Works and Where the Money Goes. London: The King’s Fund.</w:t>
      </w:r>
    </w:p>
    <w:p w14:paraId="5555D56D" w14:textId="47DA18DD" w:rsidR="0095454B" w:rsidRPr="00241380" w:rsidRDefault="0095454B" w:rsidP="00241380">
      <w:pPr>
        <w:spacing w:line="360" w:lineRule="auto"/>
        <w:jc w:val="both"/>
        <w:rPr>
          <w:rFonts w:ascii="Times New Roman" w:hAnsi="Times New Roman" w:cs="Times New Roman"/>
        </w:rPr>
      </w:pPr>
    </w:p>
    <w:sectPr w:rsidR="0095454B" w:rsidRPr="0024138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4493B7" w14:textId="77777777" w:rsidR="00A9667E" w:rsidRDefault="00A9667E" w:rsidP="004E0943">
      <w:pPr>
        <w:spacing w:after="0" w:line="240" w:lineRule="auto"/>
      </w:pPr>
      <w:r>
        <w:separator/>
      </w:r>
    </w:p>
  </w:endnote>
  <w:endnote w:type="continuationSeparator" w:id="0">
    <w:p w14:paraId="5DB0B222" w14:textId="77777777" w:rsidR="00A9667E" w:rsidRDefault="00A9667E" w:rsidP="004E09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502"/>
      <w:docPartObj>
        <w:docPartGallery w:val="Page Numbers (Bottom of Page)"/>
        <w:docPartUnique/>
      </w:docPartObj>
    </w:sdtPr>
    <w:sdtContent>
      <w:p w14:paraId="4F630333" w14:textId="2A2906CF" w:rsidR="004E0943" w:rsidRDefault="004E0943">
        <w:pPr>
          <w:pStyle w:val="Footer"/>
          <w:jc w:val="right"/>
        </w:pPr>
        <w:r>
          <w:fldChar w:fldCharType="begin"/>
        </w:r>
        <w:r>
          <w:instrText>PAGE   \* MERGEFORMAT</w:instrText>
        </w:r>
        <w:r>
          <w:fldChar w:fldCharType="separate"/>
        </w:r>
        <w:r>
          <w:t>2</w:t>
        </w:r>
        <w:r>
          <w:fldChar w:fldCharType="end"/>
        </w:r>
      </w:p>
    </w:sdtContent>
  </w:sdt>
  <w:p w14:paraId="521FC185" w14:textId="77777777" w:rsidR="004E0943" w:rsidRDefault="004E09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C64A75" w14:textId="77777777" w:rsidR="00A9667E" w:rsidRDefault="00A9667E" w:rsidP="004E0943">
      <w:pPr>
        <w:spacing w:after="0" w:line="240" w:lineRule="auto"/>
      </w:pPr>
      <w:r>
        <w:separator/>
      </w:r>
    </w:p>
  </w:footnote>
  <w:footnote w:type="continuationSeparator" w:id="0">
    <w:p w14:paraId="5A5E0885" w14:textId="77777777" w:rsidR="00A9667E" w:rsidRDefault="00A9667E" w:rsidP="004E09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54B"/>
    <w:rsid w:val="001718D1"/>
    <w:rsid w:val="001F47C1"/>
    <w:rsid w:val="00241380"/>
    <w:rsid w:val="0039069A"/>
    <w:rsid w:val="004A2D0A"/>
    <w:rsid w:val="004E0943"/>
    <w:rsid w:val="0057227E"/>
    <w:rsid w:val="00764E65"/>
    <w:rsid w:val="00817BB0"/>
    <w:rsid w:val="008B6B9A"/>
    <w:rsid w:val="00951857"/>
    <w:rsid w:val="0095454B"/>
    <w:rsid w:val="00A351EB"/>
    <w:rsid w:val="00A874CE"/>
    <w:rsid w:val="00A929BF"/>
    <w:rsid w:val="00A9667E"/>
    <w:rsid w:val="00DE6CE9"/>
    <w:rsid w:val="00E67AAE"/>
    <w:rsid w:val="00F23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F3A5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4E09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943"/>
  </w:style>
  <w:style w:type="paragraph" w:styleId="Footer">
    <w:name w:val="footer"/>
    <w:basedOn w:val="Normal"/>
    <w:link w:val="FooterChar"/>
    <w:uiPriority w:val="99"/>
    <w:unhideWhenUsed/>
    <w:rsid w:val="004E09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943"/>
  </w:style>
  <w:style w:type="paragraph" w:styleId="TOCHeading">
    <w:name w:val="TOC Heading"/>
    <w:basedOn w:val="Heading1"/>
    <w:next w:val="Normal"/>
    <w:uiPriority w:val="39"/>
    <w:unhideWhenUsed/>
    <w:qFormat/>
    <w:rsid w:val="0024138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41380"/>
    <w:pPr>
      <w:spacing w:after="100"/>
    </w:pPr>
  </w:style>
  <w:style w:type="character" w:styleId="Hyperlink">
    <w:name w:val="Hyperlink"/>
    <w:basedOn w:val="DefaultParagraphFont"/>
    <w:uiPriority w:val="99"/>
    <w:unhideWhenUsed/>
    <w:rsid w:val="0024138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A01433-4C84-47D6-BC7E-491BF5358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2580</Words>
  <Characters>14706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2025-10-11T20:54:00Z</dcterms:created>
  <dcterms:modified xsi:type="dcterms:W3CDTF">2025-10-12T14:18:00Z</dcterms:modified>
</cp:coreProperties>
</file>