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b/>
          <w:color w:val="5B9BD5" w:themeColor="accent1"/>
          <w:sz w:val="24"/>
          <w:szCs w:val="24"/>
          <w:lang w:val="en-GB"/>
        </w:rPr>
        <w:id w:val="-1522475554"/>
        <w:docPartObj>
          <w:docPartGallery w:val="Cover Pages"/>
          <w:docPartUnique/>
        </w:docPartObj>
      </w:sdtPr>
      <w:sdtEndPr>
        <w:rPr>
          <w:rFonts w:eastAsiaTheme="majorEastAsia"/>
          <w:color w:val="auto"/>
        </w:rPr>
      </w:sdtEndPr>
      <w:sdtContent>
        <w:p w14:paraId="78ACA379" w14:textId="1B2381F3" w:rsidR="007D1947" w:rsidRPr="00CB422B" w:rsidRDefault="007D1947" w:rsidP="00CB422B">
          <w:pPr>
            <w:pStyle w:val="NoSpacing"/>
            <w:spacing w:before="1540" w:after="240" w:line="360" w:lineRule="auto"/>
            <w:jc w:val="both"/>
            <w:rPr>
              <w:rFonts w:ascii="Times New Roman" w:hAnsi="Times New Roman" w:cs="Times New Roman"/>
              <w:color w:val="5B9BD5" w:themeColor="accent1"/>
              <w:sz w:val="24"/>
              <w:szCs w:val="24"/>
            </w:rPr>
          </w:pPr>
          <w:r w:rsidRPr="00CB422B">
            <w:rPr>
              <w:rFonts w:ascii="Times New Roman" w:hAnsi="Times New Roman" w:cs="Times New Roman"/>
              <w:noProof/>
              <w:color w:val="5B9BD5" w:themeColor="accent1"/>
              <w:sz w:val="24"/>
              <w:szCs w:val="24"/>
              <w:lang w:val="en-IN" w:eastAsia="en-IN"/>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2085BC9" w14:textId="59F8C892" w:rsidR="007D1947" w:rsidRPr="00756E85" w:rsidRDefault="00756E85" w:rsidP="000546C7">
          <w:pPr>
            <w:pStyle w:val="Title"/>
            <w:jc w:val="center"/>
            <w:rPr>
              <w:rFonts w:ascii="Times New Roman" w:hAnsi="Times New Roman" w:cs="Times New Roman"/>
              <w:b/>
              <w:caps/>
              <w:color w:val="5B9BD5" w:themeColor="accent1"/>
              <w:sz w:val="24"/>
              <w:szCs w:val="24"/>
            </w:rPr>
          </w:pPr>
          <w:r w:rsidRPr="00756E85">
            <w:rPr>
              <w:rFonts w:ascii="Times New Roman" w:hAnsi="Times New Roman" w:cs="Times New Roman"/>
              <w:b/>
            </w:rPr>
            <w:t>Financial Management for the Hotel Industry</w:t>
          </w:r>
        </w:p>
        <w:p w14:paraId="65B5E730" w14:textId="495AD37B" w:rsidR="007D1947" w:rsidRPr="00CB422B" w:rsidRDefault="007D1947" w:rsidP="00CB422B">
          <w:pPr>
            <w:pStyle w:val="NoSpacing"/>
            <w:spacing w:line="360" w:lineRule="auto"/>
            <w:jc w:val="both"/>
            <w:rPr>
              <w:rFonts w:ascii="Times New Roman" w:hAnsi="Times New Roman" w:cs="Times New Roman"/>
              <w:color w:val="5B9BD5" w:themeColor="accent1"/>
              <w:sz w:val="24"/>
              <w:szCs w:val="24"/>
            </w:rPr>
          </w:pPr>
        </w:p>
        <w:p w14:paraId="0E730CFC" w14:textId="77777777" w:rsidR="007D1947" w:rsidRPr="00CB422B" w:rsidRDefault="007D1947" w:rsidP="00CB422B">
          <w:pPr>
            <w:pStyle w:val="NoSpacing"/>
            <w:spacing w:before="480" w:line="360" w:lineRule="auto"/>
            <w:jc w:val="both"/>
            <w:rPr>
              <w:rFonts w:ascii="Times New Roman" w:hAnsi="Times New Roman" w:cs="Times New Roman"/>
              <w:color w:val="5B9BD5" w:themeColor="accent1"/>
              <w:sz w:val="24"/>
              <w:szCs w:val="24"/>
            </w:rPr>
          </w:pPr>
          <w:r w:rsidRPr="00CB422B">
            <w:rPr>
              <w:rFonts w:ascii="Times New Roman" w:hAnsi="Times New Roman" w:cs="Times New Roman"/>
              <w:noProof/>
              <w:color w:val="5B9BD5" w:themeColor="accent1"/>
              <w:sz w:val="24"/>
              <w:szCs w:val="24"/>
              <w:lang w:val="en-IN" w:eastAsia="en-IN"/>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87935281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8731C0A"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53078492" w14:textId="77777777" w:rsidR="007D1947" w:rsidRDefault="00000000">
                                <w:pPr>
                                  <w:pStyle w:val="NoSpacing"/>
                                  <w:jc w:val="center"/>
                                  <w:rPr>
                                    <w:color w:val="5B9BD5" w:themeColor="accent1"/>
                                  </w:rPr>
                                </w:pPr>
                                <w:sdt>
                                  <w:sdtPr>
                                    <w:rPr>
                                      <w:caps/>
                                      <w:color w:val="5B9BD5" w:themeColor="accent1"/>
                                    </w:rPr>
                                    <w:alias w:val="Company"/>
                                    <w:tag w:val=""/>
                                    <w:id w:val="1480649535"/>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103508192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87935281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8731C0A"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53078492" w14:textId="77777777" w:rsidR="007D1947" w:rsidRDefault="00000000">
                          <w:pPr>
                            <w:pStyle w:val="NoSpacing"/>
                            <w:jc w:val="center"/>
                            <w:rPr>
                              <w:color w:val="5B9BD5" w:themeColor="accent1"/>
                            </w:rPr>
                          </w:pPr>
                          <w:sdt>
                            <w:sdtPr>
                              <w:rPr>
                                <w:caps/>
                                <w:color w:val="5B9BD5" w:themeColor="accent1"/>
                              </w:rPr>
                              <w:alias w:val="Company"/>
                              <w:tag w:val=""/>
                              <w:id w:val="1480649535"/>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103508192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CB422B">
            <w:rPr>
              <w:rFonts w:ascii="Times New Roman" w:hAnsi="Times New Roman" w:cs="Times New Roman"/>
              <w:noProof/>
              <w:color w:val="5B9BD5" w:themeColor="accent1"/>
              <w:sz w:val="24"/>
              <w:szCs w:val="24"/>
              <w:lang w:val="en-IN" w:eastAsia="en-IN"/>
            </w:rPr>
            <w:drawing>
              <wp:inline distT="0" distB="0" distL="0" distR="0" wp14:anchorId="37090206" wp14:editId="6F9F66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1D54D4" w14:textId="77777777" w:rsidR="00F36A7C" w:rsidRDefault="00F36A7C" w:rsidP="00F36A7C">
          <w:pPr>
            <w:rPr>
              <w:rFonts w:ascii="Times New Roman" w:hAnsi="Times New Roman" w:cs="Times New Roman"/>
              <w:sz w:val="28"/>
              <w:szCs w:val="28"/>
            </w:rPr>
          </w:pPr>
        </w:p>
        <w:p w14:paraId="7771E245" w14:textId="503C2830" w:rsidR="00F36A7C" w:rsidRDefault="00F36A7C" w:rsidP="00F36A7C">
          <w:pPr>
            <w:rPr>
              <w:rFonts w:ascii="Times New Roman" w:hAnsi="Times New Roman" w:cs="Times New Roman"/>
              <w:sz w:val="28"/>
              <w:szCs w:val="28"/>
            </w:rPr>
          </w:pPr>
        </w:p>
        <w:p w14:paraId="610AD026" w14:textId="77777777" w:rsidR="00865070" w:rsidRPr="00865070" w:rsidRDefault="00865070" w:rsidP="00865070">
          <w:pPr>
            <w:jc w:val="center"/>
            <w:rPr>
              <w:rFonts w:ascii="Times New Roman" w:hAnsi="Times New Roman" w:cs="Times New Roman"/>
              <w:sz w:val="44"/>
              <w:szCs w:val="44"/>
            </w:rPr>
          </w:pPr>
          <w:r w:rsidRPr="00865070">
            <w:rPr>
              <w:rFonts w:ascii="Times New Roman" w:hAnsi="Times New Roman" w:cs="Times New Roman"/>
              <w:sz w:val="44"/>
              <w:szCs w:val="44"/>
            </w:rPr>
            <w:t>Business Report</w:t>
          </w:r>
        </w:p>
        <w:p w14:paraId="2EDE8A96" w14:textId="2A776B78" w:rsidR="00865070" w:rsidRDefault="00865070" w:rsidP="00F36A7C">
          <w:pPr>
            <w:rPr>
              <w:rFonts w:ascii="Times New Roman" w:hAnsi="Times New Roman" w:cs="Times New Roman"/>
              <w:sz w:val="28"/>
              <w:szCs w:val="28"/>
            </w:rPr>
          </w:pPr>
        </w:p>
        <w:p w14:paraId="42629F4E" w14:textId="5C863C77" w:rsidR="00865070" w:rsidRDefault="00865070" w:rsidP="00F36A7C">
          <w:pPr>
            <w:rPr>
              <w:rFonts w:ascii="Times New Roman" w:hAnsi="Times New Roman" w:cs="Times New Roman"/>
              <w:sz w:val="28"/>
              <w:szCs w:val="28"/>
            </w:rPr>
          </w:pPr>
        </w:p>
        <w:p w14:paraId="24CA85DC" w14:textId="087E2097" w:rsidR="00865070" w:rsidRDefault="00865070" w:rsidP="00F36A7C">
          <w:pPr>
            <w:rPr>
              <w:rFonts w:ascii="Times New Roman" w:hAnsi="Times New Roman" w:cs="Times New Roman"/>
              <w:sz w:val="28"/>
              <w:szCs w:val="28"/>
            </w:rPr>
          </w:pPr>
        </w:p>
        <w:p w14:paraId="69B50843" w14:textId="77777777" w:rsidR="00865070" w:rsidRDefault="00865070" w:rsidP="00F36A7C">
          <w:pPr>
            <w:rPr>
              <w:rFonts w:ascii="Times New Roman" w:hAnsi="Times New Roman" w:cs="Times New Roman"/>
              <w:sz w:val="28"/>
              <w:szCs w:val="28"/>
            </w:rPr>
          </w:pPr>
        </w:p>
        <w:p w14:paraId="6ED7363D" w14:textId="044C1FF0" w:rsidR="004B636D" w:rsidRPr="00F36A7C" w:rsidRDefault="004B636D" w:rsidP="00F36A7C">
          <w:pPr>
            <w:rPr>
              <w:rFonts w:ascii="Times New Roman" w:hAnsi="Times New Roman" w:cs="Times New Roman"/>
              <w:sz w:val="28"/>
              <w:szCs w:val="28"/>
            </w:rPr>
          </w:pPr>
          <w:r w:rsidRPr="00F36A7C">
            <w:rPr>
              <w:rFonts w:ascii="Times New Roman" w:hAnsi="Times New Roman" w:cs="Times New Roman"/>
              <w:sz w:val="28"/>
              <w:szCs w:val="28"/>
            </w:rPr>
            <w:t xml:space="preserve">Student </w:t>
          </w:r>
          <w:proofErr w:type="spellStart"/>
          <w:r w:rsidRPr="00F36A7C">
            <w:rPr>
              <w:rFonts w:ascii="Times New Roman" w:hAnsi="Times New Roman" w:cs="Times New Roman"/>
              <w:sz w:val="28"/>
              <w:szCs w:val="28"/>
            </w:rPr>
            <w:t>Nume</w:t>
          </w:r>
          <w:proofErr w:type="spellEnd"/>
          <w:r w:rsidRPr="00F36A7C">
            <w:rPr>
              <w:rFonts w:ascii="Times New Roman" w:hAnsi="Times New Roman" w:cs="Times New Roman"/>
              <w:sz w:val="28"/>
              <w:szCs w:val="28"/>
            </w:rPr>
            <w:t>: Camelia Dragoi</w:t>
          </w:r>
        </w:p>
        <w:p w14:paraId="0CF59E30" w14:textId="77777777" w:rsidR="004B636D" w:rsidRPr="00F36A7C" w:rsidRDefault="004B636D" w:rsidP="00F36A7C">
          <w:pPr>
            <w:rPr>
              <w:rFonts w:ascii="Times New Roman" w:hAnsi="Times New Roman" w:cs="Times New Roman"/>
              <w:sz w:val="28"/>
              <w:szCs w:val="28"/>
            </w:rPr>
          </w:pPr>
          <w:r w:rsidRPr="00F36A7C">
            <w:rPr>
              <w:rFonts w:ascii="Times New Roman" w:hAnsi="Times New Roman" w:cs="Times New Roman"/>
              <w:sz w:val="28"/>
              <w:szCs w:val="28"/>
            </w:rPr>
            <w:t>Student Code: 2025269</w:t>
          </w:r>
        </w:p>
        <w:p w14:paraId="533CC934" w14:textId="3663E27C" w:rsidR="004B636D" w:rsidRPr="00F36A7C" w:rsidRDefault="004B636D" w:rsidP="00F36A7C">
          <w:pPr>
            <w:rPr>
              <w:rFonts w:ascii="Times New Roman" w:hAnsi="Times New Roman" w:cs="Times New Roman"/>
              <w:sz w:val="28"/>
              <w:szCs w:val="28"/>
            </w:rPr>
          </w:pPr>
          <w:r w:rsidRPr="00F36A7C">
            <w:rPr>
              <w:rFonts w:ascii="Times New Roman" w:hAnsi="Times New Roman" w:cs="Times New Roman"/>
              <w:sz w:val="28"/>
              <w:szCs w:val="28"/>
            </w:rPr>
            <w:t xml:space="preserve">Module </w:t>
          </w:r>
          <w:proofErr w:type="spellStart"/>
          <w:r w:rsidRPr="00F36A7C">
            <w:rPr>
              <w:rFonts w:ascii="Times New Roman" w:hAnsi="Times New Roman" w:cs="Times New Roman"/>
              <w:sz w:val="28"/>
              <w:szCs w:val="28"/>
            </w:rPr>
            <w:t>Nume</w:t>
          </w:r>
          <w:proofErr w:type="spellEnd"/>
          <w:r w:rsidRPr="00F36A7C">
            <w:rPr>
              <w:rFonts w:ascii="Times New Roman" w:hAnsi="Times New Roman" w:cs="Times New Roman"/>
              <w:sz w:val="28"/>
              <w:szCs w:val="28"/>
            </w:rPr>
            <w:t xml:space="preserve">: </w:t>
          </w:r>
          <w:proofErr w:type="gramStart"/>
          <w:r w:rsidRPr="00F36A7C">
            <w:rPr>
              <w:rFonts w:ascii="Times New Roman" w:hAnsi="Times New Roman" w:cs="Times New Roman"/>
              <w:sz w:val="28"/>
              <w:szCs w:val="28"/>
            </w:rPr>
            <w:t>Financial  Management</w:t>
          </w:r>
          <w:proofErr w:type="gramEnd"/>
          <w:r w:rsidRPr="00F36A7C">
            <w:rPr>
              <w:rFonts w:ascii="Times New Roman" w:hAnsi="Times New Roman" w:cs="Times New Roman"/>
              <w:sz w:val="28"/>
              <w:szCs w:val="28"/>
            </w:rPr>
            <w:t xml:space="preserve">  For The Hotel Industry</w:t>
          </w:r>
        </w:p>
        <w:p w14:paraId="34F3A2BB" w14:textId="01B69FA0" w:rsidR="004B636D" w:rsidRPr="00F36A7C" w:rsidRDefault="004B636D" w:rsidP="00F36A7C">
          <w:pPr>
            <w:rPr>
              <w:rFonts w:ascii="Times New Roman" w:hAnsi="Times New Roman" w:cs="Times New Roman"/>
              <w:sz w:val="28"/>
              <w:szCs w:val="28"/>
            </w:rPr>
          </w:pPr>
          <w:r w:rsidRPr="00F36A7C">
            <w:rPr>
              <w:rFonts w:ascii="Times New Roman" w:hAnsi="Times New Roman" w:cs="Times New Roman"/>
              <w:sz w:val="28"/>
              <w:szCs w:val="28"/>
            </w:rPr>
            <w:t>Module Code:  BMIH5007:  BMIH5002</w:t>
          </w:r>
        </w:p>
        <w:p w14:paraId="05520E6C" w14:textId="27D3572E" w:rsidR="004B636D" w:rsidRDefault="00F36A7C" w:rsidP="00F36A7C">
          <w:pPr>
            <w:rPr>
              <w:rFonts w:ascii="Times New Roman" w:hAnsi="Times New Roman" w:cs="Times New Roman"/>
              <w:sz w:val="28"/>
              <w:szCs w:val="28"/>
            </w:rPr>
          </w:pPr>
          <w:r w:rsidRPr="00F36A7C">
            <w:rPr>
              <w:rFonts w:ascii="Times New Roman" w:hAnsi="Times New Roman" w:cs="Times New Roman"/>
              <w:sz w:val="28"/>
              <w:szCs w:val="28"/>
            </w:rPr>
            <w:t>Lecturer: Dale Clarke</w:t>
          </w:r>
        </w:p>
        <w:p w14:paraId="71C446AA" w14:textId="11D7E87D" w:rsidR="00865070" w:rsidRDefault="00865070" w:rsidP="00F36A7C">
          <w:pPr>
            <w:rPr>
              <w:rFonts w:ascii="Times New Roman" w:hAnsi="Times New Roman" w:cs="Times New Roman"/>
              <w:sz w:val="28"/>
              <w:szCs w:val="28"/>
            </w:rPr>
          </w:pPr>
        </w:p>
        <w:p w14:paraId="6EC5CC47" w14:textId="67340F53" w:rsidR="007D1947" w:rsidRPr="00CB422B" w:rsidRDefault="007D1947" w:rsidP="00F36A7C">
          <w:r w:rsidRPr="00F36A7C">
            <w:rPr>
              <w:rFonts w:ascii="Times New Roman" w:hAnsi="Times New Roman" w:cs="Times New Roman"/>
              <w:sz w:val="28"/>
              <w:szCs w:val="28"/>
            </w:rPr>
            <w:br w:type="page"/>
          </w:r>
          <w:bookmarkStart w:id="0" w:name="_Toc124431021"/>
          <w:r w:rsidRPr="00CB422B">
            <w:lastRenderedPageBreak/>
            <w:t xml:space="preserve">Executive </w:t>
          </w:r>
          <w:r w:rsidRPr="00363D7B">
            <w:t>Summary</w:t>
          </w:r>
          <w:bookmarkEnd w:id="0"/>
        </w:p>
        <w:p w14:paraId="46F14963" w14:textId="00302C73" w:rsidR="007D1947" w:rsidRPr="00CB422B" w:rsidRDefault="002E5F5F"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report calculated the ratio of the Marriott international company financial statement for the years 2021 and 2020. The company’s financial position is not good in the year 2020 due to the higher amount of expenses in the respect of the total revenue. The trend of the three financial ratios rising in the current accounting year is 2021. The financial statement analysis is determined by the organization </w:t>
          </w:r>
          <w:proofErr w:type="gramStart"/>
          <w:r w:rsidRPr="00CB422B">
            <w:rPr>
              <w:rFonts w:ascii="Times New Roman" w:hAnsi="Times New Roman" w:cs="Times New Roman"/>
              <w:sz w:val="24"/>
              <w:szCs w:val="24"/>
            </w:rPr>
            <w:t>every the</w:t>
          </w:r>
          <w:proofErr w:type="gramEnd"/>
          <w:r w:rsidRPr="00CB422B">
            <w:rPr>
              <w:rFonts w:ascii="Times New Roman" w:hAnsi="Times New Roman" w:cs="Times New Roman"/>
              <w:sz w:val="24"/>
              <w:szCs w:val="24"/>
            </w:rPr>
            <w:t xml:space="preserve"> end of the accounting period.  The performance of the operational activity is not good due to the excessive cost of the products and services and inefficient management of the allocation of resources and revenues.</w:t>
          </w:r>
        </w:p>
        <w:p w14:paraId="319933FB" w14:textId="77777777" w:rsidR="007D1947" w:rsidRPr="00CB422B" w:rsidRDefault="007D1947" w:rsidP="00CB422B">
          <w:pPr>
            <w:spacing w:line="360" w:lineRule="auto"/>
            <w:jc w:val="both"/>
            <w:rPr>
              <w:rFonts w:ascii="Times New Roman" w:hAnsi="Times New Roman" w:cs="Times New Roman"/>
              <w:sz w:val="24"/>
              <w:szCs w:val="24"/>
            </w:rPr>
          </w:pPr>
        </w:p>
        <w:p w14:paraId="5D6BF5EE" w14:textId="77777777" w:rsidR="007D1947" w:rsidRPr="00CB422B" w:rsidRDefault="007D1947" w:rsidP="00CB422B">
          <w:pPr>
            <w:spacing w:line="360" w:lineRule="auto"/>
            <w:jc w:val="both"/>
            <w:rPr>
              <w:rFonts w:ascii="Times New Roman" w:hAnsi="Times New Roman" w:cs="Times New Roman"/>
              <w:sz w:val="24"/>
              <w:szCs w:val="24"/>
            </w:rPr>
          </w:pPr>
        </w:p>
        <w:p w14:paraId="11C68BD2" w14:textId="77777777" w:rsidR="007D1947" w:rsidRPr="00CB422B" w:rsidRDefault="007D1947" w:rsidP="00CB422B">
          <w:pPr>
            <w:spacing w:line="360" w:lineRule="auto"/>
            <w:jc w:val="both"/>
            <w:rPr>
              <w:rFonts w:ascii="Times New Roman" w:hAnsi="Times New Roman" w:cs="Times New Roman"/>
              <w:sz w:val="24"/>
              <w:szCs w:val="24"/>
            </w:rPr>
          </w:pPr>
        </w:p>
        <w:p w14:paraId="08EEC166" w14:textId="77777777" w:rsidR="007D1947" w:rsidRPr="00CB422B" w:rsidRDefault="007D1947" w:rsidP="00CB422B">
          <w:pPr>
            <w:spacing w:line="360" w:lineRule="auto"/>
            <w:jc w:val="both"/>
            <w:rPr>
              <w:rFonts w:ascii="Times New Roman" w:hAnsi="Times New Roman" w:cs="Times New Roman"/>
              <w:sz w:val="24"/>
              <w:szCs w:val="24"/>
            </w:rPr>
          </w:pPr>
        </w:p>
        <w:p w14:paraId="4A7E0BD1" w14:textId="77777777" w:rsidR="007D1947" w:rsidRPr="00CB422B" w:rsidRDefault="007D1947" w:rsidP="00CB422B">
          <w:pPr>
            <w:spacing w:line="360" w:lineRule="auto"/>
            <w:jc w:val="both"/>
            <w:rPr>
              <w:rFonts w:ascii="Times New Roman" w:hAnsi="Times New Roman" w:cs="Times New Roman"/>
              <w:sz w:val="24"/>
              <w:szCs w:val="24"/>
            </w:rPr>
          </w:pPr>
        </w:p>
        <w:p w14:paraId="60983FBE" w14:textId="77777777" w:rsidR="007D1947" w:rsidRPr="00CB422B" w:rsidRDefault="007D1947" w:rsidP="00CB422B">
          <w:pPr>
            <w:spacing w:line="360" w:lineRule="auto"/>
            <w:jc w:val="both"/>
            <w:rPr>
              <w:rFonts w:ascii="Times New Roman" w:hAnsi="Times New Roman" w:cs="Times New Roman"/>
              <w:sz w:val="24"/>
              <w:szCs w:val="24"/>
            </w:rPr>
          </w:pPr>
        </w:p>
        <w:p w14:paraId="4BD24EAA" w14:textId="77777777" w:rsidR="007D1947" w:rsidRPr="00CB422B" w:rsidRDefault="007D1947" w:rsidP="00CB422B">
          <w:pPr>
            <w:spacing w:line="360" w:lineRule="auto"/>
            <w:jc w:val="both"/>
            <w:rPr>
              <w:rFonts w:ascii="Times New Roman" w:hAnsi="Times New Roman" w:cs="Times New Roman"/>
              <w:sz w:val="24"/>
              <w:szCs w:val="24"/>
            </w:rPr>
          </w:pPr>
        </w:p>
        <w:p w14:paraId="5E20A626" w14:textId="77777777" w:rsidR="007D1947" w:rsidRPr="00CB422B" w:rsidRDefault="007D1947" w:rsidP="00CB422B">
          <w:pPr>
            <w:spacing w:line="360" w:lineRule="auto"/>
            <w:jc w:val="both"/>
            <w:rPr>
              <w:rFonts w:ascii="Times New Roman" w:hAnsi="Times New Roman" w:cs="Times New Roman"/>
              <w:sz w:val="24"/>
              <w:szCs w:val="24"/>
            </w:rPr>
          </w:pPr>
        </w:p>
        <w:p w14:paraId="2592EA34" w14:textId="77777777" w:rsidR="007D1947" w:rsidRPr="00CB422B" w:rsidRDefault="007D1947" w:rsidP="00CB422B">
          <w:pPr>
            <w:spacing w:line="360" w:lineRule="auto"/>
            <w:jc w:val="both"/>
            <w:rPr>
              <w:rFonts w:ascii="Times New Roman" w:hAnsi="Times New Roman" w:cs="Times New Roman"/>
              <w:sz w:val="24"/>
              <w:szCs w:val="24"/>
            </w:rPr>
          </w:pPr>
        </w:p>
        <w:p w14:paraId="102FA409" w14:textId="77777777" w:rsidR="007D1947" w:rsidRPr="00CB422B" w:rsidRDefault="007D1947" w:rsidP="00CB422B">
          <w:pPr>
            <w:spacing w:line="360" w:lineRule="auto"/>
            <w:jc w:val="both"/>
            <w:rPr>
              <w:rFonts w:ascii="Times New Roman" w:hAnsi="Times New Roman" w:cs="Times New Roman"/>
              <w:sz w:val="24"/>
              <w:szCs w:val="24"/>
            </w:rPr>
          </w:pPr>
        </w:p>
        <w:p w14:paraId="0EB4AA44" w14:textId="77777777" w:rsidR="007D1947" w:rsidRPr="00CB422B" w:rsidRDefault="007D1947" w:rsidP="00CB422B">
          <w:pPr>
            <w:spacing w:line="360" w:lineRule="auto"/>
            <w:jc w:val="both"/>
            <w:rPr>
              <w:rFonts w:ascii="Times New Roman" w:hAnsi="Times New Roman" w:cs="Times New Roman"/>
              <w:sz w:val="24"/>
              <w:szCs w:val="24"/>
            </w:rPr>
          </w:pPr>
        </w:p>
        <w:p w14:paraId="43F4A0A2" w14:textId="77777777" w:rsidR="007D1947" w:rsidRPr="00CB422B" w:rsidRDefault="007D1947" w:rsidP="00CB422B">
          <w:pPr>
            <w:spacing w:line="360" w:lineRule="auto"/>
            <w:jc w:val="both"/>
            <w:rPr>
              <w:rFonts w:ascii="Times New Roman" w:hAnsi="Times New Roman" w:cs="Times New Roman"/>
              <w:sz w:val="24"/>
              <w:szCs w:val="24"/>
            </w:rPr>
          </w:pPr>
        </w:p>
        <w:p w14:paraId="1AC34DF5" w14:textId="77777777" w:rsidR="007D1947" w:rsidRPr="00CB422B" w:rsidRDefault="007D1947" w:rsidP="00CB422B">
          <w:pPr>
            <w:spacing w:line="360" w:lineRule="auto"/>
            <w:jc w:val="both"/>
            <w:rPr>
              <w:rFonts w:ascii="Times New Roman" w:hAnsi="Times New Roman" w:cs="Times New Roman"/>
              <w:sz w:val="24"/>
              <w:szCs w:val="24"/>
            </w:rPr>
          </w:pPr>
        </w:p>
        <w:p w14:paraId="51926115" w14:textId="77777777" w:rsidR="007D1947" w:rsidRPr="00CB422B" w:rsidRDefault="007D1947" w:rsidP="00CB422B">
          <w:pPr>
            <w:spacing w:line="360" w:lineRule="auto"/>
            <w:jc w:val="both"/>
            <w:rPr>
              <w:rFonts w:ascii="Times New Roman" w:hAnsi="Times New Roman" w:cs="Times New Roman"/>
              <w:sz w:val="24"/>
              <w:szCs w:val="24"/>
            </w:rPr>
          </w:pPr>
        </w:p>
        <w:p w14:paraId="77A33B7E" w14:textId="77777777" w:rsidR="007D1947" w:rsidRPr="00CB422B" w:rsidRDefault="007D1947" w:rsidP="00CB422B">
          <w:pPr>
            <w:spacing w:line="360" w:lineRule="auto"/>
            <w:jc w:val="both"/>
            <w:rPr>
              <w:rFonts w:ascii="Times New Roman" w:hAnsi="Times New Roman" w:cs="Times New Roman"/>
              <w:sz w:val="24"/>
              <w:szCs w:val="24"/>
            </w:rPr>
          </w:pPr>
        </w:p>
        <w:p w14:paraId="4C2E3AF2" w14:textId="77777777" w:rsidR="007D1947" w:rsidRPr="00CB422B" w:rsidRDefault="007D1947" w:rsidP="00CB422B">
          <w:pPr>
            <w:spacing w:line="360" w:lineRule="auto"/>
            <w:jc w:val="both"/>
            <w:rPr>
              <w:rFonts w:ascii="Times New Roman" w:hAnsi="Times New Roman" w:cs="Times New Roman"/>
              <w:sz w:val="24"/>
              <w:szCs w:val="24"/>
            </w:rPr>
          </w:pPr>
        </w:p>
        <w:p w14:paraId="76E82432" w14:textId="77777777" w:rsidR="007D1947" w:rsidRDefault="007D1947" w:rsidP="00CB422B">
          <w:pPr>
            <w:spacing w:line="360" w:lineRule="auto"/>
            <w:jc w:val="both"/>
            <w:rPr>
              <w:rFonts w:ascii="Times New Roman" w:hAnsi="Times New Roman" w:cs="Times New Roman"/>
              <w:sz w:val="24"/>
              <w:szCs w:val="24"/>
            </w:rPr>
          </w:pPr>
        </w:p>
        <w:p w14:paraId="3880975D" w14:textId="77777777" w:rsidR="00363D7B" w:rsidRPr="00CB422B" w:rsidRDefault="00363D7B" w:rsidP="00CB422B">
          <w:pPr>
            <w:spacing w:line="360" w:lineRule="auto"/>
            <w:jc w:val="both"/>
            <w:rPr>
              <w:rFonts w:ascii="Times New Roman" w:hAnsi="Times New Roman" w:cs="Times New Roman"/>
              <w:sz w:val="24"/>
              <w:szCs w:val="24"/>
            </w:rPr>
          </w:pPr>
        </w:p>
        <w:p w14:paraId="42C19836" w14:textId="77777777" w:rsidR="007D1947" w:rsidRPr="00CB422B" w:rsidRDefault="007D1947" w:rsidP="00CB422B">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sz w:val="22"/>
              <w:szCs w:val="22"/>
            </w:rPr>
            <w:id w:val="-1297214018"/>
            <w:docPartObj>
              <w:docPartGallery w:val="Table of Contents"/>
              <w:docPartUnique/>
            </w:docPartObj>
          </w:sdtPr>
          <w:sdtEndPr>
            <w:rPr>
              <w:rFonts w:cs="Times New Roman"/>
              <w:bCs/>
              <w:noProof/>
              <w:sz w:val="24"/>
              <w:szCs w:val="24"/>
            </w:rPr>
          </w:sdtEndPr>
          <w:sdtContent>
            <w:p w14:paraId="17F927D0" w14:textId="77777777" w:rsidR="007D1947" w:rsidRPr="00CB422B" w:rsidRDefault="007D1947" w:rsidP="00DC3FA0">
              <w:pPr>
                <w:pStyle w:val="Heading1"/>
              </w:pPr>
              <w:r w:rsidRPr="00CB422B">
                <w:t>Table of Contents</w:t>
              </w:r>
            </w:p>
            <w:p w14:paraId="5C57D204" w14:textId="77777777" w:rsidR="00DC3FA0" w:rsidRPr="00DC3FA0" w:rsidRDefault="007D1947">
              <w:pPr>
                <w:pStyle w:val="TOC1"/>
                <w:tabs>
                  <w:tab w:val="right" w:leader="dot" w:pos="9016"/>
                </w:tabs>
                <w:rPr>
                  <w:rFonts w:ascii="Times New Roman" w:eastAsiaTheme="minorEastAsia" w:hAnsi="Times New Roman" w:cs="Times New Roman"/>
                  <w:noProof/>
                  <w:lang w:val="en-US"/>
                </w:rPr>
              </w:pPr>
              <w:r w:rsidRPr="00CB422B">
                <w:rPr>
                  <w:rFonts w:ascii="Times New Roman" w:hAnsi="Times New Roman" w:cs="Times New Roman"/>
                  <w:sz w:val="24"/>
                  <w:szCs w:val="24"/>
                </w:rPr>
                <w:fldChar w:fldCharType="begin"/>
              </w:r>
              <w:r w:rsidRPr="00CB422B">
                <w:rPr>
                  <w:rFonts w:ascii="Times New Roman" w:hAnsi="Times New Roman" w:cs="Times New Roman"/>
                  <w:sz w:val="24"/>
                  <w:szCs w:val="24"/>
                </w:rPr>
                <w:instrText xml:space="preserve"> TOC \o "1-3" \h \z \u </w:instrText>
              </w:r>
              <w:r w:rsidRPr="00CB422B">
                <w:rPr>
                  <w:rFonts w:ascii="Times New Roman" w:hAnsi="Times New Roman" w:cs="Times New Roman"/>
                  <w:sz w:val="24"/>
                  <w:szCs w:val="24"/>
                </w:rPr>
                <w:fldChar w:fldCharType="separate"/>
              </w:r>
              <w:hyperlink w:anchor="_Toc124431021" w:history="1">
                <w:r w:rsidR="00DC3FA0" w:rsidRPr="00DC3FA0">
                  <w:rPr>
                    <w:rStyle w:val="Hyperlink"/>
                    <w:rFonts w:ascii="Times New Roman" w:hAnsi="Times New Roman" w:cs="Times New Roman"/>
                    <w:noProof/>
                  </w:rPr>
                  <w:t>Executive Summary</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_Toc124431021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1</w:t>
                </w:r>
                <w:r w:rsidR="00DC3FA0" w:rsidRPr="00DC3FA0">
                  <w:rPr>
                    <w:rFonts w:ascii="Times New Roman" w:hAnsi="Times New Roman" w:cs="Times New Roman"/>
                    <w:noProof/>
                    <w:webHidden/>
                  </w:rPr>
                  <w:fldChar w:fldCharType="end"/>
                </w:r>
              </w:hyperlink>
            </w:p>
            <w:p w14:paraId="3020C263" w14:textId="77777777" w:rsidR="00DC3FA0" w:rsidRPr="00DC3FA0" w:rsidRDefault="00000000">
              <w:pPr>
                <w:pStyle w:val="TOC1"/>
                <w:tabs>
                  <w:tab w:val="right" w:leader="dot" w:pos="9016"/>
                </w:tabs>
                <w:rPr>
                  <w:rFonts w:ascii="Times New Roman" w:eastAsiaTheme="minorEastAsia" w:hAnsi="Times New Roman" w:cs="Times New Roman"/>
                  <w:noProof/>
                  <w:lang w:val="en-US"/>
                </w:rPr>
              </w:pPr>
              <w:hyperlink w:anchor="_Toc124431022" w:history="1">
                <w:r w:rsidR="00DC3FA0" w:rsidRPr="00DC3FA0">
                  <w:rPr>
                    <w:rStyle w:val="Hyperlink"/>
                    <w:rFonts w:ascii="Times New Roman" w:hAnsi="Times New Roman" w:cs="Times New Roman"/>
                    <w:noProof/>
                  </w:rPr>
                  <w:t>Introduction</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_Toc124431022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3</w:t>
                </w:r>
                <w:r w:rsidR="00DC3FA0" w:rsidRPr="00DC3FA0">
                  <w:rPr>
                    <w:rFonts w:ascii="Times New Roman" w:hAnsi="Times New Roman" w:cs="Times New Roman"/>
                    <w:noProof/>
                    <w:webHidden/>
                  </w:rPr>
                  <w:fldChar w:fldCharType="end"/>
                </w:r>
              </w:hyperlink>
            </w:p>
            <w:p w14:paraId="73CE2F1F" w14:textId="77777777" w:rsidR="00DC3FA0" w:rsidRPr="00DC3FA0" w:rsidRDefault="00000000">
              <w:pPr>
                <w:pStyle w:val="TOC1"/>
                <w:tabs>
                  <w:tab w:val="right" w:leader="dot" w:pos="9016"/>
                </w:tabs>
                <w:rPr>
                  <w:rFonts w:ascii="Times New Roman" w:eastAsiaTheme="minorEastAsia" w:hAnsi="Times New Roman" w:cs="Times New Roman"/>
                  <w:noProof/>
                  <w:lang w:val="en-US"/>
                </w:rPr>
              </w:pPr>
              <w:hyperlink w:anchor="_Toc124431023" w:history="1">
                <w:r w:rsidR="00DC3FA0" w:rsidRPr="00DC3FA0">
                  <w:rPr>
                    <w:rStyle w:val="Hyperlink"/>
                    <w:rFonts w:ascii="Times New Roman" w:hAnsi="Times New Roman" w:cs="Times New Roman"/>
                    <w:noProof/>
                  </w:rPr>
                  <w:t>Financial Analysis Trends</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_Toc124431023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4</w:t>
                </w:r>
                <w:r w:rsidR="00DC3FA0" w:rsidRPr="00DC3FA0">
                  <w:rPr>
                    <w:rFonts w:ascii="Times New Roman" w:hAnsi="Times New Roman" w:cs="Times New Roman"/>
                    <w:noProof/>
                    <w:webHidden/>
                  </w:rPr>
                  <w:fldChar w:fldCharType="end"/>
                </w:r>
              </w:hyperlink>
            </w:p>
            <w:p w14:paraId="47F2AC53" w14:textId="77777777" w:rsidR="00DC3FA0" w:rsidRPr="00DC3FA0" w:rsidRDefault="00000000">
              <w:pPr>
                <w:pStyle w:val="TOC2"/>
                <w:tabs>
                  <w:tab w:val="right" w:leader="dot" w:pos="9016"/>
                </w:tabs>
                <w:rPr>
                  <w:rFonts w:ascii="Times New Roman" w:eastAsiaTheme="minorEastAsia" w:hAnsi="Times New Roman" w:cs="Times New Roman"/>
                  <w:noProof/>
                  <w:lang w:val="en-US"/>
                </w:rPr>
              </w:pPr>
              <w:hyperlink w:anchor="_Toc124431024" w:history="1">
                <w:r w:rsidR="00DC3FA0" w:rsidRPr="00DC3FA0">
                  <w:rPr>
                    <w:rStyle w:val="Hyperlink"/>
                    <w:rFonts w:ascii="Times New Roman" w:hAnsi="Times New Roman" w:cs="Times New Roman"/>
                    <w:noProof/>
                  </w:rPr>
                  <w:t>Profitability</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_Toc124431024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4</w:t>
                </w:r>
                <w:r w:rsidR="00DC3FA0" w:rsidRPr="00DC3FA0">
                  <w:rPr>
                    <w:rFonts w:ascii="Times New Roman" w:hAnsi="Times New Roman" w:cs="Times New Roman"/>
                    <w:noProof/>
                    <w:webHidden/>
                  </w:rPr>
                  <w:fldChar w:fldCharType="end"/>
                </w:r>
              </w:hyperlink>
            </w:p>
            <w:p w14:paraId="43C9D3EE" w14:textId="77777777" w:rsidR="00DC3FA0" w:rsidRPr="00DC3FA0" w:rsidRDefault="00000000">
              <w:pPr>
                <w:pStyle w:val="TOC2"/>
                <w:tabs>
                  <w:tab w:val="right" w:leader="dot" w:pos="9016"/>
                </w:tabs>
                <w:rPr>
                  <w:rFonts w:ascii="Times New Roman" w:eastAsiaTheme="minorEastAsia" w:hAnsi="Times New Roman" w:cs="Times New Roman"/>
                  <w:noProof/>
                  <w:lang w:val="en-US"/>
                </w:rPr>
              </w:pPr>
              <w:hyperlink w:anchor="_Toc124431025" w:history="1">
                <w:r w:rsidR="00DC3FA0" w:rsidRPr="00DC3FA0">
                  <w:rPr>
                    <w:rStyle w:val="Hyperlink"/>
                    <w:rFonts w:ascii="Times New Roman" w:hAnsi="Times New Roman" w:cs="Times New Roman"/>
                    <w:noProof/>
                  </w:rPr>
                  <w:t>Liquidity</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_Toc124431025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6</w:t>
                </w:r>
                <w:r w:rsidR="00DC3FA0" w:rsidRPr="00DC3FA0">
                  <w:rPr>
                    <w:rFonts w:ascii="Times New Roman" w:hAnsi="Times New Roman" w:cs="Times New Roman"/>
                    <w:noProof/>
                    <w:webHidden/>
                  </w:rPr>
                  <w:fldChar w:fldCharType="end"/>
                </w:r>
              </w:hyperlink>
            </w:p>
            <w:p w14:paraId="30D41AE4" w14:textId="2AC79902" w:rsidR="00DC3FA0" w:rsidRPr="00DC3FA0" w:rsidRDefault="00000000">
              <w:pPr>
                <w:pStyle w:val="TOC2"/>
                <w:tabs>
                  <w:tab w:val="right" w:leader="dot" w:pos="9016"/>
                </w:tabs>
                <w:rPr>
                  <w:rFonts w:ascii="Times New Roman" w:eastAsiaTheme="minorEastAsia" w:hAnsi="Times New Roman" w:cs="Times New Roman"/>
                  <w:noProof/>
                  <w:lang w:val="en-US"/>
                </w:rPr>
              </w:pPr>
              <w:hyperlink w:anchor="_Toc124431026" w:history="1">
                <w:r w:rsidR="00DC3FA0" w:rsidRPr="00DC3FA0">
                  <w:rPr>
                    <w:rStyle w:val="Hyperlink"/>
                    <w:rFonts w:ascii="Times New Roman" w:hAnsi="Times New Roman" w:cs="Times New Roman"/>
                    <w:noProof/>
                  </w:rPr>
                  <w:t>Gearing</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_Toc124431026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7</w:t>
                </w:r>
                <w:r w:rsidR="00DC3FA0" w:rsidRPr="00DC3FA0">
                  <w:rPr>
                    <w:rFonts w:ascii="Times New Roman" w:hAnsi="Times New Roman" w:cs="Times New Roman"/>
                    <w:noProof/>
                    <w:webHidden/>
                  </w:rPr>
                  <w:fldChar w:fldCharType="end"/>
                </w:r>
              </w:hyperlink>
            </w:p>
            <w:p w14:paraId="541876F7" w14:textId="77777777" w:rsidR="00DC3FA0" w:rsidRPr="00DC3FA0" w:rsidRDefault="00000000">
              <w:pPr>
                <w:pStyle w:val="TOC1"/>
                <w:tabs>
                  <w:tab w:val="right" w:leader="dot" w:pos="9016"/>
                </w:tabs>
                <w:rPr>
                  <w:rFonts w:ascii="Times New Roman" w:eastAsiaTheme="minorEastAsia" w:hAnsi="Times New Roman" w:cs="Times New Roman"/>
                  <w:noProof/>
                  <w:lang w:val="en-US"/>
                </w:rPr>
              </w:pPr>
              <w:hyperlink w:anchor="_Toc124431027" w:history="1">
                <w:r w:rsidR="00DC3FA0" w:rsidRPr="00DC3FA0">
                  <w:rPr>
                    <w:rStyle w:val="Hyperlink"/>
                    <w:rFonts w:ascii="Times New Roman" w:hAnsi="Times New Roman" w:cs="Times New Roman"/>
                    <w:noProof/>
                  </w:rPr>
                  <w:t>Knowledge from Ratio Analysis</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_Toc124431027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9</w:t>
                </w:r>
                <w:r w:rsidR="00DC3FA0" w:rsidRPr="00DC3FA0">
                  <w:rPr>
                    <w:rFonts w:ascii="Times New Roman" w:hAnsi="Times New Roman" w:cs="Times New Roman"/>
                    <w:noProof/>
                    <w:webHidden/>
                  </w:rPr>
                  <w:fldChar w:fldCharType="end"/>
                </w:r>
              </w:hyperlink>
            </w:p>
            <w:p w14:paraId="4998CF46" w14:textId="77777777" w:rsidR="00DC3FA0" w:rsidRPr="00DC3FA0" w:rsidRDefault="00000000">
              <w:pPr>
                <w:pStyle w:val="TOC1"/>
                <w:tabs>
                  <w:tab w:val="right" w:leader="dot" w:pos="9016"/>
                </w:tabs>
                <w:rPr>
                  <w:rFonts w:ascii="Times New Roman" w:eastAsiaTheme="minorEastAsia" w:hAnsi="Times New Roman" w:cs="Times New Roman"/>
                  <w:noProof/>
                  <w:lang w:val="en-US"/>
                </w:rPr>
              </w:pPr>
              <w:hyperlink w:anchor="_Toc124431028" w:history="1">
                <w:r w:rsidR="00DC3FA0" w:rsidRPr="00DC3FA0">
                  <w:rPr>
                    <w:rStyle w:val="Hyperlink"/>
                    <w:rFonts w:ascii="Times New Roman" w:hAnsi="Times New Roman" w:cs="Times New Roman"/>
                    <w:noProof/>
                  </w:rPr>
                  <w:t>Benefits and Limitations of Ratio Analysis</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_Toc124431028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9</w:t>
                </w:r>
                <w:r w:rsidR="00DC3FA0" w:rsidRPr="00DC3FA0">
                  <w:rPr>
                    <w:rFonts w:ascii="Times New Roman" w:hAnsi="Times New Roman" w:cs="Times New Roman"/>
                    <w:noProof/>
                    <w:webHidden/>
                  </w:rPr>
                  <w:fldChar w:fldCharType="end"/>
                </w:r>
              </w:hyperlink>
            </w:p>
            <w:p w14:paraId="06549FB4" w14:textId="77777777" w:rsidR="00DC3FA0" w:rsidRPr="00DC3FA0" w:rsidRDefault="00000000">
              <w:pPr>
                <w:pStyle w:val="TOC1"/>
                <w:tabs>
                  <w:tab w:val="right" w:leader="dot" w:pos="9016"/>
                </w:tabs>
                <w:rPr>
                  <w:rFonts w:ascii="Times New Roman" w:eastAsiaTheme="minorEastAsia" w:hAnsi="Times New Roman" w:cs="Times New Roman"/>
                  <w:noProof/>
                  <w:lang w:val="en-US"/>
                </w:rPr>
              </w:pPr>
              <w:hyperlink w:anchor="_Toc124431029" w:history="1">
                <w:r w:rsidR="00DC3FA0" w:rsidRPr="00DC3FA0">
                  <w:rPr>
                    <w:rStyle w:val="Hyperlink"/>
                    <w:rFonts w:ascii="Times New Roman" w:hAnsi="Times New Roman" w:cs="Times New Roman"/>
                    <w:noProof/>
                  </w:rPr>
                  <w:t>Conclusion</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_Toc124431029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11</w:t>
                </w:r>
                <w:r w:rsidR="00DC3FA0" w:rsidRPr="00DC3FA0">
                  <w:rPr>
                    <w:rFonts w:ascii="Times New Roman" w:hAnsi="Times New Roman" w:cs="Times New Roman"/>
                    <w:noProof/>
                    <w:webHidden/>
                  </w:rPr>
                  <w:fldChar w:fldCharType="end"/>
                </w:r>
              </w:hyperlink>
            </w:p>
            <w:p w14:paraId="777F65BF" w14:textId="77777777" w:rsidR="00DC3FA0" w:rsidRPr="00DC3FA0" w:rsidRDefault="00000000">
              <w:pPr>
                <w:pStyle w:val="TOC1"/>
                <w:tabs>
                  <w:tab w:val="right" w:leader="dot" w:pos="9016"/>
                </w:tabs>
                <w:rPr>
                  <w:rFonts w:ascii="Times New Roman" w:eastAsiaTheme="minorEastAsia" w:hAnsi="Times New Roman" w:cs="Times New Roman"/>
                  <w:noProof/>
                  <w:lang w:val="en-US"/>
                </w:rPr>
              </w:pPr>
              <w:hyperlink w:anchor="_Toc124431030" w:history="1">
                <w:r w:rsidR="00DC3FA0" w:rsidRPr="00DC3FA0">
                  <w:rPr>
                    <w:rStyle w:val="Hyperlink"/>
                    <w:rFonts w:ascii="Times New Roman" w:hAnsi="Times New Roman" w:cs="Times New Roman"/>
                    <w:noProof/>
                  </w:rPr>
                  <w:t>Bibliography</w:t>
                </w:r>
                <w:r w:rsidR="00DC3FA0" w:rsidRPr="00DC3FA0">
                  <w:rPr>
                    <w:rFonts w:ascii="Times New Roman" w:hAnsi="Times New Roman" w:cs="Times New Roman"/>
                    <w:noProof/>
                    <w:webHidden/>
                  </w:rPr>
                  <w:tab/>
                </w:r>
                <w:r w:rsidR="00DC3FA0" w:rsidRPr="00DC3FA0">
                  <w:rPr>
                    <w:rFonts w:ascii="Times New Roman" w:hAnsi="Times New Roman" w:cs="Times New Roman"/>
                    <w:noProof/>
                    <w:webHidden/>
                  </w:rPr>
                  <w:fldChar w:fldCharType="begin"/>
                </w:r>
                <w:r w:rsidR="00DC3FA0" w:rsidRPr="00DC3FA0">
                  <w:rPr>
                    <w:rFonts w:ascii="Times New Roman" w:hAnsi="Times New Roman" w:cs="Times New Roman"/>
                    <w:noProof/>
                    <w:webHidden/>
                  </w:rPr>
                  <w:instrText xml:space="preserve"> PAGEREF _Toc124431030 \h </w:instrText>
                </w:r>
                <w:r w:rsidR="00DC3FA0" w:rsidRPr="00DC3FA0">
                  <w:rPr>
                    <w:rFonts w:ascii="Times New Roman" w:hAnsi="Times New Roman" w:cs="Times New Roman"/>
                    <w:noProof/>
                    <w:webHidden/>
                  </w:rPr>
                </w:r>
                <w:r w:rsidR="00DC3FA0" w:rsidRPr="00DC3FA0">
                  <w:rPr>
                    <w:rFonts w:ascii="Times New Roman" w:hAnsi="Times New Roman" w:cs="Times New Roman"/>
                    <w:noProof/>
                    <w:webHidden/>
                  </w:rPr>
                  <w:fldChar w:fldCharType="separate"/>
                </w:r>
                <w:r w:rsidR="00DC3FA0" w:rsidRPr="00DC3FA0">
                  <w:rPr>
                    <w:rFonts w:ascii="Times New Roman" w:hAnsi="Times New Roman" w:cs="Times New Roman"/>
                    <w:noProof/>
                    <w:webHidden/>
                  </w:rPr>
                  <w:t>12</w:t>
                </w:r>
                <w:r w:rsidR="00DC3FA0" w:rsidRPr="00DC3FA0">
                  <w:rPr>
                    <w:rFonts w:ascii="Times New Roman" w:hAnsi="Times New Roman" w:cs="Times New Roman"/>
                    <w:noProof/>
                    <w:webHidden/>
                  </w:rPr>
                  <w:fldChar w:fldCharType="end"/>
                </w:r>
              </w:hyperlink>
            </w:p>
            <w:p w14:paraId="5849B348" w14:textId="75C664D3" w:rsidR="007D1947" w:rsidRPr="00CB422B" w:rsidRDefault="007D1947" w:rsidP="00CB422B">
              <w:pPr>
                <w:spacing w:line="360" w:lineRule="auto"/>
                <w:jc w:val="both"/>
                <w:rPr>
                  <w:rFonts w:ascii="Times New Roman" w:hAnsi="Times New Roman" w:cs="Times New Roman"/>
                  <w:sz w:val="24"/>
                  <w:szCs w:val="24"/>
                </w:rPr>
              </w:pPr>
              <w:r w:rsidRPr="00CB422B">
                <w:rPr>
                  <w:rFonts w:ascii="Times New Roman" w:hAnsi="Times New Roman" w:cs="Times New Roman"/>
                  <w:b/>
                  <w:bCs/>
                  <w:noProof/>
                  <w:sz w:val="24"/>
                  <w:szCs w:val="24"/>
                </w:rPr>
                <w:fldChar w:fldCharType="end"/>
              </w:r>
              <w:r w:rsidR="001F67CA" w:rsidRPr="00CB422B">
                <w:rPr>
                  <w:rFonts w:ascii="Times New Roman" w:hAnsi="Times New Roman" w:cs="Times New Roman"/>
                  <w:b/>
                  <w:bCs/>
                  <w:noProof/>
                  <w:sz w:val="24"/>
                  <w:szCs w:val="24"/>
                </w:rPr>
                <w:t xml:space="preserve"> </w:t>
              </w:r>
            </w:p>
          </w:sdtContent>
        </w:sdt>
        <w:p w14:paraId="1E6FA7DA" w14:textId="77777777" w:rsidR="007D1947" w:rsidRPr="00CB422B" w:rsidRDefault="007D1947" w:rsidP="00CB422B">
          <w:pPr>
            <w:spacing w:line="360" w:lineRule="auto"/>
            <w:jc w:val="both"/>
            <w:rPr>
              <w:rFonts w:ascii="Times New Roman" w:hAnsi="Times New Roman" w:cs="Times New Roman"/>
              <w:sz w:val="24"/>
              <w:szCs w:val="24"/>
            </w:rPr>
          </w:pPr>
        </w:p>
        <w:p w14:paraId="3C870FBE" w14:textId="77777777" w:rsidR="007D1947" w:rsidRPr="00CB422B" w:rsidRDefault="007D1947" w:rsidP="00CB422B">
          <w:pPr>
            <w:spacing w:line="360" w:lineRule="auto"/>
            <w:jc w:val="both"/>
            <w:rPr>
              <w:rFonts w:ascii="Times New Roman" w:hAnsi="Times New Roman" w:cs="Times New Roman"/>
              <w:sz w:val="24"/>
              <w:szCs w:val="24"/>
            </w:rPr>
          </w:pPr>
        </w:p>
        <w:p w14:paraId="2473B2AF" w14:textId="77777777" w:rsidR="007D1947" w:rsidRPr="00CB422B" w:rsidRDefault="007D1947" w:rsidP="00CB422B">
          <w:pPr>
            <w:spacing w:line="360" w:lineRule="auto"/>
            <w:jc w:val="both"/>
            <w:rPr>
              <w:rFonts w:ascii="Times New Roman" w:hAnsi="Times New Roman" w:cs="Times New Roman"/>
              <w:sz w:val="24"/>
              <w:szCs w:val="24"/>
            </w:rPr>
          </w:pPr>
        </w:p>
        <w:p w14:paraId="059AA211" w14:textId="77777777" w:rsidR="007D1947" w:rsidRPr="00CB422B" w:rsidRDefault="007D1947" w:rsidP="00CB422B">
          <w:pPr>
            <w:spacing w:line="360" w:lineRule="auto"/>
            <w:jc w:val="both"/>
            <w:rPr>
              <w:rFonts w:ascii="Times New Roman" w:hAnsi="Times New Roman" w:cs="Times New Roman"/>
              <w:sz w:val="24"/>
              <w:szCs w:val="24"/>
            </w:rPr>
          </w:pPr>
        </w:p>
        <w:p w14:paraId="18482C63" w14:textId="77777777" w:rsidR="007D1947" w:rsidRPr="00CB422B" w:rsidRDefault="007D1947" w:rsidP="00CB422B">
          <w:pPr>
            <w:spacing w:line="360" w:lineRule="auto"/>
            <w:jc w:val="both"/>
            <w:rPr>
              <w:rFonts w:ascii="Times New Roman" w:hAnsi="Times New Roman" w:cs="Times New Roman"/>
              <w:sz w:val="24"/>
              <w:szCs w:val="24"/>
            </w:rPr>
          </w:pPr>
        </w:p>
        <w:p w14:paraId="23DB8D03" w14:textId="77777777" w:rsidR="007D1947" w:rsidRPr="00CB422B" w:rsidRDefault="007D1947" w:rsidP="00CB422B">
          <w:pPr>
            <w:spacing w:line="360" w:lineRule="auto"/>
            <w:jc w:val="both"/>
            <w:rPr>
              <w:rFonts w:ascii="Times New Roman" w:hAnsi="Times New Roman" w:cs="Times New Roman"/>
              <w:sz w:val="24"/>
              <w:szCs w:val="24"/>
            </w:rPr>
          </w:pPr>
        </w:p>
        <w:p w14:paraId="38BD64A9" w14:textId="77777777" w:rsidR="007D1947" w:rsidRPr="00CB422B" w:rsidRDefault="007D1947" w:rsidP="00CB422B">
          <w:pPr>
            <w:spacing w:line="360" w:lineRule="auto"/>
            <w:jc w:val="both"/>
            <w:rPr>
              <w:rFonts w:ascii="Times New Roman" w:hAnsi="Times New Roman" w:cs="Times New Roman"/>
              <w:sz w:val="24"/>
              <w:szCs w:val="24"/>
            </w:rPr>
          </w:pPr>
        </w:p>
        <w:p w14:paraId="54CB868D" w14:textId="77777777" w:rsidR="007D1947" w:rsidRPr="00CB422B" w:rsidRDefault="007D1947" w:rsidP="00CB422B">
          <w:pPr>
            <w:spacing w:line="360" w:lineRule="auto"/>
            <w:jc w:val="both"/>
            <w:rPr>
              <w:rFonts w:ascii="Times New Roman" w:hAnsi="Times New Roman" w:cs="Times New Roman"/>
              <w:sz w:val="24"/>
              <w:szCs w:val="24"/>
            </w:rPr>
          </w:pPr>
        </w:p>
        <w:p w14:paraId="1EF5C34A" w14:textId="77777777" w:rsidR="007D1947" w:rsidRPr="00CB422B" w:rsidRDefault="007D1947" w:rsidP="00CB422B">
          <w:pPr>
            <w:spacing w:line="360" w:lineRule="auto"/>
            <w:jc w:val="both"/>
            <w:rPr>
              <w:rFonts w:ascii="Times New Roman" w:hAnsi="Times New Roman" w:cs="Times New Roman"/>
              <w:sz w:val="24"/>
              <w:szCs w:val="24"/>
            </w:rPr>
          </w:pPr>
        </w:p>
        <w:p w14:paraId="5551AF38" w14:textId="77777777" w:rsidR="007D1947" w:rsidRPr="00CB422B" w:rsidRDefault="007D1947" w:rsidP="00CB422B">
          <w:pPr>
            <w:spacing w:line="360" w:lineRule="auto"/>
            <w:jc w:val="both"/>
            <w:rPr>
              <w:rFonts w:ascii="Times New Roman" w:hAnsi="Times New Roman" w:cs="Times New Roman"/>
              <w:sz w:val="24"/>
              <w:szCs w:val="24"/>
            </w:rPr>
          </w:pPr>
        </w:p>
        <w:p w14:paraId="76070FBE" w14:textId="77777777" w:rsidR="001F67CA" w:rsidRDefault="001F67CA">
          <w:pPr>
            <w:rPr>
              <w:rFonts w:ascii="Times New Roman" w:hAnsi="Times New Roman" w:cs="Times New Roman"/>
              <w:sz w:val="24"/>
              <w:szCs w:val="24"/>
            </w:rPr>
          </w:pPr>
          <w:r>
            <w:rPr>
              <w:rFonts w:cs="Times New Roman"/>
              <w:b/>
              <w:sz w:val="24"/>
              <w:szCs w:val="24"/>
            </w:rPr>
            <w:br w:type="page"/>
          </w:r>
        </w:p>
        <w:p w14:paraId="521E26EC" w14:textId="281984C4" w:rsidR="007D1947" w:rsidRPr="00CB422B" w:rsidRDefault="007D1947" w:rsidP="00C52B62">
          <w:pPr>
            <w:pStyle w:val="Heading1"/>
          </w:pPr>
          <w:bookmarkStart w:id="1" w:name="_Toc124431022"/>
          <w:r w:rsidRPr="00C52B62">
            <w:lastRenderedPageBreak/>
            <w:t>Introduction</w:t>
          </w:r>
          <w:bookmarkEnd w:id="1"/>
        </w:p>
        <w:p w14:paraId="334DC7CB" w14:textId="5B18DD25" w:rsidR="003C566A" w:rsidRPr="00CB422B" w:rsidRDefault="003C566A"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Financial analysis is used by organizations for evaluating business performance for a particular year. Ratio analysis is the most convenient technique for </w:t>
          </w:r>
          <w:r w:rsidR="00C52B62" w:rsidRPr="00CB422B">
            <w:rPr>
              <w:rFonts w:ascii="Times New Roman" w:hAnsi="Times New Roman" w:cs="Times New Roman"/>
              <w:sz w:val="24"/>
              <w:szCs w:val="24"/>
            </w:rPr>
            <w:t>analysing</w:t>
          </w:r>
          <w:r w:rsidRPr="00CB422B">
            <w:rPr>
              <w:rFonts w:ascii="Times New Roman" w:hAnsi="Times New Roman" w:cs="Times New Roman"/>
              <w:sz w:val="24"/>
              <w:szCs w:val="24"/>
            </w:rPr>
            <w:t xml:space="preserve"> the income and balance sheet of the company. It also explains the background of the company. The report covers the ratio of profitability, gearing and liquidity ratio for the two years 2020 and 2021. Additionally, it explains the importance of ratio analysis of the </w:t>
          </w:r>
          <w:r w:rsidR="00C52B62">
            <w:rPr>
              <w:rFonts w:ascii="Times New Roman" w:hAnsi="Times New Roman" w:cs="Times New Roman"/>
              <w:sz w:val="24"/>
              <w:szCs w:val="24"/>
            </w:rPr>
            <w:t>Marriott</w:t>
          </w:r>
          <w:r w:rsidRPr="00CB422B">
            <w:rPr>
              <w:rFonts w:ascii="Times New Roman" w:hAnsi="Times New Roman" w:cs="Times New Roman"/>
              <w:sz w:val="24"/>
              <w:szCs w:val="24"/>
            </w:rPr>
            <w:t xml:space="preserve"> Internation</w:t>
          </w:r>
          <w:r w:rsidR="00C52B62">
            <w:rPr>
              <w:rFonts w:ascii="Times New Roman" w:hAnsi="Times New Roman" w:cs="Times New Roman"/>
              <w:sz w:val="24"/>
              <w:szCs w:val="24"/>
            </w:rPr>
            <w:t>al</w:t>
          </w:r>
          <w:r w:rsidRPr="00CB422B">
            <w:rPr>
              <w:rFonts w:ascii="Times New Roman" w:hAnsi="Times New Roman" w:cs="Times New Roman"/>
              <w:sz w:val="24"/>
              <w:szCs w:val="24"/>
            </w:rPr>
            <w:t xml:space="preserve"> Inc. It explains the meaning, trend, and comparison of the different ratios. The last part of the report discloses the advantages and limitations of the financial analysis tool of ratio. </w:t>
          </w:r>
        </w:p>
        <w:p w14:paraId="5344B2AD" w14:textId="57B60549" w:rsidR="004A11F6" w:rsidRPr="00CB422B" w:rsidRDefault="003C566A"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It is an American international </w:t>
          </w:r>
          <w:proofErr w:type="gramStart"/>
          <w:r w:rsidRPr="00CB422B">
            <w:rPr>
              <w:rFonts w:ascii="Times New Roman" w:hAnsi="Times New Roman" w:cs="Times New Roman"/>
              <w:sz w:val="24"/>
              <w:szCs w:val="24"/>
            </w:rPr>
            <w:t>company</w:t>
          </w:r>
          <w:proofErr w:type="gramEnd"/>
          <w:r w:rsidRPr="00CB422B">
            <w:rPr>
              <w:rFonts w:ascii="Times New Roman" w:hAnsi="Times New Roman" w:cs="Times New Roman"/>
              <w:sz w:val="24"/>
              <w:szCs w:val="24"/>
            </w:rPr>
            <w:t xml:space="preserve"> and it is located in Maryland, United States. J. Willard Marriott and his wife Alice Marriott are the founders of the </w:t>
          </w:r>
          <w:proofErr w:type="gramStart"/>
          <w:r w:rsidRPr="00CB422B">
            <w:rPr>
              <w:rFonts w:ascii="Times New Roman" w:hAnsi="Times New Roman" w:cs="Times New Roman"/>
              <w:sz w:val="24"/>
              <w:szCs w:val="24"/>
            </w:rPr>
            <w:t>company</w:t>
          </w:r>
          <w:proofErr w:type="gramEnd"/>
          <w:r w:rsidRPr="00CB422B">
            <w:rPr>
              <w:rFonts w:ascii="Times New Roman" w:hAnsi="Times New Roman" w:cs="Times New Roman"/>
              <w:sz w:val="24"/>
              <w:szCs w:val="24"/>
            </w:rPr>
            <w:t xml:space="preserve"> and it is founded in the year 1927, March 5. It serves its services and products worldwide and it is a public enterprise. The executive chairman and </w:t>
          </w:r>
          <w:r w:rsidR="00537403" w:rsidRPr="00CB422B">
            <w:rPr>
              <w:rFonts w:ascii="Times New Roman" w:hAnsi="Times New Roman" w:cs="Times New Roman"/>
              <w:sz w:val="24"/>
              <w:szCs w:val="24"/>
            </w:rPr>
            <w:t>President</w:t>
          </w:r>
          <w:r w:rsidRPr="00CB422B">
            <w:rPr>
              <w:rFonts w:ascii="Times New Roman" w:hAnsi="Times New Roman" w:cs="Times New Roman"/>
              <w:sz w:val="24"/>
              <w:szCs w:val="24"/>
            </w:rPr>
            <w:t xml:space="preserve"> Bill Marriott and Stephanie </w:t>
          </w:r>
          <w:proofErr w:type="spellStart"/>
          <w:r w:rsidRPr="00CB422B">
            <w:rPr>
              <w:rFonts w:ascii="Times New Roman" w:hAnsi="Times New Roman" w:cs="Times New Roman"/>
              <w:sz w:val="24"/>
              <w:szCs w:val="24"/>
            </w:rPr>
            <w:t>Linnartz</w:t>
          </w:r>
          <w:proofErr w:type="spellEnd"/>
          <w:r w:rsidRPr="00CB422B">
            <w:rPr>
              <w:rFonts w:ascii="Times New Roman" w:hAnsi="Times New Roman" w:cs="Times New Roman"/>
              <w:sz w:val="24"/>
              <w:szCs w:val="24"/>
            </w:rPr>
            <w:t xml:space="preserve"> respectively are the key member. The products and services provided to its customer related to the hotel, resorts, timeshares, and residential properties. It is a large chain of hotels in the </w:t>
          </w:r>
          <w:proofErr w:type="gramStart"/>
          <w:r w:rsidRPr="00CB422B">
            <w:rPr>
              <w:rFonts w:ascii="Times New Roman" w:hAnsi="Times New Roman" w:cs="Times New Roman"/>
              <w:sz w:val="24"/>
              <w:szCs w:val="24"/>
            </w:rPr>
            <w:t>world</w:t>
          </w:r>
          <w:proofErr w:type="gramEnd"/>
          <w:r w:rsidRPr="00CB422B">
            <w:rPr>
              <w:rFonts w:ascii="Times New Roman" w:hAnsi="Times New Roman" w:cs="Times New Roman"/>
              <w:sz w:val="24"/>
              <w:szCs w:val="24"/>
            </w:rPr>
            <w:t xml:space="preserve"> and it has 8000 properties with 30 brands it contains 1423044 rooms in different territories and countries. The total income in the year 2021 was $1.10 billion.</w:t>
          </w:r>
        </w:p>
        <w:p w14:paraId="0D878A77" w14:textId="77777777" w:rsidR="004A11F6" w:rsidRPr="00CB422B" w:rsidRDefault="004A11F6" w:rsidP="00CB422B">
          <w:pPr>
            <w:spacing w:line="360" w:lineRule="auto"/>
            <w:jc w:val="both"/>
            <w:rPr>
              <w:rFonts w:ascii="Times New Roman" w:hAnsi="Times New Roman" w:cs="Times New Roman"/>
              <w:sz w:val="24"/>
              <w:szCs w:val="24"/>
            </w:rPr>
          </w:pPr>
        </w:p>
        <w:p w14:paraId="23D7B520" w14:textId="77777777" w:rsidR="004A11F6" w:rsidRPr="00CB422B" w:rsidRDefault="004A11F6" w:rsidP="00CB422B">
          <w:pPr>
            <w:spacing w:line="360" w:lineRule="auto"/>
            <w:jc w:val="both"/>
            <w:rPr>
              <w:rFonts w:ascii="Times New Roman" w:hAnsi="Times New Roman" w:cs="Times New Roman"/>
              <w:sz w:val="24"/>
              <w:szCs w:val="24"/>
            </w:rPr>
          </w:pPr>
        </w:p>
        <w:p w14:paraId="254C4174" w14:textId="77777777" w:rsidR="004A11F6" w:rsidRPr="00CB422B" w:rsidRDefault="004A11F6" w:rsidP="00CB422B">
          <w:pPr>
            <w:spacing w:line="360" w:lineRule="auto"/>
            <w:jc w:val="both"/>
            <w:rPr>
              <w:rFonts w:ascii="Times New Roman" w:hAnsi="Times New Roman" w:cs="Times New Roman"/>
              <w:sz w:val="24"/>
              <w:szCs w:val="24"/>
            </w:rPr>
          </w:pPr>
        </w:p>
        <w:p w14:paraId="7977B4C9" w14:textId="77777777" w:rsidR="004A11F6" w:rsidRPr="00CB422B" w:rsidRDefault="004A11F6" w:rsidP="00CB422B">
          <w:pPr>
            <w:spacing w:line="360" w:lineRule="auto"/>
            <w:jc w:val="both"/>
            <w:rPr>
              <w:rFonts w:ascii="Times New Roman" w:hAnsi="Times New Roman" w:cs="Times New Roman"/>
              <w:sz w:val="24"/>
              <w:szCs w:val="24"/>
            </w:rPr>
          </w:pPr>
        </w:p>
        <w:p w14:paraId="005F8553" w14:textId="77777777" w:rsidR="004A11F6" w:rsidRPr="00CB422B" w:rsidRDefault="004A11F6" w:rsidP="00CB422B">
          <w:pPr>
            <w:spacing w:line="360" w:lineRule="auto"/>
            <w:jc w:val="both"/>
            <w:rPr>
              <w:rFonts w:ascii="Times New Roman" w:hAnsi="Times New Roman" w:cs="Times New Roman"/>
              <w:sz w:val="24"/>
              <w:szCs w:val="24"/>
            </w:rPr>
          </w:pPr>
        </w:p>
        <w:p w14:paraId="6B8A6FD5" w14:textId="77777777" w:rsidR="004A11F6" w:rsidRPr="00CB422B" w:rsidRDefault="004A11F6" w:rsidP="00CB422B">
          <w:pPr>
            <w:spacing w:line="360" w:lineRule="auto"/>
            <w:jc w:val="both"/>
            <w:rPr>
              <w:rFonts w:ascii="Times New Roman" w:hAnsi="Times New Roman" w:cs="Times New Roman"/>
              <w:sz w:val="24"/>
              <w:szCs w:val="24"/>
            </w:rPr>
          </w:pPr>
        </w:p>
        <w:p w14:paraId="38F11E70" w14:textId="77777777" w:rsidR="004A11F6" w:rsidRPr="00CB422B" w:rsidRDefault="004A11F6" w:rsidP="00CB422B">
          <w:pPr>
            <w:spacing w:line="360" w:lineRule="auto"/>
            <w:jc w:val="both"/>
            <w:rPr>
              <w:rFonts w:ascii="Times New Roman" w:hAnsi="Times New Roman" w:cs="Times New Roman"/>
              <w:sz w:val="24"/>
              <w:szCs w:val="24"/>
            </w:rPr>
          </w:pPr>
        </w:p>
        <w:p w14:paraId="152991AC" w14:textId="77777777" w:rsidR="004A11F6" w:rsidRPr="00CB422B" w:rsidRDefault="004A11F6" w:rsidP="00CB422B">
          <w:pPr>
            <w:spacing w:line="360" w:lineRule="auto"/>
            <w:jc w:val="both"/>
            <w:rPr>
              <w:rFonts w:ascii="Times New Roman" w:hAnsi="Times New Roman" w:cs="Times New Roman"/>
              <w:sz w:val="24"/>
              <w:szCs w:val="24"/>
            </w:rPr>
          </w:pPr>
        </w:p>
        <w:p w14:paraId="76C624EF" w14:textId="77777777" w:rsidR="004A11F6" w:rsidRPr="00CB422B" w:rsidRDefault="004A11F6" w:rsidP="00CB422B">
          <w:pPr>
            <w:spacing w:line="360" w:lineRule="auto"/>
            <w:jc w:val="both"/>
            <w:rPr>
              <w:rFonts w:ascii="Times New Roman" w:hAnsi="Times New Roman" w:cs="Times New Roman"/>
              <w:sz w:val="24"/>
              <w:szCs w:val="24"/>
            </w:rPr>
          </w:pPr>
        </w:p>
        <w:p w14:paraId="2A83E088" w14:textId="77777777" w:rsidR="004A11F6" w:rsidRPr="00CB422B" w:rsidRDefault="004A11F6" w:rsidP="00CB422B">
          <w:pPr>
            <w:spacing w:line="360" w:lineRule="auto"/>
            <w:jc w:val="both"/>
            <w:rPr>
              <w:rFonts w:ascii="Times New Roman" w:hAnsi="Times New Roman" w:cs="Times New Roman"/>
              <w:sz w:val="24"/>
              <w:szCs w:val="24"/>
            </w:rPr>
          </w:pPr>
        </w:p>
        <w:p w14:paraId="2049970D" w14:textId="77777777" w:rsidR="004A11F6" w:rsidRPr="00CB422B" w:rsidRDefault="004A11F6" w:rsidP="00CB422B">
          <w:pPr>
            <w:spacing w:line="360" w:lineRule="auto"/>
            <w:jc w:val="both"/>
            <w:rPr>
              <w:rFonts w:ascii="Times New Roman" w:hAnsi="Times New Roman" w:cs="Times New Roman"/>
              <w:sz w:val="24"/>
              <w:szCs w:val="24"/>
            </w:rPr>
          </w:pPr>
        </w:p>
        <w:p w14:paraId="423498CD" w14:textId="77777777" w:rsidR="004A11F6" w:rsidRPr="00CB422B" w:rsidRDefault="004A11F6" w:rsidP="00CB422B">
          <w:pPr>
            <w:spacing w:line="360" w:lineRule="auto"/>
            <w:jc w:val="both"/>
            <w:rPr>
              <w:rFonts w:ascii="Times New Roman" w:hAnsi="Times New Roman" w:cs="Times New Roman"/>
              <w:sz w:val="24"/>
              <w:szCs w:val="24"/>
            </w:rPr>
          </w:pPr>
        </w:p>
        <w:p w14:paraId="31921F49" w14:textId="621DC9BA" w:rsidR="00284F1F" w:rsidRPr="00CB422B" w:rsidRDefault="004D519C" w:rsidP="00537403">
          <w:pPr>
            <w:pStyle w:val="Heading1"/>
          </w:pPr>
          <w:bookmarkStart w:id="2" w:name="_Toc124431023"/>
          <w:r w:rsidRPr="00CB422B">
            <w:lastRenderedPageBreak/>
            <w:t xml:space="preserve">Financial Analysis </w:t>
          </w:r>
          <w:r w:rsidRPr="00537403">
            <w:t>Trends</w:t>
          </w:r>
          <w:bookmarkEnd w:id="2"/>
        </w:p>
        <w:p w14:paraId="16E08587" w14:textId="78DBBFEC" w:rsidR="00047313" w:rsidRPr="00CB422B" w:rsidRDefault="004D519C" w:rsidP="00537403">
          <w:pPr>
            <w:pStyle w:val="Heading2"/>
            <w:rPr>
              <w:b w:val="0"/>
            </w:rPr>
          </w:pPr>
          <w:bookmarkStart w:id="3" w:name="_Toc124431024"/>
          <w:r w:rsidRPr="00537403">
            <w:t>Profitability</w:t>
          </w:r>
          <w:bookmarkEnd w:id="3"/>
        </w:p>
        <w:tbl>
          <w:tblPr>
            <w:tblW w:w="5000" w:type="pct"/>
            <w:tblLook w:val="04A0" w:firstRow="1" w:lastRow="0" w:firstColumn="1" w:lastColumn="0" w:noHBand="0" w:noVBand="1"/>
          </w:tblPr>
          <w:tblGrid>
            <w:gridCol w:w="4449"/>
            <w:gridCol w:w="2294"/>
            <w:gridCol w:w="2499"/>
          </w:tblGrid>
          <w:tr w:rsidR="00047313" w:rsidRPr="005240CA" w14:paraId="0BC8F933" w14:textId="77777777" w:rsidTr="00D65C9E">
            <w:trPr>
              <w:trHeight w:val="300"/>
            </w:trPr>
            <w:tc>
              <w:tcPr>
                <w:tcW w:w="2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6F492F" w14:textId="77777777" w:rsidR="00047313" w:rsidRPr="005240CA" w:rsidRDefault="00047313" w:rsidP="00CB422B">
                <w:pPr>
                  <w:spacing w:after="0" w:line="360" w:lineRule="auto"/>
                  <w:jc w:val="both"/>
                  <w:rPr>
                    <w:rFonts w:ascii="Times New Roman" w:eastAsia="Times New Roman" w:hAnsi="Times New Roman" w:cs="Times New Roman"/>
                    <w:b/>
                    <w:bCs/>
                    <w:color w:val="000000"/>
                    <w:sz w:val="24"/>
                    <w:szCs w:val="24"/>
                  </w:rPr>
                </w:pPr>
              </w:p>
            </w:tc>
            <w:tc>
              <w:tcPr>
                <w:tcW w:w="2593" w:type="pct"/>
                <w:gridSpan w:val="2"/>
                <w:tcBorders>
                  <w:top w:val="single" w:sz="4" w:space="0" w:color="auto"/>
                  <w:left w:val="nil"/>
                  <w:bottom w:val="single" w:sz="4" w:space="0" w:color="auto"/>
                  <w:right w:val="single" w:sz="4" w:space="0" w:color="auto"/>
                </w:tcBorders>
                <w:shd w:val="clear" w:color="auto" w:fill="auto"/>
                <w:noWrap/>
                <w:vAlign w:val="bottom"/>
                <w:hideMark/>
              </w:tcPr>
              <w:p w14:paraId="4E57724E" w14:textId="77777777" w:rsidR="00047313" w:rsidRPr="005240CA" w:rsidRDefault="00047313" w:rsidP="00CB422B">
                <w:pPr>
                  <w:spacing w:after="0" w:line="360" w:lineRule="auto"/>
                  <w:jc w:val="both"/>
                  <w:rPr>
                    <w:rFonts w:ascii="Times New Roman" w:eastAsia="Times New Roman" w:hAnsi="Times New Roman" w:cs="Times New Roman"/>
                    <w:b/>
                    <w:bCs/>
                    <w:color w:val="000000"/>
                    <w:sz w:val="24"/>
                    <w:szCs w:val="24"/>
                  </w:rPr>
                </w:pPr>
                <w:r w:rsidRPr="005240CA">
                  <w:rPr>
                    <w:rFonts w:ascii="Times New Roman" w:eastAsia="Times New Roman" w:hAnsi="Times New Roman" w:cs="Times New Roman"/>
                    <w:b/>
                    <w:bCs/>
                    <w:color w:val="000000"/>
                    <w:sz w:val="24"/>
                    <w:szCs w:val="24"/>
                  </w:rPr>
                  <w:t>(In Percentage)</w:t>
                </w:r>
              </w:p>
            </w:tc>
          </w:tr>
          <w:tr w:rsidR="00047313" w:rsidRPr="005240CA" w14:paraId="29DA2029" w14:textId="77777777" w:rsidTr="00D65C9E">
            <w:trPr>
              <w:trHeight w:val="300"/>
            </w:trPr>
            <w:tc>
              <w:tcPr>
                <w:tcW w:w="2407" w:type="pct"/>
                <w:tcBorders>
                  <w:top w:val="nil"/>
                  <w:left w:val="single" w:sz="4" w:space="0" w:color="auto"/>
                  <w:bottom w:val="single" w:sz="4" w:space="0" w:color="auto"/>
                  <w:right w:val="single" w:sz="4" w:space="0" w:color="auto"/>
                </w:tcBorders>
                <w:shd w:val="clear" w:color="auto" w:fill="auto"/>
                <w:noWrap/>
                <w:vAlign w:val="bottom"/>
                <w:hideMark/>
              </w:tcPr>
              <w:p w14:paraId="380CCB5B" w14:textId="77777777" w:rsidR="00047313" w:rsidRPr="005240CA" w:rsidRDefault="00047313" w:rsidP="00CB422B">
                <w:pPr>
                  <w:spacing w:after="0" w:line="360" w:lineRule="auto"/>
                  <w:jc w:val="both"/>
                  <w:rPr>
                    <w:rFonts w:ascii="Times New Roman" w:eastAsia="Times New Roman" w:hAnsi="Times New Roman" w:cs="Times New Roman"/>
                    <w:b/>
                    <w:bCs/>
                    <w:color w:val="000000"/>
                    <w:sz w:val="24"/>
                    <w:szCs w:val="24"/>
                  </w:rPr>
                </w:pPr>
                <w:r w:rsidRPr="005240CA">
                  <w:rPr>
                    <w:rFonts w:ascii="Times New Roman" w:eastAsia="Times New Roman" w:hAnsi="Times New Roman" w:cs="Times New Roman"/>
                    <w:b/>
                    <w:bCs/>
                    <w:color w:val="000000"/>
                    <w:sz w:val="24"/>
                    <w:szCs w:val="24"/>
                  </w:rPr>
                  <w:t>Particular</w:t>
                </w:r>
              </w:p>
            </w:tc>
            <w:tc>
              <w:tcPr>
                <w:tcW w:w="1241" w:type="pct"/>
                <w:tcBorders>
                  <w:top w:val="nil"/>
                  <w:left w:val="nil"/>
                  <w:bottom w:val="single" w:sz="4" w:space="0" w:color="auto"/>
                  <w:right w:val="single" w:sz="4" w:space="0" w:color="auto"/>
                </w:tcBorders>
                <w:shd w:val="clear" w:color="auto" w:fill="auto"/>
                <w:noWrap/>
                <w:vAlign w:val="bottom"/>
                <w:hideMark/>
              </w:tcPr>
              <w:p w14:paraId="5DE233E1" w14:textId="77777777" w:rsidR="00047313" w:rsidRPr="005240CA" w:rsidRDefault="00047313" w:rsidP="00CB422B">
                <w:pPr>
                  <w:spacing w:after="0" w:line="360" w:lineRule="auto"/>
                  <w:jc w:val="both"/>
                  <w:rPr>
                    <w:rFonts w:ascii="Times New Roman" w:eastAsia="Times New Roman" w:hAnsi="Times New Roman" w:cs="Times New Roman"/>
                    <w:b/>
                    <w:bCs/>
                    <w:color w:val="000000"/>
                    <w:sz w:val="24"/>
                    <w:szCs w:val="24"/>
                  </w:rPr>
                </w:pPr>
                <w:r w:rsidRPr="005240CA">
                  <w:rPr>
                    <w:rFonts w:ascii="Times New Roman" w:eastAsia="Times New Roman" w:hAnsi="Times New Roman" w:cs="Times New Roman"/>
                    <w:b/>
                    <w:bCs/>
                    <w:color w:val="000000"/>
                    <w:sz w:val="24"/>
                    <w:szCs w:val="24"/>
                  </w:rPr>
                  <w:t>2020</w:t>
                </w:r>
              </w:p>
            </w:tc>
            <w:tc>
              <w:tcPr>
                <w:tcW w:w="1352" w:type="pct"/>
                <w:tcBorders>
                  <w:top w:val="nil"/>
                  <w:left w:val="nil"/>
                  <w:bottom w:val="single" w:sz="4" w:space="0" w:color="auto"/>
                  <w:right w:val="single" w:sz="4" w:space="0" w:color="auto"/>
                </w:tcBorders>
                <w:shd w:val="clear" w:color="auto" w:fill="auto"/>
                <w:noWrap/>
                <w:vAlign w:val="bottom"/>
                <w:hideMark/>
              </w:tcPr>
              <w:p w14:paraId="49ED2610" w14:textId="77777777" w:rsidR="00047313" w:rsidRPr="005240CA" w:rsidRDefault="00047313" w:rsidP="00CB422B">
                <w:pPr>
                  <w:spacing w:after="0" w:line="360" w:lineRule="auto"/>
                  <w:jc w:val="both"/>
                  <w:rPr>
                    <w:rFonts w:ascii="Times New Roman" w:eastAsia="Times New Roman" w:hAnsi="Times New Roman" w:cs="Times New Roman"/>
                    <w:b/>
                    <w:bCs/>
                    <w:color w:val="000000"/>
                    <w:sz w:val="24"/>
                    <w:szCs w:val="24"/>
                  </w:rPr>
                </w:pPr>
                <w:r w:rsidRPr="005240CA">
                  <w:rPr>
                    <w:rFonts w:ascii="Times New Roman" w:eastAsia="Times New Roman" w:hAnsi="Times New Roman" w:cs="Times New Roman"/>
                    <w:b/>
                    <w:bCs/>
                    <w:color w:val="000000"/>
                    <w:sz w:val="24"/>
                    <w:szCs w:val="24"/>
                  </w:rPr>
                  <w:t>2021</w:t>
                </w:r>
              </w:p>
            </w:tc>
          </w:tr>
          <w:tr w:rsidR="00047313" w:rsidRPr="005240CA" w14:paraId="1C67712F" w14:textId="77777777" w:rsidTr="00D65C9E">
            <w:trPr>
              <w:trHeight w:val="300"/>
            </w:trPr>
            <w:tc>
              <w:tcPr>
                <w:tcW w:w="2407" w:type="pct"/>
                <w:tcBorders>
                  <w:top w:val="nil"/>
                  <w:left w:val="single" w:sz="4" w:space="0" w:color="auto"/>
                  <w:bottom w:val="single" w:sz="4" w:space="0" w:color="auto"/>
                  <w:right w:val="single" w:sz="4" w:space="0" w:color="auto"/>
                </w:tcBorders>
                <w:shd w:val="clear" w:color="auto" w:fill="auto"/>
                <w:noWrap/>
                <w:vAlign w:val="bottom"/>
                <w:hideMark/>
              </w:tcPr>
              <w:p w14:paraId="30109166" w14:textId="77777777" w:rsidR="00047313" w:rsidRPr="005240CA" w:rsidRDefault="00047313" w:rsidP="00CB422B">
                <w:pPr>
                  <w:spacing w:after="0" w:line="360" w:lineRule="auto"/>
                  <w:jc w:val="both"/>
                  <w:rPr>
                    <w:rFonts w:ascii="Times New Roman" w:eastAsia="Times New Roman" w:hAnsi="Times New Roman" w:cs="Times New Roman"/>
                    <w:color w:val="000000"/>
                    <w:sz w:val="24"/>
                    <w:szCs w:val="24"/>
                  </w:rPr>
                </w:pPr>
                <w:r w:rsidRPr="005240CA">
                  <w:rPr>
                    <w:rFonts w:ascii="Times New Roman" w:eastAsia="Times New Roman" w:hAnsi="Times New Roman" w:cs="Times New Roman"/>
                    <w:color w:val="000000"/>
                    <w:sz w:val="24"/>
                    <w:szCs w:val="24"/>
                  </w:rPr>
                  <w:t>Operating Profit Ratio</w:t>
                </w:r>
              </w:p>
            </w:tc>
            <w:tc>
              <w:tcPr>
                <w:tcW w:w="1241" w:type="pct"/>
                <w:tcBorders>
                  <w:top w:val="nil"/>
                  <w:left w:val="nil"/>
                  <w:bottom w:val="single" w:sz="4" w:space="0" w:color="auto"/>
                  <w:right w:val="single" w:sz="4" w:space="0" w:color="auto"/>
                </w:tcBorders>
                <w:shd w:val="clear" w:color="auto" w:fill="auto"/>
                <w:noWrap/>
                <w:vAlign w:val="bottom"/>
                <w:hideMark/>
              </w:tcPr>
              <w:p w14:paraId="06A6BAFE" w14:textId="77777777" w:rsidR="00047313" w:rsidRPr="005240CA" w:rsidRDefault="00047313" w:rsidP="00CB422B">
                <w:pPr>
                  <w:spacing w:after="0" w:line="360" w:lineRule="auto"/>
                  <w:jc w:val="both"/>
                  <w:rPr>
                    <w:rFonts w:ascii="Times New Roman" w:eastAsia="Times New Roman" w:hAnsi="Times New Roman" w:cs="Times New Roman"/>
                    <w:color w:val="000000"/>
                    <w:sz w:val="24"/>
                    <w:szCs w:val="24"/>
                  </w:rPr>
                </w:pPr>
                <w:r w:rsidRPr="005240CA">
                  <w:rPr>
                    <w:rFonts w:ascii="Times New Roman" w:eastAsia="Times New Roman" w:hAnsi="Times New Roman" w:cs="Times New Roman"/>
                    <w:color w:val="000000"/>
                    <w:sz w:val="24"/>
                    <w:szCs w:val="24"/>
                  </w:rPr>
                  <w:t>0.79</w:t>
                </w:r>
              </w:p>
            </w:tc>
            <w:tc>
              <w:tcPr>
                <w:tcW w:w="1352" w:type="pct"/>
                <w:tcBorders>
                  <w:top w:val="nil"/>
                  <w:left w:val="nil"/>
                  <w:bottom w:val="single" w:sz="4" w:space="0" w:color="auto"/>
                  <w:right w:val="single" w:sz="4" w:space="0" w:color="auto"/>
                </w:tcBorders>
                <w:shd w:val="clear" w:color="auto" w:fill="auto"/>
                <w:noWrap/>
                <w:vAlign w:val="bottom"/>
                <w:hideMark/>
              </w:tcPr>
              <w:p w14:paraId="456059F2" w14:textId="77777777" w:rsidR="00047313" w:rsidRPr="005240CA" w:rsidRDefault="00047313" w:rsidP="00CB422B">
                <w:pPr>
                  <w:spacing w:after="0" w:line="360" w:lineRule="auto"/>
                  <w:jc w:val="both"/>
                  <w:rPr>
                    <w:rFonts w:ascii="Times New Roman" w:eastAsia="Times New Roman" w:hAnsi="Times New Roman" w:cs="Times New Roman"/>
                    <w:color w:val="000000"/>
                    <w:sz w:val="24"/>
                    <w:szCs w:val="24"/>
                  </w:rPr>
                </w:pPr>
                <w:r w:rsidRPr="005240CA">
                  <w:rPr>
                    <w:rFonts w:ascii="Times New Roman" w:eastAsia="Times New Roman" w:hAnsi="Times New Roman" w:cs="Times New Roman"/>
                    <w:color w:val="000000"/>
                    <w:sz w:val="24"/>
                    <w:szCs w:val="24"/>
                  </w:rPr>
                  <w:t>12.62</w:t>
                </w:r>
              </w:p>
            </w:tc>
          </w:tr>
          <w:tr w:rsidR="00047313" w:rsidRPr="005240CA" w14:paraId="3562FA84" w14:textId="77777777" w:rsidTr="00D65C9E">
            <w:trPr>
              <w:trHeight w:val="300"/>
            </w:trPr>
            <w:tc>
              <w:tcPr>
                <w:tcW w:w="2407" w:type="pct"/>
                <w:tcBorders>
                  <w:top w:val="nil"/>
                  <w:left w:val="single" w:sz="4" w:space="0" w:color="auto"/>
                  <w:bottom w:val="single" w:sz="4" w:space="0" w:color="auto"/>
                  <w:right w:val="single" w:sz="4" w:space="0" w:color="auto"/>
                </w:tcBorders>
                <w:shd w:val="clear" w:color="auto" w:fill="auto"/>
                <w:noWrap/>
                <w:vAlign w:val="bottom"/>
                <w:hideMark/>
              </w:tcPr>
              <w:p w14:paraId="476DCA80" w14:textId="77777777" w:rsidR="00047313" w:rsidRPr="005240CA" w:rsidRDefault="00047313" w:rsidP="00CB422B">
                <w:pPr>
                  <w:spacing w:after="0" w:line="360" w:lineRule="auto"/>
                  <w:jc w:val="both"/>
                  <w:rPr>
                    <w:rFonts w:ascii="Times New Roman" w:eastAsia="Times New Roman" w:hAnsi="Times New Roman" w:cs="Times New Roman"/>
                    <w:color w:val="000000"/>
                    <w:sz w:val="24"/>
                    <w:szCs w:val="24"/>
                  </w:rPr>
                </w:pPr>
                <w:r w:rsidRPr="005240CA">
                  <w:rPr>
                    <w:rFonts w:ascii="Times New Roman" w:eastAsia="Times New Roman" w:hAnsi="Times New Roman" w:cs="Times New Roman"/>
                    <w:color w:val="000000"/>
                    <w:sz w:val="24"/>
                    <w:szCs w:val="24"/>
                  </w:rPr>
                  <w:t>Gross Profit Ratio</w:t>
                </w:r>
              </w:p>
            </w:tc>
            <w:tc>
              <w:tcPr>
                <w:tcW w:w="1241" w:type="pct"/>
                <w:tcBorders>
                  <w:top w:val="nil"/>
                  <w:left w:val="nil"/>
                  <w:bottom w:val="single" w:sz="4" w:space="0" w:color="auto"/>
                  <w:right w:val="single" w:sz="4" w:space="0" w:color="auto"/>
                </w:tcBorders>
                <w:shd w:val="clear" w:color="auto" w:fill="auto"/>
                <w:noWrap/>
                <w:vAlign w:val="bottom"/>
                <w:hideMark/>
              </w:tcPr>
              <w:p w14:paraId="59FE73B4" w14:textId="77777777" w:rsidR="00047313" w:rsidRPr="005240CA" w:rsidRDefault="00047313" w:rsidP="00CB422B">
                <w:pPr>
                  <w:spacing w:after="0" w:line="360" w:lineRule="auto"/>
                  <w:jc w:val="both"/>
                  <w:rPr>
                    <w:rFonts w:ascii="Times New Roman" w:eastAsia="Times New Roman" w:hAnsi="Times New Roman" w:cs="Times New Roman"/>
                    <w:color w:val="000000"/>
                    <w:sz w:val="24"/>
                    <w:szCs w:val="24"/>
                  </w:rPr>
                </w:pPr>
                <w:r w:rsidRPr="005240CA">
                  <w:rPr>
                    <w:rFonts w:ascii="Times New Roman" w:eastAsia="Times New Roman" w:hAnsi="Times New Roman" w:cs="Times New Roman"/>
                    <w:color w:val="000000"/>
                    <w:sz w:val="24"/>
                    <w:szCs w:val="24"/>
                  </w:rPr>
                  <w:t>13.8</w:t>
                </w:r>
              </w:p>
            </w:tc>
            <w:tc>
              <w:tcPr>
                <w:tcW w:w="1352" w:type="pct"/>
                <w:tcBorders>
                  <w:top w:val="nil"/>
                  <w:left w:val="nil"/>
                  <w:bottom w:val="single" w:sz="4" w:space="0" w:color="auto"/>
                  <w:right w:val="single" w:sz="4" w:space="0" w:color="auto"/>
                </w:tcBorders>
                <w:shd w:val="clear" w:color="auto" w:fill="auto"/>
                <w:noWrap/>
                <w:vAlign w:val="bottom"/>
                <w:hideMark/>
              </w:tcPr>
              <w:p w14:paraId="11A9AD1D" w14:textId="77777777" w:rsidR="00047313" w:rsidRPr="005240CA" w:rsidRDefault="00047313" w:rsidP="00CB422B">
                <w:pPr>
                  <w:spacing w:after="0" w:line="360" w:lineRule="auto"/>
                  <w:jc w:val="both"/>
                  <w:rPr>
                    <w:rFonts w:ascii="Times New Roman" w:eastAsia="Times New Roman" w:hAnsi="Times New Roman" w:cs="Times New Roman"/>
                    <w:color w:val="000000"/>
                    <w:sz w:val="24"/>
                    <w:szCs w:val="24"/>
                  </w:rPr>
                </w:pPr>
                <w:r w:rsidRPr="005240CA">
                  <w:rPr>
                    <w:rFonts w:ascii="Times New Roman" w:eastAsia="Times New Roman" w:hAnsi="Times New Roman" w:cs="Times New Roman"/>
                    <w:color w:val="000000"/>
                    <w:sz w:val="24"/>
                    <w:szCs w:val="24"/>
                  </w:rPr>
                  <w:t>20.21</w:t>
                </w:r>
              </w:p>
            </w:tc>
          </w:tr>
          <w:tr w:rsidR="00047313" w:rsidRPr="005240CA" w14:paraId="5866EE0C" w14:textId="77777777" w:rsidTr="00D65C9E">
            <w:trPr>
              <w:trHeight w:val="300"/>
            </w:trPr>
            <w:tc>
              <w:tcPr>
                <w:tcW w:w="2407" w:type="pct"/>
                <w:tcBorders>
                  <w:top w:val="nil"/>
                  <w:left w:val="single" w:sz="4" w:space="0" w:color="auto"/>
                  <w:bottom w:val="single" w:sz="4" w:space="0" w:color="auto"/>
                  <w:right w:val="single" w:sz="4" w:space="0" w:color="auto"/>
                </w:tcBorders>
                <w:shd w:val="clear" w:color="auto" w:fill="auto"/>
                <w:noWrap/>
                <w:vAlign w:val="bottom"/>
                <w:hideMark/>
              </w:tcPr>
              <w:p w14:paraId="313170A5" w14:textId="77777777" w:rsidR="00047313" w:rsidRPr="005240CA" w:rsidRDefault="00047313" w:rsidP="00CB422B">
                <w:pPr>
                  <w:spacing w:after="0" w:line="360" w:lineRule="auto"/>
                  <w:jc w:val="both"/>
                  <w:rPr>
                    <w:rFonts w:ascii="Times New Roman" w:eastAsia="Times New Roman" w:hAnsi="Times New Roman" w:cs="Times New Roman"/>
                    <w:color w:val="000000"/>
                    <w:sz w:val="24"/>
                    <w:szCs w:val="24"/>
                  </w:rPr>
                </w:pPr>
                <w:r w:rsidRPr="005240CA">
                  <w:rPr>
                    <w:rFonts w:ascii="Times New Roman" w:eastAsia="Times New Roman" w:hAnsi="Times New Roman" w:cs="Times New Roman"/>
                    <w:color w:val="000000"/>
                    <w:sz w:val="24"/>
                    <w:szCs w:val="24"/>
                  </w:rPr>
                  <w:t>Net Profit Ratio</w:t>
                </w:r>
              </w:p>
            </w:tc>
            <w:tc>
              <w:tcPr>
                <w:tcW w:w="1241" w:type="pct"/>
                <w:tcBorders>
                  <w:top w:val="nil"/>
                  <w:left w:val="nil"/>
                  <w:bottom w:val="single" w:sz="4" w:space="0" w:color="auto"/>
                  <w:right w:val="single" w:sz="4" w:space="0" w:color="auto"/>
                </w:tcBorders>
                <w:shd w:val="clear" w:color="auto" w:fill="auto"/>
                <w:noWrap/>
                <w:vAlign w:val="bottom"/>
                <w:hideMark/>
              </w:tcPr>
              <w:p w14:paraId="50BB49D9" w14:textId="77777777" w:rsidR="00047313" w:rsidRPr="005240CA" w:rsidRDefault="00047313" w:rsidP="00CB422B">
                <w:pPr>
                  <w:spacing w:after="0" w:line="360" w:lineRule="auto"/>
                  <w:jc w:val="both"/>
                  <w:rPr>
                    <w:rFonts w:ascii="Times New Roman" w:eastAsia="Times New Roman" w:hAnsi="Times New Roman" w:cs="Times New Roman"/>
                    <w:color w:val="000000"/>
                    <w:sz w:val="24"/>
                    <w:szCs w:val="24"/>
                  </w:rPr>
                </w:pPr>
                <w:r w:rsidRPr="005240CA">
                  <w:rPr>
                    <w:rFonts w:ascii="Times New Roman" w:eastAsia="Times New Roman" w:hAnsi="Times New Roman" w:cs="Times New Roman"/>
                    <w:color w:val="000000"/>
                    <w:sz w:val="24"/>
                    <w:szCs w:val="24"/>
                  </w:rPr>
                  <w:t>-2.52</w:t>
                </w:r>
              </w:p>
            </w:tc>
            <w:tc>
              <w:tcPr>
                <w:tcW w:w="1352" w:type="pct"/>
                <w:tcBorders>
                  <w:top w:val="nil"/>
                  <w:left w:val="nil"/>
                  <w:bottom w:val="single" w:sz="4" w:space="0" w:color="auto"/>
                  <w:right w:val="single" w:sz="4" w:space="0" w:color="auto"/>
                </w:tcBorders>
                <w:shd w:val="clear" w:color="auto" w:fill="auto"/>
                <w:noWrap/>
                <w:vAlign w:val="bottom"/>
                <w:hideMark/>
              </w:tcPr>
              <w:p w14:paraId="3C0CF6DA" w14:textId="77777777" w:rsidR="00047313" w:rsidRPr="005240CA" w:rsidRDefault="00047313" w:rsidP="00CB422B">
                <w:pPr>
                  <w:spacing w:after="0" w:line="360" w:lineRule="auto"/>
                  <w:jc w:val="both"/>
                  <w:rPr>
                    <w:rFonts w:ascii="Times New Roman" w:eastAsia="Times New Roman" w:hAnsi="Times New Roman" w:cs="Times New Roman"/>
                    <w:color w:val="000000"/>
                    <w:sz w:val="24"/>
                    <w:szCs w:val="24"/>
                  </w:rPr>
                </w:pPr>
                <w:r w:rsidRPr="005240CA">
                  <w:rPr>
                    <w:rFonts w:ascii="Times New Roman" w:eastAsia="Times New Roman" w:hAnsi="Times New Roman" w:cs="Times New Roman"/>
                    <w:color w:val="000000"/>
                    <w:sz w:val="24"/>
                    <w:szCs w:val="24"/>
                  </w:rPr>
                  <w:t>7.93</w:t>
                </w:r>
              </w:p>
            </w:tc>
          </w:tr>
        </w:tbl>
        <w:p w14:paraId="7FC72EED" w14:textId="77777777" w:rsidR="00047313" w:rsidRPr="00CB422B" w:rsidRDefault="00047313" w:rsidP="00CB422B">
          <w:pPr>
            <w:spacing w:line="360" w:lineRule="auto"/>
            <w:jc w:val="both"/>
            <w:rPr>
              <w:rFonts w:ascii="Times New Roman" w:hAnsi="Times New Roman" w:cs="Times New Roman"/>
              <w:sz w:val="24"/>
              <w:szCs w:val="24"/>
            </w:rPr>
          </w:pPr>
        </w:p>
        <w:p w14:paraId="176041DF" w14:textId="55D108E2" w:rsidR="00047313" w:rsidRPr="00CB422B" w:rsidRDefault="000546C7" w:rsidP="00CB422B">
          <w:pPr>
            <w:spacing w:line="360" w:lineRule="auto"/>
            <w:jc w:val="both"/>
            <w:rPr>
              <w:rFonts w:ascii="Times New Roman" w:hAnsi="Times New Roman" w:cs="Times New Roman"/>
              <w:sz w:val="24"/>
              <w:szCs w:val="24"/>
            </w:rPr>
          </w:pPr>
          <w:r>
            <w:rPr>
              <w:noProof/>
              <w:lang w:val="en-IN" w:eastAsia="en-IN"/>
            </w:rPr>
            <w:drawing>
              <wp:inline distT="0" distB="0" distL="0" distR="0" wp14:anchorId="4F4EA7A8" wp14:editId="1782C4E8">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2CBC095" w14:textId="77777777" w:rsidR="00047313" w:rsidRPr="00CB422B" w:rsidRDefault="00047313"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Meaning</w:t>
          </w:r>
        </w:p>
        <w:p w14:paraId="1E617DE8" w14:textId="77777777" w:rsidR="009362E1" w:rsidRDefault="00047313"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profitability ratio is the type of accounting ratio it indicates the financial performance of the company for a particular time. The ratio is expressed in percentage form. It shows that the company is the capability to generate enough profits from its business operations for future growth and sustainability. </w:t>
          </w:r>
          <w:r w:rsidRPr="00CB422B">
            <w:rPr>
              <w:rFonts w:ascii="Times New Roman" w:hAnsi="Times New Roman" w:cs="Times New Roman"/>
              <w:b/>
              <w:sz w:val="24"/>
              <w:szCs w:val="24"/>
            </w:rPr>
            <w:t>The gross profit i</w:t>
          </w:r>
          <w:r w:rsidRPr="00CB422B">
            <w:rPr>
              <w:rFonts w:ascii="Times New Roman" w:hAnsi="Times New Roman" w:cs="Times New Roman"/>
              <w:sz w:val="24"/>
              <w:szCs w:val="24"/>
            </w:rPr>
            <w:t xml:space="preserve">s that amount which is company remains after all the deduction of the cost of goods sold from the revenue of the particular year (Woodruff 2019).  </w:t>
          </w:r>
        </w:p>
        <w:p w14:paraId="3DA7F34A" w14:textId="1D27E0E9" w:rsidR="00047313" w:rsidRPr="00CB422B" w:rsidRDefault="00047313"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When the company minus all the expenses such as cost of goods sold, administration, manufacturing, selling, interest, and tax from the net sales earned by the firm during the accounting year it is known as the </w:t>
          </w:r>
          <w:r w:rsidRPr="00CB422B">
            <w:rPr>
              <w:rFonts w:ascii="Times New Roman" w:hAnsi="Times New Roman" w:cs="Times New Roman"/>
              <w:b/>
              <w:sz w:val="24"/>
              <w:szCs w:val="24"/>
            </w:rPr>
            <w:t>earnings after interest and tax or net income</w:t>
          </w:r>
          <w:r w:rsidRPr="00CB422B">
            <w:rPr>
              <w:rFonts w:ascii="Times New Roman" w:hAnsi="Times New Roman" w:cs="Times New Roman"/>
              <w:sz w:val="24"/>
              <w:szCs w:val="24"/>
            </w:rPr>
            <w:t xml:space="preserve"> (Bragg 2022). The above table also shows the </w:t>
          </w:r>
          <w:r w:rsidRPr="00CB422B">
            <w:rPr>
              <w:rFonts w:ascii="Times New Roman" w:hAnsi="Times New Roman" w:cs="Times New Roman"/>
              <w:b/>
              <w:sz w:val="24"/>
              <w:szCs w:val="24"/>
            </w:rPr>
            <w:t>operating profit</w:t>
          </w:r>
          <w:r w:rsidRPr="00CB422B">
            <w:rPr>
              <w:rFonts w:ascii="Times New Roman" w:hAnsi="Times New Roman" w:cs="Times New Roman"/>
              <w:sz w:val="24"/>
              <w:szCs w:val="24"/>
            </w:rPr>
            <w:t xml:space="preserve"> which means the amount a company earns after selling the goods and after subtracting the operating expenses which include the employees’ payroll, costs of inventory and equipment, and rent (Bragg 2022). The amount of </w:t>
          </w:r>
          <w:r w:rsidRPr="00CB422B">
            <w:rPr>
              <w:rFonts w:ascii="Times New Roman" w:hAnsi="Times New Roman" w:cs="Times New Roman"/>
              <w:sz w:val="24"/>
              <w:szCs w:val="24"/>
            </w:rPr>
            <w:lastRenderedPageBreak/>
            <w:t xml:space="preserve">the operating profit does not include the losses and gains of the investments, interests, and taxes. </w:t>
          </w:r>
        </w:p>
        <w:p w14:paraId="6F2D2B95" w14:textId="77777777" w:rsidR="00047313" w:rsidRPr="00CB422B" w:rsidRDefault="00047313"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Comparison</w:t>
          </w:r>
        </w:p>
        <w:p w14:paraId="32EDDAD5" w14:textId="77777777" w:rsidR="00047313" w:rsidRPr="00CB422B" w:rsidRDefault="00047313"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table and graph illustrate the profitability ratio of operating, gross profit, and net profit ratio for the years 2021 and 2020. The table shows the comparison between the ratio of profits for the two financial years. The first box of the table shows that the ratio of operating profit increased in the year 2021 by 11.83 % from its previous accounting period (Bragg 2022). The ratio is considered good in the year 2021 due to efficiently managing its expenditures and costs of goods. </w:t>
          </w:r>
        </w:p>
        <w:p w14:paraId="69F0DFD7" w14:textId="77777777" w:rsidR="00047313" w:rsidRPr="00CB422B" w:rsidRDefault="00047313"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gross profit ratio is also rising in the year 2021 as compared to the year 2020. The ratio was 13.8% and 20.21% in the year of 2020 and 2021 respectively financial year. 6.41% increase in the year 2021(Woodruff 2019).  The reason for increasing the ratio is to reduce the cost of products or services, increase the original price of the goods, and reduce raw material cost and </w:t>
          </w:r>
          <w:proofErr w:type="gramStart"/>
          <w:r w:rsidRPr="00CB422B">
            <w:rPr>
              <w:rFonts w:ascii="Times New Roman" w:hAnsi="Times New Roman" w:cs="Times New Roman"/>
              <w:sz w:val="24"/>
              <w:szCs w:val="24"/>
            </w:rPr>
            <w:t>a large number of</w:t>
          </w:r>
          <w:proofErr w:type="gramEnd"/>
          <w:r w:rsidRPr="00CB422B">
            <w:rPr>
              <w:rFonts w:ascii="Times New Roman" w:hAnsi="Times New Roman" w:cs="Times New Roman"/>
              <w:sz w:val="24"/>
              <w:szCs w:val="24"/>
            </w:rPr>
            <w:t xml:space="preserve"> goods are sold during this year. </w:t>
          </w:r>
        </w:p>
        <w:p w14:paraId="58C8195D" w14:textId="77777777" w:rsidR="00047313" w:rsidRPr="00CB422B" w:rsidRDefault="00047313"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graph of profitability also includes the net profit ratio was 7.93% and (2.52%) respectively for the years 2021 and 2020 accounting period. The company is loss state in the year 2020 due to increasing costs of raw materials and goods as well as reduced sale amount. In other words, if the costs are more than the total revenue of the company during the financial year of 2020. </w:t>
          </w:r>
        </w:p>
        <w:p w14:paraId="0F81F1F5" w14:textId="77777777" w:rsidR="00047313" w:rsidRPr="00CB422B" w:rsidRDefault="00047313"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 xml:space="preserve">Trend </w:t>
          </w:r>
        </w:p>
        <w:p w14:paraId="072C106F" w14:textId="77777777" w:rsidR="00047313" w:rsidRPr="00CB422B" w:rsidRDefault="00047313"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As the above bar graphs show that the company profits gross profit, EAIT, and operating profit are less than its general ideal ratio which is higher than 10% in the accounting year 2020. The ratio increased in the next financial period from its prior </w:t>
          </w:r>
          <w:proofErr w:type="gramStart"/>
          <w:r w:rsidRPr="00CB422B">
            <w:rPr>
              <w:rFonts w:ascii="Times New Roman" w:hAnsi="Times New Roman" w:cs="Times New Roman"/>
              <w:sz w:val="24"/>
              <w:szCs w:val="24"/>
            </w:rPr>
            <w:t>year</w:t>
          </w:r>
          <w:proofErr w:type="gramEnd"/>
          <w:r w:rsidRPr="00CB422B">
            <w:rPr>
              <w:rFonts w:ascii="Times New Roman" w:hAnsi="Times New Roman" w:cs="Times New Roman"/>
              <w:sz w:val="24"/>
              <w:szCs w:val="24"/>
            </w:rPr>
            <w:t xml:space="preserve"> and it was 12.62%, 7.93%, and 20.21% of the operating, net, and gross profit (Woodruff 2019).   The bar graph increased in the year 2021 due to efficient control of the costs, and expenses as well as generating enough cash by selling a higher number of units. </w:t>
          </w:r>
        </w:p>
        <w:p w14:paraId="407F304A" w14:textId="77777777" w:rsidR="00047313" w:rsidRPr="00CB422B" w:rsidRDefault="00047313"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Conclusion</w:t>
          </w:r>
        </w:p>
        <w:p w14:paraId="0F965FA9" w14:textId="718C9F2A" w:rsidR="00047313" w:rsidRPr="00CB422B" w:rsidRDefault="00047313"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above financial analysis of the financial statement of Marriott International Company concludes that the financial performance of the company increased in the year 2021. The ratio </w:t>
          </w:r>
          <w:proofErr w:type="gramStart"/>
          <w:r w:rsidRPr="00CB422B">
            <w:rPr>
              <w:rFonts w:ascii="Times New Roman" w:hAnsi="Times New Roman" w:cs="Times New Roman"/>
              <w:sz w:val="24"/>
              <w:szCs w:val="24"/>
            </w:rPr>
            <w:t>increase</w:t>
          </w:r>
          <w:proofErr w:type="gramEnd"/>
          <w:r w:rsidRPr="00CB422B">
            <w:rPr>
              <w:rFonts w:ascii="Times New Roman" w:hAnsi="Times New Roman" w:cs="Times New Roman"/>
              <w:sz w:val="24"/>
              <w:szCs w:val="24"/>
            </w:rPr>
            <w:t xml:space="preserve"> due to increased turnover, productivity, and efficiency and reduced expenses </w:t>
          </w:r>
          <w:r w:rsidRPr="00CB422B">
            <w:rPr>
              <w:rFonts w:ascii="Times New Roman" w:hAnsi="Times New Roman" w:cs="Times New Roman"/>
              <w:sz w:val="24"/>
              <w:szCs w:val="24"/>
            </w:rPr>
            <w:lastRenderedPageBreak/>
            <w:t xml:space="preserve">and costs. This will help the firm introduce new goods and services, improve its reputation as well as increase its market share.  </w:t>
          </w:r>
        </w:p>
        <w:p w14:paraId="6CD58C45" w14:textId="77777777" w:rsidR="004D519C" w:rsidRPr="00CB422B" w:rsidRDefault="004D519C" w:rsidP="001D2C8C">
          <w:pPr>
            <w:pStyle w:val="Heading2"/>
          </w:pPr>
          <w:bookmarkStart w:id="4" w:name="_Toc124431025"/>
          <w:r w:rsidRPr="001D2C8C">
            <w:t>Liquidity</w:t>
          </w:r>
          <w:bookmarkEnd w:id="4"/>
        </w:p>
        <w:p w14:paraId="44F77893" w14:textId="77777777" w:rsidR="00677AE5" w:rsidRPr="00CB422B" w:rsidRDefault="00677AE5"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2. Liquidity Ratio</w:t>
          </w:r>
        </w:p>
        <w:tbl>
          <w:tblPr>
            <w:tblW w:w="8060" w:type="dxa"/>
            <w:tblLook w:val="04A0" w:firstRow="1" w:lastRow="0" w:firstColumn="1" w:lastColumn="0" w:noHBand="0" w:noVBand="1"/>
          </w:tblPr>
          <w:tblGrid>
            <w:gridCol w:w="3880"/>
            <w:gridCol w:w="2090"/>
            <w:gridCol w:w="2090"/>
          </w:tblGrid>
          <w:tr w:rsidR="00677AE5" w:rsidRPr="00810B18" w14:paraId="59B4AC16" w14:textId="77777777" w:rsidTr="00D65C9E">
            <w:trPr>
              <w:trHeight w:val="300"/>
            </w:trPr>
            <w:tc>
              <w:tcPr>
                <w:tcW w:w="3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D981C8" w14:textId="77777777" w:rsidR="00677AE5" w:rsidRPr="00810B18" w:rsidRDefault="00677AE5" w:rsidP="00CB422B">
                <w:pPr>
                  <w:spacing w:after="0" w:line="360" w:lineRule="auto"/>
                  <w:jc w:val="both"/>
                  <w:rPr>
                    <w:rFonts w:ascii="Times New Roman" w:eastAsia="Times New Roman" w:hAnsi="Times New Roman" w:cs="Times New Roman"/>
                    <w:b/>
                    <w:bCs/>
                    <w:color w:val="000000"/>
                    <w:sz w:val="24"/>
                    <w:szCs w:val="24"/>
                  </w:rPr>
                </w:pPr>
              </w:p>
            </w:tc>
            <w:tc>
              <w:tcPr>
                <w:tcW w:w="41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754C275" w14:textId="77777777" w:rsidR="00677AE5" w:rsidRPr="00810B18" w:rsidRDefault="00677AE5" w:rsidP="00CB422B">
                <w:pPr>
                  <w:spacing w:after="0" w:line="360" w:lineRule="auto"/>
                  <w:jc w:val="both"/>
                  <w:rPr>
                    <w:rFonts w:ascii="Times New Roman" w:eastAsia="Times New Roman" w:hAnsi="Times New Roman" w:cs="Times New Roman"/>
                    <w:b/>
                    <w:bCs/>
                    <w:color w:val="000000"/>
                    <w:sz w:val="24"/>
                    <w:szCs w:val="24"/>
                  </w:rPr>
                </w:pPr>
                <w:r w:rsidRPr="00810B18">
                  <w:rPr>
                    <w:rFonts w:ascii="Times New Roman" w:eastAsia="Times New Roman" w:hAnsi="Times New Roman" w:cs="Times New Roman"/>
                    <w:b/>
                    <w:bCs/>
                    <w:color w:val="000000"/>
                    <w:sz w:val="24"/>
                    <w:szCs w:val="24"/>
                  </w:rPr>
                  <w:t>(In times)</w:t>
                </w:r>
              </w:p>
            </w:tc>
          </w:tr>
          <w:tr w:rsidR="00677AE5" w:rsidRPr="00810B18" w14:paraId="6C05E7E7" w14:textId="77777777" w:rsidTr="00D65C9E">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033AC0EE" w14:textId="77777777" w:rsidR="00677AE5" w:rsidRPr="00810B18" w:rsidRDefault="00677AE5" w:rsidP="00CB422B">
                <w:pPr>
                  <w:spacing w:after="0" w:line="360" w:lineRule="auto"/>
                  <w:jc w:val="both"/>
                  <w:rPr>
                    <w:rFonts w:ascii="Times New Roman" w:eastAsia="Times New Roman" w:hAnsi="Times New Roman" w:cs="Times New Roman"/>
                    <w:b/>
                    <w:bCs/>
                    <w:color w:val="000000"/>
                    <w:sz w:val="24"/>
                    <w:szCs w:val="24"/>
                  </w:rPr>
                </w:pPr>
                <w:r w:rsidRPr="00810B18">
                  <w:rPr>
                    <w:rFonts w:ascii="Times New Roman" w:eastAsia="Times New Roman" w:hAnsi="Times New Roman" w:cs="Times New Roman"/>
                    <w:b/>
                    <w:bCs/>
                    <w:color w:val="000000"/>
                    <w:sz w:val="24"/>
                    <w:szCs w:val="24"/>
                  </w:rPr>
                  <w:t>Particular</w:t>
                </w:r>
              </w:p>
            </w:tc>
            <w:tc>
              <w:tcPr>
                <w:tcW w:w="2090" w:type="dxa"/>
                <w:tcBorders>
                  <w:top w:val="nil"/>
                  <w:left w:val="nil"/>
                  <w:bottom w:val="single" w:sz="4" w:space="0" w:color="auto"/>
                  <w:right w:val="single" w:sz="4" w:space="0" w:color="auto"/>
                </w:tcBorders>
                <w:shd w:val="clear" w:color="auto" w:fill="auto"/>
                <w:noWrap/>
                <w:vAlign w:val="bottom"/>
                <w:hideMark/>
              </w:tcPr>
              <w:p w14:paraId="00082462" w14:textId="77777777" w:rsidR="00677AE5" w:rsidRPr="00810B18" w:rsidRDefault="00677AE5" w:rsidP="00CB422B">
                <w:pPr>
                  <w:spacing w:after="0" w:line="360" w:lineRule="auto"/>
                  <w:jc w:val="both"/>
                  <w:rPr>
                    <w:rFonts w:ascii="Times New Roman" w:eastAsia="Times New Roman" w:hAnsi="Times New Roman" w:cs="Times New Roman"/>
                    <w:b/>
                    <w:bCs/>
                    <w:color w:val="000000"/>
                    <w:sz w:val="24"/>
                    <w:szCs w:val="24"/>
                  </w:rPr>
                </w:pPr>
                <w:r w:rsidRPr="00810B18">
                  <w:rPr>
                    <w:rFonts w:ascii="Times New Roman" w:eastAsia="Times New Roman" w:hAnsi="Times New Roman" w:cs="Times New Roman"/>
                    <w:b/>
                    <w:bCs/>
                    <w:color w:val="000000"/>
                    <w:sz w:val="24"/>
                    <w:szCs w:val="24"/>
                  </w:rPr>
                  <w:t>2020</w:t>
                </w:r>
              </w:p>
            </w:tc>
            <w:tc>
              <w:tcPr>
                <w:tcW w:w="2090" w:type="dxa"/>
                <w:tcBorders>
                  <w:top w:val="nil"/>
                  <w:left w:val="nil"/>
                  <w:bottom w:val="single" w:sz="4" w:space="0" w:color="auto"/>
                  <w:right w:val="single" w:sz="4" w:space="0" w:color="auto"/>
                </w:tcBorders>
                <w:shd w:val="clear" w:color="auto" w:fill="auto"/>
                <w:noWrap/>
                <w:vAlign w:val="bottom"/>
                <w:hideMark/>
              </w:tcPr>
              <w:p w14:paraId="536886BD" w14:textId="77777777" w:rsidR="00677AE5" w:rsidRPr="00810B18" w:rsidRDefault="00677AE5" w:rsidP="00CB422B">
                <w:pPr>
                  <w:spacing w:after="0" w:line="360" w:lineRule="auto"/>
                  <w:jc w:val="both"/>
                  <w:rPr>
                    <w:rFonts w:ascii="Times New Roman" w:eastAsia="Times New Roman" w:hAnsi="Times New Roman" w:cs="Times New Roman"/>
                    <w:b/>
                    <w:bCs/>
                    <w:color w:val="000000"/>
                    <w:sz w:val="24"/>
                    <w:szCs w:val="24"/>
                  </w:rPr>
                </w:pPr>
                <w:r w:rsidRPr="00810B18">
                  <w:rPr>
                    <w:rFonts w:ascii="Times New Roman" w:eastAsia="Times New Roman" w:hAnsi="Times New Roman" w:cs="Times New Roman"/>
                    <w:b/>
                    <w:bCs/>
                    <w:color w:val="000000"/>
                    <w:sz w:val="24"/>
                    <w:szCs w:val="24"/>
                  </w:rPr>
                  <w:t>2021</w:t>
                </w:r>
              </w:p>
            </w:tc>
          </w:tr>
          <w:tr w:rsidR="00677AE5" w:rsidRPr="00810B18" w14:paraId="4AC2FC7F" w14:textId="77777777" w:rsidTr="00D65C9E">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399E83BA" w14:textId="77777777" w:rsidR="00677AE5" w:rsidRPr="00810B18" w:rsidRDefault="00677AE5" w:rsidP="00CB422B">
                <w:pPr>
                  <w:spacing w:after="0" w:line="360" w:lineRule="auto"/>
                  <w:jc w:val="both"/>
                  <w:rPr>
                    <w:rFonts w:ascii="Times New Roman" w:eastAsia="Times New Roman" w:hAnsi="Times New Roman" w:cs="Times New Roman"/>
                    <w:color w:val="000000"/>
                    <w:sz w:val="24"/>
                    <w:szCs w:val="24"/>
                  </w:rPr>
                </w:pPr>
                <w:r w:rsidRPr="00810B18">
                  <w:rPr>
                    <w:rFonts w:ascii="Times New Roman" w:eastAsia="Times New Roman" w:hAnsi="Times New Roman" w:cs="Times New Roman"/>
                    <w:color w:val="000000"/>
                    <w:sz w:val="24"/>
                    <w:szCs w:val="24"/>
                  </w:rPr>
                  <w:t>Current Ratio</w:t>
                </w:r>
              </w:p>
            </w:tc>
            <w:tc>
              <w:tcPr>
                <w:tcW w:w="2090" w:type="dxa"/>
                <w:tcBorders>
                  <w:top w:val="nil"/>
                  <w:left w:val="nil"/>
                  <w:bottom w:val="single" w:sz="4" w:space="0" w:color="auto"/>
                  <w:right w:val="single" w:sz="4" w:space="0" w:color="auto"/>
                </w:tcBorders>
                <w:shd w:val="clear" w:color="auto" w:fill="auto"/>
                <w:noWrap/>
                <w:vAlign w:val="bottom"/>
                <w:hideMark/>
              </w:tcPr>
              <w:p w14:paraId="11304553" w14:textId="77777777" w:rsidR="00677AE5" w:rsidRPr="00810B18" w:rsidRDefault="00677AE5" w:rsidP="00CB422B">
                <w:pPr>
                  <w:spacing w:after="0" w:line="360" w:lineRule="auto"/>
                  <w:jc w:val="both"/>
                  <w:rPr>
                    <w:rFonts w:ascii="Times New Roman" w:eastAsia="Times New Roman" w:hAnsi="Times New Roman" w:cs="Times New Roman"/>
                    <w:color w:val="000000"/>
                    <w:sz w:val="24"/>
                    <w:szCs w:val="24"/>
                  </w:rPr>
                </w:pPr>
                <w:r w:rsidRPr="00810B18">
                  <w:rPr>
                    <w:rFonts w:ascii="Times New Roman" w:eastAsia="Times New Roman" w:hAnsi="Times New Roman" w:cs="Times New Roman"/>
                    <w:color w:val="000000"/>
                    <w:sz w:val="24"/>
                    <w:szCs w:val="24"/>
                  </w:rPr>
                  <w:t>0.49</w:t>
                </w:r>
              </w:p>
            </w:tc>
            <w:tc>
              <w:tcPr>
                <w:tcW w:w="2090" w:type="dxa"/>
                <w:tcBorders>
                  <w:top w:val="nil"/>
                  <w:left w:val="nil"/>
                  <w:bottom w:val="single" w:sz="4" w:space="0" w:color="auto"/>
                  <w:right w:val="single" w:sz="4" w:space="0" w:color="auto"/>
                </w:tcBorders>
                <w:shd w:val="clear" w:color="auto" w:fill="auto"/>
                <w:noWrap/>
                <w:vAlign w:val="bottom"/>
                <w:hideMark/>
              </w:tcPr>
              <w:p w14:paraId="03E030F6" w14:textId="77777777" w:rsidR="00677AE5" w:rsidRPr="00810B18" w:rsidRDefault="00677AE5" w:rsidP="00CB422B">
                <w:pPr>
                  <w:spacing w:after="0" w:line="360" w:lineRule="auto"/>
                  <w:jc w:val="both"/>
                  <w:rPr>
                    <w:rFonts w:ascii="Times New Roman" w:eastAsia="Times New Roman" w:hAnsi="Times New Roman" w:cs="Times New Roman"/>
                    <w:color w:val="000000"/>
                    <w:sz w:val="24"/>
                    <w:szCs w:val="24"/>
                  </w:rPr>
                </w:pPr>
                <w:r w:rsidRPr="00810B18">
                  <w:rPr>
                    <w:rFonts w:ascii="Times New Roman" w:eastAsia="Times New Roman" w:hAnsi="Times New Roman" w:cs="Times New Roman"/>
                    <w:color w:val="000000"/>
                    <w:sz w:val="24"/>
                    <w:szCs w:val="24"/>
                  </w:rPr>
                  <w:t>0.56</w:t>
                </w:r>
              </w:p>
            </w:tc>
          </w:tr>
        </w:tbl>
        <w:p w14:paraId="355D77A4" w14:textId="77777777" w:rsidR="00677AE5" w:rsidRPr="00CB422B" w:rsidRDefault="00677AE5" w:rsidP="00CB422B">
          <w:pPr>
            <w:spacing w:line="360" w:lineRule="auto"/>
            <w:jc w:val="both"/>
            <w:rPr>
              <w:rFonts w:ascii="Times New Roman" w:hAnsi="Times New Roman" w:cs="Times New Roman"/>
              <w:sz w:val="24"/>
              <w:szCs w:val="24"/>
            </w:rPr>
          </w:pPr>
        </w:p>
        <w:p w14:paraId="5DC3B0CF" w14:textId="4CDF531D" w:rsidR="00677AE5" w:rsidRPr="00CB422B" w:rsidRDefault="000546C7" w:rsidP="00CB422B">
          <w:pPr>
            <w:spacing w:line="360" w:lineRule="auto"/>
            <w:jc w:val="both"/>
            <w:rPr>
              <w:rFonts w:ascii="Times New Roman" w:hAnsi="Times New Roman" w:cs="Times New Roman"/>
              <w:sz w:val="24"/>
              <w:szCs w:val="24"/>
            </w:rPr>
          </w:pPr>
          <w:r>
            <w:rPr>
              <w:noProof/>
              <w:lang w:val="en-IN" w:eastAsia="en-IN"/>
            </w:rPr>
            <w:drawing>
              <wp:inline distT="0" distB="0" distL="0" distR="0" wp14:anchorId="2E8459E6" wp14:editId="2679A8A5">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762D40F" w14:textId="77777777" w:rsidR="00677AE5" w:rsidRPr="00CB422B" w:rsidRDefault="00677AE5"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Meaning</w:t>
          </w:r>
        </w:p>
        <w:p w14:paraId="656E1BA3" w14:textId="729196BB" w:rsidR="00677AE5" w:rsidRPr="00CB422B" w:rsidRDefault="00677AE5"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The liquidity ratio indicates the company has enough cash to pay its short-term liabilities which are due within one accounting year. It also determines how well the firm converts its current assets and uses them for paying all its liabilities or dues. The current ratio is the kind of liquidity ratio. It represents the ability of the firm to pay its dues on time or during the</w:t>
          </w:r>
          <w:r w:rsidR="009362E1">
            <w:rPr>
              <w:rFonts w:ascii="Times New Roman" w:hAnsi="Times New Roman" w:cs="Times New Roman"/>
              <w:sz w:val="24"/>
              <w:szCs w:val="24"/>
            </w:rPr>
            <w:t xml:space="preserve"> financial year (Johnson 2017).</w:t>
          </w:r>
          <w:r w:rsidRPr="00CB422B">
            <w:rPr>
              <w:rFonts w:ascii="Times New Roman" w:hAnsi="Times New Roman" w:cs="Times New Roman"/>
              <w:sz w:val="24"/>
              <w:szCs w:val="24"/>
            </w:rPr>
            <w:t xml:space="preserve"> It expressed in the form of times. When the ratio is high means companies pay their obligation without any delaying and defaulting. </w:t>
          </w:r>
        </w:p>
        <w:p w14:paraId="4C273466" w14:textId="77777777" w:rsidR="00677AE5" w:rsidRPr="00CB422B" w:rsidRDefault="00677AE5"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Comparison</w:t>
          </w:r>
        </w:p>
        <w:p w14:paraId="17121462" w14:textId="2EFCAD02" w:rsidR="00677AE5" w:rsidRPr="00CB422B" w:rsidRDefault="00677AE5"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The ratio of current ratio was 0.49 times and 0.56 times in the years 2020 and 2021 respectively. In 2020 the ratio indicates that the firm is not able to pay its liabilities due to insufficient cash (Johnson 2017</w:t>
          </w:r>
          <w:r w:rsidR="009362E1">
            <w:rPr>
              <w:rFonts w:ascii="Times New Roman" w:hAnsi="Times New Roman" w:cs="Times New Roman"/>
              <w:sz w:val="24"/>
              <w:szCs w:val="24"/>
            </w:rPr>
            <w:t xml:space="preserve">). </w:t>
          </w:r>
          <w:r w:rsidRPr="00CB422B">
            <w:rPr>
              <w:rFonts w:ascii="Times New Roman" w:hAnsi="Times New Roman" w:cs="Times New Roman"/>
              <w:sz w:val="24"/>
              <w:szCs w:val="24"/>
            </w:rPr>
            <w:t xml:space="preserve">The company has only 0.49 times its current assets for </w:t>
          </w:r>
          <w:r w:rsidRPr="00CB422B">
            <w:rPr>
              <w:rFonts w:ascii="Times New Roman" w:hAnsi="Times New Roman" w:cs="Times New Roman"/>
              <w:sz w:val="24"/>
              <w:szCs w:val="24"/>
            </w:rPr>
            <w:lastRenderedPageBreak/>
            <w:t xml:space="preserve">paying the $1 of the current obligations. And in the accounting year 2020, the Marriott company has half of its cash to pay its $1 short-term liabilities. </w:t>
          </w:r>
        </w:p>
        <w:p w14:paraId="2BA4B996" w14:textId="77777777" w:rsidR="00677AE5" w:rsidRPr="00CB422B" w:rsidRDefault="00677AE5"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Trend</w:t>
          </w:r>
        </w:p>
        <w:p w14:paraId="69707BFE" w14:textId="77777777" w:rsidR="00677AE5" w:rsidRPr="00CB422B" w:rsidRDefault="00677AE5"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ratio was increasing in the year 2021 by 0.07 times only. The reason for improving the ratio is sales increase, reducing the operating costs, administrative and selling. The graph shows an upward in the current year from 2020 (Johnson 2017).  </w:t>
          </w:r>
        </w:p>
        <w:p w14:paraId="1B51AA93" w14:textId="77777777" w:rsidR="00677AE5" w:rsidRPr="00CB422B" w:rsidRDefault="00677AE5"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Conclusion</w:t>
          </w:r>
        </w:p>
        <w:p w14:paraId="41571618" w14:textId="5900DE92" w:rsidR="00677AE5" w:rsidRPr="00CB422B" w:rsidRDefault="00677AE5"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It concludes that the firm ratio of the current ratio for </w:t>
          </w:r>
          <w:proofErr w:type="gramStart"/>
          <w:r w:rsidRPr="00CB422B">
            <w:rPr>
              <w:rFonts w:ascii="Times New Roman" w:hAnsi="Times New Roman" w:cs="Times New Roman"/>
              <w:sz w:val="24"/>
              <w:szCs w:val="24"/>
            </w:rPr>
            <w:t>the both</w:t>
          </w:r>
          <w:proofErr w:type="gramEnd"/>
          <w:r w:rsidRPr="00CB422B">
            <w:rPr>
              <w:rFonts w:ascii="Times New Roman" w:hAnsi="Times New Roman" w:cs="Times New Roman"/>
              <w:sz w:val="24"/>
              <w:szCs w:val="24"/>
            </w:rPr>
            <w:t xml:space="preserve"> accounting period of 2020 and 2021 is less than its standard ratio and it is 2:1 times. It indicates the company should have to increase its sales, reducing unnecessary costs and materials or high costs prices. </w:t>
          </w:r>
        </w:p>
        <w:p w14:paraId="16F44571" w14:textId="1FAE2687" w:rsidR="00664C7C" w:rsidRPr="00CB422B" w:rsidRDefault="004D519C" w:rsidP="001D2C8C">
          <w:pPr>
            <w:pStyle w:val="Heading2"/>
            <w:rPr>
              <w:b w:val="0"/>
            </w:rPr>
          </w:pPr>
          <w:bookmarkStart w:id="5" w:name="_Toc124431026"/>
          <w:r w:rsidRPr="001D2C8C">
            <w:t>Gearing</w:t>
          </w:r>
          <w:bookmarkEnd w:id="5"/>
        </w:p>
        <w:tbl>
          <w:tblPr>
            <w:tblW w:w="5000" w:type="pct"/>
            <w:tblLook w:val="04A0" w:firstRow="1" w:lastRow="0" w:firstColumn="1" w:lastColumn="0" w:noHBand="0" w:noVBand="1"/>
          </w:tblPr>
          <w:tblGrid>
            <w:gridCol w:w="4449"/>
            <w:gridCol w:w="2538"/>
            <w:gridCol w:w="2255"/>
          </w:tblGrid>
          <w:tr w:rsidR="00664C7C" w:rsidRPr="00C2295C" w14:paraId="781C02E2" w14:textId="77777777" w:rsidTr="00D65C9E">
            <w:trPr>
              <w:trHeight w:val="300"/>
            </w:trPr>
            <w:tc>
              <w:tcPr>
                <w:tcW w:w="24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8D04D" w14:textId="77777777" w:rsidR="00664C7C" w:rsidRPr="00C2295C" w:rsidRDefault="00664C7C" w:rsidP="00CB422B">
                <w:pPr>
                  <w:spacing w:after="0" w:line="360" w:lineRule="auto"/>
                  <w:jc w:val="both"/>
                  <w:rPr>
                    <w:rFonts w:ascii="Times New Roman" w:eastAsia="Times New Roman" w:hAnsi="Times New Roman" w:cs="Times New Roman"/>
                    <w:b/>
                    <w:bCs/>
                    <w:color w:val="000000"/>
                    <w:sz w:val="24"/>
                    <w:szCs w:val="24"/>
                  </w:rPr>
                </w:pPr>
              </w:p>
            </w:tc>
            <w:tc>
              <w:tcPr>
                <w:tcW w:w="2593" w:type="pct"/>
                <w:gridSpan w:val="2"/>
                <w:tcBorders>
                  <w:top w:val="single" w:sz="4" w:space="0" w:color="auto"/>
                  <w:left w:val="nil"/>
                  <w:bottom w:val="single" w:sz="4" w:space="0" w:color="auto"/>
                  <w:right w:val="single" w:sz="4" w:space="0" w:color="auto"/>
                </w:tcBorders>
                <w:shd w:val="clear" w:color="auto" w:fill="auto"/>
                <w:noWrap/>
                <w:vAlign w:val="bottom"/>
                <w:hideMark/>
              </w:tcPr>
              <w:p w14:paraId="36FBE20E" w14:textId="77777777" w:rsidR="00664C7C" w:rsidRPr="00C2295C" w:rsidRDefault="00664C7C" w:rsidP="00CB422B">
                <w:pPr>
                  <w:spacing w:after="0" w:line="360" w:lineRule="auto"/>
                  <w:jc w:val="both"/>
                  <w:rPr>
                    <w:rFonts w:ascii="Times New Roman" w:eastAsia="Times New Roman" w:hAnsi="Times New Roman" w:cs="Times New Roman"/>
                    <w:b/>
                    <w:bCs/>
                    <w:color w:val="000000"/>
                    <w:sz w:val="24"/>
                    <w:szCs w:val="24"/>
                  </w:rPr>
                </w:pPr>
                <w:r w:rsidRPr="00C2295C">
                  <w:rPr>
                    <w:rFonts w:ascii="Times New Roman" w:eastAsia="Times New Roman" w:hAnsi="Times New Roman" w:cs="Times New Roman"/>
                    <w:b/>
                    <w:bCs/>
                    <w:color w:val="000000"/>
                    <w:sz w:val="24"/>
                    <w:szCs w:val="24"/>
                  </w:rPr>
                  <w:t>(In times)</w:t>
                </w:r>
              </w:p>
            </w:tc>
          </w:tr>
          <w:tr w:rsidR="00664C7C" w:rsidRPr="00C2295C" w14:paraId="4C5D7BBE" w14:textId="77777777" w:rsidTr="00D65C9E">
            <w:trPr>
              <w:trHeight w:val="300"/>
            </w:trPr>
            <w:tc>
              <w:tcPr>
                <w:tcW w:w="2407" w:type="pct"/>
                <w:tcBorders>
                  <w:top w:val="nil"/>
                  <w:left w:val="single" w:sz="4" w:space="0" w:color="auto"/>
                  <w:bottom w:val="single" w:sz="4" w:space="0" w:color="auto"/>
                  <w:right w:val="single" w:sz="4" w:space="0" w:color="auto"/>
                </w:tcBorders>
                <w:shd w:val="clear" w:color="auto" w:fill="auto"/>
                <w:noWrap/>
                <w:vAlign w:val="bottom"/>
                <w:hideMark/>
              </w:tcPr>
              <w:p w14:paraId="65A78319" w14:textId="77777777" w:rsidR="00664C7C" w:rsidRPr="00C2295C" w:rsidRDefault="00664C7C" w:rsidP="00CB422B">
                <w:pPr>
                  <w:spacing w:after="0" w:line="360" w:lineRule="auto"/>
                  <w:jc w:val="both"/>
                  <w:rPr>
                    <w:rFonts w:ascii="Times New Roman" w:eastAsia="Times New Roman" w:hAnsi="Times New Roman" w:cs="Times New Roman"/>
                    <w:b/>
                    <w:bCs/>
                    <w:color w:val="000000"/>
                    <w:sz w:val="24"/>
                    <w:szCs w:val="24"/>
                  </w:rPr>
                </w:pPr>
                <w:r w:rsidRPr="00C2295C">
                  <w:rPr>
                    <w:rFonts w:ascii="Times New Roman" w:eastAsia="Times New Roman" w:hAnsi="Times New Roman" w:cs="Times New Roman"/>
                    <w:b/>
                    <w:bCs/>
                    <w:color w:val="000000"/>
                    <w:sz w:val="24"/>
                    <w:szCs w:val="24"/>
                  </w:rPr>
                  <w:t>Particular</w:t>
                </w:r>
              </w:p>
            </w:tc>
            <w:tc>
              <w:tcPr>
                <w:tcW w:w="1373" w:type="pct"/>
                <w:tcBorders>
                  <w:top w:val="nil"/>
                  <w:left w:val="nil"/>
                  <w:bottom w:val="single" w:sz="4" w:space="0" w:color="auto"/>
                  <w:right w:val="single" w:sz="4" w:space="0" w:color="auto"/>
                </w:tcBorders>
                <w:shd w:val="clear" w:color="auto" w:fill="auto"/>
                <w:noWrap/>
                <w:vAlign w:val="bottom"/>
                <w:hideMark/>
              </w:tcPr>
              <w:p w14:paraId="665D3E9B" w14:textId="77777777" w:rsidR="00664C7C" w:rsidRPr="00C2295C" w:rsidRDefault="00664C7C" w:rsidP="00CB422B">
                <w:pPr>
                  <w:spacing w:after="0" w:line="360" w:lineRule="auto"/>
                  <w:jc w:val="both"/>
                  <w:rPr>
                    <w:rFonts w:ascii="Times New Roman" w:eastAsia="Times New Roman" w:hAnsi="Times New Roman" w:cs="Times New Roman"/>
                    <w:b/>
                    <w:bCs/>
                    <w:color w:val="000000"/>
                    <w:sz w:val="24"/>
                    <w:szCs w:val="24"/>
                  </w:rPr>
                </w:pPr>
                <w:r w:rsidRPr="00C2295C">
                  <w:rPr>
                    <w:rFonts w:ascii="Times New Roman" w:eastAsia="Times New Roman" w:hAnsi="Times New Roman" w:cs="Times New Roman"/>
                    <w:b/>
                    <w:bCs/>
                    <w:color w:val="000000"/>
                    <w:sz w:val="24"/>
                    <w:szCs w:val="24"/>
                  </w:rPr>
                  <w:t>2020</w:t>
                </w:r>
              </w:p>
            </w:tc>
            <w:tc>
              <w:tcPr>
                <w:tcW w:w="1220" w:type="pct"/>
                <w:tcBorders>
                  <w:top w:val="nil"/>
                  <w:left w:val="nil"/>
                  <w:bottom w:val="single" w:sz="4" w:space="0" w:color="auto"/>
                  <w:right w:val="single" w:sz="4" w:space="0" w:color="auto"/>
                </w:tcBorders>
                <w:shd w:val="clear" w:color="auto" w:fill="auto"/>
                <w:noWrap/>
                <w:vAlign w:val="bottom"/>
                <w:hideMark/>
              </w:tcPr>
              <w:p w14:paraId="2237A90F" w14:textId="77777777" w:rsidR="00664C7C" w:rsidRPr="00C2295C" w:rsidRDefault="00664C7C" w:rsidP="00CB422B">
                <w:pPr>
                  <w:spacing w:after="0" w:line="360" w:lineRule="auto"/>
                  <w:jc w:val="both"/>
                  <w:rPr>
                    <w:rFonts w:ascii="Times New Roman" w:eastAsia="Times New Roman" w:hAnsi="Times New Roman" w:cs="Times New Roman"/>
                    <w:b/>
                    <w:bCs/>
                    <w:color w:val="000000"/>
                    <w:sz w:val="24"/>
                    <w:szCs w:val="24"/>
                  </w:rPr>
                </w:pPr>
                <w:r w:rsidRPr="00C2295C">
                  <w:rPr>
                    <w:rFonts w:ascii="Times New Roman" w:eastAsia="Times New Roman" w:hAnsi="Times New Roman" w:cs="Times New Roman"/>
                    <w:b/>
                    <w:bCs/>
                    <w:color w:val="000000"/>
                    <w:sz w:val="24"/>
                    <w:szCs w:val="24"/>
                  </w:rPr>
                  <w:t>2021</w:t>
                </w:r>
              </w:p>
            </w:tc>
          </w:tr>
          <w:tr w:rsidR="00664C7C" w:rsidRPr="00C2295C" w14:paraId="135B9492" w14:textId="77777777" w:rsidTr="00D65C9E">
            <w:trPr>
              <w:trHeight w:val="300"/>
            </w:trPr>
            <w:tc>
              <w:tcPr>
                <w:tcW w:w="2407" w:type="pct"/>
                <w:tcBorders>
                  <w:top w:val="nil"/>
                  <w:left w:val="single" w:sz="4" w:space="0" w:color="auto"/>
                  <w:bottom w:val="single" w:sz="4" w:space="0" w:color="auto"/>
                  <w:right w:val="single" w:sz="4" w:space="0" w:color="auto"/>
                </w:tcBorders>
                <w:shd w:val="clear" w:color="auto" w:fill="auto"/>
                <w:noWrap/>
                <w:vAlign w:val="bottom"/>
                <w:hideMark/>
              </w:tcPr>
              <w:p w14:paraId="3960F2F4" w14:textId="77777777" w:rsidR="00664C7C" w:rsidRPr="00C2295C" w:rsidRDefault="00664C7C" w:rsidP="00CB422B">
                <w:pPr>
                  <w:spacing w:after="0" w:line="360" w:lineRule="auto"/>
                  <w:jc w:val="both"/>
                  <w:rPr>
                    <w:rFonts w:ascii="Times New Roman" w:eastAsia="Times New Roman" w:hAnsi="Times New Roman" w:cs="Times New Roman"/>
                    <w:color w:val="000000"/>
                    <w:sz w:val="24"/>
                    <w:szCs w:val="24"/>
                  </w:rPr>
                </w:pPr>
                <w:r w:rsidRPr="00C2295C">
                  <w:rPr>
                    <w:rFonts w:ascii="Times New Roman" w:eastAsia="Times New Roman" w:hAnsi="Times New Roman" w:cs="Times New Roman"/>
                    <w:color w:val="000000"/>
                    <w:sz w:val="24"/>
                    <w:szCs w:val="24"/>
                  </w:rPr>
                  <w:t>Debt to equity ratio</w:t>
                </w:r>
              </w:p>
            </w:tc>
            <w:tc>
              <w:tcPr>
                <w:tcW w:w="1373" w:type="pct"/>
                <w:tcBorders>
                  <w:top w:val="nil"/>
                  <w:left w:val="nil"/>
                  <w:bottom w:val="single" w:sz="4" w:space="0" w:color="auto"/>
                  <w:right w:val="single" w:sz="4" w:space="0" w:color="auto"/>
                </w:tcBorders>
                <w:shd w:val="clear" w:color="auto" w:fill="auto"/>
                <w:noWrap/>
                <w:vAlign w:val="bottom"/>
                <w:hideMark/>
              </w:tcPr>
              <w:p w14:paraId="575546B1" w14:textId="77777777" w:rsidR="00664C7C" w:rsidRPr="00C2295C" w:rsidRDefault="00664C7C" w:rsidP="00CB422B">
                <w:pPr>
                  <w:spacing w:after="0" w:line="360" w:lineRule="auto"/>
                  <w:jc w:val="both"/>
                  <w:rPr>
                    <w:rFonts w:ascii="Times New Roman" w:eastAsia="Times New Roman" w:hAnsi="Times New Roman" w:cs="Times New Roman"/>
                    <w:color w:val="000000"/>
                    <w:sz w:val="24"/>
                    <w:szCs w:val="24"/>
                  </w:rPr>
                </w:pPr>
                <w:r w:rsidRPr="00C2295C">
                  <w:rPr>
                    <w:rFonts w:ascii="Times New Roman" w:eastAsia="Times New Roman" w:hAnsi="Times New Roman" w:cs="Times New Roman"/>
                    <w:color w:val="000000"/>
                    <w:sz w:val="24"/>
                    <w:szCs w:val="24"/>
                  </w:rPr>
                  <w:t>24.13</w:t>
                </w:r>
              </w:p>
            </w:tc>
            <w:tc>
              <w:tcPr>
                <w:tcW w:w="1220" w:type="pct"/>
                <w:tcBorders>
                  <w:top w:val="nil"/>
                  <w:left w:val="nil"/>
                  <w:bottom w:val="single" w:sz="4" w:space="0" w:color="auto"/>
                  <w:right w:val="single" w:sz="4" w:space="0" w:color="auto"/>
                </w:tcBorders>
                <w:shd w:val="clear" w:color="auto" w:fill="auto"/>
                <w:noWrap/>
                <w:vAlign w:val="bottom"/>
                <w:hideMark/>
              </w:tcPr>
              <w:p w14:paraId="7D85DC26" w14:textId="77777777" w:rsidR="00664C7C" w:rsidRPr="00C2295C" w:rsidRDefault="00664C7C" w:rsidP="00CB422B">
                <w:pPr>
                  <w:spacing w:after="0" w:line="360" w:lineRule="auto"/>
                  <w:jc w:val="both"/>
                  <w:rPr>
                    <w:rFonts w:ascii="Times New Roman" w:eastAsia="Times New Roman" w:hAnsi="Times New Roman" w:cs="Times New Roman"/>
                    <w:color w:val="000000"/>
                    <w:sz w:val="24"/>
                    <w:szCs w:val="24"/>
                  </w:rPr>
                </w:pPr>
                <w:r w:rsidRPr="00C2295C">
                  <w:rPr>
                    <w:rFonts w:ascii="Times New Roman" w:eastAsia="Times New Roman" w:hAnsi="Times New Roman" w:cs="Times New Roman"/>
                    <w:color w:val="000000"/>
                    <w:sz w:val="24"/>
                    <w:szCs w:val="24"/>
                  </w:rPr>
                  <w:t>7.16</w:t>
                </w:r>
              </w:p>
            </w:tc>
          </w:tr>
          <w:tr w:rsidR="00664C7C" w:rsidRPr="00C2295C" w14:paraId="7C156C09" w14:textId="77777777" w:rsidTr="00D65C9E">
            <w:trPr>
              <w:trHeight w:val="300"/>
            </w:trPr>
            <w:tc>
              <w:tcPr>
                <w:tcW w:w="2407" w:type="pct"/>
                <w:tcBorders>
                  <w:top w:val="nil"/>
                  <w:left w:val="single" w:sz="4" w:space="0" w:color="auto"/>
                  <w:bottom w:val="single" w:sz="4" w:space="0" w:color="auto"/>
                  <w:right w:val="single" w:sz="4" w:space="0" w:color="auto"/>
                </w:tcBorders>
                <w:shd w:val="clear" w:color="auto" w:fill="auto"/>
                <w:noWrap/>
                <w:vAlign w:val="bottom"/>
                <w:hideMark/>
              </w:tcPr>
              <w:p w14:paraId="3B5F54C5" w14:textId="77777777" w:rsidR="00664C7C" w:rsidRPr="00C2295C" w:rsidRDefault="00664C7C" w:rsidP="00CB422B">
                <w:pPr>
                  <w:spacing w:after="0" w:line="360" w:lineRule="auto"/>
                  <w:jc w:val="both"/>
                  <w:rPr>
                    <w:rFonts w:ascii="Times New Roman" w:eastAsia="Times New Roman" w:hAnsi="Times New Roman" w:cs="Times New Roman"/>
                    <w:color w:val="000000"/>
                    <w:sz w:val="24"/>
                    <w:szCs w:val="24"/>
                  </w:rPr>
                </w:pPr>
                <w:r w:rsidRPr="00C2295C">
                  <w:rPr>
                    <w:rFonts w:ascii="Times New Roman" w:eastAsia="Times New Roman" w:hAnsi="Times New Roman" w:cs="Times New Roman"/>
                    <w:color w:val="000000"/>
                    <w:sz w:val="24"/>
                    <w:szCs w:val="24"/>
                  </w:rPr>
                  <w:t>Return On Equity Ratio</w:t>
                </w:r>
              </w:p>
            </w:tc>
            <w:tc>
              <w:tcPr>
                <w:tcW w:w="1373" w:type="pct"/>
                <w:tcBorders>
                  <w:top w:val="nil"/>
                  <w:left w:val="nil"/>
                  <w:bottom w:val="single" w:sz="4" w:space="0" w:color="auto"/>
                  <w:right w:val="single" w:sz="4" w:space="0" w:color="auto"/>
                </w:tcBorders>
                <w:shd w:val="clear" w:color="auto" w:fill="auto"/>
                <w:noWrap/>
                <w:vAlign w:val="bottom"/>
                <w:hideMark/>
              </w:tcPr>
              <w:p w14:paraId="5343D817" w14:textId="77777777" w:rsidR="00664C7C" w:rsidRPr="00C2295C" w:rsidRDefault="00664C7C" w:rsidP="00CB422B">
                <w:pPr>
                  <w:spacing w:after="0" w:line="360" w:lineRule="auto"/>
                  <w:jc w:val="both"/>
                  <w:rPr>
                    <w:rFonts w:ascii="Times New Roman" w:eastAsia="Times New Roman" w:hAnsi="Times New Roman" w:cs="Times New Roman"/>
                    <w:color w:val="000000"/>
                    <w:sz w:val="24"/>
                    <w:szCs w:val="24"/>
                  </w:rPr>
                </w:pPr>
                <w:r w:rsidRPr="00C2295C">
                  <w:rPr>
                    <w:rFonts w:ascii="Times New Roman" w:eastAsia="Times New Roman" w:hAnsi="Times New Roman" w:cs="Times New Roman"/>
                    <w:color w:val="000000"/>
                    <w:sz w:val="24"/>
                    <w:szCs w:val="24"/>
                  </w:rPr>
                  <w:t>-62.09</w:t>
                </w:r>
              </w:p>
            </w:tc>
            <w:tc>
              <w:tcPr>
                <w:tcW w:w="1220" w:type="pct"/>
                <w:tcBorders>
                  <w:top w:val="nil"/>
                  <w:left w:val="nil"/>
                  <w:bottom w:val="single" w:sz="4" w:space="0" w:color="auto"/>
                  <w:right w:val="single" w:sz="4" w:space="0" w:color="auto"/>
                </w:tcBorders>
                <w:shd w:val="clear" w:color="auto" w:fill="auto"/>
                <w:noWrap/>
                <w:vAlign w:val="bottom"/>
                <w:hideMark/>
              </w:tcPr>
              <w:p w14:paraId="6CC5D1FB" w14:textId="77777777" w:rsidR="00664C7C" w:rsidRPr="00C2295C" w:rsidRDefault="00664C7C" w:rsidP="00CB422B">
                <w:pPr>
                  <w:spacing w:after="0" w:line="360" w:lineRule="auto"/>
                  <w:jc w:val="both"/>
                  <w:rPr>
                    <w:rFonts w:ascii="Times New Roman" w:eastAsia="Times New Roman" w:hAnsi="Times New Roman" w:cs="Times New Roman"/>
                    <w:color w:val="000000"/>
                    <w:sz w:val="24"/>
                    <w:szCs w:val="24"/>
                  </w:rPr>
                </w:pPr>
                <w:r w:rsidRPr="00C2295C">
                  <w:rPr>
                    <w:rFonts w:ascii="Times New Roman" w:eastAsia="Times New Roman" w:hAnsi="Times New Roman" w:cs="Times New Roman"/>
                    <w:color w:val="000000"/>
                    <w:sz w:val="24"/>
                    <w:szCs w:val="24"/>
                  </w:rPr>
                  <w:t>77.72</w:t>
                </w:r>
              </w:p>
            </w:tc>
          </w:tr>
        </w:tbl>
        <w:p w14:paraId="5CDE9E29" w14:textId="77777777" w:rsidR="00664C7C" w:rsidRPr="00CB422B" w:rsidRDefault="00664C7C" w:rsidP="00CB422B">
          <w:pPr>
            <w:spacing w:line="360" w:lineRule="auto"/>
            <w:jc w:val="both"/>
            <w:rPr>
              <w:rFonts w:ascii="Times New Roman" w:hAnsi="Times New Roman" w:cs="Times New Roman"/>
              <w:sz w:val="24"/>
              <w:szCs w:val="24"/>
            </w:rPr>
          </w:pPr>
        </w:p>
        <w:p w14:paraId="636685B3" w14:textId="463BFECD" w:rsidR="00664C7C" w:rsidRDefault="000546C7" w:rsidP="00CB422B">
          <w:pPr>
            <w:spacing w:line="360" w:lineRule="auto"/>
            <w:jc w:val="both"/>
            <w:rPr>
              <w:rFonts w:ascii="Times New Roman" w:hAnsi="Times New Roman" w:cs="Times New Roman"/>
              <w:sz w:val="24"/>
              <w:szCs w:val="24"/>
            </w:rPr>
          </w:pPr>
          <w:r>
            <w:rPr>
              <w:noProof/>
              <w:lang w:val="en-IN" w:eastAsia="en-IN"/>
            </w:rPr>
            <w:drawing>
              <wp:inline distT="0" distB="0" distL="0" distR="0" wp14:anchorId="06AAD9BD" wp14:editId="636FE446">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6FBC6C9" w14:textId="0C6BEFB0" w:rsidR="000546C7" w:rsidRPr="00CB422B" w:rsidRDefault="00FF440B" w:rsidP="00CB422B">
          <w:pPr>
            <w:spacing w:line="360" w:lineRule="auto"/>
            <w:jc w:val="both"/>
            <w:rPr>
              <w:rFonts w:ascii="Times New Roman" w:hAnsi="Times New Roman" w:cs="Times New Roman"/>
              <w:sz w:val="24"/>
              <w:szCs w:val="24"/>
            </w:rPr>
          </w:pPr>
          <w:r>
            <w:rPr>
              <w:noProof/>
              <w:lang w:val="en-IN" w:eastAsia="en-IN"/>
            </w:rPr>
            <w:lastRenderedPageBreak/>
            <w:drawing>
              <wp:inline distT="0" distB="0" distL="0" distR="0" wp14:anchorId="23D6DDF3" wp14:editId="050D70CC">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E27060" w14:textId="7D87FFE3" w:rsidR="00664C7C" w:rsidRPr="00CB422B" w:rsidRDefault="00664C7C"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 xml:space="preserve">Meaning </w:t>
          </w:r>
        </w:p>
        <w:p w14:paraId="47FDEC90" w14:textId="77777777" w:rsidR="00664C7C" w:rsidRPr="00CB422B" w:rsidRDefault="00664C7C"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The debt-to-equity and return-on-equity ratios are the types of the gearing ratio. The ratios indicate the firm risk and uncertainty are arising in the upcoming accounting years. If the business uses more debt in the capital structure it means that it falls under financial stress.</w:t>
          </w:r>
          <w:r w:rsidRPr="00CB422B">
            <w:rPr>
              <w:rFonts w:ascii="Times New Roman" w:hAnsi="Times New Roman" w:cs="Times New Roman"/>
              <w:b/>
              <w:sz w:val="24"/>
              <w:szCs w:val="24"/>
            </w:rPr>
            <w:t xml:space="preserve"> The debt to equity </w:t>
          </w:r>
          <w:r w:rsidRPr="00CB422B">
            <w:rPr>
              <w:rFonts w:ascii="Times New Roman" w:hAnsi="Times New Roman" w:cs="Times New Roman"/>
              <w:sz w:val="24"/>
              <w:szCs w:val="24"/>
            </w:rPr>
            <w:t>refers to the proportion of the total debt and total investment invested by the owner of the business (</w:t>
          </w:r>
          <w:proofErr w:type="spellStart"/>
          <w:r w:rsidRPr="00CB422B">
            <w:rPr>
              <w:rFonts w:ascii="Times New Roman" w:hAnsi="Times New Roman" w:cs="Times New Roman"/>
              <w:sz w:val="24"/>
              <w:szCs w:val="24"/>
            </w:rPr>
            <w:t>Azizah</w:t>
          </w:r>
          <w:proofErr w:type="spellEnd"/>
          <w:r w:rsidRPr="00CB422B">
            <w:rPr>
              <w:rFonts w:ascii="Times New Roman" w:hAnsi="Times New Roman" w:cs="Times New Roman"/>
              <w:sz w:val="24"/>
              <w:szCs w:val="24"/>
            </w:rPr>
            <w:t xml:space="preserve"> and Yuliana 2022).  </w:t>
          </w:r>
          <w:r w:rsidRPr="00CB422B">
            <w:rPr>
              <w:rFonts w:ascii="Times New Roman" w:hAnsi="Times New Roman" w:cs="Times New Roman"/>
              <w:b/>
              <w:sz w:val="24"/>
              <w:szCs w:val="24"/>
            </w:rPr>
            <w:t>The return on equity</w:t>
          </w:r>
          <w:r w:rsidRPr="00CB422B">
            <w:rPr>
              <w:rFonts w:ascii="Times New Roman" w:hAnsi="Times New Roman" w:cs="Times New Roman"/>
              <w:sz w:val="24"/>
              <w:szCs w:val="24"/>
            </w:rPr>
            <w:t xml:space="preserve"> describes the efficiency of the business and how it manages its operations so that it will generate profits in the accounting time (</w:t>
          </w:r>
          <w:proofErr w:type="spellStart"/>
          <w:r w:rsidRPr="00CB422B">
            <w:rPr>
              <w:rFonts w:ascii="Times New Roman" w:hAnsi="Times New Roman" w:cs="Times New Roman"/>
              <w:sz w:val="24"/>
              <w:szCs w:val="24"/>
            </w:rPr>
            <w:t>Mbaeri</w:t>
          </w:r>
          <w:proofErr w:type="spellEnd"/>
          <w:r w:rsidRPr="00CB422B">
            <w:rPr>
              <w:rFonts w:ascii="Times New Roman" w:hAnsi="Times New Roman" w:cs="Times New Roman"/>
              <w:sz w:val="24"/>
              <w:szCs w:val="24"/>
            </w:rPr>
            <w:t xml:space="preserve"> et al. 2021).  It determines by dividing the net revenue by total investors and it is represented in the times. </w:t>
          </w:r>
        </w:p>
        <w:p w14:paraId="73693A68" w14:textId="77777777" w:rsidR="00664C7C" w:rsidRPr="00CB422B" w:rsidRDefault="00664C7C"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Comparison</w:t>
          </w:r>
        </w:p>
        <w:p w14:paraId="26F2AFC7" w14:textId="77777777" w:rsidR="00664C7C" w:rsidRPr="00CB422B" w:rsidRDefault="00664C7C"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In the years 2020 and 2021, the debt-to-equity ratio was 24.13 times and 7.16 times respectively. The higher ratio shows that the firm uses more debt as compared to the equity fund in their structure of capital which will increase the financial stress and vice-versa. The ROE was 77.72 times in 2021 and in 2020 it was (62.09) times. It increases in the year 2021 by 139.81 times. The higher ratio is good for the company (</w:t>
          </w:r>
          <w:proofErr w:type="spellStart"/>
          <w:r w:rsidRPr="00CB422B">
            <w:rPr>
              <w:rFonts w:ascii="Times New Roman" w:hAnsi="Times New Roman" w:cs="Times New Roman"/>
              <w:sz w:val="24"/>
              <w:szCs w:val="24"/>
            </w:rPr>
            <w:t>Mbaeri</w:t>
          </w:r>
          <w:proofErr w:type="spellEnd"/>
          <w:r w:rsidRPr="00CB422B">
            <w:rPr>
              <w:rFonts w:ascii="Times New Roman" w:hAnsi="Times New Roman" w:cs="Times New Roman"/>
              <w:sz w:val="24"/>
              <w:szCs w:val="24"/>
            </w:rPr>
            <w:t xml:space="preserve"> et al. 2021).</w:t>
          </w:r>
        </w:p>
        <w:p w14:paraId="474E32D8" w14:textId="77777777" w:rsidR="00664C7C" w:rsidRPr="00CB422B" w:rsidRDefault="00664C7C"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Trend</w:t>
          </w:r>
        </w:p>
        <w:p w14:paraId="1E01623C" w14:textId="235BC945" w:rsidR="00664C7C" w:rsidRPr="00CB422B" w:rsidRDefault="00664C7C"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trend of DER is to fall by 16.97 </w:t>
          </w:r>
          <w:proofErr w:type="gramStart"/>
          <w:r w:rsidRPr="00CB422B">
            <w:rPr>
              <w:rFonts w:ascii="Times New Roman" w:hAnsi="Times New Roman" w:cs="Times New Roman"/>
              <w:sz w:val="24"/>
              <w:szCs w:val="24"/>
            </w:rPr>
            <w:t>times</w:t>
          </w:r>
          <w:proofErr w:type="gramEnd"/>
          <w:r w:rsidRPr="00CB422B">
            <w:rPr>
              <w:rFonts w:ascii="Times New Roman" w:hAnsi="Times New Roman" w:cs="Times New Roman"/>
              <w:sz w:val="24"/>
              <w:szCs w:val="24"/>
            </w:rPr>
            <w:t xml:space="preserve"> and it is </w:t>
          </w:r>
          <w:r w:rsidR="00C84934" w:rsidRPr="00CB422B">
            <w:rPr>
              <w:rFonts w:ascii="Times New Roman" w:hAnsi="Times New Roman" w:cs="Times New Roman"/>
              <w:sz w:val="24"/>
              <w:szCs w:val="24"/>
            </w:rPr>
            <w:t>favourable</w:t>
          </w:r>
          <w:r w:rsidRPr="00CB422B">
            <w:rPr>
              <w:rFonts w:ascii="Times New Roman" w:hAnsi="Times New Roman" w:cs="Times New Roman"/>
              <w:sz w:val="24"/>
              <w:szCs w:val="24"/>
            </w:rPr>
            <w:t xml:space="preserve"> for the business which means that the firm uses more equity investment as compared to debt. When the ratio increases it indicates that the debt is more and if it is low that means using equity investment (</w:t>
          </w:r>
          <w:proofErr w:type="spellStart"/>
          <w:r w:rsidRPr="00CB422B">
            <w:rPr>
              <w:rFonts w:ascii="Times New Roman" w:hAnsi="Times New Roman" w:cs="Times New Roman"/>
              <w:sz w:val="24"/>
              <w:szCs w:val="24"/>
            </w:rPr>
            <w:t>Azizah</w:t>
          </w:r>
          <w:proofErr w:type="spellEnd"/>
          <w:r w:rsidRPr="00CB422B">
            <w:rPr>
              <w:rFonts w:ascii="Times New Roman" w:hAnsi="Times New Roman" w:cs="Times New Roman"/>
              <w:sz w:val="24"/>
              <w:szCs w:val="24"/>
            </w:rPr>
            <w:t xml:space="preserve"> and </w:t>
          </w:r>
          <w:r w:rsidRPr="00CB422B">
            <w:rPr>
              <w:rFonts w:ascii="Times New Roman" w:hAnsi="Times New Roman" w:cs="Times New Roman"/>
              <w:sz w:val="24"/>
              <w:szCs w:val="24"/>
            </w:rPr>
            <w:lastRenderedPageBreak/>
            <w:t xml:space="preserve">Yuliana 2022).  On the other hand, the ROE shows an increasing trend due to an increase the profits and a decrease in costs. </w:t>
          </w:r>
        </w:p>
        <w:p w14:paraId="36226280" w14:textId="77777777" w:rsidR="00664C7C" w:rsidRPr="00CB422B" w:rsidRDefault="00664C7C"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Conclusion</w:t>
          </w:r>
        </w:p>
        <w:p w14:paraId="6029A602" w14:textId="77777777" w:rsidR="00664C7C" w:rsidRPr="00CB422B" w:rsidRDefault="00664C7C"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It concludes that the firm financial efficiency increasing in the current period as of the year 2020. The value of the return on equity is negative in the year 2020, which is the reason for a net loss in a particular year (</w:t>
          </w:r>
          <w:proofErr w:type="spellStart"/>
          <w:r w:rsidRPr="00CB422B">
            <w:rPr>
              <w:rFonts w:ascii="Times New Roman" w:hAnsi="Times New Roman" w:cs="Times New Roman"/>
              <w:sz w:val="24"/>
              <w:szCs w:val="24"/>
            </w:rPr>
            <w:t>Mbaeri</w:t>
          </w:r>
          <w:proofErr w:type="spellEnd"/>
          <w:r w:rsidRPr="00CB422B">
            <w:rPr>
              <w:rFonts w:ascii="Times New Roman" w:hAnsi="Times New Roman" w:cs="Times New Roman"/>
              <w:sz w:val="24"/>
              <w:szCs w:val="24"/>
            </w:rPr>
            <w:t xml:space="preserve"> et al. 2021).  This ratio examines by the investors due to checking the allocations of the investment are investing by them. Capital structure also increased in the accounting year of 2021. The DER is higher than its standard figure which is 1:1. </w:t>
          </w:r>
        </w:p>
        <w:p w14:paraId="0929928E" w14:textId="492D19CA" w:rsidR="004D519C" w:rsidRPr="00CB422B" w:rsidRDefault="00C84934" w:rsidP="00C84934">
          <w:pPr>
            <w:rPr>
              <w:rFonts w:ascii="Times New Roman" w:hAnsi="Times New Roman" w:cs="Times New Roman"/>
              <w:sz w:val="24"/>
              <w:szCs w:val="24"/>
            </w:rPr>
          </w:pPr>
          <w:r>
            <w:rPr>
              <w:rFonts w:ascii="Times New Roman" w:hAnsi="Times New Roman" w:cs="Times New Roman"/>
              <w:sz w:val="24"/>
              <w:szCs w:val="24"/>
            </w:rPr>
            <w:br w:type="page"/>
          </w:r>
        </w:p>
        <w:p w14:paraId="6D469E22" w14:textId="77777777" w:rsidR="00AA2A91" w:rsidRPr="00CB422B" w:rsidRDefault="00AA2A91" w:rsidP="001D2C8C">
          <w:pPr>
            <w:pStyle w:val="Heading1"/>
          </w:pPr>
          <w:bookmarkStart w:id="6" w:name="_Toc124431027"/>
          <w:r w:rsidRPr="00CB422B">
            <w:lastRenderedPageBreak/>
            <w:t xml:space="preserve">Knowledge from Ratio </w:t>
          </w:r>
          <w:r w:rsidRPr="001D2C8C">
            <w:t>Analysis</w:t>
          </w:r>
          <w:bookmarkEnd w:id="6"/>
        </w:p>
        <w:p w14:paraId="55FA958B" w14:textId="53EA7A19" w:rsidR="002A3BD0" w:rsidRPr="00CB422B" w:rsidRDefault="002A3BD0"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a) It is help</w:t>
          </w:r>
          <w:r w:rsidR="001D2C8C">
            <w:rPr>
              <w:rFonts w:ascii="Times New Roman" w:hAnsi="Times New Roman" w:cs="Times New Roman"/>
              <w:sz w:val="24"/>
              <w:szCs w:val="24"/>
            </w:rPr>
            <w:t>ful for the Marriott C</w:t>
          </w:r>
          <w:r w:rsidRPr="00CB422B">
            <w:rPr>
              <w:rFonts w:ascii="Times New Roman" w:hAnsi="Times New Roman" w:cs="Times New Roman"/>
              <w:sz w:val="24"/>
              <w:szCs w:val="24"/>
            </w:rPr>
            <w:t xml:space="preserve">ompany to examine its financial statement for the years 2020 and 2021. This provides information about the profitability, liquidity, solvency, and efficiency of the business at a particular period. </w:t>
          </w:r>
        </w:p>
        <w:p w14:paraId="0947DBC7" w14:textId="77777777" w:rsidR="002A3BD0" w:rsidRPr="00CB422B" w:rsidRDefault="002A3BD0"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b) It will identify the company’s financial uncertainty and risks that arise in the future financial years (O’Farrell 2017).  It determines by different ratios such as DSCR, leverage, and interest coverage ratio. This aid to know the company has enough liquidity to pay its debts. </w:t>
          </w:r>
        </w:p>
        <w:p w14:paraId="24C71273" w14:textId="32BCF025" w:rsidR="002A3BD0" w:rsidRPr="00CB422B" w:rsidRDefault="002A3BD0"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c) This financial analysis is used by the company for developing strategies, forecasting, planning, </w:t>
          </w:r>
          <w:r w:rsidR="006D7594">
            <w:rPr>
              <w:rFonts w:ascii="Times New Roman" w:hAnsi="Times New Roman" w:cs="Times New Roman"/>
              <w:sz w:val="24"/>
              <w:szCs w:val="24"/>
            </w:rPr>
            <w:t>an</w:t>
          </w:r>
          <w:r w:rsidR="001422C9">
            <w:rPr>
              <w:rFonts w:ascii="Times New Roman" w:hAnsi="Times New Roman" w:cs="Times New Roman"/>
              <w:sz w:val="24"/>
              <w:szCs w:val="24"/>
            </w:rPr>
            <w:t>d</w:t>
          </w:r>
          <w:r w:rsidRPr="00CB422B">
            <w:rPr>
              <w:rFonts w:ascii="Times New Roman" w:hAnsi="Times New Roman" w:cs="Times New Roman"/>
              <w:sz w:val="24"/>
              <w:szCs w:val="24"/>
            </w:rPr>
            <w:t xml:space="preserve"> to improve its performance at the op</w:t>
          </w:r>
          <w:r w:rsidR="006D7594">
            <w:rPr>
              <w:rFonts w:ascii="Times New Roman" w:hAnsi="Times New Roman" w:cs="Times New Roman"/>
              <w:sz w:val="24"/>
              <w:szCs w:val="24"/>
            </w:rPr>
            <w:t>erational and financial levels budgeting (</w:t>
          </w:r>
          <w:proofErr w:type="spellStart"/>
          <w:r w:rsidR="006D7594">
            <w:rPr>
              <w:rFonts w:ascii="Times New Roman" w:hAnsi="Times New Roman" w:cs="Times New Roman"/>
              <w:sz w:val="24"/>
              <w:szCs w:val="24"/>
            </w:rPr>
            <w:t>Syverson</w:t>
          </w:r>
          <w:proofErr w:type="spellEnd"/>
          <w:r w:rsidR="006D7594">
            <w:rPr>
              <w:rFonts w:ascii="Times New Roman" w:hAnsi="Times New Roman" w:cs="Times New Roman"/>
              <w:sz w:val="24"/>
              <w:szCs w:val="24"/>
            </w:rPr>
            <w:t xml:space="preserve"> 2019). </w:t>
          </w:r>
          <w:r w:rsidRPr="00CB422B">
            <w:rPr>
              <w:rFonts w:ascii="Times New Roman" w:hAnsi="Times New Roman" w:cs="Times New Roman"/>
              <w:sz w:val="24"/>
              <w:szCs w:val="24"/>
            </w:rPr>
            <w:t xml:space="preserve">The managers use the trend to implement new policies and objectives in the internal environment of the firm. </w:t>
          </w:r>
        </w:p>
        <w:p w14:paraId="041B7F40" w14:textId="31241A48" w:rsidR="002A3BD0" w:rsidRPr="00CB422B" w:rsidRDefault="002A3BD0"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d) This helps the business to compare its financial performance with the other industries and other accounting periods. It will help to understand and find the strengths and</w:t>
          </w:r>
          <w:r w:rsidR="00C84934">
            <w:rPr>
              <w:rFonts w:ascii="Times New Roman" w:hAnsi="Times New Roman" w:cs="Times New Roman"/>
              <w:sz w:val="24"/>
              <w:szCs w:val="24"/>
            </w:rPr>
            <w:t xml:space="preserve"> weaknesses (O’Farrell 2017). </w:t>
          </w:r>
          <w:r w:rsidRPr="00CB422B">
            <w:rPr>
              <w:rFonts w:ascii="Times New Roman" w:hAnsi="Times New Roman" w:cs="Times New Roman"/>
              <w:sz w:val="24"/>
              <w:szCs w:val="24"/>
            </w:rPr>
            <w:t xml:space="preserve">The company uses it for understanding it is financial progress for a particular period. </w:t>
          </w:r>
        </w:p>
        <w:p w14:paraId="2DED79F1" w14:textId="77777777" w:rsidR="002A3BD0" w:rsidRPr="00CB422B" w:rsidRDefault="002A3BD0"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e) It is a summarized way of representing the business performance after </w:t>
          </w:r>
          <w:proofErr w:type="spellStart"/>
          <w:r w:rsidRPr="00CB422B">
            <w:rPr>
              <w:rFonts w:ascii="Times New Roman" w:hAnsi="Times New Roman" w:cs="Times New Roman"/>
              <w:sz w:val="24"/>
              <w:szCs w:val="24"/>
            </w:rPr>
            <w:t>analyzing</w:t>
          </w:r>
          <w:proofErr w:type="spellEnd"/>
          <w:r w:rsidRPr="00CB422B">
            <w:rPr>
              <w:rFonts w:ascii="Times New Roman" w:hAnsi="Times New Roman" w:cs="Times New Roman"/>
              <w:sz w:val="24"/>
              <w:szCs w:val="24"/>
            </w:rPr>
            <w:t xml:space="preserve"> the financial statement of the company. This identifies all the drawbacks that will influence the operational activities during the financial year. The ratio analysis help in the decision-making process and planning for the future.</w:t>
          </w:r>
        </w:p>
        <w:p w14:paraId="492D71F7" w14:textId="4F97E5B3" w:rsidR="00284F1F" w:rsidRPr="00CB422B" w:rsidRDefault="00284F1F" w:rsidP="00CB422B">
          <w:pPr>
            <w:spacing w:line="360" w:lineRule="auto"/>
            <w:jc w:val="both"/>
            <w:rPr>
              <w:rFonts w:ascii="Times New Roman" w:hAnsi="Times New Roman" w:cs="Times New Roman"/>
              <w:sz w:val="24"/>
              <w:szCs w:val="24"/>
            </w:rPr>
          </w:pPr>
        </w:p>
        <w:p w14:paraId="784DE2EE" w14:textId="32826E4B" w:rsidR="00AA2A91" w:rsidRPr="00CB422B" w:rsidRDefault="001422C9" w:rsidP="001422C9">
          <w:pPr>
            <w:rPr>
              <w:rFonts w:ascii="Times New Roman" w:hAnsi="Times New Roman" w:cs="Times New Roman"/>
              <w:sz w:val="24"/>
              <w:szCs w:val="24"/>
            </w:rPr>
          </w:pPr>
          <w:r>
            <w:rPr>
              <w:rFonts w:ascii="Times New Roman" w:hAnsi="Times New Roman" w:cs="Times New Roman"/>
              <w:sz w:val="24"/>
              <w:szCs w:val="24"/>
            </w:rPr>
            <w:br w:type="page"/>
          </w:r>
        </w:p>
        <w:p w14:paraId="34BB229B" w14:textId="77777777" w:rsidR="00AA2A91" w:rsidRPr="00CB422B" w:rsidRDefault="00AA2A91" w:rsidP="00FF566C">
          <w:pPr>
            <w:pStyle w:val="Heading1"/>
          </w:pPr>
          <w:bookmarkStart w:id="7" w:name="_Toc124431028"/>
          <w:r w:rsidRPr="00CB422B">
            <w:lastRenderedPageBreak/>
            <w:t xml:space="preserve">Benefits and Limitations of Ratio </w:t>
          </w:r>
          <w:r w:rsidRPr="00FF566C">
            <w:t>Analysis</w:t>
          </w:r>
          <w:bookmarkEnd w:id="7"/>
        </w:p>
        <w:p w14:paraId="0A2B6C5A" w14:textId="3BD9B09F" w:rsidR="00284F1F" w:rsidRPr="00FF566C" w:rsidRDefault="002608DD" w:rsidP="00CB422B">
          <w:pPr>
            <w:spacing w:line="360" w:lineRule="auto"/>
            <w:jc w:val="both"/>
            <w:rPr>
              <w:rFonts w:ascii="Times New Roman" w:hAnsi="Times New Roman" w:cs="Times New Roman"/>
              <w:b/>
              <w:sz w:val="24"/>
              <w:szCs w:val="24"/>
            </w:rPr>
          </w:pPr>
          <w:r w:rsidRPr="00FF566C">
            <w:rPr>
              <w:rFonts w:ascii="Times New Roman" w:hAnsi="Times New Roman" w:cs="Times New Roman"/>
              <w:b/>
              <w:sz w:val="24"/>
              <w:szCs w:val="24"/>
            </w:rPr>
            <w:t>Advantages</w:t>
          </w:r>
        </w:p>
        <w:p w14:paraId="018B770B" w14:textId="77777777" w:rsidR="002608DD" w:rsidRPr="00CB422B" w:rsidRDefault="002608DD"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a) The ratio analysis is the most convenient tool for examining the financial statement of the company (Yan et al. 2021).   This will guide the managers and owners in the performance of the company during a particular accounting year. </w:t>
          </w:r>
        </w:p>
        <w:p w14:paraId="5E629405" w14:textId="77777777" w:rsidR="002608DD" w:rsidRPr="00CB422B" w:rsidRDefault="002608DD"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b) It is used by organizations for simplifying all accounting information and data in a simple form. It gives knowledge about the profitability, liquidity, and efficiency of the firm. The ratio represents is figures in the form of times, days, and percentages. </w:t>
          </w:r>
        </w:p>
        <w:p w14:paraId="06D57869" w14:textId="77777777" w:rsidR="002608DD" w:rsidRPr="00CB422B" w:rsidRDefault="002608DD"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c) This will aid in deducting the weak spot of the organization </w:t>
          </w:r>
          <w:proofErr w:type="gramStart"/>
          <w:r w:rsidRPr="00CB422B">
            <w:rPr>
              <w:rFonts w:ascii="Times New Roman" w:hAnsi="Times New Roman" w:cs="Times New Roman"/>
              <w:sz w:val="24"/>
              <w:szCs w:val="24"/>
            </w:rPr>
            <w:t>and also</w:t>
          </w:r>
          <w:proofErr w:type="gramEnd"/>
          <w:r w:rsidRPr="00CB422B">
            <w:rPr>
              <w:rFonts w:ascii="Times New Roman" w:hAnsi="Times New Roman" w:cs="Times New Roman"/>
              <w:sz w:val="24"/>
              <w:szCs w:val="24"/>
            </w:rPr>
            <w:t xml:space="preserve"> clarify the reason for the ratio being weak or high from the standard ratio of the industry (Yan et al. 2021).    </w:t>
          </w:r>
        </w:p>
        <w:p w14:paraId="2BC194F6" w14:textId="2205C838" w:rsidR="002608DD" w:rsidRPr="00CB422B" w:rsidRDefault="002608DD"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d) The company compares its trend of performance with the same and different company sectors at a given accounting period (Yan et al. 2021). The intra and inter-firm comparisons are easy if the firm uses this financial tool for comparison. </w:t>
          </w:r>
        </w:p>
        <w:p w14:paraId="3C7C718A" w14:textId="77777777" w:rsidR="002608DD" w:rsidRPr="00CB422B" w:rsidRDefault="002608DD" w:rsidP="00CB422B">
          <w:pPr>
            <w:spacing w:line="360" w:lineRule="auto"/>
            <w:jc w:val="both"/>
            <w:rPr>
              <w:rFonts w:ascii="Times New Roman" w:hAnsi="Times New Roman" w:cs="Times New Roman"/>
              <w:b/>
              <w:sz w:val="24"/>
              <w:szCs w:val="24"/>
            </w:rPr>
          </w:pPr>
          <w:r w:rsidRPr="00CB422B">
            <w:rPr>
              <w:rFonts w:ascii="Times New Roman" w:hAnsi="Times New Roman" w:cs="Times New Roman"/>
              <w:b/>
              <w:sz w:val="24"/>
              <w:szCs w:val="24"/>
            </w:rPr>
            <w:t>Limitation</w:t>
          </w:r>
        </w:p>
        <w:p w14:paraId="0D1CA29D" w14:textId="77777777" w:rsidR="002608DD" w:rsidRPr="00CB422B" w:rsidRDefault="002608DD"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a) It is difficult for the company’s manager to learn all the concepts of ratio analysis and financial statements. The ratio is not showing the exact position of the firm during the year (Li et al. 2019).  The terms described in the ratio report are not standardized form. </w:t>
          </w:r>
        </w:p>
        <w:p w14:paraId="1E970E98" w14:textId="4070BE91" w:rsidR="002608DD" w:rsidRDefault="002608DD"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b) This analysis is based on the historical </w:t>
          </w:r>
          <w:proofErr w:type="gramStart"/>
          <w:r w:rsidRPr="00CB422B">
            <w:rPr>
              <w:rFonts w:ascii="Times New Roman" w:hAnsi="Times New Roman" w:cs="Times New Roman"/>
              <w:sz w:val="24"/>
              <w:szCs w:val="24"/>
            </w:rPr>
            <w:t>figure</w:t>
          </w:r>
          <w:proofErr w:type="gramEnd"/>
          <w:r w:rsidRPr="00CB422B">
            <w:rPr>
              <w:rFonts w:ascii="Times New Roman" w:hAnsi="Times New Roman" w:cs="Times New Roman"/>
              <w:sz w:val="24"/>
              <w:szCs w:val="24"/>
            </w:rPr>
            <w:t xml:space="preserve"> so it is difficult for making accurate planning and budgeting for the future (Li et al. 2019).  It ignores all the qualitative information and actors that will be influencing the business performance.</w:t>
          </w:r>
        </w:p>
        <w:p w14:paraId="52DEDADE" w14:textId="120CA682" w:rsidR="001422C9" w:rsidRPr="00CB422B" w:rsidRDefault="001422C9" w:rsidP="00CB4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403C49">
            <w:rPr>
              <w:rFonts w:ascii="Times New Roman" w:hAnsi="Times New Roman" w:cs="Times New Roman"/>
              <w:sz w:val="24"/>
              <w:szCs w:val="24"/>
            </w:rPr>
            <w:t>I</w:t>
          </w:r>
          <w:r w:rsidR="003B1757">
            <w:rPr>
              <w:rFonts w:ascii="Times New Roman" w:hAnsi="Times New Roman" w:cs="Times New Roman"/>
              <w:sz w:val="24"/>
              <w:szCs w:val="24"/>
            </w:rPr>
            <w:t xml:space="preserve">t is difficult to measure the ratio of the different size and nature of the </w:t>
          </w:r>
          <w:r w:rsidR="008C341E">
            <w:rPr>
              <w:rFonts w:ascii="Times New Roman" w:hAnsi="Times New Roman" w:cs="Times New Roman"/>
              <w:sz w:val="24"/>
              <w:szCs w:val="24"/>
            </w:rPr>
            <w:t>organisations</w:t>
          </w:r>
          <w:r w:rsidR="003B1757">
            <w:rPr>
              <w:rFonts w:ascii="Times New Roman" w:hAnsi="Times New Roman" w:cs="Times New Roman"/>
              <w:sz w:val="24"/>
              <w:szCs w:val="24"/>
            </w:rPr>
            <w:t xml:space="preserve">. </w:t>
          </w:r>
        </w:p>
        <w:p w14:paraId="29599D4E" w14:textId="77777777" w:rsidR="002608DD" w:rsidRPr="00CB422B" w:rsidRDefault="002608DD" w:rsidP="00CB422B">
          <w:pPr>
            <w:spacing w:line="360" w:lineRule="auto"/>
            <w:jc w:val="both"/>
            <w:rPr>
              <w:rFonts w:ascii="Times New Roman" w:hAnsi="Times New Roman" w:cs="Times New Roman"/>
              <w:sz w:val="24"/>
              <w:szCs w:val="24"/>
            </w:rPr>
          </w:pPr>
        </w:p>
        <w:p w14:paraId="3EE87C95" w14:textId="77777777" w:rsidR="004D519C" w:rsidRPr="00CB422B" w:rsidRDefault="004D519C" w:rsidP="00CB422B">
          <w:pPr>
            <w:spacing w:line="360" w:lineRule="auto"/>
            <w:jc w:val="both"/>
            <w:rPr>
              <w:rFonts w:ascii="Times New Roman" w:hAnsi="Times New Roman" w:cs="Times New Roman"/>
              <w:sz w:val="24"/>
              <w:szCs w:val="24"/>
            </w:rPr>
          </w:pPr>
        </w:p>
        <w:p w14:paraId="3605BA5F" w14:textId="77777777" w:rsidR="00AA2A91" w:rsidRPr="00CB422B" w:rsidRDefault="00AA2A91" w:rsidP="00CB422B">
          <w:pPr>
            <w:spacing w:line="360" w:lineRule="auto"/>
            <w:jc w:val="both"/>
            <w:rPr>
              <w:rFonts w:ascii="Times New Roman" w:hAnsi="Times New Roman" w:cs="Times New Roman"/>
              <w:sz w:val="24"/>
              <w:szCs w:val="24"/>
            </w:rPr>
          </w:pPr>
        </w:p>
        <w:p w14:paraId="637ECABC" w14:textId="2967EDC7" w:rsidR="00D5535F" w:rsidRPr="00CB422B" w:rsidRDefault="00D5535F"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br w:type="page"/>
          </w:r>
        </w:p>
        <w:p w14:paraId="5DAF8667" w14:textId="77777777" w:rsidR="00D5535F" w:rsidRPr="00CB422B" w:rsidRDefault="00D5535F" w:rsidP="00FF566C">
          <w:pPr>
            <w:pStyle w:val="Heading1"/>
          </w:pPr>
          <w:bookmarkStart w:id="8" w:name="_Toc124431029"/>
          <w:r w:rsidRPr="00FF566C">
            <w:lastRenderedPageBreak/>
            <w:t>Conclusion</w:t>
          </w:r>
          <w:bookmarkEnd w:id="8"/>
        </w:p>
        <w:p w14:paraId="31C40831" w14:textId="37D486BC" w:rsidR="00D5535F" w:rsidRPr="00CB422B" w:rsidRDefault="00D5535F"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above report included information about the Marriott </w:t>
          </w:r>
          <w:r w:rsidR="00FF566C">
            <w:rPr>
              <w:rFonts w:ascii="Times New Roman" w:hAnsi="Times New Roman" w:cs="Times New Roman"/>
              <w:sz w:val="24"/>
              <w:szCs w:val="24"/>
            </w:rPr>
            <w:t>C</w:t>
          </w:r>
          <w:r w:rsidRPr="00CB422B">
            <w:rPr>
              <w:rFonts w:ascii="Times New Roman" w:hAnsi="Times New Roman" w:cs="Times New Roman"/>
              <w:sz w:val="24"/>
              <w:szCs w:val="24"/>
            </w:rPr>
            <w:t xml:space="preserve">ompany. The ratio analysis is the most useful technique of the financial analysis of the company’s profit and loss account, cash flow statements, and balance sheet. It provides directions to the analyst and manager for building new policies, strategies, missions, and objectives of the firm. In the year 2020, the company is in a loss position because the earnings of the firm are less than its costs and expenses. To </w:t>
          </w:r>
          <w:r w:rsidR="008E0249" w:rsidRPr="00CB422B">
            <w:rPr>
              <w:rFonts w:ascii="Times New Roman" w:hAnsi="Times New Roman" w:cs="Times New Roman"/>
              <w:sz w:val="24"/>
              <w:szCs w:val="24"/>
            </w:rPr>
            <w:t>examine</w:t>
          </w:r>
          <w:r w:rsidRPr="00CB422B">
            <w:rPr>
              <w:rFonts w:ascii="Times New Roman" w:hAnsi="Times New Roman" w:cs="Times New Roman"/>
              <w:sz w:val="24"/>
              <w:szCs w:val="24"/>
            </w:rPr>
            <w:t xml:space="preserve"> the financial positions and performance the company uses the ratio analysis. The trend of profitability is increasing from its prior periods. </w:t>
          </w:r>
        </w:p>
        <w:p w14:paraId="487B136C" w14:textId="77777777" w:rsidR="00D5535F" w:rsidRPr="00CB422B" w:rsidRDefault="00D5535F" w:rsidP="00CB422B">
          <w:pPr>
            <w:spacing w:line="360" w:lineRule="auto"/>
            <w:jc w:val="both"/>
            <w:rPr>
              <w:rFonts w:ascii="Times New Roman" w:hAnsi="Times New Roman" w:cs="Times New Roman"/>
              <w:sz w:val="24"/>
              <w:szCs w:val="24"/>
            </w:rPr>
          </w:pPr>
          <w:r w:rsidRPr="00CB422B">
            <w:rPr>
              <w:rFonts w:ascii="Times New Roman" w:hAnsi="Times New Roman" w:cs="Times New Roman"/>
              <w:sz w:val="24"/>
              <w:szCs w:val="24"/>
            </w:rPr>
            <w:t xml:space="preserve">The internal and external users use the ratio report for understanding the operational performance, liquidity position, and efficiency for paying its liabilities. It also ensures and checks the sustainability and rate of return on investment. This analysis is easy for understanding the financial statement of the company. The report of ratio analysis is used by the organization for taking important decisions for growing the company’s performance. </w:t>
          </w:r>
        </w:p>
        <w:p w14:paraId="1319BE8B" w14:textId="77777777" w:rsidR="00AA2A91" w:rsidRPr="00CB422B" w:rsidRDefault="00AA2A91" w:rsidP="00CB422B">
          <w:pPr>
            <w:pStyle w:val="Heading1"/>
            <w:rPr>
              <w:rFonts w:cs="Times New Roman"/>
              <w:sz w:val="24"/>
              <w:szCs w:val="24"/>
            </w:rPr>
          </w:pPr>
        </w:p>
        <w:p w14:paraId="12347926" w14:textId="77777777" w:rsidR="00AA2A91" w:rsidRPr="00CB422B" w:rsidRDefault="00AA2A91" w:rsidP="00CB422B">
          <w:pPr>
            <w:spacing w:line="360" w:lineRule="auto"/>
            <w:jc w:val="both"/>
            <w:rPr>
              <w:rFonts w:ascii="Times New Roman" w:hAnsi="Times New Roman" w:cs="Times New Roman"/>
              <w:sz w:val="24"/>
              <w:szCs w:val="24"/>
            </w:rPr>
          </w:pPr>
        </w:p>
        <w:p w14:paraId="02185B09" w14:textId="77777777" w:rsidR="00AA2A91" w:rsidRPr="00CB422B" w:rsidRDefault="00AA2A91" w:rsidP="00CB422B">
          <w:pPr>
            <w:spacing w:line="360" w:lineRule="auto"/>
            <w:jc w:val="both"/>
            <w:rPr>
              <w:rFonts w:ascii="Times New Roman" w:hAnsi="Times New Roman" w:cs="Times New Roman"/>
              <w:sz w:val="24"/>
              <w:szCs w:val="24"/>
            </w:rPr>
          </w:pPr>
        </w:p>
        <w:p w14:paraId="7B690C88" w14:textId="77777777" w:rsidR="00AA2A91" w:rsidRPr="00CB422B" w:rsidRDefault="00AA2A91" w:rsidP="00CB422B">
          <w:pPr>
            <w:spacing w:line="360" w:lineRule="auto"/>
            <w:jc w:val="both"/>
            <w:rPr>
              <w:rFonts w:ascii="Times New Roman" w:hAnsi="Times New Roman" w:cs="Times New Roman"/>
              <w:sz w:val="24"/>
              <w:szCs w:val="24"/>
            </w:rPr>
          </w:pPr>
        </w:p>
        <w:p w14:paraId="0812BA51" w14:textId="77777777" w:rsidR="00AA2A91" w:rsidRPr="00CB422B" w:rsidRDefault="00AA2A91" w:rsidP="00CB422B">
          <w:pPr>
            <w:spacing w:line="360" w:lineRule="auto"/>
            <w:jc w:val="both"/>
            <w:rPr>
              <w:rFonts w:ascii="Times New Roman" w:hAnsi="Times New Roman" w:cs="Times New Roman"/>
              <w:sz w:val="24"/>
              <w:szCs w:val="24"/>
            </w:rPr>
          </w:pPr>
        </w:p>
        <w:p w14:paraId="51827809" w14:textId="77777777" w:rsidR="00AA2A91" w:rsidRPr="00CB422B" w:rsidRDefault="00AA2A91" w:rsidP="00CB422B">
          <w:pPr>
            <w:spacing w:line="360" w:lineRule="auto"/>
            <w:jc w:val="both"/>
            <w:rPr>
              <w:rFonts w:ascii="Times New Roman" w:hAnsi="Times New Roman" w:cs="Times New Roman"/>
              <w:sz w:val="24"/>
              <w:szCs w:val="24"/>
            </w:rPr>
          </w:pPr>
        </w:p>
        <w:p w14:paraId="1543DD78" w14:textId="77777777" w:rsidR="00AA2A91" w:rsidRPr="00CB422B" w:rsidRDefault="00AA2A91" w:rsidP="00CB422B">
          <w:pPr>
            <w:spacing w:line="360" w:lineRule="auto"/>
            <w:jc w:val="both"/>
            <w:rPr>
              <w:rFonts w:ascii="Times New Roman" w:hAnsi="Times New Roman" w:cs="Times New Roman"/>
              <w:sz w:val="24"/>
              <w:szCs w:val="24"/>
            </w:rPr>
          </w:pPr>
        </w:p>
        <w:p w14:paraId="67940328" w14:textId="77777777" w:rsidR="00AA2A91" w:rsidRPr="00CB422B" w:rsidRDefault="00AA2A91" w:rsidP="00CB422B">
          <w:pPr>
            <w:spacing w:line="360" w:lineRule="auto"/>
            <w:jc w:val="both"/>
            <w:rPr>
              <w:rFonts w:ascii="Times New Roman" w:hAnsi="Times New Roman" w:cs="Times New Roman"/>
              <w:sz w:val="24"/>
              <w:szCs w:val="24"/>
            </w:rPr>
          </w:pPr>
        </w:p>
        <w:p w14:paraId="344A0912" w14:textId="77777777" w:rsidR="00AA2A91" w:rsidRPr="00CB422B" w:rsidRDefault="00AA2A91" w:rsidP="00CB422B">
          <w:pPr>
            <w:spacing w:line="360" w:lineRule="auto"/>
            <w:jc w:val="both"/>
            <w:rPr>
              <w:rFonts w:ascii="Times New Roman" w:hAnsi="Times New Roman" w:cs="Times New Roman"/>
              <w:sz w:val="24"/>
              <w:szCs w:val="24"/>
            </w:rPr>
          </w:pPr>
        </w:p>
        <w:p w14:paraId="174AD4D4" w14:textId="77777777" w:rsidR="00AA2A91" w:rsidRPr="00CB422B" w:rsidRDefault="00AA2A91" w:rsidP="00CB422B">
          <w:pPr>
            <w:spacing w:line="360" w:lineRule="auto"/>
            <w:jc w:val="both"/>
            <w:rPr>
              <w:rFonts w:ascii="Times New Roman" w:hAnsi="Times New Roman" w:cs="Times New Roman"/>
              <w:sz w:val="24"/>
              <w:szCs w:val="24"/>
            </w:rPr>
          </w:pPr>
        </w:p>
        <w:p w14:paraId="2CD381F6" w14:textId="77777777" w:rsidR="00AA2A91" w:rsidRPr="00CB422B" w:rsidRDefault="00AA2A91" w:rsidP="00CB422B">
          <w:pPr>
            <w:spacing w:line="360" w:lineRule="auto"/>
            <w:jc w:val="both"/>
            <w:rPr>
              <w:rFonts w:ascii="Times New Roman" w:hAnsi="Times New Roman" w:cs="Times New Roman"/>
              <w:sz w:val="24"/>
              <w:szCs w:val="24"/>
            </w:rPr>
          </w:pPr>
        </w:p>
        <w:p w14:paraId="0E07D33F" w14:textId="77777777" w:rsidR="008E0249" w:rsidRDefault="008E0249">
          <w:pPr>
            <w:rPr>
              <w:rFonts w:ascii="Times New Roman" w:hAnsi="Times New Roman" w:cs="Times New Roman"/>
              <w:sz w:val="24"/>
              <w:szCs w:val="24"/>
            </w:rPr>
          </w:pPr>
          <w:r>
            <w:rPr>
              <w:rFonts w:cs="Times New Roman"/>
              <w:b/>
              <w:sz w:val="24"/>
              <w:szCs w:val="24"/>
            </w:rPr>
            <w:br w:type="page"/>
          </w:r>
        </w:p>
        <w:p w14:paraId="7673AD25" w14:textId="02AA5432" w:rsidR="008E0249" w:rsidRPr="00840835" w:rsidRDefault="00AA2A91" w:rsidP="00840835">
          <w:pPr>
            <w:pStyle w:val="Heading1"/>
          </w:pPr>
          <w:bookmarkStart w:id="9" w:name="_Toc124431030"/>
          <w:r w:rsidRPr="008E0249">
            <w:lastRenderedPageBreak/>
            <w:t>Bibliography</w:t>
          </w:r>
        </w:p>
        <w:bookmarkEnd w:id="9" w:displacedByCustomXml="next"/>
      </w:sdtContent>
    </w:sdt>
    <w:p w14:paraId="7DA13582"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rPr>
      </w:pPr>
      <w:proofErr w:type="spellStart"/>
      <w:r w:rsidRPr="00840835">
        <w:rPr>
          <w:rFonts w:ascii="Times New Roman" w:hAnsi="Times New Roman" w:cs="Times New Roman"/>
          <w:sz w:val="24"/>
          <w:szCs w:val="24"/>
          <w:shd w:val="clear" w:color="auto" w:fill="FFFFFF"/>
        </w:rPr>
        <w:t>Azizah</w:t>
      </w:r>
      <w:proofErr w:type="spellEnd"/>
      <w:r w:rsidRPr="00840835">
        <w:rPr>
          <w:rFonts w:ascii="Times New Roman" w:hAnsi="Times New Roman" w:cs="Times New Roman"/>
          <w:sz w:val="24"/>
          <w:szCs w:val="24"/>
          <w:shd w:val="clear" w:color="auto" w:fill="FFFFFF"/>
        </w:rPr>
        <w:t>, N. and Yuliana, I. (2022). Profitability and Company Size on Stock Prices with Debt-to-Equity Ratio as a Moderating Variable. </w:t>
      </w:r>
      <w:r w:rsidRPr="00840835">
        <w:rPr>
          <w:rFonts w:ascii="Times New Roman" w:hAnsi="Times New Roman" w:cs="Times New Roman"/>
          <w:i/>
          <w:iCs/>
          <w:sz w:val="24"/>
          <w:szCs w:val="24"/>
          <w:shd w:val="clear" w:color="auto" w:fill="FFFFFF"/>
        </w:rPr>
        <w:t>European Journal of Business and Management Research</w:t>
      </w:r>
      <w:r w:rsidRPr="00840835">
        <w:rPr>
          <w:rFonts w:ascii="Times New Roman" w:hAnsi="Times New Roman" w:cs="Times New Roman"/>
          <w:sz w:val="24"/>
          <w:szCs w:val="24"/>
          <w:shd w:val="clear" w:color="auto" w:fill="FFFFFF"/>
        </w:rPr>
        <w:t>, </w:t>
      </w:r>
      <w:r w:rsidRPr="00840835">
        <w:rPr>
          <w:rFonts w:ascii="Times New Roman" w:hAnsi="Times New Roman" w:cs="Times New Roman"/>
          <w:i/>
          <w:iCs/>
          <w:sz w:val="24"/>
          <w:szCs w:val="24"/>
          <w:shd w:val="clear" w:color="auto" w:fill="FFFFFF"/>
        </w:rPr>
        <w:t>7</w:t>
      </w:r>
      <w:r w:rsidRPr="00840835">
        <w:rPr>
          <w:rFonts w:ascii="Times New Roman" w:hAnsi="Times New Roman" w:cs="Times New Roman"/>
          <w:sz w:val="24"/>
          <w:szCs w:val="24"/>
          <w:shd w:val="clear" w:color="auto" w:fill="FFFFFF"/>
        </w:rPr>
        <w:t>(3), pp.172-178.</w:t>
      </w:r>
    </w:p>
    <w:p w14:paraId="2C8EC8CB"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rPr>
      </w:pPr>
      <w:r w:rsidRPr="00840835">
        <w:rPr>
          <w:rFonts w:ascii="Times New Roman" w:hAnsi="Times New Roman" w:cs="Times New Roman"/>
          <w:sz w:val="24"/>
          <w:szCs w:val="24"/>
        </w:rPr>
        <w:t xml:space="preserve">Bragg, S. (2022). Net profit ratio [Online] </w:t>
      </w:r>
      <w:r w:rsidRPr="00840835">
        <w:rPr>
          <w:rFonts w:ascii="Times New Roman" w:hAnsi="Times New Roman" w:cs="Times New Roman"/>
          <w:i/>
          <w:sz w:val="24"/>
          <w:szCs w:val="24"/>
        </w:rPr>
        <w:t>Accounting tools.</w:t>
      </w:r>
      <w:r w:rsidRPr="00840835">
        <w:rPr>
          <w:rFonts w:ascii="Times New Roman" w:hAnsi="Times New Roman" w:cs="Times New Roman"/>
          <w:sz w:val="24"/>
          <w:szCs w:val="24"/>
        </w:rPr>
        <w:t xml:space="preserve"> Available at: </w:t>
      </w:r>
      <w:hyperlink r:id="rId17" w:history="1">
        <w:r w:rsidRPr="00840835">
          <w:rPr>
            <w:rStyle w:val="Hyperlink"/>
            <w:rFonts w:ascii="Times New Roman" w:hAnsi="Times New Roman" w:cs="Times New Roman"/>
            <w:color w:val="auto"/>
            <w:sz w:val="24"/>
            <w:szCs w:val="24"/>
            <w:u w:val="none"/>
          </w:rPr>
          <w:t>https://www.accountingtools.com/articles/net-profit-ratio</w:t>
        </w:r>
      </w:hyperlink>
      <w:r w:rsidRPr="00840835">
        <w:rPr>
          <w:rFonts w:ascii="Times New Roman" w:hAnsi="Times New Roman" w:cs="Times New Roman"/>
          <w:sz w:val="24"/>
          <w:szCs w:val="24"/>
        </w:rPr>
        <w:t>. Accessed: 12/ January/2023.</w:t>
      </w:r>
    </w:p>
    <w:p w14:paraId="7CB9E44A"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rPr>
      </w:pPr>
      <w:r w:rsidRPr="00840835">
        <w:rPr>
          <w:rFonts w:ascii="Times New Roman" w:hAnsi="Times New Roman" w:cs="Times New Roman"/>
          <w:sz w:val="24"/>
          <w:szCs w:val="24"/>
        </w:rPr>
        <w:t xml:space="preserve">Bragg, S. (2022). Operating profit margin definition [Online] </w:t>
      </w:r>
      <w:r w:rsidRPr="00840835">
        <w:rPr>
          <w:rFonts w:ascii="Times New Roman" w:hAnsi="Times New Roman" w:cs="Times New Roman"/>
          <w:i/>
          <w:sz w:val="24"/>
          <w:szCs w:val="24"/>
        </w:rPr>
        <w:t>Accounting tools</w:t>
      </w:r>
      <w:r w:rsidRPr="00840835">
        <w:rPr>
          <w:rFonts w:ascii="Times New Roman" w:hAnsi="Times New Roman" w:cs="Times New Roman"/>
          <w:sz w:val="24"/>
          <w:szCs w:val="24"/>
        </w:rPr>
        <w:t xml:space="preserve">. Available at: </w:t>
      </w:r>
      <w:hyperlink r:id="rId18" w:history="1">
        <w:r w:rsidRPr="00840835">
          <w:rPr>
            <w:rStyle w:val="Hyperlink"/>
            <w:rFonts w:ascii="Times New Roman" w:hAnsi="Times New Roman" w:cs="Times New Roman"/>
            <w:color w:val="auto"/>
            <w:sz w:val="24"/>
            <w:szCs w:val="24"/>
            <w:u w:val="none"/>
          </w:rPr>
          <w:t>https://www.accountingtools.com/articles/what-is-the-operating-profit-margin.html</w:t>
        </w:r>
      </w:hyperlink>
      <w:r w:rsidRPr="00840835">
        <w:rPr>
          <w:rFonts w:ascii="Times New Roman" w:hAnsi="Times New Roman" w:cs="Times New Roman"/>
          <w:sz w:val="24"/>
          <w:szCs w:val="24"/>
        </w:rPr>
        <w:t xml:space="preserve">. Accessed: 12/January/2023. </w:t>
      </w:r>
    </w:p>
    <w:p w14:paraId="0277F534"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rPr>
      </w:pPr>
      <w:r w:rsidRPr="00840835">
        <w:rPr>
          <w:rFonts w:ascii="Times New Roman" w:hAnsi="Times New Roman" w:cs="Times New Roman"/>
          <w:sz w:val="24"/>
          <w:szCs w:val="24"/>
        </w:rPr>
        <w:t xml:space="preserve">Johnson, R. (2017). 3 Types of Ratios in Accounting [Online] </w:t>
      </w:r>
      <w:r w:rsidRPr="00840835">
        <w:rPr>
          <w:rFonts w:ascii="Times New Roman" w:hAnsi="Times New Roman" w:cs="Times New Roman"/>
          <w:i/>
          <w:sz w:val="24"/>
          <w:szCs w:val="24"/>
        </w:rPr>
        <w:t>Biz fluent</w:t>
      </w:r>
      <w:r w:rsidRPr="00840835">
        <w:rPr>
          <w:rFonts w:ascii="Times New Roman" w:hAnsi="Times New Roman" w:cs="Times New Roman"/>
          <w:sz w:val="24"/>
          <w:szCs w:val="24"/>
        </w:rPr>
        <w:t xml:space="preserve">. Available at: </w:t>
      </w:r>
      <w:hyperlink r:id="rId19" w:history="1">
        <w:r w:rsidRPr="00840835">
          <w:rPr>
            <w:rStyle w:val="Hyperlink"/>
            <w:rFonts w:ascii="Times New Roman" w:hAnsi="Times New Roman" w:cs="Times New Roman"/>
            <w:color w:val="auto"/>
            <w:sz w:val="24"/>
            <w:szCs w:val="24"/>
            <w:u w:val="none"/>
          </w:rPr>
          <w:t>https://bizfluent.com/info-12014451-3-types-ratios-accounting.html</w:t>
        </w:r>
      </w:hyperlink>
      <w:r w:rsidRPr="00840835">
        <w:rPr>
          <w:rFonts w:ascii="Times New Roman" w:hAnsi="Times New Roman" w:cs="Times New Roman"/>
          <w:sz w:val="24"/>
          <w:szCs w:val="24"/>
        </w:rPr>
        <w:t>. Accessed: 12/January/2023.</w:t>
      </w:r>
    </w:p>
    <w:p w14:paraId="4F068B34"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shd w:val="clear" w:color="auto" w:fill="FFFFFF"/>
        </w:rPr>
      </w:pPr>
      <w:r w:rsidRPr="00840835">
        <w:rPr>
          <w:rFonts w:ascii="Times New Roman" w:hAnsi="Times New Roman" w:cs="Times New Roman"/>
          <w:sz w:val="24"/>
          <w:szCs w:val="24"/>
          <w:shd w:val="clear" w:color="auto" w:fill="FFFFFF"/>
        </w:rPr>
        <w:t>Li, J., Li, P. and Wang, B. (2019). The liability of opaqueness: State ownership and the likelihood of deal completion in international acquisitions by Chinese firms. </w:t>
      </w:r>
      <w:r w:rsidRPr="00840835">
        <w:rPr>
          <w:rFonts w:ascii="Times New Roman" w:hAnsi="Times New Roman" w:cs="Times New Roman"/>
          <w:i/>
          <w:iCs/>
          <w:sz w:val="24"/>
          <w:szCs w:val="24"/>
          <w:shd w:val="clear" w:color="auto" w:fill="FFFFFF"/>
        </w:rPr>
        <w:t>Strategic Management Journal</w:t>
      </w:r>
      <w:r w:rsidRPr="00840835">
        <w:rPr>
          <w:rFonts w:ascii="Times New Roman" w:hAnsi="Times New Roman" w:cs="Times New Roman"/>
          <w:sz w:val="24"/>
          <w:szCs w:val="24"/>
          <w:shd w:val="clear" w:color="auto" w:fill="FFFFFF"/>
        </w:rPr>
        <w:t>, </w:t>
      </w:r>
      <w:r w:rsidRPr="00840835">
        <w:rPr>
          <w:rFonts w:ascii="Times New Roman" w:hAnsi="Times New Roman" w:cs="Times New Roman"/>
          <w:i/>
          <w:iCs/>
          <w:sz w:val="24"/>
          <w:szCs w:val="24"/>
          <w:shd w:val="clear" w:color="auto" w:fill="FFFFFF"/>
        </w:rPr>
        <w:t>40</w:t>
      </w:r>
      <w:r w:rsidRPr="00840835">
        <w:rPr>
          <w:rFonts w:ascii="Times New Roman" w:hAnsi="Times New Roman" w:cs="Times New Roman"/>
          <w:sz w:val="24"/>
          <w:szCs w:val="24"/>
          <w:shd w:val="clear" w:color="auto" w:fill="FFFFFF"/>
        </w:rPr>
        <w:t>(2), pp.303-327.</w:t>
      </w:r>
    </w:p>
    <w:p w14:paraId="49173664"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shd w:val="clear" w:color="auto" w:fill="FFFFFF"/>
        </w:rPr>
      </w:pPr>
      <w:proofErr w:type="spellStart"/>
      <w:r w:rsidRPr="00840835">
        <w:rPr>
          <w:rFonts w:ascii="Times New Roman" w:hAnsi="Times New Roman" w:cs="Times New Roman"/>
          <w:sz w:val="24"/>
          <w:szCs w:val="24"/>
          <w:shd w:val="clear" w:color="auto" w:fill="FFFFFF"/>
        </w:rPr>
        <w:t>Mbaeri</w:t>
      </w:r>
      <w:proofErr w:type="spellEnd"/>
      <w:r w:rsidRPr="00840835">
        <w:rPr>
          <w:rFonts w:ascii="Times New Roman" w:hAnsi="Times New Roman" w:cs="Times New Roman"/>
          <w:sz w:val="24"/>
          <w:szCs w:val="24"/>
          <w:shd w:val="clear" w:color="auto" w:fill="FFFFFF"/>
        </w:rPr>
        <w:t xml:space="preserve">, M.N., </w:t>
      </w:r>
      <w:proofErr w:type="spellStart"/>
      <w:r w:rsidRPr="00840835">
        <w:rPr>
          <w:rFonts w:ascii="Times New Roman" w:hAnsi="Times New Roman" w:cs="Times New Roman"/>
          <w:sz w:val="24"/>
          <w:szCs w:val="24"/>
          <w:shd w:val="clear" w:color="auto" w:fill="FFFFFF"/>
        </w:rPr>
        <w:t>Uwalake</w:t>
      </w:r>
      <w:proofErr w:type="spellEnd"/>
      <w:r w:rsidRPr="00840835">
        <w:rPr>
          <w:rFonts w:ascii="Times New Roman" w:hAnsi="Times New Roman" w:cs="Times New Roman"/>
          <w:sz w:val="24"/>
          <w:szCs w:val="24"/>
          <w:shd w:val="clear" w:color="auto" w:fill="FFFFFF"/>
        </w:rPr>
        <w:t xml:space="preserve">, U. and </w:t>
      </w:r>
      <w:proofErr w:type="spellStart"/>
      <w:r w:rsidRPr="00840835">
        <w:rPr>
          <w:rFonts w:ascii="Times New Roman" w:hAnsi="Times New Roman" w:cs="Times New Roman"/>
          <w:sz w:val="24"/>
          <w:szCs w:val="24"/>
          <w:shd w:val="clear" w:color="auto" w:fill="FFFFFF"/>
        </w:rPr>
        <w:t>Gimba</w:t>
      </w:r>
      <w:proofErr w:type="spellEnd"/>
      <w:r w:rsidRPr="00840835">
        <w:rPr>
          <w:rFonts w:ascii="Times New Roman" w:hAnsi="Times New Roman" w:cs="Times New Roman"/>
          <w:sz w:val="24"/>
          <w:szCs w:val="24"/>
          <w:shd w:val="clear" w:color="auto" w:fill="FFFFFF"/>
        </w:rPr>
        <w:t>, J.T. (2021). Capital adequacy ratio and financial performance of listed commercial banks in Nigeria. </w:t>
      </w:r>
      <w:r w:rsidRPr="00840835">
        <w:rPr>
          <w:rFonts w:ascii="Times New Roman" w:hAnsi="Times New Roman" w:cs="Times New Roman"/>
          <w:i/>
          <w:iCs/>
          <w:sz w:val="24"/>
          <w:szCs w:val="24"/>
          <w:shd w:val="clear" w:color="auto" w:fill="FFFFFF"/>
        </w:rPr>
        <w:t>Journal of Economics and Allied Research</w:t>
      </w:r>
      <w:r w:rsidRPr="00840835">
        <w:rPr>
          <w:rFonts w:ascii="Times New Roman" w:hAnsi="Times New Roman" w:cs="Times New Roman"/>
          <w:sz w:val="24"/>
          <w:szCs w:val="24"/>
          <w:shd w:val="clear" w:color="auto" w:fill="FFFFFF"/>
        </w:rPr>
        <w:t>, </w:t>
      </w:r>
      <w:r w:rsidRPr="00840835">
        <w:rPr>
          <w:rFonts w:ascii="Times New Roman" w:hAnsi="Times New Roman" w:cs="Times New Roman"/>
          <w:i/>
          <w:iCs/>
          <w:sz w:val="24"/>
          <w:szCs w:val="24"/>
          <w:shd w:val="clear" w:color="auto" w:fill="FFFFFF"/>
        </w:rPr>
        <w:t>6</w:t>
      </w:r>
      <w:r w:rsidRPr="00840835">
        <w:rPr>
          <w:rFonts w:ascii="Times New Roman" w:hAnsi="Times New Roman" w:cs="Times New Roman"/>
          <w:sz w:val="24"/>
          <w:szCs w:val="24"/>
          <w:shd w:val="clear" w:color="auto" w:fill="FFFFFF"/>
        </w:rPr>
        <w:t>(3), pp.81-88.</w:t>
      </w:r>
    </w:p>
    <w:p w14:paraId="1A8E6569"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rPr>
      </w:pPr>
      <w:r w:rsidRPr="00840835">
        <w:rPr>
          <w:rFonts w:ascii="Times New Roman" w:hAnsi="Times New Roman" w:cs="Times New Roman"/>
          <w:sz w:val="24"/>
          <w:szCs w:val="24"/>
        </w:rPr>
        <w:t xml:space="preserve">O’Farrell, R. (2017). Company Ratio Analysis [Online] </w:t>
      </w:r>
      <w:r w:rsidRPr="00840835">
        <w:rPr>
          <w:rFonts w:ascii="Times New Roman" w:hAnsi="Times New Roman" w:cs="Times New Roman"/>
          <w:i/>
          <w:sz w:val="24"/>
          <w:szCs w:val="24"/>
        </w:rPr>
        <w:t>Biz fluent.</w:t>
      </w:r>
      <w:r w:rsidRPr="00840835">
        <w:rPr>
          <w:rFonts w:ascii="Times New Roman" w:hAnsi="Times New Roman" w:cs="Times New Roman"/>
          <w:sz w:val="24"/>
          <w:szCs w:val="24"/>
        </w:rPr>
        <w:t xml:space="preserve"> Available at: </w:t>
      </w:r>
      <w:hyperlink r:id="rId20" w:history="1">
        <w:r w:rsidRPr="00840835">
          <w:rPr>
            <w:rStyle w:val="Hyperlink"/>
            <w:rFonts w:ascii="Times New Roman" w:hAnsi="Times New Roman" w:cs="Times New Roman"/>
            <w:color w:val="auto"/>
            <w:sz w:val="24"/>
            <w:szCs w:val="24"/>
            <w:u w:val="none"/>
          </w:rPr>
          <w:t>https://bizfluent.com/about-5367437-company-ratio-analysis.html</w:t>
        </w:r>
      </w:hyperlink>
      <w:r w:rsidRPr="00840835">
        <w:rPr>
          <w:rFonts w:ascii="Times New Roman" w:hAnsi="Times New Roman" w:cs="Times New Roman"/>
          <w:sz w:val="24"/>
          <w:szCs w:val="24"/>
        </w:rPr>
        <w:t xml:space="preserve">.  Accessed: 12/January/ 2023. </w:t>
      </w:r>
    </w:p>
    <w:p w14:paraId="63D520C5"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shd w:val="clear" w:color="auto" w:fill="FFFFFF"/>
        </w:rPr>
      </w:pPr>
      <w:proofErr w:type="spellStart"/>
      <w:r w:rsidRPr="00840835">
        <w:rPr>
          <w:rFonts w:ascii="Times New Roman" w:hAnsi="Times New Roman" w:cs="Times New Roman"/>
          <w:sz w:val="24"/>
          <w:szCs w:val="24"/>
          <w:shd w:val="clear" w:color="auto" w:fill="FFFFFF"/>
        </w:rPr>
        <w:t>Syverson</w:t>
      </w:r>
      <w:proofErr w:type="spellEnd"/>
      <w:r w:rsidRPr="00840835">
        <w:rPr>
          <w:rFonts w:ascii="Times New Roman" w:hAnsi="Times New Roman" w:cs="Times New Roman"/>
          <w:sz w:val="24"/>
          <w:szCs w:val="24"/>
          <w:shd w:val="clear" w:color="auto" w:fill="FFFFFF"/>
        </w:rPr>
        <w:t>, C. (2019). Macroeconomics and market power: Context, implications, and open questions. </w:t>
      </w:r>
      <w:r w:rsidRPr="00840835">
        <w:rPr>
          <w:rFonts w:ascii="Times New Roman" w:hAnsi="Times New Roman" w:cs="Times New Roman"/>
          <w:i/>
          <w:iCs/>
          <w:sz w:val="24"/>
          <w:szCs w:val="24"/>
          <w:shd w:val="clear" w:color="auto" w:fill="FFFFFF"/>
        </w:rPr>
        <w:t>Journal of Economic Perspectives</w:t>
      </w:r>
      <w:r w:rsidRPr="00840835">
        <w:rPr>
          <w:rFonts w:ascii="Times New Roman" w:hAnsi="Times New Roman" w:cs="Times New Roman"/>
          <w:sz w:val="24"/>
          <w:szCs w:val="24"/>
          <w:shd w:val="clear" w:color="auto" w:fill="FFFFFF"/>
        </w:rPr>
        <w:t>, </w:t>
      </w:r>
      <w:r w:rsidRPr="00840835">
        <w:rPr>
          <w:rFonts w:ascii="Times New Roman" w:hAnsi="Times New Roman" w:cs="Times New Roman"/>
          <w:i/>
          <w:iCs/>
          <w:sz w:val="24"/>
          <w:szCs w:val="24"/>
          <w:shd w:val="clear" w:color="auto" w:fill="FFFFFF"/>
        </w:rPr>
        <w:t>33</w:t>
      </w:r>
      <w:r w:rsidRPr="00840835">
        <w:rPr>
          <w:rFonts w:ascii="Times New Roman" w:hAnsi="Times New Roman" w:cs="Times New Roman"/>
          <w:sz w:val="24"/>
          <w:szCs w:val="24"/>
          <w:shd w:val="clear" w:color="auto" w:fill="FFFFFF"/>
        </w:rPr>
        <w:t>(3), pp.23-43.</w:t>
      </w:r>
    </w:p>
    <w:p w14:paraId="0257052E"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rPr>
      </w:pPr>
      <w:r w:rsidRPr="00840835">
        <w:rPr>
          <w:rFonts w:ascii="Times New Roman" w:hAnsi="Times New Roman" w:cs="Times New Roman"/>
          <w:sz w:val="24"/>
          <w:szCs w:val="24"/>
        </w:rPr>
        <w:t xml:space="preserve">Woodruff, J. (2019). What Is a Good Gross Profit Margin? [Online] </w:t>
      </w:r>
      <w:r w:rsidRPr="00840835">
        <w:rPr>
          <w:rFonts w:ascii="Times New Roman" w:hAnsi="Times New Roman" w:cs="Times New Roman"/>
          <w:i/>
          <w:sz w:val="24"/>
          <w:szCs w:val="24"/>
        </w:rPr>
        <w:t>Biz fluent.</w:t>
      </w:r>
      <w:r w:rsidRPr="00840835">
        <w:rPr>
          <w:rFonts w:ascii="Times New Roman" w:hAnsi="Times New Roman" w:cs="Times New Roman"/>
          <w:sz w:val="24"/>
          <w:szCs w:val="24"/>
        </w:rPr>
        <w:t xml:space="preserve"> Available at: </w:t>
      </w:r>
      <w:hyperlink r:id="rId21" w:history="1">
        <w:r w:rsidRPr="00840835">
          <w:rPr>
            <w:rStyle w:val="Hyperlink"/>
            <w:rFonts w:ascii="Times New Roman" w:hAnsi="Times New Roman" w:cs="Times New Roman"/>
            <w:color w:val="auto"/>
            <w:sz w:val="24"/>
            <w:szCs w:val="24"/>
            <w:u w:val="none"/>
          </w:rPr>
          <w:t>https://bizfluent.com/info-7906425-good-gross-profit-margin.html</w:t>
        </w:r>
      </w:hyperlink>
      <w:r w:rsidRPr="00840835">
        <w:rPr>
          <w:rFonts w:ascii="Times New Roman" w:hAnsi="Times New Roman" w:cs="Times New Roman"/>
          <w:sz w:val="24"/>
          <w:szCs w:val="24"/>
        </w:rPr>
        <w:t xml:space="preserve">. Accessed: 12/ January/ 2023. </w:t>
      </w:r>
    </w:p>
    <w:p w14:paraId="5F6E607E" w14:textId="77777777" w:rsidR="00840835" w:rsidRPr="00840835" w:rsidRDefault="00840835" w:rsidP="00840835">
      <w:pPr>
        <w:pStyle w:val="ListParagraph"/>
        <w:numPr>
          <w:ilvl w:val="0"/>
          <w:numId w:val="1"/>
        </w:numPr>
        <w:spacing w:line="360" w:lineRule="auto"/>
        <w:jc w:val="both"/>
        <w:rPr>
          <w:rFonts w:ascii="Times New Roman" w:hAnsi="Times New Roman" w:cs="Times New Roman"/>
          <w:sz w:val="24"/>
          <w:szCs w:val="24"/>
          <w:shd w:val="clear" w:color="auto" w:fill="FFFFFF"/>
        </w:rPr>
      </w:pPr>
      <w:r w:rsidRPr="00840835">
        <w:rPr>
          <w:rFonts w:ascii="Times New Roman" w:hAnsi="Times New Roman" w:cs="Times New Roman"/>
          <w:sz w:val="24"/>
          <w:szCs w:val="24"/>
          <w:shd w:val="clear" w:color="auto" w:fill="FFFFFF"/>
        </w:rPr>
        <w:t>Yan, B., Li, Y., Qin, Y., Yan, J. and Shi, W. (2021). Spatial–temporal analysis of the comparative advantages of dairy farming: Taking 18 provinces or municipalities in China as an example. </w:t>
      </w:r>
      <w:r w:rsidRPr="00840835">
        <w:rPr>
          <w:rFonts w:ascii="Times New Roman" w:hAnsi="Times New Roman" w:cs="Times New Roman"/>
          <w:i/>
          <w:iCs/>
          <w:sz w:val="24"/>
          <w:szCs w:val="24"/>
          <w:shd w:val="clear" w:color="auto" w:fill="FFFFFF"/>
        </w:rPr>
        <w:t>Computers and Electronics in Agriculture</w:t>
      </w:r>
      <w:r w:rsidRPr="00840835">
        <w:rPr>
          <w:rFonts w:ascii="Times New Roman" w:hAnsi="Times New Roman" w:cs="Times New Roman"/>
          <w:sz w:val="24"/>
          <w:szCs w:val="24"/>
          <w:shd w:val="clear" w:color="auto" w:fill="FFFFFF"/>
        </w:rPr>
        <w:t>, </w:t>
      </w:r>
      <w:r w:rsidRPr="00840835">
        <w:rPr>
          <w:rFonts w:ascii="Times New Roman" w:hAnsi="Times New Roman" w:cs="Times New Roman"/>
          <w:i/>
          <w:iCs/>
          <w:sz w:val="24"/>
          <w:szCs w:val="24"/>
          <w:shd w:val="clear" w:color="auto" w:fill="FFFFFF"/>
        </w:rPr>
        <w:t>180</w:t>
      </w:r>
      <w:r w:rsidRPr="00840835">
        <w:rPr>
          <w:rFonts w:ascii="Times New Roman" w:hAnsi="Times New Roman" w:cs="Times New Roman"/>
          <w:sz w:val="24"/>
          <w:szCs w:val="24"/>
          <w:shd w:val="clear" w:color="auto" w:fill="FFFFFF"/>
        </w:rPr>
        <w:t>, p.105846.</w:t>
      </w:r>
    </w:p>
    <w:p w14:paraId="4C4256E6" w14:textId="77777777" w:rsidR="002E11F0" w:rsidRPr="00CB422B" w:rsidRDefault="002E11F0" w:rsidP="00CB422B">
      <w:pPr>
        <w:spacing w:line="360" w:lineRule="auto"/>
        <w:jc w:val="both"/>
        <w:rPr>
          <w:rFonts w:ascii="Times New Roman" w:hAnsi="Times New Roman" w:cs="Times New Roman"/>
          <w:sz w:val="24"/>
          <w:szCs w:val="24"/>
        </w:rPr>
      </w:pPr>
    </w:p>
    <w:sectPr w:rsidR="002E11F0" w:rsidRPr="00CB422B"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B5DAE" w14:textId="77777777" w:rsidR="008A360E" w:rsidRDefault="008A360E" w:rsidP="000546C7">
      <w:pPr>
        <w:spacing w:after="0" w:line="240" w:lineRule="auto"/>
      </w:pPr>
      <w:r>
        <w:separator/>
      </w:r>
    </w:p>
  </w:endnote>
  <w:endnote w:type="continuationSeparator" w:id="0">
    <w:p w14:paraId="4B181A60" w14:textId="77777777" w:rsidR="008A360E" w:rsidRDefault="008A360E" w:rsidP="00054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24333"/>
      <w:docPartObj>
        <w:docPartGallery w:val="Page Numbers (Bottom of Page)"/>
        <w:docPartUnique/>
      </w:docPartObj>
    </w:sdtPr>
    <w:sdtEndPr>
      <w:rPr>
        <w:noProof/>
      </w:rPr>
    </w:sdtEndPr>
    <w:sdtContent>
      <w:p w14:paraId="32F406A5" w14:textId="2E25D8CA" w:rsidR="000546C7" w:rsidRDefault="000546C7">
        <w:pPr>
          <w:pStyle w:val="Footer"/>
          <w:jc w:val="center"/>
        </w:pPr>
        <w:r>
          <w:fldChar w:fldCharType="begin"/>
        </w:r>
        <w:r>
          <w:instrText xml:space="preserve"> PAGE   \* MERGEFORMAT </w:instrText>
        </w:r>
        <w:r>
          <w:fldChar w:fldCharType="separate"/>
        </w:r>
        <w:r w:rsidR="00403C49">
          <w:rPr>
            <w:noProof/>
          </w:rPr>
          <w:t>13</w:t>
        </w:r>
        <w:r>
          <w:rPr>
            <w:noProof/>
          </w:rPr>
          <w:fldChar w:fldCharType="end"/>
        </w:r>
      </w:p>
    </w:sdtContent>
  </w:sdt>
  <w:p w14:paraId="48E3C2CD" w14:textId="77777777" w:rsidR="000546C7" w:rsidRDefault="00054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DF361" w14:textId="77777777" w:rsidR="008A360E" w:rsidRDefault="008A360E" w:rsidP="000546C7">
      <w:pPr>
        <w:spacing w:after="0" w:line="240" w:lineRule="auto"/>
      </w:pPr>
      <w:r>
        <w:separator/>
      </w:r>
    </w:p>
  </w:footnote>
  <w:footnote w:type="continuationSeparator" w:id="0">
    <w:p w14:paraId="50258297" w14:textId="77777777" w:rsidR="008A360E" w:rsidRDefault="008A360E" w:rsidP="000546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44946"/>
    <w:multiLevelType w:val="hybridMultilevel"/>
    <w:tmpl w:val="97A2C9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27322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c0sDQ3sDQxMzA2tjRS0lEKTi0uzszPAykwrAUAlTYPOSwAAAA="/>
  </w:docVars>
  <w:rsids>
    <w:rsidRoot w:val="007D1947"/>
    <w:rsid w:val="00047313"/>
    <w:rsid w:val="000546C7"/>
    <w:rsid w:val="000E454C"/>
    <w:rsid w:val="00115B96"/>
    <w:rsid w:val="001422C9"/>
    <w:rsid w:val="00162C10"/>
    <w:rsid w:val="001D2C8C"/>
    <w:rsid w:val="001D6252"/>
    <w:rsid w:val="001F67CA"/>
    <w:rsid w:val="00232B17"/>
    <w:rsid w:val="002608DD"/>
    <w:rsid w:val="00284F1F"/>
    <w:rsid w:val="002A3BD0"/>
    <w:rsid w:val="002D473B"/>
    <w:rsid w:val="002E1070"/>
    <w:rsid w:val="002E11F0"/>
    <w:rsid w:val="002E5F5F"/>
    <w:rsid w:val="002F70F9"/>
    <w:rsid w:val="00323BA5"/>
    <w:rsid w:val="00324CCD"/>
    <w:rsid w:val="00363D7B"/>
    <w:rsid w:val="003B165D"/>
    <w:rsid w:val="003B1757"/>
    <w:rsid w:val="003C566A"/>
    <w:rsid w:val="00403C49"/>
    <w:rsid w:val="004A11F6"/>
    <w:rsid w:val="004B636D"/>
    <w:rsid w:val="004D519C"/>
    <w:rsid w:val="004F0F75"/>
    <w:rsid w:val="00537403"/>
    <w:rsid w:val="005F1B12"/>
    <w:rsid w:val="00600A28"/>
    <w:rsid w:val="00661AFC"/>
    <w:rsid w:val="00664C7C"/>
    <w:rsid w:val="006709F1"/>
    <w:rsid w:val="00677AE5"/>
    <w:rsid w:val="006B7624"/>
    <w:rsid w:val="006C6F6B"/>
    <w:rsid w:val="006D7594"/>
    <w:rsid w:val="006F3D36"/>
    <w:rsid w:val="00756E85"/>
    <w:rsid w:val="00762AD2"/>
    <w:rsid w:val="007D1947"/>
    <w:rsid w:val="007F63D7"/>
    <w:rsid w:val="00840835"/>
    <w:rsid w:val="00865070"/>
    <w:rsid w:val="00876026"/>
    <w:rsid w:val="008A360E"/>
    <w:rsid w:val="008A717D"/>
    <w:rsid w:val="008B7B2B"/>
    <w:rsid w:val="008C341E"/>
    <w:rsid w:val="008E0249"/>
    <w:rsid w:val="009362E1"/>
    <w:rsid w:val="00994B47"/>
    <w:rsid w:val="009A58BD"/>
    <w:rsid w:val="00A00CB0"/>
    <w:rsid w:val="00A15DDE"/>
    <w:rsid w:val="00AA2A91"/>
    <w:rsid w:val="00AA3426"/>
    <w:rsid w:val="00B50FD1"/>
    <w:rsid w:val="00B628B8"/>
    <w:rsid w:val="00C52B62"/>
    <w:rsid w:val="00C71FB5"/>
    <w:rsid w:val="00C84934"/>
    <w:rsid w:val="00CA09F3"/>
    <w:rsid w:val="00CA734E"/>
    <w:rsid w:val="00CB422B"/>
    <w:rsid w:val="00CC6BE8"/>
    <w:rsid w:val="00D5535F"/>
    <w:rsid w:val="00D854A5"/>
    <w:rsid w:val="00DB4ABB"/>
    <w:rsid w:val="00DC3FA0"/>
    <w:rsid w:val="00E021F8"/>
    <w:rsid w:val="00E21C5F"/>
    <w:rsid w:val="00E30B3F"/>
    <w:rsid w:val="00E4507F"/>
    <w:rsid w:val="00E50E55"/>
    <w:rsid w:val="00E91706"/>
    <w:rsid w:val="00F07A10"/>
    <w:rsid w:val="00F34181"/>
    <w:rsid w:val="00F36A7C"/>
    <w:rsid w:val="00F615DF"/>
    <w:rsid w:val="00FF440B"/>
    <w:rsid w:val="00FF566C"/>
    <w:rsid w:val="00FF5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docId w15:val="{33552D24-14CC-4C3A-A694-2B46FACE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22B"/>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37403"/>
    <w:pPr>
      <w:keepNext/>
      <w:keepLines/>
      <w:spacing w:before="40" w:after="0" w:line="360" w:lineRule="auto"/>
      <w:jc w:val="both"/>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CB422B"/>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537403"/>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115B96"/>
    <w:pPr>
      <w:spacing w:after="100"/>
      <w:ind w:left="220"/>
    </w:pPr>
  </w:style>
  <w:style w:type="paragraph" w:styleId="Title">
    <w:name w:val="Title"/>
    <w:basedOn w:val="Normal"/>
    <w:next w:val="Normal"/>
    <w:link w:val="TitleChar"/>
    <w:uiPriority w:val="10"/>
    <w:qFormat/>
    <w:rsid w:val="00756E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6E85"/>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054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6C7"/>
    <w:rPr>
      <w:rFonts w:ascii="Tahoma" w:hAnsi="Tahoma" w:cs="Tahoma"/>
      <w:sz w:val="16"/>
      <w:szCs w:val="16"/>
    </w:rPr>
  </w:style>
  <w:style w:type="paragraph" w:styleId="Header">
    <w:name w:val="header"/>
    <w:basedOn w:val="Normal"/>
    <w:link w:val="HeaderChar"/>
    <w:uiPriority w:val="99"/>
    <w:unhideWhenUsed/>
    <w:rsid w:val="00054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6C7"/>
  </w:style>
  <w:style w:type="paragraph" w:styleId="Footer">
    <w:name w:val="footer"/>
    <w:basedOn w:val="Normal"/>
    <w:link w:val="FooterChar"/>
    <w:uiPriority w:val="99"/>
    <w:unhideWhenUsed/>
    <w:rsid w:val="00054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6C7"/>
  </w:style>
  <w:style w:type="paragraph" w:styleId="ListParagraph">
    <w:name w:val="List Paragraph"/>
    <w:basedOn w:val="Normal"/>
    <w:uiPriority w:val="34"/>
    <w:qFormat/>
    <w:rsid w:val="008408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hyperlink" Target="https://www.accountingtools.com/articles/what-is-the-operating-profit-margin.html" TargetMode="External"/><Relationship Id="rId3" Type="http://schemas.openxmlformats.org/officeDocument/2006/relationships/customXml" Target="../customXml/item3.xml"/><Relationship Id="rId21" Type="http://schemas.openxmlformats.org/officeDocument/2006/relationships/hyperlink" Target="https://bizfluent.com/info-7906425-good-gross-profit-margin.html"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ccountingtools.com/articles/net-profit-ratio" TargetMode="Externa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hyperlink" Target="https://bizfluent.com/about-5367437-company-ratio-analysi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bizfluent.com/info-12014451-3-types-ratios-accounting.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January\13th%20Jan\CJ1PZO1J61\FINANCIAL%20MANAGEMENT%20FOR%20THE%20HOTEL%20INDUSTRY%20A2_CJ1PZO1J6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January\13th%20Jan\CJ1PZO1J61\FINANCIAL%20MANAGEMENT%20FOR%20THE%20HOTEL%20INDUSTRY%20A2_CJ1PZO1J6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January\13th%20Jan\CJ1PZO1J61\FINANCIAL%20MANAGEMENT%20FOR%20THE%20HOTEL%20INDUSTRY%20A2_CJ1PZO1J6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January\13th%20Jan\CJ1PZO1J61\FINANCIAL%20MANAGEMENT%20FOR%20THE%20HOTEL%20INDUSTRY%20A2_CJ1PZO1J6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title>
      <c:tx>
        <c:rich>
          <a:bodyPr rot="0" vert="horz"/>
          <a:lstStyle/>
          <a:p>
            <a:pPr>
              <a:defRPr/>
            </a:pPr>
            <a:r>
              <a:rPr lang="en-US"/>
              <a:t>Profitability Ratio</a:t>
            </a:r>
          </a:p>
        </c:rich>
      </c:tx>
      <c:overlay val="0"/>
    </c:title>
    <c:autoTitleDeleted val="0"/>
    <c:plotArea>
      <c:layout/>
      <c:barChart>
        <c:barDir val="col"/>
        <c:grouping val="clustered"/>
        <c:varyColors val="0"/>
        <c:ser>
          <c:idx val="0"/>
          <c:order val="0"/>
          <c:tx>
            <c:strRef>
              <c:f>'[FINANCIAL MANAGEMENT FOR THE HOTEL INDUSTRY A2_CJ1PZO1J61.xlsx]Sheet1'!$B$6</c:f>
              <c:strCache>
                <c:ptCount val="1"/>
                <c:pt idx="0">
                  <c:v>2020</c:v>
                </c:pt>
              </c:strCache>
            </c:strRef>
          </c:tx>
          <c:invertIfNegative val="0"/>
          <c:cat>
            <c:strRef>
              <c:f>'[FINANCIAL MANAGEMENT FOR THE HOTEL INDUSTRY A2_CJ1PZO1J61.xlsx]Sheet1'!$A$7:$A$9</c:f>
              <c:strCache>
                <c:ptCount val="3"/>
                <c:pt idx="0">
                  <c:v>Operating Profit Ratio</c:v>
                </c:pt>
                <c:pt idx="1">
                  <c:v>Gross Profit Ratio</c:v>
                </c:pt>
                <c:pt idx="2">
                  <c:v>Net Profit Ratio</c:v>
                </c:pt>
              </c:strCache>
            </c:strRef>
          </c:cat>
          <c:val>
            <c:numRef>
              <c:f>'[FINANCIAL MANAGEMENT FOR THE HOTEL INDUSTRY A2_CJ1PZO1J61.xlsx]Sheet1'!$B$7:$B$9</c:f>
              <c:numCache>
                <c:formatCode>General</c:formatCode>
                <c:ptCount val="3"/>
                <c:pt idx="0">
                  <c:v>0.79</c:v>
                </c:pt>
                <c:pt idx="1">
                  <c:v>13.8</c:v>
                </c:pt>
                <c:pt idx="2">
                  <c:v>-2.52</c:v>
                </c:pt>
              </c:numCache>
            </c:numRef>
          </c:val>
          <c:extLst>
            <c:ext xmlns:c16="http://schemas.microsoft.com/office/drawing/2014/chart" uri="{C3380CC4-5D6E-409C-BE32-E72D297353CC}">
              <c16:uniqueId val="{00000000-E611-4450-92DA-E2028EC1C976}"/>
            </c:ext>
          </c:extLst>
        </c:ser>
        <c:ser>
          <c:idx val="1"/>
          <c:order val="1"/>
          <c:tx>
            <c:strRef>
              <c:f>'[FINANCIAL MANAGEMENT FOR THE HOTEL INDUSTRY A2_CJ1PZO1J61.xlsx]Sheet1'!$C$6</c:f>
              <c:strCache>
                <c:ptCount val="1"/>
                <c:pt idx="0">
                  <c:v>2021</c:v>
                </c:pt>
              </c:strCache>
            </c:strRef>
          </c:tx>
          <c:invertIfNegative val="0"/>
          <c:cat>
            <c:strRef>
              <c:f>'[FINANCIAL MANAGEMENT FOR THE HOTEL INDUSTRY A2_CJ1PZO1J61.xlsx]Sheet1'!$A$7:$A$9</c:f>
              <c:strCache>
                <c:ptCount val="3"/>
                <c:pt idx="0">
                  <c:v>Operating Profit Ratio</c:v>
                </c:pt>
                <c:pt idx="1">
                  <c:v>Gross Profit Ratio</c:v>
                </c:pt>
                <c:pt idx="2">
                  <c:v>Net Profit Ratio</c:v>
                </c:pt>
              </c:strCache>
            </c:strRef>
          </c:cat>
          <c:val>
            <c:numRef>
              <c:f>'[FINANCIAL MANAGEMENT FOR THE HOTEL INDUSTRY A2_CJ1PZO1J61.xlsx]Sheet1'!$C$7:$C$9</c:f>
              <c:numCache>
                <c:formatCode>General</c:formatCode>
                <c:ptCount val="3"/>
                <c:pt idx="0">
                  <c:v>12.62</c:v>
                </c:pt>
                <c:pt idx="1">
                  <c:v>20.21</c:v>
                </c:pt>
                <c:pt idx="2">
                  <c:v>7.93</c:v>
                </c:pt>
              </c:numCache>
            </c:numRef>
          </c:val>
          <c:extLst>
            <c:ext xmlns:c16="http://schemas.microsoft.com/office/drawing/2014/chart" uri="{C3380CC4-5D6E-409C-BE32-E72D297353CC}">
              <c16:uniqueId val="{00000001-E611-4450-92DA-E2028EC1C976}"/>
            </c:ext>
          </c:extLst>
        </c:ser>
        <c:dLbls>
          <c:showLegendKey val="0"/>
          <c:showVal val="0"/>
          <c:showCatName val="0"/>
          <c:showSerName val="0"/>
          <c:showPercent val="0"/>
          <c:showBubbleSize val="0"/>
        </c:dLbls>
        <c:gapWidth val="150"/>
        <c:axId val="180475008"/>
        <c:axId val="180476928"/>
      </c:barChart>
      <c:catAx>
        <c:axId val="180475008"/>
        <c:scaling>
          <c:orientation val="minMax"/>
        </c:scaling>
        <c:delete val="0"/>
        <c:axPos val="b"/>
        <c:title>
          <c:tx>
            <c:rich>
              <a:bodyPr/>
              <a:lstStyle/>
              <a:p>
                <a:pPr>
                  <a:defRPr/>
                </a:pPr>
                <a:r>
                  <a:rPr lang="en-IN"/>
                  <a:t>Ratios</a:t>
                </a:r>
              </a:p>
            </c:rich>
          </c:tx>
          <c:overlay val="0"/>
        </c:title>
        <c:numFmt formatCode="General" sourceLinked="1"/>
        <c:majorTickMark val="none"/>
        <c:minorTickMark val="none"/>
        <c:tickLblPos val="nextTo"/>
        <c:txPr>
          <a:bodyPr rot="-60000000" vert="horz"/>
          <a:lstStyle/>
          <a:p>
            <a:pPr>
              <a:defRPr/>
            </a:pPr>
            <a:endParaRPr lang="en-US"/>
          </a:p>
        </c:txPr>
        <c:crossAx val="180476928"/>
        <c:crosses val="autoZero"/>
        <c:auto val="1"/>
        <c:lblAlgn val="ctr"/>
        <c:lblOffset val="100"/>
        <c:noMultiLvlLbl val="0"/>
      </c:catAx>
      <c:valAx>
        <c:axId val="180476928"/>
        <c:scaling>
          <c:orientation val="minMax"/>
        </c:scaling>
        <c:delete val="0"/>
        <c:axPos val="l"/>
        <c:majorGridlines/>
        <c:title>
          <c:tx>
            <c:rich>
              <a:bodyPr/>
              <a:lstStyle/>
              <a:p>
                <a:pPr>
                  <a:defRPr/>
                </a:pPr>
                <a:r>
                  <a:rPr lang="en-IN"/>
                  <a:t>In Percentage Form</a:t>
                </a:r>
              </a:p>
            </c:rich>
          </c:tx>
          <c:overlay val="0"/>
        </c:title>
        <c:numFmt formatCode="General" sourceLinked="1"/>
        <c:majorTickMark val="out"/>
        <c:minorTickMark val="none"/>
        <c:tickLblPos val="nextTo"/>
        <c:txPr>
          <a:bodyPr rot="-60000000" vert="horz"/>
          <a:lstStyle/>
          <a:p>
            <a:pPr>
              <a:defRPr/>
            </a:pPr>
            <a:endParaRPr lang="en-US"/>
          </a:p>
        </c:txPr>
        <c:crossAx val="180475008"/>
        <c:crosses val="autoZero"/>
        <c:crossBetween val="between"/>
      </c:valAx>
    </c:plotArea>
    <c:legend>
      <c:legendPos val="r"/>
      <c:overlay val="0"/>
      <c:txPr>
        <a:bodyPr rot="0" vert="horz"/>
        <a:lstStyle/>
        <a:p>
          <a:pPr>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overlay val="0"/>
    </c:title>
    <c:autoTitleDeleted val="0"/>
    <c:plotArea>
      <c:layout/>
      <c:barChart>
        <c:barDir val="col"/>
        <c:grouping val="clustered"/>
        <c:varyColors val="0"/>
        <c:ser>
          <c:idx val="0"/>
          <c:order val="0"/>
          <c:tx>
            <c:strRef>
              <c:f>'[FINANCIAL MANAGEMENT FOR THE HOTEL INDUSTRY A2_CJ1PZO1J61.xlsx]Sheet1'!$A$18</c:f>
              <c:strCache>
                <c:ptCount val="1"/>
                <c:pt idx="0">
                  <c:v>Current Ratio</c:v>
                </c:pt>
              </c:strCache>
            </c:strRef>
          </c:tx>
          <c:invertIfNegative val="0"/>
          <c:cat>
            <c:numRef>
              <c:f>'[FINANCIAL MANAGEMENT FOR THE HOTEL INDUSTRY A2_CJ1PZO1J61.xlsx]Sheet1'!$B$17:$C$17</c:f>
              <c:numCache>
                <c:formatCode>General</c:formatCode>
                <c:ptCount val="2"/>
                <c:pt idx="0">
                  <c:v>2020</c:v>
                </c:pt>
                <c:pt idx="1">
                  <c:v>2021</c:v>
                </c:pt>
              </c:numCache>
            </c:numRef>
          </c:cat>
          <c:val>
            <c:numRef>
              <c:f>'[FINANCIAL MANAGEMENT FOR THE HOTEL INDUSTRY A2_CJ1PZO1J61.xlsx]Sheet1'!$B$18:$C$18</c:f>
              <c:numCache>
                <c:formatCode>General</c:formatCode>
                <c:ptCount val="2"/>
                <c:pt idx="0">
                  <c:v>0.49</c:v>
                </c:pt>
                <c:pt idx="1">
                  <c:v>0.56000000000000005</c:v>
                </c:pt>
              </c:numCache>
            </c:numRef>
          </c:val>
          <c:extLst>
            <c:ext xmlns:c16="http://schemas.microsoft.com/office/drawing/2014/chart" uri="{C3380CC4-5D6E-409C-BE32-E72D297353CC}">
              <c16:uniqueId val="{00000000-DDEB-418B-8FE6-94D35949D7FD}"/>
            </c:ext>
          </c:extLst>
        </c:ser>
        <c:dLbls>
          <c:showLegendKey val="0"/>
          <c:showVal val="0"/>
          <c:showCatName val="0"/>
          <c:showSerName val="0"/>
          <c:showPercent val="0"/>
          <c:showBubbleSize val="0"/>
        </c:dLbls>
        <c:gapWidth val="150"/>
        <c:axId val="386764160"/>
        <c:axId val="386774528"/>
      </c:barChart>
      <c:catAx>
        <c:axId val="386764160"/>
        <c:scaling>
          <c:orientation val="minMax"/>
        </c:scaling>
        <c:delete val="0"/>
        <c:axPos val="b"/>
        <c:title>
          <c:tx>
            <c:rich>
              <a:bodyPr/>
              <a:lstStyle/>
              <a:p>
                <a:pPr>
                  <a:defRPr/>
                </a:pPr>
                <a:r>
                  <a:rPr lang="en-IN"/>
                  <a:t>Years</a:t>
                </a:r>
              </a:p>
            </c:rich>
          </c:tx>
          <c:overlay val="0"/>
        </c:title>
        <c:numFmt formatCode="General" sourceLinked="1"/>
        <c:majorTickMark val="none"/>
        <c:minorTickMark val="none"/>
        <c:tickLblPos val="nextTo"/>
        <c:txPr>
          <a:bodyPr rot="-60000000" vert="horz"/>
          <a:lstStyle/>
          <a:p>
            <a:pPr>
              <a:defRPr/>
            </a:pPr>
            <a:endParaRPr lang="en-US"/>
          </a:p>
        </c:txPr>
        <c:crossAx val="386774528"/>
        <c:crosses val="autoZero"/>
        <c:auto val="1"/>
        <c:lblAlgn val="ctr"/>
        <c:lblOffset val="100"/>
        <c:noMultiLvlLbl val="0"/>
      </c:catAx>
      <c:valAx>
        <c:axId val="386774528"/>
        <c:scaling>
          <c:orientation val="minMax"/>
        </c:scaling>
        <c:delete val="0"/>
        <c:axPos val="l"/>
        <c:majorGridlines/>
        <c:title>
          <c:tx>
            <c:rich>
              <a:bodyPr/>
              <a:lstStyle/>
              <a:p>
                <a:pPr>
                  <a:defRPr/>
                </a:pPr>
                <a:r>
                  <a:rPr lang="en-IN"/>
                  <a:t>In Times</a:t>
                </a:r>
              </a:p>
            </c:rich>
          </c:tx>
          <c:overlay val="0"/>
        </c:title>
        <c:numFmt formatCode="General" sourceLinked="1"/>
        <c:majorTickMark val="out"/>
        <c:minorTickMark val="none"/>
        <c:tickLblPos val="nextTo"/>
        <c:txPr>
          <a:bodyPr rot="-60000000" vert="horz"/>
          <a:lstStyle/>
          <a:p>
            <a:pPr>
              <a:defRPr/>
            </a:pPr>
            <a:endParaRPr lang="en-US"/>
          </a:p>
        </c:txPr>
        <c:crossAx val="386764160"/>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8"/>
    </mc:Choice>
    <mc:Fallback>
      <c:style val="48"/>
    </mc:Fallback>
  </mc:AlternateContent>
  <c:chart>
    <c:title>
      <c:overlay val="0"/>
    </c:title>
    <c:autoTitleDeleted val="0"/>
    <c:plotArea>
      <c:layout/>
      <c:barChart>
        <c:barDir val="col"/>
        <c:grouping val="clustered"/>
        <c:varyColors val="0"/>
        <c:ser>
          <c:idx val="0"/>
          <c:order val="0"/>
          <c:tx>
            <c:strRef>
              <c:f>'[FINANCIAL MANAGEMENT FOR THE HOTEL INDUSTRY A2_CJ1PZO1J61.xlsx]Sheet1'!$A$24</c:f>
              <c:strCache>
                <c:ptCount val="1"/>
                <c:pt idx="0">
                  <c:v>Debt to equity ratio</c:v>
                </c:pt>
              </c:strCache>
            </c:strRef>
          </c:tx>
          <c:invertIfNegative val="0"/>
          <c:cat>
            <c:numRef>
              <c:f>'[FINANCIAL MANAGEMENT FOR THE HOTEL INDUSTRY A2_CJ1PZO1J61.xlsx]Sheet1'!$B$23:$C$23</c:f>
              <c:numCache>
                <c:formatCode>General</c:formatCode>
                <c:ptCount val="2"/>
                <c:pt idx="0">
                  <c:v>2020</c:v>
                </c:pt>
                <c:pt idx="1">
                  <c:v>2021</c:v>
                </c:pt>
              </c:numCache>
            </c:numRef>
          </c:cat>
          <c:val>
            <c:numRef>
              <c:f>'[FINANCIAL MANAGEMENT FOR THE HOTEL INDUSTRY A2_CJ1PZO1J61.xlsx]Sheet1'!$B$24:$C$24</c:f>
              <c:numCache>
                <c:formatCode>General</c:formatCode>
                <c:ptCount val="2"/>
                <c:pt idx="0">
                  <c:v>24.13</c:v>
                </c:pt>
                <c:pt idx="1">
                  <c:v>7.16</c:v>
                </c:pt>
              </c:numCache>
            </c:numRef>
          </c:val>
          <c:extLst>
            <c:ext xmlns:c16="http://schemas.microsoft.com/office/drawing/2014/chart" uri="{C3380CC4-5D6E-409C-BE32-E72D297353CC}">
              <c16:uniqueId val="{00000000-F3E7-408A-9113-1090B8F261DF}"/>
            </c:ext>
          </c:extLst>
        </c:ser>
        <c:dLbls>
          <c:showLegendKey val="0"/>
          <c:showVal val="0"/>
          <c:showCatName val="0"/>
          <c:showSerName val="0"/>
          <c:showPercent val="0"/>
          <c:showBubbleSize val="0"/>
        </c:dLbls>
        <c:gapWidth val="150"/>
        <c:axId val="467289600"/>
        <c:axId val="467291520"/>
      </c:barChart>
      <c:catAx>
        <c:axId val="467289600"/>
        <c:scaling>
          <c:orientation val="minMax"/>
        </c:scaling>
        <c:delete val="0"/>
        <c:axPos val="b"/>
        <c:title>
          <c:tx>
            <c:rich>
              <a:bodyPr/>
              <a:lstStyle/>
              <a:p>
                <a:pPr>
                  <a:defRPr/>
                </a:pPr>
                <a:r>
                  <a:rPr lang="en-IN"/>
                  <a:t>Years</a:t>
                </a:r>
              </a:p>
            </c:rich>
          </c:tx>
          <c:layout>
            <c:manualLayout>
              <c:xMode val="edge"/>
              <c:yMode val="edge"/>
              <c:x val="0.34087620297462817"/>
              <c:y val="0.88793963254593178"/>
            </c:manualLayout>
          </c:layout>
          <c:overlay val="0"/>
        </c:title>
        <c:numFmt formatCode="General" sourceLinked="1"/>
        <c:majorTickMark val="none"/>
        <c:minorTickMark val="none"/>
        <c:tickLblPos val="nextTo"/>
        <c:crossAx val="467291520"/>
        <c:crosses val="autoZero"/>
        <c:auto val="1"/>
        <c:lblAlgn val="ctr"/>
        <c:lblOffset val="100"/>
        <c:noMultiLvlLbl val="0"/>
      </c:catAx>
      <c:valAx>
        <c:axId val="467291520"/>
        <c:scaling>
          <c:orientation val="minMax"/>
        </c:scaling>
        <c:delete val="0"/>
        <c:axPos val="l"/>
        <c:majorGridlines/>
        <c:title>
          <c:tx>
            <c:rich>
              <a:bodyPr/>
              <a:lstStyle/>
              <a:p>
                <a:pPr>
                  <a:defRPr/>
                </a:pPr>
                <a:r>
                  <a:rPr lang="en-IN"/>
                  <a:t>in Percentage</a:t>
                </a:r>
              </a:p>
            </c:rich>
          </c:tx>
          <c:overlay val="0"/>
        </c:title>
        <c:numFmt formatCode="General" sourceLinked="1"/>
        <c:majorTickMark val="out"/>
        <c:minorTickMark val="none"/>
        <c:tickLblPos val="nextTo"/>
        <c:crossAx val="46728960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title>
      <c:overlay val="0"/>
    </c:title>
    <c:autoTitleDeleted val="0"/>
    <c:plotArea>
      <c:layout/>
      <c:barChart>
        <c:barDir val="col"/>
        <c:grouping val="clustered"/>
        <c:varyColors val="0"/>
        <c:ser>
          <c:idx val="0"/>
          <c:order val="0"/>
          <c:tx>
            <c:strRef>
              <c:f>'[FINANCIAL MANAGEMENT FOR THE HOTEL INDUSTRY A2_CJ1PZO1J61.xlsx]Sheet1'!$A$25</c:f>
              <c:strCache>
                <c:ptCount val="1"/>
                <c:pt idx="0">
                  <c:v>Return On Equity Ratio</c:v>
                </c:pt>
              </c:strCache>
            </c:strRef>
          </c:tx>
          <c:invertIfNegative val="0"/>
          <c:cat>
            <c:numRef>
              <c:f>'[FINANCIAL MANAGEMENT FOR THE HOTEL INDUSTRY A2_CJ1PZO1J61.xlsx]Sheet1'!$B$23:$C$23</c:f>
              <c:numCache>
                <c:formatCode>General</c:formatCode>
                <c:ptCount val="2"/>
                <c:pt idx="0">
                  <c:v>2020</c:v>
                </c:pt>
                <c:pt idx="1">
                  <c:v>2021</c:v>
                </c:pt>
              </c:numCache>
            </c:numRef>
          </c:cat>
          <c:val>
            <c:numRef>
              <c:f>'[FINANCIAL MANAGEMENT FOR THE HOTEL INDUSTRY A2_CJ1PZO1J61.xlsx]Sheet1'!$B$25:$C$25</c:f>
              <c:numCache>
                <c:formatCode>General</c:formatCode>
                <c:ptCount val="2"/>
                <c:pt idx="0">
                  <c:v>-62.09</c:v>
                </c:pt>
                <c:pt idx="1">
                  <c:v>77.72</c:v>
                </c:pt>
              </c:numCache>
            </c:numRef>
          </c:val>
          <c:extLst>
            <c:ext xmlns:c16="http://schemas.microsoft.com/office/drawing/2014/chart" uri="{C3380CC4-5D6E-409C-BE32-E72D297353CC}">
              <c16:uniqueId val="{00000000-5AFB-44BB-9542-02B3E00BD947}"/>
            </c:ext>
          </c:extLst>
        </c:ser>
        <c:dLbls>
          <c:showLegendKey val="0"/>
          <c:showVal val="0"/>
          <c:showCatName val="0"/>
          <c:showSerName val="0"/>
          <c:showPercent val="0"/>
          <c:showBubbleSize val="0"/>
        </c:dLbls>
        <c:gapWidth val="150"/>
        <c:axId val="467316096"/>
        <c:axId val="467322368"/>
      </c:barChart>
      <c:catAx>
        <c:axId val="467316096"/>
        <c:scaling>
          <c:orientation val="minMax"/>
        </c:scaling>
        <c:delete val="0"/>
        <c:axPos val="b"/>
        <c:title>
          <c:tx>
            <c:rich>
              <a:bodyPr/>
              <a:lstStyle/>
              <a:p>
                <a:pPr>
                  <a:defRPr/>
                </a:pPr>
                <a:r>
                  <a:rPr lang="en-IN"/>
                  <a:t>Years</a:t>
                </a:r>
              </a:p>
            </c:rich>
          </c:tx>
          <c:layout>
            <c:manualLayout>
              <c:xMode val="edge"/>
              <c:yMode val="edge"/>
              <c:x val="0.34775809273840774"/>
              <c:y val="0.90182852143482062"/>
            </c:manualLayout>
          </c:layout>
          <c:overlay val="0"/>
        </c:title>
        <c:numFmt formatCode="General" sourceLinked="1"/>
        <c:majorTickMark val="none"/>
        <c:minorTickMark val="none"/>
        <c:tickLblPos val="nextTo"/>
        <c:crossAx val="467322368"/>
        <c:crosses val="autoZero"/>
        <c:auto val="1"/>
        <c:lblAlgn val="ctr"/>
        <c:lblOffset val="100"/>
        <c:noMultiLvlLbl val="0"/>
      </c:catAx>
      <c:valAx>
        <c:axId val="467322368"/>
        <c:scaling>
          <c:orientation val="minMax"/>
        </c:scaling>
        <c:delete val="0"/>
        <c:axPos val="l"/>
        <c:majorGridlines/>
        <c:title>
          <c:tx>
            <c:rich>
              <a:bodyPr/>
              <a:lstStyle/>
              <a:p>
                <a:pPr>
                  <a:defRPr/>
                </a:pPr>
                <a:r>
                  <a:rPr lang="en-IN"/>
                  <a:t>in Percentage</a:t>
                </a:r>
              </a:p>
            </c:rich>
          </c:tx>
          <c:overlay val="0"/>
        </c:title>
        <c:numFmt formatCode="General" sourceLinked="1"/>
        <c:majorTickMark val="out"/>
        <c:minorTickMark val="none"/>
        <c:tickLblPos val="nextTo"/>
        <c:crossAx val="46731609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2.xml><?xml version="1.0" encoding="utf-8"?>
<ds:datastoreItem xmlns:ds="http://schemas.openxmlformats.org/officeDocument/2006/customXml" ds:itemID="{569BC2A0-1A93-4C23-AA94-F3A4D1CE82A8}">
  <ds:schemaRefs>
    <ds:schemaRef ds:uri="http://schemas.openxmlformats.org/officeDocument/2006/bibliography"/>
  </ds:schemaRefs>
</ds:datastoreItem>
</file>

<file path=customXml/itemProps3.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2551</Words>
  <Characters>14543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cp:keywords/>
  <dc:description/>
  <cp:lastModifiedBy>Camelia Dragoi (2025269)</cp:lastModifiedBy>
  <cp:revision>3</cp:revision>
  <dcterms:created xsi:type="dcterms:W3CDTF">2023-02-06T11:22:00Z</dcterms:created>
  <dcterms:modified xsi:type="dcterms:W3CDTF">2023-02-09T18:19:00Z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y fmtid="{D5CDD505-2E9C-101B-9397-08002B2CF9AE}" pid="3" name="GrammarlyDocumentId">
    <vt:lpwstr>e6a6f777d6bbc2a7d6e3e351d2e6859c7542b41303e78302d3c45ab89aef7c53</vt:lpwstr>
  </property>
</Properties>
</file>