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525AA" w14:textId="12F47560" w:rsidR="008864E4" w:rsidRPr="00731754" w:rsidRDefault="008864E4" w:rsidP="00B324E5">
      <w:pPr>
        <w:spacing w:line="360" w:lineRule="auto"/>
        <w:rPr>
          <w:rFonts w:ascii="Times New Roman" w:hAnsi="Times New Roman"/>
          <w:sz w:val="32"/>
          <w:szCs w:val="32"/>
        </w:rPr>
      </w:pPr>
      <w:r w:rsidRPr="00731754">
        <w:rPr>
          <w:rFonts w:ascii="Times New Roman" w:hAnsi="Times New Roman"/>
          <w:sz w:val="32"/>
          <w:szCs w:val="32"/>
        </w:rPr>
        <w:t>Promoting Employment Inclusion: A Feasibility Study on Engaging Persons with Disabilities in the Workforce through Strategic MICE Events</w:t>
      </w:r>
      <w:r w:rsidR="00DC3FB4">
        <w:rPr>
          <w:rFonts w:ascii="Times New Roman" w:hAnsi="Times New Roman"/>
          <w:sz w:val="32"/>
          <w:szCs w:val="32"/>
        </w:rPr>
        <w:t>.</w:t>
      </w:r>
    </w:p>
    <w:p w14:paraId="37FB94D3" w14:textId="77777777" w:rsidR="008864E4" w:rsidRPr="00D85C29" w:rsidRDefault="008864E4" w:rsidP="008864E4">
      <w:pPr>
        <w:spacing w:line="360" w:lineRule="auto"/>
        <w:jc w:val="center"/>
        <w:rPr>
          <w:rFonts w:ascii="Times New Roman" w:hAnsi="Times New Roman"/>
          <w:sz w:val="24"/>
          <w:szCs w:val="24"/>
        </w:rPr>
      </w:pPr>
    </w:p>
    <w:p w14:paraId="49892770" w14:textId="77777777" w:rsidR="008864E4" w:rsidRPr="00D85C29" w:rsidRDefault="008864E4" w:rsidP="008864E4">
      <w:pPr>
        <w:spacing w:line="360" w:lineRule="auto"/>
        <w:jc w:val="center"/>
        <w:rPr>
          <w:rFonts w:ascii="Times New Roman" w:hAnsi="Times New Roman"/>
          <w:sz w:val="24"/>
          <w:szCs w:val="24"/>
        </w:rPr>
      </w:pPr>
    </w:p>
    <w:p w14:paraId="2DBAC3CA" w14:textId="77777777" w:rsidR="008864E4" w:rsidRPr="00D85C29" w:rsidRDefault="008864E4" w:rsidP="008864E4">
      <w:pPr>
        <w:spacing w:line="360" w:lineRule="auto"/>
        <w:jc w:val="center"/>
        <w:rPr>
          <w:rFonts w:ascii="Times New Roman" w:hAnsi="Times New Roman"/>
          <w:sz w:val="24"/>
          <w:szCs w:val="24"/>
        </w:rPr>
      </w:pPr>
    </w:p>
    <w:p w14:paraId="70F5D686" w14:textId="77777777" w:rsidR="008864E4" w:rsidRPr="00D85C29" w:rsidRDefault="008864E4" w:rsidP="008864E4">
      <w:pPr>
        <w:spacing w:line="360" w:lineRule="auto"/>
        <w:jc w:val="center"/>
        <w:rPr>
          <w:rFonts w:ascii="Times New Roman" w:hAnsi="Times New Roman"/>
          <w:sz w:val="24"/>
          <w:szCs w:val="24"/>
        </w:rPr>
      </w:pPr>
    </w:p>
    <w:p w14:paraId="15561496" w14:textId="77777777"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Name: Badea Alexandru</w:t>
      </w:r>
    </w:p>
    <w:p w14:paraId="22608993" w14:textId="68EC5091" w:rsidR="00DC3FB4" w:rsidRPr="00DC3FB4" w:rsidRDefault="00DC3FB4" w:rsidP="00DC3FB4">
      <w:pPr>
        <w:rPr>
          <w:rFonts w:ascii="Times New Roman" w:hAnsi="Times New Roman"/>
          <w:i/>
          <w:iCs/>
          <w:sz w:val="24"/>
          <w:szCs w:val="24"/>
        </w:rPr>
      </w:pPr>
      <w:r>
        <w:rPr>
          <w:rFonts w:ascii="Times New Roman" w:hAnsi="Times New Roman"/>
          <w:i/>
          <w:iCs/>
          <w:sz w:val="24"/>
          <w:szCs w:val="24"/>
        </w:rPr>
        <w:t xml:space="preserve">Student </w:t>
      </w:r>
      <w:r w:rsidRPr="00DC3FB4">
        <w:rPr>
          <w:rFonts w:ascii="Times New Roman" w:hAnsi="Times New Roman"/>
          <w:i/>
          <w:iCs/>
          <w:sz w:val="24"/>
          <w:szCs w:val="24"/>
        </w:rPr>
        <w:t>ID: 2208275</w:t>
      </w:r>
    </w:p>
    <w:p w14:paraId="6C8A8007" w14:textId="14FB141E"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Module title: International Meetings Management for the Hotel Industry</w:t>
      </w:r>
    </w:p>
    <w:p w14:paraId="7F3F8342" w14:textId="1722E9AA"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 xml:space="preserve">Module code: </w:t>
      </w:r>
      <w:r w:rsidRPr="00DC3FB4">
        <w:rPr>
          <w:rFonts w:ascii="Times New Roman" w:hAnsi="Times New Roman"/>
          <w:i/>
          <w:iCs/>
          <w:sz w:val="24"/>
          <w:szCs w:val="24"/>
        </w:rPr>
        <w:t>BMIH6007</w:t>
      </w:r>
    </w:p>
    <w:p w14:paraId="185E6C27" w14:textId="316AD5FB" w:rsidR="00DC3FB4" w:rsidRPr="00DC3FB4" w:rsidRDefault="00DC3FB4" w:rsidP="00DC3FB4">
      <w:pPr>
        <w:rPr>
          <w:rFonts w:ascii="Times New Roman" w:hAnsi="Times New Roman"/>
          <w:i/>
          <w:iCs/>
          <w:sz w:val="24"/>
          <w:szCs w:val="24"/>
        </w:rPr>
      </w:pPr>
      <w:r w:rsidRPr="00DC3FB4">
        <w:rPr>
          <w:rFonts w:ascii="Times New Roman" w:hAnsi="Times New Roman"/>
          <w:i/>
          <w:iCs/>
          <w:sz w:val="24"/>
          <w:szCs w:val="24"/>
        </w:rPr>
        <w:t>Lecturer’s name: Chris Wilkin</w:t>
      </w:r>
    </w:p>
    <w:p w14:paraId="5D3CECD0" w14:textId="77777777" w:rsidR="008864E4" w:rsidRPr="00DC3FB4" w:rsidRDefault="008864E4" w:rsidP="00DC3FB4">
      <w:pPr>
        <w:spacing w:line="360" w:lineRule="auto"/>
        <w:rPr>
          <w:rFonts w:ascii="Times New Roman" w:hAnsi="Times New Roman"/>
          <w:i/>
          <w:iCs/>
          <w:sz w:val="24"/>
          <w:szCs w:val="24"/>
          <w:lang w:val="ro-RO"/>
        </w:rPr>
      </w:pPr>
      <w:r w:rsidRPr="00DC3FB4">
        <w:rPr>
          <w:rFonts w:ascii="Times New Roman" w:hAnsi="Times New Roman"/>
          <w:i/>
          <w:iCs/>
          <w:sz w:val="24"/>
          <w:szCs w:val="24"/>
          <w:lang w:val="ro-RO"/>
        </w:rPr>
        <w:t>Word count: 2543</w:t>
      </w:r>
    </w:p>
    <w:p w14:paraId="0555CF0B" w14:textId="77777777" w:rsidR="008864E4" w:rsidRDefault="008864E4" w:rsidP="008864E4">
      <w:pPr>
        <w:spacing w:line="360" w:lineRule="auto"/>
        <w:jc w:val="both"/>
        <w:rPr>
          <w:rFonts w:ascii="Times New Roman" w:hAnsi="Times New Roman"/>
          <w:sz w:val="24"/>
          <w:szCs w:val="24"/>
        </w:rPr>
      </w:pPr>
    </w:p>
    <w:p w14:paraId="47F4868D" w14:textId="0F325551" w:rsidR="008864E4" w:rsidRDefault="008864E4" w:rsidP="008864E4">
      <w:pPr>
        <w:spacing w:line="360" w:lineRule="auto"/>
        <w:jc w:val="both"/>
        <w:rPr>
          <w:rFonts w:ascii="Times New Roman" w:hAnsi="Times New Roman"/>
          <w:sz w:val="24"/>
          <w:szCs w:val="24"/>
        </w:rPr>
      </w:pPr>
    </w:p>
    <w:p w14:paraId="18FFAD7D" w14:textId="23AF5C91" w:rsidR="00B324E5" w:rsidRDefault="00B324E5" w:rsidP="008864E4">
      <w:pPr>
        <w:spacing w:line="360" w:lineRule="auto"/>
        <w:jc w:val="both"/>
        <w:rPr>
          <w:rFonts w:ascii="Times New Roman" w:hAnsi="Times New Roman"/>
          <w:sz w:val="24"/>
          <w:szCs w:val="24"/>
        </w:rPr>
      </w:pPr>
    </w:p>
    <w:p w14:paraId="197EFD72" w14:textId="37CDBEEE" w:rsidR="00B324E5" w:rsidRDefault="00B324E5" w:rsidP="008864E4">
      <w:pPr>
        <w:spacing w:line="360" w:lineRule="auto"/>
        <w:jc w:val="both"/>
        <w:rPr>
          <w:rFonts w:ascii="Times New Roman" w:hAnsi="Times New Roman"/>
          <w:sz w:val="24"/>
          <w:szCs w:val="24"/>
        </w:rPr>
      </w:pPr>
    </w:p>
    <w:p w14:paraId="6B2272FF" w14:textId="23A285DE" w:rsidR="00B324E5" w:rsidRDefault="00B324E5" w:rsidP="008864E4">
      <w:pPr>
        <w:spacing w:line="360" w:lineRule="auto"/>
        <w:jc w:val="both"/>
        <w:rPr>
          <w:rFonts w:ascii="Times New Roman" w:hAnsi="Times New Roman"/>
          <w:sz w:val="24"/>
          <w:szCs w:val="24"/>
        </w:rPr>
      </w:pPr>
    </w:p>
    <w:p w14:paraId="2CF65869" w14:textId="01AA87EB" w:rsidR="00B324E5" w:rsidRDefault="00B324E5" w:rsidP="008864E4">
      <w:pPr>
        <w:spacing w:line="360" w:lineRule="auto"/>
        <w:jc w:val="both"/>
        <w:rPr>
          <w:rFonts w:ascii="Times New Roman" w:hAnsi="Times New Roman"/>
          <w:sz w:val="24"/>
          <w:szCs w:val="24"/>
        </w:rPr>
      </w:pPr>
    </w:p>
    <w:p w14:paraId="062CF8B3" w14:textId="064D9298" w:rsidR="00B324E5" w:rsidRDefault="00B324E5" w:rsidP="008864E4">
      <w:pPr>
        <w:spacing w:line="360" w:lineRule="auto"/>
        <w:jc w:val="both"/>
        <w:rPr>
          <w:rFonts w:ascii="Times New Roman" w:hAnsi="Times New Roman"/>
          <w:sz w:val="24"/>
          <w:szCs w:val="24"/>
        </w:rPr>
      </w:pPr>
    </w:p>
    <w:p w14:paraId="68FD9817" w14:textId="63C094DB" w:rsidR="00B324E5" w:rsidRDefault="00B324E5" w:rsidP="008864E4">
      <w:pPr>
        <w:spacing w:line="360" w:lineRule="auto"/>
        <w:jc w:val="both"/>
        <w:rPr>
          <w:rFonts w:ascii="Times New Roman" w:hAnsi="Times New Roman"/>
          <w:sz w:val="24"/>
          <w:szCs w:val="24"/>
        </w:rPr>
      </w:pPr>
    </w:p>
    <w:p w14:paraId="6E1B7B15" w14:textId="2F4DD98E" w:rsidR="00B324E5" w:rsidRDefault="00B324E5" w:rsidP="008864E4">
      <w:pPr>
        <w:spacing w:line="360" w:lineRule="auto"/>
        <w:jc w:val="both"/>
        <w:rPr>
          <w:rFonts w:ascii="Times New Roman" w:hAnsi="Times New Roman"/>
          <w:sz w:val="24"/>
          <w:szCs w:val="24"/>
        </w:rPr>
      </w:pPr>
    </w:p>
    <w:p w14:paraId="589FD90D" w14:textId="0756B7F8" w:rsidR="00B324E5" w:rsidRDefault="00B324E5" w:rsidP="008864E4">
      <w:pPr>
        <w:spacing w:line="360" w:lineRule="auto"/>
        <w:jc w:val="both"/>
        <w:rPr>
          <w:rFonts w:ascii="Times New Roman" w:hAnsi="Times New Roman"/>
          <w:sz w:val="24"/>
          <w:szCs w:val="24"/>
        </w:rPr>
      </w:pPr>
    </w:p>
    <w:p w14:paraId="36856C7E" w14:textId="379FFD3C" w:rsidR="00B324E5" w:rsidRDefault="00B324E5" w:rsidP="008864E4">
      <w:pPr>
        <w:spacing w:line="360" w:lineRule="auto"/>
        <w:jc w:val="both"/>
        <w:rPr>
          <w:rFonts w:ascii="Times New Roman" w:hAnsi="Times New Roman"/>
          <w:sz w:val="24"/>
          <w:szCs w:val="24"/>
        </w:rPr>
      </w:pPr>
    </w:p>
    <w:p w14:paraId="0FC2AA03" w14:textId="77777777" w:rsidR="00B324E5" w:rsidRDefault="00B324E5" w:rsidP="008864E4">
      <w:pPr>
        <w:spacing w:line="360" w:lineRule="auto"/>
        <w:jc w:val="both"/>
        <w:rPr>
          <w:rFonts w:ascii="Times New Roman" w:hAnsi="Times New Roman"/>
          <w:sz w:val="24"/>
          <w:szCs w:val="24"/>
        </w:rPr>
      </w:pPr>
    </w:p>
    <w:sdt>
      <w:sdtPr>
        <w:rPr>
          <w:rFonts w:asciiTheme="minorHAnsi" w:eastAsiaTheme="minorHAnsi" w:hAnsiTheme="minorHAnsi" w:cstheme="minorBidi"/>
          <w:noProof/>
          <w:color w:val="auto"/>
          <w:kern w:val="2"/>
          <w:sz w:val="22"/>
          <w:szCs w:val="22"/>
          <w14:ligatures w14:val="standardContextual"/>
        </w:rPr>
        <w:id w:val="1187187702"/>
        <w:docPartObj>
          <w:docPartGallery w:val="Table of Contents"/>
          <w:docPartUnique/>
        </w:docPartObj>
      </w:sdtPr>
      <w:sdtEndPr>
        <w:rPr>
          <w:rFonts w:eastAsiaTheme="minorEastAsia" w:cs="Times New Roman"/>
          <w:b/>
          <w:bCs/>
          <w:noProof w:val="0"/>
          <w:kern w:val="0"/>
          <w:lang w:val="en-GB" w:eastAsia="en-GB"/>
          <w14:ligatures w14:val="none"/>
        </w:rPr>
      </w:sdtEndPr>
      <w:sdtContent>
        <w:p w14:paraId="0ADAB9D9" w14:textId="77777777" w:rsidR="008864E4" w:rsidRPr="00E337E9" w:rsidRDefault="008864E4" w:rsidP="008864E4">
          <w:pPr>
            <w:pStyle w:val="TOCHeading"/>
            <w:rPr>
              <w:sz w:val="20"/>
              <w:szCs w:val="20"/>
            </w:rPr>
          </w:pPr>
          <w:r w:rsidRPr="00E337E9">
            <w:rPr>
              <w:sz w:val="20"/>
              <w:szCs w:val="20"/>
            </w:rPr>
            <w:t>Contents</w:t>
          </w:r>
        </w:p>
        <w:p w14:paraId="04187F85" w14:textId="77777777" w:rsidR="008864E4" w:rsidRPr="00E337E9" w:rsidRDefault="008864E4" w:rsidP="008864E4">
          <w:pPr>
            <w:pStyle w:val="TOC1"/>
            <w:tabs>
              <w:tab w:val="right" w:leader="dot" w:pos="9016"/>
            </w:tabs>
            <w:rPr>
              <w:rFonts w:eastAsiaTheme="minorEastAsia"/>
              <w:sz w:val="20"/>
              <w:szCs w:val="20"/>
              <w:lang w:val="ro-RO" w:eastAsia="ro-RO"/>
            </w:rPr>
          </w:pPr>
          <w:r w:rsidRPr="00E337E9">
            <w:rPr>
              <w:sz w:val="20"/>
              <w:szCs w:val="20"/>
            </w:rPr>
            <w:fldChar w:fldCharType="begin"/>
          </w:r>
          <w:r w:rsidRPr="00E337E9">
            <w:rPr>
              <w:sz w:val="20"/>
              <w:szCs w:val="20"/>
            </w:rPr>
            <w:instrText xml:space="preserve"> TOC \o "1-3" \h \z \u </w:instrText>
          </w:r>
          <w:r w:rsidRPr="00E337E9">
            <w:rPr>
              <w:sz w:val="20"/>
              <w:szCs w:val="20"/>
            </w:rPr>
            <w:fldChar w:fldCharType="separate"/>
          </w:r>
          <w:hyperlink w:anchor="_Toc191503452" w:history="1">
            <w:r w:rsidRPr="00E337E9">
              <w:rPr>
                <w:rStyle w:val="Hyperlink"/>
                <w:rFonts w:ascii="Times New Roman" w:hAnsi="Times New Roman" w:cs="Times New Roman"/>
                <w:sz w:val="20"/>
                <w:szCs w:val="20"/>
                <w:lang w:val="ro-RO"/>
              </w:rPr>
              <w:t>EXECUTIVE SUMMARY</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_Toc191503452 \h </w:instrText>
            </w:r>
            <w:r w:rsidRPr="00E337E9">
              <w:rPr>
                <w:webHidden/>
                <w:sz w:val="20"/>
                <w:szCs w:val="20"/>
              </w:rPr>
            </w:r>
            <w:r w:rsidRPr="00E337E9">
              <w:rPr>
                <w:webHidden/>
                <w:sz w:val="20"/>
                <w:szCs w:val="20"/>
              </w:rPr>
              <w:fldChar w:fldCharType="separate"/>
            </w:r>
            <w:r w:rsidRPr="00E337E9">
              <w:rPr>
                <w:webHidden/>
                <w:sz w:val="20"/>
                <w:szCs w:val="20"/>
              </w:rPr>
              <w:t>3</w:t>
            </w:r>
            <w:r w:rsidRPr="00E337E9">
              <w:rPr>
                <w:webHidden/>
                <w:sz w:val="20"/>
                <w:szCs w:val="20"/>
              </w:rPr>
              <w:fldChar w:fldCharType="end"/>
            </w:r>
          </w:hyperlink>
        </w:p>
        <w:p w14:paraId="3AE0C1F2"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53" w:history="1">
            <w:r w:rsidRPr="00E337E9">
              <w:rPr>
                <w:rStyle w:val="Hyperlink"/>
                <w:rFonts w:ascii="Times New Roman" w:hAnsi="Times New Roman" w:cs="Times New Roman"/>
                <w:sz w:val="20"/>
                <w:szCs w:val="20"/>
              </w:rPr>
              <w:t>INTRODUCTION</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_Toc191503453 \h </w:instrText>
            </w:r>
            <w:r w:rsidRPr="00E337E9">
              <w:rPr>
                <w:webHidden/>
                <w:sz w:val="20"/>
                <w:szCs w:val="20"/>
              </w:rPr>
            </w:r>
            <w:r w:rsidRPr="00E337E9">
              <w:rPr>
                <w:webHidden/>
                <w:sz w:val="20"/>
                <w:szCs w:val="20"/>
              </w:rPr>
              <w:fldChar w:fldCharType="separate"/>
            </w:r>
            <w:r w:rsidRPr="00E337E9">
              <w:rPr>
                <w:webHidden/>
                <w:sz w:val="20"/>
                <w:szCs w:val="20"/>
              </w:rPr>
              <w:t>4</w:t>
            </w:r>
            <w:r w:rsidRPr="00E337E9">
              <w:rPr>
                <w:webHidden/>
                <w:sz w:val="20"/>
                <w:szCs w:val="20"/>
              </w:rPr>
              <w:fldChar w:fldCharType="end"/>
            </w:r>
          </w:hyperlink>
        </w:p>
        <w:p w14:paraId="5B7D3655"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54" w:history="1">
            <w:r w:rsidRPr="00E337E9">
              <w:rPr>
                <w:rStyle w:val="Hyperlink"/>
                <w:rFonts w:ascii="Times New Roman" w:hAnsi="Times New Roman" w:cs="Times New Roman"/>
                <w:sz w:val="20"/>
                <w:szCs w:val="20"/>
                <w:lang w:val="ro-RO"/>
              </w:rPr>
              <w:t>THE EVENT CYCLE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_Toc191503454 \h </w:instrText>
            </w:r>
            <w:r w:rsidRPr="00E337E9">
              <w:rPr>
                <w:webHidden/>
                <w:sz w:val="20"/>
                <w:szCs w:val="20"/>
              </w:rPr>
            </w:r>
            <w:r w:rsidRPr="00E337E9">
              <w:rPr>
                <w:webHidden/>
                <w:sz w:val="20"/>
                <w:szCs w:val="20"/>
              </w:rPr>
              <w:fldChar w:fldCharType="separate"/>
            </w:r>
            <w:r w:rsidRPr="00E337E9">
              <w:rPr>
                <w:webHidden/>
                <w:sz w:val="20"/>
                <w:szCs w:val="20"/>
              </w:rPr>
              <w:t>5</w:t>
            </w:r>
            <w:r w:rsidRPr="00E337E9">
              <w:rPr>
                <w:webHidden/>
                <w:sz w:val="20"/>
                <w:szCs w:val="20"/>
              </w:rPr>
              <w:fldChar w:fldCharType="end"/>
            </w:r>
          </w:hyperlink>
        </w:p>
        <w:p w14:paraId="6D9A376A"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55" w:history="1">
            <w:r w:rsidRPr="00E337E9">
              <w:rPr>
                <w:rStyle w:val="Hyperlink"/>
                <w:rFonts w:ascii="Times New Roman" w:hAnsi="Times New Roman" w:cs="Times New Roman"/>
                <w:sz w:val="20"/>
                <w:szCs w:val="20"/>
                <w:lang w:val="ro-RO"/>
              </w:rPr>
              <w:t>Planning phase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_Toc191503455 \h </w:instrText>
            </w:r>
            <w:r w:rsidRPr="00E337E9">
              <w:rPr>
                <w:webHidden/>
                <w:sz w:val="20"/>
                <w:szCs w:val="20"/>
              </w:rPr>
            </w:r>
            <w:r w:rsidRPr="00E337E9">
              <w:rPr>
                <w:webHidden/>
                <w:sz w:val="20"/>
                <w:szCs w:val="20"/>
              </w:rPr>
              <w:fldChar w:fldCharType="separate"/>
            </w:r>
            <w:r w:rsidRPr="00E337E9">
              <w:rPr>
                <w:webHidden/>
                <w:sz w:val="20"/>
                <w:szCs w:val="20"/>
              </w:rPr>
              <w:t>5</w:t>
            </w:r>
            <w:r w:rsidRPr="00E337E9">
              <w:rPr>
                <w:webHidden/>
                <w:sz w:val="20"/>
                <w:szCs w:val="20"/>
              </w:rPr>
              <w:fldChar w:fldCharType="end"/>
            </w:r>
          </w:hyperlink>
        </w:p>
        <w:p w14:paraId="504CC3DC"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56" w:history="1">
            <w:r w:rsidRPr="00E337E9">
              <w:rPr>
                <w:rStyle w:val="Hyperlink"/>
                <w:rFonts w:ascii="Times New Roman" w:hAnsi="Times New Roman" w:cs="Times New Roman"/>
                <w:sz w:val="20"/>
                <w:szCs w:val="20"/>
                <w:lang w:val="ro-RO"/>
              </w:rPr>
              <w:t>Implementation phase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_Toc191503456 \h </w:instrText>
            </w:r>
            <w:r w:rsidRPr="00E337E9">
              <w:rPr>
                <w:webHidden/>
                <w:sz w:val="20"/>
                <w:szCs w:val="20"/>
              </w:rPr>
            </w:r>
            <w:r w:rsidRPr="00E337E9">
              <w:rPr>
                <w:webHidden/>
                <w:sz w:val="20"/>
                <w:szCs w:val="20"/>
              </w:rPr>
              <w:fldChar w:fldCharType="separate"/>
            </w:r>
            <w:r w:rsidRPr="00E337E9">
              <w:rPr>
                <w:webHidden/>
                <w:sz w:val="20"/>
                <w:szCs w:val="20"/>
              </w:rPr>
              <w:t>5</w:t>
            </w:r>
            <w:r w:rsidRPr="00E337E9">
              <w:rPr>
                <w:webHidden/>
                <w:sz w:val="20"/>
                <w:szCs w:val="20"/>
              </w:rPr>
              <w:fldChar w:fldCharType="end"/>
            </w:r>
          </w:hyperlink>
        </w:p>
        <w:p w14:paraId="2C02AD8F"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57" w:history="1">
            <w:r w:rsidRPr="00E337E9">
              <w:rPr>
                <w:rStyle w:val="Hyperlink"/>
                <w:rFonts w:ascii="Times New Roman" w:hAnsi="Times New Roman" w:cs="Times New Roman"/>
                <w:sz w:val="20"/>
                <w:szCs w:val="20"/>
                <w:lang w:val="ro-RO"/>
              </w:rPr>
              <w:t>Evaluation phase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_Toc191503457 \h </w:instrText>
            </w:r>
            <w:r w:rsidRPr="00E337E9">
              <w:rPr>
                <w:webHidden/>
                <w:sz w:val="20"/>
                <w:szCs w:val="20"/>
              </w:rPr>
            </w:r>
            <w:r w:rsidRPr="00E337E9">
              <w:rPr>
                <w:webHidden/>
                <w:sz w:val="20"/>
                <w:szCs w:val="20"/>
              </w:rPr>
              <w:fldChar w:fldCharType="separate"/>
            </w:r>
            <w:r w:rsidRPr="00E337E9">
              <w:rPr>
                <w:webHidden/>
                <w:sz w:val="20"/>
                <w:szCs w:val="20"/>
              </w:rPr>
              <w:t>5</w:t>
            </w:r>
            <w:r w:rsidRPr="00E337E9">
              <w:rPr>
                <w:webHidden/>
                <w:sz w:val="20"/>
                <w:szCs w:val="20"/>
              </w:rPr>
              <w:fldChar w:fldCharType="end"/>
            </w:r>
          </w:hyperlink>
        </w:p>
        <w:p w14:paraId="7DC90A3B"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58" w:history="1">
            <w:r w:rsidRPr="00E337E9">
              <w:rPr>
                <w:rStyle w:val="Hyperlink"/>
                <w:rFonts w:ascii="Times New Roman" w:hAnsi="Times New Roman" w:cs="Times New Roman"/>
                <w:sz w:val="20"/>
                <w:szCs w:val="20"/>
              </w:rPr>
              <w:t>AIM AND OBJECTIVES OF THE EVENT</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_Toc191503458 \h </w:instrText>
            </w:r>
            <w:r w:rsidRPr="00E337E9">
              <w:rPr>
                <w:webHidden/>
                <w:sz w:val="20"/>
                <w:szCs w:val="20"/>
              </w:rPr>
            </w:r>
            <w:r w:rsidRPr="00E337E9">
              <w:rPr>
                <w:webHidden/>
                <w:sz w:val="20"/>
                <w:szCs w:val="20"/>
              </w:rPr>
              <w:fldChar w:fldCharType="separate"/>
            </w:r>
            <w:r w:rsidRPr="00E337E9">
              <w:rPr>
                <w:webHidden/>
                <w:sz w:val="20"/>
                <w:szCs w:val="20"/>
              </w:rPr>
              <w:t>6</w:t>
            </w:r>
            <w:r w:rsidRPr="00E337E9">
              <w:rPr>
                <w:webHidden/>
                <w:sz w:val="20"/>
                <w:szCs w:val="20"/>
              </w:rPr>
              <w:fldChar w:fldCharType="end"/>
            </w:r>
          </w:hyperlink>
        </w:p>
        <w:p w14:paraId="249A7DFC"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59" w:history="1">
            <w:r w:rsidRPr="00E337E9">
              <w:rPr>
                <w:rStyle w:val="Hyperlink"/>
                <w:rFonts w:ascii="Times New Roman" w:hAnsi="Times New Roman" w:cs="Times New Roman"/>
                <w:sz w:val="20"/>
                <w:szCs w:val="20"/>
              </w:rPr>
              <w:t>SMART Objectives: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_Toc191503459 \h </w:instrText>
            </w:r>
            <w:r w:rsidRPr="00E337E9">
              <w:rPr>
                <w:webHidden/>
                <w:sz w:val="20"/>
                <w:szCs w:val="20"/>
              </w:rPr>
            </w:r>
            <w:r w:rsidRPr="00E337E9">
              <w:rPr>
                <w:webHidden/>
                <w:sz w:val="20"/>
                <w:szCs w:val="20"/>
              </w:rPr>
              <w:fldChar w:fldCharType="separate"/>
            </w:r>
            <w:r w:rsidRPr="00E337E9">
              <w:rPr>
                <w:webHidden/>
                <w:sz w:val="20"/>
                <w:szCs w:val="20"/>
              </w:rPr>
              <w:t>6</w:t>
            </w:r>
            <w:r w:rsidRPr="00E337E9">
              <w:rPr>
                <w:webHidden/>
                <w:sz w:val="20"/>
                <w:szCs w:val="20"/>
              </w:rPr>
              <w:fldChar w:fldCharType="end"/>
            </w:r>
          </w:hyperlink>
        </w:p>
        <w:p w14:paraId="55DFEC76"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60" w:history="1">
            <w:r w:rsidRPr="00E337E9">
              <w:rPr>
                <w:rStyle w:val="Hyperlink"/>
                <w:rFonts w:ascii="Times New Roman" w:hAnsi="Times New Roman" w:cs="Times New Roman"/>
                <w:sz w:val="20"/>
                <w:szCs w:val="20"/>
              </w:rPr>
              <w:t>EVENT CONCEPT</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_Toc191503460 \h </w:instrText>
            </w:r>
            <w:r w:rsidRPr="00E337E9">
              <w:rPr>
                <w:webHidden/>
                <w:sz w:val="20"/>
                <w:szCs w:val="20"/>
              </w:rPr>
            </w:r>
            <w:r w:rsidRPr="00E337E9">
              <w:rPr>
                <w:webHidden/>
                <w:sz w:val="20"/>
                <w:szCs w:val="20"/>
              </w:rPr>
              <w:fldChar w:fldCharType="separate"/>
            </w:r>
            <w:r w:rsidRPr="00E337E9">
              <w:rPr>
                <w:webHidden/>
                <w:sz w:val="20"/>
                <w:szCs w:val="20"/>
              </w:rPr>
              <w:t>6</w:t>
            </w:r>
            <w:r w:rsidRPr="00E337E9">
              <w:rPr>
                <w:webHidden/>
                <w:sz w:val="20"/>
                <w:szCs w:val="20"/>
              </w:rPr>
              <w:fldChar w:fldCharType="end"/>
            </w:r>
          </w:hyperlink>
        </w:p>
        <w:p w14:paraId="0A7F4263"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1" w:history="1">
            <w:r w:rsidRPr="00E337E9">
              <w:rPr>
                <w:rStyle w:val="Hyperlink"/>
                <w:rFonts w:ascii="Times New Roman" w:hAnsi="Times New Roman" w:cs="Times New Roman"/>
                <w:sz w:val="20"/>
                <w:szCs w:val="20"/>
              </w:rPr>
              <w:t>Conference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_Toc191503461 \h </w:instrText>
            </w:r>
            <w:r w:rsidRPr="00E337E9">
              <w:rPr>
                <w:webHidden/>
                <w:sz w:val="20"/>
                <w:szCs w:val="20"/>
              </w:rPr>
            </w:r>
            <w:r w:rsidRPr="00E337E9">
              <w:rPr>
                <w:webHidden/>
                <w:sz w:val="20"/>
                <w:szCs w:val="20"/>
              </w:rPr>
              <w:fldChar w:fldCharType="separate"/>
            </w:r>
            <w:r w:rsidRPr="00E337E9">
              <w:rPr>
                <w:webHidden/>
                <w:sz w:val="20"/>
                <w:szCs w:val="20"/>
              </w:rPr>
              <w:t>6</w:t>
            </w:r>
            <w:r w:rsidRPr="00E337E9">
              <w:rPr>
                <w:webHidden/>
                <w:sz w:val="20"/>
                <w:szCs w:val="20"/>
              </w:rPr>
              <w:fldChar w:fldCharType="end"/>
            </w:r>
          </w:hyperlink>
        </w:p>
        <w:p w14:paraId="4F22896F"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2" w:history="1">
            <w:r w:rsidRPr="00E337E9">
              <w:rPr>
                <w:rStyle w:val="Hyperlink"/>
                <w:rFonts w:ascii="Times New Roman" w:hAnsi="Times New Roman" w:cs="Times New Roman"/>
                <w:sz w:val="20"/>
                <w:szCs w:val="20"/>
              </w:rPr>
              <w:t>Job Fair</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_Toc191503462 \h </w:instrText>
            </w:r>
            <w:r w:rsidRPr="00E337E9">
              <w:rPr>
                <w:webHidden/>
                <w:sz w:val="20"/>
                <w:szCs w:val="20"/>
              </w:rPr>
            </w:r>
            <w:r w:rsidRPr="00E337E9">
              <w:rPr>
                <w:webHidden/>
                <w:sz w:val="20"/>
                <w:szCs w:val="20"/>
              </w:rPr>
              <w:fldChar w:fldCharType="separate"/>
            </w:r>
            <w:r w:rsidRPr="00E337E9">
              <w:rPr>
                <w:webHidden/>
                <w:sz w:val="20"/>
                <w:szCs w:val="20"/>
              </w:rPr>
              <w:t>6</w:t>
            </w:r>
            <w:r w:rsidRPr="00E337E9">
              <w:rPr>
                <w:webHidden/>
                <w:sz w:val="20"/>
                <w:szCs w:val="20"/>
              </w:rPr>
              <w:fldChar w:fldCharType="end"/>
            </w:r>
          </w:hyperlink>
        </w:p>
        <w:p w14:paraId="7AFF4D60"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3" w:history="1">
            <w:r w:rsidRPr="00E337E9">
              <w:rPr>
                <w:rStyle w:val="Hyperlink"/>
                <w:rFonts w:ascii="Times New Roman" w:hAnsi="Times New Roman" w:cs="Times New Roman"/>
                <w:sz w:val="20"/>
                <w:szCs w:val="20"/>
              </w:rPr>
              <w:t>Experiential Simulations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_Toc191503463 \h </w:instrText>
            </w:r>
            <w:r w:rsidRPr="00E337E9">
              <w:rPr>
                <w:webHidden/>
                <w:sz w:val="20"/>
                <w:szCs w:val="20"/>
              </w:rPr>
            </w:r>
            <w:r w:rsidRPr="00E337E9">
              <w:rPr>
                <w:webHidden/>
                <w:sz w:val="20"/>
                <w:szCs w:val="20"/>
              </w:rPr>
              <w:fldChar w:fldCharType="separate"/>
            </w:r>
            <w:r w:rsidRPr="00E337E9">
              <w:rPr>
                <w:webHidden/>
                <w:sz w:val="20"/>
                <w:szCs w:val="20"/>
              </w:rPr>
              <w:t>7</w:t>
            </w:r>
            <w:r w:rsidRPr="00E337E9">
              <w:rPr>
                <w:webHidden/>
                <w:sz w:val="20"/>
                <w:szCs w:val="20"/>
              </w:rPr>
              <w:fldChar w:fldCharType="end"/>
            </w:r>
          </w:hyperlink>
        </w:p>
        <w:p w14:paraId="2F4844DA"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4" w:history="1">
            <w:r w:rsidRPr="00E337E9">
              <w:rPr>
                <w:rStyle w:val="Hyperlink"/>
                <w:rFonts w:ascii="Times New Roman" w:hAnsi="Times New Roman" w:cs="Times New Roman"/>
                <w:sz w:val="20"/>
                <w:szCs w:val="20"/>
              </w:rPr>
              <w:t>Special Guest</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_Toc191503464 \h </w:instrText>
            </w:r>
            <w:r w:rsidRPr="00E337E9">
              <w:rPr>
                <w:webHidden/>
                <w:sz w:val="20"/>
                <w:szCs w:val="20"/>
              </w:rPr>
            </w:r>
            <w:r w:rsidRPr="00E337E9">
              <w:rPr>
                <w:webHidden/>
                <w:sz w:val="20"/>
                <w:szCs w:val="20"/>
              </w:rPr>
              <w:fldChar w:fldCharType="separate"/>
            </w:r>
            <w:r w:rsidRPr="00E337E9">
              <w:rPr>
                <w:webHidden/>
                <w:sz w:val="20"/>
                <w:szCs w:val="20"/>
              </w:rPr>
              <w:t>7</w:t>
            </w:r>
            <w:r w:rsidRPr="00E337E9">
              <w:rPr>
                <w:webHidden/>
                <w:sz w:val="20"/>
                <w:szCs w:val="20"/>
              </w:rPr>
              <w:fldChar w:fldCharType="end"/>
            </w:r>
          </w:hyperlink>
        </w:p>
        <w:p w14:paraId="0286251C"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5" w:history="1">
            <w:r w:rsidRPr="00E337E9">
              <w:rPr>
                <w:rStyle w:val="Hyperlink"/>
                <w:rFonts w:ascii="Times New Roman" w:hAnsi="Times New Roman" w:cs="Times New Roman"/>
                <w:sz w:val="20"/>
                <w:szCs w:val="20"/>
              </w:rPr>
              <w:t>Event Schedule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_Toc191503465 \h </w:instrText>
            </w:r>
            <w:r w:rsidRPr="00E337E9">
              <w:rPr>
                <w:webHidden/>
                <w:sz w:val="20"/>
                <w:szCs w:val="20"/>
              </w:rPr>
            </w:r>
            <w:r w:rsidRPr="00E337E9">
              <w:rPr>
                <w:webHidden/>
                <w:sz w:val="20"/>
                <w:szCs w:val="20"/>
              </w:rPr>
              <w:fldChar w:fldCharType="separate"/>
            </w:r>
            <w:r w:rsidRPr="00E337E9">
              <w:rPr>
                <w:webHidden/>
                <w:sz w:val="20"/>
                <w:szCs w:val="20"/>
              </w:rPr>
              <w:t>7</w:t>
            </w:r>
            <w:r w:rsidRPr="00E337E9">
              <w:rPr>
                <w:webHidden/>
                <w:sz w:val="20"/>
                <w:szCs w:val="20"/>
              </w:rPr>
              <w:fldChar w:fldCharType="end"/>
            </w:r>
          </w:hyperlink>
        </w:p>
        <w:p w14:paraId="6F4A4257"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66" w:history="1">
            <w:r w:rsidRPr="00E337E9">
              <w:rPr>
                <w:rStyle w:val="Hyperlink"/>
                <w:rFonts w:ascii="Times New Roman" w:hAnsi="Times New Roman" w:cs="Times New Roman"/>
                <w:sz w:val="20"/>
                <w:szCs w:val="20"/>
              </w:rPr>
              <w:t>EVENT MANAGEMENT AND EMBOK MODEL</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_Toc191503466 \h </w:instrText>
            </w:r>
            <w:r w:rsidRPr="00E337E9">
              <w:rPr>
                <w:webHidden/>
                <w:sz w:val="20"/>
                <w:szCs w:val="20"/>
              </w:rPr>
            </w:r>
            <w:r w:rsidRPr="00E337E9">
              <w:rPr>
                <w:webHidden/>
                <w:sz w:val="20"/>
                <w:szCs w:val="20"/>
              </w:rPr>
              <w:fldChar w:fldCharType="separate"/>
            </w:r>
            <w:r w:rsidRPr="00E337E9">
              <w:rPr>
                <w:webHidden/>
                <w:sz w:val="20"/>
                <w:szCs w:val="20"/>
              </w:rPr>
              <w:t>8</w:t>
            </w:r>
            <w:r w:rsidRPr="00E337E9">
              <w:rPr>
                <w:webHidden/>
                <w:sz w:val="20"/>
                <w:szCs w:val="20"/>
              </w:rPr>
              <w:fldChar w:fldCharType="end"/>
            </w:r>
          </w:hyperlink>
        </w:p>
        <w:p w14:paraId="0EDFF308"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7" w:history="1">
            <w:r w:rsidRPr="00E337E9">
              <w:rPr>
                <w:rStyle w:val="Hyperlink"/>
                <w:rFonts w:ascii="Times New Roman" w:hAnsi="Times New Roman" w:cs="Times New Roman"/>
                <w:sz w:val="20"/>
                <w:szCs w:val="20"/>
              </w:rPr>
              <w:t>Definition</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_Toc191503467 \h </w:instrText>
            </w:r>
            <w:r w:rsidRPr="00E337E9">
              <w:rPr>
                <w:webHidden/>
                <w:sz w:val="20"/>
                <w:szCs w:val="20"/>
              </w:rPr>
            </w:r>
            <w:r w:rsidRPr="00E337E9">
              <w:rPr>
                <w:webHidden/>
                <w:sz w:val="20"/>
                <w:szCs w:val="20"/>
              </w:rPr>
              <w:fldChar w:fldCharType="separate"/>
            </w:r>
            <w:r w:rsidRPr="00E337E9">
              <w:rPr>
                <w:webHidden/>
                <w:sz w:val="20"/>
                <w:szCs w:val="20"/>
              </w:rPr>
              <w:t>8</w:t>
            </w:r>
            <w:r w:rsidRPr="00E337E9">
              <w:rPr>
                <w:webHidden/>
                <w:sz w:val="20"/>
                <w:szCs w:val="20"/>
              </w:rPr>
              <w:fldChar w:fldCharType="end"/>
            </w:r>
          </w:hyperlink>
        </w:p>
        <w:p w14:paraId="407B21D8"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8" w:history="1">
            <w:r w:rsidRPr="00E337E9">
              <w:rPr>
                <w:rStyle w:val="Hyperlink"/>
                <w:rFonts w:ascii="Times New Roman" w:hAnsi="Times New Roman" w:cs="Times New Roman"/>
                <w:sz w:val="20"/>
                <w:szCs w:val="20"/>
              </w:rPr>
              <w:t>Design</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_Toc191503468 \h </w:instrText>
            </w:r>
            <w:r w:rsidRPr="00E337E9">
              <w:rPr>
                <w:webHidden/>
                <w:sz w:val="20"/>
                <w:szCs w:val="20"/>
              </w:rPr>
            </w:r>
            <w:r w:rsidRPr="00E337E9">
              <w:rPr>
                <w:webHidden/>
                <w:sz w:val="20"/>
                <w:szCs w:val="20"/>
              </w:rPr>
              <w:fldChar w:fldCharType="separate"/>
            </w:r>
            <w:r w:rsidRPr="00E337E9">
              <w:rPr>
                <w:webHidden/>
                <w:sz w:val="20"/>
                <w:szCs w:val="20"/>
              </w:rPr>
              <w:t>8</w:t>
            </w:r>
            <w:r w:rsidRPr="00E337E9">
              <w:rPr>
                <w:webHidden/>
                <w:sz w:val="20"/>
                <w:szCs w:val="20"/>
              </w:rPr>
              <w:fldChar w:fldCharType="end"/>
            </w:r>
          </w:hyperlink>
        </w:p>
        <w:p w14:paraId="4ECE2E30"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69" w:history="1">
            <w:r w:rsidRPr="00E337E9">
              <w:rPr>
                <w:rStyle w:val="Hyperlink"/>
                <w:rFonts w:ascii="Times New Roman" w:hAnsi="Times New Roman" w:cs="Times New Roman"/>
                <w:sz w:val="20"/>
                <w:szCs w:val="20"/>
              </w:rPr>
              <w:t>Marketing Strategy</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_Toc191503469 \h </w:instrText>
            </w:r>
            <w:r w:rsidRPr="00E337E9">
              <w:rPr>
                <w:webHidden/>
                <w:sz w:val="20"/>
                <w:szCs w:val="20"/>
              </w:rPr>
            </w:r>
            <w:r w:rsidRPr="00E337E9">
              <w:rPr>
                <w:webHidden/>
                <w:sz w:val="20"/>
                <w:szCs w:val="20"/>
              </w:rPr>
              <w:fldChar w:fldCharType="separate"/>
            </w:r>
            <w:r w:rsidRPr="00E337E9">
              <w:rPr>
                <w:webHidden/>
                <w:sz w:val="20"/>
                <w:szCs w:val="20"/>
              </w:rPr>
              <w:t>8</w:t>
            </w:r>
            <w:r w:rsidRPr="00E337E9">
              <w:rPr>
                <w:webHidden/>
                <w:sz w:val="20"/>
                <w:szCs w:val="20"/>
              </w:rPr>
              <w:fldChar w:fldCharType="end"/>
            </w:r>
          </w:hyperlink>
        </w:p>
        <w:p w14:paraId="56CED5A8" w14:textId="77777777" w:rsidR="008864E4" w:rsidRPr="00E337E9" w:rsidRDefault="008864E4" w:rsidP="008864E4">
          <w:pPr>
            <w:pStyle w:val="TOC3"/>
            <w:tabs>
              <w:tab w:val="left" w:pos="960"/>
              <w:tab w:val="right" w:leader="dot" w:pos="9016"/>
            </w:tabs>
            <w:rPr>
              <w:rFonts w:eastAsiaTheme="minorEastAsia"/>
              <w:sz w:val="20"/>
              <w:szCs w:val="20"/>
              <w:lang w:val="ro-RO" w:eastAsia="ro-RO"/>
            </w:rPr>
          </w:pPr>
          <w:hyperlink w:anchor="_Toc191503470" w:history="1">
            <w:r w:rsidRPr="00E337E9">
              <w:rPr>
                <w:rStyle w:val="Hyperlink"/>
                <w:rFonts w:ascii="Symbol" w:hAnsi="Symbol" w:cs="Times New Roman"/>
                <w:sz w:val="20"/>
                <w:szCs w:val="20"/>
              </w:rPr>
              <w:t></w:t>
            </w:r>
            <w:r w:rsidRPr="00E337E9">
              <w:rPr>
                <w:rFonts w:eastAsiaTheme="minorEastAsia"/>
                <w:sz w:val="20"/>
                <w:szCs w:val="20"/>
                <w:lang w:val="ro-RO" w:eastAsia="ro-RO"/>
              </w:rPr>
              <w:tab/>
            </w:r>
            <w:r w:rsidRPr="00E337E9">
              <w:rPr>
                <w:rStyle w:val="Hyperlink"/>
                <w:rFonts w:ascii="Times New Roman" w:hAnsi="Times New Roman" w:cs="Times New Roman"/>
                <w:sz w:val="20"/>
                <w:szCs w:val="20"/>
              </w:rPr>
              <w:t>Price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_Toc191503470 \h </w:instrText>
            </w:r>
            <w:r w:rsidRPr="00E337E9">
              <w:rPr>
                <w:webHidden/>
                <w:sz w:val="20"/>
                <w:szCs w:val="20"/>
              </w:rPr>
            </w:r>
            <w:r w:rsidRPr="00E337E9">
              <w:rPr>
                <w:webHidden/>
                <w:sz w:val="20"/>
                <w:szCs w:val="20"/>
              </w:rPr>
              <w:fldChar w:fldCharType="separate"/>
            </w:r>
            <w:r w:rsidRPr="00E337E9">
              <w:rPr>
                <w:webHidden/>
                <w:sz w:val="20"/>
                <w:szCs w:val="20"/>
              </w:rPr>
              <w:t>9</w:t>
            </w:r>
            <w:r w:rsidRPr="00E337E9">
              <w:rPr>
                <w:webHidden/>
                <w:sz w:val="20"/>
                <w:szCs w:val="20"/>
              </w:rPr>
              <w:fldChar w:fldCharType="end"/>
            </w:r>
          </w:hyperlink>
        </w:p>
        <w:p w14:paraId="57E76F49" w14:textId="77777777" w:rsidR="008864E4" w:rsidRPr="00E337E9" w:rsidRDefault="008864E4" w:rsidP="008864E4">
          <w:pPr>
            <w:pStyle w:val="TOC3"/>
            <w:tabs>
              <w:tab w:val="left" w:pos="960"/>
              <w:tab w:val="right" w:leader="dot" w:pos="9016"/>
            </w:tabs>
            <w:rPr>
              <w:rFonts w:eastAsiaTheme="minorEastAsia"/>
              <w:sz w:val="20"/>
              <w:szCs w:val="20"/>
              <w:lang w:val="ro-RO" w:eastAsia="ro-RO"/>
            </w:rPr>
          </w:pPr>
          <w:hyperlink w:anchor="_Toc191503471" w:history="1">
            <w:r w:rsidRPr="00E337E9">
              <w:rPr>
                <w:rStyle w:val="Hyperlink"/>
                <w:rFonts w:ascii="Symbol" w:hAnsi="Symbol" w:cs="Times New Roman"/>
                <w:sz w:val="20"/>
                <w:szCs w:val="20"/>
              </w:rPr>
              <w:t></w:t>
            </w:r>
            <w:r w:rsidRPr="00E337E9">
              <w:rPr>
                <w:rFonts w:eastAsiaTheme="minorEastAsia"/>
                <w:sz w:val="20"/>
                <w:szCs w:val="20"/>
                <w:lang w:val="ro-RO" w:eastAsia="ro-RO"/>
              </w:rPr>
              <w:tab/>
            </w:r>
            <w:r w:rsidRPr="00E337E9">
              <w:rPr>
                <w:rStyle w:val="Hyperlink"/>
                <w:rFonts w:ascii="Times New Roman" w:hAnsi="Times New Roman" w:cs="Times New Roman"/>
                <w:sz w:val="20"/>
                <w:szCs w:val="20"/>
              </w:rPr>
              <w:t>Place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_Toc191503471 \h </w:instrText>
            </w:r>
            <w:r w:rsidRPr="00E337E9">
              <w:rPr>
                <w:webHidden/>
                <w:sz w:val="20"/>
                <w:szCs w:val="20"/>
              </w:rPr>
            </w:r>
            <w:r w:rsidRPr="00E337E9">
              <w:rPr>
                <w:webHidden/>
                <w:sz w:val="20"/>
                <w:szCs w:val="20"/>
              </w:rPr>
              <w:fldChar w:fldCharType="separate"/>
            </w:r>
            <w:r w:rsidRPr="00E337E9">
              <w:rPr>
                <w:webHidden/>
                <w:sz w:val="20"/>
                <w:szCs w:val="20"/>
              </w:rPr>
              <w:t>9</w:t>
            </w:r>
            <w:r w:rsidRPr="00E337E9">
              <w:rPr>
                <w:webHidden/>
                <w:sz w:val="20"/>
                <w:szCs w:val="20"/>
              </w:rPr>
              <w:fldChar w:fldCharType="end"/>
            </w:r>
          </w:hyperlink>
        </w:p>
        <w:p w14:paraId="64A53AE1" w14:textId="77777777" w:rsidR="008864E4" w:rsidRPr="00E337E9" w:rsidRDefault="008864E4" w:rsidP="008864E4">
          <w:pPr>
            <w:pStyle w:val="TOC3"/>
            <w:tabs>
              <w:tab w:val="left" w:pos="960"/>
              <w:tab w:val="right" w:leader="dot" w:pos="9016"/>
            </w:tabs>
            <w:rPr>
              <w:rFonts w:eastAsiaTheme="minorEastAsia"/>
              <w:sz w:val="20"/>
              <w:szCs w:val="20"/>
              <w:lang w:val="ro-RO" w:eastAsia="ro-RO"/>
            </w:rPr>
          </w:pPr>
          <w:hyperlink w:anchor="_Toc191503472" w:history="1">
            <w:r w:rsidRPr="00E337E9">
              <w:rPr>
                <w:rStyle w:val="Hyperlink"/>
                <w:rFonts w:ascii="Symbol" w:hAnsi="Symbol" w:cs="Times New Roman"/>
                <w:sz w:val="20"/>
                <w:szCs w:val="20"/>
              </w:rPr>
              <w:t></w:t>
            </w:r>
            <w:r w:rsidRPr="00E337E9">
              <w:rPr>
                <w:rFonts w:eastAsiaTheme="minorEastAsia"/>
                <w:sz w:val="20"/>
                <w:szCs w:val="20"/>
                <w:lang w:val="ro-RO" w:eastAsia="ro-RO"/>
              </w:rPr>
              <w:tab/>
            </w:r>
            <w:r w:rsidRPr="00E337E9">
              <w:rPr>
                <w:rStyle w:val="Hyperlink"/>
                <w:rFonts w:ascii="Times New Roman" w:hAnsi="Times New Roman" w:cs="Times New Roman"/>
                <w:sz w:val="20"/>
                <w:szCs w:val="20"/>
              </w:rPr>
              <w:t>Promotion</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_Toc191503472 \h </w:instrText>
            </w:r>
            <w:r w:rsidRPr="00E337E9">
              <w:rPr>
                <w:webHidden/>
                <w:sz w:val="20"/>
                <w:szCs w:val="20"/>
              </w:rPr>
            </w:r>
            <w:r w:rsidRPr="00E337E9">
              <w:rPr>
                <w:webHidden/>
                <w:sz w:val="20"/>
                <w:szCs w:val="20"/>
              </w:rPr>
              <w:fldChar w:fldCharType="separate"/>
            </w:r>
            <w:r w:rsidRPr="00E337E9">
              <w:rPr>
                <w:webHidden/>
                <w:sz w:val="20"/>
                <w:szCs w:val="20"/>
              </w:rPr>
              <w:t>9</w:t>
            </w:r>
            <w:r w:rsidRPr="00E337E9">
              <w:rPr>
                <w:webHidden/>
                <w:sz w:val="20"/>
                <w:szCs w:val="20"/>
              </w:rPr>
              <w:fldChar w:fldCharType="end"/>
            </w:r>
          </w:hyperlink>
        </w:p>
        <w:p w14:paraId="31D0B124" w14:textId="77777777" w:rsidR="008864E4" w:rsidRPr="00E337E9" w:rsidRDefault="008864E4" w:rsidP="008864E4">
          <w:pPr>
            <w:pStyle w:val="TOC3"/>
            <w:tabs>
              <w:tab w:val="left" w:pos="960"/>
              <w:tab w:val="right" w:leader="dot" w:pos="9016"/>
            </w:tabs>
            <w:rPr>
              <w:rFonts w:eastAsiaTheme="minorEastAsia"/>
              <w:sz w:val="20"/>
              <w:szCs w:val="20"/>
              <w:lang w:val="ro-RO" w:eastAsia="ro-RO"/>
            </w:rPr>
          </w:pPr>
          <w:hyperlink w:anchor="_Toc191503473" w:history="1">
            <w:r w:rsidRPr="00E337E9">
              <w:rPr>
                <w:rStyle w:val="Hyperlink"/>
                <w:rFonts w:ascii="Symbol" w:hAnsi="Symbol" w:cs="Times New Roman"/>
                <w:sz w:val="20"/>
                <w:szCs w:val="20"/>
              </w:rPr>
              <w:t></w:t>
            </w:r>
            <w:r w:rsidRPr="00E337E9">
              <w:rPr>
                <w:rFonts w:eastAsiaTheme="minorEastAsia"/>
                <w:sz w:val="20"/>
                <w:szCs w:val="20"/>
                <w:lang w:val="ro-RO" w:eastAsia="ro-RO"/>
              </w:rPr>
              <w:tab/>
            </w:r>
            <w:r w:rsidRPr="00E337E9">
              <w:rPr>
                <w:rStyle w:val="Hyperlink"/>
                <w:rFonts w:ascii="Times New Roman" w:hAnsi="Times New Roman" w:cs="Times New Roman"/>
                <w:sz w:val="20"/>
                <w:szCs w:val="20"/>
              </w:rPr>
              <w:t>People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_Toc191503473 \h </w:instrText>
            </w:r>
            <w:r w:rsidRPr="00E337E9">
              <w:rPr>
                <w:webHidden/>
                <w:sz w:val="20"/>
                <w:szCs w:val="20"/>
              </w:rPr>
            </w:r>
            <w:r w:rsidRPr="00E337E9">
              <w:rPr>
                <w:webHidden/>
                <w:sz w:val="20"/>
                <w:szCs w:val="20"/>
              </w:rPr>
              <w:fldChar w:fldCharType="separate"/>
            </w:r>
            <w:r w:rsidRPr="00E337E9">
              <w:rPr>
                <w:webHidden/>
                <w:sz w:val="20"/>
                <w:szCs w:val="20"/>
              </w:rPr>
              <w:t>9</w:t>
            </w:r>
            <w:r w:rsidRPr="00E337E9">
              <w:rPr>
                <w:webHidden/>
                <w:sz w:val="20"/>
                <w:szCs w:val="20"/>
              </w:rPr>
              <w:fldChar w:fldCharType="end"/>
            </w:r>
          </w:hyperlink>
        </w:p>
        <w:p w14:paraId="2E287F08" w14:textId="77777777" w:rsidR="008864E4" w:rsidRPr="00E337E9" w:rsidRDefault="008864E4" w:rsidP="008864E4">
          <w:pPr>
            <w:pStyle w:val="TOC3"/>
            <w:tabs>
              <w:tab w:val="left" w:pos="960"/>
              <w:tab w:val="right" w:leader="dot" w:pos="9016"/>
            </w:tabs>
            <w:rPr>
              <w:rFonts w:eastAsiaTheme="minorEastAsia"/>
              <w:sz w:val="20"/>
              <w:szCs w:val="20"/>
              <w:lang w:val="ro-RO" w:eastAsia="ro-RO"/>
            </w:rPr>
          </w:pPr>
          <w:hyperlink w:anchor="_Toc191503474" w:history="1">
            <w:r w:rsidRPr="00E337E9">
              <w:rPr>
                <w:rStyle w:val="Hyperlink"/>
                <w:rFonts w:ascii="Symbol" w:hAnsi="Symbol" w:cs="Times New Roman"/>
                <w:sz w:val="20"/>
                <w:szCs w:val="20"/>
              </w:rPr>
              <w:t></w:t>
            </w:r>
            <w:r w:rsidRPr="00E337E9">
              <w:rPr>
                <w:rFonts w:eastAsiaTheme="minorEastAsia"/>
                <w:sz w:val="20"/>
                <w:szCs w:val="20"/>
                <w:lang w:val="ro-RO" w:eastAsia="ro-RO"/>
              </w:rPr>
              <w:tab/>
            </w:r>
            <w:r w:rsidRPr="00E337E9">
              <w:rPr>
                <w:rStyle w:val="Hyperlink"/>
                <w:rFonts w:ascii="Times New Roman" w:hAnsi="Times New Roman" w:cs="Times New Roman"/>
                <w:sz w:val="20"/>
                <w:szCs w:val="20"/>
              </w:rPr>
              <w:t>Process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_Toc191503474 \h </w:instrText>
            </w:r>
            <w:r w:rsidRPr="00E337E9">
              <w:rPr>
                <w:webHidden/>
                <w:sz w:val="20"/>
                <w:szCs w:val="20"/>
              </w:rPr>
            </w:r>
            <w:r w:rsidRPr="00E337E9">
              <w:rPr>
                <w:webHidden/>
                <w:sz w:val="20"/>
                <w:szCs w:val="20"/>
              </w:rPr>
              <w:fldChar w:fldCharType="separate"/>
            </w:r>
            <w:r w:rsidRPr="00E337E9">
              <w:rPr>
                <w:webHidden/>
                <w:sz w:val="20"/>
                <w:szCs w:val="20"/>
              </w:rPr>
              <w:t>9</w:t>
            </w:r>
            <w:r w:rsidRPr="00E337E9">
              <w:rPr>
                <w:webHidden/>
                <w:sz w:val="20"/>
                <w:szCs w:val="20"/>
              </w:rPr>
              <w:fldChar w:fldCharType="end"/>
            </w:r>
          </w:hyperlink>
        </w:p>
        <w:p w14:paraId="629E1E49" w14:textId="77777777" w:rsidR="008864E4" w:rsidRPr="00E337E9" w:rsidRDefault="008864E4" w:rsidP="008864E4">
          <w:pPr>
            <w:pStyle w:val="TOC3"/>
            <w:tabs>
              <w:tab w:val="left" w:pos="960"/>
              <w:tab w:val="right" w:leader="dot" w:pos="9016"/>
            </w:tabs>
            <w:rPr>
              <w:rFonts w:eastAsiaTheme="minorEastAsia"/>
              <w:sz w:val="20"/>
              <w:szCs w:val="20"/>
              <w:lang w:val="ro-RO" w:eastAsia="ro-RO"/>
            </w:rPr>
          </w:pPr>
          <w:hyperlink w:anchor="_Toc191503475" w:history="1">
            <w:r w:rsidRPr="00E337E9">
              <w:rPr>
                <w:rStyle w:val="Hyperlink"/>
                <w:rFonts w:ascii="Symbol" w:hAnsi="Symbol" w:cs="Times New Roman"/>
                <w:sz w:val="20"/>
                <w:szCs w:val="20"/>
              </w:rPr>
              <w:t></w:t>
            </w:r>
            <w:r w:rsidRPr="00E337E9">
              <w:rPr>
                <w:rFonts w:eastAsiaTheme="minorEastAsia"/>
                <w:sz w:val="20"/>
                <w:szCs w:val="20"/>
                <w:lang w:val="ro-RO" w:eastAsia="ro-RO"/>
              </w:rPr>
              <w:tab/>
            </w:r>
            <w:r w:rsidRPr="00E337E9">
              <w:rPr>
                <w:rStyle w:val="Hyperlink"/>
                <w:rFonts w:ascii="Times New Roman" w:hAnsi="Times New Roman" w:cs="Times New Roman"/>
                <w:sz w:val="20"/>
                <w:szCs w:val="20"/>
              </w:rPr>
              <w:t>Physical Evidence</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_Toc191503475 \h </w:instrText>
            </w:r>
            <w:r w:rsidRPr="00E337E9">
              <w:rPr>
                <w:webHidden/>
                <w:sz w:val="20"/>
                <w:szCs w:val="20"/>
              </w:rPr>
            </w:r>
            <w:r w:rsidRPr="00E337E9">
              <w:rPr>
                <w:webHidden/>
                <w:sz w:val="20"/>
                <w:szCs w:val="20"/>
              </w:rPr>
              <w:fldChar w:fldCharType="separate"/>
            </w:r>
            <w:r w:rsidRPr="00E337E9">
              <w:rPr>
                <w:webHidden/>
                <w:sz w:val="20"/>
                <w:szCs w:val="20"/>
              </w:rPr>
              <w:t>9</w:t>
            </w:r>
            <w:r w:rsidRPr="00E337E9">
              <w:rPr>
                <w:webHidden/>
                <w:sz w:val="20"/>
                <w:szCs w:val="20"/>
              </w:rPr>
              <w:fldChar w:fldCharType="end"/>
            </w:r>
          </w:hyperlink>
        </w:p>
        <w:p w14:paraId="66FCC230"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76" w:history="1">
            <w:r w:rsidRPr="00E337E9">
              <w:rPr>
                <w:rStyle w:val="Hyperlink"/>
                <w:rFonts w:ascii="Times New Roman" w:hAnsi="Times New Roman" w:cs="Times New Roman"/>
                <w:sz w:val="20"/>
                <w:szCs w:val="20"/>
              </w:rPr>
              <w:t>Operations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_Toc191503476 \h </w:instrText>
            </w:r>
            <w:r w:rsidRPr="00E337E9">
              <w:rPr>
                <w:webHidden/>
                <w:sz w:val="20"/>
                <w:szCs w:val="20"/>
              </w:rPr>
            </w:r>
            <w:r w:rsidRPr="00E337E9">
              <w:rPr>
                <w:webHidden/>
                <w:sz w:val="20"/>
                <w:szCs w:val="20"/>
              </w:rPr>
              <w:fldChar w:fldCharType="separate"/>
            </w:r>
            <w:r w:rsidRPr="00E337E9">
              <w:rPr>
                <w:webHidden/>
                <w:sz w:val="20"/>
                <w:szCs w:val="20"/>
              </w:rPr>
              <w:t>9</w:t>
            </w:r>
            <w:r w:rsidRPr="00E337E9">
              <w:rPr>
                <w:webHidden/>
                <w:sz w:val="20"/>
                <w:szCs w:val="20"/>
              </w:rPr>
              <w:fldChar w:fldCharType="end"/>
            </w:r>
          </w:hyperlink>
        </w:p>
        <w:p w14:paraId="09B2AC51"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77" w:history="1">
            <w:r w:rsidRPr="00E337E9">
              <w:rPr>
                <w:rStyle w:val="Hyperlink"/>
                <w:rFonts w:ascii="Times New Roman" w:hAnsi="Times New Roman" w:cs="Times New Roman"/>
                <w:sz w:val="20"/>
                <w:szCs w:val="20"/>
              </w:rPr>
              <w:t>Risk Management</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_Toc191503477 \h </w:instrText>
            </w:r>
            <w:r w:rsidRPr="00E337E9">
              <w:rPr>
                <w:webHidden/>
                <w:sz w:val="20"/>
                <w:szCs w:val="20"/>
              </w:rPr>
            </w:r>
            <w:r w:rsidRPr="00E337E9">
              <w:rPr>
                <w:webHidden/>
                <w:sz w:val="20"/>
                <w:szCs w:val="20"/>
              </w:rPr>
              <w:fldChar w:fldCharType="separate"/>
            </w:r>
            <w:r w:rsidRPr="00E337E9">
              <w:rPr>
                <w:webHidden/>
                <w:sz w:val="20"/>
                <w:szCs w:val="20"/>
              </w:rPr>
              <w:t>10</w:t>
            </w:r>
            <w:r w:rsidRPr="00E337E9">
              <w:rPr>
                <w:webHidden/>
                <w:sz w:val="20"/>
                <w:szCs w:val="20"/>
              </w:rPr>
              <w:fldChar w:fldCharType="end"/>
            </w:r>
          </w:hyperlink>
        </w:p>
        <w:p w14:paraId="26896317"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78" w:history="1">
            <w:r w:rsidRPr="00E337E9">
              <w:rPr>
                <w:rStyle w:val="Hyperlink"/>
                <w:rFonts w:ascii="Times New Roman" w:hAnsi="Times New Roman" w:cs="Times New Roman"/>
                <w:sz w:val="20"/>
                <w:szCs w:val="20"/>
              </w:rPr>
              <w:t>Evaluation</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_Toc191503478 \h </w:instrText>
            </w:r>
            <w:r w:rsidRPr="00E337E9">
              <w:rPr>
                <w:webHidden/>
                <w:sz w:val="20"/>
                <w:szCs w:val="20"/>
              </w:rPr>
            </w:r>
            <w:r w:rsidRPr="00E337E9">
              <w:rPr>
                <w:webHidden/>
                <w:sz w:val="20"/>
                <w:szCs w:val="20"/>
              </w:rPr>
              <w:fldChar w:fldCharType="separate"/>
            </w:r>
            <w:r w:rsidRPr="00E337E9">
              <w:rPr>
                <w:webHidden/>
                <w:sz w:val="20"/>
                <w:szCs w:val="20"/>
              </w:rPr>
              <w:t>10</w:t>
            </w:r>
            <w:r w:rsidRPr="00E337E9">
              <w:rPr>
                <w:webHidden/>
                <w:sz w:val="20"/>
                <w:szCs w:val="20"/>
              </w:rPr>
              <w:fldChar w:fldCharType="end"/>
            </w:r>
          </w:hyperlink>
        </w:p>
        <w:p w14:paraId="7FAB1DA7" w14:textId="1E5E4901" w:rsidR="008864E4" w:rsidRPr="00E337E9" w:rsidRDefault="008864E4" w:rsidP="008864E4">
          <w:pPr>
            <w:pStyle w:val="TOC1"/>
            <w:tabs>
              <w:tab w:val="right" w:leader="dot" w:pos="9016"/>
            </w:tabs>
            <w:rPr>
              <w:rFonts w:eastAsiaTheme="minorEastAsia"/>
              <w:sz w:val="20"/>
              <w:szCs w:val="20"/>
              <w:lang w:val="ro-RO" w:eastAsia="ro-RO"/>
            </w:rPr>
          </w:pPr>
          <w:hyperlink w:anchor="_Toc191503479" w:history="1">
            <w:r w:rsidRPr="00E337E9">
              <w:rPr>
                <w:rStyle w:val="Hyperlink"/>
                <w:rFonts w:ascii="Times New Roman" w:hAnsi="Times New Roman" w:cs="Times New Roman"/>
                <w:sz w:val="20"/>
                <w:szCs w:val="20"/>
              </w:rPr>
              <w:t>EVENT B</w:t>
            </w:r>
            <w:r w:rsidR="00CC35F6">
              <w:rPr>
                <w:rStyle w:val="Hyperlink"/>
                <w:rFonts w:ascii="Times New Roman" w:hAnsi="Times New Roman" w:cs="Times New Roman"/>
                <w:sz w:val="20"/>
                <w:szCs w:val="20"/>
              </w:rPr>
              <w:t>UD</w:t>
            </w:r>
            <w:r w:rsidRPr="00E337E9">
              <w:rPr>
                <w:rStyle w:val="Hyperlink"/>
                <w:rFonts w:ascii="Times New Roman" w:hAnsi="Times New Roman" w:cs="Times New Roman"/>
                <w:sz w:val="20"/>
                <w:szCs w:val="20"/>
              </w:rPr>
              <w:t>GET</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_Toc191503479 \h </w:instrText>
            </w:r>
            <w:r w:rsidRPr="00E337E9">
              <w:rPr>
                <w:webHidden/>
                <w:sz w:val="20"/>
                <w:szCs w:val="20"/>
              </w:rPr>
            </w:r>
            <w:r w:rsidRPr="00E337E9">
              <w:rPr>
                <w:webHidden/>
                <w:sz w:val="20"/>
                <w:szCs w:val="20"/>
              </w:rPr>
              <w:fldChar w:fldCharType="separate"/>
            </w:r>
            <w:r w:rsidRPr="00E337E9">
              <w:rPr>
                <w:webHidden/>
                <w:sz w:val="20"/>
                <w:szCs w:val="20"/>
              </w:rPr>
              <w:t>10</w:t>
            </w:r>
            <w:r w:rsidRPr="00E337E9">
              <w:rPr>
                <w:webHidden/>
                <w:sz w:val="20"/>
                <w:szCs w:val="20"/>
              </w:rPr>
              <w:fldChar w:fldCharType="end"/>
            </w:r>
          </w:hyperlink>
        </w:p>
        <w:p w14:paraId="629D87A0"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80" w:history="1">
            <w:r w:rsidRPr="00E337E9">
              <w:rPr>
                <w:rStyle w:val="Hyperlink"/>
                <w:rFonts w:ascii="Times New Roman" w:hAnsi="Times New Roman" w:cs="Times New Roman"/>
                <w:sz w:val="20"/>
                <w:szCs w:val="20"/>
                <w:lang w:val="ro-RO"/>
              </w:rPr>
              <w:t>Revenue Sources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_Toc191503480 \h </w:instrText>
            </w:r>
            <w:r w:rsidRPr="00E337E9">
              <w:rPr>
                <w:webHidden/>
                <w:sz w:val="20"/>
                <w:szCs w:val="20"/>
              </w:rPr>
            </w:r>
            <w:r w:rsidRPr="00E337E9">
              <w:rPr>
                <w:webHidden/>
                <w:sz w:val="20"/>
                <w:szCs w:val="20"/>
              </w:rPr>
              <w:fldChar w:fldCharType="separate"/>
            </w:r>
            <w:r w:rsidRPr="00E337E9">
              <w:rPr>
                <w:webHidden/>
                <w:sz w:val="20"/>
                <w:szCs w:val="20"/>
              </w:rPr>
              <w:t>11</w:t>
            </w:r>
            <w:r w:rsidRPr="00E337E9">
              <w:rPr>
                <w:webHidden/>
                <w:sz w:val="20"/>
                <w:szCs w:val="20"/>
              </w:rPr>
              <w:fldChar w:fldCharType="end"/>
            </w:r>
          </w:hyperlink>
        </w:p>
        <w:p w14:paraId="5068FDFC"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81" w:history="1">
            <w:r w:rsidRPr="00E337E9">
              <w:rPr>
                <w:rStyle w:val="Hyperlink"/>
                <w:rFonts w:ascii="Times New Roman" w:hAnsi="Times New Roman" w:cs="Times New Roman"/>
                <w:sz w:val="20"/>
                <w:szCs w:val="20"/>
                <w:lang w:val="ro-RO"/>
              </w:rPr>
              <w:t>Estimated Costs: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_Toc191503481 \h </w:instrText>
            </w:r>
            <w:r w:rsidRPr="00E337E9">
              <w:rPr>
                <w:webHidden/>
                <w:sz w:val="20"/>
                <w:szCs w:val="20"/>
              </w:rPr>
            </w:r>
            <w:r w:rsidRPr="00E337E9">
              <w:rPr>
                <w:webHidden/>
                <w:sz w:val="20"/>
                <w:szCs w:val="20"/>
              </w:rPr>
              <w:fldChar w:fldCharType="separate"/>
            </w:r>
            <w:r w:rsidRPr="00E337E9">
              <w:rPr>
                <w:webHidden/>
                <w:sz w:val="20"/>
                <w:szCs w:val="20"/>
              </w:rPr>
              <w:t>11</w:t>
            </w:r>
            <w:r w:rsidRPr="00E337E9">
              <w:rPr>
                <w:webHidden/>
                <w:sz w:val="20"/>
                <w:szCs w:val="20"/>
              </w:rPr>
              <w:fldChar w:fldCharType="end"/>
            </w:r>
          </w:hyperlink>
        </w:p>
        <w:p w14:paraId="66E485DC"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82" w:history="1">
            <w:r w:rsidRPr="00E337E9">
              <w:rPr>
                <w:rStyle w:val="Hyperlink"/>
                <w:rFonts w:ascii="Times New Roman" w:hAnsi="Times New Roman" w:cs="Times New Roman"/>
                <w:sz w:val="20"/>
                <w:szCs w:val="20"/>
                <w:lang w:val="ro-RO"/>
              </w:rPr>
              <w:t>INDUSTRY TRENDS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_Toc191503482 \h </w:instrText>
            </w:r>
            <w:r w:rsidRPr="00E337E9">
              <w:rPr>
                <w:webHidden/>
                <w:sz w:val="20"/>
                <w:szCs w:val="20"/>
              </w:rPr>
            </w:r>
            <w:r w:rsidRPr="00E337E9">
              <w:rPr>
                <w:webHidden/>
                <w:sz w:val="20"/>
                <w:szCs w:val="20"/>
              </w:rPr>
              <w:fldChar w:fldCharType="separate"/>
            </w:r>
            <w:r w:rsidRPr="00E337E9">
              <w:rPr>
                <w:webHidden/>
                <w:sz w:val="20"/>
                <w:szCs w:val="20"/>
              </w:rPr>
              <w:t>12</w:t>
            </w:r>
            <w:r w:rsidRPr="00E337E9">
              <w:rPr>
                <w:webHidden/>
                <w:sz w:val="20"/>
                <w:szCs w:val="20"/>
              </w:rPr>
              <w:fldChar w:fldCharType="end"/>
            </w:r>
          </w:hyperlink>
        </w:p>
        <w:p w14:paraId="67F0368A"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83" w:history="1">
            <w:r w:rsidRPr="00E337E9">
              <w:rPr>
                <w:rStyle w:val="Hyperlink"/>
                <w:rFonts w:ascii="Times New Roman" w:hAnsi="Times New Roman" w:cs="Times New Roman"/>
                <w:sz w:val="20"/>
                <w:szCs w:val="20"/>
              </w:rPr>
              <w:t>Technological Advancements in MICE Events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_Toc191503483 \h </w:instrText>
            </w:r>
            <w:r w:rsidRPr="00E337E9">
              <w:rPr>
                <w:webHidden/>
                <w:sz w:val="20"/>
                <w:szCs w:val="20"/>
              </w:rPr>
            </w:r>
            <w:r w:rsidRPr="00E337E9">
              <w:rPr>
                <w:webHidden/>
                <w:sz w:val="20"/>
                <w:szCs w:val="20"/>
              </w:rPr>
              <w:fldChar w:fldCharType="separate"/>
            </w:r>
            <w:r w:rsidRPr="00E337E9">
              <w:rPr>
                <w:webHidden/>
                <w:sz w:val="20"/>
                <w:szCs w:val="20"/>
              </w:rPr>
              <w:t>12</w:t>
            </w:r>
            <w:r w:rsidRPr="00E337E9">
              <w:rPr>
                <w:webHidden/>
                <w:sz w:val="20"/>
                <w:szCs w:val="20"/>
              </w:rPr>
              <w:fldChar w:fldCharType="end"/>
            </w:r>
          </w:hyperlink>
        </w:p>
        <w:p w14:paraId="05694260" w14:textId="77777777" w:rsidR="008864E4" w:rsidRPr="00E337E9" w:rsidRDefault="008864E4" w:rsidP="008864E4">
          <w:pPr>
            <w:pStyle w:val="TOC2"/>
            <w:tabs>
              <w:tab w:val="right" w:leader="dot" w:pos="9016"/>
            </w:tabs>
            <w:rPr>
              <w:rFonts w:eastAsiaTheme="minorEastAsia"/>
              <w:sz w:val="20"/>
              <w:szCs w:val="20"/>
              <w:lang w:val="ro-RO" w:eastAsia="ro-RO"/>
            </w:rPr>
          </w:pPr>
          <w:hyperlink w:anchor="_Toc191503484" w:history="1">
            <w:r w:rsidRPr="00E337E9">
              <w:rPr>
                <w:rStyle w:val="Hyperlink"/>
                <w:rFonts w:ascii="Times New Roman" w:hAnsi="Times New Roman" w:cs="Times New Roman"/>
                <w:sz w:val="20"/>
                <w:szCs w:val="20"/>
              </w:rPr>
              <w:t>Competition and the Need for Innovation</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_Toc191503484 \h </w:instrText>
            </w:r>
            <w:r w:rsidRPr="00E337E9">
              <w:rPr>
                <w:webHidden/>
                <w:sz w:val="20"/>
                <w:szCs w:val="20"/>
              </w:rPr>
            </w:r>
            <w:r w:rsidRPr="00E337E9">
              <w:rPr>
                <w:webHidden/>
                <w:sz w:val="20"/>
                <w:szCs w:val="20"/>
              </w:rPr>
              <w:fldChar w:fldCharType="separate"/>
            </w:r>
            <w:r w:rsidRPr="00E337E9">
              <w:rPr>
                <w:webHidden/>
                <w:sz w:val="20"/>
                <w:szCs w:val="20"/>
              </w:rPr>
              <w:t>12</w:t>
            </w:r>
            <w:r w:rsidRPr="00E337E9">
              <w:rPr>
                <w:webHidden/>
                <w:sz w:val="20"/>
                <w:szCs w:val="20"/>
              </w:rPr>
              <w:fldChar w:fldCharType="end"/>
            </w:r>
          </w:hyperlink>
        </w:p>
        <w:p w14:paraId="3224021E"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85" w:history="1">
            <w:r w:rsidRPr="00E337E9">
              <w:rPr>
                <w:rStyle w:val="Hyperlink"/>
                <w:rFonts w:ascii="Times New Roman" w:hAnsi="Times New Roman" w:cs="Times New Roman"/>
                <w:sz w:val="20"/>
                <w:szCs w:val="20"/>
              </w:rPr>
              <w:t>CONCLUSION</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_Toc191503485 \h </w:instrText>
            </w:r>
            <w:r w:rsidRPr="00E337E9">
              <w:rPr>
                <w:webHidden/>
                <w:sz w:val="20"/>
                <w:szCs w:val="20"/>
              </w:rPr>
            </w:r>
            <w:r w:rsidRPr="00E337E9">
              <w:rPr>
                <w:webHidden/>
                <w:sz w:val="20"/>
                <w:szCs w:val="20"/>
              </w:rPr>
              <w:fldChar w:fldCharType="separate"/>
            </w:r>
            <w:r w:rsidRPr="00E337E9">
              <w:rPr>
                <w:webHidden/>
                <w:sz w:val="20"/>
                <w:szCs w:val="20"/>
              </w:rPr>
              <w:t>13</w:t>
            </w:r>
            <w:r w:rsidRPr="00E337E9">
              <w:rPr>
                <w:webHidden/>
                <w:sz w:val="20"/>
                <w:szCs w:val="20"/>
              </w:rPr>
              <w:fldChar w:fldCharType="end"/>
            </w:r>
          </w:hyperlink>
        </w:p>
        <w:p w14:paraId="2A71F6F1"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86" w:history="1">
            <w:r w:rsidRPr="00E337E9">
              <w:rPr>
                <w:rStyle w:val="Hyperlink"/>
                <w:rFonts w:ascii="Times New Roman" w:hAnsi="Times New Roman" w:cs="Times New Roman"/>
                <w:sz w:val="20"/>
                <w:szCs w:val="20"/>
              </w:rPr>
              <w:t>REFERENCE LIST</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_Toc191503486 \h </w:instrText>
            </w:r>
            <w:r w:rsidRPr="00E337E9">
              <w:rPr>
                <w:webHidden/>
                <w:sz w:val="20"/>
                <w:szCs w:val="20"/>
              </w:rPr>
            </w:r>
            <w:r w:rsidRPr="00E337E9">
              <w:rPr>
                <w:webHidden/>
                <w:sz w:val="20"/>
                <w:szCs w:val="20"/>
              </w:rPr>
              <w:fldChar w:fldCharType="separate"/>
            </w:r>
            <w:r w:rsidRPr="00E337E9">
              <w:rPr>
                <w:webHidden/>
                <w:sz w:val="20"/>
                <w:szCs w:val="20"/>
              </w:rPr>
              <w:t>14</w:t>
            </w:r>
            <w:r w:rsidRPr="00E337E9">
              <w:rPr>
                <w:webHidden/>
                <w:sz w:val="20"/>
                <w:szCs w:val="20"/>
              </w:rPr>
              <w:fldChar w:fldCharType="end"/>
            </w:r>
          </w:hyperlink>
        </w:p>
        <w:p w14:paraId="711B3E4F" w14:textId="77777777" w:rsidR="008864E4" w:rsidRPr="00E337E9" w:rsidRDefault="008864E4" w:rsidP="008864E4">
          <w:pPr>
            <w:pStyle w:val="TOC1"/>
            <w:tabs>
              <w:tab w:val="right" w:leader="dot" w:pos="9016"/>
            </w:tabs>
            <w:rPr>
              <w:rFonts w:eastAsiaTheme="minorEastAsia"/>
              <w:sz w:val="20"/>
              <w:szCs w:val="20"/>
              <w:lang w:val="ro-RO" w:eastAsia="ro-RO"/>
            </w:rPr>
          </w:pPr>
          <w:hyperlink w:anchor="_Toc191503487" w:history="1">
            <w:r w:rsidRPr="00E337E9">
              <w:rPr>
                <w:rStyle w:val="Hyperlink"/>
                <w:rFonts w:ascii="Times New Roman" w:hAnsi="Times New Roman" w:cs="Times New Roman"/>
                <w:sz w:val="20"/>
                <w:szCs w:val="20"/>
                <w:lang w:val="ro-RO"/>
              </w:rPr>
              <w:t>APPENDICES</w:t>
            </w:r>
            <w:r w:rsidRPr="00E337E9">
              <w:rPr>
                <w:webHidden/>
                <w:sz w:val="20"/>
                <w:szCs w:val="20"/>
              </w:rPr>
              <w:tab/>
            </w:r>
            <w:r w:rsidRPr="00E337E9">
              <w:rPr>
                <w:webHidden/>
                <w:sz w:val="20"/>
                <w:szCs w:val="20"/>
              </w:rPr>
              <w:fldChar w:fldCharType="begin"/>
            </w:r>
            <w:r w:rsidRPr="00E337E9">
              <w:rPr>
                <w:webHidden/>
                <w:sz w:val="20"/>
                <w:szCs w:val="20"/>
              </w:rPr>
              <w:instrText xml:space="preserve"> PAGEREF _Toc191503487 \h </w:instrText>
            </w:r>
            <w:r w:rsidRPr="00E337E9">
              <w:rPr>
                <w:webHidden/>
                <w:sz w:val="20"/>
                <w:szCs w:val="20"/>
              </w:rPr>
            </w:r>
            <w:r w:rsidRPr="00E337E9">
              <w:rPr>
                <w:webHidden/>
                <w:sz w:val="20"/>
                <w:szCs w:val="20"/>
              </w:rPr>
              <w:fldChar w:fldCharType="separate"/>
            </w:r>
            <w:r w:rsidRPr="00E337E9">
              <w:rPr>
                <w:webHidden/>
                <w:sz w:val="20"/>
                <w:szCs w:val="20"/>
              </w:rPr>
              <w:t>19</w:t>
            </w:r>
            <w:r w:rsidRPr="00E337E9">
              <w:rPr>
                <w:webHidden/>
                <w:sz w:val="20"/>
                <w:szCs w:val="20"/>
              </w:rPr>
              <w:fldChar w:fldCharType="end"/>
            </w:r>
          </w:hyperlink>
        </w:p>
        <w:p w14:paraId="3D3256D5" w14:textId="77777777" w:rsidR="008864E4" w:rsidRDefault="008864E4" w:rsidP="008864E4">
          <w:r w:rsidRPr="00E337E9">
            <w:rPr>
              <w:b/>
              <w:bCs/>
              <w:sz w:val="20"/>
              <w:szCs w:val="20"/>
            </w:rPr>
            <w:fldChar w:fldCharType="end"/>
          </w:r>
        </w:p>
      </w:sdtContent>
    </w:sdt>
    <w:p w14:paraId="4F3A0637" w14:textId="77777777" w:rsidR="008864E4" w:rsidRPr="00731754" w:rsidRDefault="008864E4" w:rsidP="008864E4">
      <w:pPr>
        <w:pStyle w:val="Heading1"/>
        <w:rPr>
          <w:rFonts w:ascii="Times New Roman" w:hAnsi="Times New Roman" w:cs="Times New Roman"/>
          <w:sz w:val="24"/>
          <w:szCs w:val="24"/>
        </w:rPr>
      </w:pPr>
      <w:bookmarkStart w:id="0" w:name="_Toc191503452"/>
      <w:r w:rsidRPr="00731754">
        <w:rPr>
          <w:rFonts w:ascii="Times New Roman" w:hAnsi="Times New Roman" w:cs="Times New Roman"/>
          <w:sz w:val="24"/>
          <w:szCs w:val="24"/>
          <w:lang w:val="ro-RO"/>
        </w:rPr>
        <w:lastRenderedPageBreak/>
        <w:t>EXECUTIVE SUMMARY</w:t>
      </w:r>
      <w:bookmarkEnd w:id="0"/>
    </w:p>
    <w:p w14:paraId="000D47D9" w14:textId="77777777" w:rsidR="008864E4" w:rsidRPr="00D85C29" w:rsidRDefault="008864E4" w:rsidP="008864E4">
      <w:pPr>
        <w:spacing w:line="360" w:lineRule="auto"/>
        <w:jc w:val="both"/>
        <w:rPr>
          <w:rFonts w:ascii="Times New Roman" w:hAnsi="Times New Roman"/>
          <w:sz w:val="24"/>
          <w:szCs w:val="24"/>
          <w:lang w:val="ro-RO"/>
        </w:rPr>
      </w:pPr>
      <w:r w:rsidRPr="00D85C29">
        <w:rPr>
          <w:rFonts w:ascii="Times New Roman" w:hAnsi="Times New Roman"/>
          <w:sz w:val="24"/>
          <w:szCs w:val="24"/>
          <w:lang w:val="ro-RO"/>
        </w:rPr>
        <w:t>The "All About Inclusion – Breaking Barriers in Hospitality" event addresses the employment challenges faced by disabled individuals in the UK hospitality industry. Despite the Equality Act 2010, the employment rate for disabled individuals remains significantly lower than for non-disabled individuals, with systemic barriers persisting (UK Government, 2024). The event aims to create tangible employment opportunities and promote workplace diversity through a MICE (Meetings, Incentives, Conferences, and Exhibitions) format.</w:t>
      </w:r>
    </w:p>
    <w:p w14:paraId="1889F779" w14:textId="77777777" w:rsidR="008864E4" w:rsidRPr="00D85C29" w:rsidRDefault="008864E4" w:rsidP="008864E4">
      <w:pPr>
        <w:spacing w:line="360" w:lineRule="auto"/>
        <w:jc w:val="both"/>
        <w:rPr>
          <w:rFonts w:ascii="Times New Roman" w:hAnsi="Times New Roman"/>
          <w:sz w:val="24"/>
          <w:szCs w:val="24"/>
          <w:lang w:val="ro-RO"/>
        </w:rPr>
      </w:pPr>
      <w:r w:rsidRPr="00D85C29">
        <w:rPr>
          <w:rFonts w:ascii="Times New Roman" w:hAnsi="Times New Roman"/>
          <w:sz w:val="24"/>
          <w:szCs w:val="24"/>
          <w:lang w:val="ro-RO"/>
        </w:rPr>
        <w:t>Held at ExCeL London on December 3rd, coinciding with the International Day of Persons with Disabilities, the event includes keynote conferences, a job fair, and experiential disability simulations. Industry leaders, NGOs, and businesses will collaborate to raise awareness, foster networking, and secure employment pledges. The event also aims to raise £10,000 for Scope UK, a major disability support organization.</w:t>
      </w:r>
    </w:p>
    <w:p w14:paraId="7FE793CD" w14:textId="77777777" w:rsidR="008864E4" w:rsidRPr="00D85C29" w:rsidRDefault="008864E4" w:rsidP="008864E4">
      <w:pPr>
        <w:spacing w:line="360" w:lineRule="auto"/>
        <w:jc w:val="both"/>
        <w:rPr>
          <w:rFonts w:ascii="Times New Roman" w:hAnsi="Times New Roman"/>
          <w:sz w:val="24"/>
          <w:szCs w:val="24"/>
          <w:lang w:val="ro-RO"/>
        </w:rPr>
      </w:pPr>
      <w:r w:rsidRPr="00D85C29">
        <w:rPr>
          <w:rFonts w:ascii="Times New Roman" w:hAnsi="Times New Roman"/>
          <w:sz w:val="24"/>
          <w:szCs w:val="24"/>
          <w:lang w:val="ro-RO"/>
        </w:rPr>
        <w:t>A structured event cycle ensures effective planning, implementation, and evaluation (Getz &amp; Page, 2024). The SWOT and PEST</w:t>
      </w:r>
      <w:r w:rsidRPr="00731754">
        <w:rPr>
          <w:rFonts w:ascii="Times New Roman" w:hAnsi="Times New Roman"/>
          <w:sz w:val="24"/>
          <w:szCs w:val="24"/>
          <w:lang w:val="ro-RO"/>
        </w:rPr>
        <w:t>EL</w:t>
      </w:r>
      <w:r w:rsidRPr="00D85C29">
        <w:rPr>
          <w:rFonts w:ascii="Times New Roman" w:hAnsi="Times New Roman"/>
          <w:sz w:val="24"/>
          <w:szCs w:val="24"/>
          <w:lang w:val="ro-RO"/>
        </w:rPr>
        <w:t xml:space="preserve"> analyses in the Appendices highlight key opportunities, risks, and external influences affecting the event. By leveraging CSR-driven sponsorships, strategic marketing, and innovative accessibility technologies, this initiative contributes to long-term inclusive employment practices in the hospitality sector.</w:t>
      </w:r>
    </w:p>
    <w:p w14:paraId="721E2BD4" w14:textId="77777777" w:rsidR="008864E4" w:rsidRPr="00731754" w:rsidRDefault="008864E4" w:rsidP="008864E4">
      <w:pPr>
        <w:spacing w:line="360" w:lineRule="auto"/>
        <w:jc w:val="both"/>
        <w:rPr>
          <w:rFonts w:ascii="Times New Roman" w:hAnsi="Times New Roman"/>
          <w:sz w:val="24"/>
          <w:szCs w:val="24"/>
        </w:rPr>
      </w:pPr>
    </w:p>
    <w:p w14:paraId="0A8464AC" w14:textId="77777777" w:rsidR="008864E4" w:rsidRPr="00731754" w:rsidRDefault="008864E4" w:rsidP="008864E4">
      <w:pPr>
        <w:spacing w:line="360" w:lineRule="auto"/>
        <w:jc w:val="both"/>
        <w:rPr>
          <w:rFonts w:ascii="Times New Roman" w:hAnsi="Times New Roman"/>
          <w:sz w:val="24"/>
          <w:szCs w:val="24"/>
        </w:rPr>
      </w:pPr>
    </w:p>
    <w:p w14:paraId="1416C951" w14:textId="77777777" w:rsidR="008864E4" w:rsidRPr="00731754" w:rsidRDefault="008864E4" w:rsidP="008864E4">
      <w:pPr>
        <w:spacing w:line="360" w:lineRule="auto"/>
        <w:jc w:val="both"/>
        <w:rPr>
          <w:rFonts w:ascii="Times New Roman" w:hAnsi="Times New Roman"/>
          <w:sz w:val="24"/>
          <w:szCs w:val="24"/>
        </w:rPr>
      </w:pPr>
    </w:p>
    <w:p w14:paraId="4935F00F" w14:textId="77777777" w:rsidR="008864E4" w:rsidRPr="00731754" w:rsidRDefault="008864E4" w:rsidP="008864E4">
      <w:pPr>
        <w:spacing w:line="360" w:lineRule="auto"/>
        <w:jc w:val="both"/>
        <w:rPr>
          <w:rFonts w:ascii="Times New Roman" w:hAnsi="Times New Roman"/>
          <w:sz w:val="24"/>
          <w:szCs w:val="24"/>
        </w:rPr>
      </w:pPr>
    </w:p>
    <w:p w14:paraId="35473BCD" w14:textId="77777777" w:rsidR="008864E4" w:rsidRPr="00731754" w:rsidRDefault="008864E4" w:rsidP="008864E4">
      <w:pPr>
        <w:spacing w:line="360" w:lineRule="auto"/>
        <w:jc w:val="both"/>
        <w:rPr>
          <w:rFonts w:ascii="Times New Roman" w:hAnsi="Times New Roman"/>
          <w:sz w:val="24"/>
          <w:szCs w:val="24"/>
        </w:rPr>
      </w:pPr>
    </w:p>
    <w:p w14:paraId="08CE04D6" w14:textId="77777777" w:rsidR="008864E4" w:rsidRPr="00731754" w:rsidRDefault="008864E4" w:rsidP="008864E4">
      <w:pPr>
        <w:spacing w:line="360" w:lineRule="auto"/>
        <w:jc w:val="both"/>
        <w:rPr>
          <w:rFonts w:ascii="Times New Roman" w:hAnsi="Times New Roman"/>
          <w:sz w:val="24"/>
          <w:szCs w:val="24"/>
        </w:rPr>
      </w:pPr>
    </w:p>
    <w:p w14:paraId="629C45A7" w14:textId="77777777" w:rsidR="008864E4" w:rsidRPr="00731754" w:rsidRDefault="008864E4" w:rsidP="008864E4">
      <w:pPr>
        <w:spacing w:line="360" w:lineRule="auto"/>
        <w:jc w:val="both"/>
        <w:rPr>
          <w:rFonts w:ascii="Times New Roman" w:hAnsi="Times New Roman"/>
          <w:sz w:val="24"/>
          <w:szCs w:val="24"/>
        </w:rPr>
      </w:pPr>
    </w:p>
    <w:p w14:paraId="2029158D" w14:textId="77777777" w:rsidR="008864E4" w:rsidRPr="00731754" w:rsidRDefault="008864E4" w:rsidP="008864E4">
      <w:pPr>
        <w:spacing w:line="360" w:lineRule="auto"/>
        <w:jc w:val="both"/>
        <w:rPr>
          <w:rFonts w:ascii="Times New Roman" w:hAnsi="Times New Roman"/>
          <w:sz w:val="24"/>
          <w:szCs w:val="24"/>
        </w:rPr>
      </w:pPr>
    </w:p>
    <w:p w14:paraId="632C7BB1" w14:textId="77777777" w:rsidR="008864E4" w:rsidRDefault="008864E4" w:rsidP="008864E4">
      <w:pPr>
        <w:spacing w:line="360" w:lineRule="auto"/>
        <w:jc w:val="both"/>
        <w:rPr>
          <w:rFonts w:ascii="Times New Roman" w:hAnsi="Times New Roman"/>
          <w:sz w:val="24"/>
          <w:szCs w:val="24"/>
        </w:rPr>
      </w:pPr>
    </w:p>
    <w:p w14:paraId="3C921B5B" w14:textId="77777777" w:rsidR="008864E4" w:rsidRPr="00731754" w:rsidRDefault="008864E4" w:rsidP="008864E4">
      <w:pPr>
        <w:spacing w:line="360" w:lineRule="auto"/>
        <w:jc w:val="both"/>
        <w:rPr>
          <w:rFonts w:ascii="Times New Roman" w:hAnsi="Times New Roman"/>
          <w:sz w:val="24"/>
          <w:szCs w:val="24"/>
        </w:rPr>
      </w:pPr>
    </w:p>
    <w:p w14:paraId="4C3034AB" w14:textId="77777777" w:rsidR="008864E4" w:rsidRPr="00731754" w:rsidRDefault="008864E4" w:rsidP="008864E4">
      <w:pPr>
        <w:pStyle w:val="Heading1"/>
        <w:rPr>
          <w:rFonts w:ascii="Times New Roman" w:hAnsi="Times New Roman" w:cs="Times New Roman"/>
          <w:sz w:val="24"/>
          <w:szCs w:val="24"/>
        </w:rPr>
      </w:pPr>
      <w:bookmarkStart w:id="1" w:name="_Toc191503453"/>
      <w:r w:rsidRPr="00731754">
        <w:rPr>
          <w:rFonts w:ascii="Times New Roman" w:hAnsi="Times New Roman" w:cs="Times New Roman"/>
          <w:sz w:val="24"/>
          <w:szCs w:val="24"/>
        </w:rPr>
        <w:lastRenderedPageBreak/>
        <w:t>INTRODUCTION</w:t>
      </w:r>
      <w:bookmarkEnd w:id="1"/>
    </w:p>
    <w:p w14:paraId="70617051"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Globally, 15% of the population, over 1 billion people, live with a disability, yet their employment rates remain significantly lower than those without disabilities (Nagtegaal et al., 2023). In the UK, this gap persists, affecting both human rights and economic inclusion (Equality and Human Rights Commission, 2023). Unemployment increases the risk of poverty among disabled individuals, further marginalizing them (Nagtegaal et al., 2023).</w:t>
      </w:r>
    </w:p>
    <w:p w14:paraId="651EB85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Despite the Equality Act 2010, employment rates for disabled individuals remain low, as discrimination persists due to cultural biases and weak regulatory enforcement (UKHospitality, 2024; UK Government, 2024). Nobel laureate Elinor Ostrom argues that without social acceptance and strict enforcement, such regulations are often ineffective (Tong, 2022). Employer decisions are influenced by negative stereotypes about productivity and the perceived costs of workplace adjustments, limiting hiring opportunities (Nagtegaal et al., 2023).</w:t>
      </w:r>
    </w:p>
    <w:p w14:paraId="6693484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cost-of-living crisis has exacerbated these challenges, with many disabled individuals struggling financially and relying on food banks at higher rates than others (Butler, 2023). Even where anti-discrimination laws exist, they often lack enforcement mechanisms, allowing biases to persist (Hepple, 2011). Achieving real change requires education, awareness campaigns, and public pressure to shift workplace policies beyond legal formalities.</w:t>
      </w:r>
    </w:p>
    <w:p w14:paraId="3B49E2F4"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To address these issues, the "All About Inclusion – Breaking Barriers in Hospitality" event, categorized under MICE, aims to increase employment opportunities for disabled individuals while promoting workplace equity. Additionally, the event will raise funds for Scope, a leading NGO supporting disabled individuals (Scope, n.d.).</w:t>
      </w:r>
    </w:p>
    <w:p w14:paraId="1C9485D5"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Scheduled for December 3rd at ExCeL London, aligning with the International Day of Persons with Disabilities, the event will feature keynote conferences, a job fair, and experiential disability simulations to foster awareness and employer engagement. ExCeL London was chosen for its accessibility, infrastructure, and central location, ensuring an inclusive and impactful event (ExCeL London, n.d.). As one of the world’s most diverse cities, London offers an ideal platform to promote workplace diversity and inclusion.</w:t>
      </w:r>
    </w:p>
    <w:p w14:paraId="08DEF208"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The event directly responds to the demand for inclusive workplaces, enabling companies to adopt fairer hiring policies (Butler-Sims, 2024). Research confirms that diverse organizations attract top talent and improve overall employee satisfaction (Butler-Sims, 2024). In the UK, 14.6 million individuals (22% of the population) reported a disability in 2020-2021, yet the </w:t>
      </w:r>
      <w:r w:rsidRPr="00731754">
        <w:rPr>
          <w:rFonts w:ascii="Times New Roman" w:hAnsi="Times New Roman"/>
          <w:sz w:val="24"/>
          <w:szCs w:val="24"/>
          <w:lang w:val="ro-RO"/>
        </w:rPr>
        <w:lastRenderedPageBreak/>
        <w:t>employment rate for disabled individuals was 53.0% compared to 81.6% for non-disabled individuals (Evennett, 2022; UK Government, 2024).</w:t>
      </w:r>
    </w:p>
    <w:p w14:paraId="6BF7D27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By fostering real employment opportunities and encouraging inclusive policies, this event aims to contribute to meaningful institutional reforms in the hospitality sector (Higgins-Desbiolles, 2023).</w:t>
      </w:r>
    </w:p>
    <w:p w14:paraId="1D528DA8" w14:textId="77777777" w:rsidR="008864E4" w:rsidRPr="00731754" w:rsidRDefault="008864E4" w:rsidP="008864E4">
      <w:pPr>
        <w:pStyle w:val="Heading1"/>
        <w:rPr>
          <w:rFonts w:ascii="Times New Roman" w:hAnsi="Times New Roman" w:cs="Times New Roman"/>
          <w:sz w:val="24"/>
          <w:szCs w:val="24"/>
          <w:lang w:val="ro-RO"/>
        </w:rPr>
      </w:pPr>
      <w:bookmarkStart w:id="2" w:name="_Toc191503454"/>
      <w:r w:rsidRPr="00731754">
        <w:rPr>
          <w:rFonts w:ascii="Times New Roman" w:hAnsi="Times New Roman" w:cs="Times New Roman"/>
          <w:sz w:val="24"/>
          <w:szCs w:val="24"/>
          <w:lang w:val="ro-RO"/>
        </w:rPr>
        <w:t>THE EVENT CYCLE</w:t>
      </w:r>
      <w:bookmarkEnd w:id="2"/>
      <w:r w:rsidRPr="00731754">
        <w:rPr>
          <w:rFonts w:ascii="Times New Roman" w:hAnsi="Times New Roman" w:cs="Times New Roman"/>
          <w:sz w:val="24"/>
          <w:szCs w:val="24"/>
          <w:lang w:val="ro-RO"/>
        </w:rPr>
        <w:t xml:space="preserve"> </w:t>
      </w:r>
    </w:p>
    <w:p w14:paraId="031118E9"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event cycle is a structured framework in event management that ensures systematic organization, implementation, and evaluation. It consists of five key phases: Initiation, Planning, Implementation, Event, and Closure (Prisăcaru, 2020, pp. 9-10). Each phase plays a crucial role in the event’s success and must be managed according to industry best practices.</w:t>
      </w:r>
    </w:p>
    <w:p w14:paraId="41F562EF" w14:textId="77777777" w:rsidR="008864E4" w:rsidRPr="00731754" w:rsidRDefault="008864E4" w:rsidP="008864E4">
      <w:pPr>
        <w:pStyle w:val="Heading2"/>
        <w:rPr>
          <w:rFonts w:ascii="Times New Roman" w:hAnsi="Times New Roman" w:cs="Times New Roman"/>
          <w:sz w:val="24"/>
          <w:szCs w:val="24"/>
          <w:lang w:val="ro-RO"/>
        </w:rPr>
      </w:pPr>
      <w:bookmarkStart w:id="3" w:name="_Toc191503455"/>
      <w:r w:rsidRPr="00731754">
        <w:rPr>
          <w:rFonts w:ascii="Times New Roman" w:hAnsi="Times New Roman" w:cs="Times New Roman"/>
          <w:sz w:val="24"/>
          <w:szCs w:val="24"/>
          <w:lang w:val="ro-RO"/>
        </w:rPr>
        <w:t>Planning phase</w:t>
      </w:r>
      <w:bookmarkEnd w:id="3"/>
    </w:p>
    <w:p w14:paraId="7DE13ED1"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For "All About Inclusion – Breaking Barriers in Hospitality", the planning phase was essential for setting clear objectives, securing sponsorships, selecting an accessible venue, and managing logistics. This stage also involved risk assessment, budget management, and stakeholder coordination to ensure smooth execution. According to Getz (2024, pp. 221-242), planning forms the foundation of a well-structured event, optimizing resource allocation, fostering inclusion, and mitigating operational risks.</w:t>
      </w:r>
    </w:p>
    <w:p w14:paraId="4533E085" w14:textId="77777777" w:rsidR="008864E4" w:rsidRPr="00731754" w:rsidRDefault="008864E4" w:rsidP="008864E4">
      <w:pPr>
        <w:pStyle w:val="Heading2"/>
        <w:rPr>
          <w:rFonts w:ascii="Times New Roman" w:hAnsi="Times New Roman" w:cs="Times New Roman"/>
          <w:sz w:val="24"/>
          <w:szCs w:val="24"/>
          <w:lang w:val="ro-RO"/>
        </w:rPr>
      </w:pPr>
      <w:bookmarkStart w:id="4" w:name="_Toc191503456"/>
      <w:r w:rsidRPr="00731754">
        <w:rPr>
          <w:rFonts w:ascii="Times New Roman" w:hAnsi="Times New Roman" w:cs="Times New Roman"/>
          <w:sz w:val="24"/>
          <w:szCs w:val="24"/>
          <w:lang w:val="ro-RO"/>
        </w:rPr>
        <w:t>Implementation phase</w:t>
      </w:r>
      <w:bookmarkEnd w:id="4"/>
    </w:p>
    <w:p w14:paraId="72392D3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implementation phase focuses on executing all planned aspects, ensuring seamless delivery of scheduled activities, such as expert discussions, a job fair, and VR-based disability simulations. Effective coordination between teams, suppliers, and volunteers is vital (Getz &amp; Page, 2024, pp. 222-225). Additionally, flexibility in handling last-minute changes, such as schedule adjustments, is key to maintaining event quality (Getz &amp; Page, 2024, p. 221).</w:t>
      </w:r>
    </w:p>
    <w:p w14:paraId="1689CF69" w14:textId="77777777" w:rsidR="008864E4" w:rsidRPr="00731754" w:rsidRDefault="008864E4" w:rsidP="008864E4">
      <w:pPr>
        <w:pStyle w:val="Heading2"/>
        <w:rPr>
          <w:rFonts w:ascii="Times New Roman" w:hAnsi="Times New Roman" w:cs="Times New Roman"/>
          <w:sz w:val="24"/>
          <w:szCs w:val="24"/>
          <w:lang w:val="ro-RO"/>
        </w:rPr>
      </w:pPr>
      <w:bookmarkStart w:id="5" w:name="_Toc191503457"/>
      <w:r w:rsidRPr="00731754">
        <w:rPr>
          <w:rFonts w:ascii="Times New Roman" w:hAnsi="Times New Roman" w:cs="Times New Roman"/>
          <w:sz w:val="24"/>
          <w:szCs w:val="24"/>
          <w:lang w:val="ro-RO"/>
        </w:rPr>
        <w:t>Evaluation phase</w:t>
      </w:r>
      <w:bookmarkEnd w:id="5"/>
    </w:p>
    <w:p w14:paraId="3FE6BCF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Event evaluation is a fundamental component, providing insights for future improvements. It involves comparing initial planning with actual execution and assessing performance outcomes (Prisăcaru, 2020, p. 22). For this event, evaluation will include post-event surveys, employment impact tracking, and social media analytics. These indicators will measure goal achievement and highlight areas for improvement, such as company commitments to hiring disabled individuals, participant feedback, and media coverage. This final phase is critical for validating </w:t>
      </w:r>
      <w:r w:rsidRPr="00731754">
        <w:rPr>
          <w:rFonts w:ascii="Times New Roman" w:hAnsi="Times New Roman"/>
          <w:sz w:val="24"/>
          <w:szCs w:val="24"/>
          <w:lang w:val="ro-RO"/>
        </w:rPr>
        <w:lastRenderedPageBreak/>
        <w:t>the event’s effectiveness and establishing a long-term strategy for future editions (Oshimi, Taks &amp; Agha, 2023, pp. 1855-1857).</w:t>
      </w:r>
    </w:p>
    <w:p w14:paraId="11ED51EA" w14:textId="77777777" w:rsidR="008864E4" w:rsidRPr="00731754" w:rsidRDefault="008864E4" w:rsidP="008864E4">
      <w:pPr>
        <w:pStyle w:val="Heading1"/>
        <w:rPr>
          <w:rFonts w:ascii="Times New Roman" w:hAnsi="Times New Roman" w:cs="Times New Roman"/>
          <w:sz w:val="24"/>
          <w:szCs w:val="24"/>
        </w:rPr>
      </w:pPr>
      <w:bookmarkStart w:id="6" w:name="_Toc191503458"/>
      <w:r w:rsidRPr="00731754">
        <w:rPr>
          <w:rFonts w:ascii="Times New Roman" w:hAnsi="Times New Roman" w:cs="Times New Roman"/>
          <w:sz w:val="24"/>
          <w:szCs w:val="24"/>
        </w:rPr>
        <w:t>AIM AND OBJECTIVES OF THE EVENT</w:t>
      </w:r>
      <w:bookmarkEnd w:id="6"/>
    </w:p>
    <w:p w14:paraId="586C383A"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The "All About Inclusion – Breaking Barriers in Hospitality" event aims to support the integration of disabled individuals into the hospitality industry by creating real employment opportunities and highlighting the benefits of inclusivity for companies. As Mzembe and Filimonau (2024) state, hiring disabled individuals requires more than legal compliance—it demands a shift in mindset.</w:t>
      </w:r>
    </w:p>
    <w:p w14:paraId="4AB5E814" w14:textId="77777777" w:rsidR="008864E4" w:rsidRPr="00731754" w:rsidRDefault="008864E4" w:rsidP="008864E4">
      <w:pPr>
        <w:pStyle w:val="Heading2"/>
        <w:rPr>
          <w:rFonts w:ascii="Times New Roman" w:hAnsi="Times New Roman" w:cs="Times New Roman"/>
          <w:sz w:val="24"/>
          <w:szCs w:val="24"/>
        </w:rPr>
      </w:pPr>
      <w:bookmarkStart w:id="7" w:name="_Toc191503459"/>
      <w:r w:rsidRPr="00731754">
        <w:rPr>
          <w:rFonts w:ascii="Times New Roman" w:hAnsi="Times New Roman" w:cs="Times New Roman"/>
          <w:sz w:val="24"/>
          <w:szCs w:val="24"/>
        </w:rPr>
        <w:t>SMART Objectives:</w:t>
      </w:r>
      <w:bookmarkEnd w:id="7"/>
    </w:p>
    <w:p w14:paraId="3F952D65" w14:textId="77777777" w:rsidR="008864E4" w:rsidRPr="00731754" w:rsidRDefault="008864E4" w:rsidP="008864E4">
      <w:pPr>
        <w:pStyle w:val="Default"/>
        <w:numPr>
          <w:ilvl w:val="0"/>
          <w:numId w:val="2"/>
        </w:numPr>
        <w:spacing w:line="360" w:lineRule="auto"/>
        <w:jc w:val="both"/>
        <w:rPr>
          <w:rFonts w:ascii="Times New Roman" w:hAnsi="Times New Roman" w:cs="Times New Roman"/>
        </w:rPr>
      </w:pPr>
      <w:r w:rsidRPr="00731754">
        <w:rPr>
          <w:rFonts w:ascii="Times New Roman" w:hAnsi="Times New Roman" w:cs="Times New Roman"/>
        </w:rPr>
        <w:t>Increase employment commitments by securing at least 50 pledges from businesses to hire disabled individuals (UK Government, 2024).</w:t>
      </w:r>
    </w:p>
    <w:p w14:paraId="58FB4545" w14:textId="77777777" w:rsidR="008864E4" w:rsidRPr="00731754" w:rsidRDefault="008864E4" w:rsidP="008864E4">
      <w:pPr>
        <w:pStyle w:val="Default"/>
        <w:numPr>
          <w:ilvl w:val="0"/>
          <w:numId w:val="2"/>
        </w:numPr>
        <w:spacing w:line="360" w:lineRule="auto"/>
        <w:jc w:val="both"/>
        <w:rPr>
          <w:rFonts w:ascii="Times New Roman" w:hAnsi="Times New Roman" w:cs="Times New Roman"/>
        </w:rPr>
      </w:pPr>
      <w:r w:rsidRPr="00731754">
        <w:rPr>
          <w:rFonts w:ascii="Times New Roman" w:hAnsi="Times New Roman" w:cs="Times New Roman"/>
        </w:rPr>
        <w:t>Raise a minimum of £10,000 through ticket sales and sponsorships to support Scope UK.</w:t>
      </w:r>
    </w:p>
    <w:p w14:paraId="3A9D5024" w14:textId="77777777" w:rsidR="008864E4" w:rsidRPr="00731754" w:rsidRDefault="008864E4" w:rsidP="008864E4">
      <w:pPr>
        <w:pStyle w:val="Default"/>
        <w:numPr>
          <w:ilvl w:val="0"/>
          <w:numId w:val="2"/>
        </w:numPr>
        <w:spacing w:line="360" w:lineRule="auto"/>
        <w:jc w:val="both"/>
        <w:rPr>
          <w:rFonts w:ascii="Times New Roman" w:hAnsi="Times New Roman" w:cs="Times New Roman"/>
        </w:rPr>
      </w:pPr>
      <w:r w:rsidRPr="00731754">
        <w:rPr>
          <w:rFonts w:ascii="Times New Roman" w:hAnsi="Times New Roman" w:cs="Times New Roman"/>
        </w:rPr>
        <w:t>Attract at least 200 attendees, following the example of similar events like the Global Disability Summit, which drew 7,000 participants in 2022 (International Disability Alliance, 2022).</w:t>
      </w:r>
    </w:p>
    <w:p w14:paraId="40185A62" w14:textId="77777777" w:rsidR="008864E4" w:rsidRPr="00731754" w:rsidRDefault="008864E4" w:rsidP="008864E4">
      <w:pPr>
        <w:pStyle w:val="Heading1"/>
        <w:rPr>
          <w:rFonts w:ascii="Times New Roman" w:hAnsi="Times New Roman" w:cs="Times New Roman"/>
          <w:sz w:val="24"/>
          <w:szCs w:val="24"/>
        </w:rPr>
      </w:pPr>
      <w:bookmarkStart w:id="8" w:name="_Toc191503460"/>
      <w:r w:rsidRPr="00731754">
        <w:rPr>
          <w:rFonts w:ascii="Times New Roman" w:hAnsi="Times New Roman" w:cs="Times New Roman"/>
          <w:sz w:val="24"/>
          <w:szCs w:val="24"/>
        </w:rPr>
        <w:t>EVENT CONCEPT</w:t>
      </w:r>
      <w:bookmarkEnd w:id="8"/>
    </w:p>
    <w:p w14:paraId="01502B43"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"All About Inclusion – Breaking Barriers in Hospitality" event offers an interactive and educational experience, bringing together industry professionals, NGOs, HR representatives, hospitality CEOs, decision-makers, disabled individuals, and the general public interested in supporting inclusion. Participants can also contribute to Scope’s mission by attending and engaging with the event.</w:t>
      </w:r>
    </w:p>
    <w:p w14:paraId="7B984BA7" w14:textId="77777777" w:rsidR="008864E4" w:rsidRPr="00731754" w:rsidRDefault="008864E4" w:rsidP="008864E4">
      <w:pPr>
        <w:pStyle w:val="Heading2"/>
        <w:rPr>
          <w:rFonts w:ascii="Times New Roman" w:hAnsi="Times New Roman" w:cs="Times New Roman"/>
          <w:sz w:val="24"/>
          <w:szCs w:val="24"/>
        </w:rPr>
      </w:pPr>
      <w:bookmarkStart w:id="9" w:name="_Toc191503461"/>
      <w:r w:rsidRPr="00731754">
        <w:rPr>
          <w:rFonts w:ascii="Times New Roman" w:hAnsi="Times New Roman" w:cs="Times New Roman"/>
          <w:sz w:val="24"/>
          <w:szCs w:val="24"/>
        </w:rPr>
        <w:t>Conference</w:t>
      </w:r>
      <w:bookmarkEnd w:id="9"/>
    </w:p>
    <w:p w14:paraId="1C9B4D38"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 key highlight is the "It’s All About Inclusion" keynote conference, featuring industry leaders such as Sébastien Bazin (CEO, AccorHotels) and chef Sally Abé (Hilton), alongside disabled professionals who have built successful careers. They will discuss inclusive policies and showcase practical solutions (Morgan, 2020; Battaglia, 2025). This session will promote success stories and foster a sense of community.</w:t>
      </w:r>
    </w:p>
    <w:p w14:paraId="0CEE0CA0" w14:textId="77777777" w:rsidR="008864E4" w:rsidRPr="00731754" w:rsidRDefault="008864E4" w:rsidP="008864E4">
      <w:pPr>
        <w:pStyle w:val="Heading2"/>
        <w:rPr>
          <w:rFonts w:ascii="Times New Roman" w:hAnsi="Times New Roman" w:cs="Times New Roman"/>
          <w:sz w:val="24"/>
          <w:szCs w:val="24"/>
        </w:rPr>
      </w:pPr>
      <w:bookmarkStart w:id="10" w:name="_Toc191503462"/>
      <w:r w:rsidRPr="00731754">
        <w:rPr>
          <w:rFonts w:ascii="Times New Roman" w:hAnsi="Times New Roman" w:cs="Times New Roman"/>
          <w:sz w:val="24"/>
          <w:szCs w:val="24"/>
        </w:rPr>
        <w:t>Job Fair</w:t>
      </w:r>
      <w:bookmarkEnd w:id="10"/>
    </w:p>
    <w:p w14:paraId="23672135"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In addition to the conference, the event includes a Job Fair, where companies demonstrate their commitment to diversity by offering employment opportunities for disabled individuals. This </w:t>
      </w:r>
      <w:r w:rsidRPr="00731754">
        <w:rPr>
          <w:rFonts w:ascii="Times New Roman" w:hAnsi="Times New Roman"/>
          <w:sz w:val="24"/>
          <w:szCs w:val="24"/>
          <w:lang w:val="ro-RO"/>
        </w:rPr>
        <w:lastRenderedPageBreak/>
        <w:t>initiative represents both social responsibility and a strategic approach to attracting valuable talent (Mzembe &amp; Filimonau, 2024).</w:t>
      </w:r>
    </w:p>
    <w:p w14:paraId="4671A1E1" w14:textId="77777777" w:rsidR="008864E4" w:rsidRPr="00731754" w:rsidRDefault="008864E4" w:rsidP="008864E4">
      <w:pPr>
        <w:pStyle w:val="Heading2"/>
        <w:rPr>
          <w:rFonts w:ascii="Times New Roman" w:hAnsi="Times New Roman" w:cs="Times New Roman"/>
          <w:sz w:val="24"/>
          <w:szCs w:val="24"/>
          <w:lang w:val="ro-RO"/>
        </w:rPr>
      </w:pPr>
      <w:bookmarkStart w:id="11" w:name="_Toc191503463"/>
      <w:r w:rsidRPr="00731754">
        <w:rPr>
          <w:rFonts w:ascii="Times New Roman" w:hAnsi="Times New Roman" w:cs="Times New Roman"/>
          <w:sz w:val="24"/>
          <w:szCs w:val="24"/>
        </w:rPr>
        <w:t>Experiential Simulations</w:t>
      </w:r>
      <w:bookmarkEnd w:id="11"/>
    </w:p>
    <w:p w14:paraId="105C145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Experiential simulations will provide attendees with deeper insight into challenges faced by disabled individuals. Using modern technology, participants will experience mobility and sensory difficulties, enhancing empathy and awareness.</w:t>
      </w:r>
    </w:p>
    <w:p w14:paraId="37856B7B" w14:textId="77777777" w:rsidR="008864E4" w:rsidRPr="00731754" w:rsidRDefault="008864E4" w:rsidP="008864E4">
      <w:pPr>
        <w:pStyle w:val="Heading2"/>
        <w:rPr>
          <w:rFonts w:ascii="Times New Roman" w:hAnsi="Times New Roman" w:cs="Times New Roman"/>
          <w:sz w:val="24"/>
          <w:szCs w:val="24"/>
          <w:lang w:val="ro-RO"/>
        </w:rPr>
      </w:pPr>
      <w:bookmarkStart w:id="12" w:name="_Toc191503464"/>
      <w:r w:rsidRPr="00731754">
        <w:rPr>
          <w:rFonts w:ascii="Times New Roman" w:hAnsi="Times New Roman" w:cs="Times New Roman"/>
          <w:sz w:val="24"/>
          <w:szCs w:val="24"/>
        </w:rPr>
        <w:t>Special Guest</w:t>
      </w:r>
      <w:bookmarkEnd w:id="12"/>
    </w:p>
    <w:p w14:paraId="14791CA9"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Another key element is the presence of special guest Sophie Morgan, renowned for her advocacy work. Her speech and personal journey will attract media attention and motivate attendees to actively support disability inclusion (Nechita, 2022).</w:t>
      </w:r>
    </w:p>
    <w:p w14:paraId="054D441C" w14:textId="77777777" w:rsidR="008864E4" w:rsidRPr="00731754" w:rsidRDefault="008864E4" w:rsidP="008864E4">
      <w:pPr>
        <w:pStyle w:val="Heading2"/>
        <w:rPr>
          <w:rFonts w:ascii="Times New Roman" w:hAnsi="Times New Roman" w:cs="Times New Roman"/>
          <w:sz w:val="24"/>
          <w:szCs w:val="24"/>
          <w:lang w:val="ro-RO"/>
        </w:rPr>
      </w:pPr>
      <w:bookmarkStart w:id="13" w:name="_Toc191503465"/>
      <w:r w:rsidRPr="00731754">
        <w:rPr>
          <w:rFonts w:ascii="Times New Roman" w:hAnsi="Times New Roman" w:cs="Times New Roman"/>
          <w:sz w:val="24"/>
          <w:szCs w:val="24"/>
        </w:rPr>
        <w:t>Event Schedule</w:t>
      </w:r>
      <w:bookmarkEnd w:id="13"/>
    </w:p>
    <w:tbl>
      <w:tblPr>
        <w:tblStyle w:val="TableGrid"/>
        <w:tblW w:w="0" w:type="auto"/>
        <w:tblLook w:val="04A0" w:firstRow="1" w:lastRow="0" w:firstColumn="1" w:lastColumn="0" w:noHBand="0" w:noVBand="1"/>
      </w:tblPr>
      <w:tblGrid>
        <w:gridCol w:w="1555"/>
        <w:gridCol w:w="2126"/>
        <w:gridCol w:w="5335"/>
      </w:tblGrid>
      <w:tr w:rsidR="008864E4" w:rsidRPr="00731754" w14:paraId="2BC9ADF2" w14:textId="77777777" w:rsidTr="00914270">
        <w:tc>
          <w:tcPr>
            <w:tcW w:w="1555" w:type="dxa"/>
          </w:tcPr>
          <w:p w14:paraId="003A88F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Time</w:t>
            </w:r>
          </w:p>
          <w:p w14:paraId="60A443D1" w14:textId="77777777" w:rsidR="008864E4" w:rsidRPr="00731754" w:rsidRDefault="008864E4" w:rsidP="00914270">
            <w:pPr>
              <w:spacing w:line="360" w:lineRule="auto"/>
              <w:jc w:val="both"/>
              <w:rPr>
                <w:rFonts w:ascii="Times New Roman" w:hAnsi="Times New Roman"/>
                <w:sz w:val="24"/>
                <w:szCs w:val="24"/>
              </w:rPr>
            </w:pPr>
          </w:p>
        </w:tc>
        <w:tc>
          <w:tcPr>
            <w:tcW w:w="2126" w:type="dxa"/>
          </w:tcPr>
          <w:p w14:paraId="18CA8099"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Activity</w:t>
            </w:r>
          </w:p>
          <w:p w14:paraId="2BB41D03"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37C9D51B"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Description</w:t>
            </w:r>
          </w:p>
          <w:p w14:paraId="55013E8E" w14:textId="77777777" w:rsidR="008864E4" w:rsidRPr="00731754" w:rsidRDefault="008864E4" w:rsidP="00914270">
            <w:pPr>
              <w:spacing w:line="360" w:lineRule="auto"/>
              <w:ind w:firstLine="708"/>
              <w:jc w:val="both"/>
              <w:rPr>
                <w:rFonts w:ascii="Times New Roman" w:hAnsi="Times New Roman"/>
                <w:sz w:val="24"/>
                <w:szCs w:val="24"/>
              </w:rPr>
            </w:pPr>
          </w:p>
        </w:tc>
      </w:tr>
      <w:tr w:rsidR="008864E4" w:rsidRPr="00731754" w14:paraId="7640FF11" w14:textId="77777777" w:rsidTr="00914270">
        <w:trPr>
          <w:trHeight w:val="513"/>
        </w:trPr>
        <w:tc>
          <w:tcPr>
            <w:tcW w:w="1555" w:type="dxa"/>
          </w:tcPr>
          <w:p w14:paraId="7322E70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8:00 – 10 :00</w:t>
            </w:r>
          </w:p>
        </w:tc>
        <w:tc>
          <w:tcPr>
            <w:tcW w:w="2126" w:type="dxa"/>
          </w:tcPr>
          <w:p w14:paraId="1D0576F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Preparations</w:t>
            </w:r>
          </w:p>
          <w:p w14:paraId="75B0EA5E"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1F1C0ACB"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The team gathers early to finalise technical arrangements.</w:t>
            </w:r>
          </w:p>
          <w:p w14:paraId="11D6BDEE"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739DBCD5" w14:textId="77777777" w:rsidTr="00914270">
        <w:tc>
          <w:tcPr>
            <w:tcW w:w="1555" w:type="dxa"/>
          </w:tcPr>
          <w:p w14:paraId="3686247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10:00 – 11:00</w:t>
            </w:r>
          </w:p>
        </w:tc>
        <w:tc>
          <w:tcPr>
            <w:tcW w:w="2126" w:type="dxa"/>
          </w:tcPr>
          <w:p w14:paraId="5330C0DE"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Registration</w:t>
            </w:r>
          </w:p>
          <w:p w14:paraId="1063D8DF"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61839CC8"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Guests arrive, register, and network. Sign language interpreters and mobility assistance will be available.</w:t>
            </w:r>
          </w:p>
          <w:p w14:paraId="11228039"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3BB6480E" w14:textId="77777777" w:rsidTr="00914270">
        <w:tc>
          <w:tcPr>
            <w:tcW w:w="1555" w:type="dxa"/>
          </w:tcPr>
          <w:p w14:paraId="0562251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11:00 – 12:00</w:t>
            </w:r>
          </w:p>
        </w:tc>
        <w:tc>
          <w:tcPr>
            <w:tcW w:w="2126" w:type="dxa"/>
          </w:tcPr>
          <w:p w14:paraId="213520B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Keynote Session: It’s All About Inclusion 1</w:t>
            </w:r>
          </w:p>
          <w:p w14:paraId="0E3606DF"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49B2576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Sébastien Bazin and Sally Abé present strategies for improving workplace diversity.</w:t>
            </w:r>
          </w:p>
          <w:p w14:paraId="59D0D633"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57266585" w14:textId="77777777" w:rsidTr="00914270">
        <w:tc>
          <w:tcPr>
            <w:tcW w:w="1555" w:type="dxa"/>
          </w:tcPr>
          <w:p w14:paraId="5AF71FA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12:00 – 16:00</w:t>
            </w:r>
          </w:p>
        </w:tc>
        <w:tc>
          <w:tcPr>
            <w:tcW w:w="2126" w:type="dxa"/>
          </w:tcPr>
          <w:p w14:paraId="5585DF9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Job Fair &amp; Simulations</w:t>
            </w:r>
          </w:p>
          <w:p w14:paraId="0BE0B912"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4728A70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Companies showcase employment opportunities for disabled individuals, while attendees experience workplace challenges using VR technology.</w:t>
            </w:r>
          </w:p>
          <w:p w14:paraId="7D9BA56E"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427FEE64" w14:textId="77777777" w:rsidTr="00914270">
        <w:tc>
          <w:tcPr>
            <w:tcW w:w="1555" w:type="dxa"/>
          </w:tcPr>
          <w:p w14:paraId="7711833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13:00 – 14:00</w:t>
            </w:r>
          </w:p>
        </w:tc>
        <w:tc>
          <w:tcPr>
            <w:tcW w:w="2126" w:type="dxa"/>
          </w:tcPr>
          <w:p w14:paraId="75E2F3D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Lunch &amp; Networking</w:t>
            </w:r>
          </w:p>
          <w:p w14:paraId="1EB2A2A2"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4615D4A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An informal networking session.</w:t>
            </w:r>
          </w:p>
          <w:p w14:paraId="4E8AEBAB"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4B93C471" w14:textId="77777777" w:rsidTr="00914270">
        <w:tc>
          <w:tcPr>
            <w:tcW w:w="1555" w:type="dxa"/>
          </w:tcPr>
          <w:p w14:paraId="40E9420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lastRenderedPageBreak/>
              <w:t>14:00 – 15:00</w:t>
            </w:r>
          </w:p>
        </w:tc>
        <w:tc>
          <w:tcPr>
            <w:tcW w:w="2126" w:type="dxa"/>
          </w:tcPr>
          <w:p w14:paraId="4F97D0C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Keynote Session: It’s All About Inclusion 2</w:t>
            </w:r>
          </w:p>
          <w:p w14:paraId="0E304266"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6C70051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Speakers with disabilities share their career experiences and highlight the skills disabled employees bring to the workforce.</w:t>
            </w:r>
          </w:p>
          <w:p w14:paraId="207F37FE"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3F720503" w14:textId="77777777" w:rsidTr="00914270">
        <w:tc>
          <w:tcPr>
            <w:tcW w:w="1555" w:type="dxa"/>
          </w:tcPr>
          <w:p w14:paraId="7EE41397"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15:00 – 16:00</w:t>
            </w:r>
          </w:p>
        </w:tc>
        <w:tc>
          <w:tcPr>
            <w:tcW w:w="2126" w:type="dxa"/>
          </w:tcPr>
          <w:p w14:paraId="0ED0815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Special Guest</w:t>
            </w:r>
          </w:p>
          <w:p w14:paraId="6FFDC4D5"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7575195C"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Activist Eddie Redmayne delivers a motivational speech on overcoming barriers in careers.</w:t>
            </w:r>
          </w:p>
          <w:p w14:paraId="285AD389"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3A1F77F0" w14:textId="77777777" w:rsidTr="00914270">
        <w:tc>
          <w:tcPr>
            <w:tcW w:w="1555" w:type="dxa"/>
          </w:tcPr>
          <w:p w14:paraId="1437208E"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16:00 – 17:00</w:t>
            </w:r>
          </w:p>
        </w:tc>
        <w:tc>
          <w:tcPr>
            <w:tcW w:w="2126" w:type="dxa"/>
          </w:tcPr>
          <w:p w14:paraId="21E8A09C"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Closing Remarks &amp; Acknowledgements</w:t>
            </w:r>
          </w:p>
          <w:p w14:paraId="74663CE9" w14:textId="77777777" w:rsidR="008864E4" w:rsidRPr="00731754" w:rsidRDefault="008864E4" w:rsidP="00914270">
            <w:pPr>
              <w:spacing w:line="360" w:lineRule="auto"/>
              <w:jc w:val="both"/>
              <w:rPr>
                <w:rFonts w:ascii="Times New Roman" w:hAnsi="Times New Roman"/>
                <w:sz w:val="24"/>
                <w:szCs w:val="24"/>
              </w:rPr>
            </w:pPr>
          </w:p>
        </w:tc>
        <w:tc>
          <w:tcPr>
            <w:tcW w:w="5335" w:type="dxa"/>
          </w:tcPr>
          <w:p w14:paraId="113BB859"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Organisers summarise key takeaways and thank sponsors and participants.</w:t>
            </w:r>
          </w:p>
          <w:p w14:paraId="3B1BF1FE" w14:textId="77777777" w:rsidR="008864E4" w:rsidRPr="00731754" w:rsidRDefault="008864E4" w:rsidP="00914270">
            <w:pPr>
              <w:spacing w:line="360" w:lineRule="auto"/>
              <w:jc w:val="both"/>
              <w:rPr>
                <w:rFonts w:ascii="Times New Roman" w:hAnsi="Times New Roman"/>
                <w:sz w:val="24"/>
                <w:szCs w:val="24"/>
              </w:rPr>
            </w:pPr>
          </w:p>
        </w:tc>
      </w:tr>
    </w:tbl>
    <w:p w14:paraId="644903C8" w14:textId="77777777" w:rsidR="008864E4" w:rsidRPr="00731754" w:rsidRDefault="008864E4" w:rsidP="008864E4">
      <w:pPr>
        <w:pStyle w:val="Default"/>
        <w:spacing w:line="360" w:lineRule="auto"/>
        <w:jc w:val="both"/>
        <w:rPr>
          <w:rFonts w:ascii="Times New Roman" w:hAnsi="Times New Roman" w:cs="Times New Roman"/>
        </w:rPr>
      </w:pPr>
    </w:p>
    <w:p w14:paraId="60230870" w14:textId="77777777" w:rsidR="008864E4" w:rsidRPr="00731754" w:rsidRDefault="008864E4" w:rsidP="008864E4">
      <w:pPr>
        <w:pStyle w:val="Heading1"/>
        <w:rPr>
          <w:rFonts w:ascii="Times New Roman" w:hAnsi="Times New Roman" w:cs="Times New Roman"/>
          <w:sz w:val="24"/>
          <w:szCs w:val="24"/>
        </w:rPr>
      </w:pPr>
      <w:bookmarkStart w:id="14" w:name="_Toc191503466"/>
      <w:r w:rsidRPr="00731754">
        <w:rPr>
          <w:rFonts w:ascii="Times New Roman" w:hAnsi="Times New Roman" w:cs="Times New Roman"/>
          <w:sz w:val="24"/>
          <w:szCs w:val="24"/>
        </w:rPr>
        <w:t>EVENT MANAGEMENT AND EMBOK MODEL</w:t>
      </w:r>
      <w:bookmarkEnd w:id="14"/>
    </w:p>
    <w:p w14:paraId="3B07A966" w14:textId="77777777" w:rsidR="008864E4" w:rsidRPr="00731754" w:rsidRDefault="008864E4" w:rsidP="008864E4">
      <w:pPr>
        <w:pStyle w:val="Heading2"/>
        <w:rPr>
          <w:rFonts w:ascii="Times New Roman" w:hAnsi="Times New Roman" w:cs="Times New Roman"/>
          <w:sz w:val="24"/>
          <w:szCs w:val="24"/>
        </w:rPr>
      </w:pPr>
      <w:bookmarkStart w:id="15" w:name="_Toc191503467"/>
      <w:r w:rsidRPr="00731754">
        <w:rPr>
          <w:rFonts w:ascii="Times New Roman" w:hAnsi="Times New Roman" w:cs="Times New Roman"/>
          <w:sz w:val="24"/>
          <w:szCs w:val="24"/>
        </w:rPr>
        <w:t>Definition</w:t>
      </w:r>
      <w:bookmarkEnd w:id="15"/>
    </w:p>
    <w:p w14:paraId="2FFA796F" w14:textId="77777777" w:rsidR="008864E4" w:rsidRPr="00731754" w:rsidRDefault="008864E4" w:rsidP="008864E4">
      <w:pPr>
        <w:pStyle w:val="Default"/>
        <w:spacing w:line="360" w:lineRule="auto"/>
        <w:jc w:val="both"/>
        <w:rPr>
          <w:rFonts w:ascii="Times New Roman" w:hAnsi="Times New Roman" w:cs="Times New Roman"/>
          <w:color w:val="FF0000"/>
          <w:lang w:val="en-US"/>
        </w:rPr>
      </w:pPr>
      <w:r w:rsidRPr="00731754">
        <w:rPr>
          <w:rFonts w:ascii="Times New Roman" w:hAnsi="Times New Roman" w:cs="Times New Roman"/>
          <w:lang w:val="en-US"/>
        </w:rPr>
        <w:t xml:space="preserve">Event management is a structured process involving the planning, preparation, and execution of an event, ensuring the effective use of time, finances, personnel, and logistics to achieve its objectives </w:t>
      </w:r>
      <w:r w:rsidRPr="00731754">
        <w:rPr>
          <w:rFonts w:ascii="Times New Roman" w:hAnsi="Times New Roman" w:cs="Times New Roman"/>
        </w:rPr>
        <w:t>(Silvers, 2003).</w:t>
      </w:r>
      <w:r w:rsidRPr="00731754">
        <w:rPr>
          <w:rFonts w:ascii="Times New Roman" w:hAnsi="Times New Roman" w:cs="Times New Roman"/>
          <w:lang w:val="en-US"/>
        </w:rPr>
        <w:t xml:space="preserve"> The Event Management Body of Knowledge (EMBOK) model provides a structured approach to planning, executing, and evaluating events, incorporating five key domains: Design, Marketing, Operations, Risk, and Evaluation (Silvers, 2003). This framework is particularly relevant to MICE events, ensuring strategic planning, financial stability, and efficient execution.</w:t>
      </w:r>
      <w:r w:rsidRPr="00731754">
        <w:rPr>
          <w:rFonts w:ascii="Times New Roman" w:hAnsi="Times New Roman" w:cs="Times New Roman"/>
          <w:color w:val="FF0000"/>
          <w:lang w:val="en-US"/>
        </w:rPr>
        <w:t xml:space="preserve"> </w:t>
      </w:r>
      <w:r w:rsidRPr="00731754">
        <w:rPr>
          <w:rFonts w:ascii="Times New Roman" w:hAnsi="Times New Roman" w:cs="Times New Roman"/>
          <w:lang w:val="en-US"/>
        </w:rPr>
        <w:t>The "All About Inclusion – Breaking Barriers in Hospitality" event follows these principles to enhance impact and operational efficiency.</w:t>
      </w:r>
    </w:p>
    <w:p w14:paraId="371166D3" w14:textId="77777777" w:rsidR="008864E4" w:rsidRPr="00731754" w:rsidRDefault="008864E4" w:rsidP="008864E4">
      <w:pPr>
        <w:pStyle w:val="Heading2"/>
        <w:rPr>
          <w:rFonts w:ascii="Times New Roman" w:hAnsi="Times New Roman" w:cs="Times New Roman"/>
          <w:sz w:val="24"/>
          <w:szCs w:val="24"/>
        </w:rPr>
      </w:pPr>
      <w:bookmarkStart w:id="16" w:name="_Toc191503468"/>
      <w:r w:rsidRPr="00731754">
        <w:rPr>
          <w:rFonts w:ascii="Times New Roman" w:hAnsi="Times New Roman" w:cs="Times New Roman"/>
          <w:sz w:val="24"/>
          <w:szCs w:val="24"/>
        </w:rPr>
        <w:t>Design</w:t>
      </w:r>
      <w:bookmarkEnd w:id="16"/>
    </w:p>
    <w:p w14:paraId="31A27BC7"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Event design plays a key role in creating an engaging and inclusive experience for participants. The choice of the ExCeL London location was driven by the accessibility of the space, modern infrastructure and strategic positioning(Anas et al., 2020). In line with event design principles, the space was organized to allow for easy mobility, including sign language interpreters, mobility assistance and VR technology to simulate disability. Networking opportunities were also emphasized, providing participants and employers with an optimal environment for interaction (Stofer, 2024).</w:t>
      </w:r>
    </w:p>
    <w:p w14:paraId="417353F0" w14:textId="77777777" w:rsidR="008864E4" w:rsidRPr="00731754" w:rsidRDefault="008864E4" w:rsidP="008864E4">
      <w:pPr>
        <w:pStyle w:val="Heading2"/>
        <w:rPr>
          <w:rFonts w:ascii="Times New Roman" w:hAnsi="Times New Roman" w:cs="Times New Roman"/>
          <w:sz w:val="24"/>
          <w:szCs w:val="24"/>
        </w:rPr>
      </w:pPr>
      <w:bookmarkStart w:id="17" w:name="_Toc191503469"/>
      <w:r w:rsidRPr="00731754">
        <w:rPr>
          <w:rFonts w:ascii="Times New Roman" w:hAnsi="Times New Roman" w:cs="Times New Roman"/>
          <w:sz w:val="24"/>
          <w:szCs w:val="24"/>
        </w:rPr>
        <w:t>Marketing Strategy</w:t>
      </w:r>
      <w:bookmarkEnd w:id="17"/>
    </w:p>
    <w:p w14:paraId="00680571"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 xml:space="preserve">Marketing plays a crucial role in attracting participants, sponsors, and increasing the visibility of the "All About Inclusion – Breaking Barriers in Hospitality" event. The applied strategy is </w:t>
      </w:r>
      <w:r w:rsidRPr="00731754">
        <w:rPr>
          <w:rFonts w:ascii="Times New Roman" w:hAnsi="Times New Roman" w:cs="Times New Roman"/>
        </w:rPr>
        <w:lastRenderedPageBreak/>
        <w:t>based on the 7P Marketing Mix and is designed to maximize the event’s social and professional impact (Napontun et al., 2023).</w:t>
      </w:r>
    </w:p>
    <w:p w14:paraId="31A57F11" w14:textId="77777777" w:rsidR="008864E4" w:rsidRPr="00731754" w:rsidRDefault="008864E4" w:rsidP="008864E4">
      <w:pPr>
        <w:spacing w:line="360" w:lineRule="auto"/>
        <w:jc w:val="both"/>
        <w:rPr>
          <w:rFonts w:ascii="Times New Roman" w:hAnsi="Times New Roman"/>
          <w:sz w:val="24"/>
          <w:szCs w:val="24"/>
        </w:rPr>
      </w:pPr>
      <w:r w:rsidRPr="00731754">
        <w:rPr>
          <w:rFonts w:ascii="Times New Roman" w:hAnsi="Times New Roman"/>
          <w:sz w:val="24"/>
          <w:szCs w:val="24"/>
        </w:rPr>
        <w:t>Product – A MICE event dedicated to promoting inclusion and diversity in the hospitality industry, providing networking and recruitment opportunities for people with disabilities (</w:t>
      </w:r>
      <w:proofErr w:type="spellStart"/>
      <w:r w:rsidRPr="00731754">
        <w:rPr>
          <w:rFonts w:ascii="Times New Roman" w:hAnsi="Times New Roman"/>
          <w:sz w:val="24"/>
          <w:szCs w:val="24"/>
        </w:rPr>
        <w:t>Napontun</w:t>
      </w:r>
      <w:proofErr w:type="spellEnd"/>
      <w:r w:rsidRPr="00731754">
        <w:rPr>
          <w:rFonts w:ascii="Times New Roman" w:hAnsi="Times New Roman"/>
          <w:sz w:val="24"/>
          <w:szCs w:val="24"/>
        </w:rPr>
        <w:t xml:space="preserve"> et al., 2023).</w:t>
      </w:r>
    </w:p>
    <w:p w14:paraId="35087FCD"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18" w:name="_Toc191503470"/>
      <w:r w:rsidRPr="00731754">
        <w:rPr>
          <w:rStyle w:val="Heading3Char"/>
          <w:rFonts w:ascii="Times New Roman" w:hAnsi="Times New Roman" w:cs="Times New Roman"/>
          <w:sz w:val="24"/>
          <w:szCs w:val="24"/>
        </w:rPr>
        <w:t>Price</w:t>
      </w:r>
      <w:bookmarkEnd w:id="18"/>
      <w:r w:rsidRPr="00731754">
        <w:rPr>
          <w:rFonts w:ascii="Times New Roman" w:hAnsi="Times New Roman" w:cs="Times New Roman"/>
          <w:sz w:val="24"/>
          <w:szCs w:val="24"/>
        </w:rPr>
        <w:t xml:space="preserve"> – A value-based pricing strategy aimed at ensuring financial accessibility.</w:t>
      </w:r>
    </w:p>
    <w:p w14:paraId="221BAE6C"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19" w:name="_Toc191503471"/>
      <w:r w:rsidRPr="00731754">
        <w:rPr>
          <w:rStyle w:val="Heading3Char"/>
          <w:rFonts w:ascii="Times New Roman" w:hAnsi="Times New Roman" w:cs="Times New Roman"/>
          <w:sz w:val="24"/>
          <w:szCs w:val="24"/>
        </w:rPr>
        <w:t>Place</w:t>
      </w:r>
      <w:bookmarkEnd w:id="19"/>
      <w:r w:rsidRPr="00731754">
        <w:rPr>
          <w:rFonts w:ascii="Times New Roman" w:hAnsi="Times New Roman" w:cs="Times New Roman"/>
          <w:sz w:val="24"/>
          <w:szCs w:val="24"/>
        </w:rPr>
        <w:t xml:space="preserve"> – ExCeL London, an internationally recognized and accessible venue, selected for its adapted infrastructure and industry reputation (ExCeL London, n.d.).</w:t>
      </w:r>
    </w:p>
    <w:p w14:paraId="1AFF1BA3"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0" w:name="_Toc191503472"/>
      <w:r w:rsidRPr="00731754">
        <w:rPr>
          <w:rStyle w:val="Heading3Char"/>
          <w:rFonts w:ascii="Times New Roman" w:hAnsi="Times New Roman" w:cs="Times New Roman"/>
          <w:sz w:val="24"/>
          <w:szCs w:val="24"/>
        </w:rPr>
        <w:t>Promotion</w:t>
      </w:r>
      <w:bookmarkEnd w:id="20"/>
      <w:r w:rsidRPr="00731754">
        <w:rPr>
          <w:rFonts w:ascii="Times New Roman" w:hAnsi="Times New Roman" w:cs="Times New Roman"/>
          <w:sz w:val="24"/>
          <w:szCs w:val="24"/>
        </w:rPr>
        <w:t xml:space="preserve"> – Multi-channel digital campaigns on LinkedIn, Instagram, Facebook, and TikTok, influencer collaborations, and strategic media partnerships to maximize impact (Bergh, 2025; New Light Digital, 2024).</w:t>
      </w:r>
    </w:p>
    <w:p w14:paraId="47D3EABF"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1" w:name="_Toc191503473"/>
      <w:r w:rsidRPr="00731754">
        <w:rPr>
          <w:rStyle w:val="Heading3Char"/>
          <w:rFonts w:ascii="Times New Roman" w:hAnsi="Times New Roman" w:cs="Times New Roman"/>
          <w:sz w:val="24"/>
          <w:szCs w:val="24"/>
        </w:rPr>
        <w:t>People</w:t>
      </w:r>
      <w:bookmarkEnd w:id="21"/>
      <w:r w:rsidRPr="00731754">
        <w:rPr>
          <w:rFonts w:ascii="Times New Roman" w:hAnsi="Times New Roman" w:cs="Times New Roman"/>
          <w:sz w:val="24"/>
          <w:szCs w:val="24"/>
        </w:rPr>
        <w:t xml:space="preserve"> – The target audience includes hospitality professionals, employers, and job seekers with disabilities.</w:t>
      </w:r>
    </w:p>
    <w:p w14:paraId="27E17383"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2" w:name="_Toc191503474"/>
      <w:r w:rsidRPr="00731754">
        <w:rPr>
          <w:rStyle w:val="Heading3Char"/>
          <w:rFonts w:ascii="Times New Roman" w:hAnsi="Times New Roman" w:cs="Times New Roman"/>
          <w:sz w:val="24"/>
          <w:szCs w:val="24"/>
        </w:rPr>
        <w:t>Process</w:t>
      </w:r>
      <w:bookmarkEnd w:id="22"/>
      <w:r w:rsidRPr="00731754">
        <w:rPr>
          <w:rFonts w:ascii="Times New Roman" w:hAnsi="Times New Roman" w:cs="Times New Roman"/>
          <w:sz w:val="24"/>
          <w:szCs w:val="24"/>
        </w:rPr>
        <w:t xml:space="preserve"> – Efficient registration and structured networking opportunities to facilitate direct interaction between employers and participants (Rochin Demong et al., 2024).</w:t>
      </w:r>
    </w:p>
    <w:p w14:paraId="0F191F11" w14:textId="77777777" w:rsidR="008864E4" w:rsidRPr="00731754" w:rsidRDefault="008864E4" w:rsidP="008864E4">
      <w:pPr>
        <w:pStyle w:val="ListParagraph"/>
        <w:numPr>
          <w:ilvl w:val="0"/>
          <w:numId w:val="9"/>
        </w:numPr>
        <w:spacing w:line="360" w:lineRule="auto"/>
        <w:jc w:val="both"/>
        <w:rPr>
          <w:rFonts w:ascii="Times New Roman" w:hAnsi="Times New Roman" w:cs="Times New Roman"/>
          <w:sz w:val="24"/>
          <w:szCs w:val="24"/>
        </w:rPr>
      </w:pPr>
      <w:bookmarkStart w:id="23" w:name="_Toc191503475"/>
      <w:r w:rsidRPr="00731754">
        <w:rPr>
          <w:rStyle w:val="Heading3Char"/>
          <w:rFonts w:ascii="Times New Roman" w:hAnsi="Times New Roman" w:cs="Times New Roman"/>
          <w:sz w:val="24"/>
          <w:szCs w:val="24"/>
        </w:rPr>
        <w:t>Physical Evidence</w:t>
      </w:r>
      <w:bookmarkEnd w:id="23"/>
      <w:r w:rsidRPr="00731754">
        <w:rPr>
          <w:rFonts w:ascii="Times New Roman" w:hAnsi="Times New Roman" w:cs="Times New Roman"/>
          <w:sz w:val="24"/>
          <w:szCs w:val="24"/>
        </w:rPr>
        <w:t xml:space="preserve"> – Professional branding, promotional materials such as posters and flyers.</w:t>
      </w:r>
    </w:p>
    <w:p w14:paraId="51C984AC"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The event meets the needs for belonging and self-actualization according to Maslow's Hierarchy of Needs (Omodan &amp; Abejide, 2022), providing a safe and accessible environment that reduces employment barriers for people with disabilities. Moreover, integrating modern motivational principles enhances participant experience and strengthens the event’s social impact.</w:t>
      </w:r>
    </w:p>
    <w:p w14:paraId="3AF3AED9" w14:textId="77777777" w:rsidR="008864E4" w:rsidRPr="00731754" w:rsidRDefault="008864E4" w:rsidP="008864E4">
      <w:pPr>
        <w:pStyle w:val="Heading2"/>
        <w:rPr>
          <w:rFonts w:ascii="Times New Roman" w:hAnsi="Times New Roman" w:cs="Times New Roman"/>
          <w:sz w:val="24"/>
          <w:szCs w:val="24"/>
        </w:rPr>
      </w:pPr>
      <w:bookmarkStart w:id="24" w:name="_Toc191503476"/>
      <w:r w:rsidRPr="00731754">
        <w:rPr>
          <w:rFonts w:ascii="Times New Roman" w:hAnsi="Times New Roman" w:cs="Times New Roman"/>
          <w:sz w:val="24"/>
          <w:szCs w:val="24"/>
        </w:rPr>
        <w:t>Operations</w:t>
      </w:r>
      <w:bookmarkEnd w:id="24"/>
    </w:p>
    <w:p w14:paraId="3187980B"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Operational efficiency ensures seamless execution. The EMBOK model covers venue logistics, staff coordination, supplier management, and accessibility (Silvers, 2003). ExCeL London ensures wheelchair access, directional signage, and assistive technology (ExCeL London, n.d.). The project management team handles logistics, marketing, and fundraising (Ng, 2024), with Scope UK volunteers minimizing costs (Cuskelly et al., 2020). Technology integration, such as VR simulations, enhances engagement and inclusivity. Collaboration with corporate sponsors, NGOs, and industry leaders ensures smooth execution (Freitas et al., 2024).</w:t>
      </w:r>
    </w:p>
    <w:p w14:paraId="39E0B656" w14:textId="77777777" w:rsidR="008864E4" w:rsidRPr="00731754" w:rsidRDefault="008864E4" w:rsidP="008864E4">
      <w:pPr>
        <w:pStyle w:val="Heading2"/>
        <w:rPr>
          <w:rFonts w:ascii="Times New Roman" w:hAnsi="Times New Roman" w:cs="Times New Roman"/>
          <w:sz w:val="24"/>
          <w:szCs w:val="24"/>
        </w:rPr>
      </w:pPr>
      <w:bookmarkStart w:id="25" w:name="_Toc191503477"/>
      <w:r w:rsidRPr="00731754">
        <w:rPr>
          <w:rFonts w:ascii="Times New Roman" w:hAnsi="Times New Roman" w:cs="Times New Roman"/>
          <w:sz w:val="24"/>
          <w:szCs w:val="24"/>
        </w:rPr>
        <w:lastRenderedPageBreak/>
        <w:t>Risk Management</w:t>
      </w:r>
      <w:bookmarkEnd w:id="25"/>
    </w:p>
    <w:p w14:paraId="7CBFE0FF" w14:textId="77777777" w:rsidR="008864E4" w:rsidRPr="00731754" w:rsidRDefault="008864E4" w:rsidP="008864E4">
      <w:pPr>
        <w:pStyle w:val="Default"/>
        <w:spacing w:line="360" w:lineRule="auto"/>
        <w:jc w:val="both"/>
        <w:rPr>
          <w:rFonts w:ascii="Times New Roman" w:hAnsi="Times New Roman" w:cs="Times New Roman"/>
          <w:lang w:val="en-US"/>
        </w:rPr>
      </w:pPr>
      <w:r w:rsidRPr="00731754">
        <w:rPr>
          <w:rFonts w:ascii="Times New Roman" w:hAnsi="Times New Roman" w:cs="Times New Roman"/>
          <w:lang w:val="en-US"/>
        </w:rPr>
        <w:t>Ensuring safety at "All About Inclusion – Breaking Barriers in Hospitality" involves stage security, crowd control, and emergency planning. A well-constructed stage with clear access points and secured electrical cabling minimizes hazards (</w:t>
      </w:r>
      <w:proofErr w:type="spellStart"/>
      <w:r w:rsidRPr="00731754">
        <w:rPr>
          <w:rFonts w:ascii="Times New Roman" w:hAnsi="Times New Roman" w:cs="Times New Roman"/>
          <w:lang w:val="en-US"/>
        </w:rPr>
        <w:t>Sedlak</w:t>
      </w:r>
      <w:proofErr w:type="spellEnd"/>
      <w:r w:rsidRPr="00731754">
        <w:rPr>
          <w:rFonts w:ascii="Times New Roman" w:hAnsi="Times New Roman" w:cs="Times New Roman"/>
          <w:lang w:val="en-US"/>
        </w:rPr>
        <w:t>, Parker &amp; Mills, 2023). Crowd management strategies, including designated evacuation routes, prevent overcrowding risks (</w:t>
      </w:r>
      <w:proofErr w:type="spellStart"/>
      <w:r w:rsidRPr="00731754">
        <w:rPr>
          <w:rFonts w:ascii="Times New Roman" w:hAnsi="Times New Roman" w:cs="Times New Roman"/>
          <w:lang w:val="en-US"/>
        </w:rPr>
        <w:t>Schütte</w:t>
      </w:r>
      <w:proofErr w:type="spellEnd"/>
      <w:r w:rsidRPr="00731754">
        <w:rPr>
          <w:rFonts w:ascii="Times New Roman" w:hAnsi="Times New Roman" w:cs="Times New Roman"/>
          <w:lang w:val="en-US"/>
        </w:rPr>
        <w:t xml:space="preserve"> et al., 2024). Trained security, medical teams, and contingency plans for speaker cancellations or technical failures ensure event continuity. Compliance with UK accessibility laws guarantees inclusivity. Partnerships with local authorities and safety professionals enhance risk mitigation, ensuring a structured, secure experience for all attendees (</w:t>
      </w:r>
      <w:proofErr w:type="spellStart"/>
      <w:r w:rsidRPr="00731754">
        <w:rPr>
          <w:rFonts w:ascii="Times New Roman" w:hAnsi="Times New Roman" w:cs="Times New Roman"/>
          <w:lang w:val="en-US"/>
        </w:rPr>
        <w:t>Sedlak</w:t>
      </w:r>
      <w:proofErr w:type="spellEnd"/>
      <w:r w:rsidRPr="00731754">
        <w:rPr>
          <w:rFonts w:ascii="Times New Roman" w:hAnsi="Times New Roman" w:cs="Times New Roman"/>
          <w:lang w:val="en-US"/>
        </w:rPr>
        <w:t>, Parker &amp; Mills, 2023).</w:t>
      </w:r>
    </w:p>
    <w:p w14:paraId="68279C15" w14:textId="77777777" w:rsidR="008864E4" w:rsidRPr="00731754" w:rsidRDefault="008864E4" w:rsidP="008864E4">
      <w:pPr>
        <w:pStyle w:val="Heading2"/>
        <w:rPr>
          <w:rFonts w:ascii="Times New Roman" w:hAnsi="Times New Roman" w:cs="Times New Roman"/>
          <w:sz w:val="24"/>
          <w:szCs w:val="24"/>
        </w:rPr>
      </w:pPr>
      <w:bookmarkStart w:id="26" w:name="_Toc191503478"/>
      <w:r w:rsidRPr="00731754">
        <w:rPr>
          <w:rFonts w:ascii="Times New Roman" w:hAnsi="Times New Roman" w:cs="Times New Roman"/>
          <w:sz w:val="24"/>
          <w:szCs w:val="24"/>
        </w:rPr>
        <w:t>Evaluation</w:t>
      </w:r>
      <w:bookmarkEnd w:id="26"/>
    </w:p>
    <w:p w14:paraId="529BBECC"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 xml:space="preserve">Post-event evaluation measures key objectives through qualitative and quantitative assessments obținute </w:t>
      </w:r>
      <w:r w:rsidRPr="00731754">
        <w:rPr>
          <w:rFonts w:ascii="Times New Roman" w:hAnsi="Times New Roman" w:cs="Times New Roman"/>
          <w:lang w:val="en-US"/>
        </w:rPr>
        <w:t>(</w:t>
      </w:r>
      <w:proofErr w:type="spellStart"/>
      <w:r w:rsidRPr="00731754">
        <w:rPr>
          <w:rFonts w:ascii="Times New Roman" w:hAnsi="Times New Roman" w:cs="Times New Roman"/>
          <w:lang w:val="en-US"/>
        </w:rPr>
        <w:t>Prisăcaru</w:t>
      </w:r>
      <w:proofErr w:type="spellEnd"/>
      <w:r w:rsidRPr="00731754">
        <w:rPr>
          <w:rFonts w:ascii="Times New Roman" w:hAnsi="Times New Roman" w:cs="Times New Roman"/>
          <w:lang w:val="en-US"/>
        </w:rPr>
        <w:t>, 2020, p</w:t>
      </w:r>
      <w:r w:rsidRPr="00731754">
        <w:rPr>
          <w:rFonts w:ascii="Times New Roman" w:hAnsi="Times New Roman" w:cs="Times New Roman"/>
        </w:rPr>
        <w:t>. 22</w:t>
      </w:r>
      <w:r w:rsidRPr="00731754">
        <w:rPr>
          <w:rFonts w:ascii="Times New Roman" w:hAnsi="Times New Roman" w:cs="Times New Roman"/>
          <w:lang w:val="en-US"/>
        </w:rPr>
        <w:t>)</w:t>
      </w:r>
      <w:r w:rsidRPr="00731754">
        <w:rPr>
          <w:rFonts w:ascii="Times New Roman" w:hAnsi="Times New Roman" w:cs="Times New Roman"/>
        </w:rPr>
        <w:t xml:space="preserve">.  </w:t>
      </w:r>
    </w:p>
    <w:p w14:paraId="3BF38AE6" w14:textId="77777777" w:rsidR="008864E4" w:rsidRPr="00731754" w:rsidRDefault="008864E4" w:rsidP="008864E4">
      <w:pPr>
        <w:pStyle w:val="Default"/>
        <w:spacing w:line="360" w:lineRule="auto"/>
        <w:jc w:val="both"/>
        <w:rPr>
          <w:rFonts w:ascii="Times New Roman" w:hAnsi="Times New Roman" w:cs="Times New Roman"/>
        </w:rPr>
      </w:pPr>
      <w:r w:rsidRPr="00731754">
        <w:rPr>
          <w:rFonts w:ascii="Times New Roman" w:hAnsi="Times New Roman" w:cs="Times New Roman"/>
        </w:rPr>
        <w:t>Metrics include:</w:t>
      </w:r>
    </w:p>
    <w:p w14:paraId="09247DE3" w14:textId="77777777" w:rsidR="008864E4" w:rsidRPr="00731754" w:rsidRDefault="008864E4" w:rsidP="008864E4">
      <w:pPr>
        <w:pStyle w:val="Default"/>
        <w:numPr>
          <w:ilvl w:val="0"/>
          <w:numId w:val="8"/>
        </w:numPr>
        <w:spacing w:line="360" w:lineRule="auto"/>
        <w:jc w:val="both"/>
        <w:rPr>
          <w:rFonts w:ascii="Times New Roman" w:hAnsi="Times New Roman" w:cs="Times New Roman"/>
        </w:rPr>
      </w:pPr>
      <w:r w:rsidRPr="00731754">
        <w:rPr>
          <w:rFonts w:ascii="Times New Roman" w:hAnsi="Times New Roman" w:cs="Times New Roman"/>
        </w:rPr>
        <w:t>Employment Impact: Securing at least 50 recruitment pledges for disabled individuals (UK Government, 2024).</w:t>
      </w:r>
    </w:p>
    <w:p w14:paraId="57FE2942" w14:textId="77777777" w:rsidR="008864E4" w:rsidRPr="00731754" w:rsidRDefault="008864E4" w:rsidP="008864E4">
      <w:pPr>
        <w:pStyle w:val="Default"/>
        <w:numPr>
          <w:ilvl w:val="0"/>
          <w:numId w:val="8"/>
        </w:numPr>
        <w:spacing w:line="360" w:lineRule="auto"/>
        <w:jc w:val="both"/>
        <w:rPr>
          <w:rFonts w:ascii="Times New Roman" w:hAnsi="Times New Roman" w:cs="Times New Roman"/>
        </w:rPr>
      </w:pPr>
      <w:r w:rsidRPr="00731754">
        <w:rPr>
          <w:rFonts w:ascii="Times New Roman" w:hAnsi="Times New Roman" w:cs="Times New Roman"/>
        </w:rPr>
        <w:t>Financial Success: Comparing actual revenue with budget forecasts.</w:t>
      </w:r>
    </w:p>
    <w:p w14:paraId="4C81A0DE" w14:textId="77777777" w:rsidR="008864E4" w:rsidRPr="00731754" w:rsidRDefault="008864E4" w:rsidP="008864E4">
      <w:pPr>
        <w:pStyle w:val="Default"/>
        <w:numPr>
          <w:ilvl w:val="0"/>
          <w:numId w:val="8"/>
        </w:numPr>
        <w:spacing w:line="360" w:lineRule="auto"/>
        <w:jc w:val="both"/>
        <w:rPr>
          <w:rFonts w:ascii="Times New Roman" w:hAnsi="Times New Roman" w:cs="Times New Roman"/>
        </w:rPr>
      </w:pPr>
      <w:r w:rsidRPr="00731754">
        <w:rPr>
          <w:rFonts w:ascii="Times New Roman" w:hAnsi="Times New Roman" w:cs="Times New Roman"/>
        </w:rPr>
        <w:t>Marketing Reach: Analyzing social media engagement, press coverage, and feedback surveys.</w:t>
      </w:r>
    </w:p>
    <w:p w14:paraId="240540F6" w14:textId="77777777" w:rsidR="008864E4" w:rsidRPr="00731754" w:rsidRDefault="008864E4" w:rsidP="008864E4">
      <w:pPr>
        <w:pStyle w:val="Default"/>
        <w:spacing w:line="360" w:lineRule="auto"/>
        <w:jc w:val="both"/>
        <w:rPr>
          <w:rFonts w:ascii="Times New Roman" w:hAnsi="Times New Roman" w:cs="Times New Roman"/>
          <w:lang w:val="en-US"/>
        </w:rPr>
      </w:pPr>
      <w:r w:rsidRPr="00731754">
        <w:rPr>
          <w:rFonts w:ascii="Times New Roman" w:hAnsi="Times New Roman" w:cs="Times New Roman"/>
          <w:lang w:val="en-US"/>
        </w:rPr>
        <w:t>For a more detailed understanding of the EMBOK model’s application, Table 1 in the Appendices presents an overview of how key domains such as administration, risk strategies, marketing execution, and logistics have been integrated into this event. Additionally, the SWOT and PESTEL analyses in the Appendices provide further insights into the internal strengths and weaknesses of the event, as well as the external political, economic, social, technological, environmental, and legal factors that influence its success. These strategic assessments help identify potential risks and opportunities, ensuring a well-structured and impactful event.</w:t>
      </w:r>
    </w:p>
    <w:p w14:paraId="7899EED0" w14:textId="3D277932" w:rsidR="008864E4" w:rsidRPr="00731754" w:rsidRDefault="008864E4" w:rsidP="008864E4">
      <w:pPr>
        <w:pStyle w:val="Heading1"/>
        <w:rPr>
          <w:rFonts w:ascii="Times New Roman" w:hAnsi="Times New Roman" w:cs="Times New Roman"/>
          <w:sz w:val="24"/>
          <w:szCs w:val="24"/>
        </w:rPr>
      </w:pPr>
      <w:bookmarkStart w:id="27" w:name="_Toc191503479"/>
      <w:r w:rsidRPr="00731754">
        <w:rPr>
          <w:rFonts w:ascii="Times New Roman" w:hAnsi="Times New Roman" w:cs="Times New Roman"/>
          <w:sz w:val="24"/>
          <w:szCs w:val="24"/>
        </w:rPr>
        <w:t>EVENT B</w:t>
      </w:r>
      <w:r w:rsidR="00C732B7">
        <w:rPr>
          <w:rFonts w:ascii="Times New Roman" w:hAnsi="Times New Roman" w:cs="Times New Roman"/>
          <w:sz w:val="24"/>
          <w:szCs w:val="24"/>
        </w:rPr>
        <w:t>UD</w:t>
      </w:r>
      <w:r w:rsidRPr="00731754">
        <w:rPr>
          <w:rFonts w:ascii="Times New Roman" w:hAnsi="Times New Roman" w:cs="Times New Roman"/>
          <w:sz w:val="24"/>
          <w:szCs w:val="24"/>
        </w:rPr>
        <w:t>GET</w:t>
      </w:r>
      <w:bookmarkEnd w:id="27"/>
    </w:p>
    <w:p w14:paraId="446B8C69"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According to Fox et al. (2014), an efficient event budget requires a detailed analysis of expected costs and revenue sources. For this event, a cash flow analysis is used to monitor real-time transactions, identify key revenue sources and expenses, and ensure sufficient financial resources for operations and goals, including potential donations (Loth, 2024).</w:t>
      </w:r>
    </w:p>
    <w:p w14:paraId="6CF672E1" w14:textId="77777777" w:rsidR="008864E4" w:rsidRPr="00731754" w:rsidRDefault="008864E4" w:rsidP="008864E4">
      <w:pPr>
        <w:pStyle w:val="Heading2"/>
        <w:rPr>
          <w:rFonts w:ascii="Times New Roman" w:hAnsi="Times New Roman" w:cs="Times New Roman"/>
          <w:sz w:val="24"/>
          <w:szCs w:val="24"/>
          <w:lang w:val="ro-RO"/>
        </w:rPr>
      </w:pPr>
      <w:bookmarkStart w:id="28" w:name="_Toc191503480"/>
      <w:r w:rsidRPr="00731754">
        <w:rPr>
          <w:rFonts w:ascii="Times New Roman" w:hAnsi="Times New Roman" w:cs="Times New Roman"/>
          <w:sz w:val="24"/>
          <w:szCs w:val="24"/>
          <w:lang w:val="ro-RO"/>
        </w:rPr>
        <w:lastRenderedPageBreak/>
        <w:t>Revenue Sources</w:t>
      </w:r>
      <w:bookmarkEnd w:id="28"/>
    </w:p>
    <w:tbl>
      <w:tblPr>
        <w:tblStyle w:val="TableGrid"/>
        <w:tblW w:w="0" w:type="auto"/>
        <w:tblLook w:val="04A0" w:firstRow="1" w:lastRow="0" w:firstColumn="1" w:lastColumn="0" w:noHBand="0" w:noVBand="1"/>
      </w:tblPr>
      <w:tblGrid>
        <w:gridCol w:w="2261"/>
        <w:gridCol w:w="5389"/>
        <w:gridCol w:w="1366"/>
      </w:tblGrid>
      <w:tr w:rsidR="008864E4" w:rsidRPr="00731754" w14:paraId="43346E3A" w14:textId="77777777" w:rsidTr="00914270">
        <w:tc>
          <w:tcPr>
            <w:tcW w:w="2261" w:type="dxa"/>
          </w:tcPr>
          <w:p w14:paraId="45A220AB"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Category</w:t>
            </w:r>
          </w:p>
          <w:p w14:paraId="77CC0E91"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6A57D7B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Details</w:t>
            </w:r>
          </w:p>
          <w:p w14:paraId="46FAADCB"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19EA0E5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Amount (£)</w:t>
            </w:r>
          </w:p>
        </w:tc>
      </w:tr>
      <w:tr w:rsidR="008864E4" w:rsidRPr="00731754" w14:paraId="03E10361" w14:textId="77777777" w:rsidTr="00914270">
        <w:tc>
          <w:tcPr>
            <w:tcW w:w="2261" w:type="dxa"/>
          </w:tcPr>
          <w:p w14:paraId="4D758C5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Sponsorships</w:t>
            </w:r>
          </w:p>
          <w:p w14:paraId="31970888"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0A2F1217"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Sprijin corporativdin partea Lloyds Banking Group, Barclays, PwC UK</w:t>
            </w:r>
            <w:r w:rsidRPr="00731754">
              <w:rPr>
                <w:rFonts w:ascii="Times New Roman" w:eastAsia="Arial" w:hAnsi="Times New Roman"/>
                <w:color w:val="000000"/>
                <w:sz w:val="24"/>
                <w:szCs w:val="24"/>
              </w:rPr>
              <w:t xml:space="preserve"> </w:t>
            </w:r>
            <w:r w:rsidRPr="00731754">
              <w:rPr>
                <w:rFonts w:ascii="Times New Roman" w:hAnsi="Times New Roman"/>
                <w:sz w:val="24"/>
                <w:szCs w:val="24"/>
              </w:rPr>
              <w:t>(Impact Match, 2025),</w:t>
            </w:r>
          </w:p>
        </w:tc>
        <w:tc>
          <w:tcPr>
            <w:tcW w:w="1366" w:type="dxa"/>
          </w:tcPr>
          <w:p w14:paraId="4AD5B72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25,000</w:t>
            </w:r>
          </w:p>
        </w:tc>
      </w:tr>
      <w:tr w:rsidR="008864E4" w:rsidRPr="00731754" w14:paraId="323A8758" w14:textId="77777777" w:rsidTr="00914270">
        <w:tc>
          <w:tcPr>
            <w:tcW w:w="2261" w:type="dxa"/>
          </w:tcPr>
          <w:p w14:paraId="6A4B656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Exhibition Stands</w:t>
            </w:r>
          </w:p>
          <w:p w14:paraId="697DC6A1"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193A00C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Fees from hospitality brands</w:t>
            </w:r>
          </w:p>
          <w:p w14:paraId="613BC607"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4D28D32F"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15,000</w:t>
            </w:r>
          </w:p>
        </w:tc>
      </w:tr>
      <w:tr w:rsidR="008864E4" w:rsidRPr="00731754" w14:paraId="79D908BF" w14:textId="77777777" w:rsidTr="00914270">
        <w:tc>
          <w:tcPr>
            <w:tcW w:w="2261" w:type="dxa"/>
          </w:tcPr>
          <w:p w14:paraId="0A67099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Donations</w:t>
            </w:r>
          </w:p>
          <w:p w14:paraId="2DE6EE45" w14:textId="77777777" w:rsidR="008864E4" w:rsidRPr="00731754" w:rsidRDefault="008864E4" w:rsidP="00914270">
            <w:pPr>
              <w:spacing w:line="360" w:lineRule="auto"/>
              <w:jc w:val="both"/>
              <w:rPr>
                <w:rFonts w:ascii="Times New Roman" w:hAnsi="Times New Roman"/>
                <w:sz w:val="24"/>
                <w:szCs w:val="24"/>
              </w:rPr>
            </w:pPr>
          </w:p>
        </w:tc>
        <w:tc>
          <w:tcPr>
            <w:tcW w:w="5389" w:type="dxa"/>
          </w:tcPr>
          <w:p w14:paraId="0F4FAACE"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Individual and corporate contributions to Scope UK</w:t>
            </w:r>
          </w:p>
          <w:p w14:paraId="7E585D3A"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1EFD6359"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2,000</w:t>
            </w:r>
          </w:p>
        </w:tc>
      </w:tr>
      <w:tr w:rsidR="008864E4" w:rsidRPr="00731754" w14:paraId="20572384" w14:textId="77777777" w:rsidTr="00914270">
        <w:tc>
          <w:tcPr>
            <w:tcW w:w="2261" w:type="dxa"/>
          </w:tcPr>
          <w:p w14:paraId="1631892A"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Ticket Sales</w:t>
            </w:r>
          </w:p>
          <w:p w14:paraId="0567DAD1" w14:textId="77777777" w:rsidR="008864E4" w:rsidRPr="00731754" w:rsidRDefault="008864E4" w:rsidP="00914270">
            <w:pPr>
              <w:spacing w:line="360" w:lineRule="auto"/>
              <w:jc w:val="both"/>
              <w:rPr>
                <w:rFonts w:ascii="Times New Roman" w:hAnsi="Times New Roman"/>
                <w:sz w:val="24"/>
                <w:szCs w:val="24"/>
              </w:rPr>
            </w:pPr>
          </w:p>
        </w:tc>
        <w:tc>
          <w:tcPr>
            <w:tcW w:w="538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16"/>
              <w:gridCol w:w="81"/>
            </w:tblGrid>
            <w:tr w:rsidR="008864E4" w:rsidRPr="00731754" w14:paraId="1DE36CCD" w14:textId="77777777" w:rsidTr="00914270">
              <w:trPr>
                <w:tblCellSpacing w:w="15" w:type="dxa"/>
              </w:trPr>
              <w:tc>
                <w:tcPr>
                  <w:tcW w:w="0" w:type="auto"/>
                  <w:vAlign w:val="center"/>
                  <w:hideMark/>
                </w:tcPr>
                <w:p w14:paraId="7C422D22" w14:textId="77777777" w:rsidR="008864E4" w:rsidRPr="00731754" w:rsidRDefault="008864E4" w:rsidP="00914270">
                  <w:pPr>
                    <w:spacing w:line="360" w:lineRule="auto"/>
                    <w:jc w:val="both"/>
                    <w:rPr>
                      <w:rFonts w:ascii="Times New Roman" w:hAnsi="Times New Roman"/>
                      <w:sz w:val="24"/>
                      <w:szCs w:val="24"/>
                      <w:lang w:val="ro-RO"/>
                    </w:rPr>
                  </w:pPr>
                  <w:r w:rsidRPr="00731754">
                    <w:rPr>
                      <w:rFonts w:ascii="Times New Roman" w:hAnsi="Times New Roman"/>
                      <w:sz w:val="24"/>
                      <w:szCs w:val="24"/>
                    </w:rPr>
                    <w:t>£95 per ticket × 200 attendees (</w:t>
                  </w:r>
                  <w:proofErr w:type="spellStart"/>
                  <w:r w:rsidRPr="00731754">
                    <w:rPr>
                      <w:rFonts w:ascii="Times New Roman" w:hAnsi="Times New Roman"/>
                      <w:sz w:val="24"/>
                      <w:szCs w:val="24"/>
                    </w:rPr>
                    <w:t>Sentino</w:t>
                  </w:r>
                  <w:proofErr w:type="spellEnd"/>
                  <w:r w:rsidRPr="00731754">
                    <w:rPr>
                      <w:rFonts w:ascii="Times New Roman" w:hAnsi="Times New Roman"/>
                      <w:sz w:val="24"/>
                      <w:szCs w:val="24"/>
                    </w:rPr>
                    <w:t>, 2024)</w:t>
                  </w:r>
                </w:p>
              </w:tc>
              <w:tc>
                <w:tcPr>
                  <w:tcW w:w="0" w:type="auto"/>
                  <w:vAlign w:val="center"/>
                  <w:hideMark/>
                </w:tcPr>
                <w:p w14:paraId="11CA6DD0" w14:textId="77777777" w:rsidR="008864E4" w:rsidRPr="00731754" w:rsidRDefault="008864E4" w:rsidP="00914270">
                  <w:pPr>
                    <w:spacing w:after="0" w:line="360" w:lineRule="auto"/>
                    <w:jc w:val="both"/>
                    <w:rPr>
                      <w:rFonts w:ascii="Times New Roman" w:hAnsi="Times New Roman"/>
                      <w:sz w:val="24"/>
                      <w:szCs w:val="24"/>
                      <w:lang w:val="ro-RO"/>
                    </w:rPr>
                  </w:pPr>
                </w:p>
              </w:tc>
            </w:tr>
          </w:tbl>
          <w:p w14:paraId="38D1BCB4" w14:textId="77777777" w:rsidR="008864E4" w:rsidRPr="00731754" w:rsidRDefault="008864E4" w:rsidP="00914270">
            <w:pPr>
              <w:spacing w:line="360" w:lineRule="auto"/>
              <w:jc w:val="both"/>
              <w:rPr>
                <w:rFonts w:ascii="Times New Roman" w:hAnsi="Times New Roman"/>
                <w:vanish/>
                <w:sz w:val="24"/>
                <w:szCs w:val="24"/>
              </w:rPr>
            </w:pPr>
          </w:p>
          <w:p w14:paraId="61412320"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1AED656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 xml:space="preserve">19,000 </w:t>
            </w:r>
          </w:p>
        </w:tc>
      </w:tr>
      <w:tr w:rsidR="008864E4" w:rsidRPr="00731754" w14:paraId="526D0D0A" w14:textId="77777777" w:rsidTr="00914270">
        <w:tc>
          <w:tcPr>
            <w:tcW w:w="2261" w:type="dxa"/>
          </w:tcPr>
          <w:p w14:paraId="49FA3A4C" w14:textId="77777777" w:rsidR="008864E4" w:rsidRPr="00731754" w:rsidRDefault="008864E4" w:rsidP="00914270">
            <w:pPr>
              <w:spacing w:line="360" w:lineRule="auto"/>
              <w:jc w:val="both"/>
              <w:rPr>
                <w:rFonts w:ascii="Times New Roman" w:hAnsi="Times New Roman"/>
                <w:sz w:val="24"/>
                <w:szCs w:val="24"/>
              </w:rPr>
            </w:pPr>
            <w:r w:rsidRPr="00731754">
              <w:rPr>
                <w:rStyle w:val="Strong"/>
                <w:rFonts w:ascii="Times New Roman" w:hAnsi="Times New Roman"/>
                <w:sz w:val="24"/>
                <w:szCs w:val="24"/>
              </w:rPr>
              <w:t>Total Revenue</w:t>
            </w:r>
          </w:p>
        </w:tc>
        <w:tc>
          <w:tcPr>
            <w:tcW w:w="5389" w:type="dxa"/>
          </w:tcPr>
          <w:p w14:paraId="1F9B4A0E"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2374C9C3"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£61,000</w:t>
            </w:r>
          </w:p>
        </w:tc>
      </w:tr>
    </w:tbl>
    <w:p w14:paraId="3C9A123F" w14:textId="77777777" w:rsidR="008864E4" w:rsidRPr="00731754" w:rsidRDefault="008864E4" w:rsidP="008864E4">
      <w:pPr>
        <w:pStyle w:val="Heading2"/>
        <w:rPr>
          <w:rFonts w:ascii="Times New Roman" w:hAnsi="Times New Roman" w:cs="Times New Roman"/>
          <w:sz w:val="24"/>
          <w:szCs w:val="24"/>
          <w:lang w:val="ro-RO"/>
        </w:rPr>
      </w:pPr>
      <w:bookmarkStart w:id="29" w:name="_Toc191503481"/>
      <w:r w:rsidRPr="00731754">
        <w:rPr>
          <w:rFonts w:ascii="Times New Roman" w:hAnsi="Times New Roman" w:cs="Times New Roman"/>
          <w:sz w:val="24"/>
          <w:szCs w:val="24"/>
          <w:lang w:val="ro-RO"/>
        </w:rPr>
        <w:t>Estimated Costs:</w:t>
      </w:r>
      <w:bookmarkEnd w:id="29"/>
    </w:p>
    <w:tbl>
      <w:tblPr>
        <w:tblStyle w:val="TableGrid"/>
        <w:tblW w:w="0" w:type="auto"/>
        <w:tblLook w:val="04A0" w:firstRow="1" w:lastRow="0" w:firstColumn="1" w:lastColumn="0" w:noHBand="0" w:noVBand="1"/>
      </w:tblPr>
      <w:tblGrid>
        <w:gridCol w:w="2263"/>
        <w:gridCol w:w="5387"/>
        <w:gridCol w:w="1366"/>
      </w:tblGrid>
      <w:tr w:rsidR="008864E4" w:rsidRPr="00731754" w14:paraId="27D9B04D" w14:textId="77777777" w:rsidTr="00914270">
        <w:tc>
          <w:tcPr>
            <w:tcW w:w="2263" w:type="dxa"/>
          </w:tcPr>
          <w:p w14:paraId="7DBADE03"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Category</w:t>
            </w:r>
          </w:p>
          <w:p w14:paraId="04E42536" w14:textId="77777777" w:rsidR="008864E4" w:rsidRPr="00731754" w:rsidRDefault="008864E4" w:rsidP="00914270">
            <w:pPr>
              <w:spacing w:line="360" w:lineRule="auto"/>
              <w:jc w:val="both"/>
              <w:rPr>
                <w:rFonts w:ascii="Times New Roman" w:hAnsi="Times New Roman"/>
                <w:sz w:val="24"/>
                <w:szCs w:val="24"/>
              </w:rPr>
            </w:pPr>
          </w:p>
        </w:tc>
        <w:tc>
          <w:tcPr>
            <w:tcW w:w="5387" w:type="dxa"/>
          </w:tcPr>
          <w:p w14:paraId="3F742F81"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Details</w:t>
            </w:r>
          </w:p>
          <w:p w14:paraId="674F4C1E"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6827F616"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Amount (£)</w:t>
            </w:r>
          </w:p>
          <w:p w14:paraId="60188601" w14:textId="77777777" w:rsidR="008864E4" w:rsidRPr="00731754" w:rsidRDefault="008864E4" w:rsidP="00914270">
            <w:pPr>
              <w:spacing w:line="360" w:lineRule="auto"/>
              <w:jc w:val="both"/>
              <w:rPr>
                <w:rFonts w:ascii="Times New Roman" w:hAnsi="Times New Roman"/>
                <w:sz w:val="24"/>
                <w:szCs w:val="24"/>
              </w:rPr>
            </w:pPr>
          </w:p>
        </w:tc>
      </w:tr>
      <w:tr w:rsidR="008864E4" w:rsidRPr="00731754" w14:paraId="54E84FA6" w14:textId="77777777" w:rsidTr="00914270">
        <w:tc>
          <w:tcPr>
            <w:tcW w:w="2263" w:type="dxa"/>
          </w:tcPr>
          <w:p w14:paraId="654D4EF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Venue Hire</w:t>
            </w:r>
          </w:p>
          <w:p w14:paraId="61DA4CA4" w14:textId="77777777" w:rsidR="008864E4" w:rsidRPr="00731754" w:rsidRDefault="008864E4" w:rsidP="00914270">
            <w:pPr>
              <w:spacing w:line="360" w:lineRule="auto"/>
              <w:jc w:val="both"/>
              <w:rPr>
                <w:rFonts w:ascii="Times New Roman" w:hAnsi="Times New Roman"/>
                <w:sz w:val="24"/>
                <w:szCs w:val="24"/>
              </w:rPr>
            </w:pPr>
          </w:p>
        </w:tc>
        <w:tc>
          <w:tcPr>
            <w:tcW w:w="5387" w:type="dxa"/>
          </w:tcPr>
          <w:p w14:paraId="0EBB084C"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ExCeL London, including accessibility features</w:t>
            </w:r>
          </w:p>
          <w:p w14:paraId="383A017C"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2457BC87"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30,000</w:t>
            </w:r>
          </w:p>
        </w:tc>
      </w:tr>
      <w:tr w:rsidR="008864E4" w:rsidRPr="00731754" w14:paraId="39C7B635" w14:textId="77777777" w:rsidTr="00914270">
        <w:tc>
          <w:tcPr>
            <w:tcW w:w="2263" w:type="dxa"/>
          </w:tcPr>
          <w:p w14:paraId="6F446D8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Catering</w:t>
            </w:r>
          </w:p>
        </w:tc>
        <w:tc>
          <w:tcPr>
            <w:tcW w:w="5387" w:type="dxa"/>
          </w:tcPr>
          <w:p w14:paraId="2F2A5578"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£25 per person × 200 attendees (Sendino, 2024)</w:t>
            </w:r>
          </w:p>
        </w:tc>
        <w:tc>
          <w:tcPr>
            <w:tcW w:w="1366" w:type="dxa"/>
          </w:tcPr>
          <w:p w14:paraId="061DA17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5,000</w:t>
            </w:r>
          </w:p>
        </w:tc>
      </w:tr>
      <w:tr w:rsidR="008864E4" w:rsidRPr="00731754" w14:paraId="05ECDDD7" w14:textId="77777777" w:rsidTr="00914270">
        <w:tc>
          <w:tcPr>
            <w:tcW w:w="2263" w:type="dxa"/>
          </w:tcPr>
          <w:p w14:paraId="3DA5EBA4"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Marketing</w:t>
            </w:r>
          </w:p>
          <w:p w14:paraId="214DCAFF" w14:textId="77777777" w:rsidR="008864E4" w:rsidRPr="00731754" w:rsidRDefault="008864E4" w:rsidP="00914270">
            <w:pPr>
              <w:spacing w:line="360" w:lineRule="auto"/>
              <w:jc w:val="both"/>
              <w:rPr>
                <w:rFonts w:ascii="Times New Roman" w:hAnsi="Times New Roman"/>
                <w:sz w:val="24"/>
                <w:szCs w:val="24"/>
              </w:rPr>
            </w:pPr>
          </w:p>
        </w:tc>
        <w:tc>
          <w:tcPr>
            <w:tcW w:w="5387" w:type="dxa"/>
          </w:tcPr>
          <w:p w14:paraId="40715900"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Digital ads, influencer collaborations, media campaigns</w:t>
            </w:r>
          </w:p>
        </w:tc>
        <w:tc>
          <w:tcPr>
            <w:tcW w:w="1366" w:type="dxa"/>
          </w:tcPr>
          <w:p w14:paraId="57702FF6"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3,000</w:t>
            </w:r>
          </w:p>
        </w:tc>
      </w:tr>
      <w:tr w:rsidR="008864E4" w:rsidRPr="00731754" w14:paraId="5DC00183" w14:textId="77777777" w:rsidTr="00914270">
        <w:tc>
          <w:tcPr>
            <w:tcW w:w="2263" w:type="dxa"/>
          </w:tcPr>
          <w:p w14:paraId="6B07430A"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Logistics &amp; Volunteers</w:t>
            </w:r>
          </w:p>
        </w:tc>
        <w:tc>
          <w:tcPr>
            <w:tcW w:w="5387" w:type="dxa"/>
          </w:tcPr>
          <w:p w14:paraId="10A3D0D8"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Transport, accessibility services, staffing</w:t>
            </w:r>
          </w:p>
        </w:tc>
        <w:tc>
          <w:tcPr>
            <w:tcW w:w="1366" w:type="dxa"/>
          </w:tcPr>
          <w:p w14:paraId="778FABD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1,000</w:t>
            </w:r>
          </w:p>
        </w:tc>
      </w:tr>
      <w:tr w:rsidR="008864E4" w:rsidRPr="00731754" w14:paraId="6811BA19" w14:textId="77777777" w:rsidTr="00914270">
        <w:tc>
          <w:tcPr>
            <w:tcW w:w="2263" w:type="dxa"/>
          </w:tcPr>
          <w:p w14:paraId="2A06F79A"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Miscellaneous</w:t>
            </w:r>
          </w:p>
        </w:tc>
        <w:tc>
          <w:tcPr>
            <w:tcW w:w="5387" w:type="dxa"/>
          </w:tcPr>
          <w:p w14:paraId="68558FD5"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Administrative expenses and contingencies</w:t>
            </w:r>
          </w:p>
        </w:tc>
        <w:tc>
          <w:tcPr>
            <w:tcW w:w="1366" w:type="dxa"/>
          </w:tcPr>
          <w:p w14:paraId="357BC3C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2,000</w:t>
            </w:r>
          </w:p>
        </w:tc>
      </w:tr>
      <w:tr w:rsidR="008864E4" w:rsidRPr="00731754" w14:paraId="37C2E084" w14:textId="77777777" w:rsidTr="00914270">
        <w:tc>
          <w:tcPr>
            <w:tcW w:w="2263" w:type="dxa"/>
          </w:tcPr>
          <w:p w14:paraId="0B1D3C02"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Total Cheltuieli</w:t>
            </w:r>
          </w:p>
        </w:tc>
        <w:tc>
          <w:tcPr>
            <w:tcW w:w="5387" w:type="dxa"/>
          </w:tcPr>
          <w:p w14:paraId="7B93D3EB" w14:textId="77777777" w:rsidR="008864E4" w:rsidRPr="00731754" w:rsidRDefault="008864E4" w:rsidP="00914270">
            <w:pPr>
              <w:spacing w:line="360" w:lineRule="auto"/>
              <w:jc w:val="both"/>
              <w:rPr>
                <w:rFonts w:ascii="Times New Roman" w:hAnsi="Times New Roman"/>
                <w:sz w:val="24"/>
                <w:szCs w:val="24"/>
              </w:rPr>
            </w:pPr>
          </w:p>
        </w:tc>
        <w:tc>
          <w:tcPr>
            <w:tcW w:w="1366" w:type="dxa"/>
          </w:tcPr>
          <w:p w14:paraId="7135CB3D" w14:textId="77777777" w:rsidR="008864E4" w:rsidRPr="00731754" w:rsidRDefault="008864E4" w:rsidP="00914270">
            <w:pPr>
              <w:spacing w:line="360" w:lineRule="auto"/>
              <w:jc w:val="both"/>
              <w:rPr>
                <w:rFonts w:ascii="Times New Roman" w:hAnsi="Times New Roman"/>
                <w:sz w:val="24"/>
                <w:szCs w:val="24"/>
              </w:rPr>
            </w:pPr>
            <w:r w:rsidRPr="00731754">
              <w:rPr>
                <w:rFonts w:ascii="Times New Roman" w:hAnsi="Times New Roman"/>
                <w:sz w:val="24"/>
                <w:szCs w:val="24"/>
              </w:rPr>
              <w:t>£41,000</w:t>
            </w:r>
          </w:p>
        </w:tc>
      </w:tr>
    </w:tbl>
    <w:p w14:paraId="4A2BFD72" w14:textId="77777777" w:rsidR="008864E4" w:rsidRPr="00731754" w:rsidRDefault="008864E4" w:rsidP="008864E4">
      <w:pPr>
        <w:spacing w:line="360" w:lineRule="auto"/>
        <w:jc w:val="both"/>
        <w:rPr>
          <w:rFonts w:ascii="Times New Roman" w:hAnsi="Times New Roman"/>
          <w:sz w:val="24"/>
          <w:szCs w:val="24"/>
        </w:rPr>
      </w:pPr>
    </w:p>
    <w:p w14:paraId="14A6E1EC"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The projected surplus of £20,000 will be allocated as follows: £10,000 for Scope UK’s disability employment programmes and £10,000 for future event editions. By maximising sponsorships and volunteer support, the event aims for efficient resource management and sustainable funding (Anas et al., 2020).</w:t>
      </w:r>
    </w:p>
    <w:p w14:paraId="6135D69A" w14:textId="77777777" w:rsidR="008864E4" w:rsidRPr="00731754" w:rsidRDefault="008864E4" w:rsidP="008864E4">
      <w:pPr>
        <w:pStyle w:val="Heading1"/>
        <w:rPr>
          <w:rFonts w:ascii="Times New Roman" w:hAnsi="Times New Roman" w:cs="Times New Roman"/>
          <w:sz w:val="24"/>
          <w:szCs w:val="24"/>
          <w:lang w:val="ro-RO"/>
        </w:rPr>
      </w:pPr>
      <w:bookmarkStart w:id="30" w:name="_Toc191503482"/>
      <w:r w:rsidRPr="00731754">
        <w:rPr>
          <w:rFonts w:ascii="Times New Roman" w:hAnsi="Times New Roman" w:cs="Times New Roman"/>
          <w:sz w:val="24"/>
          <w:szCs w:val="24"/>
          <w:lang w:val="ro-RO"/>
        </w:rPr>
        <w:lastRenderedPageBreak/>
        <w:t>INDUSTRY TRENDS</w:t>
      </w:r>
      <w:bookmarkEnd w:id="30"/>
    </w:p>
    <w:p w14:paraId="6976B0CD" w14:textId="77777777" w:rsidR="008864E4" w:rsidRPr="00731754" w:rsidRDefault="008864E4" w:rsidP="008864E4">
      <w:pPr>
        <w:pStyle w:val="Heading2"/>
        <w:rPr>
          <w:rFonts w:ascii="Times New Roman" w:hAnsi="Times New Roman" w:cs="Times New Roman"/>
          <w:sz w:val="24"/>
          <w:szCs w:val="24"/>
          <w:lang w:val="ro-RO"/>
        </w:rPr>
      </w:pPr>
      <w:bookmarkStart w:id="31" w:name="_Toc191503483"/>
      <w:r w:rsidRPr="00731754">
        <w:rPr>
          <w:rFonts w:ascii="Times New Roman" w:hAnsi="Times New Roman" w:cs="Times New Roman"/>
          <w:sz w:val="24"/>
          <w:szCs w:val="24"/>
        </w:rPr>
        <w:t>Technological Advancements in MICE Events</w:t>
      </w:r>
      <w:bookmarkEnd w:id="31"/>
    </w:p>
    <w:p w14:paraId="0969A708"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MICE events continue to evolve, heavily influenced by technological advancements and changing consumer behaviors (Rochin Demong et al., 2024). Recent trends include an increased focus on event personalisation, the integration of artificial intelligence, and the growing prevalence of hybrid formats (Krishna and Agarwal, 2024). Virtual reality and augmented reality technologies have become integral to event planning, offering personalised content and networking recommendations. </w:t>
      </w:r>
    </w:p>
    <w:p w14:paraId="3539895E"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Hybrid events, which combine physical and virtual attendance, have gained significant traction by extending audience reach (Rochin Demong et al., 2024). Additionally, there is a rising preference for unique, immersive venues, and technology is increasingly improving accessibility for individuals with disabilities while providing real-time translation capabilities (Rochin Demong et al., 2024).</w:t>
      </w:r>
    </w:p>
    <w:p w14:paraId="7B579C1C"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Despite these advances, the adoption of new technologies presents challenges, particularly regarding data privacy and security. The increasing number of digital interaction points makes protecting personal information more crucial than ever. Organisers must comply with regulations such as GDPR and CCPA to ensure participant trust (Rochin Demong et al., 2024). Furthermore, digital events often face difficulties in maintaining audience engagement, requiring creative approaches and interactive content to keep participants involved (Krishna and Agarwal, 2024).</w:t>
      </w:r>
    </w:p>
    <w:p w14:paraId="6B0CCA84" w14:textId="77777777" w:rsidR="008864E4" w:rsidRPr="00731754" w:rsidRDefault="008864E4" w:rsidP="008864E4">
      <w:pPr>
        <w:pStyle w:val="Heading2"/>
        <w:rPr>
          <w:rFonts w:ascii="Times New Roman" w:hAnsi="Times New Roman" w:cs="Times New Roman"/>
          <w:sz w:val="24"/>
          <w:szCs w:val="24"/>
          <w:lang w:val="ro-RO"/>
        </w:rPr>
      </w:pPr>
      <w:bookmarkStart w:id="32" w:name="_Toc191503484"/>
      <w:r w:rsidRPr="00731754">
        <w:rPr>
          <w:rFonts w:ascii="Times New Roman" w:hAnsi="Times New Roman" w:cs="Times New Roman"/>
          <w:sz w:val="24"/>
          <w:szCs w:val="24"/>
        </w:rPr>
        <w:t>Competition and the Need for Innovation</w:t>
      </w:r>
      <w:bookmarkEnd w:id="32"/>
    </w:p>
    <w:p w14:paraId="64C21CF7"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Although digitalisation has improved operational efficiency and expanded global reach, it has also heightened competition. To thrive in this environment, event organisers must embrace innovative technologies, strengthen data protection measures, and create memorable experiences that cater to participants’ evolving expectations (Krishna and Agarwal, 2024).</w:t>
      </w:r>
    </w:p>
    <w:p w14:paraId="05DE290B" w14:textId="77777777" w:rsidR="008864E4" w:rsidRPr="00731754" w:rsidRDefault="008864E4" w:rsidP="008864E4">
      <w:pPr>
        <w:spacing w:line="360" w:lineRule="auto"/>
        <w:jc w:val="both"/>
        <w:rPr>
          <w:rFonts w:ascii="Times New Roman" w:hAnsi="Times New Roman"/>
          <w:sz w:val="24"/>
          <w:szCs w:val="24"/>
          <w:lang w:val="ro-RO"/>
        </w:rPr>
      </w:pPr>
    </w:p>
    <w:p w14:paraId="36D94165" w14:textId="77777777" w:rsidR="008864E4" w:rsidRPr="00731754" w:rsidRDefault="008864E4" w:rsidP="008864E4">
      <w:pPr>
        <w:spacing w:line="360" w:lineRule="auto"/>
        <w:jc w:val="both"/>
        <w:rPr>
          <w:rFonts w:ascii="Times New Roman" w:hAnsi="Times New Roman"/>
          <w:sz w:val="24"/>
          <w:szCs w:val="24"/>
          <w:lang w:val="ro-RO"/>
        </w:rPr>
      </w:pPr>
    </w:p>
    <w:p w14:paraId="47AE9496" w14:textId="77777777" w:rsidR="008864E4" w:rsidRDefault="008864E4" w:rsidP="008864E4">
      <w:pPr>
        <w:spacing w:line="360" w:lineRule="auto"/>
        <w:jc w:val="both"/>
        <w:rPr>
          <w:rFonts w:ascii="Times New Roman" w:hAnsi="Times New Roman"/>
          <w:sz w:val="24"/>
          <w:szCs w:val="24"/>
          <w:lang w:val="ro-RO"/>
        </w:rPr>
      </w:pPr>
    </w:p>
    <w:p w14:paraId="0F87109E" w14:textId="77777777" w:rsidR="008864E4" w:rsidRPr="00731754" w:rsidRDefault="008864E4" w:rsidP="008864E4">
      <w:pPr>
        <w:spacing w:line="360" w:lineRule="auto"/>
        <w:jc w:val="both"/>
        <w:rPr>
          <w:rFonts w:ascii="Times New Roman" w:hAnsi="Times New Roman"/>
          <w:sz w:val="24"/>
          <w:szCs w:val="24"/>
          <w:lang w:val="ro-RO"/>
        </w:rPr>
      </w:pPr>
    </w:p>
    <w:p w14:paraId="4B9533DF" w14:textId="77777777" w:rsidR="008864E4" w:rsidRPr="00731754" w:rsidRDefault="008864E4" w:rsidP="008864E4">
      <w:pPr>
        <w:pStyle w:val="Heading1"/>
        <w:spacing w:line="360" w:lineRule="auto"/>
        <w:jc w:val="both"/>
        <w:rPr>
          <w:rFonts w:ascii="Times New Roman" w:hAnsi="Times New Roman" w:cs="Times New Roman"/>
          <w:sz w:val="24"/>
          <w:szCs w:val="24"/>
        </w:rPr>
      </w:pPr>
      <w:bookmarkStart w:id="33" w:name="_Toc191503485"/>
      <w:r w:rsidRPr="00731754">
        <w:rPr>
          <w:rFonts w:ascii="Times New Roman" w:hAnsi="Times New Roman" w:cs="Times New Roman"/>
          <w:sz w:val="24"/>
          <w:szCs w:val="24"/>
        </w:rPr>
        <w:lastRenderedPageBreak/>
        <w:t>CONCLUSION</w:t>
      </w:r>
      <w:bookmarkEnd w:id="33"/>
    </w:p>
    <w:p w14:paraId="35F3CDE0" w14:textId="77777777" w:rsidR="008864E4" w:rsidRPr="00E1070F" w:rsidRDefault="008864E4" w:rsidP="008864E4">
      <w:pPr>
        <w:spacing w:line="360" w:lineRule="auto"/>
        <w:jc w:val="both"/>
        <w:rPr>
          <w:rFonts w:ascii="Times New Roman" w:hAnsi="Times New Roman"/>
          <w:sz w:val="24"/>
          <w:szCs w:val="24"/>
          <w:lang w:val="ro-RO"/>
        </w:rPr>
      </w:pPr>
      <w:r w:rsidRPr="00E1070F">
        <w:rPr>
          <w:rFonts w:ascii="Times New Roman" w:hAnsi="Times New Roman"/>
          <w:sz w:val="24"/>
          <w:szCs w:val="24"/>
          <w:lang w:val="ro-RO"/>
        </w:rPr>
        <w:t>The "All About Inclusion – Breaking Barriers in Hospitality" event successfully highlighted the importance of inclusive employment within the hospitality industry. By fostering dialogue between employers, policymakers, and job seekers with disabilities, the event contributed to raising awareness and securing commitments for workplace diversity. The integration of keynote speeches, job fairs, and interactive simulations provided valuable insights into the barriers faced by disabled individuals seeking employment.</w:t>
      </w:r>
    </w:p>
    <w:p w14:paraId="652DD860" w14:textId="77777777" w:rsidR="008864E4" w:rsidRDefault="008864E4" w:rsidP="008864E4">
      <w:pPr>
        <w:spacing w:line="360" w:lineRule="auto"/>
        <w:jc w:val="both"/>
        <w:rPr>
          <w:rFonts w:ascii="Times New Roman" w:hAnsi="Times New Roman"/>
          <w:sz w:val="24"/>
          <w:szCs w:val="24"/>
          <w:lang w:val="ro-RO"/>
        </w:rPr>
      </w:pPr>
      <w:r w:rsidRPr="00E1070F">
        <w:rPr>
          <w:rFonts w:ascii="Times New Roman" w:hAnsi="Times New Roman"/>
          <w:sz w:val="24"/>
          <w:szCs w:val="24"/>
          <w:lang w:val="ro-RO"/>
        </w:rPr>
        <w:t>To build on this momentum, further research should explore the long-term impact of such initiatives on actual hiring rates and workplace retention. Additionally, future events could incorporate advanced technological tools, such as AI-driven accessibility solutions, to enhance participation.</w:t>
      </w:r>
    </w:p>
    <w:p w14:paraId="2AD2B816" w14:textId="77777777" w:rsidR="008864E4" w:rsidRPr="00E1070F" w:rsidRDefault="008864E4" w:rsidP="008864E4">
      <w:pPr>
        <w:spacing w:line="360" w:lineRule="auto"/>
        <w:jc w:val="both"/>
        <w:rPr>
          <w:rFonts w:ascii="Times New Roman" w:hAnsi="Times New Roman"/>
          <w:sz w:val="24"/>
          <w:szCs w:val="24"/>
          <w:lang w:val="ro-RO"/>
        </w:rPr>
      </w:pPr>
      <w:r w:rsidRPr="00E1070F">
        <w:rPr>
          <w:rFonts w:ascii="Times New Roman" w:hAnsi="Times New Roman"/>
          <w:b/>
          <w:bCs/>
          <w:sz w:val="24"/>
          <w:szCs w:val="24"/>
          <w:lang w:val="ro-RO"/>
        </w:rPr>
        <w:t>Recommendations:</w:t>
      </w:r>
    </w:p>
    <w:p w14:paraId="70ECFC54" w14:textId="77777777" w:rsidR="008864E4" w:rsidRPr="00E1070F" w:rsidRDefault="008864E4" w:rsidP="008864E4">
      <w:pPr>
        <w:pStyle w:val="ListParagraph"/>
        <w:numPr>
          <w:ilvl w:val="0"/>
          <w:numId w:val="10"/>
        </w:numPr>
        <w:spacing w:line="360" w:lineRule="auto"/>
        <w:jc w:val="both"/>
        <w:rPr>
          <w:rFonts w:ascii="Times New Roman" w:hAnsi="Times New Roman" w:cs="Times New Roman"/>
          <w:sz w:val="24"/>
          <w:szCs w:val="24"/>
        </w:rPr>
      </w:pPr>
      <w:r w:rsidRPr="00E1070F">
        <w:rPr>
          <w:rFonts w:ascii="Times New Roman" w:hAnsi="Times New Roman" w:cs="Times New Roman"/>
          <w:sz w:val="24"/>
          <w:szCs w:val="24"/>
        </w:rPr>
        <w:t>Partner with hospitality companies to ensure ongoing hiring of disabled individuals</w:t>
      </w:r>
      <w:r>
        <w:rPr>
          <w:rFonts w:ascii="Times New Roman" w:hAnsi="Times New Roman" w:cs="Times New Roman"/>
          <w:sz w:val="24"/>
          <w:szCs w:val="24"/>
        </w:rPr>
        <w:t xml:space="preserve"> </w:t>
      </w:r>
      <w:r w:rsidRPr="00E1070F">
        <w:rPr>
          <w:rFonts w:ascii="Times New Roman" w:hAnsi="Times New Roman" w:cs="Times New Roman"/>
          <w:sz w:val="24"/>
          <w:szCs w:val="24"/>
        </w:rPr>
        <w:t>(Butler-Sims, 2024)</w:t>
      </w:r>
      <w:r>
        <w:rPr>
          <w:rFonts w:ascii="Times New Roman" w:hAnsi="Times New Roman" w:cs="Times New Roman"/>
          <w:sz w:val="24"/>
          <w:szCs w:val="24"/>
        </w:rPr>
        <w:t>.</w:t>
      </w:r>
    </w:p>
    <w:p w14:paraId="4E9928A3" w14:textId="77777777" w:rsidR="008864E4" w:rsidRPr="00E1070F" w:rsidRDefault="008864E4" w:rsidP="008864E4">
      <w:pPr>
        <w:pStyle w:val="ListParagraph"/>
        <w:numPr>
          <w:ilvl w:val="0"/>
          <w:numId w:val="10"/>
        </w:numPr>
        <w:spacing w:line="360" w:lineRule="auto"/>
        <w:jc w:val="both"/>
        <w:rPr>
          <w:rFonts w:ascii="Times New Roman" w:hAnsi="Times New Roman" w:cs="Times New Roman"/>
          <w:sz w:val="24"/>
          <w:szCs w:val="24"/>
        </w:rPr>
      </w:pPr>
      <w:r w:rsidRPr="00E1070F">
        <w:rPr>
          <w:rFonts w:ascii="Times New Roman" w:hAnsi="Times New Roman" w:cs="Times New Roman"/>
          <w:sz w:val="24"/>
          <w:szCs w:val="24"/>
        </w:rPr>
        <w:t>Organize structured networking events to connect employers directly with job seekers</w:t>
      </w:r>
      <w:r>
        <w:rPr>
          <w:rFonts w:ascii="Times New Roman" w:hAnsi="Times New Roman" w:cs="Times New Roman"/>
          <w:sz w:val="24"/>
          <w:szCs w:val="24"/>
        </w:rPr>
        <w:t xml:space="preserve"> </w:t>
      </w:r>
      <w:r w:rsidRPr="00E1070F">
        <w:rPr>
          <w:rFonts w:ascii="Times New Roman" w:hAnsi="Times New Roman" w:cs="Times New Roman"/>
          <w:sz w:val="24"/>
          <w:szCs w:val="24"/>
        </w:rPr>
        <w:t>(Mzembe &amp; Filimonau, 2024).</w:t>
      </w:r>
    </w:p>
    <w:p w14:paraId="64B8D472" w14:textId="77777777" w:rsidR="008864E4" w:rsidRPr="00E1070F" w:rsidRDefault="008864E4" w:rsidP="008864E4">
      <w:pPr>
        <w:pStyle w:val="ListParagraph"/>
        <w:numPr>
          <w:ilvl w:val="0"/>
          <w:numId w:val="10"/>
        </w:numPr>
        <w:spacing w:line="360" w:lineRule="auto"/>
        <w:jc w:val="both"/>
        <w:rPr>
          <w:rFonts w:ascii="Times New Roman" w:hAnsi="Times New Roman" w:cs="Times New Roman"/>
          <w:sz w:val="24"/>
          <w:szCs w:val="24"/>
        </w:rPr>
      </w:pPr>
      <w:r w:rsidRPr="00E1070F">
        <w:rPr>
          <w:rFonts w:ascii="Times New Roman" w:hAnsi="Times New Roman" w:cs="Times New Roman"/>
          <w:sz w:val="24"/>
          <w:szCs w:val="24"/>
        </w:rPr>
        <w:t>Implement a system to track how many job seekers secure employment after attending the event</w:t>
      </w:r>
      <w:r>
        <w:rPr>
          <w:rFonts w:ascii="Times New Roman" w:hAnsi="Times New Roman" w:cs="Times New Roman"/>
          <w:sz w:val="24"/>
          <w:szCs w:val="24"/>
        </w:rPr>
        <w:t xml:space="preserve"> </w:t>
      </w:r>
      <w:r w:rsidRPr="00E1070F">
        <w:rPr>
          <w:rFonts w:ascii="Times New Roman" w:hAnsi="Times New Roman" w:cs="Times New Roman"/>
          <w:sz w:val="24"/>
          <w:szCs w:val="24"/>
        </w:rPr>
        <w:t>(Nagtegaal et al., 2023)</w:t>
      </w:r>
      <w:r>
        <w:rPr>
          <w:rFonts w:ascii="Times New Roman" w:hAnsi="Times New Roman" w:cs="Times New Roman"/>
          <w:sz w:val="24"/>
          <w:szCs w:val="24"/>
        </w:rPr>
        <w:t>.</w:t>
      </w:r>
    </w:p>
    <w:p w14:paraId="21BB1473" w14:textId="77777777" w:rsidR="008864E4" w:rsidRPr="00E1070F" w:rsidRDefault="008864E4" w:rsidP="008864E4">
      <w:pPr>
        <w:pStyle w:val="ListParagraph"/>
        <w:numPr>
          <w:ilvl w:val="0"/>
          <w:numId w:val="10"/>
        </w:numPr>
        <w:spacing w:line="360" w:lineRule="auto"/>
        <w:jc w:val="both"/>
        <w:rPr>
          <w:lang w:val="ro-RO"/>
        </w:rPr>
      </w:pPr>
      <w:r w:rsidRPr="00E1070F">
        <w:rPr>
          <w:rFonts w:ascii="Times New Roman" w:hAnsi="Times New Roman" w:cs="Times New Roman"/>
          <w:sz w:val="24"/>
          <w:szCs w:val="24"/>
        </w:rPr>
        <w:t>Expand the event to other UK cities to increase its reach and impact</w:t>
      </w:r>
      <w:r>
        <w:rPr>
          <w:rFonts w:ascii="Times New Roman" w:hAnsi="Times New Roman" w:cs="Times New Roman"/>
          <w:sz w:val="24"/>
          <w:szCs w:val="24"/>
        </w:rPr>
        <w:t xml:space="preserve"> </w:t>
      </w:r>
      <w:r w:rsidRPr="00E1070F">
        <w:rPr>
          <w:lang w:val="ro-RO"/>
        </w:rPr>
        <w:t>(International Disability Alliance, 2022)</w:t>
      </w:r>
    </w:p>
    <w:p w14:paraId="210C3CFF" w14:textId="77777777" w:rsidR="008864E4" w:rsidRPr="00E1070F" w:rsidRDefault="008864E4" w:rsidP="008864E4">
      <w:pPr>
        <w:spacing w:line="360" w:lineRule="auto"/>
        <w:ind w:left="360"/>
        <w:jc w:val="both"/>
        <w:rPr>
          <w:rFonts w:ascii="Times New Roman" w:hAnsi="Times New Roman"/>
          <w:sz w:val="24"/>
          <w:szCs w:val="24"/>
        </w:rPr>
      </w:pPr>
    </w:p>
    <w:p w14:paraId="6D8CC578" w14:textId="77777777" w:rsidR="008864E4" w:rsidRDefault="008864E4" w:rsidP="008864E4">
      <w:pPr>
        <w:spacing w:line="360" w:lineRule="auto"/>
        <w:jc w:val="both"/>
        <w:rPr>
          <w:rFonts w:ascii="Times New Roman" w:hAnsi="Times New Roman"/>
          <w:sz w:val="24"/>
          <w:szCs w:val="24"/>
        </w:rPr>
      </w:pPr>
    </w:p>
    <w:p w14:paraId="4C808DB2" w14:textId="77777777" w:rsidR="008864E4" w:rsidRDefault="008864E4" w:rsidP="008864E4">
      <w:pPr>
        <w:spacing w:line="360" w:lineRule="auto"/>
        <w:jc w:val="both"/>
        <w:rPr>
          <w:rFonts w:ascii="Times New Roman" w:hAnsi="Times New Roman"/>
          <w:sz w:val="24"/>
          <w:szCs w:val="24"/>
        </w:rPr>
      </w:pPr>
    </w:p>
    <w:p w14:paraId="7AC8BE4D" w14:textId="77777777" w:rsidR="008864E4" w:rsidRDefault="008864E4" w:rsidP="008864E4">
      <w:pPr>
        <w:spacing w:line="360" w:lineRule="auto"/>
        <w:jc w:val="both"/>
        <w:rPr>
          <w:rFonts w:ascii="Times New Roman" w:hAnsi="Times New Roman"/>
          <w:sz w:val="24"/>
          <w:szCs w:val="24"/>
        </w:rPr>
      </w:pPr>
    </w:p>
    <w:p w14:paraId="02398B9C" w14:textId="77777777" w:rsidR="008864E4" w:rsidRDefault="008864E4" w:rsidP="008864E4">
      <w:pPr>
        <w:spacing w:line="360" w:lineRule="auto"/>
        <w:jc w:val="both"/>
        <w:rPr>
          <w:rFonts w:ascii="Times New Roman" w:hAnsi="Times New Roman"/>
          <w:sz w:val="24"/>
          <w:szCs w:val="24"/>
        </w:rPr>
      </w:pPr>
    </w:p>
    <w:p w14:paraId="74AD880E" w14:textId="77777777" w:rsidR="008864E4" w:rsidRDefault="008864E4" w:rsidP="008864E4">
      <w:pPr>
        <w:spacing w:line="360" w:lineRule="auto"/>
        <w:jc w:val="both"/>
        <w:rPr>
          <w:rFonts w:ascii="Times New Roman" w:hAnsi="Times New Roman"/>
          <w:sz w:val="24"/>
          <w:szCs w:val="24"/>
        </w:rPr>
      </w:pPr>
    </w:p>
    <w:p w14:paraId="40497D9F" w14:textId="77777777" w:rsidR="008864E4" w:rsidRDefault="008864E4" w:rsidP="008864E4">
      <w:pPr>
        <w:spacing w:line="360" w:lineRule="auto"/>
        <w:jc w:val="both"/>
        <w:rPr>
          <w:rFonts w:ascii="Times New Roman" w:hAnsi="Times New Roman"/>
          <w:sz w:val="24"/>
          <w:szCs w:val="24"/>
        </w:rPr>
      </w:pPr>
    </w:p>
    <w:p w14:paraId="5E6502F8" w14:textId="77777777" w:rsidR="008864E4" w:rsidRDefault="008864E4" w:rsidP="008864E4">
      <w:pPr>
        <w:spacing w:line="360" w:lineRule="auto"/>
        <w:jc w:val="both"/>
        <w:rPr>
          <w:rFonts w:ascii="Times New Roman" w:hAnsi="Times New Roman"/>
          <w:sz w:val="24"/>
          <w:szCs w:val="24"/>
        </w:rPr>
      </w:pPr>
    </w:p>
    <w:p w14:paraId="642FC580" w14:textId="77777777" w:rsidR="008864E4" w:rsidRDefault="008864E4" w:rsidP="008864E4">
      <w:pPr>
        <w:spacing w:line="360" w:lineRule="auto"/>
        <w:jc w:val="both"/>
        <w:rPr>
          <w:rFonts w:ascii="Times New Roman" w:hAnsi="Times New Roman"/>
          <w:sz w:val="24"/>
          <w:szCs w:val="24"/>
        </w:rPr>
      </w:pPr>
    </w:p>
    <w:p w14:paraId="17B89E70" w14:textId="77777777" w:rsidR="008864E4" w:rsidRPr="00731754" w:rsidRDefault="008864E4" w:rsidP="008864E4">
      <w:pPr>
        <w:spacing w:line="360" w:lineRule="auto"/>
        <w:jc w:val="both"/>
        <w:rPr>
          <w:rFonts w:ascii="Times New Roman" w:hAnsi="Times New Roman"/>
          <w:sz w:val="24"/>
          <w:szCs w:val="24"/>
          <w:lang w:val="ro-RO"/>
        </w:rPr>
      </w:pPr>
    </w:p>
    <w:p w14:paraId="20A2E77C" w14:textId="77777777" w:rsidR="008864E4" w:rsidRPr="00731754" w:rsidRDefault="008864E4" w:rsidP="008864E4">
      <w:pPr>
        <w:pStyle w:val="Heading1"/>
        <w:spacing w:line="360" w:lineRule="auto"/>
        <w:jc w:val="both"/>
        <w:rPr>
          <w:rFonts w:ascii="Times New Roman" w:hAnsi="Times New Roman" w:cs="Times New Roman"/>
          <w:sz w:val="24"/>
          <w:szCs w:val="24"/>
        </w:rPr>
      </w:pPr>
      <w:bookmarkStart w:id="34" w:name="_Toc191503486"/>
      <w:r w:rsidRPr="00731754">
        <w:rPr>
          <w:rFonts w:ascii="Times New Roman" w:hAnsi="Times New Roman" w:cs="Times New Roman"/>
          <w:sz w:val="24"/>
          <w:szCs w:val="24"/>
        </w:rPr>
        <w:t>REFERENCE LIST</w:t>
      </w:r>
      <w:bookmarkEnd w:id="34"/>
    </w:p>
    <w:p w14:paraId="24974DC0"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Anas, M.S., Maddiah, N.A., Eizamly, N.U.E.N., Sulaiman, N.A. and Wee, H. (2020) ‘Key success factors toward MICE industry: A systematic literature review’, </w:t>
      </w:r>
      <w:r w:rsidRPr="00731754">
        <w:rPr>
          <w:rFonts w:ascii="Times New Roman" w:hAnsi="Times New Roman"/>
          <w:i/>
          <w:iCs/>
          <w:sz w:val="24"/>
          <w:szCs w:val="24"/>
          <w:lang w:val="ro-RO"/>
        </w:rPr>
        <w:t>Journal of Tourism, Hospitality &amp; Culinary Arts</w:t>
      </w:r>
      <w:r w:rsidRPr="00731754">
        <w:rPr>
          <w:rFonts w:ascii="Times New Roman" w:hAnsi="Times New Roman"/>
          <w:sz w:val="24"/>
          <w:szCs w:val="24"/>
          <w:lang w:val="ro-RO"/>
        </w:rPr>
        <w:t xml:space="preserve">, 12(1), pp. 188-221. Available at: </w:t>
      </w:r>
      <w:r>
        <w:fldChar w:fldCharType="begin"/>
      </w:r>
      <w:r>
        <w:instrText xml:space="preserve"> HYPERLINK "https://www.researchgate.net/publication/340376849" \t "_new" </w:instrText>
      </w:r>
      <w:r>
        <w:fldChar w:fldCharType="separate"/>
      </w:r>
      <w:r w:rsidRPr="00731754">
        <w:rPr>
          <w:rStyle w:val="Hyperlink"/>
          <w:rFonts w:ascii="Times New Roman" w:hAnsi="Times New Roman"/>
          <w:sz w:val="24"/>
          <w:szCs w:val="24"/>
          <w:lang w:val="ro-RO"/>
        </w:rPr>
        <w:t>https://www.researchgate.net/publication/340376849</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13 February 2025).</w:t>
      </w:r>
    </w:p>
    <w:p w14:paraId="5B8E8016"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Battaglia, S. (2025) ‘Inclusive strategies for hospitality managers’, </w:t>
      </w:r>
      <w:r w:rsidRPr="00731754">
        <w:rPr>
          <w:rFonts w:ascii="Times New Roman" w:hAnsi="Times New Roman"/>
          <w:i/>
          <w:iCs/>
          <w:sz w:val="24"/>
          <w:szCs w:val="24"/>
          <w:lang w:val="ro-RO"/>
        </w:rPr>
        <w:t>Management Issues</w:t>
      </w:r>
      <w:r w:rsidRPr="00731754">
        <w:rPr>
          <w:rFonts w:ascii="Times New Roman" w:hAnsi="Times New Roman"/>
          <w:sz w:val="24"/>
          <w:szCs w:val="24"/>
          <w:lang w:val="ro-RO"/>
        </w:rPr>
        <w:t xml:space="preserve">. Available at: </w:t>
      </w:r>
      <w:r>
        <w:fldChar w:fldCharType="begin"/>
      </w:r>
      <w:r>
        <w:instrText xml:space="preserve"> HYPERLINK "https://www.management-issues.com/opinion/7657/inclusive-strategies-for-hospitality-managers/" \t "_new" </w:instrText>
      </w:r>
      <w:r>
        <w:fldChar w:fldCharType="separate"/>
      </w:r>
      <w:r w:rsidRPr="00731754">
        <w:rPr>
          <w:rStyle w:val="Hyperlink"/>
          <w:rFonts w:ascii="Times New Roman" w:hAnsi="Times New Roman"/>
          <w:sz w:val="24"/>
          <w:szCs w:val="24"/>
          <w:lang w:val="ro-RO"/>
        </w:rPr>
        <w:t>https://www.management-issues.com/opinion/7657/inclusive-strategies-for-hospitality-managers/</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26 January 2025).</w:t>
      </w:r>
    </w:p>
    <w:p w14:paraId="04D4B4D2"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Benzaghta, M.A., Elwalda, A., Mousa, M.M., Erkan, I. and Rahman, M. (2021) ‘SWOT analysis applications: An integrative literature review’, </w:t>
      </w:r>
      <w:r w:rsidRPr="00731754">
        <w:rPr>
          <w:rFonts w:ascii="Times New Roman" w:hAnsi="Times New Roman"/>
          <w:i/>
          <w:iCs/>
          <w:sz w:val="24"/>
          <w:szCs w:val="24"/>
          <w:lang w:val="ro-RO"/>
        </w:rPr>
        <w:t>Journal of Global Business Insights</w:t>
      </w:r>
      <w:r w:rsidRPr="00731754">
        <w:rPr>
          <w:rFonts w:ascii="Times New Roman" w:hAnsi="Times New Roman"/>
          <w:sz w:val="24"/>
          <w:szCs w:val="24"/>
          <w:lang w:val="ro-RO"/>
        </w:rPr>
        <w:t xml:space="preserve">, 6(1), pp. 55-73. Available at: </w:t>
      </w:r>
      <w:r>
        <w:fldChar w:fldCharType="begin"/>
      </w:r>
      <w:r>
        <w:instrText xml:space="preserve"> HYPERLINK "https://www.doi.org/10.5038/2640-6489.6.1.1148" \t "_new" </w:instrText>
      </w:r>
      <w:r>
        <w:fldChar w:fldCharType="separate"/>
      </w:r>
      <w:r w:rsidRPr="00731754">
        <w:rPr>
          <w:rStyle w:val="Hyperlink"/>
          <w:rFonts w:ascii="Times New Roman" w:hAnsi="Times New Roman"/>
          <w:sz w:val="24"/>
          <w:szCs w:val="24"/>
          <w:lang w:val="ro-RO"/>
        </w:rPr>
        <w:t>https://www.doi.org/10.5038/2640-6489.6.1.1148</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14 February 2025).</w:t>
      </w:r>
    </w:p>
    <w:p w14:paraId="6F29942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Bergh, E.R. (2025) ‘The state of influencer marketing in the hospitality sector’, </w:t>
      </w:r>
      <w:r w:rsidRPr="00731754">
        <w:rPr>
          <w:rFonts w:ascii="Times New Roman" w:hAnsi="Times New Roman"/>
          <w:i/>
          <w:iCs/>
          <w:sz w:val="24"/>
          <w:szCs w:val="24"/>
          <w:lang w:val="ro-RO"/>
        </w:rPr>
        <w:t>Forbes Business Council</w:t>
      </w:r>
      <w:r w:rsidRPr="00731754">
        <w:rPr>
          <w:rFonts w:ascii="Times New Roman" w:hAnsi="Times New Roman"/>
          <w:sz w:val="24"/>
          <w:szCs w:val="24"/>
          <w:lang w:val="ro-RO"/>
        </w:rPr>
        <w:t xml:space="preserve">, 22 January. Available at: </w:t>
      </w:r>
      <w:r>
        <w:fldChar w:fldCharType="begin"/>
      </w:r>
      <w:r>
        <w:instrText xml:space="preserve"> HYPERLINK "https://www.forbes.com/councils/forbesbusinesscouncil/2025/01/22/the-state-of-influencer-marketing-in-the-hospitality-sector/" \t "_new" </w:instrText>
      </w:r>
      <w:r>
        <w:fldChar w:fldCharType="separate"/>
      </w:r>
      <w:r w:rsidRPr="00731754">
        <w:rPr>
          <w:rStyle w:val="Hyperlink"/>
          <w:rFonts w:ascii="Times New Roman" w:hAnsi="Times New Roman"/>
          <w:sz w:val="24"/>
          <w:szCs w:val="24"/>
          <w:lang w:val="ro-RO"/>
        </w:rPr>
        <w:t>https://www.forbes.com/councils/forbesbusinesscouncil/2025/01/22/the-state-of-influencer-marketing-in-the-hospitality-sector/</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29 January 2025).</w:t>
      </w:r>
    </w:p>
    <w:p w14:paraId="2926BC3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Bladen, C., Kennell, J., Abson, E. and Wilde, N. (2023) </w:t>
      </w:r>
      <w:r w:rsidRPr="00731754">
        <w:rPr>
          <w:rFonts w:ascii="Times New Roman" w:hAnsi="Times New Roman"/>
          <w:i/>
          <w:iCs/>
          <w:sz w:val="24"/>
          <w:szCs w:val="24"/>
          <w:lang w:val="ro-RO"/>
        </w:rPr>
        <w:t>Events Management: An Introduction.</w:t>
      </w:r>
      <w:r w:rsidRPr="00731754">
        <w:rPr>
          <w:rFonts w:ascii="Times New Roman" w:hAnsi="Times New Roman"/>
          <w:sz w:val="24"/>
          <w:szCs w:val="24"/>
          <w:lang w:val="ro-RO"/>
        </w:rPr>
        <w:t xml:space="preserve"> 3rd edn. Oxford: Routledge. Available at: </w:t>
      </w:r>
      <w:r>
        <w:fldChar w:fldCharType="begin"/>
      </w:r>
      <w:r>
        <w:instrText xml:space="preserve"> HYPERLINK "https://www.researchgate.net/publication/365396517" \t "_new" </w:instrText>
      </w:r>
      <w:r>
        <w:fldChar w:fldCharType="separate"/>
      </w:r>
      <w:r w:rsidRPr="00731754">
        <w:rPr>
          <w:rStyle w:val="Hyperlink"/>
          <w:rFonts w:ascii="Times New Roman" w:hAnsi="Times New Roman"/>
          <w:sz w:val="24"/>
          <w:szCs w:val="24"/>
          <w:lang w:val="ro-RO"/>
        </w:rPr>
        <w:t>https://www.researchgate.net/publication/365396517</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10 February 2025).</w:t>
      </w:r>
    </w:p>
    <w:p w14:paraId="4E108963"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Butler-Sims, T. (2024) ‘Inclusion in the workplace and 6 reasons why it matters’, </w:t>
      </w:r>
      <w:r w:rsidRPr="00731754">
        <w:rPr>
          <w:rFonts w:ascii="Times New Roman" w:hAnsi="Times New Roman"/>
          <w:i/>
          <w:iCs/>
          <w:sz w:val="24"/>
          <w:szCs w:val="24"/>
          <w:lang w:val="ro-RO"/>
        </w:rPr>
        <w:t>Forbes Human Resources Council</w:t>
      </w:r>
      <w:r w:rsidRPr="00731754">
        <w:rPr>
          <w:rFonts w:ascii="Times New Roman" w:hAnsi="Times New Roman"/>
          <w:sz w:val="24"/>
          <w:szCs w:val="24"/>
          <w:lang w:val="ro-RO"/>
        </w:rPr>
        <w:t xml:space="preserve">, 13 February. Available at: </w:t>
      </w:r>
      <w:r>
        <w:fldChar w:fldCharType="begin"/>
      </w:r>
      <w:r>
        <w:instrText xml:space="preserve"> HYPERLINK "https://www.forbes.com/councils/forbeshumanresourcescouncil/2024/02/13/inclusion-in-the-workplace-and-6-reasons-why-it-matters/" \t "_new" </w:instrText>
      </w:r>
      <w:r>
        <w:fldChar w:fldCharType="separate"/>
      </w:r>
      <w:r w:rsidRPr="00731754">
        <w:rPr>
          <w:rStyle w:val="Hyperlink"/>
          <w:rFonts w:ascii="Times New Roman" w:hAnsi="Times New Roman"/>
          <w:sz w:val="24"/>
          <w:szCs w:val="24"/>
          <w:lang w:val="ro-RO"/>
        </w:rPr>
        <w:t>https://www.forbes.com/councils/forbeshumanresourcescouncil/2024/02/13/inclusion-in-the-workplace-and-6-reasons-why-it-matters/</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29 January 2025).</w:t>
      </w:r>
    </w:p>
    <w:p w14:paraId="6B738643"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Conference Index (2025) ‘Diversity and Inclusion Conferences in the United Kingdom’. Available at: </w:t>
      </w:r>
      <w:r>
        <w:fldChar w:fldCharType="begin"/>
      </w:r>
      <w:r>
        <w:instrText xml:space="preserve"> HYPERLINK "https://conferenceindex.org/conferences/diversity-and-inclusion/united-kingdom" \t "_new" </w:instrText>
      </w:r>
      <w:r>
        <w:fldChar w:fldCharType="separate"/>
      </w:r>
      <w:r w:rsidRPr="00731754">
        <w:rPr>
          <w:rStyle w:val="Hyperlink"/>
          <w:rFonts w:ascii="Times New Roman" w:hAnsi="Times New Roman"/>
          <w:sz w:val="24"/>
          <w:szCs w:val="24"/>
          <w:lang w:val="ro-RO"/>
        </w:rPr>
        <w:t>https://conferenceindex.org/conferences/diversity-and-inclusion/united-kingdom</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29 January 2025).</w:t>
      </w:r>
    </w:p>
    <w:p w14:paraId="49F29660"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Cuskelly, G., Fredline, L., Kim, E., Barry, S. and Kappelides, P. (2020) ‘Volunteer selection at a major sport event: A strategic Human Resource Management approach’, </w:t>
      </w:r>
      <w:r w:rsidRPr="00731754">
        <w:rPr>
          <w:rFonts w:ascii="Times New Roman" w:hAnsi="Times New Roman"/>
          <w:i/>
          <w:iCs/>
          <w:sz w:val="24"/>
          <w:szCs w:val="24"/>
          <w:lang w:val="ro-RO"/>
        </w:rPr>
        <w:t>Sport Management Review</w:t>
      </w:r>
      <w:r w:rsidRPr="00731754">
        <w:rPr>
          <w:rFonts w:ascii="Times New Roman" w:hAnsi="Times New Roman"/>
          <w:sz w:val="24"/>
          <w:szCs w:val="24"/>
          <w:lang w:val="ro-RO"/>
        </w:rPr>
        <w:t xml:space="preserve">, 24(1), pp. 116–133. Available at: </w:t>
      </w:r>
      <w:r>
        <w:fldChar w:fldCharType="begin"/>
      </w:r>
      <w:r>
        <w:instrText xml:space="preserve"> HYPERLINK "https://research-repository.griffith.edu.au/server/api/core/bitstreams/0b979b85-8c25-4edf-95b3-09a74a456a18/content" \t "_new" </w:instrText>
      </w:r>
      <w:r>
        <w:fldChar w:fldCharType="separate"/>
      </w:r>
      <w:r w:rsidRPr="00731754">
        <w:rPr>
          <w:rStyle w:val="Hyperlink"/>
          <w:rFonts w:ascii="Times New Roman" w:hAnsi="Times New Roman"/>
          <w:sz w:val="24"/>
          <w:szCs w:val="24"/>
          <w:lang w:val="ro-RO"/>
        </w:rPr>
        <w:t>https://research-</w:t>
      </w:r>
      <w:r w:rsidRPr="00731754">
        <w:rPr>
          <w:rStyle w:val="Hyperlink"/>
          <w:rFonts w:ascii="Times New Roman" w:hAnsi="Times New Roman"/>
          <w:sz w:val="24"/>
          <w:szCs w:val="24"/>
          <w:lang w:val="ro-RO"/>
        </w:rPr>
        <w:lastRenderedPageBreak/>
        <w:t>repository.griffith.edu.au/server/api/core/bitstreams/0b979b85-8c25-4edf-95b3-09a74a456a18/content</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21 January 2025).</w:t>
      </w:r>
    </w:p>
    <w:p w14:paraId="7A7FB936"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Equality and Human Rights Commission (2023) ‘UK government failing to protect disabled people, warns equality watchdog report’. Available at: </w:t>
      </w:r>
      <w:r>
        <w:fldChar w:fldCharType="begin"/>
      </w:r>
      <w:r>
        <w:instrText xml:space="preserve"> HYPERLINK "https://www.equalityhumanrights.com/uk-government-failing-protect-disabled-people-warns-equality-watchdog-report" \t "_new" </w:instrText>
      </w:r>
      <w:r>
        <w:fldChar w:fldCharType="separate"/>
      </w:r>
      <w:r w:rsidRPr="00731754">
        <w:rPr>
          <w:rStyle w:val="Hyperlink"/>
          <w:rFonts w:ascii="Times New Roman" w:hAnsi="Times New Roman"/>
          <w:sz w:val="24"/>
          <w:szCs w:val="24"/>
          <w:lang w:val="ro-RO"/>
        </w:rPr>
        <w:t>https://www.equalityhumanrights.com/uk-government-failing-protect-disabled-people-warns-equality-watchdog-report</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20 January 2025).</w:t>
      </w:r>
    </w:p>
    <w:p w14:paraId="10F152BE"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Evennett, H. (2022) </w:t>
      </w:r>
      <w:r w:rsidRPr="00731754">
        <w:rPr>
          <w:rFonts w:ascii="Times New Roman" w:hAnsi="Times New Roman"/>
          <w:i/>
          <w:iCs/>
          <w:sz w:val="24"/>
          <w:szCs w:val="24"/>
          <w:lang w:val="ro-RO"/>
        </w:rPr>
        <w:t>The Equality Act 2010: Impact on disabled people.</w:t>
      </w:r>
      <w:r w:rsidRPr="00731754">
        <w:rPr>
          <w:rFonts w:ascii="Times New Roman" w:hAnsi="Times New Roman"/>
          <w:sz w:val="24"/>
          <w:szCs w:val="24"/>
          <w:lang w:val="ro-RO"/>
        </w:rPr>
        <w:t xml:space="preserve"> House of Lords Library. Available at: </w:t>
      </w:r>
      <w:r>
        <w:fldChar w:fldCharType="begin"/>
      </w:r>
      <w:r>
        <w:instrText xml:space="preserve"> HYPERLINK "https://lordslibrary.parliament.uk/the-equality-act-2010-impact-on-disabled-people/" \t "_new" </w:instrText>
      </w:r>
      <w:r>
        <w:fldChar w:fldCharType="separate"/>
      </w:r>
      <w:r w:rsidRPr="00731754">
        <w:rPr>
          <w:rStyle w:val="Hyperlink"/>
          <w:rFonts w:ascii="Times New Roman" w:hAnsi="Times New Roman"/>
          <w:sz w:val="24"/>
          <w:szCs w:val="24"/>
          <w:lang w:val="ro-RO"/>
        </w:rPr>
        <w:t>https://lordslibrary.parliament.uk/the-equality-act-2010-impact-on-disabled-people/</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20 January 2025).</w:t>
      </w:r>
    </w:p>
    <w:p w14:paraId="14FFFBE6"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ExCeL London (n.d.) </w:t>
      </w:r>
      <w:r w:rsidRPr="00731754">
        <w:rPr>
          <w:rFonts w:ascii="Times New Roman" w:hAnsi="Times New Roman"/>
          <w:i/>
          <w:iCs/>
          <w:sz w:val="24"/>
          <w:szCs w:val="24"/>
          <w:lang w:val="ro-RO"/>
        </w:rPr>
        <w:t>ExCeL London.</w:t>
      </w:r>
      <w:r w:rsidRPr="00731754">
        <w:rPr>
          <w:rFonts w:ascii="Times New Roman" w:hAnsi="Times New Roman"/>
          <w:sz w:val="24"/>
          <w:szCs w:val="24"/>
          <w:lang w:val="ro-RO"/>
        </w:rPr>
        <w:t xml:space="preserve"> Available at: </w:t>
      </w:r>
      <w:r>
        <w:fldChar w:fldCharType="begin"/>
      </w:r>
      <w:r>
        <w:instrText xml:space="preserve"> HYPERLINK "https://www.excel.london/" \t "_new" </w:instrText>
      </w:r>
      <w:r>
        <w:fldChar w:fldCharType="separate"/>
      </w:r>
      <w:r w:rsidRPr="00731754">
        <w:rPr>
          <w:rStyle w:val="Hyperlink"/>
          <w:rFonts w:ascii="Times New Roman" w:hAnsi="Times New Roman"/>
          <w:sz w:val="24"/>
          <w:szCs w:val="24"/>
          <w:lang w:val="ro-RO"/>
        </w:rPr>
        <w:t>https://www.excel.london/</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20 January 2025).</w:t>
      </w:r>
    </w:p>
    <w:p w14:paraId="3B6F54DC" w14:textId="77777777" w:rsidR="008864E4" w:rsidRPr="00731754" w:rsidRDefault="008864E4" w:rsidP="008864E4">
      <w:pPr>
        <w:spacing w:line="360" w:lineRule="auto"/>
        <w:jc w:val="both"/>
        <w:rPr>
          <w:rFonts w:ascii="Times New Roman" w:hAnsi="Times New Roman"/>
          <w:sz w:val="24"/>
          <w:szCs w:val="24"/>
        </w:rPr>
      </w:pPr>
      <w:r w:rsidRPr="00731754">
        <w:rPr>
          <w:rFonts w:ascii="Times New Roman" w:hAnsi="Times New Roman"/>
          <w:sz w:val="24"/>
          <w:szCs w:val="24"/>
        </w:rPr>
        <w:t xml:space="preserve">Freitas, L.D.A., </w:t>
      </w:r>
      <w:proofErr w:type="spellStart"/>
      <w:r w:rsidRPr="00731754">
        <w:rPr>
          <w:rFonts w:ascii="Times New Roman" w:hAnsi="Times New Roman"/>
          <w:sz w:val="24"/>
          <w:szCs w:val="24"/>
        </w:rPr>
        <w:t>Schotten</w:t>
      </w:r>
      <w:proofErr w:type="spellEnd"/>
      <w:r w:rsidRPr="00731754">
        <w:rPr>
          <w:rFonts w:ascii="Times New Roman" w:hAnsi="Times New Roman"/>
          <w:sz w:val="24"/>
          <w:szCs w:val="24"/>
        </w:rPr>
        <w:t xml:space="preserve">, P.C., </w:t>
      </w:r>
      <w:proofErr w:type="spellStart"/>
      <w:r w:rsidRPr="00731754">
        <w:rPr>
          <w:rFonts w:ascii="Times New Roman" w:hAnsi="Times New Roman"/>
          <w:sz w:val="24"/>
          <w:szCs w:val="24"/>
        </w:rPr>
        <w:t>Fachin</w:t>
      </w:r>
      <w:proofErr w:type="spellEnd"/>
      <w:r w:rsidRPr="00731754">
        <w:rPr>
          <w:rFonts w:ascii="Times New Roman" w:hAnsi="Times New Roman"/>
          <w:sz w:val="24"/>
          <w:szCs w:val="24"/>
        </w:rPr>
        <w:t xml:space="preserve">, S., Eduardo, A.S. and Silveira, V.C. (2024) ‘The strategic planning process as an organizational tool’, </w:t>
      </w:r>
      <w:r w:rsidRPr="00731754">
        <w:rPr>
          <w:rFonts w:ascii="Times New Roman" w:hAnsi="Times New Roman"/>
          <w:i/>
          <w:iCs/>
          <w:sz w:val="24"/>
          <w:szCs w:val="24"/>
        </w:rPr>
        <w:t>International Journal of Scientific Management and Tourism</w:t>
      </w:r>
      <w:r w:rsidRPr="00731754">
        <w:rPr>
          <w:rFonts w:ascii="Times New Roman" w:hAnsi="Times New Roman"/>
          <w:sz w:val="24"/>
          <w:szCs w:val="24"/>
        </w:rPr>
        <w:t xml:space="preserve">, 10(2), pp. 1-20. DOI: </w:t>
      </w:r>
      <w:hyperlink r:id="rId5" w:tgtFrame="_new" w:history="1">
        <w:r w:rsidRPr="00731754">
          <w:rPr>
            <w:rStyle w:val="Hyperlink"/>
            <w:rFonts w:ascii="Times New Roman" w:hAnsi="Times New Roman"/>
            <w:sz w:val="24"/>
            <w:szCs w:val="24"/>
          </w:rPr>
          <w:t>10.55905/ijsmtv10n2-003</w:t>
        </w:r>
      </w:hyperlink>
      <w:r w:rsidRPr="00731754">
        <w:rPr>
          <w:rFonts w:ascii="Times New Roman" w:hAnsi="Times New Roman"/>
          <w:sz w:val="24"/>
          <w:szCs w:val="24"/>
        </w:rPr>
        <w:t xml:space="preserve"> (Accessed: 10 February 2025).</w:t>
      </w:r>
    </w:p>
    <w:p w14:paraId="39175F81"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Getz, D. and Page, S.J. (2024) </w:t>
      </w:r>
      <w:r w:rsidRPr="00731754">
        <w:rPr>
          <w:rFonts w:ascii="Times New Roman" w:hAnsi="Times New Roman"/>
          <w:i/>
          <w:iCs/>
          <w:sz w:val="24"/>
          <w:szCs w:val="24"/>
          <w:lang w:val="ro-RO"/>
        </w:rPr>
        <w:t>Event Studies: Theory and Management for Planned Events.</w:t>
      </w:r>
      <w:r w:rsidRPr="00731754">
        <w:rPr>
          <w:rFonts w:ascii="Times New Roman" w:hAnsi="Times New Roman"/>
          <w:sz w:val="24"/>
          <w:szCs w:val="24"/>
          <w:lang w:val="ro-RO"/>
        </w:rPr>
        <w:t xml:space="preserve"> 5th edn. Abingdon, Oxon: Routledge. DOI: 10.4324/9781003374251. (Accessed: 25 February 2025).</w:t>
      </w:r>
    </w:p>
    <w:p w14:paraId="50B79AB3"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Groșoiu, G. (2024) ‘Analiza SWOT pentru afacere: de ce este importantă și cum o poți realiza’, </w:t>
      </w:r>
      <w:r w:rsidRPr="00731754">
        <w:rPr>
          <w:rFonts w:ascii="Times New Roman" w:hAnsi="Times New Roman"/>
          <w:i/>
          <w:iCs/>
          <w:sz w:val="24"/>
          <w:szCs w:val="24"/>
          <w:lang w:val="ro-RO"/>
        </w:rPr>
        <w:t>Edenred România</w:t>
      </w:r>
      <w:r w:rsidRPr="00731754">
        <w:rPr>
          <w:rFonts w:ascii="Times New Roman" w:hAnsi="Times New Roman"/>
          <w:sz w:val="24"/>
          <w:szCs w:val="24"/>
          <w:lang w:val="ro-RO"/>
        </w:rPr>
        <w:t xml:space="preserve">. Available at: </w:t>
      </w:r>
      <w:r>
        <w:fldChar w:fldCharType="begin"/>
      </w:r>
      <w:r>
        <w:instrText xml:space="preserve"> HYPERLINK "https://www.edenred.ro/ro/blog/business-antreprenoriat/analiza-swot-pentru-afacere-de-ce-este-importanta" \t "_new" </w:instrText>
      </w:r>
      <w:r>
        <w:fldChar w:fldCharType="separate"/>
      </w:r>
      <w:r w:rsidRPr="00731754">
        <w:rPr>
          <w:rStyle w:val="Hyperlink"/>
          <w:rFonts w:ascii="Times New Roman" w:hAnsi="Times New Roman"/>
          <w:sz w:val="24"/>
          <w:szCs w:val="24"/>
          <w:lang w:val="ro-RO"/>
        </w:rPr>
        <w:t>https://www.edenred.ro/ro/blog/business-antreprenoriat/analiza-swot-pentru-afacere-de-ce-este-importanta</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22 January 2025).</w:t>
      </w:r>
    </w:p>
    <w:p w14:paraId="2EB69FC4"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Hepple, B. (2011) ‘The New Single Equality Act in Britain’, </w:t>
      </w:r>
      <w:r w:rsidRPr="00731754">
        <w:rPr>
          <w:rFonts w:ascii="Times New Roman" w:hAnsi="Times New Roman"/>
          <w:i/>
          <w:iCs/>
          <w:sz w:val="24"/>
          <w:szCs w:val="24"/>
          <w:lang w:val="ro-RO"/>
        </w:rPr>
        <w:t>The Equal Rights Review</w:t>
      </w:r>
      <w:r w:rsidRPr="00731754">
        <w:rPr>
          <w:rFonts w:ascii="Times New Roman" w:hAnsi="Times New Roman"/>
          <w:sz w:val="24"/>
          <w:szCs w:val="24"/>
          <w:lang w:val="ro-RO"/>
        </w:rPr>
        <w:t xml:space="preserve">, 5, pp. 11-24. Available at: </w:t>
      </w:r>
      <w:r>
        <w:fldChar w:fldCharType="begin"/>
      </w:r>
      <w:r>
        <w:instrText xml:space="preserve"> HYPERLINK "https://www.equalrightstrust.org/ertdocumentbank/err5_hepple.pdf" \t "_new" </w:instrText>
      </w:r>
      <w:r>
        <w:fldChar w:fldCharType="separate"/>
      </w:r>
      <w:r w:rsidRPr="00731754">
        <w:rPr>
          <w:rStyle w:val="Hyperlink"/>
          <w:rFonts w:ascii="Times New Roman" w:hAnsi="Times New Roman"/>
          <w:sz w:val="24"/>
          <w:szCs w:val="24"/>
          <w:lang w:val="ro-RO"/>
        </w:rPr>
        <w:t>https://www.equalrightstrust.org/ertdocumentbank/err5_hepple.pdf</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10 February 2025).</w:t>
      </w:r>
    </w:p>
    <w:p w14:paraId="2F1BFAC5"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Higgins-Desbiolles, F. (2024) ‘Response to Calver et al.’s “The (In)visibility of Equality, Diversity, and Inclusion Research in Events Management Journals”: The Vital Need to Emphasize Justice’, </w:t>
      </w:r>
      <w:r w:rsidRPr="00731754">
        <w:rPr>
          <w:rFonts w:ascii="Times New Roman" w:hAnsi="Times New Roman"/>
          <w:i/>
          <w:iCs/>
          <w:sz w:val="24"/>
          <w:szCs w:val="24"/>
          <w:lang w:val="ro-RO"/>
        </w:rPr>
        <w:t>Event Management</w:t>
      </w:r>
      <w:r w:rsidRPr="00731754">
        <w:rPr>
          <w:rFonts w:ascii="Times New Roman" w:hAnsi="Times New Roman"/>
          <w:sz w:val="24"/>
          <w:szCs w:val="24"/>
          <w:lang w:val="ro-RO"/>
        </w:rPr>
        <w:t xml:space="preserve">, 28, pp. 329–334. Available at: </w:t>
      </w:r>
      <w:r>
        <w:fldChar w:fldCharType="begin"/>
      </w:r>
      <w:r>
        <w:instrText xml:space="preserve"> HYPERLINK "https://doi.org/10.3727/152599523X16907613842291" \t "_new" </w:instrText>
      </w:r>
      <w:r>
        <w:fldChar w:fldCharType="separate"/>
      </w:r>
      <w:r w:rsidRPr="00731754">
        <w:rPr>
          <w:rStyle w:val="Hyperlink"/>
          <w:rFonts w:ascii="Times New Roman" w:hAnsi="Times New Roman"/>
          <w:sz w:val="24"/>
          <w:szCs w:val="24"/>
          <w:lang w:val="ro-RO"/>
        </w:rPr>
        <w:t>https://doi.org/10.3727/152599523X16907613842291</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23 January 2025).</w:t>
      </w:r>
    </w:p>
    <w:p w14:paraId="5F7025DD"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lastRenderedPageBreak/>
        <w:t xml:space="preserve">Impact Match (2025) ‘ActionAble 2025’. Available at: </w:t>
      </w:r>
      <w:r>
        <w:fldChar w:fldCharType="begin"/>
      </w:r>
      <w:r>
        <w:instrText xml:space="preserve"> HYPERLINK "https://impactmatch.global/event/actionable-2025/" \t "_new" </w:instrText>
      </w:r>
      <w:r>
        <w:fldChar w:fldCharType="separate"/>
      </w:r>
      <w:r w:rsidRPr="00731754">
        <w:rPr>
          <w:rStyle w:val="Hyperlink"/>
          <w:rFonts w:ascii="Times New Roman" w:hAnsi="Times New Roman"/>
          <w:sz w:val="24"/>
          <w:szCs w:val="24"/>
          <w:lang w:val="ro-RO"/>
        </w:rPr>
        <w:t>https://impactmatch.global/event/actionable-2025/</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29 January 2025).</w:t>
      </w:r>
    </w:p>
    <w:p w14:paraId="6C69885E"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International Disability Alliance (2022) </w:t>
      </w:r>
      <w:r w:rsidRPr="00731754">
        <w:rPr>
          <w:rFonts w:ascii="Times New Roman" w:hAnsi="Times New Roman"/>
          <w:i/>
          <w:iCs/>
          <w:sz w:val="24"/>
          <w:szCs w:val="24"/>
          <w:lang w:val="ro-RO"/>
        </w:rPr>
        <w:t>Global Disability Summit 2022.</w:t>
      </w:r>
      <w:r w:rsidRPr="00731754">
        <w:rPr>
          <w:rFonts w:ascii="Times New Roman" w:hAnsi="Times New Roman"/>
          <w:sz w:val="24"/>
          <w:szCs w:val="24"/>
          <w:lang w:val="ro-RO"/>
        </w:rPr>
        <w:t xml:space="preserve"> Available at: </w:t>
      </w:r>
      <w:r>
        <w:fldChar w:fldCharType="begin"/>
      </w:r>
      <w:r>
        <w:instrText xml:space="preserve"> HYPERLINK "https://www.internationaldisabilityalliance.org/content/global-disability-summit" \t "_new" </w:instrText>
      </w:r>
      <w:r>
        <w:fldChar w:fldCharType="separate"/>
      </w:r>
      <w:r w:rsidRPr="00731754">
        <w:rPr>
          <w:rStyle w:val="Hyperlink"/>
          <w:rFonts w:ascii="Times New Roman" w:hAnsi="Times New Roman"/>
          <w:sz w:val="24"/>
          <w:szCs w:val="24"/>
          <w:lang w:val="ro-RO"/>
        </w:rPr>
        <w:t>https://www.internationaldisabilityalliance.org/content/global-disability-summit</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10 February 2025).</w:t>
      </w:r>
    </w:p>
    <w:p w14:paraId="27A16C5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Morgan, J. (2020) ‘How AccorHotels CEO Sébastien Bazin leads across generations’, </w:t>
      </w:r>
      <w:r w:rsidRPr="00731754">
        <w:rPr>
          <w:rFonts w:ascii="Times New Roman" w:hAnsi="Times New Roman"/>
          <w:i/>
          <w:iCs/>
          <w:sz w:val="24"/>
          <w:szCs w:val="24"/>
          <w:lang w:val="ro-RO"/>
        </w:rPr>
        <w:t>Medium</w:t>
      </w:r>
      <w:r w:rsidRPr="00731754">
        <w:rPr>
          <w:rFonts w:ascii="Times New Roman" w:hAnsi="Times New Roman"/>
          <w:sz w:val="24"/>
          <w:szCs w:val="24"/>
          <w:lang w:val="ro-RO"/>
        </w:rPr>
        <w:t xml:space="preserve">. Available at: </w:t>
      </w:r>
      <w:r>
        <w:fldChar w:fldCharType="begin"/>
      </w:r>
      <w:r>
        <w:instrText xml:space="preserve"> HYPERLINK "https://medium.com/jacob-morgan/how-accorhotels-ceo-s%C3%A9bastien-bazin-leads-across-generations-62ef38baa83c" \t "_new" </w:instrText>
      </w:r>
      <w:r>
        <w:fldChar w:fldCharType="separate"/>
      </w:r>
      <w:r w:rsidRPr="00731754">
        <w:rPr>
          <w:rStyle w:val="Hyperlink"/>
          <w:rFonts w:ascii="Times New Roman" w:hAnsi="Times New Roman"/>
          <w:sz w:val="24"/>
          <w:szCs w:val="24"/>
          <w:lang w:val="ro-RO"/>
        </w:rPr>
        <w:t>https://medium.com/jacob-morgan/how-accorhotels-ceo-s%C3%A9bastien-bazin-leads-across-generations-62ef38baa83c</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26 January 2025).</w:t>
      </w:r>
    </w:p>
    <w:p w14:paraId="76C7337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Nagtegaal, R., de Boer, N., van Berkel, R., Derks, B. and Tummers, L. (2023) ‘Why Do Employers (Fail to) Hire People with Disabilities? A Systematic Review of Capabilities, Opportunities and Motivations’, </w:t>
      </w:r>
      <w:r w:rsidRPr="00731754">
        <w:rPr>
          <w:rFonts w:ascii="Times New Roman" w:hAnsi="Times New Roman"/>
          <w:i/>
          <w:iCs/>
          <w:sz w:val="24"/>
          <w:szCs w:val="24"/>
          <w:lang w:val="ro-RO"/>
        </w:rPr>
        <w:t>Journal of Occupational Rehabilitation</w:t>
      </w:r>
      <w:r w:rsidRPr="00731754">
        <w:rPr>
          <w:rFonts w:ascii="Times New Roman" w:hAnsi="Times New Roman"/>
          <w:sz w:val="24"/>
          <w:szCs w:val="24"/>
          <w:lang w:val="ro-RO"/>
        </w:rPr>
        <w:t xml:space="preserve">, 33(2), pp. 329-340. Available at: </w:t>
      </w:r>
      <w:r>
        <w:fldChar w:fldCharType="begin"/>
      </w:r>
      <w:r>
        <w:instrText xml:space="preserve"> HYPERLINK "https://pmc.ncbi.nlm.nih.gov/articles/PMC10172218/" \t "_new" </w:instrText>
      </w:r>
      <w:r>
        <w:fldChar w:fldCharType="separate"/>
      </w:r>
      <w:r w:rsidRPr="00731754">
        <w:rPr>
          <w:rStyle w:val="Hyperlink"/>
          <w:rFonts w:ascii="Times New Roman" w:hAnsi="Times New Roman"/>
          <w:sz w:val="24"/>
          <w:szCs w:val="24"/>
          <w:lang w:val="ro-RO"/>
        </w:rPr>
        <w:t>https://pmc.ncbi.nlm.nih.gov/articles/PMC10172218/</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10 February 2025).</w:t>
      </w:r>
    </w:p>
    <w:p w14:paraId="530ECDA6"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Napontun, K., Lertwachara, K., Chutiphongdech, T., Senachai, P. and Wattanawaraporn, R. (2023) ‘Captivating Spectators: Exploring the Influence of Marketing Mix Elements on Sports Event Engagement’, </w:t>
      </w:r>
      <w:r w:rsidRPr="00731754">
        <w:rPr>
          <w:rFonts w:ascii="Times New Roman" w:hAnsi="Times New Roman"/>
          <w:i/>
          <w:iCs/>
          <w:sz w:val="24"/>
          <w:szCs w:val="24"/>
          <w:lang w:val="ro-RO"/>
        </w:rPr>
        <w:t>ABAC Journal</w:t>
      </w:r>
      <w:r w:rsidRPr="00731754">
        <w:rPr>
          <w:rFonts w:ascii="Times New Roman" w:hAnsi="Times New Roman"/>
          <w:sz w:val="24"/>
          <w:szCs w:val="24"/>
          <w:lang w:val="ro-RO"/>
        </w:rPr>
        <w:t xml:space="preserve">, 43(3), pp. 286-306. Available at: </w:t>
      </w:r>
      <w:r>
        <w:fldChar w:fldCharType="begin"/>
      </w:r>
      <w:r>
        <w:instrText xml:space="preserve"> HYPERLINK "https://www.researchgate.net/publication/373152555" \t "_new" </w:instrText>
      </w:r>
      <w:r>
        <w:fldChar w:fldCharType="separate"/>
      </w:r>
      <w:r w:rsidRPr="00731754">
        <w:rPr>
          <w:rStyle w:val="Hyperlink"/>
          <w:rFonts w:ascii="Times New Roman" w:hAnsi="Times New Roman"/>
          <w:sz w:val="24"/>
          <w:szCs w:val="24"/>
          <w:lang w:val="ro-RO"/>
        </w:rPr>
        <w:t>https://www.researchgate.net/publication/373152555</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25 February 2025).</w:t>
      </w:r>
    </w:p>
    <w:p w14:paraId="79F43CBB"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Nechita, F. (coord.) (2022) </w:t>
      </w:r>
      <w:r w:rsidRPr="00731754">
        <w:rPr>
          <w:rFonts w:ascii="Times New Roman" w:hAnsi="Times New Roman"/>
          <w:i/>
          <w:iCs/>
          <w:sz w:val="24"/>
          <w:szCs w:val="24"/>
          <w:lang w:val="ro-RO"/>
        </w:rPr>
        <w:t>Tehnici promoționale: Studii de caz.</w:t>
      </w:r>
      <w:r w:rsidRPr="00731754">
        <w:rPr>
          <w:rFonts w:ascii="Times New Roman" w:hAnsi="Times New Roman"/>
          <w:sz w:val="24"/>
          <w:szCs w:val="24"/>
          <w:lang w:val="ro-RO"/>
        </w:rPr>
        <w:t xml:space="preserve"> Cluj-Napoca: Presa Universitară Clujeană. Available at: </w:t>
      </w:r>
      <w:r>
        <w:fldChar w:fldCharType="begin"/>
      </w:r>
      <w:r>
        <w:instrText xml:space="preserve"> HYPERLINK "https://www.researchgate.net/publication/358906663_Tehnici_promotionale_studii_de_caz" \t "_new" </w:instrText>
      </w:r>
      <w:r>
        <w:fldChar w:fldCharType="separate"/>
      </w:r>
      <w:r w:rsidRPr="00731754">
        <w:rPr>
          <w:rStyle w:val="Hyperlink"/>
          <w:rFonts w:ascii="Times New Roman" w:hAnsi="Times New Roman"/>
          <w:sz w:val="24"/>
          <w:szCs w:val="24"/>
          <w:lang w:val="ro-RO"/>
        </w:rPr>
        <w:t>https://www.researchgate.net/publication/358906663_Tehnici_promotionale_studii_de_caz</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10 February 2025).</w:t>
      </w:r>
    </w:p>
    <w:p w14:paraId="29CAD390"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New Light Digital (2024) ‘Servicii marketing online – Cât costă în 2025’, </w:t>
      </w:r>
      <w:r w:rsidRPr="00731754">
        <w:rPr>
          <w:rFonts w:ascii="Times New Roman" w:hAnsi="Times New Roman"/>
          <w:i/>
          <w:iCs/>
          <w:sz w:val="24"/>
          <w:szCs w:val="24"/>
          <w:lang w:val="ro-RO"/>
        </w:rPr>
        <w:t>New Light Digital Blog</w:t>
      </w:r>
      <w:r w:rsidRPr="00731754">
        <w:rPr>
          <w:rFonts w:ascii="Times New Roman" w:hAnsi="Times New Roman"/>
          <w:sz w:val="24"/>
          <w:szCs w:val="24"/>
          <w:lang w:val="ro-RO"/>
        </w:rPr>
        <w:t xml:space="preserve">, 2 December. Available at: </w:t>
      </w:r>
      <w:r>
        <w:fldChar w:fldCharType="begin"/>
      </w:r>
      <w:r>
        <w:instrText xml:space="preserve"> HYPERLINK "https://newlightdigital.com/ro/blog/preturi-pentru-serviciile-de-marketing-digital/" \t "_new" </w:instrText>
      </w:r>
      <w:r>
        <w:fldChar w:fldCharType="separate"/>
      </w:r>
      <w:r w:rsidRPr="00731754">
        <w:rPr>
          <w:rStyle w:val="Hyperlink"/>
          <w:rFonts w:ascii="Times New Roman" w:hAnsi="Times New Roman"/>
          <w:sz w:val="24"/>
          <w:szCs w:val="24"/>
          <w:lang w:val="ro-RO"/>
        </w:rPr>
        <w:t>https://newlightdigital.com/ro/blog/preturi-pentru-serviciile-de-marketing-digital/</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29 January 2025).</w:t>
      </w:r>
    </w:p>
    <w:p w14:paraId="6522F814"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NHS Employers (2025) ‘Disability Summit 2025’. Available at: </w:t>
      </w:r>
      <w:r>
        <w:fldChar w:fldCharType="begin"/>
      </w:r>
      <w:r>
        <w:instrText xml:space="preserve"> HYPERLINK "https://www.nhsemployers.org/events/disability-summit-2025" \t "_new" </w:instrText>
      </w:r>
      <w:r>
        <w:fldChar w:fldCharType="separate"/>
      </w:r>
      <w:r w:rsidRPr="00731754">
        <w:rPr>
          <w:rStyle w:val="Hyperlink"/>
          <w:rFonts w:ascii="Times New Roman" w:hAnsi="Times New Roman"/>
          <w:sz w:val="24"/>
          <w:szCs w:val="24"/>
          <w:lang w:val="ro-RO"/>
        </w:rPr>
        <w:t>https://www.nhsemployers.org/events/disability-summit-2025</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29 January 2025).</w:t>
      </w:r>
    </w:p>
    <w:p w14:paraId="0993FD06"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Omodan, B.I. and Abejide, S.O. (2022) ‘Reconstructing Abraham Maslow’s hierarchy of needs towards inclusive infrastructure development needs assessment’, </w:t>
      </w:r>
      <w:r w:rsidRPr="00731754">
        <w:rPr>
          <w:rFonts w:ascii="Times New Roman" w:hAnsi="Times New Roman"/>
          <w:i/>
          <w:iCs/>
          <w:sz w:val="24"/>
          <w:szCs w:val="24"/>
          <w:lang w:val="ro-RO"/>
        </w:rPr>
        <w:t>Journal of Infrastructure, Policy and Development</w:t>
      </w:r>
      <w:r w:rsidRPr="00731754">
        <w:rPr>
          <w:rFonts w:ascii="Times New Roman" w:hAnsi="Times New Roman"/>
          <w:sz w:val="24"/>
          <w:szCs w:val="24"/>
          <w:lang w:val="ro-RO"/>
        </w:rPr>
        <w:t xml:space="preserve">, 6(2), pp. 1-9. Available at: </w:t>
      </w:r>
      <w:r>
        <w:fldChar w:fldCharType="begin"/>
      </w:r>
      <w:r>
        <w:instrText xml:space="preserve"> HYPERLINK "https://www.researchgate.net/publication/362930587" \t "_new" </w:instrText>
      </w:r>
      <w:r>
        <w:fldChar w:fldCharType="separate"/>
      </w:r>
      <w:r w:rsidRPr="00731754">
        <w:rPr>
          <w:rStyle w:val="Hyperlink"/>
          <w:rFonts w:ascii="Times New Roman" w:hAnsi="Times New Roman"/>
          <w:sz w:val="24"/>
          <w:szCs w:val="24"/>
          <w:lang w:val="ro-RO"/>
        </w:rPr>
        <w:t>https://www.researchgate.net/publication/362930587</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25 February 2025).</w:t>
      </w:r>
    </w:p>
    <w:p w14:paraId="0D5E75EC"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lastRenderedPageBreak/>
        <w:t xml:space="preserve">Oshimi, D., Taks, M. and Agha, N. (2023) ‘Social impact of events: advancing insights on social impact scales’, </w:t>
      </w:r>
      <w:r w:rsidRPr="00731754">
        <w:rPr>
          <w:rFonts w:ascii="Times New Roman" w:hAnsi="Times New Roman"/>
          <w:i/>
          <w:iCs/>
          <w:sz w:val="24"/>
          <w:szCs w:val="24"/>
          <w:lang w:val="ro-RO"/>
        </w:rPr>
        <w:t>European Sport Management Quarterly</w:t>
      </w:r>
      <w:r w:rsidRPr="00731754">
        <w:rPr>
          <w:rFonts w:ascii="Times New Roman" w:hAnsi="Times New Roman"/>
          <w:sz w:val="24"/>
          <w:szCs w:val="24"/>
          <w:lang w:val="ro-RO"/>
        </w:rPr>
        <w:t>, 23(6), pp. 1843-1862. DOI: 10.1080/16184742.2022.2076891 (Accessed: 25 February 2025).</w:t>
      </w:r>
    </w:p>
    <w:p w14:paraId="7BDE8EA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Prisăcaru, V. (2020) </w:t>
      </w:r>
      <w:r w:rsidRPr="00731754">
        <w:rPr>
          <w:rFonts w:ascii="Times New Roman" w:hAnsi="Times New Roman"/>
          <w:i/>
          <w:iCs/>
          <w:sz w:val="24"/>
          <w:szCs w:val="24"/>
          <w:lang w:val="ro-RO"/>
        </w:rPr>
        <w:t>Managementul proiectelor: Note de curs.</w:t>
      </w:r>
      <w:r w:rsidRPr="00731754">
        <w:rPr>
          <w:rFonts w:ascii="Times New Roman" w:hAnsi="Times New Roman"/>
          <w:sz w:val="24"/>
          <w:szCs w:val="24"/>
          <w:lang w:val="ro-RO"/>
        </w:rPr>
        <w:t xml:space="preserve"> Chișinău: Universitatea de Stat din Moldova, Facultatea Științe Economice, Departamentul Administrarea Afacerilor. Disponibil la: </w:t>
      </w:r>
      <w:r>
        <w:fldChar w:fldCharType="begin"/>
      </w:r>
      <w:r>
        <w:instrText xml:space="preserve"> HYPERLINK "https://cmveabratuseni.md/wp-content/uploads/2023/06/%E2%80%9Eelaborarea-%C8%99i-gestiunea-proiectelor.pdf" \t "_new" </w:instrText>
      </w:r>
      <w:r>
        <w:fldChar w:fldCharType="separate"/>
      </w:r>
      <w:r w:rsidRPr="00731754">
        <w:rPr>
          <w:rStyle w:val="Hyperlink"/>
          <w:rFonts w:ascii="Times New Roman" w:hAnsi="Times New Roman"/>
          <w:sz w:val="24"/>
          <w:szCs w:val="24"/>
          <w:lang w:val="ro-RO"/>
        </w:rPr>
        <w:t>https://cmveabratuseni.md/wp-content/uploads/2023/06/%E2%80%9Eelaborarea-%C8%99i-gestiunea-proiectelor.pdf</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25 February 2025).</w:t>
      </w:r>
    </w:p>
    <w:p w14:paraId="2414D95F"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Schütte, P.M., Schulte, Y., Schmitt, A., Schönefeld, M., Barber, V. and Fiedrich, F. (2024) ‘Visitor safety and security compliance as a key component of event planning and implementation? Findings from a German research project on COVID-19’, </w:t>
      </w:r>
      <w:r w:rsidRPr="00731754">
        <w:rPr>
          <w:rFonts w:ascii="Times New Roman" w:hAnsi="Times New Roman"/>
          <w:i/>
          <w:iCs/>
          <w:sz w:val="24"/>
          <w:szCs w:val="24"/>
          <w:lang w:val="ro-RO"/>
        </w:rPr>
        <w:t>Frontiers in Communications and Networks</w:t>
      </w:r>
      <w:r w:rsidRPr="00731754">
        <w:rPr>
          <w:rFonts w:ascii="Times New Roman" w:hAnsi="Times New Roman"/>
          <w:sz w:val="24"/>
          <w:szCs w:val="24"/>
          <w:lang w:val="ro-RO"/>
        </w:rPr>
        <w:t xml:space="preserve">, 5, p. 1368506. Available at: </w:t>
      </w:r>
      <w:r>
        <w:fldChar w:fldCharType="begin"/>
      </w:r>
      <w:r>
        <w:instrText xml:space="preserve"> HYPERLINK "https://www.frontiersin.org/articles/10.3389/frcmn.2024.1368506/full" \t "_new" </w:instrText>
      </w:r>
      <w:r>
        <w:fldChar w:fldCharType="separate"/>
      </w:r>
      <w:r w:rsidRPr="00731754">
        <w:rPr>
          <w:rStyle w:val="Hyperlink"/>
          <w:rFonts w:ascii="Times New Roman" w:hAnsi="Times New Roman"/>
          <w:sz w:val="24"/>
          <w:szCs w:val="24"/>
          <w:lang w:val="ro-RO"/>
        </w:rPr>
        <w:t>https://www.frontiersin.org/articles/10.3389/frcmn.2024.1368506/full</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26 February 2025).</w:t>
      </w:r>
    </w:p>
    <w:p w14:paraId="4EE3C67C"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Rochin Demong, N.A., Maon, S.N., Zamzuri, N.H., Khir, M.M., Sabar, S. and Abdul Halim, A.H. (2024) ‘Bibliometrics analysis of event management in the digital era: Challenges and opportunities for event planners’, </w:t>
      </w:r>
      <w:r w:rsidRPr="00731754">
        <w:rPr>
          <w:rFonts w:ascii="Times New Roman" w:hAnsi="Times New Roman"/>
          <w:i/>
          <w:iCs/>
          <w:sz w:val="24"/>
          <w:szCs w:val="24"/>
          <w:lang w:val="ro-RO"/>
        </w:rPr>
        <w:t>Information Management and Business Review</w:t>
      </w:r>
      <w:r w:rsidRPr="00731754">
        <w:rPr>
          <w:rFonts w:ascii="Times New Roman" w:hAnsi="Times New Roman"/>
          <w:sz w:val="24"/>
          <w:szCs w:val="24"/>
          <w:lang w:val="ro-RO"/>
        </w:rPr>
        <w:t>, 16(3), pp. 53-64.</w:t>
      </w:r>
    </w:p>
    <w:p w14:paraId="13426D00"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Scope (n.d.) ‘Support for disabled people’. Available at: </w:t>
      </w:r>
      <w:r>
        <w:fldChar w:fldCharType="begin"/>
      </w:r>
      <w:r>
        <w:instrText xml:space="preserve"> HYPERLINK "https://www.scope.org.uk/" \t "_new" </w:instrText>
      </w:r>
      <w:r>
        <w:fldChar w:fldCharType="separate"/>
      </w:r>
      <w:r w:rsidRPr="00731754">
        <w:rPr>
          <w:rStyle w:val="Hyperlink"/>
          <w:rFonts w:ascii="Times New Roman" w:hAnsi="Times New Roman"/>
          <w:sz w:val="24"/>
          <w:szCs w:val="24"/>
          <w:lang w:val="ro-RO"/>
        </w:rPr>
        <w:t>https://www.scope.org.uk/</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21 January 2025).</w:t>
      </w:r>
    </w:p>
    <w:p w14:paraId="765C4654"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Sedlak, L., Parker, M. and Mills, D.S. (2023) ‘Public Event Safety: A Review of Standards and Guidance to Protect Workers and the Public’, </w:t>
      </w:r>
      <w:r w:rsidRPr="00731754">
        <w:rPr>
          <w:rFonts w:ascii="Times New Roman" w:hAnsi="Times New Roman"/>
          <w:i/>
          <w:iCs/>
          <w:sz w:val="24"/>
          <w:szCs w:val="24"/>
          <w:lang w:val="ro-RO"/>
        </w:rPr>
        <w:t>The Synergist</w:t>
      </w:r>
      <w:r w:rsidRPr="00731754">
        <w:rPr>
          <w:rFonts w:ascii="Times New Roman" w:hAnsi="Times New Roman"/>
          <w:sz w:val="24"/>
          <w:szCs w:val="24"/>
          <w:lang w:val="ro-RO"/>
        </w:rPr>
        <w:t xml:space="preserve">. Available at: </w:t>
      </w:r>
      <w:r>
        <w:fldChar w:fldCharType="begin"/>
      </w:r>
      <w:r>
        <w:instrText xml:space="preserve"> HYPERLINK "https://synergist.aiha.org/202301-public-event-safety" \t "_new" </w:instrText>
      </w:r>
      <w:r>
        <w:fldChar w:fldCharType="separate"/>
      </w:r>
      <w:r w:rsidRPr="00731754">
        <w:rPr>
          <w:rStyle w:val="Hyperlink"/>
          <w:rFonts w:ascii="Times New Roman" w:hAnsi="Times New Roman"/>
          <w:sz w:val="24"/>
          <w:szCs w:val="24"/>
          <w:lang w:val="ro-RO"/>
        </w:rPr>
        <w:t>https://synergist.aiha.org/202301-public-event-safety</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26 February 2025).</w:t>
      </w:r>
    </w:p>
    <w:p w14:paraId="4D030099"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Sendino, M. (2024) ‘How much does it cost to organise an event? Costs and tips for efficient budgeting’, </w:t>
      </w:r>
      <w:r w:rsidRPr="00731754">
        <w:rPr>
          <w:rFonts w:ascii="Times New Roman" w:hAnsi="Times New Roman"/>
          <w:i/>
          <w:iCs/>
          <w:sz w:val="24"/>
          <w:szCs w:val="24"/>
          <w:lang w:val="ro-RO"/>
        </w:rPr>
        <w:t>Eventscase</w:t>
      </w:r>
      <w:r w:rsidRPr="00731754">
        <w:rPr>
          <w:rFonts w:ascii="Times New Roman" w:hAnsi="Times New Roman"/>
          <w:sz w:val="24"/>
          <w:szCs w:val="24"/>
          <w:lang w:val="ro-RO"/>
        </w:rPr>
        <w:t xml:space="preserve">, 9 May. Available at: </w:t>
      </w:r>
      <w:r>
        <w:fldChar w:fldCharType="begin"/>
      </w:r>
      <w:r>
        <w:instrText xml:space="preserve"> HYPERLINK "https://eventscase.com/blog/costs-of-organising-events" \t "_new" </w:instrText>
      </w:r>
      <w:r>
        <w:fldChar w:fldCharType="separate"/>
      </w:r>
      <w:r w:rsidRPr="00731754">
        <w:rPr>
          <w:rStyle w:val="Hyperlink"/>
          <w:rFonts w:ascii="Times New Roman" w:hAnsi="Times New Roman"/>
          <w:sz w:val="24"/>
          <w:szCs w:val="24"/>
          <w:lang w:val="ro-RO"/>
        </w:rPr>
        <w:t>https://eventscase.com/blog/costs-of-organising-events</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29 January 2025).</w:t>
      </w:r>
    </w:p>
    <w:p w14:paraId="073ABFA2"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Silvers, J.R. (2003) </w:t>
      </w:r>
      <w:r w:rsidRPr="00731754">
        <w:rPr>
          <w:rFonts w:ascii="Times New Roman" w:hAnsi="Times New Roman"/>
          <w:i/>
          <w:iCs/>
          <w:sz w:val="24"/>
          <w:szCs w:val="24"/>
          <w:lang w:val="ro-RO"/>
        </w:rPr>
        <w:t>Event Management Body of Knowledge Project.</w:t>
      </w:r>
      <w:r w:rsidRPr="00731754">
        <w:rPr>
          <w:rFonts w:ascii="Times New Roman" w:hAnsi="Times New Roman"/>
          <w:sz w:val="24"/>
          <w:szCs w:val="24"/>
          <w:lang w:val="ro-RO"/>
        </w:rPr>
        <w:t xml:space="preserve"> Available at: </w:t>
      </w:r>
      <w:r>
        <w:fldChar w:fldCharType="begin"/>
      </w:r>
      <w:r>
        <w:instrText xml:space="preserve"> HYPERLINK "https://embok.org/juliasilvers/embok/Facets_Aps.html" \t "_new" </w:instrText>
      </w:r>
      <w:r>
        <w:fldChar w:fldCharType="separate"/>
      </w:r>
      <w:r w:rsidRPr="00731754">
        <w:rPr>
          <w:rStyle w:val="Hyperlink"/>
          <w:rFonts w:ascii="Times New Roman" w:hAnsi="Times New Roman"/>
          <w:sz w:val="24"/>
          <w:szCs w:val="24"/>
          <w:lang w:val="ro-RO"/>
        </w:rPr>
        <w:t>https://embok.org/juliasilvers/embok/Facets_Aps.html</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14 February 2025).</w:t>
      </w:r>
    </w:p>
    <w:p w14:paraId="73D6595A"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Silvers, J.R., Bowdin, G.A.J., O'Toole, W.J. and Nelson, K.B. (2006) ‘Towards an International Event Management Body of Knowledge (EMBOK)’, </w:t>
      </w:r>
      <w:r w:rsidRPr="00731754">
        <w:rPr>
          <w:rFonts w:ascii="Times New Roman" w:hAnsi="Times New Roman"/>
          <w:i/>
          <w:iCs/>
          <w:sz w:val="24"/>
          <w:szCs w:val="24"/>
          <w:lang w:val="ro-RO"/>
        </w:rPr>
        <w:t>Event Management</w:t>
      </w:r>
      <w:r w:rsidRPr="00731754">
        <w:rPr>
          <w:rFonts w:ascii="Times New Roman" w:hAnsi="Times New Roman"/>
          <w:sz w:val="24"/>
          <w:szCs w:val="24"/>
          <w:lang w:val="ro-RO"/>
        </w:rPr>
        <w:t xml:space="preserve">. </w:t>
      </w:r>
      <w:r w:rsidRPr="00731754">
        <w:rPr>
          <w:rFonts w:ascii="Times New Roman" w:hAnsi="Times New Roman"/>
          <w:sz w:val="24"/>
          <w:szCs w:val="24"/>
          <w:lang w:val="ro-RO"/>
        </w:rPr>
        <w:lastRenderedPageBreak/>
        <w:t xml:space="preserve">Available at: </w:t>
      </w:r>
      <w:r>
        <w:fldChar w:fldCharType="begin"/>
      </w:r>
      <w:r>
        <w:instrText xml:space="preserve"> HYPERLINK "https://www.researchgate.net/publication/233664856_Towards_an_International_Event_Management_Body_of_Knowledge_EMBOK" \t "_new" </w:instrText>
      </w:r>
      <w:r>
        <w:fldChar w:fldCharType="separate"/>
      </w:r>
      <w:r w:rsidRPr="00731754">
        <w:rPr>
          <w:rStyle w:val="Hyperlink"/>
          <w:rFonts w:ascii="Times New Roman" w:hAnsi="Times New Roman"/>
          <w:sz w:val="24"/>
          <w:szCs w:val="24"/>
          <w:lang w:val="ro-RO"/>
        </w:rPr>
        <w:t>https://www.researchgate.net/publication/233664856_Towards_an_International_Event_Management_Body_of_Knowledge_EMBOK</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25 February 2025).</w:t>
      </w:r>
    </w:p>
    <w:p w14:paraId="012ED80C"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Stofer, K.A. (2024) ‘Getting Engaged: Facilitating Virtual Events for Maximum Accessibility’, </w:t>
      </w:r>
      <w:r w:rsidRPr="00731754">
        <w:rPr>
          <w:rFonts w:ascii="Times New Roman" w:hAnsi="Times New Roman"/>
          <w:i/>
          <w:iCs/>
          <w:sz w:val="24"/>
          <w:szCs w:val="24"/>
          <w:lang w:val="ro-RO"/>
        </w:rPr>
        <w:t>EDIS</w:t>
      </w:r>
      <w:r w:rsidRPr="00731754">
        <w:rPr>
          <w:rFonts w:ascii="Times New Roman" w:hAnsi="Times New Roman"/>
          <w:sz w:val="24"/>
          <w:szCs w:val="24"/>
          <w:lang w:val="ro-RO"/>
        </w:rPr>
        <w:t xml:space="preserve">. Available at: </w:t>
      </w:r>
      <w:r>
        <w:fldChar w:fldCharType="begin"/>
      </w:r>
      <w:r>
        <w:instrText xml:space="preserve"> HYPERLINK "https://pdfs.semanticscholar.org/38ca/4f769d6d4b22106736770c572727c09ea58f.pdf" \t "_new" </w:instrText>
      </w:r>
      <w:r>
        <w:fldChar w:fldCharType="separate"/>
      </w:r>
      <w:r w:rsidRPr="00731754">
        <w:rPr>
          <w:rStyle w:val="Hyperlink"/>
          <w:rFonts w:ascii="Times New Roman" w:hAnsi="Times New Roman"/>
          <w:sz w:val="24"/>
          <w:szCs w:val="24"/>
          <w:lang w:val="ro-RO"/>
        </w:rPr>
        <w:t>https://pdfs.semanticscholar.org/38ca/4f769d6d4b22106736770c572727c09ea58f.pdf</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11 February 2025). DOI: 10.32473/edis-WC455-2024.</w:t>
      </w:r>
    </w:p>
    <w:p w14:paraId="7D22EBB1"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Tong, X. (2022) ‘An exploration of Elinor Ostrom's theory of self-governance: Based on </w:t>
      </w:r>
      <w:r w:rsidRPr="00731754">
        <w:rPr>
          <w:rFonts w:ascii="Times New Roman" w:hAnsi="Times New Roman"/>
          <w:i/>
          <w:iCs/>
          <w:sz w:val="24"/>
          <w:szCs w:val="24"/>
          <w:lang w:val="ro-RO"/>
        </w:rPr>
        <w:t>Governing the Commons: The Evolution of Institutions for Collective Action</w:t>
      </w:r>
      <w:r w:rsidRPr="00731754">
        <w:rPr>
          <w:rFonts w:ascii="Times New Roman" w:hAnsi="Times New Roman"/>
          <w:sz w:val="24"/>
          <w:szCs w:val="24"/>
          <w:lang w:val="ro-RO"/>
        </w:rPr>
        <w:t xml:space="preserve">’, </w:t>
      </w:r>
      <w:r w:rsidRPr="00731754">
        <w:rPr>
          <w:rFonts w:ascii="Times New Roman" w:hAnsi="Times New Roman"/>
          <w:i/>
          <w:iCs/>
          <w:sz w:val="24"/>
          <w:szCs w:val="24"/>
          <w:lang w:val="ro-RO"/>
        </w:rPr>
        <w:t>SHS Web of Conferences</w:t>
      </w:r>
      <w:r w:rsidRPr="00731754">
        <w:rPr>
          <w:rFonts w:ascii="Times New Roman" w:hAnsi="Times New Roman"/>
          <w:sz w:val="24"/>
          <w:szCs w:val="24"/>
          <w:lang w:val="ro-RO"/>
        </w:rPr>
        <w:t xml:space="preserve">, 148, 01003. Available at: </w:t>
      </w:r>
      <w:r>
        <w:fldChar w:fldCharType="begin"/>
      </w:r>
      <w:r>
        <w:instrText xml:space="preserve"> HYPERLINK "https://doi.org/10.1051/shsconf/202214801003" \t "_new" </w:instrText>
      </w:r>
      <w:r>
        <w:fldChar w:fldCharType="separate"/>
      </w:r>
      <w:r w:rsidRPr="00731754">
        <w:rPr>
          <w:rStyle w:val="Hyperlink"/>
          <w:rFonts w:ascii="Times New Roman" w:hAnsi="Times New Roman"/>
          <w:sz w:val="24"/>
          <w:szCs w:val="24"/>
          <w:lang w:val="ro-RO"/>
        </w:rPr>
        <w:t>https://doi.org/10.1051/shsconf/202214801003</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22 January 2025).</w:t>
      </w:r>
    </w:p>
    <w:p w14:paraId="3FB8F35E"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UK Government (2024) </w:t>
      </w:r>
      <w:r w:rsidRPr="00731754">
        <w:rPr>
          <w:rFonts w:ascii="Times New Roman" w:hAnsi="Times New Roman"/>
          <w:i/>
          <w:iCs/>
          <w:sz w:val="24"/>
          <w:szCs w:val="24"/>
          <w:lang w:val="ro-RO"/>
        </w:rPr>
        <w:t>The employment of disabled people 2024.</w:t>
      </w:r>
      <w:r w:rsidRPr="00731754">
        <w:rPr>
          <w:rFonts w:ascii="Times New Roman" w:hAnsi="Times New Roman"/>
          <w:sz w:val="24"/>
          <w:szCs w:val="24"/>
          <w:lang w:val="ro-RO"/>
        </w:rPr>
        <w:t xml:space="preserve"> Available at: </w:t>
      </w:r>
      <w:r>
        <w:fldChar w:fldCharType="begin"/>
      </w:r>
      <w:r>
        <w:instrText xml:space="preserve"> HYPERLINK "https://www.gov.uk/government/statistics/the-employment-of-disabled-people-2024/the-employment-of-disabled-people-2024" \t "_new" </w:instrText>
      </w:r>
      <w:r>
        <w:fldChar w:fldCharType="separate"/>
      </w:r>
      <w:r w:rsidRPr="00731754">
        <w:rPr>
          <w:rStyle w:val="Hyperlink"/>
          <w:rFonts w:ascii="Times New Roman" w:hAnsi="Times New Roman"/>
          <w:sz w:val="24"/>
          <w:szCs w:val="24"/>
          <w:lang w:val="ro-RO"/>
        </w:rPr>
        <w:t>https://www.gov.uk/government/statistics/the-employment-of-disabled-people-2024/the-employment-of-disabled-people-2024</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20 January 2025).</w:t>
      </w:r>
    </w:p>
    <w:p w14:paraId="355D2B26" w14:textId="77777777" w:rsidR="008864E4" w:rsidRPr="00731754" w:rsidRDefault="008864E4" w:rsidP="008864E4">
      <w:pPr>
        <w:spacing w:line="360" w:lineRule="auto"/>
        <w:jc w:val="both"/>
        <w:rPr>
          <w:rFonts w:ascii="Times New Roman" w:hAnsi="Times New Roman"/>
          <w:sz w:val="24"/>
          <w:szCs w:val="24"/>
          <w:lang w:val="ro-RO"/>
        </w:rPr>
      </w:pPr>
      <w:r w:rsidRPr="00731754">
        <w:rPr>
          <w:rFonts w:ascii="Times New Roman" w:hAnsi="Times New Roman"/>
          <w:sz w:val="24"/>
          <w:szCs w:val="24"/>
          <w:lang w:val="ro-RO"/>
        </w:rPr>
        <w:t xml:space="preserve">UKHospitality (2024) </w:t>
      </w:r>
      <w:r w:rsidRPr="00731754">
        <w:rPr>
          <w:rFonts w:ascii="Times New Roman" w:hAnsi="Times New Roman"/>
          <w:i/>
          <w:iCs/>
          <w:sz w:val="24"/>
          <w:szCs w:val="24"/>
          <w:lang w:val="ro-RO"/>
        </w:rPr>
        <w:t>Equality Act 2010 and its implications for the hospitality sector.</w:t>
      </w:r>
      <w:r w:rsidRPr="00731754">
        <w:rPr>
          <w:rFonts w:ascii="Times New Roman" w:hAnsi="Times New Roman"/>
          <w:sz w:val="24"/>
          <w:szCs w:val="24"/>
          <w:lang w:val="ro-RO"/>
        </w:rPr>
        <w:t xml:space="preserve"> Available at: </w:t>
      </w:r>
      <w:r>
        <w:fldChar w:fldCharType="begin"/>
      </w:r>
      <w:r>
        <w:instrText xml:space="preserve"> HYPERLINK "https://www.ukhospitality.org.uk/wp-content/uploads/2024/02/Equality-Act-UKHospitality.pdf" \t "_new" </w:instrText>
      </w:r>
      <w:r>
        <w:fldChar w:fldCharType="separate"/>
      </w:r>
      <w:r w:rsidRPr="00731754">
        <w:rPr>
          <w:rStyle w:val="Hyperlink"/>
          <w:rFonts w:ascii="Times New Roman" w:hAnsi="Times New Roman"/>
          <w:sz w:val="24"/>
          <w:szCs w:val="24"/>
          <w:lang w:val="ro-RO"/>
        </w:rPr>
        <w:t>https://www.ukhospitality.org.uk/wp-content/uploads/2024/02/Equality-Act-UKHospitality.pdf</w:t>
      </w:r>
      <w:r>
        <w:rPr>
          <w:rStyle w:val="Hyperlink"/>
          <w:rFonts w:ascii="Times New Roman" w:hAnsi="Times New Roman"/>
          <w:sz w:val="24"/>
          <w:szCs w:val="24"/>
          <w:lang w:val="ro-RO"/>
        </w:rPr>
        <w:fldChar w:fldCharType="end"/>
      </w:r>
      <w:r w:rsidRPr="00731754">
        <w:rPr>
          <w:rFonts w:ascii="Times New Roman" w:hAnsi="Times New Roman"/>
          <w:sz w:val="24"/>
          <w:szCs w:val="24"/>
          <w:lang w:val="ro-RO"/>
        </w:rPr>
        <w:t xml:space="preserve"> (Accessed: 20 January 2025).</w:t>
      </w:r>
    </w:p>
    <w:p w14:paraId="524D2E04" w14:textId="77777777" w:rsidR="008864E4" w:rsidRPr="00731754" w:rsidRDefault="008864E4" w:rsidP="008864E4">
      <w:pPr>
        <w:rPr>
          <w:lang w:val="ro-RO"/>
        </w:rPr>
      </w:pPr>
    </w:p>
    <w:p w14:paraId="75EB27CA" w14:textId="77777777" w:rsidR="008864E4" w:rsidRPr="00731754" w:rsidRDefault="008864E4" w:rsidP="008864E4">
      <w:pPr>
        <w:rPr>
          <w:lang w:val="ro-RO"/>
        </w:rPr>
      </w:pPr>
    </w:p>
    <w:p w14:paraId="59627681" w14:textId="77777777" w:rsidR="008864E4" w:rsidRPr="00731754" w:rsidRDefault="008864E4" w:rsidP="008864E4">
      <w:pPr>
        <w:rPr>
          <w:lang w:val="ro-RO"/>
        </w:rPr>
      </w:pPr>
    </w:p>
    <w:p w14:paraId="31691219" w14:textId="77777777" w:rsidR="008864E4" w:rsidRPr="00731754" w:rsidRDefault="008864E4" w:rsidP="008864E4">
      <w:pPr>
        <w:rPr>
          <w:lang w:val="ro-RO"/>
        </w:rPr>
      </w:pPr>
    </w:p>
    <w:p w14:paraId="26E81DC1" w14:textId="77777777" w:rsidR="008864E4" w:rsidRPr="00731754" w:rsidRDefault="008864E4" w:rsidP="008864E4"/>
    <w:p w14:paraId="31CA3255" w14:textId="77777777" w:rsidR="008864E4" w:rsidRPr="00D85C29" w:rsidRDefault="008864E4" w:rsidP="008864E4">
      <w:pPr>
        <w:spacing w:line="360" w:lineRule="auto"/>
        <w:jc w:val="both"/>
        <w:rPr>
          <w:rFonts w:ascii="Times New Roman" w:hAnsi="Times New Roman"/>
          <w:sz w:val="24"/>
          <w:szCs w:val="24"/>
        </w:rPr>
      </w:pPr>
    </w:p>
    <w:p w14:paraId="34F9A9B7" w14:textId="77777777" w:rsidR="008864E4" w:rsidRPr="00D85C29" w:rsidRDefault="008864E4" w:rsidP="008864E4">
      <w:pPr>
        <w:spacing w:line="360" w:lineRule="auto"/>
        <w:jc w:val="both"/>
        <w:rPr>
          <w:rFonts w:ascii="Times New Roman" w:hAnsi="Times New Roman"/>
          <w:sz w:val="24"/>
          <w:szCs w:val="24"/>
        </w:rPr>
      </w:pPr>
    </w:p>
    <w:p w14:paraId="68F0AC37" w14:textId="77777777" w:rsidR="008864E4" w:rsidRPr="00D85C29" w:rsidRDefault="008864E4" w:rsidP="008864E4">
      <w:pPr>
        <w:pStyle w:val="NormalWeb"/>
        <w:spacing w:line="360" w:lineRule="auto"/>
        <w:jc w:val="both"/>
      </w:pPr>
    </w:p>
    <w:p w14:paraId="740BB8E8" w14:textId="77777777" w:rsidR="008864E4" w:rsidRPr="00D85C29" w:rsidRDefault="008864E4" w:rsidP="008864E4">
      <w:pPr>
        <w:pStyle w:val="NormalWeb"/>
        <w:spacing w:line="360" w:lineRule="auto"/>
        <w:jc w:val="both"/>
      </w:pPr>
    </w:p>
    <w:p w14:paraId="00C190F3" w14:textId="77777777" w:rsidR="008864E4" w:rsidRPr="00D85C29" w:rsidRDefault="008864E4" w:rsidP="008864E4">
      <w:pPr>
        <w:pStyle w:val="NormalWeb"/>
        <w:spacing w:line="360" w:lineRule="auto"/>
        <w:jc w:val="both"/>
      </w:pPr>
    </w:p>
    <w:p w14:paraId="1CE266B6" w14:textId="77777777" w:rsidR="008864E4" w:rsidRPr="00D85C29" w:rsidRDefault="008864E4" w:rsidP="008864E4">
      <w:pPr>
        <w:pStyle w:val="NormalWeb"/>
        <w:spacing w:line="360" w:lineRule="auto"/>
        <w:jc w:val="both"/>
      </w:pPr>
    </w:p>
    <w:p w14:paraId="348B22F2" w14:textId="77777777" w:rsidR="008864E4" w:rsidRPr="00E1070F" w:rsidRDefault="008864E4" w:rsidP="008864E4">
      <w:pPr>
        <w:pStyle w:val="Heading1"/>
        <w:rPr>
          <w:rFonts w:ascii="Times New Roman" w:hAnsi="Times New Roman" w:cs="Times New Roman"/>
          <w:sz w:val="24"/>
          <w:szCs w:val="24"/>
          <w:lang w:val="ro-RO"/>
        </w:rPr>
      </w:pPr>
      <w:bookmarkStart w:id="35" w:name="_Toc191503487"/>
      <w:r w:rsidRPr="00E1070F">
        <w:rPr>
          <w:rFonts w:ascii="Times New Roman" w:hAnsi="Times New Roman" w:cs="Times New Roman"/>
          <w:sz w:val="24"/>
          <w:szCs w:val="24"/>
          <w:lang w:val="ro-RO"/>
        </w:rPr>
        <w:lastRenderedPageBreak/>
        <w:t>APPENDICES</w:t>
      </w:r>
      <w:bookmarkEnd w:id="35"/>
    </w:p>
    <w:p w14:paraId="58C86030" w14:textId="77777777" w:rsidR="008864E4" w:rsidRPr="00D85C29" w:rsidRDefault="008864E4" w:rsidP="008864E4">
      <w:pPr>
        <w:spacing w:line="360" w:lineRule="auto"/>
        <w:rPr>
          <w:rFonts w:ascii="Times New Roman" w:hAnsi="Times New Roman"/>
          <w:sz w:val="24"/>
          <w:szCs w:val="24"/>
        </w:rPr>
      </w:pPr>
      <w:r w:rsidRPr="00D85C29">
        <w:rPr>
          <w:rFonts w:ascii="Times New Roman" w:hAnsi="Times New Roman"/>
          <w:sz w:val="24"/>
          <w:szCs w:val="24"/>
        </w:rPr>
        <w:t>Table 1 - EMBOK</w:t>
      </w:r>
      <w:r w:rsidRPr="00D85C29">
        <w:rPr>
          <w:rFonts w:ascii="Times New Roman" w:hAnsi="Times New Roman"/>
          <w:sz w:val="24"/>
          <w:szCs w:val="24"/>
        </w:rPr>
        <w:drawing>
          <wp:inline distT="0" distB="0" distL="0" distR="0" wp14:anchorId="32637FF4" wp14:editId="2E307128">
            <wp:extent cx="6160805" cy="7210425"/>
            <wp:effectExtent l="0" t="0" r="0" b="0"/>
            <wp:docPr id="446314312" name="Picture 2"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79239" name="Picture 2" descr="A screen shot of a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208494" cy="7266239"/>
                    </a:xfrm>
                    <a:prstGeom prst="rect">
                      <a:avLst/>
                    </a:prstGeom>
                  </pic:spPr>
                </pic:pic>
              </a:graphicData>
            </a:graphic>
          </wp:inline>
        </w:drawing>
      </w:r>
      <w:r w:rsidRPr="00D85C29">
        <w:rPr>
          <w:rFonts w:ascii="Times New Roman" w:hAnsi="Times New Roman"/>
          <w:sz w:val="24"/>
          <w:szCs w:val="24"/>
        </w:rPr>
        <w:t>(Silvers, 2003)</w:t>
      </w:r>
    </w:p>
    <w:p w14:paraId="1A1EF176" w14:textId="77777777" w:rsidR="008864E4" w:rsidRPr="00D85C29" w:rsidRDefault="008864E4" w:rsidP="008864E4">
      <w:pPr>
        <w:spacing w:line="360" w:lineRule="auto"/>
        <w:jc w:val="both"/>
        <w:rPr>
          <w:rFonts w:ascii="Times New Roman" w:hAnsi="Times New Roman"/>
          <w:sz w:val="24"/>
          <w:szCs w:val="24"/>
        </w:rPr>
      </w:pPr>
    </w:p>
    <w:p w14:paraId="3021F9C2" w14:textId="77777777" w:rsidR="008864E4" w:rsidRPr="00D85C29" w:rsidRDefault="008864E4" w:rsidP="008864E4">
      <w:pPr>
        <w:spacing w:line="360" w:lineRule="auto"/>
        <w:jc w:val="both"/>
        <w:rPr>
          <w:rFonts w:ascii="Times New Roman" w:hAnsi="Times New Roman"/>
          <w:sz w:val="24"/>
          <w:szCs w:val="24"/>
        </w:rPr>
      </w:pPr>
    </w:p>
    <w:p w14:paraId="227762AB" w14:textId="77777777" w:rsidR="008864E4" w:rsidRPr="00D85C29" w:rsidRDefault="008864E4" w:rsidP="008864E4">
      <w:pPr>
        <w:spacing w:line="360" w:lineRule="auto"/>
        <w:jc w:val="both"/>
        <w:rPr>
          <w:rFonts w:ascii="Times New Roman" w:hAnsi="Times New Roman"/>
          <w:sz w:val="24"/>
          <w:szCs w:val="24"/>
        </w:rPr>
      </w:pPr>
    </w:p>
    <w:p w14:paraId="5910EFC5" w14:textId="77777777" w:rsidR="008864E4" w:rsidRPr="00D85C29" w:rsidRDefault="008864E4" w:rsidP="008864E4">
      <w:pPr>
        <w:spacing w:line="360" w:lineRule="auto"/>
        <w:jc w:val="both"/>
        <w:rPr>
          <w:rFonts w:ascii="Times New Roman" w:hAnsi="Times New Roman"/>
          <w:sz w:val="24"/>
          <w:szCs w:val="24"/>
        </w:rPr>
      </w:pPr>
      <w:proofErr w:type="spellStart"/>
      <w:r w:rsidRPr="00D85C29">
        <w:rPr>
          <w:rFonts w:ascii="Times New Roman" w:hAnsi="Times New Roman"/>
          <w:sz w:val="24"/>
          <w:szCs w:val="24"/>
        </w:rPr>
        <w:t>Tabel</w:t>
      </w:r>
      <w:proofErr w:type="spellEnd"/>
      <w:r w:rsidRPr="00D85C29">
        <w:rPr>
          <w:rFonts w:ascii="Times New Roman" w:hAnsi="Times New Roman"/>
          <w:sz w:val="24"/>
          <w:szCs w:val="24"/>
        </w:rPr>
        <w:t xml:space="preserve"> 2 - SWOT </w:t>
      </w:r>
    </w:p>
    <w:p w14:paraId="79CB3480" w14:textId="77777777" w:rsidR="008864E4" w:rsidRPr="00D85C29" w:rsidRDefault="008864E4" w:rsidP="008864E4">
      <w:pPr>
        <w:spacing w:line="360" w:lineRule="auto"/>
        <w:jc w:val="both"/>
        <w:rPr>
          <w:rFonts w:ascii="Times New Roman" w:hAnsi="Times New Roman"/>
          <w:sz w:val="24"/>
          <w:szCs w:val="24"/>
        </w:rPr>
      </w:pPr>
      <w:r w:rsidRPr="00D85C29">
        <w:rPr>
          <w:rFonts w:ascii="Times New Roman" w:hAnsi="Times New Roman"/>
          <w:sz w:val="24"/>
          <w:szCs w:val="24"/>
        </w:rPr>
        <w:drawing>
          <wp:inline distT="0" distB="0" distL="0" distR="0" wp14:anchorId="1371EA3E" wp14:editId="143416C8">
            <wp:extent cx="5227773" cy="4404742"/>
            <wp:effectExtent l="0" t="0" r="0" b="0"/>
            <wp:docPr id="78770788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07887" name="Picture 1" descr="A screenshot of a computer screen&#10;&#10;Description automatically generated"/>
                    <pic:cNvPicPr/>
                  </pic:nvPicPr>
                  <pic:blipFill>
                    <a:blip r:embed="rId7"/>
                    <a:stretch>
                      <a:fillRect/>
                    </a:stretch>
                  </pic:blipFill>
                  <pic:spPr>
                    <a:xfrm>
                      <a:off x="0" y="0"/>
                      <a:ext cx="5227773" cy="4404742"/>
                    </a:xfrm>
                    <a:prstGeom prst="rect">
                      <a:avLst/>
                    </a:prstGeom>
                  </pic:spPr>
                </pic:pic>
              </a:graphicData>
            </a:graphic>
          </wp:inline>
        </w:drawing>
      </w:r>
    </w:p>
    <w:p w14:paraId="03AA0DD6" w14:textId="77777777" w:rsidR="008864E4" w:rsidRDefault="008864E4" w:rsidP="008864E4">
      <w:pPr>
        <w:spacing w:line="360" w:lineRule="auto"/>
        <w:jc w:val="both"/>
        <w:rPr>
          <w:rFonts w:ascii="Times New Roman" w:hAnsi="Times New Roman"/>
          <w:sz w:val="24"/>
          <w:szCs w:val="24"/>
        </w:rPr>
      </w:pPr>
    </w:p>
    <w:p w14:paraId="2DE17D9F" w14:textId="77777777" w:rsidR="008864E4" w:rsidRDefault="008864E4" w:rsidP="008864E4">
      <w:pPr>
        <w:spacing w:line="360" w:lineRule="auto"/>
        <w:jc w:val="both"/>
        <w:rPr>
          <w:rFonts w:ascii="Times New Roman" w:hAnsi="Times New Roman"/>
          <w:sz w:val="24"/>
          <w:szCs w:val="24"/>
        </w:rPr>
      </w:pPr>
    </w:p>
    <w:p w14:paraId="3E9CFD0D" w14:textId="77777777" w:rsidR="008864E4" w:rsidRDefault="008864E4" w:rsidP="008864E4">
      <w:pPr>
        <w:spacing w:line="360" w:lineRule="auto"/>
        <w:jc w:val="both"/>
        <w:rPr>
          <w:rFonts w:ascii="Times New Roman" w:hAnsi="Times New Roman"/>
          <w:sz w:val="24"/>
          <w:szCs w:val="24"/>
        </w:rPr>
      </w:pPr>
    </w:p>
    <w:p w14:paraId="27A4AFB8" w14:textId="77777777" w:rsidR="008864E4" w:rsidRDefault="008864E4" w:rsidP="008864E4">
      <w:pPr>
        <w:spacing w:line="360" w:lineRule="auto"/>
        <w:jc w:val="both"/>
        <w:rPr>
          <w:rFonts w:ascii="Times New Roman" w:hAnsi="Times New Roman"/>
          <w:sz w:val="24"/>
          <w:szCs w:val="24"/>
        </w:rPr>
      </w:pPr>
    </w:p>
    <w:p w14:paraId="73F5F112" w14:textId="77777777" w:rsidR="008864E4" w:rsidRDefault="008864E4" w:rsidP="008864E4">
      <w:pPr>
        <w:spacing w:line="360" w:lineRule="auto"/>
        <w:jc w:val="both"/>
        <w:rPr>
          <w:rFonts w:ascii="Times New Roman" w:hAnsi="Times New Roman"/>
          <w:sz w:val="24"/>
          <w:szCs w:val="24"/>
        </w:rPr>
      </w:pPr>
    </w:p>
    <w:p w14:paraId="3D2E2777" w14:textId="77777777" w:rsidR="008864E4" w:rsidRDefault="008864E4" w:rsidP="008864E4">
      <w:pPr>
        <w:spacing w:line="360" w:lineRule="auto"/>
        <w:jc w:val="both"/>
        <w:rPr>
          <w:rFonts w:ascii="Times New Roman" w:hAnsi="Times New Roman"/>
          <w:sz w:val="24"/>
          <w:szCs w:val="24"/>
        </w:rPr>
      </w:pPr>
    </w:p>
    <w:p w14:paraId="2EACD7AC" w14:textId="77777777" w:rsidR="008864E4" w:rsidRDefault="008864E4" w:rsidP="008864E4">
      <w:pPr>
        <w:spacing w:line="360" w:lineRule="auto"/>
        <w:jc w:val="both"/>
        <w:rPr>
          <w:rFonts w:ascii="Times New Roman" w:hAnsi="Times New Roman"/>
          <w:sz w:val="24"/>
          <w:szCs w:val="24"/>
        </w:rPr>
      </w:pPr>
    </w:p>
    <w:p w14:paraId="37DABA5A" w14:textId="77777777" w:rsidR="008864E4" w:rsidRDefault="008864E4" w:rsidP="008864E4">
      <w:pPr>
        <w:spacing w:line="360" w:lineRule="auto"/>
        <w:jc w:val="both"/>
        <w:rPr>
          <w:rFonts w:ascii="Times New Roman" w:hAnsi="Times New Roman"/>
          <w:sz w:val="24"/>
          <w:szCs w:val="24"/>
        </w:rPr>
      </w:pPr>
    </w:p>
    <w:p w14:paraId="5D2BD281" w14:textId="77777777" w:rsidR="008864E4" w:rsidRDefault="008864E4" w:rsidP="008864E4">
      <w:pPr>
        <w:spacing w:line="360" w:lineRule="auto"/>
        <w:jc w:val="both"/>
        <w:rPr>
          <w:rFonts w:ascii="Times New Roman" w:hAnsi="Times New Roman"/>
          <w:sz w:val="24"/>
          <w:szCs w:val="24"/>
        </w:rPr>
      </w:pPr>
    </w:p>
    <w:p w14:paraId="75378776" w14:textId="77777777" w:rsidR="008864E4" w:rsidRDefault="008864E4" w:rsidP="008864E4">
      <w:pPr>
        <w:spacing w:line="360" w:lineRule="auto"/>
        <w:jc w:val="both"/>
        <w:rPr>
          <w:rFonts w:ascii="Times New Roman" w:hAnsi="Times New Roman"/>
          <w:sz w:val="24"/>
          <w:szCs w:val="24"/>
        </w:rPr>
      </w:pPr>
    </w:p>
    <w:p w14:paraId="6E54A995" w14:textId="77777777" w:rsidR="008864E4" w:rsidRDefault="008864E4" w:rsidP="008864E4">
      <w:pPr>
        <w:spacing w:line="360" w:lineRule="auto"/>
        <w:jc w:val="both"/>
        <w:rPr>
          <w:rFonts w:ascii="Times New Roman" w:hAnsi="Times New Roman"/>
          <w:sz w:val="24"/>
          <w:szCs w:val="24"/>
        </w:rPr>
      </w:pPr>
    </w:p>
    <w:p w14:paraId="40FAB2BD" w14:textId="77777777" w:rsidR="008864E4" w:rsidRDefault="008864E4" w:rsidP="008864E4">
      <w:pPr>
        <w:spacing w:line="360" w:lineRule="auto"/>
        <w:jc w:val="both"/>
        <w:rPr>
          <w:rFonts w:ascii="Times New Roman" w:hAnsi="Times New Roman"/>
          <w:sz w:val="24"/>
          <w:szCs w:val="24"/>
        </w:rPr>
      </w:pPr>
      <w:proofErr w:type="spellStart"/>
      <w:r w:rsidRPr="00D85C29">
        <w:rPr>
          <w:rFonts w:ascii="Times New Roman" w:hAnsi="Times New Roman"/>
          <w:sz w:val="24"/>
          <w:szCs w:val="24"/>
        </w:rPr>
        <w:t>Tabel</w:t>
      </w:r>
      <w:proofErr w:type="spellEnd"/>
      <w:r w:rsidRPr="00D85C29">
        <w:rPr>
          <w:rFonts w:ascii="Times New Roman" w:hAnsi="Times New Roman"/>
          <w:sz w:val="24"/>
          <w:szCs w:val="24"/>
        </w:rPr>
        <w:t xml:space="preserve"> 3 </w:t>
      </w:r>
      <w:r>
        <w:rPr>
          <w:rFonts w:ascii="Times New Roman" w:hAnsi="Times New Roman"/>
          <w:sz w:val="24"/>
          <w:szCs w:val="24"/>
        </w:rPr>
        <w:t>–</w:t>
      </w:r>
      <w:r w:rsidRPr="00D85C29">
        <w:rPr>
          <w:rFonts w:ascii="Times New Roman" w:hAnsi="Times New Roman"/>
          <w:sz w:val="24"/>
          <w:szCs w:val="24"/>
        </w:rPr>
        <w:t xml:space="preserve"> PEST</w:t>
      </w:r>
      <w:r>
        <w:rPr>
          <w:rFonts w:ascii="Times New Roman" w:hAnsi="Times New Roman"/>
          <w:sz w:val="24"/>
          <w:szCs w:val="24"/>
        </w:rPr>
        <w:t>EL</w:t>
      </w:r>
    </w:p>
    <w:p w14:paraId="6CA7CF01" w14:textId="77777777" w:rsidR="008864E4" w:rsidRDefault="008864E4" w:rsidP="008864E4">
      <w:pPr>
        <w:spacing w:line="360" w:lineRule="auto"/>
        <w:jc w:val="both"/>
        <w:rPr>
          <w:rFonts w:ascii="Times New Roman" w:hAnsi="Times New Roman"/>
          <w:sz w:val="24"/>
          <w:szCs w:val="24"/>
        </w:rPr>
      </w:pPr>
      <w:r>
        <w:rPr>
          <w:rFonts w:ascii="Times New Roman" w:hAnsi="Times New Roman"/>
          <w:sz w:val="24"/>
          <w:szCs w:val="24"/>
        </w:rPr>
        <w:drawing>
          <wp:inline distT="0" distB="0" distL="0" distR="0" wp14:anchorId="2D5AAA5C" wp14:editId="0A464BA4">
            <wp:extent cx="5296194" cy="7246620"/>
            <wp:effectExtent l="0" t="0" r="0" b="0"/>
            <wp:docPr id="9582328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32812"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00968" cy="7253152"/>
                    </a:xfrm>
                    <a:prstGeom prst="rect">
                      <a:avLst/>
                    </a:prstGeom>
                  </pic:spPr>
                </pic:pic>
              </a:graphicData>
            </a:graphic>
          </wp:inline>
        </w:drawing>
      </w:r>
    </w:p>
    <w:p w14:paraId="7CBD4B1A" w14:textId="77777777" w:rsidR="008864E4" w:rsidRDefault="008864E4" w:rsidP="008864E4">
      <w:pPr>
        <w:spacing w:line="360" w:lineRule="auto"/>
        <w:jc w:val="both"/>
        <w:rPr>
          <w:rFonts w:ascii="Times New Roman" w:hAnsi="Times New Roman"/>
          <w:sz w:val="24"/>
          <w:szCs w:val="24"/>
        </w:rPr>
      </w:pPr>
    </w:p>
    <w:p w14:paraId="4F083B37" w14:textId="77777777" w:rsidR="00F45296" w:rsidRPr="008864E4" w:rsidRDefault="00F45296" w:rsidP="008864E4"/>
    <w:sectPr w:rsidR="00F45296" w:rsidRPr="00886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184A"/>
    <w:multiLevelType w:val="multilevel"/>
    <w:tmpl w:val="11E8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A4FA8"/>
    <w:multiLevelType w:val="multilevel"/>
    <w:tmpl w:val="46E06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075F95"/>
    <w:multiLevelType w:val="multilevel"/>
    <w:tmpl w:val="546E5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395288"/>
    <w:multiLevelType w:val="multilevel"/>
    <w:tmpl w:val="F1A02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995243"/>
    <w:multiLevelType w:val="multilevel"/>
    <w:tmpl w:val="49907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C66EA4"/>
    <w:multiLevelType w:val="multilevel"/>
    <w:tmpl w:val="D1A2D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43434F"/>
    <w:multiLevelType w:val="hybridMultilevel"/>
    <w:tmpl w:val="20C4839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62203FB8"/>
    <w:multiLevelType w:val="multilevel"/>
    <w:tmpl w:val="7F321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006DDB"/>
    <w:multiLevelType w:val="hybridMultilevel"/>
    <w:tmpl w:val="FF783DA6"/>
    <w:lvl w:ilvl="0" w:tplc="0418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F675EDE"/>
    <w:multiLevelType w:val="hybridMultilevel"/>
    <w:tmpl w:val="4DBA266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1"/>
  </w:num>
  <w:num w:numId="4">
    <w:abstractNumId w:val="4"/>
  </w:num>
  <w:num w:numId="5">
    <w:abstractNumId w:val="3"/>
  </w:num>
  <w:num w:numId="6">
    <w:abstractNumId w:val="5"/>
  </w:num>
  <w:num w:numId="7">
    <w:abstractNumId w:val="2"/>
  </w:num>
  <w:num w:numId="8">
    <w:abstractNumId w:val="0"/>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D41"/>
    <w:rsid w:val="00017FBC"/>
    <w:rsid w:val="000F48B4"/>
    <w:rsid w:val="001D02AE"/>
    <w:rsid w:val="001D7863"/>
    <w:rsid w:val="00264999"/>
    <w:rsid w:val="00272667"/>
    <w:rsid w:val="002F30A3"/>
    <w:rsid w:val="003A7C5F"/>
    <w:rsid w:val="00456D41"/>
    <w:rsid w:val="00463C61"/>
    <w:rsid w:val="00505A64"/>
    <w:rsid w:val="0060055D"/>
    <w:rsid w:val="00672287"/>
    <w:rsid w:val="0067446C"/>
    <w:rsid w:val="00701493"/>
    <w:rsid w:val="007C75A6"/>
    <w:rsid w:val="00841A8F"/>
    <w:rsid w:val="008864E4"/>
    <w:rsid w:val="008A3F3B"/>
    <w:rsid w:val="0091121F"/>
    <w:rsid w:val="009364D6"/>
    <w:rsid w:val="00993C25"/>
    <w:rsid w:val="009F282D"/>
    <w:rsid w:val="00A60580"/>
    <w:rsid w:val="00A95551"/>
    <w:rsid w:val="00B324E5"/>
    <w:rsid w:val="00B56683"/>
    <w:rsid w:val="00B679E5"/>
    <w:rsid w:val="00B73ABF"/>
    <w:rsid w:val="00BA6552"/>
    <w:rsid w:val="00C11D9D"/>
    <w:rsid w:val="00C42C05"/>
    <w:rsid w:val="00C732B7"/>
    <w:rsid w:val="00CC35F6"/>
    <w:rsid w:val="00DC3FB4"/>
    <w:rsid w:val="00F45296"/>
    <w:rsid w:val="00FA66F9"/>
    <w:rsid w:val="00FF4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24B4C"/>
  <w15:chartTrackingRefBased/>
  <w15:docId w15:val="{A47FEA4D-A523-44D6-99CD-618785BF5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999"/>
    <w:pPr>
      <w:spacing w:line="256" w:lineRule="auto"/>
    </w:pPr>
    <w:rPr>
      <w:rFonts w:eastAsiaTheme="minorEastAsia" w:cs="Times New Roman"/>
      <w:lang w:eastAsia="en-GB"/>
    </w:rPr>
  </w:style>
  <w:style w:type="paragraph" w:styleId="Heading1">
    <w:name w:val="heading 1"/>
    <w:basedOn w:val="Normal"/>
    <w:next w:val="Normal"/>
    <w:link w:val="Heading1Char"/>
    <w:uiPriority w:val="9"/>
    <w:qFormat/>
    <w:rsid w:val="008864E4"/>
    <w:pPr>
      <w:keepNext/>
      <w:keepLines/>
      <w:spacing w:before="360" w:after="80" w:line="259" w:lineRule="auto"/>
      <w:outlineLvl w:val="0"/>
    </w:pPr>
    <w:rPr>
      <w:rFonts w:asciiTheme="majorHAnsi" w:eastAsiaTheme="majorEastAsia" w:hAnsiTheme="majorHAnsi" w:cstheme="majorBidi"/>
      <w:noProof/>
      <w:color w:val="2F5496"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unhideWhenUsed/>
    <w:qFormat/>
    <w:rsid w:val="008864E4"/>
    <w:pPr>
      <w:keepNext/>
      <w:keepLines/>
      <w:spacing w:before="160" w:after="80" w:line="259" w:lineRule="auto"/>
      <w:outlineLvl w:val="1"/>
    </w:pPr>
    <w:rPr>
      <w:rFonts w:asciiTheme="majorHAnsi" w:eastAsiaTheme="majorEastAsia" w:hAnsiTheme="majorHAnsi" w:cstheme="majorBidi"/>
      <w:noProof/>
      <w:color w:val="2F5496"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unhideWhenUsed/>
    <w:qFormat/>
    <w:rsid w:val="008864E4"/>
    <w:pPr>
      <w:keepNext/>
      <w:keepLines/>
      <w:spacing w:before="160" w:after="80" w:line="259" w:lineRule="auto"/>
      <w:outlineLvl w:val="2"/>
    </w:pPr>
    <w:rPr>
      <w:rFonts w:eastAsiaTheme="majorEastAsia" w:cstheme="majorBidi"/>
      <w:noProof/>
      <w:color w:val="2F5496" w:themeColor="accent1" w:themeShade="BF"/>
      <w:kern w:val="2"/>
      <w:sz w:val="28"/>
      <w:szCs w:val="28"/>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0A3"/>
    <w:pPr>
      <w:spacing w:line="259" w:lineRule="auto"/>
      <w:ind w:left="720"/>
      <w:contextualSpacing/>
    </w:pPr>
    <w:rPr>
      <w:rFonts w:eastAsiaTheme="minorHAnsi" w:cstheme="minorBidi"/>
      <w:noProof/>
      <w:kern w:val="2"/>
      <w:lang w:val="en-US" w:eastAsia="en-US"/>
      <w14:ligatures w14:val="standardContextual"/>
    </w:rPr>
  </w:style>
  <w:style w:type="character" w:styleId="Hyperlink">
    <w:name w:val="Hyperlink"/>
    <w:basedOn w:val="DefaultParagraphFont"/>
    <w:uiPriority w:val="99"/>
    <w:unhideWhenUsed/>
    <w:rsid w:val="002F30A3"/>
    <w:rPr>
      <w:color w:val="0563C1" w:themeColor="hyperlink"/>
      <w:u w:val="single"/>
    </w:rPr>
  </w:style>
  <w:style w:type="paragraph" w:styleId="NormalWeb">
    <w:name w:val="Normal (Web)"/>
    <w:basedOn w:val="Normal"/>
    <w:uiPriority w:val="99"/>
    <w:unhideWhenUsed/>
    <w:rsid w:val="002F30A3"/>
    <w:pPr>
      <w:spacing w:before="100" w:beforeAutospacing="1" w:after="100" w:afterAutospacing="1" w:line="240" w:lineRule="auto"/>
    </w:pPr>
    <w:rPr>
      <w:rFonts w:ascii="Times New Roman" w:eastAsia="Times New Roman" w:hAnsi="Times New Roman"/>
      <w:sz w:val="24"/>
      <w:szCs w:val="24"/>
      <w:lang w:val="ro-RO" w:eastAsia="ro-RO"/>
    </w:rPr>
  </w:style>
  <w:style w:type="table" w:styleId="TableGrid">
    <w:name w:val="Table Grid"/>
    <w:basedOn w:val="TableNormal"/>
    <w:uiPriority w:val="39"/>
    <w:rsid w:val="002F30A3"/>
    <w:pPr>
      <w:spacing w:after="0" w:line="240" w:lineRule="auto"/>
    </w:pPr>
    <w:rPr>
      <w:kern w:val="2"/>
      <w:lang w:val="ro-RO"/>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F30A3"/>
    <w:pPr>
      <w:autoSpaceDE w:val="0"/>
      <w:autoSpaceDN w:val="0"/>
      <w:adjustRightInd w:val="0"/>
      <w:spacing w:after="0" w:line="240" w:lineRule="auto"/>
    </w:pPr>
    <w:rPr>
      <w:rFonts w:ascii="Arial" w:hAnsi="Arial" w:cs="Arial"/>
      <w:color w:val="000000"/>
      <w:sz w:val="24"/>
      <w:szCs w:val="24"/>
      <w:lang w:val="ro-RO"/>
      <w14:ligatures w14:val="standardContextual"/>
    </w:rPr>
  </w:style>
  <w:style w:type="character" w:styleId="Strong">
    <w:name w:val="Strong"/>
    <w:basedOn w:val="DefaultParagraphFont"/>
    <w:uiPriority w:val="22"/>
    <w:qFormat/>
    <w:rsid w:val="002F30A3"/>
    <w:rPr>
      <w:b/>
      <w:bCs/>
    </w:rPr>
  </w:style>
  <w:style w:type="character" w:styleId="Emphasis">
    <w:name w:val="Emphasis"/>
    <w:basedOn w:val="DefaultParagraphFont"/>
    <w:uiPriority w:val="20"/>
    <w:qFormat/>
    <w:rsid w:val="002F30A3"/>
    <w:rPr>
      <w:i/>
      <w:iCs/>
    </w:rPr>
  </w:style>
  <w:style w:type="character" w:customStyle="1" w:styleId="Heading1Char">
    <w:name w:val="Heading 1 Char"/>
    <w:basedOn w:val="DefaultParagraphFont"/>
    <w:link w:val="Heading1"/>
    <w:uiPriority w:val="9"/>
    <w:rsid w:val="008864E4"/>
    <w:rPr>
      <w:rFonts w:asciiTheme="majorHAnsi" w:eastAsiaTheme="majorEastAsia" w:hAnsiTheme="majorHAnsi" w:cstheme="majorBidi"/>
      <w:noProof/>
      <w:color w:val="2F5496" w:themeColor="accent1" w:themeShade="BF"/>
      <w:kern w:val="2"/>
      <w:sz w:val="40"/>
      <w:szCs w:val="40"/>
      <w:lang w:val="en-US"/>
      <w14:ligatures w14:val="standardContextual"/>
    </w:rPr>
  </w:style>
  <w:style w:type="character" w:customStyle="1" w:styleId="Heading2Char">
    <w:name w:val="Heading 2 Char"/>
    <w:basedOn w:val="DefaultParagraphFont"/>
    <w:link w:val="Heading2"/>
    <w:uiPriority w:val="9"/>
    <w:rsid w:val="008864E4"/>
    <w:rPr>
      <w:rFonts w:asciiTheme="majorHAnsi" w:eastAsiaTheme="majorEastAsia" w:hAnsiTheme="majorHAnsi" w:cstheme="majorBidi"/>
      <w:noProof/>
      <w:color w:val="2F5496" w:themeColor="accent1" w:themeShade="BF"/>
      <w:kern w:val="2"/>
      <w:sz w:val="32"/>
      <w:szCs w:val="32"/>
      <w:lang w:val="en-US"/>
      <w14:ligatures w14:val="standardContextual"/>
    </w:rPr>
  </w:style>
  <w:style w:type="character" w:customStyle="1" w:styleId="Heading3Char">
    <w:name w:val="Heading 3 Char"/>
    <w:basedOn w:val="DefaultParagraphFont"/>
    <w:link w:val="Heading3"/>
    <w:uiPriority w:val="9"/>
    <w:rsid w:val="008864E4"/>
    <w:rPr>
      <w:rFonts w:eastAsiaTheme="majorEastAsia" w:cstheme="majorBidi"/>
      <w:noProof/>
      <w:color w:val="2F5496" w:themeColor="accent1" w:themeShade="BF"/>
      <w:kern w:val="2"/>
      <w:sz w:val="28"/>
      <w:szCs w:val="28"/>
      <w:lang w:val="en-US"/>
      <w14:ligatures w14:val="standardContextual"/>
    </w:rPr>
  </w:style>
  <w:style w:type="paragraph" w:styleId="TOCHeading">
    <w:name w:val="TOC Heading"/>
    <w:basedOn w:val="Heading1"/>
    <w:next w:val="Normal"/>
    <w:uiPriority w:val="39"/>
    <w:unhideWhenUsed/>
    <w:qFormat/>
    <w:rsid w:val="008864E4"/>
    <w:pPr>
      <w:spacing w:before="240" w:after="0"/>
      <w:outlineLvl w:val="9"/>
    </w:pPr>
    <w:rPr>
      <w:noProof w:val="0"/>
      <w:kern w:val="0"/>
      <w:sz w:val="32"/>
      <w:szCs w:val="32"/>
      <w14:ligatures w14:val="none"/>
    </w:rPr>
  </w:style>
  <w:style w:type="paragraph" w:styleId="TOC1">
    <w:name w:val="toc 1"/>
    <w:basedOn w:val="Normal"/>
    <w:next w:val="Normal"/>
    <w:autoRedefine/>
    <w:uiPriority w:val="39"/>
    <w:unhideWhenUsed/>
    <w:rsid w:val="008864E4"/>
    <w:pPr>
      <w:spacing w:after="100" w:line="259" w:lineRule="auto"/>
    </w:pPr>
    <w:rPr>
      <w:rFonts w:eastAsiaTheme="minorHAnsi" w:cstheme="minorBidi"/>
      <w:noProof/>
      <w:kern w:val="2"/>
      <w:lang w:val="en-US" w:eastAsia="en-US"/>
      <w14:ligatures w14:val="standardContextual"/>
    </w:rPr>
  </w:style>
  <w:style w:type="paragraph" w:styleId="TOC2">
    <w:name w:val="toc 2"/>
    <w:basedOn w:val="Normal"/>
    <w:next w:val="Normal"/>
    <w:autoRedefine/>
    <w:uiPriority w:val="39"/>
    <w:unhideWhenUsed/>
    <w:rsid w:val="008864E4"/>
    <w:pPr>
      <w:spacing w:after="100" w:line="259" w:lineRule="auto"/>
      <w:ind w:left="220"/>
    </w:pPr>
    <w:rPr>
      <w:rFonts w:eastAsiaTheme="minorHAnsi" w:cstheme="minorBidi"/>
      <w:noProof/>
      <w:kern w:val="2"/>
      <w:lang w:val="en-US" w:eastAsia="en-US"/>
      <w14:ligatures w14:val="standardContextual"/>
    </w:rPr>
  </w:style>
  <w:style w:type="paragraph" w:styleId="TOC3">
    <w:name w:val="toc 3"/>
    <w:basedOn w:val="Normal"/>
    <w:next w:val="Normal"/>
    <w:autoRedefine/>
    <w:uiPriority w:val="39"/>
    <w:unhideWhenUsed/>
    <w:rsid w:val="008864E4"/>
    <w:pPr>
      <w:spacing w:after="100" w:line="259" w:lineRule="auto"/>
      <w:ind w:left="440"/>
    </w:pPr>
    <w:rPr>
      <w:rFonts w:eastAsiaTheme="minorHAnsi" w:cstheme="minorBidi"/>
      <w:noProof/>
      <w:kern w:val="2"/>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48784">
      <w:bodyDiv w:val="1"/>
      <w:marLeft w:val="0"/>
      <w:marRight w:val="0"/>
      <w:marTop w:val="0"/>
      <w:marBottom w:val="0"/>
      <w:divBdr>
        <w:top w:val="none" w:sz="0" w:space="0" w:color="auto"/>
        <w:left w:val="none" w:sz="0" w:space="0" w:color="auto"/>
        <w:bottom w:val="none" w:sz="0" w:space="0" w:color="auto"/>
        <w:right w:val="none" w:sz="0" w:space="0" w:color="auto"/>
      </w:divBdr>
    </w:div>
    <w:div w:id="794982174">
      <w:bodyDiv w:val="1"/>
      <w:marLeft w:val="0"/>
      <w:marRight w:val="0"/>
      <w:marTop w:val="0"/>
      <w:marBottom w:val="0"/>
      <w:divBdr>
        <w:top w:val="none" w:sz="0" w:space="0" w:color="auto"/>
        <w:left w:val="none" w:sz="0" w:space="0" w:color="auto"/>
        <w:bottom w:val="none" w:sz="0" w:space="0" w:color="auto"/>
        <w:right w:val="none" w:sz="0" w:space="0" w:color="auto"/>
      </w:divBdr>
    </w:div>
    <w:div w:id="161907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ojs.scientificmanagementjournal.com/ojs/index.php/smj/article/view/738/63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2759</TotalTime>
  <Pages>21</Pages>
  <Words>5514</Words>
  <Characters>31431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Badea (2208275)</dc:creator>
  <cp:keywords/>
  <dc:description/>
  <cp:lastModifiedBy>Alexandru Badea (2208275)</cp:lastModifiedBy>
  <cp:revision>31</cp:revision>
  <dcterms:created xsi:type="dcterms:W3CDTF">2025-02-04T13:55:00Z</dcterms:created>
  <dcterms:modified xsi:type="dcterms:W3CDTF">2025-02-28T14:14:00Z</dcterms:modified>
</cp:coreProperties>
</file>