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C1C77" w14:textId="2F8041DA" w:rsidR="00A30D56" w:rsidRPr="006765D8" w:rsidRDefault="003C35DB" w:rsidP="00A30D56">
      <w:pPr>
        <w:rPr>
          <w:b/>
          <w:bCs/>
          <w:sz w:val="22"/>
          <w:szCs w:val="22"/>
          <w:u w:val="single"/>
        </w:rPr>
      </w:pPr>
      <w:r w:rsidRPr="006765D8">
        <w:rPr>
          <w:b/>
          <w:bCs/>
          <w:sz w:val="22"/>
          <w:szCs w:val="22"/>
          <w:u w:val="single"/>
        </w:rPr>
        <w:t>Thebes: Processions and Festivals</w:t>
      </w:r>
    </w:p>
    <w:p w14:paraId="26BCF4FF" w14:textId="77777777" w:rsidR="00A30D56" w:rsidRPr="006765D8" w:rsidRDefault="00A30D56" w:rsidP="00A30D56">
      <w:pPr>
        <w:rPr>
          <w:b/>
          <w:bCs/>
          <w:sz w:val="22"/>
          <w:szCs w:val="22"/>
          <w:u w:val="single"/>
        </w:rPr>
      </w:pPr>
      <w:r w:rsidRPr="006765D8">
        <w:rPr>
          <w:b/>
          <w:bCs/>
          <w:sz w:val="22"/>
          <w:szCs w:val="22"/>
          <w:u w:val="single"/>
        </w:rPr>
        <w:t>Hidden Gods: The role of Processional Barques in the Festival of Opet</w:t>
      </w:r>
    </w:p>
    <w:p w14:paraId="3A0FA677" w14:textId="1DEC35C3" w:rsidR="00A30D56" w:rsidRPr="006765D8" w:rsidRDefault="00A30D56" w:rsidP="00A30D56">
      <w:pPr>
        <w:rPr>
          <w:sz w:val="22"/>
          <w:szCs w:val="22"/>
        </w:rPr>
      </w:pPr>
      <w:r w:rsidRPr="006765D8">
        <w:rPr>
          <w:sz w:val="22"/>
          <w:szCs w:val="22"/>
        </w:rPr>
        <w:t>In ancient Thebes, religious festivals such as the Opet Festival, were an important event in which the public could interact with the divine. This case study examines the way processional barques such as the Barque of Amun</w:t>
      </w:r>
      <w:r w:rsidR="00E62F11">
        <w:rPr>
          <w:sz w:val="22"/>
          <w:szCs w:val="22"/>
        </w:rPr>
        <w:t>-re</w:t>
      </w:r>
      <w:r w:rsidRPr="006765D8">
        <w:rPr>
          <w:sz w:val="22"/>
          <w:szCs w:val="22"/>
        </w:rPr>
        <w:t xml:space="preserve">, transformed the invisible nature of the gods into a controlled sensory encounter. </w:t>
      </w:r>
      <w:r w:rsidR="003C35DB" w:rsidRPr="006765D8">
        <w:rPr>
          <w:sz w:val="22"/>
          <w:szCs w:val="22"/>
        </w:rPr>
        <w:t>Examining</w:t>
      </w:r>
      <w:r w:rsidRPr="006765D8">
        <w:rPr>
          <w:sz w:val="22"/>
          <w:szCs w:val="22"/>
        </w:rPr>
        <w:t xml:space="preserve"> images of the narrative reliefs found at the Red Chapel of Hatshepsut at Karnak,</w:t>
      </w:r>
      <w:r w:rsidR="003C35DB" w:rsidRPr="006765D8">
        <w:rPr>
          <w:sz w:val="22"/>
          <w:szCs w:val="22"/>
        </w:rPr>
        <w:t xml:space="preserve"> highlighted in the reading provided (Accetta, 201</w:t>
      </w:r>
      <w:r w:rsidR="00C6142C" w:rsidRPr="006765D8">
        <w:rPr>
          <w:sz w:val="22"/>
          <w:szCs w:val="22"/>
        </w:rPr>
        <w:t>2</w:t>
      </w:r>
      <w:r w:rsidR="003C35DB" w:rsidRPr="006765D8">
        <w:rPr>
          <w:sz w:val="22"/>
          <w:szCs w:val="22"/>
        </w:rPr>
        <w:t>)</w:t>
      </w:r>
      <w:r w:rsidR="009107B8" w:rsidRPr="006765D8">
        <w:rPr>
          <w:sz w:val="22"/>
          <w:szCs w:val="22"/>
        </w:rPr>
        <w:t>,</w:t>
      </w:r>
      <w:r w:rsidRPr="006765D8">
        <w:rPr>
          <w:sz w:val="22"/>
          <w:szCs w:val="22"/>
        </w:rPr>
        <w:t xml:space="preserve"> this case study </w:t>
      </w:r>
      <w:r w:rsidR="003C35DB" w:rsidRPr="006765D8">
        <w:rPr>
          <w:sz w:val="22"/>
          <w:szCs w:val="22"/>
        </w:rPr>
        <w:t>demonstrates</w:t>
      </w:r>
      <w:r w:rsidRPr="006765D8">
        <w:rPr>
          <w:sz w:val="22"/>
          <w:szCs w:val="22"/>
        </w:rPr>
        <w:t xml:space="preserve"> that rather than making the god visible to the public, these processions promoted divine presence through concealment, movement and sensory stimulation. </w:t>
      </w:r>
    </w:p>
    <w:p w14:paraId="0571F62E" w14:textId="77777777" w:rsidR="00A30D56" w:rsidRPr="006765D8" w:rsidRDefault="00A30D56" w:rsidP="00A30D56">
      <w:pPr>
        <w:rPr>
          <w:i/>
          <w:iCs/>
          <w:sz w:val="22"/>
          <w:szCs w:val="22"/>
          <w:u w:val="single"/>
        </w:rPr>
      </w:pPr>
      <w:r w:rsidRPr="006765D8">
        <w:rPr>
          <w:i/>
          <w:iCs/>
          <w:sz w:val="22"/>
          <w:szCs w:val="22"/>
          <w:u w:val="single"/>
        </w:rPr>
        <w:t>Chappelle Rouge</w:t>
      </w:r>
    </w:p>
    <w:p w14:paraId="7FFDF91B" w14:textId="20D8F3FE" w:rsidR="00A30D56" w:rsidRPr="006765D8" w:rsidRDefault="00A30D56" w:rsidP="00A30D56">
      <w:pPr>
        <w:rPr>
          <w:i/>
          <w:iCs/>
          <w:sz w:val="22"/>
          <w:szCs w:val="22"/>
        </w:rPr>
      </w:pPr>
      <w:r w:rsidRPr="006765D8">
        <w:rPr>
          <w:i/>
          <w:iCs/>
          <w:sz w:val="22"/>
          <w:szCs w:val="22"/>
        </w:rPr>
        <w:t>The Red Chapel of Hatshepsut (or Chappelle Rouge) is a sacred barque shrine, built specifically to house the barque of Amun-R</w:t>
      </w:r>
      <w:r w:rsidR="00E62F11">
        <w:rPr>
          <w:i/>
          <w:iCs/>
          <w:sz w:val="22"/>
          <w:szCs w:val="22"/>
        </w:rPr>
        <w:t>e</w:t>
      </w:r>
      <w:r w:rsidR="00075251">
        <w:rPr>
          <w:i/>
          <w:iCs/>
          <w:sz w:val="22"/>
          <w:szCs w:val="22"/>
        </w:rPr>
        <w:t xml:space="preserve"> in Karnak</w:t>
      </w:r>
      <w:r w:rsidRPr="006765D8">
        <w:rPr>
          <w:i/>
          <w:iCs/>
          <w:sz w:val="22"/>
          <w:szCs w:val="22"/>
        </w:rPr>
        <w:t>. It is decorated with well-preserved reliefs, some of the first in narrative format (Accetta, 20</w:t>
      </w:r>
      <w:r w:rsidR="00075251">
        <w:rPr>
          <w:i/>
          <w:iCs/>
          <w:sz w:val="22"/>
          <w:szCs w:val="22"/>
        </w:rPr>
        <w:t>12</w:t>
      </w:r>
      <w:r w:rsidRPr="006765D8">
        <w:rPr>
          <w:i/>
          <w:iCs/>
          <w:sz w:val="22"/>
          <w:szCs w:val="22"/>
        </w:rPr>
        <w:t xml:space="preserve">), depicting the Queen and the </w:t>
      </w:r>
      <w:r w:rsidR="00075251">
        <w:rPr>
          <w:i/>
          <w:iCs/>
          <w:sz w:val="22"/>
          <w:szCs w:val="22"/>
        </w:rPr>
        <w:t>b</w:t>
      </w:r>
      <w:r w:rsidRPr="006765D8">
        <w:rPr>
          <w:i/>
          <w:iCs/>
          <w:sz w:val="22"/>
          <w:szCs w:val="22"/>
        </w:rPr>
        <w:t xml:space="preserve">arque on their procession during the festival of Opet.  </w:t>
      </w:r>
      <w:r w:rsidR="009107B8" w:rsidRPr="006765D8">
        <w:rPr>
          <w:i/>
          <w:iCs/>
          <w:sz w:val="22"/>
          <w:szCs w:val="22"/>
        </w:rPr>
        <w:t xml:space="preserve">The chapel was dismantled by Thutmose III but reconstructed in the 1990s by archaeologists. </w:t>
      </w:r>
    </w:p>
    <w:p w14:paraId="4D4A7C11" w14:textId="77777777" w:rsidR="00A30D56" w:rsidRPr="006765D8" w:rsidRDefault="00A30D56" w:rsidP="00A30D56">
      <w:pPr>
        <w:rPr>
          <w:i/>
          <w:iCs/>
          <w:sz w:val="22"/>
          <w:szCs w:val="22"/>
        </w:rPr>
      </w:pPr>
      <w:r w:rsidRPr="006765D8">
        <w:rPr>
          <w:i/>
          <w:iCs/>
          <w:noProof/>
          <w:sz w:val="22"/>
          <w:szCs w:val="22"/>
        </w:rPr>
        <w:drawing>
          <wp:inline distT="0" distB="0" distL="0" distR="0" wp14:anchorId="0831D63B" wp14:editId="7AF4375F">
            <wp:extent cx="4483330" cy="4426177"/>
            <wp:effectExtent l="0" t="0" r="0" b="0"/>
            <wp:docPr id="1401825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25618" name=""/>
                    <pic:cNvPicPr/>
                  </pic:nvPicPr>
                  <pic:blipFill>
                    <a:blip r:embed="rId5"/>
                    <a:stretch>
                      <a:fillRect/>
                    </a:stretch>
                  </pic:blipFill>
                  <pic:spPr>
                    <a:xfrm>
                      <a:off x="0" y="0"/>
                      <a:ext cx="4483330" cy="4426177"/>
                    </a:xfrm>
                    <a:prstGeom prst="rect">
                      <a:avLst/>
                    </a:prstGeom>
                  </pic:spPr>
                </pic:pic>
              </a:graphicData>
            </a:graphic>
          </wp:inline>
        </w:drawing>
      </w:r>
    </w:p>
    <w:p w14:paraId="68ABA250" w14:textId="67F8A44F" w:rsidR="00A30D56" w:rsidRPr="006765D8" w:rsidRDefault="00883E57" w:rsidP="00A30D56">
      <w:pPr>
        <w:rPr>
          <w:sz w:val="22"/>
          <w:szCs w:val="22"/>
        </w:rPr>
      </w:pPr>
      <w:r w:rsidRPr="006765D8">
        <w:rPr>
          <w:b/>
          <w:bCs/>
          <w:i/>
          <w:iCs/>
          <w:sz w:val="22"/>
          <w:szCs w:val="22"/>
        </w:rPr>
        <w:t>Figure 1</w:t>
      </w:r>
      <w:r w:rsidRPr="006765D8">
        <w:rPr>
          <w:b/>
          <w:bCs/>
          <w:i/>
          <w:iCs/>
          <w:sz w:val="22"/>
          <w:szCs w:val="22"/>
        </w:rPr>
        <w:t xml:space="preserve">. </w:t>
      </w:r>
      <w:r w:rsidRPr="006765D8">
        <w:rPr>
          <w:i/>
          <w:iCs/>
          <w:sz w:val="22"/>
          <w:szCs w:val="22"/>
        </w:rPr>
        <w:t>Red Chapel of Hatshepsut (exterior view).</w:t>
      </w:r>
      <w:r w:rsidR="003479CC">
        <w:rPr>
          <w:i/>
          <w:iCs/>
          <w:sz w:val="22"/>
          <w:szCs w:val="22"/>
        </w:rPr>
        <w:t xml:space="preserve"> </w:t>
      </w:r>
      <w:proofErr w:type="gramStart"/>
      <w:r w:rsidRPr="006765D8">
        <w:rPr>
          <w:i/>
          <w:iCs/>
          <w:sz w:val="22"/>
          <w:szCs w:val="22"/>
        </w:rPr>
        <w:t>Note</w:t>
      </w:r>
      <w:proofErr w:type="gramEnd"/>
      <w:r w:rsidRPr="006765D8">
        <w:rPr>
          <w:i/>
          <w:iCs/>
          <w:sz w:val="22"/>
          <w:szCs w:val="22"/>
        </w:rPr>
        <w:t xml:space="preserve">. From Hatshepsut’s Red Chapel, Egypt Museum (n.d.), </w:t>
      </w:r>
      <w:hyperlink r:id="rId6" w:tgtFrame="_new" w:history="1">
        <w:r w:rsidRPr="006765D8">
          <w:rPr>
            <w:rStyle w:val="Hyperlink"/>
            <w:i/>
            <w:iCs/>
            <w:sz w:val="22"/>
            <w:szCs w:val="22"/>
          </w:rPr>
          <w:t>https://egypt-museum.com/hatshepsuts-red-chapel/</w:t>
        </w:r>
      </w:hyperlink>
    </w:p>
    <w:p w14:paraId="1B7ED52B" w14:textId="4D28A3B8" w:rsidR="00A30D56" w:rsidRPr="006765D8" w:rsidRDefault="00A30D56" w:rsidP="00A30D56">
      <w:pPr>
        <w:rPr>
          <w:sz w:val="22"/>
          <w:szCs w:val="22"/>
        </w:rPr>
      </w:pPr>
      <w:r w:rsidRPr="006765D8">
        <w:rPr>
          <w:sz w:val="22"/>
          <w:szCs w:val="22"/>
        </w:rPr>
        <w:lastRenderedPageBreak/>
        <w:t>The processional barque of Amun</w:t>
      </w:r>
      <w:r w:rsidR="00E62F11">
        <w:rPr>
          <w:sz w:val="22"/>
          <w:szCs w:val="22"/>
        </w:rPr>
        <w:t>-Re</w:t>
      </w:r>
      <w:r w:rsidRPr="006765D8">
        <w:rPr>
          <w:sz w:val="22"/>
          <w:szCs w:val="22"/>
        </w:rPr>
        <w:t xml:space="preserve"> was more than a physical means of transporting the statue of the god; it was a symbolic and theological construct. This dual role is clearly illustrated in the Red Chapel reliefs, where the barque is shown richly decorated and carried in procession by priests, its shrine enclosed, emphasising both its radiant exterior and its hidden divine occupant. </w:t>
      </w:r>
    </w:p>
    <w:p w14:paraId="71613053" w14:textId="35A4923E" w:rsidR="00A30D56" w:rsidRPr="006765D8" w:rsidRDefault="00A30D56" w:rsidP="00A30D56">
      <w:pPr>
        <w:rPr>
          <w:sz w:val="22"/>
          <w:szCs w:val="22"/>
        </w:rPr>
      </w:pPr>
      <w:r w:rsidRPr="006765D8">
        <w:rPr>
          <w:b/>
          <w:bCs/>
          <w:noProof/>
          <w:sz w:val="22"/>
          <w:szCs w:val="22"/>
          <w:u w:val="single"/>
        </w:rPr>
        <w:drawing>
          <wp:inline distT="0" distB="0" distL="0" distR="0" wp14:anchorId="05FD4295" wp14:editId="5FF00666">
            <wp:extent cx="5696243" cy="3753043"/>
            <wp:effectExtent l="0" t="0" r="0" b="0"/>
            <wp:docPr id="1186483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483041" name=""/>
                    <pic:cNvPicPr/>
                  </pic:nvPicPr>
                  <pic:blipFill>
                    <a:blip r:embed="rId7"/>
                    <a:stretch>
                      <a:fillRect/>
                    </a:stretch>
                  </pic:blipFill>
                  <pic:spPr>
                    <a:xfrm>
                      <a:off x="0" y="0"/>
                      <a:ext cx="5696243" cy="3753043"/>
                    </a:xfrm>
                    <a:prstGeom prst="rect">
                      <a:avLst/>
                    </a:prstGeom>
                  </pic:spPr>
                </pic:pic>
              </a:graphicData>
            </a:graphic>
          </wp:inline>
        </w:drawing>
      </w:r>
      <w:r w:rsidR="00883E57" w:rsidRPr="006765D8">
        <w:rPr>
          <w:b/>
          <w:bCs/>
          <w:sz w:val="22"/>
          <w:szCs w:val="22"/>
        </w:rPr>
        <w:t>Figure 2</w:t>
      </w:r>
      <w:r w:rsidR="00883E57" w:rsidRPr="006765D8">
        <w:rPr>
          <w:b/>
          <w:bCs/>
          <w:sz w:val="22"/>
          <w:szCs w:val="22"/>
        </w:rPr>
        <w:t xml:space="preserve">. </w:t>
      </w:r>
      <w:r w:rsidR="00883E57" w:rsidRPr="006765D8">
        <w:rPr>
          <w:sz w:val="22"/>
          <w:szCs w:val="22"/>
        </w:rPr>
        <w:t>Relief carvings from Hatshepsut’s Red Chapel.</w:t>
      </w:r>
      <w:r w:rsidR="00883E57" w:rsidRPr="006765D8">
        <w:rPr>
          <w:sz w:val="22"/>
          <w:szCs w:val="22"/>
        </w:rPr>
        <w:t xml:space="preserve"> </w:t>
      </w:r>
      <w:r w:rsidR="00883E57" w:rsidRPr="006765D8">
        <w:rPr>
          <w:i/>
          <w:iCs/>
          <w:sz w:val="22"/>
          <w:szCs w:val="22"/>
        </w:rPr>
        <w:t>Note.</w:t>
      </w:r>
      <w:r w:rsidR="00883E57" w:rsidRPr="006765D8">
        <w:rPr>
          <w:sz w:val="22"/>
          <w:szCs w:val="22"/>
        </w:rPr>
        <w:t xml:space="preserve"> From </w:t>
      </w:r>
      <w:r w:rsidR="00883E57" w:rsidRPr="006765D8">
        <w:rPr>
          <w:i/>
          <w:iCs/>
          <w:sz w:val="22"/>
          <w:szCs w:val="22"/>
        </w:rPr>
        <w:t>Hatshepsut’s Red Chapel</w:t>
      </w:r>
      <w:r w:rsidR="00883E57" w:rsidRPr="006765D8">
        <w:rPr>
          <w:sz w:val="22"/>
          <w:szCs w:val="22"/>
        </w:rPr>
        <w:t xml:space="preserve">, Egypt Museum (n.d.), </w:t>
      </w:r>
      <w:hyperlink r:id="rId8" w:tgtFrame="_new" w:history="1">
        <w:r w:rsidR="00883E57" w:rsidRPr="006765D8">
          <w:rPr>
            <w:rStyle w:val="Hyperlink"/>
            <w:sz w:val="22"/>
            <w:szCs w:val="22"/>
          </w:rPr>
          <w:t>https://egypt-museum.com/hatshepsuts-red-chapel/</w:t>
        </w:r>
      </w:hyperlink>
    </w:p>
    <w:p w14:paraId="3887CA54" w14:textId="77777777" w:rsidR="00A30D56" w:rsidRPr="006765D8" w:rsidRDefault="00A30D56" w:rsidP="00A30D56">
      <w:pPr>
        <w:rPr>
          <w:sz w:val="22"/>
          <w:szCs w:val="22"/>
        </w:rPr>
      </w:pPr>
      <w:r w:rsidRPr="006765D8">
        <w:rPr>
          <w:sz w:val="22"/>
          <w:szCs w:val="22"/>
        </w:rPr>
        <w:t xml:space="preserve">Assmann (2001) argues that Egyptian religion has two levels, a cosmic one, defined by the principle of Ma’at, and a cultic level involving direct interaction with the gods. The barque embodies both dimensions in these images. Its gold surfaces evoke the radiance of the sun god, while imagery showing the surrounding ritual offerings reinforce the importance of human interaction with the divine. The movement of the barque along prescribed routes - often paved in white limestone to symbolise a heavenly space – further embedded the procession within a cosmic setting. In this way, the god did not simply travel from one place to another, the procession symbolised a merging of heaven and earth. </w:t>
      </w:r>
    </w:p>
    <w:p w14:paraId="4C69BAD4" w14:textId="0B2AE757" w:rsidR="00A30D56" w:rsidRPr="006765D8" w:rsidRDefault="00A30D56" w:rsidP="00A30D56">
      <w:pPr>
        <w:rPr>
          <w:i/>
          <w:iCs/>
          <w:sz w:val="22"/>
          <w:szCs w:val="22"/>
        </w:rPr>
      </w:pPr>
      <w:r w:rsidRPr="006765D8">
        <w:rPr>
          <w:i/>
          <w:iCs/>
          <w:noProof/>
          <w:sz w:val="22"/>
          <w:szCs w:val="22"/>
        </w:rPr>
        <w:lastRenderedPageBreak/>
        <w:drawing>
          <wp:inline distT="0" distB="0" distL="0" distR="0" wp14:anchorId="163260B5" wp14:editId="25B4B794">
            <wp:extent cx="5731510" cy="2273935"/>
            <wp:effectExtent l="0" t="0" r="2540" b="0"/>
            <wp:docPr id="193243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30797" name=""/>
                    <pic:cNvPicPr/>
                  </pic:nvPicPr>
                  <pic:blipFill>
                    <a:blip r:embed="rId9"/>
                    <a:stretch>
                      <a:fillRect/>
                    </a:stretch>
                  </pic:blipFill>
                  <pic:spPr>
                    <a:xfrm>
                      <a:off x="0" y="0"/>
                      <a:ext cx="5731510" cy="2273935"/>
                    </a:xfrm>
                    <a:prstGeom prst="rect">
                      <a:avLst/>
                    </a:prstGeom>
                  </pic:spPr>
                </pic:pic>
              </a:graphicData>
            </a:graphic>
          </wp:inline>
        </w:drawing>
      </w:r>
      <w:r w:rsidRPr="006765D8">
        <w:rPr>
          <w:b/>
          <w:bCs/>
          <w:i/>
          <w:iCs/>
          <w:sz w:val="22"/>
          <w:szCs w:val="22"/>
        </w:rPr>
        <w:t xml:space="preserve"> </w:t>
      </w:r>
      <w:r w:rsidRPr="006765D8">
        <w:rPr>
          <w:b/>
          <w:bCs/>
          <w:sz w:val="22"/>
          <w:szCs w:val="22"/>
        </w:rPr>
        <w:t>Fig. 3.</w:t>
      </w:r>
      <w:r w:rsidR="00883E57" w:rsidRPr="006765D8">
        <w:rPr>
          <w:b/>
          <w:bCs/>
          <w:sz w:val="22"/>
          <w:szCs w:val="22"/>
        </w:rPr>
        <w:t xml:space="preserve"> </w:t>
      </w:r>
      <w:r w:rsidR="00883E57" w:rsidRPr="006765D8">
        <w:rPr>
          <w:sz w:val="22"/>
          <w:szCs w:val="22"/>
        </w:rPr>
        <w:t>Relief from the Red Chapel depicting Opet Festival procession (Block 305).</w:t>
      </w:r>
      <w:r w:rsidR="00883E57" w:rsidRPr="006765D8">
        <w:rPr>
          <w:sz w:val="22"/>
          <w:szCs w:val="22"/>
        </w:rPr>
        <w:br/>
      </w:r>
      <w:r w:rsidR="00883E57" w:rsidRPr="006765D8">
        <w:rPr>
          <w:i/>
          <w:iCs/>
          <w:sz w:val="22"/>
          <w:szCs w:val="22"/>
        </w:rPr>
        <w:t>Note.</w:t>
      </w:r>
      <w:r w:rsidR="00883E57" w:rsidRPr="006765D8">
        <w:rPr>
          <w:sz w:val="22"/>
          <w:szCs w:val="22"/>
        </w:rPr>
        <w:t xml:space="preserve"> From </w:t>
      </w:r>
      <w:r w:rsidR="00883E57" w:rsidRPr="006765D8">
        <w:rPr>
          <w:i/>
          <w:iCs/>
          <w:sz w:val="22"/>
          <w:szCs w:val="22"/>
        </w:rPr>
        <w:t>South wall – Block no. 305</w:t>
      </w:r>
      <w:r w:rsidR="00883E57" w:rsidRPr="006765D8">
        <w:rPr>
          <w:sz w:val="22"/>
          <w:szCs w:val="22"/>
        </w:rPr>
        <w:t>, by K. H. Leser (</w:t>
      </w:r>
      <w:r w:rsidR="00883E57" w:rsidRPr="006765D8">
        <w:rPr>
          <w:sz w:val="22"/>
          <w:szCs w:val="22"/>
        </w:rPr>
        <w:t>2008</w:t>
      </w:r>
      <w:r w:rsidR="00883E57" w:rsidRPr="006765D8">
        <w:rPr>
          <w:sz w:val="22"/>
          <w:szCs w:val="22"/>
        </w:rPr>
        <w:t xml:space="preserve">), Maat-ka-Ra, </w:t>
      </w:r>
      <w:hyperlink r:id="rId10" w:tgtFrame="_new" w:history="1">
        <w:r w:rsidR="00883E57" w:rsidRPr="006765D8">
          <w:rPr>
            <w:rStyle w:val="Hyperlink"/>
            <w:sz w:val="22"/>
            <w:szCs w:val="22"/>
          </w:rPr>
          <w:t>https://www.maat-ka-ra.de/english/bauwerke/red_chap/sw/block_305.htm</w:t>
        </w:r>
      </w:hyperlink>
    </w:p>
    <w:p w14:paraId="0F312758" w14:textId="348C296D" w:rsidR="00A30D56" w:rsidRPr="006765D8" w:rsidRDefault="00A30D56" w:rsidP="00A30D56">
      <w:pPr>
        <w:rPr>
          <w:sz w:val="22"/>
          <w:szCs w:val="22"/>
        </w:rPr>
      </w:pPr>
      <w:r w:rsidRPr="006765D8">
        <w:rPr>
          <w:sz w:val="22"/>
          <w:szCs w:val="22"/>
        </w:rPr>
        <w:t>Despite the shining radiance and spectacle of the barque, the god itself remained fundamentally inaccessible, reflecting a key principle of Egyptian religious thought. As Hornung (1982) argues, divine images do not represent literal appearance but attributes of power.  The god’s divinity is so complex that no single image, such as revealing the god</w:t>
      </w:r>
      <w:r w:rsidR="003C35DB" w:rsidRPr="006765D8">
        <w:rPr>
          <w:sz w:val="22"/>
          <w:szCs w:val="22"/>
        </w:rPr>
        <w:t xml:space="preserve"> </w:t>
      </w:r>
      <w:r w:rsidRPr="006765D8">
        <w:rPr>
          <w:sz w:val="22"/>
          <w:szCs w:val="22"/>
        </w:rPr>
        <w:t xml:space="preserve">within the barque, can convey it. Instead, the experience of the god was mediated through sensory elements. The participating crowd at the festivals encountered the divine through the gleam of gold, the sound of music and hymns and the smell of incense which created ‘a divine aroma’ (Hornung, 1982). These elements allowed worshippers to feel the presence of the god without direct visual access. This idea is reflected in the Red Chapel reliefs, by rather than focusing the attention on the god, it focuses on the surrounding ritual activity, priests, and offerings, and the censing of the god, suggesting the sensory environment through which the divine was experienced. </w:t>
      </w:r>
    </w:p>
    <w:p w14:paraId="6BBF03A7" w14:textId="77777777" w:rsidR="00A30D56" w:rsidRPr="006765D8" w:rsidRDefault="00A30D56" w:rsidP="00A30D56">
      <w:pPr>
        <w:rPr>
          <w:sz w:val="22"/>
          <w:szCs w:val="22"/>
        </w:rPr>
      </w:pPr>
      <w:r w:rsidRPr="006765D8">
        <w:rPr>
          <w:i/>
          <w:iCs/>
          <w:noProof/>
          <w:sz w:val="22"/>
          <w:szCs w:val="22"/>
        </w:rPr>
        <w:drawing>
          <wp:inline distT="0" distB="0" distL="0" distR="0" wp14:anchorId="20F3689B" wp14:editId="3500D2DC">
            <wp:extent cx="5731510" cy="2265680"/>
            <wp:effectExtent l="0" t="0" r="2540" b="1270"/>
            <wp:docPr id="263165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65554" name=""/>
                    <pic:cNvPicPr/>
                  </pic:nvPicPr>
                  <pic:blipFill>
                    <a:blip r:embed="rId11"/>
                    <a:stretch>
                      <a:fillRect/>
                    </a:stretch>
                  </pic:blipFill>
                  <pic:spPr>
                    <a:xfrm>
                      <a:off x="0" y="0"/>
                      <a:ext cx="5731510" cy="2265680"/>
                    </a:xfrm>
                    <a:prstGeom prst="rect">
                      <a:avLst/>
                    </a:prstGeom>
                  </pic:spPr>
                </pic:pic>
              </a:graphicData>
            </a:graphic>
          </wp:inline>
        </w:drawing>
      </w:r>
    </w:p>
    <w:p w14:paraId="19FC0FB6" w14:textId="79E29BD3" w:rsidR="00A30D56" w:rsidRPr="006765D8" w:rsidRDefault="00A30D56" w:rsidP="00A30D56">
      <w:pPr>
        <w:rPr>
          <w:sz w:val="22"/>
          <w:szCs w:val="22"/>
        </w:rPr>
      </w:pPr>
      <w:r w:rsidRPr="006765D8">
        <w:rPr>
          <w:b/>
          <w:bCs/>
          <w:sz w:val="22"/>
          <w:szCs w:val="22"/>
        </w:rPr>
        <w:t>Fig. 4.</w:t>
      </w:r>
      <w:r w:rsidRPr="006765D8">
        <w:rPr>
          <w:sz w:val="22"/>
          <w:szCs w:val="22"/>
        </w:rPr>
        <w:t xml:space="preserve"> </w:t>
      </w:r>
      <w:r w:rsidR="00C6142C" w:rsidRPr="006765D8">
        <w:rPr>
          <w:sz w:val="22"/>
          <w:szCs w:val="22"/>
        </w:rPr>
        <w:t xml:space="preserve">Relief from the Red Chapel depicting Opet Festival procession (Block </w:t>
      </w:r>
      <w:r w:rsidR="00C6142C" w:rsidRPr="006765D8">
        <w:rPr>
          <w:sz w:val="22"/>
          <w:szCs w:val="22"/>
        </w:rPr>
        <w:t>26</w:t>
      </w:r>
      <w:r w:rsidR="00C6142C" w:rsidRPr="006765D8">
        <w:rPr>
          <w:sz w:val="22"/>
          <w:szCs w:val="22"/>
        </w:rPr>
        <w:t>).</w:t>
      </w:r>
      <w:r w:rsidR="00C6142C" w:rsidRPr="006765D8">
        <w:rPr>
          <w:sz w:val="22"/>
          <w:szCs w:val="22"/>
        </w:rPr>
        <w:br/>
      </w:r>
      <w:r w:rsidR="00C6142C" w:rsidRPr="006765D8">
        <w:rPr>
          <w:i/>
          <w:iCs/>
          <w:sz w:val="22"/>
          <w:szCs w:val="22"/>
        </w:rPr>
        <w:t>Note.</w:t>
      </w:r>
      <w:r w:rsidR="00C6142C" w:rsidRPr="006765D8">
        <w:rPr>
          <w:sz w:val="22"/>
          <w:szCs w:val="22"/>
        </w:rPr>
        <w:t xml:space="preserve"> From </w:t>
      </w:r>
      <w:r w:rsidR="00C6142C" w:rsidRPr="006765D8">
        <w:rPr>
          <w:i/>
          <w:iCs/>
          <w:sz w:val="22"/>
          <w:szCs w:val="22"/>
        </w:rPr>
        <w:t xml:space="preserve">South wall – Block no. </w:t>
      </w:r>
      <w:r w:rsidR="00C6142C" w:rsidRPr="006765D8">
        <w:rPr>
          <w:i/>
          <w:iCs/>
          <w:sz w:val="22"/>
          <w:szCs w:val="22"/>
        </w:rPr>
        <w:t>26</w:t>
      </w:r>
      <w:r w:rsidR="00C6142C" w:rsidRPr="006765D8">
        <w:rPr>
          <w:sz w:val="22"/>
          <w:szCs w:val="22"/>
        </w:rPr>
        <w:t>, by K. H. Leser (200</w:t>
      </w:r>
      <w:r w:rsidR="00C6142C" w:rsidRPr="006765D8">
        <w:rPr>
          <w:sz w:val="22"/>
          <w:szCs w:val="22"/>
        </w:rPr>
        <w:t>9</w:t>
      </w:r>
      <w:r w:rsidR="00C6142C" w:rsidRPr="006765D8">
        <w:rPr>
          <w:sz w:val="22"/>
          <w:szCs w:val="22"/>
        </w:rPr>
        <w:t xml:space="preserve">), Maat-ka-Ra, </w:t>
      </w:r>
      <w:hyperlink r:id="rId12" w:tgtFrame="_new" w:history="1">
        <w:r w:rsidR="00C6142C" w:rsidRPr="006765D8">
          <w:rPr>
            <w:rStyle w:val="Hyperlink"/>
            <w:sz w:val="22"/>
            <w:szCs w:val="22"/>
          </w:rPr>
          <w:t>https://www.maat-ka-ra.de/english/bauwerke/red_chap/sw/block_305.htm</w:t>
        </w:r>
      </w:hyperlink>
    </w:p>
    <w:p w14:paraId="75F37E46" w14:textId="16EDB532" w:rsidR="00A30D56" w:rsidRPr="006765D8" w:rsidRDefault="00A30D56" w:rsidP="00A30D56">
      <w:pPr>
        <w:rPr>
          <w:sz w:val="22"/>
          <w:szCs w:val="22"/>
        </w:rPr>
      </w:pPr>
      <w:r w:rsidRPr="006765D8">
        <w:rPr>
          <w:sz w:val="22"/>
          <w:szCs w:val="22"/>
        </w:rPr>
        <w:t>A key relief from the South Wall of the Red Chapel, Block 26, depicts the sacred barque of Amun</w:t>
      </w:r>
      <w:r w:rsidR="00E62F11">
        <w:rPr>
          <w:sz w:val="22"/>
          <w:szCs w:val="22"/>
        </w:rPr>
        <w:t>-Re</w:t>
      </w:r>
      <w:r w:rsidRPr="006765D8">
        <w:rPr>
          <w:sz w:val="22"/>
          <w:szCs w:val="22"/>
        </w:rPr>
        <w:t xml:space="preserve"> carried in formal procession by priests. The barque is shown as an elaborate, </w:t>
      </w:r>
      <w:r w:rsidRPr="006765D8">
        <w:rPr>
          <w:sz w:val="22"/>
          <w:szCs w:val="22"/>
        </w:rPr>
        <w:lastRenderedPageBreak/>
        <w:t xml:space="preserve">enclosed shrine, heavily ornamented but inaccessible, emphasising that the divine occupant is not visible. In front of the barque, Hatshepsut is depicted performing ritual offerings, reinforcing her mediatory role between God and society. </w:t>
      </w:r>
    </w:p>
    <w:p w14:paraId="1940365F" w14:textId="77777777" w:rsidR="00A30D56" w:rsidRPr="006765D8" w:rsidRDefault="00A30D56" w:rsidP="00A30D56">
      <w:pPr>
        <w:rPr>
          <w:sz w:val="22"/>
          <w:szCs w:val="22"/>
        </w:rPr>
      </w:pPr>
      <w:r w:rsidRPr="006765D8">
        <w:rPr>
          <w:sz w:val="22"/>
          <w:szCs w:val="22"/>
        </w:rPr>
        <w:t xml:space="preserve">Ultimately, festivals in Thebes blurred the boundaries between human and divine realms by restricting sight but amplifying sensory experience. The reliefs of the Red Chapel of Hatshepsut demonstrate this dynamic visually: the god remains hidden, yet powerfully present through ritual movement, collective participation and sensory engagement.  In this way, processional barques constructed a religious experience centred not on seeing the divine but on experiencing its presence. </w:t>
      </w:r>
    </w:p>
    <w:p w14:paraId="4F72A690" w14:textId="77777777" w:rsidR="00A30D56" w:rsidRPr="006765D8" w:rsidRDefault="00A30D56" w:rsidP="00A30D56">
      <w:pPr>
        <w:rPr>
          <w:sz w:val="22"/>
          <w:szCs w:val="22"/>
          <w:u w:val="single"/>
        </w:rPr>
      </w:pPr>
      <w:r w:rsidRPr="006765D8">
        <w:rPr>
          <w:sz w:val="22"/>
          <w:szCs w:val="22"/>
          <w:u w:val="single"/>
        </w:rPr>
        <w:t>Bibliography</w:t>
      </w:r>
    </w:p>
    <w:p w14:paraId="7441FFCA" w14:textId="77777777" w:rsidR="00CF431B" w:rsidRPr="006765D8" w:rsidRDefault="00CF431B" w:rsidP="00CF431B">
      <w:pPr>
        <w:pStyle w:val="ListParagraph"/>
        <w:numPr>
          <w:ilvl w:val="0"/>
          <w:numId w:val="1"/>
        </w:numPr>
        <w:rPr>
          <w:sz w:val="22"/>
          <w:szCs w:val="22"/>
        </w:rPr>
      </w:pPr>
      <w:r w:rsidRPr="006765D8">
        <w:rPr>
          <w:sz w:val="22"/>
          <w:szCs w:val="22"/>
        </w:rPr>
        <w:t xml:space="preserve">Accetta, K. (2012). Access to the divine in New Kingdom Egypt: Royal and public participation in the Opet Festival. In C. Graves, G. Heffernan, L. McGarrity, E. Millward, &amp; M. </w:t>
      </w:r>
      <w:proofErr w:type="spellStart"/>
      <w:r w:rsidRPr="006765D8">
        <w:rPr>
          <w:sz w:val="22"/>
          <w:szCs w:val="22"/>
        </w:rPr>
        <w:t>Sfakianou</w:t>
      </w:r>
      <w:proofErr w:type="spellEnd"/>
      <w:r w:rsidRPr="006765D8">
        <w:rPr>
          <w:sz w:val="22"/>
          <w:szCs w:val="22"/>
        </w:rPr>
        <w:t xml:space="preserve"> </w:t>
      </w:r>
      <w:proofErr w:type="spellStart"/>
      <w:r w:rsidRPr="006765D8">
        <w:rPr>
          <w:sz w:val="22"/>
          <w:szCs w:val="22"/>
        </w:rPr>
        <w:t>Bealby</w:t>
      </w:r>
      <w:proofErr w:type="spellEnd"/>
      <w:r w:rsidRPr="006765D8">
        <w:rPr>
          <w:sz w:val="22"/>
          <w:szCs w:val="22"/>
        </w:rPr>
        <w:t xml:space="preserve"> (Eds.), </w:t>
      </w:r>
      <w:r w:rsidRPr="006765D8">
        <w:rPr>
          <w:i/>
          <w:iCs/>
          <w:sz w:val="22"/>
          <w:szCs w:val="22"/>
        </w:rPr>
        <w:t>Current research in Egyptology 2012: Proceedings of the thirteenth annual symposium</w:t>
      </w:r>
      <w:r w:rsidRPr="006765D8">
        <w:rPr>
          <w:sz w:val="22"/>
          <w:szCs w:val="22"/>
        </w:rPr>
        <w:t xml:space="preserve"> (pp. 1–21). University of Birmingham.</w:t>
      </w:r>
    </w:p>
    <w:p w14:paraId="5531D840" w14:textId="449FB9C1" w:rsidR="00CF431B" w:rsidRPr="006765D8" w:rsidRDefault="00CF431B" w:rsidP="00CF431B">
      <w:pPr>
        <w:pStyle w:val="ListParagraph"/>
        <w:numPr>
          <w:ilvl w:val="0"/>
          <w:numId w:val="1"/>
        </w:numPr>
        <w:rPr>
          <w:sz w:val="22"/>
          <w:szCs w:val="22"/>
        </w:rPr>
      </w:pPr>
      <w:r w:rsidRPr="006765D8">
        <w:rPr>
          <w:sz w:val="22"/>
          <w:szCs w:val="22"/>
        </w:rPr>
        <w:t xml:space="preserve">Assmann, J. (2001). </w:t>
      </w:r>
      <w:r w:rsidRPr="006765D8">
        <w:rPr>
          <w:i/>
          <w:iCs/>
          <w:sz w:val="22"/>
          <w:szCs w:val="22"/>
        </w:rPr>
        <w:t>The search for God in ancient Egypt</w:t>
      </w:r>
      <w:r w:rsidRPr="006765D8">
        <w:rPr>
          <w:sz w:val="22"/>
          <w:szCs w:val="22"/>
        </w:rPr>
        <w:t>. Cornell University Press.</w:t>
      </w:r>
    </w:p>
    <w:p w14:paraId="26EA8FE9" w14:textId="061A2C3C" w:rsidR="00C6142C" w:rsidRPr="006765D8" w:rsidRDefault="00C6142C" w:rsidP="00CF431B">
      <w:pPr>
        <w:pStyle w:val="ListParagraph"/>
        <w:numPr>
          <w:ilvl w:val="0"/>
          <w:numId w:val="1"/>
        </w:numPr>
        <w:rPr>
          <w:sz w:val="22"/>
          <w:szCs w:val="22"/>
        </w:rPr>
      </w:pPr>
      <w:r w:rsidRPr="006765D8">
        <w:rPr>
          <w:sz w:val="22"/>
          <w:szCs w:val="22"/>
        </w:rPr>
        <w:t xml:space="preserve">Egypt Museum. (n.d.). </w:t>
      </w:r>
      <w:r w:rsidRPr="006765D8">
        <w:rPr>
          <w:i/>
          <w:iCs/>
          <w:sz w:val="22"/>
          <w:szCs w:val="22"/>
        </w:rPr>
        <w:t>Hatshepsut’s Red Chapel</w:t>
      </w:r>
      <w:r w:rsidRPr="006765D8">
        <w:rPr>
          <w:sz w:val="22"/>
          <w:szCs w:val="22"/>
        </w:rPr>
        <w:t xml:space="preserve">. </w:t>
      </w:r>
      <w:hyperlink r:id="rId13" w:tgtFrame="_new" w:history="1">
        <w:r w:rsidRPr="006765D8">
          <w:rPr>
            <w:rStyle w:val="Hyperlink"/>
            <w:sz w:val="22"/>
            <w:szCs w:val="22"/>
          </w:rPr>
          <w:t>https://egypt-museum.com/hatshepsuts-red-chapel/</w:t>
        </w:r>
      </w:hyperlink>
    </w:p>
    <w:p w14:paraId="7C6CCA29" w14:textId="51D0E018" w:rsidR="00A30D56" w:rsidRPr="006765D8" w:rsidRDefault="00A30D56" w:rsidP="00A30D56">
      <w:pPr>
        <w:pStyle w:val="ListParagraph"/>
        <w:numPr>
          <w:ilvl w:val="0"/>
          <w:numId w:val="1"/>
        </w:numPr>
        <w:rPr>
          <w:sz w:val="22"/>
          <w:szCs w:val="22"/>
        </w:rPr>
      </w:pPr>
      <w:r w:rsidRPr="006765D8">
        <w:rPr>
          <w:sz w:val="22"/>
          <w:szCs w:val="22"/>
        </w:rPr>
        <w:t xml:space="preserve">Hornung, E. (1982). </w:t>
      </w:r>
      <w:r w:rsidRPr="006765D8">
        <w:rPr>
          <w:i/>
          <w:iCs/>
          <w:sz w:val="22"/>
          <w:szCs w:val="22"/>
        </w:rPr>
        <w:t>Conceptions of God in ancient Egypt: The one and the many</w:t>
      </w:r>
      <w:r w:rsidRPr="006765D8">
        <w:rPr>
          <w:sz w:val="22"/>
          <w:szCs w:val="22"/>
        </w:rPr>
        <w:t>. Cornell University Press.</w:t>
      </w:r>
    </w:p>
    <w:p w14:paraId="2A1D2212" w14:textId="2BF971A6" w:rsidR="00C6142C" w:rsidRPr="006765D8" w:rsidRDefault="00C6142C" w:rsidP="00C6142C">
      <w:pPr>
        <w:pStyle w:val="ListParagraph"/>
        <w:numPr>
          <w:ilvl w:val="0"/>
          <w:numId w:val="1"/>
        </w:numPr>
        <w:rPr>
          <w:sz w:val="22"/>
          <w:szCs w:val="22"/>
        </w:rPr>
      </w:pPr>
      <w:r w:rsidRPr="006765D8">
        <w:rPr>
          <w:sz w:val="22"/>
          <w:szCs w:val="22"/>
        </w:rPr>
        <w:t>Leser, K. H. (200</w:t>
      </w:r>
      <w:r w:rsidRPr="006765D8">
        <w:rPr>
          <w:sz w:val="22"/>
          <w:szCs w:val="22"/>
        </w:rPr>
        <w:t>9</w:t>
      </w:r>
      <w:r w:rsidRPr="006765D8">
        <w:rPr>
          <w:sz w:val="22"/>
          <w:szCs w:val="22"/>
        </w:rPr>
        <w:t xml:space="preserve">). </w:t>
      </w:r>
      <w:r w:rsidRPr="006765D8">
        <w:rPr>
          <w:i/>
          <w:iCs/>
          <w:sz w:val="22"/>
          <w:szCs w:val="22"/>
        </w:rPr>
        <w:t>South wall – Block no. 305</w:t>
      </w:r>
      <w:r w:rsidRPr="006765D8">
        <w:rPr>
          <w:sz w:val="22"/>
          <w:szCs w:val="22"/>
        </w:rPr>
        <w:t xml:space="preserve">. Maat-ka-Ra. </w:t>
      </w:r>
      <w:hyperlink r:id="rId14" w:tgtFrame="_new" w:history="1">
        <w:r w:rsidRPr="006765D8">
          <w:rPr>
            <w:rStyle w:val="Hyperlink"/>
            <w:sz w:val="22"/>
            <w:szCs w:val="22"/>
          </w:rPr>
          <w:t>https://www.maat-ka-ra.de/english/bauwerke/red_chap/sw/block_305.htm</w:t>
        </w:r>
      </w:hyperlink>
    </w:p>
    <w:p w14:paraId="0C385268" w14:textId="0EE51DC8" w:rsidR="00DF67CF" w:rsidRPr="006765D8" w:rsidRDefault="00C6142C" w:rsidP="00C6142C">
      <w:pPr>
        <w:pStyle w:val="ListParagraph"/>
        <w:numPr>
          <w:ilvl w:val="0"/>
          <w:numId w:val="1"/>
        </w:numPr>
        <w:rPr>
          <w:sz w:val="22"/>
          <w:szCs w:val="22"/>
        </w:rPr>
      </w:pPr>
      <w:r w:rsidRPr="006765D8">
        <w:rPr>
          <w:sz w:val="22"/>
          <w:szCs w:val="22"/>
        </w:rPr>
        <w:t>Leser, K. H. (</w:t>
      </w:r>
      <w:r w:rsidRPr="006765D8">
        <w:rPr>
          <w:sz w:val="22"/>
          <w:szCs w:val="22"/>
        </w:rPr>
        <w:t>2008</w:t>
      </w:r>
      <w:r w:rsidRPr="006765D8">
        <w:rPr>
          <w:sz w:val="22"/>
          <w:szCs w:val="22"/>
        </w:rPr>
        <w:t xml:space="preserve">). </w:t>
      </w:r>
      <w:r w:rsidRPr="006765D8">
        <w:rPr>
          <w:i/>
          <w:iCs/>
          <w:sz w:val="22"/>
          <w:szCs w:val="22"/>
        </w:rPr>
        <w:t>South wall – Block no. 305</w:t>
      </w:r>
      <w:r w:rsidRPr="006765D8">
        <w:rPr>
          <w:sz w:val="22"/>
          <w:szCs w:val="22"/>
        </w:rPr>
        <w:t xml:space="preserve">. Maat-ka-Ra. </w:t>
      </w:r>
      <w:hyperlink r:id="rId15" w:tgtFrame="_new" w:history="1">
        <w:r w:rsidRPr="006765D8">
          <w:rPr>
            <w:rStyle w:val="Hyperlink"/>
            <w:sz w:val="22"/>
            <w:szCs w:val="22"/>
          </w:rPr>
          <w:t>https://www.maat-ka-ra.de/english/bauwerke/red_chap/sw/block_305.htm</w:t>
        </w:r>
      </w:hyperlink>
    </w:p>
    <w:sectPr w:rsidR="00DF67CF" w:rsidRPr="006765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D2555"/>
    <w:multiLevelType w:val="hybridMultilevel"/>
    <w:tmpl w:val="D66C6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2352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D56"/>
    <w:rsid w:val="00075251"/>
    <w:rsid w:val="000A335B"/>
    <w:rsid w:val="00122CDF"/>
    <w:rsid w:val="001C5B53"/>
    <w:rsid w:val="003479CC"/>
    <w:rsid w:val="003C35DB"/>
    <w:rsid w:val="005221A3"/>
    <w:rsid w:val="006765D8"/>
    <w:rsid w:val="0069080F"/>
    <w:rsid w:val="006B10A9"/>
    <w:rsid w:val="00701CD6"/>
    <w:rsid w:val="00757B80"/>
    <w:rsid w:val="00883E57"/>
    <w:rsid w:val="009107B8"/>
    <w:rsid w:val="00A30D56"/>
    <w:rsid w:val="00C6142C"/>
    <w:rsid w:val="00CF431B"/>
    <w:rsid w:val="00DF67CF"/>
    <w:rsid w:val="00E434FD"/>
    <w:rsid w:val="00E62F11"/>
    <w:rsid w:val="00F03266"/>
    <w:rsid w:val="00F56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AD6DC"/>
  <w15:chartTrackingRefBased/>
  <w15:docId w15:val="{5C3A83A1-D235-4140-AEA3-6321CB4EE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D56"/>
  </w:style>
  <w:style w:type="paragraph" w:styleId="Heading1">
    <w:name w:val="heading 1"/>
    <w:basedOn w:val="Normal"/>
    <w:next w:val="Normal"/>
    <w:link w:val="Heading1Char"/>
    <w:uiPriority w:val="9"/>
    <w:qFormat/>
    <w:rsid w:val="00A30D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D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D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D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D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D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D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D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D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D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D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D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D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D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D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D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D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D56"/>
    <w:rPr>
      <w:rFonts w:eastAsiaTheme="majorEastAsia" w:cstheme="majorBidi"/>
      <w:color w:val="272727" w:themeColor="text1" w:themeTint="D8"/>
    </w:rPr>
  </w:style>
  <w:style w:type="paragraph" w:styleId="Title">
    <w:name w:val="Title"/>
    <w:basedOn w:val="Normal"/>
    <w:next w:val="Normal"/>
    <w:link w:val="TitleChar"/>
    <w:uiPriority w:val="10"/>
    <w:qFormat/>
    <w:rsid w:val="00A30D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D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D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D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D56"/>
    <w:pPr>
      <w:spacing w:before="160"/>
      <w:jc w:val="center"/>
    </w:pPr>
    <w:rPr>
      <w:i/>
      <w:iCs/>
      <w:color w:val="404040" w:themeColor="text1" w:themeTint="BF"/>
    </w:rPr>
  </w:style>
  <w:style w:type="character" w:customStyle="1" w:styleId="QuoteChar">
    <w:name w:val="Quote Char"/>
    <w:basedOn w:val="DefaultParagraphFont"/>
    <w:link w:val="Quote"/>
    <w:uiPriority w:val="29"/>
    <w:rsid w:val="00A30D56"/>
    <w:rPr>
      <w:i/>
      <w:iCs/>
      <w:color w:val="404040" w:themeColor="text1" w:themeTint="BF"/>
    </w:rPr>
  </w:style>
  <w:style w:type="paragraph" w:styleId="ListParagraph">
    <w:name w:val="List Paragraph"/>
    <w:basedOn w:val="Normal"/>
    <w:uiPriority w:val="34"/>
    <w:qFormat/>
    <w:rsid w:val="00A30D56"/>
    <w:pPr>
      <w:ind w:left="720"/>
      <w:contextualSpacing/>
    </w:pPr>
  </w:style>
  <w:style w:type="character" w:styleId="IntenseEmphasis">
    <w:name w:val="Intense Emphasis"/>
    <w:basedOn w:val="DefaultParagraphFont"/>
    <w:uiPriority w:val="21"/>
    <w:qFormat/>
    <w:rsid w:val="00A30D56"/>
    <w:rPr>
      <w:i/>
      <w:iCs/>
      <w:color w:val="0F4761" w:themeColor="accent1" w:themeShade="BF"/>
    </w:rPr>
  </w:style>
  <w:style w:type="paragraph" w:styleId="IntenseQuote">
    <w:name w:val="Intense Quote"/>
    <w:basedOn w:val="Normal"/>
    <w:next w:val="Normal"/>
    <w:link w:val="IntenseQuoteChar"/>
    <w:uiPriority w:val="30"/>
    <w:qFormat/>
    <w:rsid w:val="00A30D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D56"/>
    <w:rPr>
      <w:i/>
      <w:iCs/>
      <w:color w:val="0F4761" w:themeColor="accent1" w:themeShade="BF"/>
    </w:rPr>
  </w:style>
  <w:style w:type="character" w:styleId="IntenseReference">
    <w:name w:val="Intense Reference"/>
    <w:basedOn w:val="DefaultParagraphFont"/>
    <w:uiPriority w:val="32"/>
    <w:qFormat/>
    <w:rsid w:val="00A30D56"/>
    <w:rPr>
      <w:b/>
      <w:bCs/>
      <w:smallCaps/>
      <w:color w:val="0F4761" w:themeColor="accent1" w:themeShade="BF"/>
      <w:spacing w:val="5"/>
    </w:rPr>
  </w:style>
  <w:style w:type="character" w:styleId="Hyperlink">
    <w:name w:val="Hyperlink"/>
    <w:basedOn w:val="DefaultParagraphFont"/>
    <w:uiPriority w:val="99"/>
    <w:unhideWhenUsed/>
    <w:rsid w:val="00A30D56"/>
    <w:rPr>
      <w:color w:val="467886" w:themeColor="hyperlink"/>
      <w:u w:val="single"/>
    </w:rPr>
  </w:style>
  <w:style w:type="character" w:styleId="UnresolvedMention">
    <w:name w:val="Unresolved Mention"/>
    <w:basedOn w:val="DefaultParagraphFont"/>
    <w:uiPriority w:val="99"/>
    <w:semiHidden/>
    <w:unhideWhenUsed/>
    <w:rsid w:val="00883E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gypt-museum.com/hatshepsuts-red-chapel/" TargetMode="External"/><Relationship Id="rId13" Type="http://schemas.openxmlformats.org/officeDocument/2006/relationships/hyperlink" Target="https://egypt-museum.com/hatshepsuts-red-chapel/"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maat-ka-ra.de/english/bauwerke/red_chap/sw/block_305.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gypt-museum.com/hatshepsuts-red-chapel/"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hyperlink" Target="https://www.maat-ka-ra.de/english/bauwerke/red_chap/sw/block_305.htm" TargetMode="External"/><Relationship Id="rId10" Type="http://schemas.openxmlformats.org/officeDocument/2006/relationships/hyperlink" Target="https://www.maat-ka-ra.de/english/bauwerke/red_chap/sw/block_305.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at-ka-ra.de/english/bauwerke/red_chap/sw/block_30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253</TotalTime>
  <Pages>4</Pages>
  <Words>999</Words>
  <Characters>5438</Characters>
  <Application>Microsoft Office Word</Application>
  <DocSecurity>0</DocSecurity>
  <Lines>76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Davey</dc:creator>
  <cp:keywords/>
  <dc:description/>
  <cp:lastModifiedBy>Rosie Davey</cp:lastModifiedBy>
  <cp:revision>12</cp:revision>
  <dcterms:created xsi:type="dcterms:W3CDTF">2026-04-21T14:43:00Z</dcterms:created>
  <dcterms:modified xsi:type="dcterms:W3CDTF">2026-04-28T11:54:00Z</dcterms:modified>
</cp:coreProperties>
</file>