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F494E" w14:textId="77777777" w:rsidR="004264AA" w:rsidRDefault="0023470E">
      <w:pPr>
        <w:jc w:val="center"/>
      </w:pPr>
      <w:r w:rsidRPr="00A406E5">
        <w:rPr>
          <w:noProof/>
          <w:lang w:val="en-US" w:eastAsia="en-US" w:bidi="hi-IN"/>
        </w:rPr>
        <w:drawing>
          <wp:anchor distT="0" distB="0" distL="114300" distR="114300" simplePos="0" relativeHeight="251659264" behindDoc="0" locked="0" layoutInCell="1" allowOverlap="1" wp14:anchorId="284F6AC5" wp14:editId="6389FC17">
            <wp:simplePos x="0" y="0"/>
            <wp:positionH relativeFrom="margin">
              <wp:align>center</wp:align>
            </wp:positionH>
            <wp:positionV relativeFrom="paragraph">
              <wp:posOffset>0</wp:posOffset>
            </wp:positionV>
            <wp:extent cx="2286000" cy="9525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FC29ED" w14:textId="77777777" w:rsidR="004264AA" w:rsidRDefault="004264AA">
      <w:pPr>
        <w:jc w:val="center"/>
      </w:pPr>
    </w:p>
    <w:p w14:paraId="3DE134DA" w14:textId="77777777" w:rsidR="004264AA" w:rsidRDefault="004264AA">
      <w:pPr>
        <w:jc w:val="center"/>
      </w:pPr>
    </w:p>
    <w:p w14:paraId="03B55B2D" w14:textId="77777777" w:rsidR="004264AA" w:rsidRDefault="004264AA">
      <w:pPr>
        <w:jc w:val="center"/>
      </w:pPr>
    </w:p>
    <w:p w14:paraId="5F7787DD" w14:textId="77777777" w:rsidR="004264AA" w:rsidRDefault="004264AA">
      <w:pPr>
        <w:jc w:val="center"/>
      </w:pPr>
    </w:p>
    <w:p w14:paraId="07A4242C" w14:textId="77777777" w:rsidR="004264AA" w:rsidRDefault="004264AA">
      <w:pPr>
        <w:jc w:val="center"/>
      </w:pPr>
    </w:p>
    <w:p w14:paraId="3F0C5B44" w14:textId="77777777" w:rsidR="004264AA" w:rsidRPr="004264AA" w:rsidRDefault="004264AA">
      <w:pPr>
        <w:jc w:val="center"/>
        <w:rPr>
          <w:b/>
          <w:bCs/>
        </w:rPr>
      </w:pPr>
    </w:p>
    <w:p w14:paraId="58160AC8" w14:textId="77777777" w:rsidR="00947AA6" w:rsidRPr="0023470E" w:rsidRDefault="004264AA" w:rsidP="0023470E">
      <w:pPr>
        <w:spacing w:line="480" w:lineRule="auto"/>
        <w:jc w:val="center"/>
        <w:rPr>
          <w:b/>
          <w:bCs/>
          <w:sz w:val="28"/>
          <w:szCs w:val="28"/>
        </w:rPr>
      </w:pPr>
      <w:r w:rsidRPr="0023470E">
        <w:rPr>
          <w:b/>
          <w:bCs/>
          <w:sz w:val="28"/>
          <w:szCs w:val="28"/>
        </w:rPr>
        <w:t xml:space="preserve">MODULE CODE AND TITLE: LCHS4003: INTRODUCTION TO HEALTH AND SOCIAL CARE </w:t>
      </w:r>
    </w:p>
    <w:p w14:paraId="60A874A5" w14:textId="77777777" w:rsidR="00947AA6" w:rsidRPr="0023470E" w:rsidRDefault="004264AA" w:rsidP="0023470E">
      <w:pPr>
        <w:spacing w:line="480" w:lineRule="auto"/>
        <w:jc w:val="center"/>
        <w:rPr>
          <w:b/>
          <w:bCs/>
          <w:sz w:val="28"/>
          <w:szCs w:val="28"/>
        </w:rPr>
      </w:pPr>
      <w:r w:rsidRPr="0023470E">
        <w:rPr>
          <w:b/>
          <w:bCs/>
          <w:sz w:val="28"/>
          <w:szCs w:val="28"/>
        </w:rPr>
        <w:t>LECTURER’S NAME:</w:t>
      </w:r>
      <w:r w:rsidR="00900EDC">
        <w:rPr>
          <w:b/>
          <w:bCs/>
          <w:sz w:val="28"/>
          <w:szCs w:val="28"/>
        </w:rPr>
        <w:t xml:space="preserve"> </w:t>
      </w:r>
      <w:r w:rsidR="009E6872">
        <w:rPr>
          <w:b/>
          <w:bCs/>
          <w:sz w:val="28"/>
          <w:szCs w:val="28"/>
        </w:rPr>
        <w:t xml:space="preserve"> Jane </w:t>
      </w:r>
      <w:r w:rsidR="00900EDC" w:rsidRPr="00900EDC">
        <w:rPr>
          <w:b/>
          <w:bCs/>
          <w:sz w:val="28"/>
          <w:szCs w:val="28"/>
        </w:rPr>
        <w:t>Ngarari</w:t>
      </w:r>
    </w:p>
    <w:p w14:paraId="398FBD8D" w14:textId="77777777" w:rsidR="00947AA6" w:rsidRPr="0023470E" w:rsidRDefault="004264AA" w:rsidP="0023470E">
      <w:pPr>
        <w:spacing w:line="480" w:lineRule="auto"/>
        <w:jc w:val="center"/>
        <w:rPr>
          <w:b/>
          <w:bCs/>
          <w:sz w:val="28"/>
          <w:szCs w:val="28"/>
        </w:rPr>
      </w:pPr>
      <w:r w:rsidRPr="0023470E">
        <w:rPr>
          <w:b/>
          <w:bCs/>
          <w:sz w:val="28"/>
          <w:szCs w:val="28"/>
        </w:rPr>
        <w:t>ASSIGNMENT TITLE: WRITTEN ASSIGNMENT</w:t>
      </w:r>
    </w:p>
    <w:p w14:paraId="5A679B5E" w14:textId="77777777" w:rsidR="004264AA" w:rsidRDefault="004264AA" w:rsidP="0023470E">
      <w:pPr>
        <w:spacing w:line="480" w:lineRule="auto"/>
        <w:jc w:val="center"/>
      </w:pPr>
    </w:p>
    <w:p w14:paraId="53C05A7C" w14:textId="77777777" w:rsidR="004264AA" w:rsidRDefault="004264AA" w:rsidP="0023470E">
      <w:pPr>
        <w:spacing w:line="480" w:lineRule="auto"/>
        <w:jc w:val="center"/>
      </w:pPr>
    </w:p>
    <w:p w14:paraId="155C321F" w14:textId="77777777" w:rsidR="004264AA" w:rsidRDefault="004264AA" w:rsidP="0023470E">
      <w:pPr>
        <w:tabs>
          <w:tab w:val="left" w:pos="3585"/>
          <w:tab w:val="center" w:pos="4514"/>
        </w:tabs>
        <w:spacing w:line="480" w:lineRule="auto"/>
        <w:jc w:val="left"/>
      </w:pPr>
    </w:p>
    <w:p w14:paraId="0CFB9865" w14:textId="77777777" w:rsidR="004264AA" w:rsidRDefault="004264AA" w:rsidP="0023470E">
      <w:pPr>
        <w:tabs>
          <w:tab w:val="left" w:pos="3585"/>
          <w:tab w:val="center" w:pos="4514"/>
        </w:tabs>
        <w:spacing w:line="480" w:lineRule="auto"/>
        <w:jc w:val="left"/>
      </w:pPr>
    </w:p>
    <w:p w14:paraId="2B1218F5" w14:textId="77777777" w:rsidR="004264AA" w:rsidRPr="0023470E" w:rsidRDefault="004264AA" w:rsidP="0023470E">
      <w:pPr>
        <w:tabs>
          <w:tab w:val="left" w:pos="3585"/>
          <w:tab w:val="center" w:pos="4514"/>
        </w:tabs>
        <w:spacing w:line="480" w:lineRule="auto"/>
        <w:jc w:val="center"/>
        <w:rPr>
          <w:b/>
          <w:bCs/>
          <w:sz w:val="28"/>
          <w:szCs w:val="28"/>
        </w:rPr>
      </w:pPr>
      <w:r w:rsidRPr="0023470E">
        <w:rPr>
          <w:b/>
          <w:bCs/>
          <w:sz w:val="28"/>
          <w:szCs w:val="28"/>
        </w:rPr>
        <w:t>Student Name:</w:t>
      </w:r>
      <w:r w:rsidR="0023470E" w:rsidRPr="0023470E">
        <w:rPr>
          <w:b/>
          <w:bCs/>
          <w:sz w:val="28"/>
          <w:szCs w:val="28"/>
        </w:rPr>
        <w:t xml:space="preserve"> Nadia Shuja </w:t>
      </w:r>
    </w:p>
    <w:p w14:paraId="705446AB" w14:textId="77777777" w:rsidR="004264AA" w:rsidRPr="0023470E" w:rsidRDefault="004264AA" w:rsidP="0023470E">
      <w:pPr>
        <w:spacing w:line="480" w:lineRule="auto"/>
        <w:jc w:val="center"/>
        <w:rPr>
          <w:b/>
          <w:bCs/>
          <w:sz w:val="28"/>
          <w:szCs w:val="28"/>
        </w:rPr>
      </w:pPr>
      <w:r w:rsidRPr="0023470E">
        <w:rPr>
          <w:b/>
          <w:bCs/>
          <w:sz w:val="28"/>
          <w:szCs w:val="28"/>
        </w:rPr>
        <w:t>Student number:</w:t>
      </w:r>
      <w:r w:rsidR="0023470E" w:rsidRPr="0023470E">
        <w:rPr>
          <w:b/>
          <w:bCs/>
          <w:sz w:val="28"/>
          <w:szCs w:val="28"/>
        </w:rPr>
        <w:t xml:space="preserve"> 2536893</w:t>
      </w:r>
    </w:p>
    <w:p w14:paraId="6C27FBE4" w14:textId="77777777" w:rsidR="004264AA" w:rsidRPr="0023470E" w:rsidRDefault="004264AA" w:rsidP="0023470E">
      <w:pPr>
        <w:spacing w:line="480" w:lineRule="auto"/>
        <w:jc w:val="center"/>
        <w:rPr>
          <w:b/>
          <w:bCs/>
        </w:rPr>
      </w:pPr>
    </w:p>
    <w:p w14:paraId="54F737B6" w14:textId="77777777" w:rsidR="00947AA6" w:rsidRDefault="00F95D3E">
      <w:pPr>
        <w:pStyle w:val="Heading1"/>
      </w:pPr>
      <w:bookmarkStart w:id="0" w:name="_7t18s5aa18hn" w:colFirst="0" w:colLast="0"/>
      <w:bookmarkEnd w:id="0"/>
      <w:r>
        <w:br w:type="page"/>
      </w:r>
    </w:p>
    <w:p w14:paraId="2B2131E3" w14:textId="77777777" w:rsidR="00947AA6" w:rsidRDefault="00F95D3E">
      <w:pPr>
        <w:pStyle w:val="Heading1"/>
      </w:pPr>
      <w:bookmarkStart w:id="1" w:name="_gyzm5dupg3x" w:colFirst="0" w:colLast="0"/>
      <w:bookmarkEnd w:id="1"/>
      <w:r>
        <w:lastRenderedPageBreak/>
        <w:t>Task 1</w:t>
      </w:r>
    </w:p>
    <w:p w14:paraId="3383931A" w14:textId="77777777" w:rsidR="00947AA6" w:rsidRDefault="00F95D3E">
      <w:r>
        <w:t>To: Councillor Name</w:t>
      </w:r>
      <w:r w:rsidR="00900EDC">
        <w:t xml:space="preserve">: </w:t>
      </w:r>
      <w:r w:rsidR="00900EDC" w:rsidRPr="00900EDC">
        <w:t>Nosheen Khalid</w:t>
      </w:r>
    </w:p>
    <w:p w14:paraId="59AF2AC7" w14:textId="77777777" w:rsidR="00947AA6" w:rsidRDefault="00F95D3E">
      <w:r>
        <w:t xml:space="preserve">Subject: Addressing the potential and challenges of residential care home in </w:t>
      </w:r>
      <w:r w:rsidR="00900EDC">
        <w:rPr>
          <w:rStyle w:val="selectable-text"/>
        </w:rPr>
        <w:t>Sutton Coldfield</w:t>
      </w:r>
      <w:r>
        <w:t xml:space="preserve">. </w:t>
      </w:r>
    </w:p>
    <w:p w14:paraId="3009086F" w14:textId="76E679E2" w:rsidR="00947AA6" w:rsidRDefault="00900EDC">
      <w:r>
        <w:t xml:space="preserve">Prepared by: </w:t>
      </w:r>
      <w:r w:rsidRPr="00900EDC">
        <w:t xml:space="preserve">Nadia Shuja </w:t>
      </w:r>
    </w:p>
    <w:p w14:paraId="659552A1" w14:textId="77777777" w:rsidR="00947AA6" w:rsidRDefault="00F95D3E">
      <w:pPr>
        <w:pStyle w:val="Heading2"/>
      </w:pPr>
      <w:bookmarkStart w:id="2" w:name="_wi3eytjbkrbl" w:colFirst="0" w:colLast="0"/>
      <w:bookmarkEnd w:id="2"/>
      <w:r>
        <w:t>Introduction</w:t>
      </w:r>
    </w:p>
    <w:p w14:paraId="2C8FCF32" w14:textId="77777777" w:rsidR="00947AA6" w:rsidRDefault="00F95D3E">
      <w:r>
        <w:t xml:space="preserve">A residential care home is a way of providing services for sustained accommodation, support, and personal care for individuals who cannot manage their needs adequately through community-based services or independent living. But a shortage of the concerned service may result in an actual gap between availability of the service on time of need of required services. The gap </w:t>
      </w:r>
      <w:proofErr w:type="gramStart"/>
      <w:r>
        <w:t>in reality is</w:t>
      </w:r>
      <w:proofErr w:type="gramEnd"/>
      <w:r>
        <w:t xml:space="preserve"> concerning for individuals who experience complex cognitive, physical or social-care requirements. From a local authority perspective, delayed placement and high pressure for unpaid care are the result of insufficient provision. Reliance on emergency and general health service may decrease in this way. Care Act 2014 provides a framework through which prevention, wellbeing and eligible care can be kept at the central of the local authorities</w:t>
      </w:r>
      <w:r w:rsidR="00761001">
        <w:t xml:space="preserve"> </w:t>
      </w:r>
      <w:r w:rsidR="00761001" w:rsidRPr="00761001">
        <w:t>(Care Act 2014, s.1)</w:t>
      </w:r>
      <w:r>
        <w:t xml:space="preserve">. This report aims to advise on the implications of inadequate care capacity </w:t>
      </w:r>
      <w:proofErr w:type="gramStart"/>
      <w:r>
        <w:t>and also</w:t>
      </w:r>
      <w:proofErr w:type="gramEnd"/>
      <w:r>
        <w:t xml:space="preserve"> shows the way in which local authority can strengthen the provision </w:t>
      </w:r>
    </w:p>
    <w:p w14:paraId="240C6970" w14:textId="77777777" w:rsidR="00947AA6" w:rsidRDefault="00F95D3E">
      <w:pPr>
        <w:pStyle w:val="Heading2"/>
      </w:pPr>
      <w:bookmarkStart w:id="3" w:name="_e2n2r1kpssz0" w:colFirst="0" w:colLast="0"/>
      <w:bookmarkEnd w:id="3"/>
      <w:r>
        <w:t>Impact on the community</w:t>
      </w:r>
    </w:p>
    <w:p w14:paraId="0B35B0FA" w14:textId="77777777" w:rsidR="00947AA6" w:rsidRDefault="00F95D3E">
      <w:r>
        <w:t xml:space="preserve">The lack of residential care homes generates consequences that go beyond any individual users creating additional pressure on health services, families and the overall local care system. Friend suitable placements are unavailable, individuals with care requirements need to remain at home without the required intensive care. This ultimately increases the pressure on the overall care system as heavy load on unpaired carers is evident leading to carer stress, social isolation and reduced employment participation due to the workplace stress. For the individual themselves, delayed accommodation access may lead to undermining </w:t>
      </w:r>
      <w:proofErr w:type="gramStart"/>
      <w:r>
        <w:t>dignity</w:t>
      </w:r>
      <w:proofErr w:type="gramEnd"/>
      <w:r>
        <w:t xml:space="preserve"> and effect is independent and will be that causes in a conflicting situation with the Care Act 2014’s principles. </w:t>
      </w:r>
    </w:p>
    <w:p w14:paraId="25D31EA5" w14:textId="77777777" w:rsidR="00947AA6" w:rsidRDefault="00F95D3E">
      <w:r>
        <w:t>The shortage indeed led to unavoidable pressure on NHS services. As per the report of the Care Quality Commission (2024), in April 2024, home-based care and care home beds witnessed 45% of delayed service which has affected people (</w:t>
      </w:r>
      <w:hyperlink r:id="rId9">
        <w:r w:rsidR="00947AA6">
          <w:t>cqc.org.uk</w:t>
        </w:r>
      </w:hyperlink>
      <w:r>
        <w:t xml:space="preserve">, 2024). People remaining in the hospital for the last 14 days have further experience search delays on an average day. A total of 4000 people </w:t>
      </w:r>
      <w:r w:rsidR="00187118">
        <w:t>has</w:t>
      </w:r>
      <w:r>
        <w:t xml:space="preserve"> experienced that. Thus, the inefficient capacity for residence may contribute to delayed discharge. This also denotes that the health resources are inefficient. </w:t>
      </w:r>
    </w:p>
    <w:p w14:paraId="2F4B5FC8" w14:textId="77777777" w:rsidR="00947AA6" w:rsidRDefault="00F95D3E">
      <w:r>
        <w:t>Workforce constraints can also restrict community expansion capacity. As per the estimation of Skills for Care (2025), 111000 vacant adult social care posts in England can be noted in 2024 and 2025 representing 7% vacancy rate (</w:t>
      </w:r>
      <w:hyperlink r:id="rId10">
        <w:r w:rsidR="00947AA6">
          <w:t>skillsforcare.org.uk</w:t>
        </w:r>
      </w:hyperlink>
      <w:r>
        <w:t xml:space="preserve">, 2025). There is a requirement of sustainable commissioning from the local authorities along with integrated </w:t>
      </w:r>
      <w:r>
        <w:lastRenderedPageBreak/>
        <w:t xml:space="preserve">planning and workforce development for preventing the animate requirements from rising in equality and decreasing community wellbeing. </w:t>
      </w:r>
    </w:p>
    <w:p w14:paraId="79A64C33" w14:textId="77777777" w:rsidR="00947AA6" w:rsidRDefault="00F95D3E">
      <w:pPr>
        <w:pStyle w:val="Heading2"/>
      </w:pPr>
      <w:bookmarkStart w:id="4" w:name="_oy3nnevny0u" w:colFirst="0" w:colLast="0"/>
      <w:bookmarkEnd w:id="4"/>
      <w:r>
        <w:t>Recommendations</w:t>
      </w:r>
    </w:p>
    <w:p w14:paraId="7BC64AD7" w14:textId="77777777" w:rsidR="00947AA6" w:rsidRDefault="00F95D3E">
      <w:r>
        <w:rPr>
          <w:i/>
          <w:iCs/>
          <w:u w:val="single"/>
        </w:rPr>
        <w:t>Conduct capacity and care requirement assessment at local level</w:t>
      </w:r>
      <w:r>
        <w:t xml:space="preserve"> </w:t>
      </w:r>
    </w:p>
    <w:p w14:paraId="0132264D" w14:textId="77777777" w:rsidR="00947AA6" w:rsidRDefault="00F95D3E">
      <w:r>
        <w:t xml:space="preserve">The local authority is recommended to systematically assess the projected demand in the concerned area of service. Here demand for the residential care, eligible unmet needs, population, existing capacity of bed, aging are the considering aspects. This will help in planning evidence-based practice with commissioning which further promotes Care Act 2014 principle of promoting wellbeing after meeting eligible care and support requirements </w:t>
      </w:r>
      <w:r w:rsidR="00761001" w:rsidRPr="00761001">
        <w:t>(Care Act 2014, s.1)</w:t>
      </w:r>
      <w:r>
        <w:t xml:space="preserve">. Commissioning should consider capacity along with care quality, service-based user and workforce availability. </w:t>
      </w:r>
    </w:p>
    <w:p w14:paraId="7BF405C0" w14:textId="77777777" w:rsidR="00947AA6" w:rsidRDefault="00F95D3E">
      <w:pPr>
        <w:rPr>
          <w:i/>
          <w:iCs/>
          <w:u w:val="single"/>
        </w:rPr>
      </w:pPr>
      <w:r>
        <w:rPr>
          <w:i/>
          <w:iCs/>
          <w:u w:val="single"/>
        </w:rPr>
        <w:t>Integration of health and social care</w:t>
      </w:r>
    </w:p>
    <w:p w14:paraId="5B8D9647" w14:textId="77777777" w:rsidR="00947AA6" w:rsidRDefault="00F95D3E">
      <w:r>
        <w:t>It is recommended to strengthen the existing collaboration of NHS services, residential providers, community organisations and social workers. Discharge pathways and clear referral can reduce the existing delay in accessing the appropriate placements and prevent prolonged hospital stays</w:t>
      </w:r>
      <w:r w:rsidR="00761001">
        <w:t xml:space="preserve"> (Needham </w:t>
      </w:r>
      <w:r w:rsidR="00761001">
        <w:rPr>
          <w:i/>
          <w:iCs/>
        </w:rPr>
        <w:t>et al.</w:t>
      </w:r>
      <w:r w:rsidR="00761001">
        <w:t>, 2021)</w:t>
      </w:r>
      <w:r>
        <w:t xml:space="preserve">. </w:t>
      </w:r>
    </w:p>
    <w:p w14:paraId="61CB0D03" w14:textId="77777777" w:rsidR="00947AA6" w:rsidRDefault="00F95D3E">
      <w:pPr>
        <w:rPr>
          <w:i/>
          <w:iCs/>
          <w:u w:val="single"/>
        </w:rPr>
      </w:pPr>
      <w:r>
        <w:rPr>
          <w:i/>
          <w:iCs/>
          <w:u w:val="single"/>
        </w:rPr>
        <w:t>Understanding of local market and strengthening the commissioning structure</w:t>
      </w:r>
    </w:p>
    <w:p w14:paraId="45BF2985" w14:textId="77777777" w:rsidR="00947AA6" w:rsidRDefault="00F95D3E">
      <w:r>
        <w:t xml:space="preserve">The collaboration with voluntary organisations, home care providers and other potential new providers to ensure accessibility, with high quality and affordable range. Section 5 of Care Act 2014, the existing local authorities have the responsibility to promote a diverse and sustainable care market </w:t>
      </w:r>
      <w:r w:rsidR="00761001" w:rsidRPr="00761001">
        <w:t>(Care Act 2014, s.5).</w:t>
      </w:r>
      <w:r w:rsidR="00761001">
        <w:t xml:space="preserve"> </w:t>
      </w:r>
    </w:p>
    <w:p w14:paraId="51A8AFB4" w14:textId="77777777" w:rsidR="00947AA6" w:rsidRDefault="00F95D3E">
      <w:pPr>
        <w:rPr>
          <w:i/>
          <w:iCs/>
          <w:u w:val="single"/>
        </w:rPr>
      </w:pPr>
      <w:r>
        <w:rPr>
          <w:i/>
          <w:iCs/>
          <w:u w:val="single"/>
        </w:rPr>
        <w:t>Continue monitoring of outcomes and addressing inequality</w:t>
      </w:r>
    </w:p>
    <w:p w14:paraId="4F6964CE" w14:textId="77777777" w:rsidR="00947AA6" w:rsidRDefault="00F95D3E">
      <w:r>
        <w:t xml:space="preserve">Along with improving the approach of management, it is also important to monitor the existing changes that are brought to the system. Placement availability, waiting time, number of unmet needs, care quality and service user outcomes are to be monitored regularly and as per the demand the management should be ensured. </w:t>
      </w:r>
      <w:proofErr w:type="gramStart"/>
      <w:r>
        <w:t>Particular attention</w:t>
      </w:r>
      <w:proofErr w:type="gramEnd"/>
      <w:r>
        <w:t xml:space="preserve"> should be given to the people with limited to no family support and social disadvantage</w:t>
      </w:r>
      <w:r w:rsidR="00761001">
        <w:t xml:space="preserve"> (</w:t>
      </w:r>
      <w:hyperlink r:id="rId11">
        <w:r w:rsidR="00761001">
          <w:t>cqc.org.uk</w:t>
        </w:r>
      </w:hyperlink>
      <w:r w:rsidR="00761001">
        <w:t>, 2024)</w:t>
      </w:r>
      <w:r>
        <w:t xml:space="preserve">. The aim is to align with the care act principles that promotes independence, will be and reduces inequality. </w:t>
      </w:r>
    </w:p>
    <w:p w14:paraId="194D1991" w14:textId="77777777" w:rsidR="00947AA6" w:rsidRDefault="00F95D3E">
      <w:pPr>
        <w:pStyle w:val="Heading2"/>
      </w:pPr>
      <w:bookmarkStart w:id="5" w:name="_ycnbb7o0w5vt" w:colFirst="0" w:colLast="0"/>
      <w:bookmarkEnd w:id="5"/>
      <w:r>
        <w:t xml:space="preserve">Conclusion </w:t>
      </w:r>
    </w:p>
    <w:p w14:paraId="3DDA8447" w14:textId="77777777" w:rsidR="00947AA6" w:rsidRDefault="00F95D3E">
      <w:r>
        <w:t xml:space="preserve">The shortage of residential care provision presents a significant challenge for individual wellbeing, equitable access and independence. In accordance to Care Act 2014, local authority must respond based on effective need assessment, market shaping, prevention and integration with social and health-care planning. Expansion of sustainable and high-quality provision can reduce the unmet care requirements. This also supports the timely access of appropriate care. An evidence-based approach is crucial for achieving improved outcome for the </w:t>
      </w:r>
      <w:proofErr w:type="gramStart"/>
      <w:r>
        <w:t>local residents</w:t>
      </w:r>
      <w:proofErr w:type="gramEnd"/>
      <w:r>
        <w:t xml:space="preserve">. </w:t>
      </w:r>
    </w:p>
    <w:p w14:paraId="03115EE7" w14:textId="77777777" w:rsidR="00947AA6" w:rsidRDefault="00F95D3E">
      <w:pPr>
        <w:pStyle w:val="Heading1"/>
      </w:pPr>
      <w:bookmarkStart w:id="6" w:name="_oygf34woo8b1" w:colFirst="0" w:colLast="0"/>
      <w:bookmarkEnd w:id="6"/>
      <w:r>
        <w:lastRenderedPageBreak/>
        <w:t>Task 2</w:t>
      </w:r>
    </w:p>
    <w:p w14:paraId="4C7285DB" w14:textId="77777777" w:rsidR="00947AA6" w:rsidRDefault="00F95D3E">
      <w:pPr>
        <w:pStyle w:val="Heading2"/>
      </w:pPr>
      <w:bookmarkStart w:id="7" w:name="_tg0ynatwyk6i" w:colFirst="0" w:colLast="0"/>
      <w:bookmarkEnd w:id="7"/>
      <w:r>
        <w:t>Introduction</w:t>
      </w:r>
    </w:p>
    <w:p w14:paraId="6085F667" w14:textId="77777777" w:rsidR="00947AA6" w:rsidRDefault="00F95D3E">
      <w:r>
        <w:t xml:space="preserve">Pharmacy service is an important constituent of contemporary healthcare practices which extends beyond the act of medicine dispensing. In the UK, community pharmacy provides locally accessible services that supports self-care, reduces avoidable pressure and improve medicines adherence. Furthermore, Pharmacy First is introduced in 2024 strengthening the clinical role of community pharmacists. It is done by enabling the specified common practices that defines the treatment pathways. Thus, the profession is noted to evolve from dispensing-focused to patient-centric actions and the essay evaluates the origin </w:t>
      </w:r>
      <w:r w:rsidR="00187118">
        <w:t>and development</w:t>
      </w:r>
      <w:r>
        <w:t xml:space="preserve"> of pharmacy services acknowledging their strengths, limitations and present challenges. The current function and its importance in present life is also evaluated in this section. </w:t>
      </w:r>
    </w:p>
    <w:p w14:paraId="0E4AC814" w14:textId="77777777" w:rsidR="00947AA6" w:rsidRDefault="00F95D3E">
      <w:pPr>
        <w:pStyle w:val="Heading2"/>
      </w:pPr>
      <w:bookmarkStart w:id="8" w:name="_jctgzkt5jaoe" w:colFirst="0" w:colLast="0"/>
      <w:bookmarkEnd w:id="8"/>
      <w:r>
        <w:t xml:space="preserve">Historical Context and Current Function </w:t>
      </w:r>
    </w:p>
    <w:p w14:paraId="65EA6800" w14:textId="77777777" w:rsidR="00947AA6" w:rsidRDefault="00F95D3E">
      <w:r>
        <w:t>Traditional apothecary practices is the core of all the pharmacy services. The practitioners prepared and supplied medicines for creating a regulated profession for better clinical responsibilities. “Pharmacy and Poisons Act 1933” has been a major milestone after that which has further strengthen the regulatory practices of pharmacy and medicine practices (</w:t>
      </w:r>
      <w:hyperlink r:id="rId12">
        <w:r w:rsidR="00947AA6">
          <w:t>england.nhs.uk</w:t>
        </w:r>
      </w:hyperlink>
      <w:r>
        <w:t xml:space="preserve">, 2024). NHS was established in 1948 which integrated pharmacy into publicly funded healthcare. Subsequent reforms further shifted pharmacists from dispensary to patient-centric work. The “Medicines Act 1968” further established a comprehensive framework for the overall regulation of manufacturing, distribution and supply of medicines. In this way, the public and professional approaches are strengthened (UK Government, 1968). </w:t>
      </w:r>
    </w:p>
    <w:p w14:paraId="6CA4C5CD" w14:textId="77777777" w:rsidR="00947AA6" w:rsidRDefault="00F95D3E">
      <w:r>
        <w:t xml:space="preserve">Presently, the pharmacy service as became an integral part of primary care where preventive services are also provided along with prescription dispensing. </w:t>
      </w:r>
      <w:r w:rsidR="00187118">
        <w:t>Pharmacists’</w:t>
      </w:r>
      <w:r>
        <w:t xml:space="preserve"> advice patients, manages medicines optimisation and identifies potential safety concerns. In 2024, Pharmacy First service is launched in England that enabled community pharmacists to assess and manage seven specific conditions through clinical pathways (E</w:t>
      </w:r>
      <w:hyperlink r:id="rId13">
        <w:r w:rsidR="00947AA6">
          <w:t>ngland.nhs.uk</w:t>
        </w:r>
      </w:hyperlink>
      <w:r>
        <w:t xml:space="preserve">, 2024). This includes supplying the necessary medicines where clinically indicated. Services as contraception, blood-pressure checks, vaccination and smoking cessation are also to be regarded in this context. However, along with the evolved services, this has further moved towards clinically oriented service than a care-centric approach under NHS capacity. </w:t>
      </w:r>
    </w:p>
    <w:p w14:paraId="084548B4" w14:textId="77777777" w:rsidR="00947AA6" w:rsidRDefault="00F95D3E">
      <w:pPr>
        <w:pStyle w:val="Heading2"/>
      </w:pPr>
      <w:bookmarkStart w:id="9" w:name="_1m7fmxgqpx3s" w:colFirst="0" w:colLast="0"/>
      <w:bookmarkEnd w:id="9"/>
      <w:r>
        <w:t>Critical Evaluation and Significance for service users</w:t>
      </w:r>
    </w:p>
    <w:p w14:paraId="6502E559" w14:textId="77777777" w:rsidR="00947AA6" w:rsidRDefault="00F95D3E">
      <w:r>
        <w:t xml:space="preserve">Pharmacy services may influence the quality of life of the service user through supporting treatment adherence, medicines and provides convenient advice without the requirement of general physician appointment. Community pharmacies are valuable for the people with long-term medical condition and limited resources and support. Pharmacists may guide for ensuring safe access of the medicine which is helpful for individuals with </w:t>
      </w:r>
      <w:r w:rsidR="00187118">
        <w:t>regular</w:t>
      </w:r>
      <w:r>
        <w:t xml:space="preserve"> medicine consumption and older adults. The expansion of the clinical services is further strengthened </w:t>
      </w:r>
      <w:r w:rsidR="00187118">
        <w:t>accessibility</w:t>
      </w:r>
      <w:r>
        <w:t xml:space="preserve">. </w:t>
      </w:r>
      <w:r>
        <w:lastRenderedPageBreak/>
        <w:t>NHS England documented 1.5 million consultations through Pharmacy First practices in the first six months (E</w:t>
      </w:r>
      <w:hyperlink r:id="rId14">
        <w:r w:rsidR="00947AA6">
          <w:t>ngland.nhs.uk</w:t>
        </w:r>
      </w:hyperlink>
      <w:r>
        <w:t xml:space="preserve">, 2024). This reflected the substantial utilization of the community pharmacists. </w:t>
      </w:r>
    </w:p>
    <w:p w14:paraId="3B257DDF" w14:textId="77777777" w:rsidR="00947AA6" w:rsidRDefault="00F95D3E">
      <w:r>
        <w:t xml:space="preserve">However, accessibility does not </w:t>
      </w:r>
      <w:r w:rsidR="00187118">
        <w:t>refer</w:t>
      </w:r>
      <w:r>
        <w:t xml:space="preserve"> to equitable access. Pharmacy provisions </w:t>
      </w:r>
      <w:r w:rsidR="00187118">
        <w:t>differ</w:t>
      </w:r>
      <w:r>
        <w:t xml:space="preserve"> geographically. People from underserved communities have experienced greater barriers for accessing proper pharmaceutical care. Workforce pressure and workload may constrain the consultation time. Furthermore, though pharmacists can manage defined conditions. But deteriorating symptoms requires specialist assessment or consultation of general physician. This refers that pharmacy service cannot replace the primary or secondary care services. However, it can be stated that the pharmacist-led interventions have the potential to improve the medicine related outcomes which has further contributed to chronic disease management. Along with that, the shortage of workforce, high workload, variation in service may also led to deteriorating services (Chambers </w:t>
      </w:r>
      <w:r>
        <w:rPr>
          <w:i/>
          <w:iCs/>
        </w:rPr>
        <w:t>et al.</w:t>
      </w:r>
      <w:r>
        <w:t xml:space="preserve">, 2024). However, the impact of pharmacy services cannot be avoided in this context with the requirement of equitable local access. </w:t>
      </w:r>
    </w:p>
    <w:p w14:paraId="285A9520" w14:textId="77777777" w:rsidR="00947AA6" w:rsidRDefault="00F95D3E">
      <w:pPr>
        <w:pStyle w:val="Heading2"/>
      </w:pPr>
      <w:bookmarkStart w:id="10" w:name="_ii5o3yql1zj4" w:colFirst="0" w:colLast="0"/>
      <w:bookmarkEnd w:id="10"/>
      <w:r>
        <w:t xml:space="preserve">Conclusion  </w:t>
      </w:r>
    </w:p>
    <w:p w14:paraId="3617C08C" w14:textId="77777777" w:rsidR="00947AA6" w:rsidRDefault="00F95D3E">
      <w:r>
        <w:t>Pharmacy services have evolved over the time from a dispensary system to a more clinical and patient-</w:t>
      </w:r>
      <w:r w:rsidR="00187118">
        <w:t>centred</w:t>
      </w:r>
      <w:r>
        <w:t xml:space="preserve"> approach for the UK healthcare. Their medical expertise, accessibility and other expanding services may improve the treatment management, service users’ quality of life </w:t>
      </w:r>
      <w:proofErr w:type="gramStart"/>
      <w:r>
        <w:t>and also</w:t>
      </w:r>
      <w:proofErr w:type="gramEnd"/>
      <w:r>
        <w:t xml:space="preserve"> supports prevention. However, geographical inequalities, limitations in diagnostic scope and workforce pressures are to be regarded in this context that refers that the pharmacy service cannot replace the comprehensive primary care. Thus, the integration of the service with the general physician is highly required for ensuring right level of engagement within the concerned area for ensuring equitable quality pharmacy services. </w:t>
      </w:r>
      <w:r>
        <w:br w:type="page"/>
      </w:r>
    </w:p>
    <w:p w14:paraId="48427F1E" w14:textId="77777777" w:rsidR="00947AA6" w:rsidRDefault="00F95D3E">
      <w:pPr>
        <w:pStyle w:val="Heading1"/>
      </w:pPr>
      <w:bookmarkStart w:id="11" w:name="_bbmi2klzabv7" w:colFirst="0" w:colLast="0"/>
      <w:bookmarkEnd w:id="11"/>
      <w:r>
        <w:lastRenderedPageBreak/>
        <w:t>Reference list</w:t>
      </w:r>
    </w:p>
    <w:p w14:paraId="3A138DF2" w14:textId="77777777" w:rsidR="00761001" w:rsidRDefault="00761001">
      <w:pPr>
        <w:spacing w:after="160"/>
      </w:pPr>
      <w:r w:rsidRPr="00761001">
        <w:t>Care Act 2014 (c.23). Available at: https://www.legislation.gov.uk/ukpga/2014/23/contents (Accessed: 1 October 2026).</w:t>
      </w:r>
    </w:p>
    <w:p w14:paraId="1B3953E9" w14:textId="77777777" w:rsidR="00761001" w:rsidRDefault="00761001">
      <w:pPr>
        <w:spacing w:after="160"/>
      </w:pPr>
      <w:r>
        <w:t xml:space="preserve">Care Quality Commission (2024) </w:t>
      </w:r>
      <w:r>
        <w:rPr>
          <w:i/>
          <w:iCs/>
        </w:rPr>
        <w:t>The state of health care and adult social care in England 2023/24</w:t>
      </w:r>
      <w:r>
        <w:t>. London: Care Quality Commission. Available at:</w:t>
      </w:r>
      <w:hyperlink r:id="rId15">
        <w:r>
          <w:t xml:space="preserve"> </w:t>
        </w:r>
      </w:hyperlink>
      <w:hyperlink r:id="rId16">
        <w:r>
          <w:rPr>
            <w:color w:val="1155CC"/>
            <w:u w:val="single"/>
          </w:rPr>
          <w:t>https://www.cqc.org.uk/publications/major-report/state-care/2023-2024</w:t>
        </w:r>
      </w:hyperlink>
      <w:r>
        <w:t xml:space="preserve"> (Accessed: 22 September 2026).</w:t>
      </w:r>
    </w:p>
    <w:p w14:paraId="0154C0B4" w14:textId="77777777" w:rsidR="00761001" w:rsidRDefault="00761001">
      <w:pPr>
        <w:spacing w:after="160"/>
      </w:pPr>
      <w:r>
        <w:t xml:space="preserve">Chambers, D., Preston, L., Clowes, M., Cantrell, A.J. and Goyder, E.C. (2024) ‘Pharmacist-led primary care interventions to promote medicines optimisation and reduce overprescribing: a systematic review of UK studies and initiatives’, </w:t>
      </w:r>
      <w:r>
        <w:rPr>
          <w:i/>
          <w:iCs/>
        </w:rPr>
        <w:t>BMJ Open</w:t>
      </w:r>
      <w:r>
        <w:t>, 14, e081934. doi: 10.1136/bmjopen-2023-081934</w:t>
      </w:r>
    </w:p>
    <w:p w14:paraId="2B716F91" w14:textId="77777777" w:rsidR="00761001" w:rsidRDefault="00761001">
      <w:pPr>
        <w:spacing w:after="160"/>
      </w:pPr>
      <w:r>
        <w:t xml:space="preserve">Needham, C., Allen, K., Hall, K., McKay, S. and Glasby, J. (2021) ‘How do you shape a market? Explaining local state practices in adult social care’, </w:t>
      </w:r>
      <w:r>
        <w:rPr>
          <w:i/>
          <w:iCs/>
        </w:rPr>
        <w:t>Journal of Social Policy</w:t>
      </w:r>
      <w:r>
        <w:t>, 50(3), pp. 494–511. doi: 10.1017/S0047279420000059</w:t>
      </w:r>
    </w:p>
    <w:p w14:paraId="39D1CDAB" w14:textId="77777777" w:rsidR="00761001" w:rsidRDefault="00761001">
      <w:pPr>
        <w:spacing w:after="160"/>
      </w:pPr>
      <w:r>
        <w:t xml:space="preserve">NHS England (2024) </w:t>
      </w:r>
      <w:r>
        <w:rPr>
          <w:i/>
          <w:iCs/>
        </w:rPr>
        <w:t>Launch of NHS Pharmacy First advanced service</w:t>
      </w:r>
      <w:r>
        <w:t>. Available at: https://www.england.nhs.uk/long-read/launch-of-nhs-pharmacy-first-advanced-service (Accessed: 23 September 2026).</w:t>
      </w:r>
    </w:p>
    <w:p w14:paraId="40CBDCBF" w14:textId="77777777" w:rsidR="00761001" w:rsidRDefault="00761001">
      <w:pPr>
        <w:spacing w:after="160"/>
      </w:pPr>
      <w:r>
        <w:t xml:space="preserve">NHS England (2024) </w:t>
      </w:r>
      <w:r>
        <w:rPr>
          <w:i/>
          <w:iCs/>
        </w:rPr>
        <w:t>Pharmacy First</w:t>
      </w:r>
      <w:r>
        <w:t>. Available at: https://www.england.nhs.uk/primary-care/pharmacy/pharmacy-services/pharmacy-first (Accessed: 23 September 2026)</w:t>
      </w:r>
    </w:p>
    <w:p w14:paraId="67E04F6B" w14:textId="77777777" w:rsidR="00761001" w:rsidRDefault="00761001">
      <w:pPr>
        <w:spacing w:after="160"/>
      </w:pPr>
      <w:r>
        <w:t xml:space="preserve">Skills for Care (2025) </w:t>
      </w:r>
      <w:r>
        <w:rPr>
          <w:i/>
          <w:iCs/>
        </w:rPr>
        <w:t>The state of the adult social care sector and workforce in England, 2025</w:t>
      </w:r>
      <w:r>
        <w:t>. Leeds: Skills for Care. Available at:</w:t>
      </w:r>
      <w:hyperlink r:id="rId17">
        <w:r>
          <w:t xml:space="preserve"> </w:t>
        </w:r>
      </w:hyperlink>
      <w:hyperlink r:id="rId18">
        <w:r>
          <w:rPr>
            <w:color w:val="1155CC"/>
            <w:u w:val="single"/>
          </w:rPr>
          <w:t>https://www.skillsforcare.org.uk/Adult-Social-Care-Workforce-Data/workforceintelligence/resources/Reports/National/The-state-of-the-adult-social-care-sector-and-workforce-in-England-2025.pdf</w:t>
        </w:r>
      </w:hyperlink>
      <w:r>
        <w:t xml:space="preserve"> (Accessed: 22 September 2026).</w:t>
      </w:r>
    </w:p>
    <w:p w14:paraId="2353B961" w14:textId="77777777" w:rsidR="00947AA6" w:rsidRDefault="00947AA6"/>
    <w:sectPr w:rsidR="00947AA6" w:rsidSect="00187118">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BB95E" w14:textId="77777777" w:rsidR="00D71D37" w:rsidRDefault="00D71D37" w:rsidP="00187118">
      <w:pPr>
        <w:spacing w:line="240" w:lineRule="auto"/>
      </w:pPr>
      <w:r>
        <w:separator/>
      </w:r>
    </w:p>
  </w:endnote>
  <w:endnote w:type="continuationSeparator" w:id="0">
    <w:p w14:paraId="5B18F922" w14:textId="77777777" w:rsidR="00D71D37" w:rsidRDefault="00D71D37" w:rsidP="001871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0A321C-4AAF-4D82-AD7F-8B2995EC7E89}"/>
  </w:font>
  <w:font w:name="Mangal">
    <w:panose1 w:val="00000400000000000000"/>
    <w:charset w:val="00"/>
    <w:family w:val="roman"/>
    <w:pitch w:val="variable"/>
    <w:sig w:usb0="00008003" w:usb1="00000000" w:usb2="00000000" w:usb3="00000000" w:csb0="00000001" w:csb1="00000000"/>
    <w:embedRegular r:id="rId2" w:fontKey="{B2A29F7F-5308-4A7F-8FD4-EA50A3103225}"/>
  </w:font>
  <w:font w:name="Cambria">
    <w:panose1 w:val="02040503050406030204"/>
    <w:charset w:val="00"/>
    <w:family w:val="roman"/>
    <w:pitch w:val="variable"/>
    <w:sig w:usb0="E00006FF" w:usb1="420024FF" w:usb2="02000000" w:usb3="00000000" w:csb0="0000019F" w:csb1="00000000"/>
    <w:embedRegular r:id="rId3" w:fontKey="{5847E524-137D-46EE-9130-3314CD9B08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137400"/>
      <w:docPartObj>
        <w:docPartGallery w:val="Page Numbers (Bottom of Page)"/>
        <w:docPartUnique/>
      </w:docPartObj>
    </w:sdtPr>
    <w:sdtEndPr>
      <w:rPr>
        <w:noProof/>
      </w:rPr>
    </w:sdtEndPr>
    <w:sdtContent>
      <w:p w14:paraId="1290F369" w14:textId="77777777" w:rsidR="00187118" w:rsidRDefault="00187118">
        <w:pPr>
          <w:pStyle w:val="Footer"/>
          <w:jc w:val="right"/>
        </w:pPr>
        <w:r>
          <w:fldChar w:fldCharType="begin"/>
        </w:r>
        <w:r>
          <w:instrText xml:space="preserve"> PAGE   \* MERGEFORMAT </w:instrText>
        </w:r>
        <w:r>
          <w:fldChar w:fldCharType="separate"/>
        </w:r>
        <w:r w:rsidR="009E6872">
          <w:rPr>
            <w:noProof/>
          </w:rPr>
          <w:t>6</w:t>
        </w:r>
        <w:r>
          <w:rPr>
            <w:noProof/>
          </w:rPr>
          <w:fldChar w:fldCharType="end"/>
        </w:r>
      </w:p>
    </w:sdtContent>
  </w:sdt>
  <w:p w14:paraId="5DD6CBC0" w14:textId="77777777" w:rsidR="00187118" w:rsidRDefault="00187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F72D5" w14:textId="77777777" w:rsidR="00D71D37" w:rsidRDefault="00D71D37" w:rsidP="00187118">
      <w:pPr>
        <w:spacing w:line="240" w:lineRule="auto"/>
      </w:pPr>
      <w:r>
        <w:separator/>
      </w:r>
    </w:p>
  </w:footnote>
  <w:footnote w:type="continuationSeparator" w:id="0">
    <w:p w14:paraId="09027997" w14:textId="77777777" w:rsidR="00D71D37" w:rsidRDefault="00D71D37" w:rsidP="001871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AA6"/>
    <w:rsid w:val="00187118"/>
    <w:rsid w:val="0023470E"/>
    <w:rsid w:val="00425B26"/>
    <w:rsid w:val="004264AA"/>
    <w:rsid w:val="006B7075"/>
    <w:rsid w:val="006E6EB0"/>
    <w:rsid w:val="007170B5"/>
    <w:rsid w:val="00761001"/>
    <w:rsid w:val="00900EDC"/>
    <w:rsid w:val="009472E7"/>
    <w:rsid w:val="00947AA6"/>
    <w:rsid w:val="0097291F"/>
    <w:rsid w:val="009E6872"/>
    <w:rsid w:val="009F6EE5"/>
    <w:rsid w:val="00A76BA2"/>
    <w:rsid w:val="00B36012"/>
    <w:rsid w:val="00B804A0"/>
    <w:rsid w:val="00BF1163"/>
    <w:rsid w:val="00C9195A"/>
    <w:rsid w:val="00D71D37"/>
    <w:rsid w:val="00D76C96"/>
    <w:rsid w:val="00DF1166"/>
    <w:rsid w:val="00F95D3E"/>
    <w:rsid w:val="00FD2C6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B954"/>
  <w15:docId w15:val="{CF93DEE0-A746-439D-8700-411FE819E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87118"/>
    <w:pPr>
      <w:tabs>
        <w:tab w:val="center" w:pos="4513"/>
        <w:tab w:val="right" w:pos="9026"/>
      </w:tabs>
      <w:spacing w:line="240" w:lineRule="auto"/>
    </w:pPr>
  </w:style>
  <w:style w:type="character" w:customStyle="1" w:styleId="HeaderChar">
    <w:name w:val="Header Char"/>
    <w:basedOn w:val="DefaultParagraphFont"/>
    <w:link w:val="Header"/>
    <w:uiPriority w:val="99"/>
    <w:rsid w:val="00187118"/>
  </w:style>
  <w:style w:type="paragraph" w:styleId="Footer">
    <w:name w:val="footer"/>
    <w:basedOn w:val="Normal"/>
    <w:link w:val="FooterChar"/>
    <w:uiPriority w:val="99"/>
    <w:unhideWhenUsed/>
    <w:rsid w:val="00187118"/>
    <w:pPr>
      <w:tabs>
        <w:tab w:val="center" w:pos="4513"/>
        <w:tab w:val="right" w:pos="9026"/>
      </w:tabs>
      <w:spacing w:line="240" w:lineRule="auto"/>
    </w:pPr>
  </w:style>
  <w:style w:type="character" w:customStyle="1" w:styleId="FooterChar">
    <w:name w:val="Footer Char"/>
    <w:basedOn w:val="DefaultParagraphFont"/>
    <w:link w:val="Footer"/>
    <w:uiPriority w:val="99"/>
    <w:rsid w:val="00187118"/>
  </w:style>
  <w:style w:type="character" w:styleId="Hyperlink">
    <w:name w:val="Hyperlink"/>
    <w:basedOn w:val="DefaultParagraphFont"/>
    <w:uiPriority w:val="99"/>
    <w:unhideWhenUsed/>
    <w:rsid w:val="00761001"/>
    <w:rPr>
      <w:color w:val="0000FF" w:themeColor="hyperlink"/>
      <w:u w:val="single"/>
    </w:rPr>
  </w:style>
  <w:style w:type="character" w:customStyle="1" w:styleId="UnresolvedMention1">
    <w:name w:val="Unresolved Mention1"/>
    <w:basedOn w:val="DefaultParagraphFont"/>
    <w:uiPriority w:val="99"/>
    <w:semiHidden/>
    <w:unhideWhenUsed/>
    <w:rsid w:val="00761001"/>
    <w:rPr>
      <w:color w:val="605E5C"/>
      <w:shd w:val="clear" w:color="auto" w:fill="E1DFDD"/>
    </w:rPr>
  </w:style>
  <w:style w:type="character" w:customStyle="1" w:styleId="selectable-text">
    <w:name w:val="selectable-text"/>
    <w:basedOn w:val="DefaultParagraphFont"/>
    <w:rsid w:val="00900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england.nhs.uk" TargetMode="External"/><Relationship Id="rId18" Type="http://schemas.openxmlformats.org/officeDocument/2006/relationships/hyperlink" Target="https://www.skillsforcare.org.uk/Adult-Social-Care-Workforce-Data/workforceintelligence/resources/Reports/National/The-state-of-the-adult-social-care-sector-and-workforce-in-England-2025.pdf?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england.nhs.uk" TargetMode="External"/><Relationship Id="rId17" Type="http://schemas.openxmlformats.org/officeDocument/2006/relationships/hyperlink" Target="https://www.skillsforcare.org.uk/Adult-Social-Care-Workforce-Data/workforceintelligence/resources/Reports/National/The-state-of-the-adult-social-care-sector-and-workforce-in-England-2025.pdf?utm_source=chatgpt.com" TargetMode="External"/><Relationship Id="rId2" Type="http://schemas.openxmlformats.org/officeDocument/2006/relationships/styles" Target="styles.xml"/><Relationship Id="rId16" Type="http://schemas.openxmlformats.org/officeDocument/2006/relationships/hyperlink" Target="https://www.cqc.org.uk/publications/major-report/state-care/2023-2024?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qc.org.uk" TargetMode="External"/><Relationship Id="rId5" Type="http://schemas.openxmlformats.org/officeDocument/2006/relationships/footnotes" Target="footnotes.xml"/><Relationship Id="rId15" Type="http://schemas.openxmlformats.org/officeDocument/2006/relationships/hyperlink" Target="https://www.cqc.org.uk/publications/major-report/state-care/2023-2024?utm_source=chatgpt.com" TargetMode="External"/><Relationship Id="rId10" Type="http://schemas.openxmlformats.org/officeDocument/2006/relationships/hyperlink" Target="http://skillsforcare.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qc.org.uk" TargetMode="External"/><Relationship Id="rId14" Type="http://schemas.openxmlformats.org/officeDocument/2006/relationships/hyperlink" Target="http://england.nhs.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85DE3-FA8D-4310-93E5-8BD1F82D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1991</Words>
  <Characters>11350</Characters>
  <Application>Microsoft Office Word</Application>
  <DocSecurity>0</DocSecurity>
  <Lines>94</Lines>
  <Paragraphs>26</Paragraphs>
  <ScaleCrop>false</ScaleCrop>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Shuja</dc:creator>
  <cp:lastModifiedBy>Nadia Shuja (2536893)</cp:lastModifiedBy>
  <cp:revision>2</cp:revision>
  <dcterms:created xsi:type="dcterms:W3CDTF">2026-10-07T15:01:00Z</dcterms:created>
  <dcterms:modified xsi:type="dcterms:W3CDTF">2026-10-07T15:03:00Z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43d929a6-064c-49a4-aeb3-a6a72653a62b</vt:lpwstr>
  </property>
</Properties>
</file>