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39D0E" w14:textId="109CC2D9" w:rsidR="00FD1E4F" w:rsidRPr="00FD1E4F" w:rsidRDefault="00A95D61" w:rsidP="00A95D61">
      <w:pPr>
        <w:spacing w:line="259" w:lineRule="auto"/>
        <w:jc w:val="left"/>
        <w:rPr>
          <w:rFonts w:ascii="Arial" w:hAnsi="Arial" w:cs="Arial"/>
          <w:b/>
          <w:sz w:val="22"/>
        </w:rPr>
      </w:pPr>
      <w:r>
        <w:rPr>
          <w:rFonts w:ascii="Arial" w:hAnsi="Arial" w:cs="Arial"/>
          <w:b/>
          <w:noProof/>
          <w:sz w:val="22"/>
          <w14:ligatures w14:val="standardContextual"/>
        </w:rPr>
        <w:drawing>
          <wp:inline distT="0" distB="0" distL="0" distR="0" wp14:anchorId="68EBAD23" wp14:editId="576AF5E0">
            <wp:extent cx="2811780" cy="932574"/>
            <wp:effectExtent l="0" t="0" r="7620" b="1270"/>
            <wp:docPr id="158637632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376320"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24047" cy="936643"/>
                    </a:xfrm>
                    <a:prstGeom prst="rect">
                      <a:avLst/>
                    </a:prstGeom>
                  </pic:spPr>
                </pic:pic>
              </a:graphicData>
            </a:graphic>
          </wp:inline>
        </w:drawing>
      </w:r>
    </w:p>
    <w:p w14:paraId="7D7CE345" w14:textId="77777777" w:rsidR="00FD1E4F" w:rsidRPr="00FD1E4F" w:rsidRDefault="00FD1E4F" w:rsidP="00FD1E4F">
      <w:pPr>
        <w:spacing w:line="259" w:lineRule="auto"/>
        <w:jc w:val="center"/>
        <w:rPr>
          <w:rFonts w:ascii="Arial" w:hAnsi="Arial" w:cs="Arial"/>
          <w:b/>
          <w:sz w:val="22"/>
        </w:rPr>
      </w:pPr>
    </w:p>
    <w:p w14:paraId="3B27CF51" w14:textId="77777777" w:rsidR="00FD1E4F" w:rsidRPr="00FD1E4F" w:rsidRDefault="00FD1E4F" w:rsidP="00FD1E4F">
      <w:pPr>
        <w:spacing w:line="259" w:lineRule="auto"/>
        <w:jc w:val="center"/>
        <w:rPr>
          <w:rFonts w:ascii="Arial" w:hAnsi="Arial" w:cs="Arial"/>
          <w:b/>
          <w:sz w:val="22"/>
        </w:rPr>
      </w:pPr>
    </w:p>
    <w:p w14:paraId="01493D02" w14:textId="77777777" w:rsidR="00FD1E4F" w:rsidRPr="00FD1E4F" w:rsidRDefault="00FD1E4F" w:rsidP="00FD1E4F">
      <w:pPr>
        <w:spacing w:line="259" w:lineRule="auto"/>
        <w:jc w:val="center"/>
        <w:rPr>
          <w:rFonts w:ascii="Arial" w:hAnsi="Arial" w:cs="Arial"/>
          <w:b/>
          <w:sz w:val="22"/>
        </w:rPr>
      </w:pPr>
    </w:p>
    <w:p w14:paraId="71B61C63" w14:textId="77777777" w:rsidR="00FD1E4F" w:rsidRPr="00FD1E4F" w:rsidRDefault="00FD1E4F" w:rsidP="00FD1E4F">
      <w:pPr>
        <w:spacing w:line="259" w:lineRule="auto"/>
        <w:jc w:val="center"/>
        <w:rPr>
          <w:rFonts w:ascii="Arial" w:hAnsi="Arial" w:cs="Arial"/>
          <w:b/>
          <w:sz w:val="22"/>
        </w:rPr>
      </w:pPr>
    </w:p>
    <w:p w14:paraId="726BF7AD" w14:textId="77777777" w:rsidR="00FD1E4F" w:rsidRPr="00FD1E4F" w:rsidRDefault="00FD1E4F" w:rsidP="00FD1E4F">
      <w:pPr>
        <w:spacing w:line="259" w:lineRule="auto"/>
        <w:jc w:val="center"/>
        <w:rPr>
          <w:rFonts w:ascii="Arial" w:hAnsi="Arial" w:cs="Arial"/>
          <w:b/>
          <w:sz w:val="22"/>
        </w:rPr>
      </w:pPr>
    </w:p>
    <w:p w14:paraId="449D62F6" w14:textId="77777777" w:rsidR="00FD1E4F" w:rsidRPr="00434D22" w:rsidRDefault="00FD1E4F" w:rsidP="00FD1E4F">
      <w:pPr>
        <w:spacing w:line="360" w:lineRule="auto"/>
        <w:jc w:val="center"/>
        <w:rPr>
          <w:rFonts w:ascii="Arial" w:hAnsi="Arial" w:cs="Arial"/>
          <w:b/>
          <w:bCs/>
          <w:sz w:val="40"/>
          <w:szCs w:val="40"/>
        </w:rPr>
      </w:pPr>
      <w:r w:rsidRPr="00434D22">
        <w:rPr>
          <w:rFonts w:ascii="Arial" w:hAnsi="Arial" w:cs="Arial"/>
          <w:b/>
          <w:bCs/>
          <w:sz w:val="40"/>
          <w:szCs w:val="40"/>
        </w:rPr>
        <w:t>BA BUSINESS MANAGEMENT</w:t>
      </w:r>
    </w:p>
    <w:p w14:paraId="64EA528E" w14:textId="77777777" w:rsidR="00FD1E4F" w:rsidRPr="00434D22" w:rsidRDefault="00FD1E4F" w:rsidP="00FD1E4F">
      <w:pPr>
        <w:spacing w:line="259" w:lineRule="auto"/>
        <w:jc w:val="center"/>
        <w:rPr>
          <w:rFonts w:ascii="Arial" w:hAnsi="Arial" w:cs="Arial"/>
          <w:b/>
          <w:sz w:val="40"/>
          <w:szCs w:val="40"/>
        </w:rPr>
      </w:pPr>
      <w:r w:rsidRPr="00434D22">
        <w:rPr>
          <w:rFonts w:ascii="Arial" w:hAnsi="Arial" w:cs="Arial"/>
          <w:b/>
          <w:sz w:val="40"/>
          <w:szCs w:val="40"/>
        </w:rPr>
        <w:t>Accounting Fundamentals</w:t>
      </w:r>
    </w:p>
    <w:p w14:paraId="0C6DED9A" w14:textId="77777777" w:rsidR="00FD1E4F" w:rsidRPr="00434D22" w:rsidRDefault="00FD1E4F" w:rsidP="00FD1E4F">
      <w:pPr>
        <w:spacing w:line="259" w:lineRule="auto"/>
        <w:jc w:val="center"/>
        <w:rPr>
          <w:rFonts w:ascii="Arial" w:hAnsi="Arial" w:cs="Arial"/>
          <w:b/>
          <w:sz w:val="40"/>
          <w:szCs w:val="40"/>
        </w:rPr>
      </w:pPr>
      <w:r w:rsidRPr="00434D22">
        <w:rPr>
          <w:rFonts w:ascii="Arial" w:hAnsi="Arial" w:cs="Arial"/>
          <w:sz w:val="40"/>
          <w:szCs w:val="40"/>
        </w:rPr>
        <w:t>Assignment- A1</w:t>
      </w:r>
    </w:p>
    <w:p w14:paraId="7040E284" w14:textId="77777777" w:rsidR="00FD1E4F" w:rsidRDefault="00FD1E4F" w:rsidP="00FD1E4F">
      <w:pPr>
        <w:spacing w:line="259" w:lineRule="auto"/>
        <w:jc w:val="center"/>
        <w:rPr>
          <w:b/>
          <w:sz w:val="52"/>
        </w:rPr>
      </w:pPr>
    </w:p>
    <w:p w14:paraId="043EDD4A" w14:textId="77777777" w:rsidR="00FD1E4F" w:rsidRDefault="00FD1E4F" w:rsidP="00FD1E4F">
      <w:pPr>
        <w:spacing w:line="259" w:lineRule="auto"/>
        <w:jc w:val="center"/>
        <w:rPr>
          <w:b/>
          <w:sz w:val="52"/>
        </w:rPr>
      </w:pPr>
    </w:p>
    <w:p w14:paraId="7ABC12C2" w14:textId="77777777" w:rsidR="00FD1E4F" w:rsidRDefault="00FD1E4F" w:rsidP="00FD1E4F">
      <w:pPr>
        <w:spacing w:line="259" w:lineRule="auto"/>
        <w:jc w:val="center"/>
        <w:rPr>
          <w:b/>
          <w:sz w:val="52"/>
        </w:rPr>
      </w:pPr>
    </w:p>
    <w:p w14:paraId="1C288321" w14:textId="77777777" w:rsidR="00FD1E4F" w:rsidRDefault="00FD1E4F" w:rsidP="00FD1E4F">
      <w:pPr>
        <w:spacing w:line="259" w:lineRule="auto"/>
        <w:rPr>
          <w:b/>
          <w:sz w:val="52"/>
        </w:rPr>
      </w:pPr>
    </w:p>
    <w:p w14:paraId="593B5D22" w14:textId="77777777" w:rsidR="00FD1E4F" w:rsidRPr="00434D22" w:rsidRDefault="00FD1E4F" w:rsidP="00FD1E4F">
      <w:pPr>
        <w:spacing w:line="259" w:lineRule="auto"/>
        <w:jc w:val="left"/>
        <w:rPr>
          <w:rFonts w:ascii="Arial" w:hAnsi="Arial" w:cs="Arial"/>
          <w:bCs/>
          <w:sz w:val="22"/>
        </w:rPr>
      </w:pPr>
      <w:r w:rsidRPr="00434D22">
        <w:rPr>
          <w:rFonts w:ascii="Arial" w:hAnsi="Arial" w:cs="Arial"/>
          <w:bCs/>
          <w:sz w:val="22"/>
        </w:rPr>
        <w:t>Module:</w:t>
      </w:r>
      <w:r w:rsidRPr="00434D22">
        <w:t xml:space="preserve"> </w:t>
      </w:r>
      <w:r w:rsidRPr="00434D22">
        <w:rPr>
          <w:rFonts w:ascii="Arial" w:hAnsi="Arial" w:cs="Arial"/>
          <w:sz w:val="22"/>
        </w:rPr>
        <w:t>Accounting Fundamentals</w:t>
      </w:r>
    </w:p>
    <w:p w14:paraId="5570BA84" w14:textId="77777777" w:rsidR="00FD1E4F" w:rsidRPr="00434D22" w:rsidRDefault="00FD1E4F" w:rsidP="00FD1E4F">
      <w:pPr>
        <w:spacing w:after="120" w:line="240" w:lineRule="auto"/>
        <w:rPr>
          <w:rFonts w:ascii="Arial" w:hAnsi="Arial" w:cs="Arial"/>
          <w:bCs/>
          <w:sz w:val="22"/>
        </w:rPr>
      </w:pPr>
      <w:r w:rsidRPr="00434D22">
        <w:rPr>
          <w:rFonts w:ascii="Arial" w:hAnsi="Arial" w:cs="Arial"/>
          <w:bCs/>
          <w:sz w:val="22"/>
        </w:rPr>
        <w:t>Code: LCBB4001</w:t>
      </w:r>
    </w:p>
    <w:p w14:paraId="60B039A3" w14:textId="77777777" w:rsidR="00FD1E4F" w:rsidRPr="00434D22" w:rsidRDefault="00FD1E4F" w:rsidP="00FD1E4F">
      <w:pPr>
        <w:spacing w:after="120" w:line="240" w:lineRule="auto"/>
        <w:rPr>
          <w:rFonts w:ascii="Arial" w:hAnsi="Arial" w:cs="Arial"/>
          <w:bCs/>
          <w:sz w:val="22"/>
        </w:rPr>
      </w:pPr>
      <w:r w:rsidRPr="00434D22">
        <w:rPr>
          <w:rFonts w:ascii="Arial" w:hAnsi="Arial" w:cs="Arial"/>
          <w:bCs/>
          <w:sz w:val="22"/>
        </w:rPr>
        <w:t xml:space="preserve">Lecturer: </w:t>
      </w:r>
      <w:proofErr w:type="spellStart"/>
      <w:r w:rsidRPr="00434D22">
        <w:rPr>
          <w:rFonts w:ascii="Arial" w:hAnsi="Arial" w:cs="Arial"/>
          <w:bCs/>
          <w:sz w:val="22"/>
        </w:rPr>
        <w:t>Dr.</w:t>
      </w:r>
      <w:proofErr w:type="spellEnd"/>
      <w:r w:rsidRPr="00434D22">
        <w:rPr>
          <w:rFonts w:ascii="Arial" w:hAnsi="Arial" w:cs="Arial"/>
          <w:bCs/>
          <w:sz w:val="22"/>
        </w:rPr>
        <w:t xml:space="preserve"> </w:t>
      </w:r>
      <w:r w:rsidRPr="00434D22">
        <w:rPr>
          <w:rFonts w:ascii="Arial" w:hAnsi="Arial" w:cs="Arial"/>
          <w:sz w:val="22"/>
        </w:rPr>
        <w:t>Thomas Adeyemi</w:t>
      </w:r>
    </w:p>
    <w:p w14:paraId="639FFA54" w14:textId="61AC0AA2" w:rsidR="00FD1E4F" w:rsidRPr="00434D22" w:rsidRDefault="00FD1E4F" w:rsidP="00FD1E4F">
      <w:pPr>
        <w:spacing w:after="120" w:line="240" w:lineRule="auto"/>
        <w:rPr>
          <w:rFonts w:ascii="Arial" w:hAnsi="Arial" w:cs="Arial"/>
          <w:bCs/>
          <w:sz w:val="22"/>
        </w:rPr>
      </w:pPr>
      <w:r w:rsidRPr="00434D22">
        <w:rPr>
          <w:rFonts w:ascii="Arial" w:hAnsi="Arial" w:cs="Arial"/>
          <w:bCs/>
          <w:sz w:val="22"/>
        </w:rPr>
        <w:t xml:space="preserve">Name: </w:t>
      </w:r>
      <w:r>
        <w:rPr>
          <w:rFonts w:ascii="Arial" w:hAnsi="Arial" w:cs="Arial"/>
          <w:bCs/>
          <w:sz w:val="22"/>
        </w:rPr>
        <w:t xml:space="preserve">Emanuel Georgian </w:t>
      </w:r>
      <w:proofErr w:type="spellStart"/>
      <w:r>
        <w:rPr>
          <w:rFonts w:ascii="Arial" w:hAnsi="Arial" w:cs="Arial"/>
          <w:bCs/>
          <w:sz w:val="22"/>
        </w:rPr>
        <w:t>Puiu</w:t>
      </w:r>
      <w:proofErr w:type="spellEnd"/>
    </w:p>
    <w:p w14:paraId="0B5359BC" w14:textId="4F03A7F0" w:rsidR="00FD1E4F" w:rsidRPr="00434D22" w:rsidRDefault="00FD1E4F" w:rsidP="00FD1E4F">
      <w:pPr>
        <w:spacing w:after="120" w:line="240" w:lineRule="auto"/>
        <w:rPr>
          <w:rFonts w:ascii="Arial" w:hAnsi="Arial" w:cs="Arial"/>
          <w:bCs/>
          <w:sz w:val="22"/>
        </w:rPr>
      </w:pPr>
      <w:r w:rsidRPr="00434D22">
        <w:rPr>
          <w:rFonts w:ascii="Arial" w:hAnsi="Arial" w:cs="Arial"/>
          <w:bCs/>
          <w:sz w:val="22"/>
        </w:rPr>
        <w:t xml:space="preserve">Student ID: </w:t>
      </w:r>
      <w:r>
        <w:rPr>
          <w:rFonts w:ascii="Arial" w:hAnsi="Arial" w:cs="Arial"/>
          <w:bCs/>
          <w:sz w:val="22"/>
        </w:rPr>
        <w:t>2130</w:t>
      </w:r>
      <w:r w:rsidR="00A95D61">
        <w:rPr>
          <w:rFonts w:ascii="Arial" w:hAnsi="Arial" w:cs="Arial"/>
          <w:bCs/>
          <w:sz w:val="22"/>
        </w:rPr>
        <w:t>778</w:t>
      </w:r>
    </w:p>
    <w:p w14:paraId="17A64662" w14:textId="77777777" w:rsidR="00FD1E4F" w:rsidRDefault="00FD1E4F" w:rsidP="00FD1E4F">
      <w:pPr>
        <w:spacing w:line="259" w:lineRule="auto"/>
        <w:jc w:val="left"/>
        <w:rPr>
          <w:b/>
          <w:sz w:val="52"/>
        </w:rPr>
      </w:pPr>
    </w:p>
    <w:p w14:paraId="128CA2FA" w14:textId="77777777" w:rsidR="00FD1E4F" w:rsidRPr="00FD1E4F" w:rsidRDefault="00FD1E4F" w:rsidP="00FD1E4F">
      <w:pPr>
        <w:spacing w:line="259" w:lineRule="auto"/>
        <w:jc w:val="left"/>
        <w:rPr>
          <w:rFonts w:ascii="Arial" w:hAnsi="Arial" w:cs="Arial"/>
          <w:b/>
          <w:sz w:val="22"/>
        </w:rPr>
      </w:pPr>
      <w:r w:rsidRPr="00FD1E4F">
        <w:rPr>
          <w:rFonts w:ascii="Arial" w:hAnsi="Arial" w:cs="Arial"/>
          <w:b/>
          <w:sz w:val="22"/>
        </w:rPr>
        <w:br w:type="page"/>
      </w:r>
    </w:p>
    <w:sdt>
      <w:sdtPr>
        <w:rPr>
          <w:rFonts w:ascii="Arial" w:eastAsiaTheme="minorHAnsi" w:hAnsi="Arial" w:cs="Arial"/>
          <w:color w:val="000000" w:themeColor="text1"/>
          <w:sz w:val="22"/>
          <w:szCs w:val="22"/>
          <w:lang w:val="en-GB"/>
        </w:rPr>
        <w:id w:val="694653357"/>
        <w:docPartObj>
          <w:docPartGallery w:val="Table of Contents"/>
          <w:docPartUnique/>
        </w:docPartObj>
      </w:sdtPr>
      <w:sdtEndPr>
        <w:rPr>
          <w:b/>
          <w:bCs/>
          <w:noProof/>
        </w:rPr>
      </w:sdtEndPr>
      <w:sdtContent>
        <w:p w14:paraId="3854FEFA" w14:textId="77777777" w:rsidR="00FD1E4F" w:rsidRDefault="00FD1E4F" w:rsidP="00FD1E4F">
          <w:pPr>
            <w:pStyle w:val="TOCHeading"/>
            <w:rPr>
              <w:rFonts w:ascii="Arial" w:hAnsi="Arial" w:cs="Arial"/>
              <w:color w:val="000000" w:themeColor="text1"/>
              <w:sz w:val="22"/>
              <w:szCs w:val="22"/>
            </w:rPr>
          </w:pPr>
          <w:r w:rsidRPr="006864EE">
            <w:rPr>
              <w:rFonts w:ascii="Arial" w:hAnsi="Arial" w:cs="Arial"/>
              <w:color w:val="000000" w:themeColor="text1"/>
              <w:sz w:val="22"/>
              <w:szCs w:val="22"/>
            </w:rPr>
            <w:t>Table of Contents</w:t>
          </w:r>
        </w:p>
        <w:p w14:paraId="76CCF381" w14:textId="77777777" w:rsidR="006864EE" w:rsidRPr="006864EE" w:rsidRDefault="006864EE" w:rsidP="006864EE">
          <w:pPr>
            <w:rPr>
              <w:lang w:val="en-US"/>
            </w:rPr>
          </w:pPr>
        </w:p>
        <w:p w14:paraId="2FC69277" w14:textId="77777777" w:rsidR="00FD1E4F" w:rsidRPr="00FD1E4F" w:rsidRDefault="00FD1E4F" w:rsidP="00FD1E4F">
          <w:pPr>
            <w:pStyle w:val="TOC1"/>
            <w:tabs>
              <w:tab w:val="right" w:leader="dot" w:pos="9350"/>
            </w:tabs>
            <w:rPr>
              <w:rFonts w:ascii="Arial" w:eastAsiaTheme="minorEastAsia" w:hAnsi="Arial" w:cs="Arial"/>
              <w:noProof/>
              <w:color w:val="auto"/>
              <w:sz w:val="22"/>
              <w:lang w:val="en-US"/>
            </w:rPr>
          </w:pPr>
          <w:r w:rsidRPr="00FD1E4F">
            <w:rPr>
              <w:rFonts w:ascii="Arial" w:hAnsi="Arial" w:cs="Arial"/>
              <w:sz w:val="22"/>
            </w:rPr>
            <w:fldChar w:fldCharType="begin"/>
          </w:r>
          <w:r w:rsidRPr="00FD1E4F">
            <w:rPr>
              <w:rFonts w:ascii="Arial" w:hAnsi="Arial" w:cs="Arial"/>
              <w:sz w:val="22"/>
            </w:rPr>
            <w:instrText xml:space="preserve"> TOC \o "1-3" \h \z \u </w:instrText>
          </w:r>
          <w:r w:rsidRPr="00FD1E4F">
            <w:rPr>
              <w:rFonts w:ascii="Arial" w:hAnsi="Arial" w:cs="Arial"/>
              <w:sz w:val="22"/>
            </w:rPr>
            <w:fldChar w:fldCharType="separate"/>
          </w:r>
          <w:hyperlink w:anchor="_Toc132636872" w:history="1">
            <w:r w:rsidRPr="00FD1E4F">
              <w:rPr>
                <w:rStyle w:val="Hyperlink"/>
                <w:rFonts w:ascii="Arial" w:hAnsi="Arial" w:cs="Arial"/>
                <w:noProof/>
                <w:sz w:val="22"/>
              </w:rPr>
              <w:t>Introduction</w:t>
            </w:r>
            <w:r w:rsidRPr="00FD1E4F">
              <w:rPr>
                <w:rFonts w:ascii="Arial" w:hAnsi="Arial" w:cs="Arial"/>
                <w:noProof/>
                <w:webHidden/>
                <w:sz w:val="22"/>
              </w:rPr>
              <w:tab/>
            </w:r>
            <w:r w:rsidRPr="00FD1E4F">
              <w:rPr>
                <w:rFonts w:ascii="Arial" w:hAnsi="Arial" w:cs="Arial"/>
                <w:noProof/>
                <w:webHidden/>
                <w:sz w:val="22"/>
              </w:rPr>
              <w:fldChar w:fldCharType="begin"/>
            </w:r>
            <w:r w:rsidRPr="00FD1E4F">
              <w:rPr>
                <w:rFonts w:ascii="Arial" w:hAnsi="Arial" w:cs="Arial"/>
                <w:noProof/>
                <w:webHidden/>
                <w:sz w:val="22"/>
              </w:rPr>
              <w:instrText xml:space="preserve"> PAGEREF _Toc132636872 \h </w:instrText>
            </w:r>
            <w:r w:rsidRPr="00FD1E4F">
              <w:rPr>
                <w:rFonts w:ascii="Arial" w:hAnsi="Arial" w:cs="Arial"/>
                <w:noProof/>
                <w:webHidden/>
                <w:sz w:val="22"/>
              </w:rPr>
            </w:r>
            <w:r w:rsidRPr="00FD1E4F">
              <w:rPr>
                <w:rFonts w:ascii="Arial" w:hAnsi="Arial" w:cs="Arial"/>
                <w:noProof/>
                <w:webHidden/>
                <w:sz w:val="22"/>
              </w:rPr>
              <w:fldChar w:fldCharType="separate"/>
            </w:r>
            <w:r w:rsidRPr="00FD1E4F">
              <w:rPr>
                <w:rFonts w:ascii="Arial" w:hAnsi="Arial" w:cs="Arial"/>
                <w:noProof/>
                <w:webHidden/>
                <w:sz w:val="22"/>
              </w:rPr>
              <w:t>3</w:t>
            </w:r>
            <w:r w:rsidRPr="00FD1E4F">
              <w:rPr>
                <w:rFonts w:ascii="Arial" w:hAnsi="Arial" w:cs="Arial"/>
                <w:noProof/>
                <w:webHidden/>
                <w:sz w:val="22"/>
              </w:rPr>
              <w:fldChar w:fldCharType="end"/>
            </w:r>
          </w:hyperlink>
        </w:p>
        <w:p w14:paraId="6FEDAA4E" w14:textId="77777777" w:rsidR="00FD1E4F" w:rsidRPr="00FD1E4F" w:rsidRDefault="00000000" w:rsidP="00FD1E4F">
          <w:pPr>
            <w:pStyle w:val="TOC1"/>
            <w:tabs>
              <w:tab w:val="right" w:leader="dot" w:pos="9350"/>
            </w:tabs>
            <w:rPr>
              <w:rFonts w:ascii="Arial" w:eastAsiaTheme="minorEastAsia" w:hAnsi="Arial" w:cs="Arial"/>
              <w:noProof/>
              <w:color w:val="auto"/>
              <w:sz w:val="22"/>
              <w:lang w:val="en-US"/>
            </w:rPr>
          </w:pPr>
          <w:hyperlink w:anchor="_Toc132636873" w:history="1">
            <w:r w:rsidR="00FD1E4F" w:rsidRPr="00FD1E4F">
              <w:rPr>
                <w:rStyle w:val="Hyperlink"/>
                <w:rFonts w:ascii="Arial" w:hAnsi="Arial" w:cs="Arial"/>
                <w:noProof/>
                <w:sz w:val="22"/>
              </w:rPr>
              <w:t>QUESTION ONE</w:t>
            </w:r>
            <w:r w:rsidR="00FD1E4F" w:rsidRPr="00FD1E4F">
              <w:rPr>
                <w:rFonts w:ascii="Arial" w:hAnsi="Arial" w:cs="Arial"/>
                <w:noProof/>
                <w:webHidden/>
                <w:sz w:val="22"/>
              </w:rPr>
              <w:tab/>
            </w:r>
            <w:r w:rsidR="00FD1E4F" w:rsidRPr="00FD1E4F">
              <w:rPr>
                <w:rFonts w:ascii="Arial" w:hAnsi="Arial" w:cs="Arial"/>
                <w:noProof/>
                <w:webHidden/>
                <w:sz w:val="22"/>
              </w:rPr>
              <w:fldChar w:fldCharType="begin"/>
            </w:r>
            <w:r w:rsidR="00FD1E4F" w:rsidRPr="00FD1E4F">
              <w:rPr>
                <w:rFonts w:ascii="Arial" w:hAnsi="Arial" w:cs="Arial"/>
                <w:noProof/>
                <w:webHidden/>
                <w:sz w:val="22"/>
              </w:rPr>
              <w:instrText xml:space="preserve"> PAGEREF _Toc132636873 \h </w:instrText>
            </w:r>
            <w:r w:rsidR="00FD1E4F" w:rsidRPr="00FD1E4F">
              <w:rPr>
                <w:rFonts w:ascii="Arial" w:hAnsi="Arial" w:cs="Arial"/>
                <w:noProof/>
                <w:webHidden/>
                <w:sz w:val="22"/>
              </w:rPr>
            </w:r>
            <w:r w:rsidR="00FD1E4F" w:rsidRPr="00FD1E4F">
              <w:rPr>
                <w:rFonts w:ascii="Arial" w:hAnsi="Arial" w:cs="Arial"/>
                <w:noProof/>
                <w:webHidden/>
                <w:sz w:val="22"/>
              </w:rPr>
              <w:fldChar w:fldCharType="separate"/>
            </w:r>
            <w:r w:rsidR="00FD1E4F" w:rsidRPr="00FD1E4F">
              <w:rPr>
                <w:rFonts w:ascii="Arial" w:hAnsi="Arial" w:cs="Arial"/>
                <w:noProof/>
                <w:webHidden/>
                <w:sz w:val="22"/>
              </w:rPr>
              <w:t>4</w:t>
            </w:r>
            <w:r w:rsidR="00FD1E4F" w:rsidRPr="00FD1E4F">
              <w:rPr>
                <w:rFonts w:ascii="Arial" w:hAnsi="Arial" w:cs="Arial"/>
                <w:noProof/>
                <w:webHidden/>
                <w:sz w:val="22"/>
              </w:rPr>
              <w:fldChar w:fldCharType="end"/>
            </w:r>
          </w:hyperlink>
        </w:p>
        <w:p w14:paraId="0BAB72B1" w14:textId="77777777" w:rsidR="00FD1E4F" w:rsidRPr="00FD1E4F" w:rsidRDefault="00000000" w:rsidP="00FD1E4F">
          <w:pPr>
            <w:pStyle w:val="TOC2"/>
            <w:tabs>
              <w:tab w:val="right" w:leader="dot" w:pos="9350"/>
            </w:tabs>
            <w:rPr>
              <w:rFonts w:ascii="Arial" w:eastAsiaTheme="minorEastAsia" w:hAnsi="Arial" w:cs="Arial"/>
              <w:noProof/>
              <w:color w:val="auto"/>
              <w:sz w:val="22"/>
              <w:lang w:val="en-US"/>
            </w:rPr>
          </w:pPr>
          <w:hyperlink w:anchor="_Toc132636874" w:history="1">
            <w:r w:rsidR="00FD1E4F" w:rsidRPr="00FD1E4F">
              <w:rPr>
                <w:rStyle w:val="Hyperlink"/>
                <w:rFonts w:ascii="Arial" w:hAnsi="Arial" w:cs="Arial"/>
                <w:noProof/>
                <w:sz w:val="22"/>
              </w:rPr>
              <w:t>I. Preparation of statement of income and balance sheet</w:t>
            </w:r>
            <w:r w:rsidR="00FD1E4F" w:rsidRPr="00FD1E4F">
              <w:rPr>
                <w:rFonts w:ascii="Arial" w:hAnsi="Arial" w:cs="Arial"/>
                <w:noProof/>
                <w:webHidden/>
                <w:sz w:val="22"/>
              </w:rPr>
              <w:tab/>
            </w:r>
            <w:r w:rsidR="00FD1E4F" w:rsidRPr="00FD1E4F">
              <w:rPr>
                <w:rFonts w:ascii="Arial" w:hAnsi="Arial" w:cs="Arial"/>
                <w:noProof/>
                <w:webHidden/>
                <w:sz w:val="22"/>
              </w:rPr>
              <w:fldChar w:fldCharType="begin"/>
            </w:r>
            <w:r w:rsidR="00FD1E4F" w:rsidRPr="00FD1E4F">
              <w:rPr>
                <w:rFonts w:ascii="Arial" w:hAnsi="Arial" w:cs="Arial"/>
                <w:noProof/>
                <w:webHidden/>
                <w:sz w:val="22"/>
              </w:rPr>
              <w:instrText xml:space="preserve"> PAGEREF _Toc132636874 \h </w:instrText>
            </w:r>
            <w:r w:rsidR="00FD1E4F" w:rsidRPr="00FD1E4F">
              <w:rPr>
                <w:rFonts w:ascii="Arial" w:hAnsi="Arial" w:cs="Arial"/>
                <w:noProof/>
                <w:webHidden/>
                <w:sz w:val="22"/>
              </w:rPr>
            </w:r>
            <w:r w:rsidR="00FD1E4F" w:rsidRPr="00FD1E4F">
              <w:rPr>
                <w:rFonts w:ascii="Arial" w:hAnsi="Arial" w:cs="Arial"/>
                <w:noProof/>
                <w:webHidden/>
                <w:sz w:val="22"/>
              </w:rPr>
              <w:fldChar w:fldCharType="separate"/>
            </w:r>
            <w:r w:rsidR="00FD1E4F" w:rsidRPr="00FD1E4F">
              <w:rPr>
                <w:rFonts w:ascii="Arial" w:hAnsi="Arial" w:cs="Arial"/>
                <w:noProof/>
                <w:webHidden/>
                <w:sz w:val="22"/>
              </w:rPr>
              <w:t>4</w:t>
            </w:r>
            <w:r w:rsidR="00FD1E4F" w:rsidRPr="00FD1E4F">
              <w:rPr>
                <w:rFonts w:ascii="Arial" w:hAnsi="Arial" w:cs="Arial"/>
                <w:noProof/>
                <w:webHidden/>
                <w:sz w:val="22"/>
              </w:rPr>
              <w:fldChar w:fldCharType="end"/>
            </w:r>
          </w:hyperlink>
        </w:p>
        <w:p w14:paraId="4B5BA99F" w14:textId="77777777" w:rsidR="00FD1E4F" w:rsidRPr="00FD1E4F" w:rsidRDefault="00000000" w:rsidP="00FD1E4F">
          <w:pPr>
            <w:pStyle w:val="TOC2"/>
            <w:tabs>
              <w:tab w:val="right" w:leader="dot" w:pos="9350"/>
            </w:tabs>
            <w:rPr>
              <w:rFonts w:ascii="Arial" w:eastAsiaTheme="minorEastAsia" w:hAnsi="Arial" w:cs="Arial"/>
              <w:noProof/>
              <w:color w:val="auto"/>
              <w:sz w:val="22"/>
              <w:lang w:val="en-US"/>
            </w:rPr>
          </w:pPr>
          <w:hyperlink w:anchor="_Toc132636875" w:history="1">
            <w:r w:rsidR="00FD1E4F" w:rsidRPr="00FD1E4F">
              <w:rPr>
                <w:rStyle w:val="Hyperlink"/>
                <w:rFonts w:ascii="Arial" w:hAnsi="Arial" w:cs="Arial"/>
                <w:noProof/>
                <w:sz w:val="22"/>
              </w:rPr>
              <w:t>II. Stating the reason for always balance of the report of the financial position</w:t>
            </w:r>
            <w:r w:rsidR="00FD1E4F" w:rsidRPr="00FD1E4F">
              <w:rPr>
                <w:rFonts w:ascii="Arial" w:hAnsi="Arial" w:cs="Arial"/>
                <w:noProof/>
                <w:webHidden/>
                <w:sz w:val="22"/>
              </w:rPr>
              <w:tab/>
            </w:r>
            <w:r w:rsidR="00FD1E4F" w:rsidRPr="00FD1E4F">
              <w:rPr>
                <w:rFonts w:ascii="Arial" w:hAnsi="Arial" w:cs="Arial"/>
                <w:noProof/>
                <w:webHidden/>
                <w:sz w:val="22"/>
              </w:rPr>
              <w:fldChar w:fldCharType="begin"/>
            </w:r>
            <w:r w:rsidR="00FD1E4F" w:rsidRPr="00FD1E4F">
              <w:rPr>
                <w:rFonts w:ascii="Arial" w:hAnsi="Arial" w:cs="Arial"/>
                <w:noProof/>
                <w:webHidden/>
                <w:sz w:val="22"/>
              </w:rPr>
              <w:instrText xml:space="preserve"> PAGEREF _Toc132636875 \h </w:instrText>
            </w:r>
            <w:r w:rsidR="00FD1E4F" w:rsidRPr="00FD1E4F">
              <w:rPr>
                <w:rFonts w:ascii="Arial" w:hAnsi="Arial" w:cs="Arial"/>
                <w:noProof/>
                <w:webHidden/>
                <w:sz w:val="22"/>
              </w:rPr>
            </w:r>
            <w:r w:rsidR="00FD1E4F" w:rsidRPr="00FD1E4F">
              <w:rPr>
                <w:rFonts w:ascii="Arial" w:hAnsi="Arial" w:cs="Arial"/>
                <w:noProof/>
                <w:webHidden/>
                <w:sz w:val="22"/>
              </w:rPr>
              <w:fldChar w:fldCharType="separate"/>
            </w:r>
            <w:r w:rsidR="00FD1E4F" w:rsidRPr="00FD1E4F">
              <w:rPr>
                <w:rFonts w:ascii="Arial" w:hAnsi="Arial" w:cs="Arial"/>
                <w:noProof/>
                <w:webHidden/>
                <w:sz w:val="22"/>
              </w:rPr>
              <w:t>7</w:t>
            </w:r>
            <w:r w:rsidR="00FD1E4F" w:rsidRPr="00FD1E4F">
              <w:rPr>
                <w:rFonts w:ascii="Arial" w:hAnsi="Arial" w:cs="Arial"/>
                <w:noProof/>
                <w:webHidden/>
                <w:sz w:val="22"/>
              </w:rPr>
              <w:fldChar w:fldCharType="end"/>
            </w:r>
          </w:hyperlink>
        </w:p>
        <w:p w14:paraId="168710E1" w14:textId="77777777" w:rsidR="00FD1E4F" w:rsidRPr="00FD1E4F" w:rsidRDefault="00000000" w:rsidP="00FD1E4F">
          <w:pPr>
            <w:pStyle w:val="TOC1"/>
            <w:tabs>
              <w:tab w:val="right" w:leader="dot" w:pos="9350"/>
            </w:tabs>
            <w:rPr>
              <w:rFonts w:ascii="Arial" w:eastAsiaTheme="minorEastAsia" w:hAnsi="Arial" w:cs="Arial"/>
              <w:noProof/>
              <w:color w:val="auto"/>
              <w:sz w:val="22"/>
              <w:lang w:val="en-US"/>
            </w:rPr>
          </w:pPr>
          <w:hyperlink w:anchor="_Toc132636876" w:history="1">
            <w:r w:rsidR="00FD1E4F" w:rsidRPr="00FD1E4F">
              <w:rPr>
                <w:rStyle w:val="Hyperlink"/>
                <w:rFonts w:ascii="Arial" w:hAnsi="Arial" w:cs="Arial"/>
                <w:noProof/>
                <w:sz w:val="22"/>
              </w:rPr>
              <w:t>QUESTION TWO</w:t>
            </w:r>
            <w:r w:rsidR="00FD1E4F" w:rsidRPr="00FD1E4F">
              <w:rPr>
                <w:rFonts w:ascii="Arial" w:hAnsi="Arial" w:cs="Arial"/>
                <w:noProof/>
                <w:webHidden/>
                <w:sz w:val="22"/>
              </w:rPr>
              <w:tab/>
            </w:r>
            <w:r w:rsidR="00FD1E4F" w:rsidRPr="00FD1E4F">
              <w:rPr>
                <w:rFonts w:ascii="Arial" w:hAnsi="Arial" w:cs="Arial"/>
                <w:noProof/>
                <w:webHidden/>
                <w:sz w:val="22"/>
              </w:rPr>
              <w:fldChar w:fldCharType="begin"/>
            </w:r>
            <w:r w:rsidR="00FD1E4F" w:rsidRPr="00FD1E4F">
              <w:rPr>
                <w:rFonts w:ascii="Arial" w:hAnsi="Arial" w:cs="Arial"/>
                <w:noProof/>
                <w:webHidden/>
                <w:sz w:val="22"/>
              </w:rPr>
              <w:instrText xml:space="preserve"> PAGEREF _Toc132636876 \h </w:instrText>
            </w:r>
            <w:r w:rsidR="00FD1E4F" w:rsidRPr="00FD1E4F">
              <w:rPr>
                <w:rFonts w:ascii="Arial" w:hAnsi="Arial" w:cs="Arial"/>
                <w:noProof/>
                <w:webHidden/>
                <w:sz w:val="22"/>
              </w:rPr>
            </w:r>
            <w:r w:rsidR="00FD1E4F" w:rsidRPr="00FD1E4F">
              <w:rPr>
                <w:rFonts w:ascii="Arial" w:hAnsi="Arial" w:cs="Arial"/>
                <w:noProof/>
                <w:webHidden/>
                <w:sz w:val="22"/>
              </w:rPr>
              <w:fldChar w:fldCharType="separate"/>
            </w:r>
            <w:r w:rsidR="00FD1E4F" w:rsidRPr="00FD1E4F">
              <w:rPr>
                <w:rFonts w:ascii="Arial" w:hAnsi="Arial" w:cs="Arial"/>
                <w:noProof/>
                <w:webHidden/>
                <w:sz w:val="22"/>
              </w:rPr>
              <w:t>8</w:t>
            </w:r>
            <w:r w:rsidR="00FD1E4F" w:rsidRPr="00FD1E4F">
              <w:rPr>
                <w:rFonts w:ascii="Arial" w:hAnsi="Arial" w:cs="Arial"/>
                <w:noProof/>
                <w:webHidden/>
                <w:sz w:val="22"/>
              </w:rPr>
              <w:fldChar w:fldCharType="end"/>
            </w:r>
          </w:hyperlink>
        </w:p>
        <w:p w14:paraId="569F5297" w14:textId="77777777" w:rsidR="00FD1E4F" w:rsidRPr="00FD1E4F" w:rsidRDefault="00000000" w:rsidP="00FD1E4F">
          <w:pPr>
            <w:pStyle w:val="TOC2"/>
            <w:tabs>
              <w:tab w:val="right" w:leader="dot" w:pos="9350"/>
            </w:tabs>
            <w:rPr>
              <w:rFonts w:ascii="Arial" w:eastAsiaTheme="minorEastAsia" w:hAnsi="Arial" w:cs="Arial"/>
              <w:noProof/>
              <w:color w:val="auto"/>
              <w:sz w:val="22"/>
              <w:lang w:val="en-US"/>
            </w:rPr>
          </w:pPr>
          <w:hyperlink w:anchor="_Toc132636877" w:history="1">
            <w:r w:rsidR="00FD1E4F" w:rsidRPr="00FD1E4F">
              <w:rPr>
                <w:rStyle w:val="Hyperlink"/>
                <w:rFonts w:ascii="Arial" w:hAnsi="Arial" w:cs="Arial"/>
                <w:noProof/>
                <w:sz w:val="22"/>
              </w:rPr>
              <w:t>I. Outlining Sweets Plc's accounting ratio estimates and interpretations for the fiscal years ending in 2021 and 2020.</w:t>
            </w:r>
            <w:r w:rsidR="00FD1E4F" w:rsidRPr="00FD1E4F">
              <w:rPr>
                <w:rFonts w:ascii="Arial" w:hAnsi="Arial" w:cs="Arial"/>
                <w:noProof/>
                <w:webHidden/>
                <w:sz w:val="22"/>
              </w:rPr>
              <w:tab/>
            </w:r>
            <w:r w:rsidR="00FD1E4F" w:rsidRPr="00FD1E4F">
              <w:rPr>
                <w:rFonts w:ascii="Arial" w:hAnsi="Arial" w:cs="Arial"/>
                <w:noProof/>
                <w:webHidden/>
                <w:sz w:val="22"/>
              </w:rPr>
              <w:fldChar w:fldCharType="begin"/>
            </w:r>
            <w:r w:rsidR="00FD1E4F" w:rsidRPr="00FD1E4F">
              <w:rPr>
                <w:rFonts w:ascii="Arial" w:hAnsi="Arial" w:cs="Arial"/>
                <w:noProof/>
                <w:webHidden/>
                <w:sz w:val="22"/>
              </w:rPr>
              <w:instrText xml:space="preserve"> PAGEREF _Toc132636877 \h </w:instrText>
            </w:r>
            <w:r w:rsidR="00FD1E4F" w:rsidRPr="00FD1E4F">
              <w:rPr>
                <w:rFonts w:ascii="Arial" w:hAnsi="Arial" w:cs="Arial"/>
                <w:noProof/>
                <w:webHidden/>
                <w:sz w:val="22"/>
              </w:rPr>
            </w:r>
            <w:r w:rsidR="00FD1E4F" w:rsidRPr="00FD1E4F">
              <w:rPr>
                <w:rFonts w:ascii="Arial" w:hAnsi="Arial" w:cs="Arial"/>
                <w:noProof/>
                <w:webHidden/>
                <w:sz w:val="22"/>
              </w:rPr>
              <w:fldChar w:fldCharType="separate"/>
            </w:r>
            <w:r w:rsidR="00FD1E4F" w:rsidRPr="00FD1E4F">
              <w:rPr>
                <w:rFonts w:ascii="Arial" w:hAnsi="Arial" w:cs="Arial"/>
                <w:noProof/>
                <w:webHidden/>
                <w:sz w:val="22"/>
              </w:rPr>
              <w:t>8</w:t>
            </w:r>
            <w:r w:rsidR="00FD1E4F" w:rsidRPr="00FD1E4F">
              <w:rPr>
                <w:rFonts w:ascii="Arial" w:hAnsi="Arial" w:cs="Arial"/>
                <w:noProof/>
                <w:webHidden/>
                <w:sz w:val="22"/>
              </w:rPr>
              <w:fldChar w:fldCharType="end"/>
            </w:r>
          </w:hyperlink>
        </w:p>
        <w:p w14:paraId="3930564E" w14:textId="06F3352F" w:rsidR="00FD1E4F" w:rsidRPr="00FD1E4F" w:rsidRDefault="00000000" w:rsidP="00FD1E4F">
          <w:pPr>
            <w:pStyle w:val="TOC2"/>
            <w:tabs>
              <w:tab w:val="right" w:leader="dot" w:pos="9350"/>
            </w:tabs>
            <w:rPr>
              <w:rFonts w:ascii="Arial" w:eastAsiaTheme="minorEastAsia" w:hAnsi="Arial" w:cs="Arial"/>
              <w:noProof/>
              <w:color w:val="auto"/>
              <w:sz w:val="22"/>
              <w:lang w:val="en-US"/>
            </w:rPr>
          </w:pPr>
          <w:hyperlink w:anchor="_Toc132636878" w:history="1">
            <w:r w:rsidR="00FD1E4F" w:rsidRPr="00FD1E4F">
              <w:rPr>
                <w:rStyle w:val="Hyperlink"/>
                <w:rFonts w:ascii="Arial" w:hAnsi="Arial" w:cs="Arial"/>
                <w:noProof/>
                <w:sz w:val="22"/>
              </w:rPr>
              <w:t>II. An evaluation of Sweets Plc's financial results</w:t>
            </w:r>
            <w:r w:rsidR="00FD1E4F" w:rsidRPr="00FD1E4F">
              <w:rPr>
                <w:rFonts w:ascii="Arial" w:hAnsi="Arial" w:cs="Arial"/>
                <w:noProof/>
                <w:webHidden/>
                <w:sz w:val="22"/>
              </w:rPr>
              <w:tab/>
            </w:r>
            <w:r w:rsidR="00FD1E4F">
              <w:rPr>
                <w:rFonts w:ascii="Arial" w:hAnsi="Arial" w:cs="Arial"/>
                <w:noProof/>
                <w:webHidden/>
                <w:sz w:val="22"/>
              </w:rPr>
              <w:t>14</w:t>
            </w:r>
          </w:hyperlink>
        </w:p>
        <w:p w14:paraId="0E6BB3F3" w14:textId="6D644CC0" w:rsidR="00FD1E4F" w:rsidRPr="00FD1E4F" w:rsidRDefault="00000000" w:rsidP="00FD1E4F">
          <w:pPr>
            <w:pStyle w:val="TOC1"/>
            <w:tabs>
              <w:tab w:val="right" w:leader="dot" w:pos="9350"/>
            </w:tabs>
            <w:rPr>
              <w:rFonts w:ascii="Arial" w:eastAsiaTheme="minorEastAsia" w:hAnsi="Arial" w:cs="Arial"/>
              <w:noProof/>
              <w:color w:val="auto"/>
              <w:sz w:val="22"/>
              <w:lang w:val="en-US"/>
            </w:rPr>
          </w:pPr>
          <w:hyperlink w:anchor="_Toc132636879" w:history="1">
            <w:r w:rsidR="00FD1E4F" w:rsidRPr="00FD1E4F">
              <w:rPr>
                <w:rStyle w:val="Hyperlink"/>
                <w:rFonts w:ascii="Arial" w:hAnsi="Arial" w:cs="Arial"/>
                <w:noProof/>
                <w:sz w:val="22"/>
              </w:rPr>
              <w:t>Conclusion</w:t>
            </w:r>
            <w:r w:rsidR="00FD1E4F" w:rsidRPr="00FD1E4F">
              <w:rPr>
                <w:rFonts w:ascii="Arial" w:hAnsi="Arial" w:cs="Arial"/>
                <w:noProof/>
                <w:webHidden/>
                <w:sz w:val="22"/>
              </w:rPr>
              <w:tab/>
            </w:r>
            <w:r w:rsidR="00FD1E4F">
              <w:rPr>
                <w:rFonts w:ascii="Arial" w:hAnsi="Arial" w:cs="Arial"/>
                <w:noProof/>
                <w:webHidden/>
                <w:sz w:val="22"/>
              </w:rPr>
              <w:t>15</w:t>
            </w:r>
          </w:hyperlink>
        </w:p>
        <w:p w14:paraId="54E31AF0" w14:textId="5DA6621F" w:rsidR="00FD1E4F" w:rsidRPr="00FD1E4F" w:rsidRDefault="00000000" w:rsidP="00FD1E4F">
          <w:pPr>
            <w:pStyle w:val="TOC1"/>
            <w:tabs>
              <w:tab w:val="right" w:leader="dot" w:pos="9350"/>
            </w:tabs>
            <w:rPr>
              <w:rFonts w:ascii="Arial" w:eastAsiaTheme="minorEastAsia" w:hAnsi="Arial" w:cs="Arial"/>
              <w:noProof/>
              <w:color w:val="auto"/>
              <w:sz w:val="22"/>
              <w:lang w:val="en-US"/>
            </w:rPr>
          </w:pPr>
          <w:hyperlink w:anchor="_Toc132636880" w:history="1">
            <w:r w:rsidR="00FD1E4F" w:rsidRPr="00FD1E4F">
              <w:rPr>
                <w:rStyle w:val="Hyperlink"/>
                <w:rFonts w:ascii="Arial" w:hAnsi="Arial" w:cs="Arial"/>
                <w:noProof/>
                <w:sz w:val="22"/>
              </w:rPr>
              <w:t>References</w:t>
            </w:r>
            <w:r w:rsidR="00FD1E4F" w:rsidRPr="00FD1E4F">
              <w:rPr>
                <w:rFonts w:ascii="Arial" w:hAnsi="Arial" w:cs="Arial"/>
                <w:noProof/>
                <w:webHidden/>
                <w:sz w:val="22"/>
              </w:rPr>
              <w:tab/>
            </w:r>
            <w:r w:rsidR="00FD1E4F">
              <w:rPr>
                <w:rFonts w:ascii="Arial" w:hAnsi="Arial" w:cs="Arial"/>
                <w:noProof/>
                <w:webHidden/>
                <w:sz w:val="22"/>
              </w:rPr>
              <w:t>16</w:t>
            </w:r>
          </w:hyperlink>
        </w:p>
        <w:p w14:paraId="278D42BB" w14:textId="77777777" w:rsidR="00FD1E4F" w:rsidRPr="00FD1E4F" w:rsidRDefault="00FD1E4F" w:rsidP="00FD1E4F">
          <w:pPr>
            <w:rPr>
              <w:rFonts w:ascii="Arial" w:hAnsi="Arial" w:cs="Arial"/>
              <w:sz w:val="22"/>
            </w:rPr>
          </w:pPr>
          <w:r w:rsidRPr="00FD1E4F">
            <w:rPr>
              <w:rFonts w:ascii="Arial" w:hAnsi="Arial" w:cs="Arial"/>
              <w:b/>
              <w:bCs/>
              <w:noProof/>
              <w:sz w:val="22"/>
            </w:rPr>
            <w:fldChar w:fldCharType="end"/>
          </w:r>
        </w:p>
      </w:sdtContent>
    </w:sdt>
    <w:p w14:paraId="7145B5BB" w14:textId="77777777" w:rsidR="00FD1E4F" w:rsidRPr="00FD1E4F" w:rsidRDefault="00FD1E4F" w:rsidP="00FD1E4F">
      <w:pPr>
        <w:spacing w:line="259" w:lineRule="auto"/>
        <w:jc w:val="center"/>
        <w:rPr>
          <w:rFonts w:ascii="Arial" w:hAnsi="Arial" w:cs="Arial"/>
          <w:b/>
          <w:sz w:val="22"/>
        </w:rPr>
      </w:pPr>
      <w:r w:rsidRPr="00FD1E4F">
        <w:rPr>
          <w:rFonts w:ascii="Arial" w:hAnsi="Arial" w:cs="Arial"/>
          <w:b/>
          <w:sz w:val="22"/>
        </w:rPr>
        <w:br w:type="page"/>
      </w:r>
    </w:p>
    <w:p w14:paraId="1A59B0CF" w14:textId="77777777" w:rsidR="00FD1E4F" w:rsidRPr="00FD1E4F" w:rsidRDefault="00FD1E4F" w:rsidP="00FD1E4F">
      <w:pPr>
        <w:pStyle w:val="Heading1"/>
        <w:spacing w:line="360" w:lineRule="auto"/>
        <w:ind w:firstLine="397"/>
        <w:rPr>
          <w:rFonts w:ascii="Arial" w:hAnsi="Arial" w:cs="Arial"/>
          <w:sz w:val="22"/>
          <w:szCs w:val="22"/>
        </w:rPr>
      </w:pPr>
      <w:bookmarkStart w:id="0" w:name="_Toc132636872"/>
      <w:r w:rsidRPr="00FD1E4F">
        <w:rPr>
          <w:rFonts w:ascii="Arial" w:hAnsi="Arial" w:cs="Arial"/>
          <w:sz w:val="22"/>
          <w:szCs w:val="22"/>
        </w:rPr>
        <w:lastRenderedPageBreak/>
        <w:t>Introduction</w:t>
      </w:r>
      <w:bookmarkEnd w:id="0"/>
    </w:p>
    <w:p w14:paraId="7DE0C1FF"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rPr>
        <w:t>Accounting is expressed as the method which is utilised for consolidating the monetary transactions of the business with the help of an approach which is systematic. It is essential for various legal causes, and taxation, as well as helpful in understanding the financial health of the business. In this study, various fundamentals of accounting will be utilised in the preparation of the several accounts of the firm. The income statement of Wales Plc. will be prepared for the year 2021 ending month December 31</w:t>
      </w:r>
      <w:r w:rsidRPr="00FD1E4F">
        <w:rPr>
          <w:rFonts w:ascii="Arial" w:hAnsi="Arial" w:cs="Arial"/>
          <w:sz w:val="22"/>
          <w:vertAlign w:val="superscript"/>
        </w:rPr>
        <w:t>st</w:t>
      </w:r>
      <w:r w:rsidRPr="00FD1E4F">
        <w:rPr>
          <w:rFonts w:ascii="Arial" w:hAnsi="Arial" w:cs="Arial"/>
          <w:sz w:val="22"/>
        </w:rPr>
        <w:t xml:space="preserve"> along with the concerned balance sheet. A comprehensive analysis of the balance of the financial statement will be highlighted. Furthermore, accounting ratios will be estimated and an appropriate explanation will be provided for a better understanding of the soundness of Sweets Plc.</w:t>
      </w:r>
    </w:p>
    <w:p w14:paraId="327F5ACF" w14:textId="77777777" w:rsidR="00FD1E4F" w:rsidRPr="00FD1E4F" w:rsidRDefault="00FD1E4F" w:rsidP="00FD1E4F">
      <w:pPr>
        <w:spacing w:line="360" w:lineRule="auto"/>
        <w:ind w:firstLine="397"/>
        <w:jc w:val="left"/>
        <w:rPr>
          <w:rFonts w:ascii="Arial" w:hAnsi="Arial" w:cs="Arial"/>
          <w:sz w:val="22"/>
        </w:rPr>
      </w:pPr>
      <w:r w:rsidRPr="00FD1E4F">
        <w:rPr>
          <w:rFonts w:ascii="Arial" w:hAnsi="Arial" w:cs="Arial"/>
          <w:sz w:val="22"/>
        </w:rPr>
        <w:br w:type="page"/>
      </w:r>
    </w:p>
    <w:p w14:paraId="5ACB84C0" w14:textId="77777777" w:rsidR="00FD1E4F" w:rsidRPr="00FD1E4F" w:rsidRDefault="00FD1E4F" w:rsidP="00FD1E4F">
      <w:pPr>
        <w:pStyle w:val="Heading1"/>
        <w:spacing w:line="360" w:lineRule="auto"/>
        <w:ind w:firstLine="397"/>
        <w:rPr>
          <w:rFonts w:ascii="Arial" w:hAnsi="Arial" w:cs="Arial"/>
          <w:sz w:val="22"/>
          <w:szCs w:val="22"/>
        </w:rPr>
      </w:pPr>
      <w:bookmarkStart w:id="1" w:name="_Toc132636873"/>
      <w:r w:rsidRPr="00FD1E4F">
        <w:rPr>
          <w:rFonts w:ascii="Arial" w:hAnsi="Arial" w:cs="Arial"/>
          <w:sz w:val="22"/>
          <w:szCs w:val="22"/>
        </w:rPr>
        <w:lastRenderedPageBreak/>
        <w:t>QUESTION ONE</w:t>
      </w:r>
      <w:bookmarkEnd w:id="1"/>
    </w:p>
    <w:p w14:paraId="4CB09383" w14:textId="77777777" w:rsidR="00FD1E4F" w:rsidRPr="00FD1E4F" w:rsidRDefault="00FD1E4F" w:rsidP="00FD1E4F">
      <w:pPr>
        <w:pStyle w:val="Heading2"/>
        <w:spacing w:line="360" w:lineRule="auto"/>
        <w:ind w:firstLine="397"/>
        <w:rPr>
          <w:rFonts w:ascii="Arial" w:hAnsi="Arial" w:cs="Arial"/>
          <w:sz w:val="22"/>
          <w:szCs w:val="22"/>
        </w:rPr>
      </w:pPr>
      <w:bookmarkStart w:id="2" w:name="_Toc132636874"/>
      <w:r w:rsidRPr="00FD1E4F">
        <w:rPr>
          <w:rFonts w:ascii="Arial" w:hAnsi="Arial" w:cs="Arial"/>
          <w:sz w:val="22"/>
          <w:szCs w:val="22"/>
        </w:rPr>
        <w:t>I. Preparation of statement of income and balance sheet</w:t>
      </w:r>
      <w:bookmarkEnd w:id="2"/>
      <w:r w:rsidRPr="00FD1E4F">
        <w:rPr>
          <w:rFonts w:ascii="Arial" w:hAnsi="Arial" w:cs="Arial"/>
          <w:sz w:val="22"/>
          <w:szCs w:val="22"/>
        </w:rPr>
        <w:t xml:space="preserve"> </w:t>
      </w:r>
    </w:p>
    <w:p w14:paraId="2D17F9A8" w14:textId="77777777" w:rsidR="00FD1E4F" w:rsidRPr="00FD1E4F" w:rsidRDefault="00FD1E4F" w:rsidP="00FD1E4F">
      <w:pPr>
        <w:spacing w:line="360" w:lineRule="auto"/>
        <w:ind w:firstLine="397"/>
        <w:rPr>
          <w:rFonts w:ascii="Arial" w:hAnsi="Arial" w:cs="Arial"/>
          <w:b/>
          <w:bCs/>
          <w:i/>
          <w:iCs/>
          <w:sz w:val="22"/>
          <w:u w:val="single"/>
        </w:rPr>
      </w:pPr>
      <w:r w:rsidRPr="00FD1E4F">
        <w:rPr>
          <w:rFonts w:ascii="Arial" w:hAnsi="Arial" w:cs="Arial"/>
          <w:b/>
          <w:bCs/>
          <w:i/>
          <w:iCs/>
          <w:sz w:val="22"/>
          <w:u w:val="single"/>
        </w:rPr>
        <w:t xml:space="preserve">Presentation of the meaning of the income statement </w:t>
      </w:r>
    </w:p>
    <w:p w14:paraId="0BD17F8C"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rPr>
        <w:t>The income statement, often referred to as the P/L statement, is an important financial record that sums up a company's sales, costs, and net income (or loss) during a given time period, usually a month, quarter, or year. It is a crucial instrument for assessing a business's financial performance and comprehending its profitability</w:t>
      </w:r>
      <w:sdt>
        <w:sdtPr>
          <w:rPr>
            <w:rFonts w:ascii="Arial" w:hAnsi="Arial" w:cs="Arial"/>
            <w:sz w:val="22"/>
          </w:rPr>
          <w:id w:val="1291331942"/>
          <w:citation/>
        </w:sdtPr>
        <w:sdtContent>
          <w:r w:rsidRPr="00FD1E4F">
            <w:rPr>
              <w:rFonts w:ascii="Arial" w:hAnsi="Arial" w:cs="Arial"/>
              <w:sz w:val="22"/>
            </w:rPr>
            <w:fldChar w:fldCharType="begin"/>
          </w:r>
          <w:r w:rsidRPr="00FD1E4F">
            <w:rPr>
              <w:rFonts w:ascii="Arial" w:hAnsi="Arial" w:cs="Arial"/>
              <w:sz w:val="22"/>
              <w:lang w:val="en-US"/>
            </w:rPr>
            <w:instrText xml:space="preserve"> CITATION bdc237 \l 1033 </w:instrText>
          </w:r>
          <w:r w:rsidRPr="00FD1E4F">
            <w:rPr>
              <w:rFonts w:ascii="Arial" w:hAnsi="Arial" w:cs="Arial"/>
              <w:sz w:val="22"/>
            </w:rPr>
            <w:fldChar w:fldCharType="separate"/>
          </w:r>
          <w:r w:rsidRPr="00FD1E4F">
            <w:rPr>
              <w:rFonts w:ascii="Arial" w:hAnsi="Arial" w:cs="Arial"/>
              <w:noProof/>
              <w:sz w:val="22"/>
              <w:lang w:val="en-US"/>
            </w:rPr>
            <w:t xml:space="preserve"> </w:t>
          </w:r>
          <w:r w:rsidRPr="00FD1E4F">
            <w:rPr>
              <w:rFonts w:ascii="Arial" w:eastAsiaTheme="minorEastAsia" w:hAnsi="Arial" w:cs="Arial"/>
              <w:noProof/>
              <w:sz w:val="22"/>
              <w:lang w:val="en-US"/>
            </w:rPr>
            <w:t>(bdc, 2023)</w:t>
          </w:r>
          <w:r w:rsidRPr="00FD1E4F">
            <w:rPr>
              <w:rFonts w:ascii="Arial" w:hAnsi="Arial" w:cs="Arial"/>
              <w:sz w:val="22"/>
            </w:rPr>
            <w:fldChar w:fldCharType="end"/>
          </w:r>
        </w:sdtContent>
      </w:sdt>
      <w:r w:rsidRPr="00FD1E4F">
        <w:rPr>
          <w:rFonts w:ascii="Arial" w:hAnsi="Arial" w:cs="Arial"/>
          <w:sz w:val="22"/>
        </w:rPr>
        <w:t>. An income statement is a key tool used by stakeholders to evaluate an organization's income generation, cost control, and overall profitability. Insights on a company's financial stability, development potential, and capacity for profit generation are provided, which are crucial for strategic planning and decision-making.</w:t>
      </w:r>
    </w:p>
    <w:p w14:paraId="7F16C558" w14:textId="77777777" w:rsidR="00FD1E4F" w:rsidRPr="00FD1E4F" w:rsidRDefault="00FD1E4F" w:rsidP="00FD1E4F">
      <w:pPr>
        <w:spacing w:line="360" w:lineRule="auto"/>
        <w:ind w:firstLine="397"/>
        <w:jc w:val="center"/>
        <w:rPr>
          <w:rFonts w:ascii="Arial" w:hAnsi="Arial" w:cs="Arial"/>
          <w:b/>
          <w:bCs/>
          <w:i/>
          <w:iCs/>
          <w:sz w:val="22"/>
          <w:u w:val="single"/>
        </w:rPr>
      </w:pPr>
      <w:r w:rsidRPr="00FD1E4F">
        <w:rPr>
          <w:rFonts w:ascii="Arial" w:hAnsi="Arial" w:cs="Arial"/>
          <w:b/>
          <w:bCs/>
          <w:i/>
          <w:iCs/>
          <w:sz w:val="22"/>
          <w:u w:val="single"/>
        </w:rPr>
        <w:t>Statement of income of Wales Plc for the year ended 31st December 2022</w:t>
      </w:r>
    </w:p>
    <w:tbl>
      <w:tblPr>
        <w:tblW w:w="0" w:type="auto"/>
        <w:jc w:val="center"/>
        <w:tblLook w:val="04A0" w:firstRow="1" w:lastRow="0" w:firstColumn="1" w:lastColumn="0" w:noHBand="0" w:noVBand="1"/>
      </w:tblPr>
      <w:tblGrid>
        <w:gridCol w:w="4099"/>
        <w:gridCol w:w="1348"/>
        <w:gridCol w:w="1470"/>
      </w:tblGrid>
      <w:tr w:rsidR="00FD1E4F" w:rsidRPr="00FD1E4F" w14:paraId="2DF508A7" w14:textId="77777777" w:rsidTr="00706C84">
        <w:trPr>
          <w:trHeight w:val="288"/>
          <w:jc w:val="center"/>
        </w:trPr>
        <w:tc>
          <w:tcPr>
            <w:tcW w:w="0" w:type="auto"/>
            <w:tcBorders>
              <w:top w:val="single" w:sz="4" w:space="0" w:color="4472C4"/>
              <w:left w:val="single" w:sz="4" w:space="0" w:color="4472C4"/>
              <w:bottom w:val="nil"/>
              <w:right w:val="nil"/>
            </w:tcBorders>
            <w:shd w:val="clear" w:color="4472C4" w:fill="4472C4"/>
            <w:noWrap/>
            <w:vAlign w:val="bottom"/>
            <w:hideMark/>
          </w:tcPr>
          <w:p w14:paraId="279DB69C" w14:textId="77777777" w:rsidR="00FD1E4F" w:rsidRPr="00FD1E4F" w:rsidRDefault="00FD1E4F" w:rsidP="00FD1E4F">
            <w:pPr>
              <w:spacing w:after="0" w:line="360" w:lineRule="auto"/>
              <w:ind w:firstLine="397"/>
              <w:jc w:val="center"/>
              <w:rPr>
                <w:rFonts w:ascii="Arial" w:eastAsia="Times New Roman" w:hAnsi="Arial" w:cs="Arial"/>
                <w:b/>
                <w:bCs/>
                <w:color w:val="FFFFFF"/>
                <w:sz w:val="22"/>
                <w:lang w:val="en-US"/>
              </w:rPr>
            </w:pPr>
            <w:r w:rsidRPr="00FD1E4F">
              <w:rPr>
                <w:rFonts w:ascii="Arial" w:eastAsia="Times New Roman" w:hAnsi="Arial" w:cs="Arial"/>
                <w:b/>
                <w:bCs/>
                <w:color w:val="FFFFFF"/>
                <w:sz w:val="22"/>
                <w:lang w:val="en-US"/>
              </w:rPr>
              <w:t>Particular</w:t>
            </w:r>
          </w:p>
        </w:tc>
        <w:tc>
          <w:tcPr>
            <w:tcW w:w="0" w:type="auto"/>
            <w:tcBorders>
              <w:top w:val="single" w:sz="4" w:space="0" w:color="4472C4"/>
              <w:left w:val="nil"/>
              <w:bottom w:val="nil"/>
              <w:right w:val="nil"/>
            </w:tcBorders>
            <w:shd w:val="clear" w:color="4472C4" w:fill="4472C4"/>
            <w:noWrap/>
            <w:vAlign w:val="bottom"/>
            <w:hideMark/>
          </w:tcPr>
          <w:p w14:paraId="6873390A" w14:textId="77777777" w:rsidR="00FD1E4F" w:rsidRPr="00FD1E4F" w:rsidRDefault="00FD1E4F" w:rsidP="00FD1E4F">
            <w:pPr>
              <w:spacing w:after="0" w:line="360" w:lineRule="auto"/>
              <w:ind w:firstLine="397"/>
              <w:jc w:val="center"/>
              <w:rPr>
                <w:rFonts w:ascii="Arial" w:eastAsia="Times New Roman" w:hAnsi="Arial" w:cs="Arial"/>
                <w:b/>
                <w:bCs/>
                <w:color w:val="FFFFFF"/>
                <w:sz w:val="22"/>
                <w:lang w:val="en-US"/>
              </w:rPr>
            </w:pPr>
            <w:r w:rsidRPr="00FD1E4F">
              <w:rPr>
                <w:rFonts w:ascii="Arial" w:eastAsia="Times New Roman" w:hAnsi="Arial" w:cs="Arial"/>
                <w:b/>
                <w:bCs/>
                <w:color w:val="FFFFFF"/>
                <w:sz w:val="22"/>
                <w:lang w:val="en-US"/>
              </w:rPr>
              <w:t>£</w:t>
            </w:r>
          </w:p>
        </w:tc>
        <w:tc>
          <w:tcPr>
            <w:tcW w:w="0" w:type="auto"/>
            <w:tcBorders>
              <w:top w:val="single" w:sz="4" w:space="0" w:color="4472C4"/>
              <w:left w:val="nil"/>
              <w:bottom w:val="nil"/>
              <w:right w:val="single" w:sz="4" w:space="0" w:color="4472C4"/>
            </w:tcBorders>
            <w:shd w:val="clear" w:color="4472C4" w:fill="4472C4"/>
            <w:noWrap/>
            <w:vAlign w:val="bottom"/>
            <w:hideMark/>
          </w:tcPr>
          <w:p w14:paraId="27602195" w14:textId="77777777" w:rsidR="00FD1E4F" w:rsidRPr="00FD1E4F" w:rsidRDefault="00FD1E4F" w:rsidP="00FD1E4F">
            <w:pPr>
              <w:spacing w:after="0" w:line="360" w:lineRule="auto"/>
              <w:ind w:firstLine="397"/>
              <w:jc w:val="center"/>
              <w:rPr>
                <w:rFonts w:ascii="Arial" w:eastAsia="Times New Roman" w:hAnsi="Arial" w:cs="Arial"/>
                <w:b/>
                <w:bCs/>
                <w:color w:val="FFFFFF"/>
                <w:sz w:val="22"/>
                <w:lang w:val="en-US"/>
              </w:rPr>
            </w:pPr>
            <w:r w:rsidRPr="00FD1E4F">
              <w:rPr>
                <w:rFonts w:ascii="Arial" w:eastAsia="Times New Roman" w:hAnsi="Arial" w:cs="Arial"/>
                <w:b/>
                <w:bCs/>
                <w:color w:val="FFFFFF"/>
                <w:sz w:val="22"/>
                <w:lang w:val="en-US"/>
              </w:rPr>
              <w:t>£</w:t>
            </w:r>
          </w:p>
        </w:tc>
      </w:tr>
      <w:tr w:rsidR="00FD1E4F" w:rsidRPr="00FD1E4F" w14:paraId="0904DC2C" w14:textId="77777777" w:rsidTr="00706C84">
        <w:trPr>
          <w:trHeight w:val="288"/>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2C59B900"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Sales </w:t>
            </w:r>
          </w:p>
        </w:tc>
        <w:tc>
          <w:tcPr>
            <w:tcW w:w="0" w:type="auto"/>
            <w:tcBorders>
              <w:top w:val="single" w:sz="4" w:space="0" w:color="4472C4"/>
              <w:left w:val="nil"/>
              <w:bottom w:val="nil"/>
              <w:right w:val="nil"/>
            </w:tcBorders>
            <w:shd w:val="clear" w:color="auto" w:fill="auto"/>
            <w:noWrap/>
            <w:vAlign w:val="bottom"/>
            <w:hideMark/>
          </w:tcPr>
          <w:p w14:paraId="091AEFAC"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800000</w:t>
            </w:r>
          </w:p>
        </w:tc>
        <w:tc>
          <w:tcPr>
            <w:tcW w:w="0" w:type="auto"/>
            <w:tcBorders>
              <w:top w:val="single" w:sz="4" w:space="0" w:color="4472C4"/>
              <w:left w:val="nil"/>
              <w:bottom w:val="nil"/>
              <w:right w:val="single" w:sz="4" w:space="0" w:color="4472C4"/>
            </w:tcBorders>
            <w:shd w:val="clear" w:color="auto" w:fill="auto"/>
            <w:noWrap/>
            <w:vAlign w:val="bottom"/>
            <w:hideMark/>
          </w:tcPr>
          <w:p w14:paraId="69695593"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1380EAFE" w14:textId="77777777" w:rsidTr="00706C84">
        <w:trPr>
          <w:trHeight w:val="288"/>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1A7F2973"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Cost of goods sold</w:t>
            </w:r>
          </w:p>
        </w:tc>
        <w:tc>
          <w:tcPr>
            <w:tcW w:w="0" w:type="auto"/>
            <w:tcBorders>
              <w:top w:val="single" w:sz="4" w:space="0" w:color="4472C4"/>
              <w:left w:val="nil"/>
              <w:bottom w:val="nil"/>
              <w:right w:val="nil"/>
            </w:tcBorders>
            <w:shd w:val="clear" w:color="auto" w:fill="auto"/>
            <w:noWrap/>
            <w:vAlign w:val="bottom"/>
            <w:hideMark/>
          </w:tcPr>
          <w:p w14:paraId="1B65F3BA"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578650</w:t>
            </w:r>
          </w:p>
        </w:tc>
        <w:tc>
          <w:tcPr>
            <w:tcW w:w="0" w:type="auto"/>
            <w:tcBorders>
              <w:top w:val="single" w:sz="4" w:space="0" w:color="4472C4"/>
              <w:left w:val="nil"/>
              <w:bottom w:val="nil"/>
              <w:right w:val="single" w:sz="4" w:space="0" w:color="4472C4"/>
            </w:tcBorders>
            <w:shd w:val="clear" w:color="auto" w:fill="auto"/>
            <w:noWrap/>
            <w:vAlign w:val="bottom"/>
            <w:hideMark/>
          </w:tcPr>
          <w:p w14:paraId="3143DCF8"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1509D378" w14:textId="77777777" w:rsidTr="00706C84">
        <w:trPr>
          <w:trHeight w:val="288"/>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53C3BE08"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Add: Purchases</w:t>
            </w:r>
          </w:p>
        </w:tc>
        <w:tc>
          <w:tcPr>
            <w:tcW w:w="0" w:type="auto"/>
            <w:tcBorders>
              <w:top w:val="single" w:sz="4" w:space="0" w:color="4472C4"/>
              <w:left w:val="nil"/>
              <w:bottom w:val="nil"/>
              <w:right w:val="nil"/>
            </w:tcBorders>
            <w:shd w:val="clear" w:color="auto" w:fill="auto"/>
            <w:noWrap/>
            <w:vAlign w:val="bottom"/>
            <w:hideMark/>
          </w:tcPr>
          <w:p w14:paraId="175E15BF"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nil"/>
              <w:bottom w:val="nil"/>
              <w:right w:val="single" w:sz="4" w:space="0" w:color="4472C4"/>
            </w:tcBorders>
            <w:shd w:val="clear" w:color="auto" w:fill="auto"/>
            <w:noWrap/>
            <w:vAlign w:val="bottom"/>
            <w:hideMark/>
          </w:tcPr>
          <w:p w14:paraId="0F74F5E4"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221350</w:t>
            </w:r>
          </w:p>
        </w:tc>
      </w:tr>
      <w:tr w:rsidR="00FD1E4F" w:rsidRPr="00FD1E4F" w14:paraId="0FB71314" w14:textId="77777777" w:rsidTr="00706C84">
        <w:trPr>
          <w:trHeight w:val="288"/>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35025971"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Administrative Expenses</w:t>
            </w:r>
          </w:p>
        </w:tc>
        <w:tc>
          <w:tcPr>
            <w:tcW w:w="0" w:type="auto"/>
            <w:tcBorders>
              <w:top w:val="single" w:sz="4" w:space="0" w:color="4472C4"/>
              <w:left w:val="nil"/>
              <w:bottom w:val="nil"/>
              <w:right w:val="nil"/>
            </w:tcBorders>
            <w:shd w:val="clear" w:color="auto" w:fill="auto"/>
            <w:noWrap/>
            <w:vAlign w:val="bottom"/>
            <w:hideMark/>
          </w:tcPr>
          <w:p w14:paraId="362E1C64"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30000</w:t>
            </w:r>
          </w:p>
        </w:tc>
        <w:tc>
          <w:tcPr>
            <w:tcW w:w="0" w:type="auto"/>
            <w:tcBorders>
              <w:top w:val="single" w:sz="4" w:space="0" w:color="4472C4"/>
              <w:left w:val="nil"/>
              <w:bottom w:val="nil"/>
              <w:right w:val="single" w:sz="4" w:space="0" w:color="4472C4"/>
            </w:tcBorders>
            <w:shd w:val="clear" w:color="auto" w:fill="auto"/>
            <w:noWrap/>
            <w:vAlign w:val="bottom"/>
            <w:hideMark/>
          </w:tcPr>
          <w:p w14:paraId="22040817"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0875105F" w14:textId="77777777" w:rsidTr="00706C84">
        <w:trPr>
          <w:trHeight w:val="288"/>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7D63ACFF"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Directors Remuneration</w:t>
            </w:r>
          </w:p>
        </w:tc>
        <w:tc>
          <w:tcPr>
            <w:tcW w:w="0" w:type="auto"/>
            <w:tcBorders>
              <w:top w:val="single" w:sz="4" w:space="0" w:color="4472C4"/>
              <w:left w:val="nil"/>
              <w:bottom w:val="nil"/>
              <w:right w:val="nil"/>
            </w:tcBorders>
            <w:shd w:val="clear" w:color="auto" w:fill="auto"/>
            <w:noWrap/>
            <w:vAlign w:val="bottom"/>
            <w:hideMark/>
          </w:tcPr>
          <w:p w14:paraId="73F09E75"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5000</w:t>
            </w:r>
          </w:p>
        </w:tc>
        <w:tc>
          <w:tcPr>
            <w:tcW w:w="0" w:type="auto"/>
            <w:tcBorders>
              <w:top w:val="single" w:sz="4" w:space="0" w:color="4472C4"/>
              <w:left w:val="nil"/>
              <w:bottom w:val="nil"/>
              <w:right w:val="single" w:sz="4" w:space="0" w:color="4472C4"/>
            </w:tcBorders>
            <w:shd w:val="clear" w:color="auto" w:fill="auto"/>
            <w:noWrap/>
            <w:vAlign w:val="bottom"/>
            <w:hideMark/>
          </w:tcPr>
          <w:p w14:paraId="70FBD707"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599D6FC8" w14:textId="77777777" w:rsidTr="00706C84">
        <w:trPr>
          <w:trHeight w:val="288"/>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0E01C47D"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Distribution cost </w:t>
            </w:r>
          </w:p>
        </w:tc>
        <w:tc>
          <w:tcPr>
            <w:tcW w:w="0" w:type="auto"/>
            <w:tcBorders>
              <w:top w:val="single" w:sz="4" w:space="0" w:color="4472C4"/>
              <w:left w:val="nil"/>
              <w:bottom w:val="nil"/>
              <w:right w:val="nil"/>
            </w:tcBorders>
            <w:shd w:val="clear" w:color="auto" w:fill="auto"/>
            <w:noWrap/>
            <w:vAlign w:val="bottom"/>
            <w:hideMark/>
          </w:tcPr>
          <w:p w14:paraId="74DB96D2"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28000</w:t>
            </w:r>
          </w:p>
        </w:tc>
        <w:tc>
          <w:tcPr>
            <w:tcW w:w="0" w:type="auto"/>
            <w:tcBorders>
              <w:top w:val="single" w:sz="4" w:space="0" w:color="4472C4"/>
              <w:left w:val="nil"/>
              <w:bottom w:val="nil"/>
              <w:right w:val="single" w:sz="4" w:space="0" w:color="4472C4"/>
            </w:tcBorders>
            <w:shd w:val="clear" w:color="auto" w:fill="auto"/>
            <w:noWrap/>
            <w:vAlign w:val="bottom"/>
            <w:hideMark/>
          </w:tcPr>
          <w:p w14:paraId="2735E4F6"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2C215EEB" w14:textId="77777777" w:rsidTr="00706C84">
        <w:trPr>
          <w:trHeight w:val="288"/>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07D63143"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Commission payable </w:t>
            </w:r>
          </w:p>
        </w:tc>
        <w:tc>
          <w:tcPr>
            <w:tcW w:w="0" w:type="auto"/>
            <w:tcBorders>
              <w:top w:val="single" w:sz="4" w:space="0" w:color="4472C4"/>
              <w:left w:val="nil"/>
              <w:bottom w:val="nil"/>
              <w:right w:val="nil"/>
            </w:tcBorders>
            <w:shd w:val="clear" w:color="auto" w:fill="auto"/>
            <w:noWrap/>
            <w:vAlign w:val="bottom"/>
            <w:hideMark/>
          </w:tcPr>
          <w:p w14:paraId="3F2C9681"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nil"/>
              <w:bottom w:val="nil"/>
              <w:right w:val="single" w:sz="4" w:space="0" w:color="4472C4"/>
            </w:tcBorders>
            <w:shd w:val="clear" w:color="auto" w:fill="auto"/>
            <w:noWrap/>
            <w:vAlign w:val="bottom"/>
            <w:hideMark/>
          </w:tcPr>
          <w:p w14:paraId="2C96B16D"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3000</w:t>
            </w:r>
          </w:p>
        </w:tc>
      </w:tr>
      <w:tr w:rsidR="00FD1E4F" w:rsidRPr="00FD1E4F" w14:paraId="33307EC1" w14:textId="77777777" w:rsidTr="00706C84">
        <w:trPr>
          <w:trHeight w:val="288"/>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17431951"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Total operating expenses </w:t>
            </w:r>
          </w:p>
        </w:tc>
        <w:tc>
          <w:tcPr>
            <w:tcW w:w="0" w:type="auto"/>
            <w:tcBorders>
              <w:top w:val="single" w:sz="4" w:space="0" w:color="4472C4"/>
              <w:left w:val="nil"/>
              <w:bottom w:val="nil"/>
              <w:right w:val="nil"/>
            </w:tcBorders>
            <w:shd w:val="clear" w:color="auto" w:fill="auto"/>
            <w:noWrap/>
            <w:vAlign w:val="bottom"/>
            <w:hideMark/>
          </w:tcPr>
          <w:p w14:paraId="042EF7E5"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nil"/>
              <w:bottom w:val="nil"/>
              <w:right w:val="single" w:sz="4" w:space="0" w:color="4472C4"/>
            </w:tcBorders>
            <w:shd w:val="clear" w:color="auto" w:fill="auto"/>
            <w:noWrap/>
            <w:vAlign w:val="bottom"/>
            <w:hideMark/>
          </w:tcPr>
          <w:p w14:paraId="18E8B9E6" w14:textId="77777777" w:rsidR="00FD1E4F" w:rsidRPr="00FD1E4F" w:rsidRDefault="00FD1E4F" w:rsidP="00FD1E4F">
            <w:pPr>
              <w:spacing w:after="0" w:line="360" w:lineRule="auto"/>
              <w:ind w:firstLine="397"/>
              <w:jc w:val="left"/>
              <w:rPr>
                <w:rFonts w:ascii="Arial" w:eastAsia="Times New Roman" w:hAnsi="Arial" w:cs="Arial"/>
                <w:sz w:val="22"/>
                <w:lang w:val="en-US"/>
              </w:rPr>
            </w:pPr>
          </w:p>
        </w:tc>
      </w:tr>
      <w:tr w:rsidR="00FD1E4F" w:rsidRPr="00FD1E4F" w14:paraId="440EDA84" w14:textId="77777777" w:rsidTr="00706C84">
        <w:trPr>
          <w:trHeight w:val="288"/>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667B6F8D"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Interest paid </w:t>
            </w:r>
          </w:p>
        </w:tc>
        <w:tc>
          <w:tcPr>
            <w:tcW w:w="0" w:type="auto"/>
            <w:tcBorders>
              <w:top w:val="single" w:sz="4" w:space="0" w:color="4472C4"/>
              <w:left w:val="nil"/>
              <w:bottom w:val="nil"/>
              <w:right w:val="nil"/>
            </w:tcBorders>
            <w:shd w:val="clear" w:color="auto" w:fill="auto"/>
            <w:noWrap/>
            <w:vAlign w:val="bottom"/>
            <w:hideMark/>
          </w:tcPr>
          <w:p w14:paraId="28737254"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2000</w:t>
            </w:r>
          </w:p>
        </w:tc>
        <w:tc>
          <w:tcPr>
            <w:tcW w:w="0" w:type="auto"/>
            <w:tcBorders>
              <w:top w:val="single" w:sz="4" w:space="0" w:color="4472C4"/>
              <w:left w:val="nil"/>
              <w:bottom w:val="nil"/>
              <w:right w:val="single" w:sz="4" w:space="0" w:color="4472C4"/>
            </w:tcBorders>
            <w:shd w:val="clear" w:color="auto" w:fill="auto"/>
            <w:noWrap/>
            <w:vAlign w:val="bottom"/>
            <w:hideMark/>
          </w:tcPr>
          <w:p w14:paraId="6FF5CEE3"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535A42C4" w14:textId="77777777" w:rsidTr="00706C84">
        <w:trPr>
          <w:trHeight w:val="288"/>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08E1E421"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Operating profit (Before tax)</w:t>
            </w:r>
          </w:p>
        </w:tc>
        <w:tc>
          <w:tcPr>
            <w:tcW w:w="0" w:type="auto"/>
            <w:tcBorders>
              <w:top w:val="single" w:sz="4" w:space="0" w:color="4472C4"/>
              <w:left w:val="nil"/>
              <w:bottom w:val="nil"/>
              <w:right w:val="nil"/>
            </w:tcBorders>
            <w:shd w:val="clear" w:color="auto" w:fill="auto"/>
            <w:noWrap/>
            <w:vAlign w:val="bottom"/>
            <w:hideMark/>
          </w:tcPr>
          <w:p w14:paraId="5CF98839"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nil"/>
              <w:bottom w:val="nil"/>
              <w:right w:val="single" w:sz="4" w:space="0" w:color="4472C4"/>
            </w:tcBorders>
            <w:shd w:val="clear" w:color="auto" w:fill="auto"/>
            <w:noWrap/>
            <w:vAlign w:val="bottom"/>
            <w:hideMark/>
          </w:tcPr>
          <w:p w14:paraId="6BEBE26C"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155350</w:t>
            </w:r>
          </w:p>
        </w:tc>
      </w:tr>
      <w:tr w:rsidR="00FD1E4F" w:rsidRPr="00FD1E4F" w14:paraId="1F4413B4" w14:textId="77777777" w:rsidTr="00706C84">
        <w:trPr>
          <w:trHeight w:val="288"/>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48C04B05"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Less: Corporate tax </w:t>
            </w:r>
          </w:p>
        </w:tc>
        <w:tc>
          <w:tcPr>
            <w:tcW w:w="0" w:type="auto"/>
            <w:tcBorders>
              <w:top w:val="single" w:sz="4" w:space="0" w:color="4472C4"/>
              <w:left w:val="nil"/>
              <w:bottom w:val="nil"/>
              <w:right w:val="nil"/>
            </w:tcBorders>
            <w:shd w:val="clear" w:color="auto" w:fill="auto"/>
            <w:noWrap/>
            <w:vAlign w:val="bottom"/>
            <w:hideMark/>
          </w:tcPr>
          <w:p w14:paraId="140AD549"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nil"/>
              <w:bottom w:val="nil"/>
              <w:right w:val="single" w:sz="4" w:space="0" w:color="4472C4"/>
            </w:tcBorders>
            <w:shd w:val="clear" w:color="auto" w:fill="auto"/>
            <w:noWrap/>
            <w:vAlign w:val="bottom"/>
            <w:hideMark/>
          </w:tcPr>
          <w:p w14:paraId="7EA51C85"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1000000</w:t>
            </w:r>
          </w:p>
        </w:tc>
      </w:tr>
      <w:tr w:rsidR="00FD1E4F" w:rsidRPr="00FD1E4F" w14:paraId="3D8CE9B4" w14:textId="77777777" w:rsidTr="00706C84">
        <w:trPr>
          <w:trHeight w:val="288"/>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11B49DC3"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Net profit (After tax)</w:t>
            </w:r>
          </w:p>
        </w:tc>
        <w:tc>
          <w:tcPr>
            <w:tcW w:w="0" w:type="auto"/>
            <w:tcBorders>
              <w:top w:val="single" w:sz="4" w:space="0" w:color="4472C4"/>
              <w:left w:val="nil"/>
              <w:bottom w:val="nil"/>
              <w:right w:val="nil"/>
            </w:tcBorders>
            <w:shd w:val="clear" w:color="auto" w:fill="auto"/>
            <w:noWrap/>
            <w:vAlign w:val="bottom"/>
            <w:hideMark/>
          </w:tcPr>
          <w:p w14:paraId="5914EC40"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nil"/>
              <w:bottom w:val="nil"/>
              <w:right w:val="single" w:sz="4" w:space="0" w:color="4472C4"/>
            </w:tcBorders>
            <w:shd w:val="clear" w:color="auto" w:fill="auto"/>
            <w:noWrap/>
            <w:vAlign w:val="bottom"/>
            <w:hideMark/>
          </w:tcPr>
          <w:p w14:paraId="12B825C0"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56350</w:t>
            </w:r>
          </w:p>
        </w:tc>
      </w:tr>
      <w:tr w:rsidR="00FD1E4F" w:rsidRPr="00FD1E4F" w14:paraId="3876FA78" w14:textId="77777777" w:rsidTr="00706C84">
        <w:trPr>
          <w:trHeight w:val="288"/>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61EE65A5"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Less: Preference dividend paid </w:t>
            </w:r>
          </w:p>
        </w:tc>
        <w:tc>
          <w:tcPr>
            <w:tcW w:w="0" w:type="auto"/>
            <w:tcBorders>
              <w:top w:val="single" w:sz="4" w:space="0" w:color="4472C4"/>
              <w:left w:val="nil"/>
              <w:bottom w:val="nil"/>
              <w:right w:val="nil"/>
            </w:tcBorders>
            <w:shd w:val="clear" w:color="auto" w:fill="auto"/>
            <w:noWrap/>
            <w:vAlign w:val="bottom"/>
            <w:hideMark/>
          </w:tcPr>
          <w:p w14:paraId="11BE612E"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nil"/>
              <w:bottom w:val="nil"/>
              <w:right w:val="single" w:sz="4" w:space="0" w:color="4472C4"/>
            </w:tcBorders>
            <w:shd w:val="clear" w:color="auto" w:fill="auto"/>
            <w:noWrap/>
            <w:vAlign w:val="bottom"/>
            <w:hideMark/>
          </w:tcPr>
          <w:p w14:paraId="4FA2ED50"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30000</w:t>
            </w:r>
          </w:p>
        </w:tc>
      </w:tr>
      <w:tr w:rsidR="00FD1E4F" w:rsidRPr="00FD1E4F" w14:paraId="52EABA51" w14:textId="77777777" w:rsidTr="00706C84">
        <w:trPr>
          <w:trHeight w:val="288"/>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4773905B"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Less: Ordinary dividend paid </w:t>
            </w:r>
          </w:p>
        </w:tc>
        <w:tc>
          <w:tcPr>
            <w:tcW w:w="0" w:type="auto"/>
            <w:tcBorders>
              <w:top w:val="single" w:sz="4" w:space="0" w:color="4472C4"/>
              <w:left w:val="nil"/>
              <w:bottom w:val="nil"/>
              <w:right w:val="nil"/>
            </w:tcBorders>
            <w:shd w:val="clear" w:color="auto" w:fill="auto"/>
            <w:noWrap/>
            <w:vAlign w:val="bottom"/>
            <w:hideMark/>
          </w:tcPr>
          <w:p w14:paraId="3775C6D4"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nil"/>
              <w:bottom w:val="nil"/>
              <w:right w:val="single" w:sz="4" w:space="0" w:color="4472C4"/>
            </w:tcBorders>
            <w:shd w:val="clear" w:color="auto" w:fill="auto"/>
            <w:noWrap/>
            <w:vAlign w:val="bottom"/>
            <w:hideMark/>
          </w:tcPr>
          <w:p w14:paraId="3C598FB4"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20000</w:t>
            </w:r>
          </w:p>
        </w:tc>
      </w:tr>
      <w:tr w:rsidR="00FD1E4F" w:rsidRPr="00FD1E4F" w14:paraId="16BC1E33" w14:textId="77777777" w:rsidTr="00706C84">
        <w:trPr>
          <w:trHeight w:val="288"/>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11FA8BAC"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Retained profit for the year </w:t>
            </w:r>
          </w:p>
        </w:tc>
        <w:tc>
          <w:tcPr>
            <w:tcW w:w="0" w:type="auto"/>
            <w:tcBorders>
              <w:top w:val="single" w:sz="4" w:space="0" w:color="4472C4"/>
              <w:left w:val="nil"/>
              <w:bottom w:val="nil"/>
              <w:right w:val="nil"/>
            </w:tcBorders>
            <w:shd w:val="clear" w:color="auto" w:fill="auto"/>
            <w:noWrap/>
            <w:vAlign w:val="bottom"/>
            <w:hideMark/>
          </w:tcPr>
          <w:p w14:paraId="53CCFB95"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nil"/>
              <w:bottom w:val="nil"/>
              <w:right w:val="single" w:sz="4" w:space="0" w:color="4472C4"/>
            </w:tcBorders>
            <w:shd w:val="clear" w:color="auto" w:fill="auto"/>
            <w:noWrap/>
            <w:vAlign w:val="bottom"/>
            <w:hideMark/>
          </w:tcPr>
          <w:p w14:paraId="79DC6282"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5350</w:t>
            </w:r>
          </w:p>
        </w:tc>
      </w:tr>
      <w:tr w:rsidR="00FD1E4F" w:rsidRPr="00FD1E4F" w14:paraId="18C37DAD" w14:textId="77777777" w:rsidTr="00706C84">
        <w:trPr>
          <w:trHeight w:val="288"/>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49DF3F80"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Retained profit on 1st January 2021</w:t>
            </w:r>
          </w:p>
        </w:tc>
        <w:tc>
          <w:tcPr>
            <w:tcW w:w="0" w:type="auto"/>
            <w:tcBorders>
              <w:top w:val="single" w:sz="4" w:space="0" w:color="4472C4"/>
              <w:left w:val="nil"/>
              <w:bottom w:val="nil"/>
              <w:right w:val="nil"/>
            </w:tcBorders>
            <w:shd w:val="clear" w:color="auto" w:fill="auto"/>
            <w:noWrap/>
            <w:vAlign w:val="bottom"/>
            <w:hideMark/>
          </w:tcPr>
          <w:p w14:paraId="1493FB74"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132000</w:t>
            </w:r>
          </w:p>
        </w:tc>
        <w:tc>
          <w:tcPr>
            <w:tcW w:w="0" w:type="auto"/>
            <w:tcBorders>
              <w:top w:val="single" w:sz="4" w:space="0" w:color="4472C4"/>
              <w:left w:val="nil"/>
              <w:bottom w:val="nil"/>
              <w:right w:val="single" w:sz="4" w:space="0" w:color="4472C4"/>
            </w:tcBorders>
            <w:shd w:val="clear" w:color="auto" w:fill="auto"/>
            <w:noWrap/>
            <w:vAlign w:val="bottom"/>
            <w:hideMark/>
          </w:tcPr>
          <w:p w14:paraId="0C223E7A"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541C14F3" w14:textId="77777777" w:rsidTr="00706C84">
        <w:trPr>
          <w:trHeight w:val="288"/>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1EB927E6"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Add: Retained profit of the year </w:t>
            </w:r>
          </w:p>
        </w:tc>
        <w:tc>
          <w:tcPr>
            <w:tcW w:w="0" w:type="auto"/>
            <w:tcBorders>
              <w:top w:val="single" w:sz="4" w:space="0" w:color="4472C4"/>
              <w:left w:val="nil"/>
              <w:bottom w:val="nil"/>
              <w:right w:val="nil"/>
            </w:tcBorders>
            <w:shd w:val="clear" w:color="auto" w:fill="auto"/>
            <w:noWrap/>
            <w:vAlign w:val="bottom"/>
            <w:hideMark/>
          </w:tcPr>
          <w:p w14:paraId="403C520F"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nil"/>
              <w:bottom w:val="nil"/>
              <w:right w:val="single" w:sz="4" w:space="0" w:color="4472C4"/>
            </w:tcBorders>
            <w:shd w:val="clear" w:color="auto" w:fill="auto"/>
            <w:noWrap/>
            <w:vAlign w:val="bottom"/>
            <w:hideMark/>
          </w:tcPr>
          <w:p w14:paraId="6524E96E"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5350</w:t>
            </w:r>
          </w:p>
        </w:tc>
      </w:tr>
      <w:tr w:rsidR="00FD1E4F" w:rsidRPr="00FD1E4F" w14:paraId="28A9A05F" w14:textId="77777777" w:rsidTr="00706C84">
        <w:trPr>
          <w:trHeight w:val="288"/>
          <w:jc w:val="center"/>
        </w:trPr>
        <w:tc>
          <w:tcPr>
            <w:tcW w:w="0" w:type="auto"/>
            <w:gridSpan w:val="2"/>
            <w:tcBorders>
              <w:top w:val="single" w:sz="4" w:space="0" w:color="4472C4"/>
              <w:left w:val="single" w:sz="4" w:space="0" w:color="4472C4"/>
              <w:bottom w:val="single" w:sz="4" w:space="0" w:color="4472C4"/>
              <w:right w:val="nil"/>
            </w:tcBorders>
            <w:shd w:val="clear" w:color="auto" w:fill="auto"/>
            <w:noWrap/>
            <w:vAlign w:val="bottom"/>
            <w:hideMark/>
          </w:tcPr>
          <w:p w14:paraId="545C8F02"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Retained profits 31st December 2022</w:t>
            </w:r>
          </w:p>
        </w:tc>
        <w:tc>
          <w:tcPr>
            <w:tcW w:w="0" w:type="auto"/>
            <w:tcBorders>
              <w:top w:val="single" w:sz="4" w:space="0" w:color="4472C4"/>
              <w:left w:val="nil"/>
              <w:bottom w:val="single" w:sz="4" w:space="0" w:color="4472C4"/>
              <w:right w:val="single" w:sz="4" w:space="0" w:color="4472C4"/>
            </w:tcBorders>
            <w:shd w:val="clear" w:color="auto" w:fill="auto"/>
            <w:noWrap/>
            <w:vAlign w:val="bottom"/>
            <w:hideMark/>
          </w:tcPr>
          <w:p w14:paraId="7DE72CAB"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137350</w:t>
            </w:r>
          </w:p>
        </w:tc>
      </w:tr>
    </w:tbl>
    <w:p w14:paraId="0E7A26EB" w14:textId="77777777" w:rsidR="00FD1E4F" w:rsidRPr="00FD1E4F" w:rsidRDefault="00FD1E4F" w:rsidP="00FD1E4F">
      <w:pPr>
        <w:spacing w:line="360" w:lineRule="auto"/>
        <w:ind w:firstLine="397"/>
        <w:rPr>
          <w:rFonts w:ascii="Arial" w:hAnsi="Arial" w:cs="Arial"/>
          <w:sz w:val="22"/>
        </w:rPr>
      </w:pPr>
    </w:p>
    <w:p w14:paraId="7F33C701" w14:textId="77777777" w:rsidR="00FD1E4F" w:rsidRPr="00FD1E4F" w:rsidRDefault="00FD1E4F" w:rsidP="00FD1E4F">
      <w:pPr>
        <w:spacing w:line="360" w:lineRule="auto"/>
        <w:ind w:firstLine="397"/>
        <w:rPr>
          <w:rFonts w:ascii="Arial" w:hAnsi="Arial" w:cs="Arial"/>
          <w:b/>
          <w:bCs/>
          <w:i/>
          <w:iCs/>
          <w:sz w:val="22"/>
          <w:u w:val="single"/>
        </w:rPr>
      </w:pPr>
      <w:r w:rsidRPr="00FD1E4F">
        <w:rPr>
          <w:rFonts w:ascii="Arial" w:hAnsi="Arial" w:cs="Arial"/>
          <w:b/>
          <w:bCs/>
          <w:i/>
          <w:iCs/>
          <w:sz w:val="22"/>
          <w:u w:val="single"/>
        </w:rPr>
        <w:lastRenderedPageBreak/>
        <w:t>Producing a detailed explanation of the above statement of income</w:t>
      </w:r>
    </w:p>
    <w:p w14:paraId="00667611"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rPr>
        <w:t>The above section has mainly produced the financial report of Wales plc for 2022 31</w:t>
      </w:r>
      <w:r w:rsidRPr="00FD1E4F">
        <w:rPr>
          <w:rFonts w:ascii="Arial" w:hAnsi="Arial" w:cs="Arial"/>
          <w:sz w:val="22"/>
          <w:vertAlign w:val="superscript"/>
        </w:rPr>
        <w:t>st</w:t>
      </w:r>
      <w:r w:rsidRPr="00FD1E4F">
        <w:rPr>
          <w:rFonts w:ascii="Arial" w:hAnsi="Arial" w:cs="Arial"/>
          <w:sz w:val="22"/>
        </w:rPr>
        <w:t xml:space="preserve"> December. In order to identify the company's statement of income it has developed a P/L account. Moving ahead, the calculation of the above portion has highlighted those expenses that have been utilised by Wales plc at the time of running their several activities of the business. It has also highlighted the value of the cost of goods sold £ 578650. It can be seen that the company has made sales of around £ 800000</w:t>
      </w:r>
      <w:sdt>
        <w:sdtPr>
          <w:rPr>
            <w:rFonts w:ascii="Arial" w:hAnsi="Arial" w:cs="Arial"/>
            <w:sz w:val="22"/>
          </w:rPr>
          <w:id w:val="-210116116"/>
          <w:citation/>
        </w:sdtPr>
        <w:sdtContent>
          <w:r w:rsidRPr="00FD1E4F">
            <w:rPr>
              <w:rFonts w:ascii="Arial" w:hAnsi="Arial" w:cs="Arial"/>
              <w:sz w:val="22"/>
            </w:rPr>
            <w:fldChar w:fldCharType="begin"/>
          </w:r>
          <w:r w:rsidRPr="00FD1E4F">
            <w:rPr>
              <w:rFonts w:ascii="Arial" w:hAnsi="Arial" w:cs="Arial"/>
              <w:sz w:val="22"/>
              <w:lang w:val="en-US"/>
            </w:rPr>
            <w:instrText xml:space="preserve"> CITATION Nic221 \l 1033 </w:instrText>
          </w:r>
          <w:r w:rsidRPr="00FD1E4F">
            <w:rPr>
              <w:rFonts w:ascii="Arial" w:hAnsi="Arial" w:cs="Arial"/>
              <w:sz w:val="22"/>
            </w:rPr>
            <w:fldChar w:fldCharType="separate"/>
          </w:r>
          <w:r w:rsidRPr="00FD1E4F">
            <w:rPr>
              <w:rFonts w:ascii="Arial" w:hAnsi="Arial" w:cs="Arial"/>
              <w:noProof/>
              <w:sz w:val="22"/>
              <w:lang w:val="en-US"/>
            </w:rPr>
            <w:t xml:space="preserve"> </w:t>
          </w:r>
          <w:r w:rsidRPr="00FD1E4F">
            <w:rPr>
              <w:rFonts w:ascii="Arial" w:eastAsiaTheme="minorEastAsia" w:hAnsi="Arial" w:cs="Arial"/>
              <w:noProof/>
              <w:sz w:val="22"/>
              <w:lang w:val="en-US"/>
            </w:rPr>
            <w:t>(Zarzycki, 2022)</w:t>
          </w:r>
          <w:r w:rsidRPr="00FD1E4F">
            <w:rPr>
              <w:rFonts w:ascii="Arial" w:hAnsi="Arial" w:cs="Arial"/>
              <w:sz w:val="22"/>
            </w:rPr>
            <w:fldChar w:fldCharType="end"/>
          </w:r>
        </w:sdtContent>
      </w:sdt>
      <w:r w:rsidRPr="00FD1E4F">
        <w:rPr>
          <w:rFonts w:ascii="Arial" w:hAnsi="Arial" w:cs="Arial"/>
          <w:sz w:val="22"/>
        </w:rPr>
        <w:t xml:space="preserve">. However, some of the expenses include distribution costs, remuneration of the directors, commission, and payment of the interest. After adding up all the values together the final value of the operating profit which generates after adding up the tax is identified as £ 155350. Now, the value of the corporate tax has been added to the operating profit and after that, the overall value of net profit has been generated as £ 56350. </w:t>
      </w:r>
    </w:p>
    <w:p w14:paraId="75CC11A9" w14:textId="77777777" w:rsidR="00FD1E4F" w:rsidRPr="00FD1E4F" w:rsidRDefault="00FD1E4F" w:rsidP="00FD1E4F">
      <w:pPr>
        <w:spacing w:line="360" w:lineRule="auto"/>
        <w:ind w:firstLine="397"/>
        <w:rPr>
          <w:rFonts w:ascii="Arial" w:hAnsi="Arial" w:cs="Arial"/>
          <w:b/>
          <w:bCs/>
          <w:i/>
          <w:iCs/>
          <w:sz w:val="22"/>
          <w:u w:val="single"/>
        </w:rPr>
      </w:pPr>
      <w:r w:rsidRPr="00FD1E4F">
        <w:rPr>
          <w:rFonts w:ascii="Arial" w:hAnsi="Arial" w:cs="Arial"/>
          <w:b/>
          <w:bCs/>
          <w:i/>
          <w:iCs/>
          <w:sz w:val="22"/>
          <w:u w:val="single"/>
        </w:rPr>
        <w:t xml:space="preserve">Presentation of the meaning of the balance sheet </w:t>
      </w:r>
    </w:p>
    <w:p w14:paraId="30CE7609"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rPr>
        <w:t xml:space="preserve"> A crucial financial document, the balance sheet provides a picture of a company's financial situation at a certain point in time. It lists the business's assets, obligations, and shareholders' equity, which is a measure of its net value</w:t>
      </w:r>
      <w:sdt>
        <w:sdtPr>
          <w:rPr>
            <w:rFonts w:ascii="Arial" w:hAnsi="Arial" w:cs="Arial"/>
            <w:sz w:val="22"/>
          </w:rPr>
          <w:id w:val="279080608"/>
          <w:citation/>
        </w:sdtPr>
        <w:sdtContent>
          <w:r w:rsidRPr="00FD1E4F">
            <w:rPr>
              <w:rFonts w:ascii="Arial" w:hAnsi="Arial" w:cs="Arial"/>
              <w:sz w:val="22"/>
            </w:rPr>
            <w:fldChar w:fldCharType="begin"/>
          </w:r>
          <w:r w:rsidRPr="00FD1E4F">
            <w:rPr>
              <w:rFonts w:ascii="Arial" w:hAnsi="Arial" w:cs="Arial"/>
              <w:sz w:val="22"/>
              <w:lang w:val="en-US"/>
            </w:rPr>
            <w:instrText xml:space="preserve"> CITATION McK231 \l 1033 </w:instrText>
          </w:r>
          <w:r w:rsidRPr="00FD1E4F">
            <w:rPr>
              <w:rFonts w:ascii="Arial" w:hAnsi="Arial" w:cs="Arial"/>
              <w:sz w:val="22"/>
            </w:rPr>
            <w:fldChar w:fldCharType="separate"/>
          </w:r>
          <w:r w:rsidRPr="00FD1E4F">
            <w:rPr>
              <w:rFonts w:ascii="Arial" w:hAnsi="Arial" w:cs="Arial"/>
              <w:noProof/>
              <w:sz w:val="22"/>
              <w:lang w:val="en-US"/>
            </w:rPr>
            <w:t xml:space="preserve"> </w:t>
          </w:r>
          <w:r w:rsidRPr="00FD1E4F">
            <w:rPr>
              <w:rFonts w:ascii="Arial" w:eastAsiaTheme="minorEastAsia" w:hAnsi="Arial" w:cs="Arial"/>
              <w:noProof/>
              <w:sz w:val="22"/>
              <w:lang w:val="en-US"/>
            </w:rPr>
            <w:t>(Girardin, 2023)</w:t>
          </w:r>
          <w:r w:rsidRPr="00FD1E4F">
            <w:rPr>
              <w:rFonts w:ascii="Arial" w:hAnsi="Arial" w:cs="Arial"/>
              <w:sz w:val="22"/>
            </w:rPr>
            <w:fldChar w:fldCharType="end"/>
          </w:r>
        </w:sdtContent>
      </w:sdt>
      <w:r w:rsidRPr="00FD1E4F">
        <w:rPr>
          <w:rFonts w:ascii="Arial" w:hAnsi="Arial" w:cs="Arial"/>
          <w:sz w:val="22"/>
        </w:rPr>
        <w:t>. A balance sheet is a crucial tool for evaluating the financial stability and health of a company since it contains details on the firm's assets, including cash, inventory, and real estate, as well as its liabilities, such as loans and accounts payable. The balance sheet is used by stakeholders to assess the firm's liquidity, bankruptcy, and overall financial soundness, particularly investors, shareholders, and creditors.</w:t>
      </w:r>
    </w:p>
    <w:p w14:paraId="7B92FFDF" w14:textId="77777777" w:rsidR="00FD1E4F" w:rsidRPr="00FD1E4F" w:rsidRDefault="00FD1E4F" w:rsidP="00FD1E4F">
      <w:pPr>
        <w:spacing w:line="360" w:lineRule="auto"/>
        <w:ind w:firstLine="397"/>
        <w:jc w:val="center"/>
        <w:rPr>
          <w:rFonts w:ascii="Arial" w:hAnsi="Arial" w:cs="Arial"/>
          <w:b/>
          <w:bCs/>
          <w:i/>
          <w:iCs/>
          <w:sz w:val="22"/>
          <w:u w:val="single"/>
        </w:rPr>
      </w:pPr>
      <w:r w:rsidRPr="00FD1E4F">
        <w:rPr>
          <w:rFonts w:ascii="Arial" w:hAnsi="Arial" w:cs="Arial"/>
          <w:b/>
          <w:bCs/>
          <w:i/>
          <w:iCs/>
          <w:sz w:val="22"/>
          <w:u w:val="single"/>
        </w:rPr>
        <w:t>Statement of the balance sheet of Wales Plc for the year ended 31st December 2022</w:t>
      </w:r>
    </w:p>
    <w:tbl>
      <w:tblPr>
        <w:tblW w:w="6714" w:type="dxa"/>
        <w:jc w:val="center"/>
        <w:tblLook w:val="04A0" w:firstRow="1" w:lastRow="0" w:firstColumn="1" w:lastColumn="0" w:noHBand="0" w:noVBand="1"/>
      </w:tblPr>
      <w:tblGrid>
        <w:gridCol w:w="4148"/>
        <w:gridCol w:w="1470"/>
        <w:gridCol w:w="1470"/>
      </w:tblGrid>
      <w:tr w:rsidR="00FD1E4F" w:rsidRPr="00FD1E4F" w14:paraId="0C460BB1" w14:textId="77777777" w:rsidTr="00FD1E4F">
        <w:trPr>
          <w:trHeight w:val="262"/>
          <w:jc w:val="center"/>
        </w:trPr>
        <w:tc>
          <w:tcPr>
            <w:tcW w:w="0" w:type="auto"/>
            <w:tcBorders>
              <w:top w:val="single" w:sz="4" w:space="0" w:color="4472C4"/>
              <w:left w:val="single" w:sz="4" w:space="0" w:color="4472C4"/>
              <w:bottom w:val="nil"/>
              <w:right w:val="nil"/>
            </w:tcBorders>
            <w:shd w:val="clear" w:color="4472C4" w:fill="4472C4"/>
            <w:noWrap/>
            <w:vAlign w:val="bottom"/>
            <w:hideMark/>
          </w:tcPr>
          <w:p w14:paraId="516F0E97" w14:textId="77777777" w:rsidR="00FD1E4F" w:rsidRPr="00FD1E4F" w:rsidRDefault="00FD1E4F" w:rsidP="00FD1E4F">
            <w:pPr>
              <w:spacing w:after="0" w:line="360" w:lineRule="auto"/>
              <w:ind w:firstLine="397"/>
              <w:jc w:val="left"/>
              <w:rPr>
                <w:rFonts w:ascii="Arial" w:eastAsia="Times New Roman" w:hAnsi="Arial" w:cs="Arial"/>
                <w:b/>
                <w:bCs/>
                <w:color w:val="FFFFFF"/>
                <w:sz w:val="22"/>
                <w:lang w:val="en-US"/>
              </w:rPr>
            </w:pPr>
            <w:r w:rsidRPr="00FD1E4F">
              <w:rPr>
                <w:rFonts w:ascii="Arial" w:eastAsia="Times New Roman" w:hAnsi="Arial" w:cs="Arial"/>
                <w:b/>
                <w:bCs/>
                <w:color w:val="FFFFFF"/>
                <w:sz w:val="22"/>
                <w:lang w:val="en-US"/>
              </w:rPr>
              <w:t>Particulars</w:t>
            </w:r>
          </w:p>
        </w:tc>
        <w:tc>
          <w:tcPr>
            <w:tcW w:w="0" w:type="auto"/>
            <w:tcBorders>
              <w:top w:val="single" w:sz="4" w:space="0" w:color="4472C4"/>
              <w:left w:val="nil"/>
              <w:bottom w:val="nil"/>
              <w:right w:val="single" w:sz="4" w:space="0" w:color="4472C4"/>
            </w:tcBorders>
            <w:shd w:val="clear" w:color="4472C4" w:fill="4472C4"/>
            <w:noWrap/>
            <w:vAlign w:val="bottom"/>
            <w:hideMark/>
          </w:tcPr>
          <w:p w14:paraId="2C8F8502" w14:textId="77777777" w:rsidR="00FD1E4F" w:rsidRPr="00FD1E4F" w:rsidRDefault="00FD1E4F" w:rsidP="00FD1E4F">
            <w:pPr>
              <w:spacing w:after="0" w:line="360" w:lineRule="auto"/>
              <w:ind w:firstLine="397"/>
              <w:jc w:val="left"/>
              <w:rPr>
                <w:rFonts w:ascii="Arial" w:eastAsia="Times New Roman" w:hAnsi="Arial" w:cs="Arial"/>
                <w:b/>
                <w:bCs/>
                <w:color w:val="FFFFFF"/>
                <w:sz w:val="22"/>
                <w:lang w:val="en-US"/>
              </w:rPr>
            </w:pPr>
            <w:r w:rsidRPr="00FD1E4F">
              <w:rPr>
                <w:rFonts w:ascii="Arial" w:eastAsia="Times New Roman" w:hAnsi="Arial" w:cs="Arial"/>
                <w:b/>
                <w:bCs/>
                <w:color w:val="FFFFFF"/>
                <w:sz w:val="22"/>
                <w:lang w:val="en-US"/>
              </w:rPr>
              <w:t>£</w:t>
            </w:r>
          </w:p>
        </w:tc>
        <w:tc>
          <w:tcPr>
            <w:tcW w:w="0" w:type="auto"/>
            <w:tcBorders>
              <w:top w:val="single" w:sz="4" w:space="0" w:color="4472C4"/>
              <w:left w:val="single" w:sz="4" w:space="0" w:color="4472C4"/>
              <w:bottom w:val="nil"/>
              <w:right w:val="single" w:sz="4" w:space="0" w:color="4472C4"/>
            </w:tcBorders>
            <w:shd w:val="clear" w:color="4472C4" w:fill="4472C4"/>
            <w:noWrap/>
            <w:vAlign w:val="bottom"/>
            <w:hideMark/>
          </w:tcPr>
          <w:p w14:paraId="18EE6283" w14:textId="77777777" w:rsidR="00FD1E4F" w:rsidRPr="00FD1E4F" w:rsidRDefault="00FD1E4F" w:rsidP="00FD1E4F">
            <w:pPr>
              <w:spacing w:after="0" w:line="360" w:lineRule="auto"/>
              <w:ind w:firstLine="397"/>
              <w:jc w:val="left"/>
              <w:rPr>
                <w:rFonts w:ascii="Arial" w:eastAsia="Times New Roman" w:hAnsi="Arial" w:cs="Arial"/>
                <w:b/>
                <w:bCs/>
                <w:color w:val="FFFFFF"/>
                <w:sz w:val="22"/>
                <w:lang w:val="en-US"/>
              </w:rPr>
            </w:pPr>
            <w:r w:rsidRPr="00FD1E4F">
              <w:rPr>
                <w:rFonts w:ascii="Arial" w:eastAsia="Times New Roman" w:hAnsi="Arial" w:cs="Arial"/>
                <w:b/>
                <w:bCs/>
                <w:color w:val="FFFFFF"/>
                <w:sz w:val="22"/>
                <w:lang w:val="en-US"/>
              </w:rPr>
              <w:t>£</w:t>
            </w:r>
          </w:p>
        </w:tc>
      </w:tr>
      <w:tr w:rsidR="00FD1E4F" w:rsidRPr="00FD1E4F" w14:paraId="2F409168"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763B3F71"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Assets :</w:t>
            </w:r>
          </w:p>
        </w:tc>
        <w:tc>
          <w:tcPr>
            <w:tcW w:w="0" w:type="auto"/>
            <w:tcBorders>
              <w:top w:val="single" w:sz="4" w:space="0" w:color="4472C4"/>
              <w:left w:val="nil"/>
              <w:bottom w:val="nil"/>
              <w:right w:val="single" w:sz="4" w:space="0" w:color="4472C4"/>
            </w:tcBorders>
            <w:shd w:val="clear" w:color="auto" w:fill="auto"/>
            <w:noWrap/>
            <w:vAlign w:val="bottom"/>
            <w:hideMark/>
          </w:tcPr>
          <w:p w14:paraId="59FDD074"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7932DC76" w14:textId="77777777" w:rsidR="00FD1E4F" w:rsidRPr="00FD1E4F" w:rsidRDefault="00FD1E4F" w:rsidP="00FD1E4F">
            <w:pPr>
              <w:spacing w:after="0" w:line="360" w:lineRule="auto"/>
              <w:ind w:firstLine="397"/>
              <w:jc w:val="left"/>
              <w:rPr>
                <w:rFonts w:ascii="Arial" w:eastAsia="Times New Roman" w:hAnsi="Arial" w:cs="Arial"/>
                <w:sz w:val="22"/>
                <w:lang w:val="en-US"/>
              </w:rPr>
            </w:pPr>
          </w:p>
        </w:tc>
      </w:tr>
      <w:tr w:rsidR="00FD1E4F" w:rsidRPr="00FD1E4F" w14:paraId="7D434032"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5B17040B"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Non-Current Assets </w:t>
            </w:r>
          </w:p>
        </w:tc>
        <w:tc>
          <w:tcPr>
            <w:tcW w:w="0" w:type="auto"/>
            <w:tcBorders>
              <w:top w:val="single" w:sz="4" w:space="0" w:color="4472C4"/>
              <w:left w:val="nil"/>
              <w:bottom w:val="nil"/>
              <w:right w:val="single" w:sz="4" w:space="0" w:color="4472C4"/>
            </w:tcBorders>
            <w:shd w:val="clear" w:color="auto" w:fill="auto"/>
            <w:noWrap/>
            <w:vAlign w:val="bottom"/>
            <w:hideMark/>
          </w:tcPr>
          <w:p w14:paraId="1D02FBDB"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1684BC94" w14:textId="77777777" w:rsidR="00FD1E4F" w:rsidRPr="00FD1E4F" w:rsidRDefault="00FD1E4F" w:rsidP="00FD1E4F">
            <w:pPr>
              <w:spacing w:after="0" w:line="360" w:lineRule="auto"/>
              <w:ind w:firstLine="397"/>
              <w:jc w:val="left"/>
              <w:rPr>
                <w:rFonts w:ascii="Arial" w:eastAsia="Times New Roman" w:hAnsi="Arial" w:cs="Arial"/>
                <w:sz w:val="22"/>
                <w:lang w:val="en-US"/>
              </w:rPr>
            </w:pPr>
          </w:p>
        </w:tc>
      </w:tr>
      <w:tr w:rsidR="00FD1E4F" w:rsidRPr="00FD1E4F" w14:paraId="7D5B728F"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1802B47B"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Plant and equipment </w:t>
            </w:r>
          </w:p>
        </w:tc>
        <w:tc>
          <w:tcPr>
            <w:tcW w:w="0" w:type="auto"/>
            <w:tcBorders>
              <w:top w:val="single" w:sz="4" w:space="0" w:color="4472C4"/>
              <w:left w:val="nil"/>
              <w:bottom w:val="nil"/>
              <w:right w:val="single" w:sz="4" w:space="0" w:color="4472C4"/>
            </w:tcBorders>
            <w:shd w:val="clear" w:color="auto" w:fill="auto"/>
            <w:noWrap/>
            <w:vAlign w:val="bottom"/>
            <w:hideMark/>
          </w:tcPr>
          <w:p w14:paraId="3AD27EF8"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1250000</w:t>
            </w: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385DB0FC"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2EE8636C"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3846CEF0"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Debentures </w:t>
            </w:r>
          </w:p>
        </w:tc>
        <w:tc>
          <w:tcPr>
            <w:tcW w:w="0" w:type="auto"/>
            <w:tcBorders>
              <w:top w:val="single" w:sz="4" w:space="0" w:color="4472C4"/>
              <w:left w:val="nil"/>
              <w:bottom w:val="nil"/>
              <w:right w:val="single" w:sz="4" w:space="0" w:color="4472C4"/>
            </w:tcBorders>
            <w:shd w:val="clear" w:color="auto" w:fill="auto"/>
            <w:noWrap/>
            <w:vAlign w:val="bottom"/>
            <w:hideMark/>
          </w:tcPr>
          <w:p w14:paraId="0F7D91C0"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200000</w:t>
            </w: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5F4D2DF1"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1450000</w:t>
            </w:r>
          </w:p>
        </w:tc>
      </w:tr>
      <w:tr w:rsidR="00FD1E4F" w:rsidRPr="00FD1E4F" w14:paraId="166BDC11"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243AFD27"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Total non-current assets </w:t>
            </w:r>
          </w:p>
        </w:tc>
        <w:tc>
          <w:tcPr>
            <w:tcW w:w="0" w:type="auto"/>
            <w:tcBorders>
              <w:top w:val="single" w:sz="4" w:space="0" w:color="4472C4"/>
              <w:left w:val="nil"/>
              <w:bottom w:val="nil"/>
              <w:right w:val="single" w:sz="4" w:space="0" w:color="4472C4"/>
            </w:tcBorders>
            <w:shd w:val="clear" w:color="auto" w:fill="auto"/>
            <w:noWrap/>
            <w:vAlign w:val="bottom"/>
            <w:hideMark/>
          </w:tcPr>
          <w:p w14:paraId="060E8F9F"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77A8810E" w14:textId="77777777" w:rsidR="00FD1E4F" w:rsidRPr="00FD1E4F" w:rsidRDefault="00FD1E4F" w:rsidP="00FD1E4F">
            <w:pPr>
              <w:spacing w:after="0" w:line="360" w:lineRule="auto"/>
              <w:ind w:firstLine="397"/>
              <w:jc w:val="left"/>
              <w:rPr>
                <w:rFonts w:ascii="Arial" w:eastAsia="Times New Roman" w:hAnsi="Arial" w:cs="Arial"/>
                <w:sz w:val="22"/>
                <w:lang w:val="en-US"/>
              </w:rPr>
            </w:pPr>
          </w:p>
        </w:tc>
      </w:tr>
      <w:tr w:rsidR="00FD1E4F" w:rsidRPr="00FD1E4F" w14:paraId="3036042B"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42E633E5"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Current assets </w:t>
            </w:r>
          </w:p>
        </w:tc>
        <w:tc>
          <w:tcPr>
            <w:tcW w:w="0" w:type="auto"/>
            <w:tcBorders>
              <w:top w:val="single" w:sz="4" w:space="0" w:color="4472C4"/>
              <w:left w:val="nil"/>
              <w:bottom w:val="nil"/>
              <w:right w:val="single" w:sz="4" w:space="0" w:color="4472C4"/>
            </w:tcBorders>
            <w:shd w:val="clear" w:color="auto" w:fill="auto"/>
            <w:noWrap/>
            <w:vAlign w:val="bottom"/>
            <w:hideMark/>
          </w:tcPr>
          <w:p w14:paraId="1461A91E"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01A19DF9" w14:textId="77777777" w:rsidR="00FD1E4F" w:rsidRPr="00FD1E4F" w:rsidRDefault="00FD1E4F" w:rsidP="00FD1E4F">
            <w:pPr>
              <w:spacing w:after="0" w:line="360" w:lineRule="auto"/>
              <w:ind w:firstLine="397"/>
              <w:jc w:val="left"/>
              <w:rPr>
                <w:rFonts w:ascii="Arial" w:eastAsia="Times New Roman" w:hAnsi="Arial" w:cs="Arial"/>
                <w:sz w:val="22"/>
                <w:lang w:val="en-US"/>
              </w:rPr>
            </w:pPr>
          </w:p>
        </w:tc>
      </w:tr>
      <w:tr w:rsidR="00FD1E4F" w:rsidRPr="00FD1E4F" w14:paraId="50BF16DD"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234AADA1"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Stock at 31st December 2021</w:t>
            </w:r>
          </w:p>
        </w:tc>
        <w:tc>
          <w:tcPr>
            <w:tcW w:w="0" w:type="auto"/>
            <w:tcBorders>
              <w:top w:val="single" w:sz="4" w:space="0" w:color="4472C4"/>
              <w:left w:val="nil"/>
              <w:bottom w:val="nil"/>
              <w:right w:val="single" w:sz="4" w:space="0" w:color="4472C4"/>
            </w:tcBorders>
            <w:shd w:val="clear" w:color="auto" w:fill="auto"/>
            <w:noWrap/>
            <w:vAlign w:val="bottom"/>
            <w:hideMark/>
          </w:tcPr>
          <w:p w14:paraId="02F3CDD3"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510850</w:t>
            </w: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5E2BC8B1"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2863C63F"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4DDD0C4D"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Trade receivables  </w:t>
            </w:r>
          </w:p>
        </w:tc>
        <w:tc>
          <w:tcPr>
            <w:tcW w:w="0" w:type="auto"/>
            <w:tcBorders>
              <w:top w:val="single" w:sz="4" w:space="0" w:color="4472C4"/>
              <w:left w:val="nil"/>
              <w:bottom w:val="nil"/>
              <w:right w:val="single" w:sz="4" w:space="0" w:color="4472C4"/>
            </w:tcBorders>
            <w:shd w:val="clear" w:color="auto" w:fill="auto"/>
            <w:noWrap/>
            <w:vAlign w:val="bottom"/>
            <w:hideMark/>
          </w:tcPr>
          <w:p w14:paraId="342DD504"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170125</w:t>
            </w: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5D51DBA2"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67242F44"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16B9240C"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Cash and Bank </w:t>
            </w:r>
          </w:p>
        </w:tc>
        <w:tc>
          <w:tcPr>
            <w:tcW w:w="0" w:type="auto"/>
            <w:tcBorders>
              <w:top w:val="single" w:sz="4" w:space="0" w:color="4472C4"/>
              <w:left w:val="nil"/>
              <w:bottom w:val="nil"/>
              <w:right w:val="single" w:sz="4" w:space="0" w:color="4472C4"/>
            </w:tcBorders>
            <w:shd w:val="clear" w:color="auto" w:fill="auto"/>
            <w:noWrap/>
            <w:vAlign w:val="bottom"/>
            <w:hideMark/>
          </w:tcPr>
          <w:p w14:paraId="57A8ACEF"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96000</w:t>
            </w: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7CFF3F16"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19C28BA2"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723642B4"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Commission receivable </w:t>
            </w:r>
          </w:p>
        </w:tc>
        <w:tc>
          <w:tcPr>
            <w:tcW w:w="0" w:type="auto"/>
            <w:tcBorders>
              <w:top w:val="single" w:sz="4" w:space="0" w:color="4472C4"/>
              <w:left w:val="nil"/>
              <w:bottom w:val="nil"/>
              <w:right w:val="single" w:sz="4" w:space="0" w:color="4472C4"/>
            </w:tcBorders>
            <w:shd w:val="clear" w:color="auto" w:fill="auto"/>
            <w:noWrap/>
            <w:vAlign w:val="bottom"/>
            <w:hideMark/>
          </w:tcPr>
          <w:p w14:paraId="26A9EF06"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3000</w:t>
            </w: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604387ED"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732A0E7A"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577374FB"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lastRenderedPageBreak/>
              <w:t>Goods sent on 31st December 2022</w:t>
            </w:r>
          </w:p>
        </w:tc>
        <w:tc>
          <w:tcPr>
            <w:tcW w:w="0" w:type="auto"/>
            <w:tcBorders>
              <w:top w:val="single" w:sz="4" w:space="0" w:color="4472C4"/>
              <w:left w:val="nil"/>
              <w:bottom w:val="nil"/>
              <w:right w:val="single" w:sz="4" w:space="0" w:color="4472C4"/>
            </w:tcBorders>
            <w:shd w:val="clear" w:color="auto" w:fill="auto"/>
            <w:noWrap/>
            <w:vAlign w:val="bottom"/>
            <w:hideMark/>
          </w:tcPr>
          <w:p w14:paraId="035BA4B1"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980</w:t>
            </w: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6DC9D62B"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3A2BEA0E"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2F7A5D07"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Total current assets </w:t>
            </w:r>
          </w:p>
        </w:tc>
        <w:tc>
          <w:tcPr>
            <w:tcW w:w="0" w:type="auto"/>
            <w:tcBorders>
              <w:top w:val="single" w:sz="4" w:space="0" w:color="4472C4"/>
              <w:left w:val="nil"/>
              <w:bottom w:val="nil"/>
              <w:right w:val="single" w:sz="4" w:space="0" w:color="4472C4"/>
            </w:tcBorders>
            <w:shd w:val="clear" w:color="auto" w:fill="auto"/>
            <w:noWrap/>
            <w:vAlign w:val="bottom"/>
            <w:hideMark/>
          </w:tcPr>
          <w:p w14:paraId="044F8F04"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976</w:t>
            </w: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7B2E4C24"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5C4CD64B"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41BEE0FF"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Total non-current assets </w:t>
            </w:r>
          </w:p>
        </w:tc>
        <w:tc>
          <w:tcPr>
            <w:tcW w:w="0" w:type="auto"/>
            <w:tcBorders>
              <w:top w:val="single" w:sz="4" w:space="0" w:color="4472C4"/>
              <w:left w:val="nil"/>
              <w:bottom w:val="nil"/>
              <w:right w:val="single" w:sz="4" w:space="0" w:color="4472C4"/>
            </w:tcBorders>
            <w:shd w:val="clear" w:color="auto" w:fill="auto"/>
            <w:noWrap/>
            <w:vAlign w:val="bottom"/>
            <w:hideMark/>
          </w:tcPr>
          <w:p w14:paraId="52CA5C2B"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383ECD0A"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781931</w:t>
            </w:r>
          </w:p>
        </w:tc>
      </w:tr>
      <w:tr w:rsidR="00FD1E4F" w:rsidRPr="00FD1E4F" w14:paraId="1965BA4E"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0AC5D709"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Net Assets</w:t>
            </w:r>
          </w:p>
        </w:tc>
        <w:tc>
          <w:tcPr>
            <w:tcW w:w="0" w:type="auto"/>
            <w:tcBorders>
              <w:top w:val="single" w:sz="4" w:space="0" w:color="4472C4"/>
              <w:left w:val="nil"/>
              <w:bottom w:val="nil"/>
              <w:right w:val="single" w:sz="4" w:space="0" w:color="4472C4"/>
            </w:tcBorders>
            <w:shd w:val="clear" w:color="auto" w:fill="auto"/>
            <w:noWrap/>
            <w:vAlign w:val="bottom"/>
            <w:hideMark/>
          </w:tcPr>
          <w:p w14:paraId="62D73B4D"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760ADA4D"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2231931</w:t>
            </w:r>
          </w:p>
        </w:tc>
      </w:tr>
      <w:tr w:rsidR="00FD1E4F" w:rsidRPr="00FD1E4F" w14:paraId="0022625D"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6EA8FF66"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Liabilities:</w:t>
            </w:r>
          </w:p>
        </w:tc>
        <w:tc>
          <w:tcPr>
            <w:tcW w:w="0" w:type="auto"/>
            <w:tcBorders>
              <w:top w:val="single" w:sz="4" w:space="0" w:color="4472C4"/>
              <w:left w:val="nil"/>
              <w:bottom w:val="nil"/>
              <w:right w:val="single" w:sz="4" w:space="0" w:color="4472C4"/>
            </w:tcBorders>
            <w:shd w:val="clear" w:color="auto" w:fill="auto"/>
            <w:noWrap/>
            <w:vAlign w:val="bottom"/>
            <w:hideMark/>
          </w:tcPr>
          <w:p w14:paraId="645AEDAE"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0F5D0F58" w14:textId="77777777" w:rsidR="00FD1E4F" w:rsidRPr="00FD1E4F" w:rsidRDefault="00FD1E4F" w:rsidP="00FD1E4F">
            <w:pPr>
              <w:spacing w:after="0" w:line="360" w:lineRule="auto"/>
              <w:ind w:firstLine="397"/>
              <w:jc w:val="left"/>
              <w:rPr>
                <w:rFonts w:ascii="Arial" w:eastAsia="Times New Roman" w:hAnsi="Arial" w:cs="Arial"/>
                <w:sz w:val="22"/>
                <w:lang w:val="en-US"/>
              </w:rPr>
            </w:pPr>
          </w:p>
        </w:tc>
      </w:tr>
      <w:tr w:rsidR="00FD1E4F" w:rsidRPr="00FD1E4F" w14:paraId="64726A9B"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42243086"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Current liabilities </w:t>
            </w:r>
          </w:p>
        </w:tc>
        <w:tc>
          <w:tcPr>
            <w:tcW w:w="0" w:type="auto"/>
            <w:tcBorders>
              <w:top w:val="single" w:sz="4" w:space="0" w:color="4472C4"/>
              <w:left w:val="nil"/>
              <w:bottom w:val="nil"/>
              <w:right w:val="single" w:sz="4" w:space="0" w:color="4472C4"/>
            </w:tcBorders>
            <w:shd w:val="clear" w:color="auto" w:fill="auto"/>
            <w:noWrap/>
            <w:vAlign w:val="bottom"/>
            <w:hideMark/>
          </w:tcPr>
          <w:p w14:paraId="01665B01"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4EBDDA74" w14:textId="77777777" w:rsidR="00FD1E4F" w:rsidRPr="00FD1E4F" w:rsidRDefault="00FD1E4F" w:rsidP="00FD1E4F">
            <w:pPr>
              <w:spacing w:after="0" w:line="360" w:lineRule="auto"/>
              <w:ind w:firstLine="397"/>
              <w:jc w:val="left"/>
              <w:rPr>
                <w:rFonts w:ascii="Arial" w:eastAsia="Times New Roman" w:hAnsi="Arial" w:cs="Arial"/>
                <w:sz w:val="22"/>
                <w:lang w:val="en-US"/>
              </w:rPr>
            </w:pPr>
          </w:p>
        </w:tc>
      </w:tr>
      <w:tr w:rsidR="00FD1E4F" w:rsidRPr="00FD1E4F" w14:paraId="3F362909"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1470B924"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Trade payables </w:t>
            </w:r>
          </w:p>
        </w:tc>
        <w:tc>
          <w:tcPr>
            <w:tcW w:w="0" w:type="auto"/>
            <w:tcBorders>
              <w:top w:val="single" w:sz="4" w:space="0" w:color="4472C4"/>
              <w:left w:val="nil"/>
              <w:bottom w:val="nil"/>
              <w:right w:val="single" w:sz="4" w:space="0" w:color="4472C4"/>
            </w:tcBorders>
            <w:shd w:val="clear" w:color="auto" w:fill="auto"/>
            <w:noWrap/>
            <w:vAlign w:val="bottom"/>
            <w:hideMark/>
          </w:tcPr>
          <w:p w14:paraId="437B6515"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188625</w:t>
            </w: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6FE1A9A6"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5F66FBD0"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1BD10F1F"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Corporate tax payable </w:t>
            </w:r>
          </w:p>
        </w:tc>
        <w:tc>
          <w:tcPr>
            <w:tcW w:w="0" w:type="auto"/>
            <w:tcBorders>
              <w:top w:val="single" w:sz="4" w:space="0" w:color="4472C4"/>
              <w:left w:val="nil"/>
              <w:bottom w:val="nil"/>
              <w:right w:val="single" w:sz="4" w:space="0" w:color="4472C4"/>
            </w:tcBorders>
            <w:shd w:val="clear" w:color="auto" w:fill="auto"/>
            <w:noWrap/>
            <w:vAlign w:val="bottom"/>
            <w:hideMark/>
          </w:tcPr>
          <w:p w14:paraId="3E3DCB5D"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100000</w:t>
            </w: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63AF83FA"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032EBCEF"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0CD74D48"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Total current liabilities</w:t>
            </w:r>
          </w:p>
        </w:tc>
        <w:tc>
          <w:tcPr>
            <w:tcW w:w="0" w:type="auto"/>
            <w:tcBorders>
              <w:top w:val="single" w:sz="4" w:space="0" w:color="4472C4"/>
              <w:left w:val="nil"/>
              <w:bottom w:val="nil"/>
              <w:right w:val="single" w:sz="4" w:space="0" w:color="4472C4"/>
            </w:tcBorders>
            <w:shd w:val="clear" w:color="auto" w:fill="auto"/>
            <w:noWrap/>
            <w:vAlign w:val="bottom"/>
            <w:hideMark/>
          </w:tcPr>
          <w:p w14:paraId="3ABC7A27"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6BA71071"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288625</w:t>
            </w:r>
          </w:p>
        </w:tc>
      </w:tr>
      <w:tr w:rsidR="00FD1E4F" w:rsidRPr="00FD1E4F" w14:paraId="5F09FD9F"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3312D64C"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Non-Current liabilities  </w:t>
            </w:r>
          </w:p>
        </w:tc>
        <w:tc>
          <w:tcPr>
            <w:tcW w:w="0" w:type="auto"/>
            <w:tcBorders>
              <w:top w:val="single" w:sz="4" w:space="0" w:color="4472C4"/>
              <w:left w:val="nil"/>
              <w:bottom w:val="nil"/>
              <w:right w:val="single" w:sz="4" w:space="0" w:color="4472C4"/>
            </w:tcBorders>
            <w:shd w:val="clear" w:color="auto" w:fill="auto"/>
            <w:noWrap/>
            <w:vAlign w:val="bottom"/>
            <w:hideMark/>
          </w:tcPr>
          <w:p w14:paraId="74B3E14C"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33D72097" w14:textId="77777777" w:rsidR="00FD1E4F" w:rsidRPr="00FD1E4F" w:rsidRDefault="00FD1E4F" w:rsidP="00FD1E4F">
            <w:pPr>
              <w:spacing w:after="0" w:line="360" w:lineRule="auto"/>
              <w:ind w:firstLine="397"/>
              <w:jc w:val="left"/>
              <w:rPr>
                <w:rFonts w:ascii="Arial" w:eastAsia="Times New Roman" w:hAnsi="Arial" w:cs="Arial"/>
                <w:sz w:val="22"/>
                <w:lang w:val="en-US"/>
              </w:rPr>
            </w:pPr>
          </w:p>
        </w:tc>
      </w:tr>
      <w:tr w:rsidR="00FD1E4F" w:rsidRPr="00FD1E4F" w14:paraId="1BCB4CDA"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1D53A284"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Debentures </w:t>
            </w:r>
          </w:p>
        </w:tc>
        <w:tc>
          <w:tcPr>
            <w:tcW w:w="0" w:type="auto"/>
            <w:tcBorders>
              <w:top w:val="single" w:sz="4" w:space="0" w:color="4472C4"/>
              <w:left w:val="nil"/>
              <w:bottom w:val="nil"/>
              <w:right w:val="single" w:sz="4" w:space="0" w:color="4472C4"/>
            </w:tcBorders>
            <w:shd w:val="clear" w:color="auto" w:fill="auto"/>
            <w:noWrap/>
            <w:vAlign w:val="bottom"/>
            <w:hideMark/>
          </w:tcPr>
          <w:p w14:paraId="2C8E6F0E"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200000</w:t>
            </w: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6F474267"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264DC504"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614FFC2B"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Total non-current liabilities  </w:t>
            </w:r>
          </w:p>
        </w:tc>
        <w:tc>
          <w:tcPr>
            <w:tcW w:w="0" w:type="auto"/>
            <w:tcBorders>
              <w:top w:val="single" w:sz="4" w:space="0" w:color="4472C4"/>
              <w:left w:val="nil"/>
              <w:bottom w:val="nil"/>
              <w:right w:val="single" w:sz="4" w:space="0" w:color="4472C4"/>
            </w:tcBorders>
            <w:shd w:val="clear" w:color="auto" w:fill="auto"/>
            <w:noWrap/>
            <w:vAlign w:val="bottom"/>
            <w:hideMark/>
          </w:tcPr>
          <w:p w14:paraId="5489E792"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49859FBC"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200000</w:t>
            </w:r>
          </w:p>
        </w:tc>
      </w:tr>
      <w:tr w:rsidR="00FD1E4F" w:rsidRPr="00FD1E4F" w14:paraId="431453FA"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108BFC81"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Total liabilities </w:t>
            </w:r>
          </w:p>
        </w:tc>
        <w:tc>
          <w:tcPr>
            <w:tcW w:w="0" w:type="auto"/>
            <w:tcBorders>
              <w:top w:val="single" w:sz="4" w:space="0" w:color="4472C4"/>
              <w:left w:val="nil"/>
              <w:bottom w:val="nil"/>
              <w:right w:val="single" w:sz="4" w:space="0" w:color="4472C4"/>
            </w:tcBorders>
            <w:shd w:val="clear" w:color="auto" w:fill="auto"/>
            <w:noWrap/>
            <w:vAlign w:val="bottom"/>
            <w:hideMark/>
          </w:tcPr>
          <w:p w14:paraId="6562905E"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11494622"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488625</w:t>
            </w:r>
          </w:p>
        </w:tc>
      </w:tr>
      <w:tr w:rsidR="00FD1E4F" w:rsidRPr="00FD1E4F" w14:paraId="14E72C4D"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7DE67E8D"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Equity: </w:t>
            </w:r>
          </w:p>
        </w:tc>
        <w:tc>
          <w:tcPr>
            <w:tcW w:w="0" w:type="auto"/>
            <w:tcBorders>
              <w:top w:val="single" w:sz="4" w:space="0" w:color="4472C4"/>
              <w:left w:val="nil"/>
              <w:bottom w:val="nil"/>
              <w:right w:val="single" w:sz="4" w:space="0" w:color="4472C4"/>
            </w:tcBorders>
            <w:shd w:val="clear" w:color="auto" w:fill="auto"/>
            <w:noWrap/>
            <w:vAlign w:val="bottom"/>
            <w:hideMark/>
          </w:tcPr>
          <w:p w14:paraId="0E91D42C"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0B8553A9" w14:textId="77777777" w:rsidR="00FD1E4F" w:rsidRPr="00FD1E4F" w:rsidRDefault="00FD1E4F" w:rsidP="00FD1E4F">
            <w:pPr>
              <w:spacing w:after="0" w:line="360" w:lineRule="auto"/>
              <w:ind w:firstLine="397"/>
              <w:jc w:val="left"/>
              <w:rPr>
                <w:rFonts w:ascii="Arial" w:eastAsia="Times New Roman" w:hAnsi="Arial" w:cs="Arial"/>
                <w:sz w:val="22"/>
                <w:lang w:val="en-US"/>
              </w:rPr>
            </w:pPr>
          </w:p>
        </w:tc>
      </w:tr>
      <w:tr w:rsidR="00FD1E4F" w:rsidRPr="00FD1E4F" w14:paraId="3CB3D015"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039B3867"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Shareholder's equity </w:t>
            </w:r>
          </w:p>
        </w:tc>
        <w:tc>
          <w:tcPr>
            <w:tcW w:w="0" w:type="auto"/>
            <w:tcBorders>
              <w:top w:val="single" w:sz="4" w:space="0" w:color="4472C4"/>
              <w:left w:val="nil"/>
              <w:bottom w:val="nil"/>
              <w:right w:val="single" w:sz="4" w:space="0" w:color="4472C4"/>
            </w:tcBorders>
            <w:shd w:val="clear" w:color="auto" w:fill="auto"/>
            <w:noWrap/>
            <w:vAlign w:val="bottom"/>
            <w:hideMark/>
          </w:tcPr>
          <w:p w14:paraId="74CF8442"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5811C4B2" w14:textId="77777777" w:rsidR="00FD1E4F" w:rsidRPr="00FD1E4F" w:rsidRDefault="00FD1E4F" w:rsidP="00FD1E4F">
            <w:pPr>
              <w:spacing w:after="0" w:line="360" w:lineRule="auto"/>
              <w:ind w:firstLine="397"/>
              <w:jc w:val="left"/>
              <w:rPr>
                <w:rFonts w:ascii="Arial" w:eastAsia="Times New Roman" w:hAnsi="Arial" w:cs="Arial"/>
                <w:sz w:val="22"/>
                <w:lang w:val="en-US"/>
              </w:rPr>
            </w:pPr>
          </w:p>
        </w:tc>
      </w:tr>
      <w:tr w:rsidR="00FD1E4F" w:rsidRPr="00FD1E4F" w14:paraId="1CABC34A"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5942934A"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Ordinary shares </w:t>
            </w:r>
          </w:p>
        </w:tc>
        <w:tc>
          <w:tcPr>
            <w:tcW w:w="0" w:type="auto"/>
            <w:tcBorders>
              <w:top w:val="single" w:sz="4" w:space="0" w:color="4472C4"/>
              <w:left w:val="nil"/>
              <w:bottom w:val="nil"/>
              <w:right w:val="single" w:sz="4" w:space="0" w:color="4472C4"/>
            </w:tcBorders>
            <w:shd w:val="clear" w:color="auto" w:fill="auto"/>
            <w:noWrap/>
            <w:vAlign w:val="bottom"/>
            <w:hideMark/>
          </w:tcPr>
          <w:p w14:paraId="6A1959AB"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900000</w:t>
            </w: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6991E284"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1ECB6D55"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046F9F7D"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Preference shares </w:t>
            </w:r>
          </w:p>
        </w:tc>
        <w:tc>
          <w:tcPr>
            <w:tcW w:w="0" w:type="auto"/>
            <w:tcBorders>
              <w:top w:val="single" w:sz="4" w:space="0" w:color="4472C4"/>
              <w:left w:val="nil"/>
              <w:bottom w:val="nil"/>
              <w:right w:val="single" w:sz="4" w:space="0" w:color="4472C4"/>
            </w:tcBorders>
            <w:shd w:val="clear" w:color="auto" w:fill="auto"/>
            <w:noWrap/>
            <w:vAlign w:val="bottom"/>
            <w:hideMark/>
          </w:tcPr>
          <w:p w14:paraId="49463B54"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500000</w:t>
            </w: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265ED2D8"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3F5ECABF"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7D2E0694"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Suspense account </w:t>
            </w:r>
          </w:p>
        </w:tc>
        <w:tc>
          <w:tcPr>
            <w:tcW w:w="0" w:type="auto"/>
            <w:tcBorders>
              <w:top w:val="single" w:sz="4" w:space="0" w:color="4472C4"/>
              <w:left w:val="nil"/>
              <w:bottom w:val="nil"/>
              <w:right w:val="single" w:sz="4" w:space="0" w:color="4472C4"/>
            </w:tcBorders>
            <w:shd w:val="clear" w:color="auto" w:fill="auto"/>
            <w:noWrap/>
            <w:vAlign w:val="bottom"/>
            <w:hideMark/>
          </w:tcPr>
          <w:p w14:paraId="69BF5E83"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205956</w:t>
            </w: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6D99C671"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033C4BA0"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3294D83B"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Retained profits </w:t>
            </w:r>
          </w:p>
        </w:tc>
        <w:tc>
          <w:tcPr>
            <w:tcW w:w="0" w:type="auto"/>
            <w:tcBorders>
              <w:top w:val="single" w:sz="4" w:space="0" w:color="4472C4"/>
              <w:left w:val="nil"/>
              <w:bottom w:val="nil"/>
              <w:right w:val="single" w:sz="4" w:space="0" w:color="4472C4"/>
            </w:tcBorders>
            <w:shd w:val="clear" w:color="auto" w:fill="auto"/>
            <w:noWrap/>
            <w:vAlign w:val="bottom"/>
            <w:hideMark/>
          </w:tcPr>
          <w:p w14:paraId="133816EB"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137350</w:t>
            </w: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69D3F3C9"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p>
        </w:tc>
      </w:tr>
      <w:tr w:rsidR="00FD1E4F" w:rsidRPr="00FD1E4F" w14:paraId="1FCC828A" w14:textId="77777777" w:rsidTr="00FD1E4F">
        <w:trPr>
          <w:trHeight w:val="262"/>
          <w:jc w:val="center"/>
        </w:trPr>
        <w:tc>
          <w:tcPr>
            <w:tcW w:w="0" w:type="auto"/>
            <w:tcBorders>
              <w:top w:val="single" w:sz="4" w:space="0" w:color="4472C4"/>
              <w:left w:val="single" w:sz="4" w:space="0" w:color="4472C4"/>
              <w:bottom w:val="nil"/>
              <w:right w:val="nil"/>
            </w:tcBorders>
            <w:shd w:val="clear" w:color="auto" w:fill="auto"/>
            <w:noWrap/>
            <w:vAlign w:val="bottom"/>
            <w:hideMark/>
          </w:tcPr>
          <w:p w14:paraId="3B2DF84A"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Total shareholder's equity</w:t>
            </w:r>
          </w:p>
        </w:tc>
        <w:tc>
          <w:tcPr>
            <w:tcW w:w="0" w:type="auto"/>
            <w:tcBorders>
              <w:top w:val="single" w:sz="4" w:space="0" w:color="4472C4"/>
              <w:left w:val="nil"/>
              <w:bottom w:val="nil"/>
              <w:right w:val="single" w:sz="4" w:space="0" w:color="4472C4"/>
            </w:tcBorders>
            <w:shd w:val="clear" w:color="auto" w:fill="auto"/>
            <w:noWrap/>
            <w:vAlign w:val="bottom"/>
            <w:hideMark/>
          </w:tcPr>
          <w:p w14:paraId="6D9B0D71"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single" w:sz="4" w:space="0" w:color="4472C4"/>
              <w:bottom w:val="nil"/>
              <w:right w:val="single" w:sz="4" w:space="0" w:color="4472C4"/>
            </w:tcBorders>
            <w:shd w:val="clear" w:color="auto" w:fill="auto"/>
            <w:noWrap/>
            <w:vAlign w:val="bottom"/>
            <w:hideMark/>
          </w:tcPr>
          <w:p w14:paraId="705FA1BB"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1743306</w:t>
            </w:r>
          </w:p>
        </w:tc>
      </w:tr>
      <w:tr w:rsidR="00FD1E4F" w:rsidRPr="00FD1E4F" w14:paraId="6B340885" w14:textId="77777777" w:rsidTr="00FD1E4F">
        <w:trPr>
          <w:trHeight w:val="262"/>
          <w:jc w:val="center"/>
        </w:trPr>
        <w:tc>
          <w:tcPr>
            <w:tcW w:w="0" w:type="auto"/>
            <w:tcBorders>
              <w:top w:val="single" w:sz="4" w:space="0" w:color="4472C4"/>
              <w:left w:val="single" w:sz="4" w:space="0" w:color="4472C4"/>
              <w:bottom w:val="single" w:sz="4" w:space="0" w:color="4472C4"/>
              <w:right w:val="nil"/>
            </w:tcBorders>
            <w:shd w:val="clear" w:color="auto" w:fill="auto"/>
            <w:noWrap/>
            <w:vAlign w:val="bottom"/>
            <w:hideMark/>
          </w:tcPr>
          <w:p w14:paraId="03B8A880"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r w:rsidRPr="00FD1E4F">
              <w:rPr>
                <w:rFonts w:ascii="Arial" w:eastAsia="Times New Roman" w:hAnsi="Arial" w:cs="Arial"/>
                <w:color w:val="000000"/>
                <w:sz w:val="22"/>
                <w:lang w:val="en-US"/>
              </w:rPr>
              <w:t xml:space="preserve">Total Equities and liabilities </w:t>
            </w:r>
          </w:p>
        </w:tc>
        <w:tc>
          <w:tcPr>
            <w:tcW w:w="0" w:type="auto"/>
            <w:tcBorders>
              <w:top w:val="single" w:sz="4" w:space="0" w:color="4472C4"/>
              <w:left w:val="nil"/>
              <w:bottom w:val="single" w:sz="4" w:space="0" w:color="4472C4"/>
              <w:right w:val="single" w:sz="4" w:space="0" w:color="4472C4"/>
            </w:tcBorders>
            <w:shd w:val="clear" w:color="auto" w:fill="auto"/>
            <w:noWrap/>
            <w:vAlign w:val="bottom"/>
            <w:hideMark/>
          </w:tcPr>
          <w:p w14:paraId="5E24EB19" w14:textId="77777777" w:rsidR="00FD1E4F" w:rsidRPr="00FD1E4F" w:rsidRDefault="00FD1E4F" w:rsidP="00FD1E4F">
            <w:pPr>
              <w:spacing w:after="0" w:line="360" w:lineRule="auto"/>
              <w:ind w:firstLine="397"/>
              <w:jc w:val="left"/>
              <w:rPr>
                <w:rFonts w:ascii="Arial" w:eastAsia="Times New Roman" w:hAnsi="Arial" w:cs="Arial"/>
                <w:color w:val="000000"/>
                <w:sz w:val="22"/>
                <w:lang w:val="en-US"/>
              </w:rPr>
            </w:pPr>
          </w:p>
        </w:tc>
        <w:tc>
          <w:tcPr>
            <w:tcW w:w="0" w:type="auto"/>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495C0B8D" w14:textId="77777777" w:rsidR="00FD1E4F" w:rsidRPr="00FD1E4F" w:rsidRDefault="00FD1E4F" w:rsidP="00FD1E4F">
            <w:pPr>
              <w:spacing w:after="0" w:line="360" w:lineRule="auto"/>
              <w:ind w:firstLine="397"/>
              <w:jc w:val="right"/>
              <w:rPr>
                <w:rFonts w:ascii="Arial" w:eastAsia="Times New Roman" w:hAnsi="Arial" w:cs="Arial"/>
                <w:color w:val="000000"/>
                <w:sz w:val="22"/>
                <w:lang w:val="en-US"/>
              </w:rPr>
            </w:pPr>
            <w:r w:rsidRPr="00FD1E4F">
              <w:rPr>
                <w:rFonts w:ascii="Arial" w:eastAsia="Times New Roman" w:hAnsi="Arial" w:cs="Arial"/>
                <w:color w:val="000000"/>
                <w:sz w:val="22"/>
                <w:lang w:val="en-US"/>
              </w:rPr>
              <w:t>2231931</w:t>
            </w:r>
          </w:p>
        </w:tc>
      </w:tr>
    </w:tbl>
    <w:p w14:paraId="4637D086" w14:textId="77777777" w:rsidR="00FD1E4F" w:rsidRPr="00FD1E4F" w:rsidRDefault="00FD1E4F" w:rsidP="00FD1E4F">
      <w:pPr>
        <w:spacing w:line="360" w:lineRule="auto"/>
        <w:ind w:firstLine="397"/>
        <w:rPr>
          <w:rFonts w:ascii="Arial" w:hAnsi="Arial" w:cs="Arial"/>
          <w:sz w:val="22"/>
        </w:rPr>
      </w:pPr>
    </w:p>
    <w:p w14:paraId="66478868" w14:textId="77777777" w:rsidR="00FD1E4F" w:rsidRPr="00FD1E4F" w:rsidRDefault="00FD1E4F" w:rsidP="00FD1E4F">
      <w:pPr>
        <w:spacing w:line="360" w:lineRule="auto"/>
        <w:ind w:firstLine="397"/>
        <w:rPr>
          <w:rFonts w:ascii="Arial" w:hAnsi="Arial" w:cs="Arial"/>
          <w:b/>
          <w:bCs/>
          <w:i/>
          <w:iCs/>
          <w:sz w:val="22"/>
          <w:u w:val="single"/>
        </w:rPr>
      </w:pPr>
      <w:r w:rsidRPr="00FD1E4F">
        <w:rPr>
          <w:rFonts w:ascii="Arial" w:hAnsi="Arial" w:cs="Arial"/>
          <w:b/>
          <w:bCs/>
          <w:i/>
          <w:iCs/>
          <w:sz w:val="22"/>
          <w:u w:val="single"/>
        </w:rPr>
        <w:t xml:space="preserve">Producing a detailed explanation of the above balance sheet statement </w:t>
      </w:r>
    </w:p>
    <w:p w14:paraId="6148F4EA"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rPr>
        <w:t>The presentation of the balance sheet of Wales plc has been ascertained in the above section. The preparation of the balance sheet is mainly done after the calculation of the statement of income. Now, there are generally three segments of the balance sheet that are presented under which all the information includes. These are the Assets, Liabilities as well as Equity of the shareholder. Under the portion of the assets, the overall value has been determined as £ 2231931</w:t>
      </w:r>
      <w:sdt>
        <w:sdtPr>
          <w:rPr>
            <w:rFonts w:ascii="Arial" w:hAnsi="Arial" w:cs="Arial"/>
            <w:sz w:val="22"/>
          </w:rPr>
          <w:id w:val="1424684424"/>
          <w:citation/>
        </w:sdtPr>
        <w:sdtContent>
          <w:r w:rsidRPr="00FD1E4F">
            <w:rPr>
              <w:rFonts w:ascii="Arial" w:hAnsi="Arial" w:cs="Arial"/>
              <w:sz w:val="22"/>
            </w:rPr>
            <w:fldChar w:fldCharType="begin"/>
          </w:r>
          <w:r w:rsidRPr="00FD1E4F">
            <w:rPr>
              <w:rFonts w:ascii="Arial" w:hAnsi="Arial" w:cs="Arial"/>
              <w:sz w:val="22"/>
              <w:lang w:val="en-US"/>
            </w:rPr>
            <w:instrText xml:space="preserve"> CITATION Owe23 \l 1033 </w:instrText>
          </w:r>
          <w:r w:rsidRPr="00FD1E4F">
            <w:rPr>
              <w:rFonts w:ascii="Arial" w:hAnsi="Arial" w:cs="Arial"/>
              <w:sz w:val="22"/>
            </w:rPr>
            <w:fldChar w:fldCharType="separate"/>
          </w:r>
          <w:r w:rsidRPr="00FD1E4F">
            <w:rPr>
              <w:rFonts w:ascii="Arial" w:hAnsi="Arial" w:cs="Arial"/>
              <w:noProof/>
              <w:sz w:val="22"/>
              <w:lang w:val="en-US"/>
            </w:rPr>
            <w:t xml:space="preserve"> </w:t>
          </w:r>
          <w:r w:rsidRPr="00FD1E4F">
            <w:rPr>
              <w:rFonts w:ascii="Arial" w:eastAsiaTheme="minorEastAsia" w:hAnsi="Arial" w:cs="Arial"/>
              <w:noProof/>
              <w:sz w:val="22"/>
              <w:lang w:val="en-US"/>
            </w:rPr>
            <w:t>(Sweeney, 2023)</w:t>
          </w:r>
          <w:r w:rsidRPr="00FD1E4F">
            <w:rPr>
              <w:rFonts w:ascii="Arial" w:hAnsi="Arial" w:cs="Arial"/>
              <w:sz w:val="22"/>
            </w:rPr>
            <w:fldChar w:fldCharType="end"/>
          </w:r>
        </w:sdtContent>
      </w:sdt>
      <w:r w:rsidRPr="00FD1E4F">
        <w:rPr>
          <w:rFonts w:ascii="Arial" w:hAnsi="Arial" w:cs="Arial"/>
          <w:sz w:val="22"/>
        </w:rPr>
        <w:t xml:space="preserve">. Moving ahead, the value of liabilities of Wales plc has been more explained in which both the current along with non-current liabilities has been added. Therefore, after adding the overall value of liabilities has been generated as £ 488625. The next segment is the shareholder's equity which has been explained as £ 1743306. However, an entry of the suspense </w:t>
      </w:r>
      <w:r w:rsidRPr="00FD1E4F">
        <w:rPr>
          <w:rFonts w:ascii="Arial" w:hAnsi="Arial" w:cs="Arial"/>
          <w:sz w:val="22"/>
        </w:rPr>
        <w:lastRenderedPageBreak/>
        <w:t>account has been found in the section of shareholder's equity around £ 205956 in order to match the particular balance sheet (</w:t>
      </w:r>
      <w:proofErr w:type="spellStart"/>
      <w:r w:rsidRPr="00FD1E4F">
        <w:rPr>
          <w:rFonts w:ascii="Arial" w:hAnsi="Arial" w:cs="Arial"/>
          <w:sz w:val="22"/>
          <w:shd w:val="clear" w:color="auto" w:fill="FFFFFF"/>
          <w:lang w:val="en-US"/>
        </w:rPr>
        <w:t>Triani</w:t>
      </w:r>
      <w:proofErr w:type="spellEnd"/>
      <w:r w:rsidRPr="00FD1E4F">
        <w:rPr>
          <w:rFonts w:ascii="Arial" w:hAnsi="Arial" w:cs="Arial"/>
          <w:sz w:val="22"/>
        </w:rPr>
        <w:t xml:space="preserve">, </w:t>
      </w:r>
      <w:r w:rsidRPr="00FD1E4F">
        <w:rPr>
          <w:rFonts w:ascii="Arial" w:hAnsi="Arial" w:cs="Arial"/>
          <w:sz w:val="22"/>
          <w:shd w:val="clear" w:color="auto" w:fill="FFFFFF"/>
          <w:lang w:val="en-US"/>
        </w:rPr>
        <w:t>2023)</w:t>
      </w:r>
      <w:r w:rsidRPr="00FD1E4F">
        <w:rPr>
          <w:rFonts w:ascii="Arial" w:hAnsi="Arial" w:cs="Arial"/>
          <w:sz w:val="22"/>
        </w:rPr>
        <w:t xml:space="preserve">. </w:t>
      </w:r>
    </w:p>
    <w:p w14:paraId="46E8ADDE" w14:textId="77777777" w:rsidR="00FD1E4F" w:rsidRPr="00FD1E4F" w:rsidRDefault="00FD1E4F" w:rsidP="00FD1E4F">
      <w:pPr>
        <w:pStyle w:val="Heading2"/>
        <w:spacing w:line="360" w:lineRule="auto"/>
        <w:ind w:firstLine="397"/>
        <w:rPr>
          <w:rFonts w:ascii="Arial" w:hAnsi="Arial" w:cs="Arial"/>
          <w:sz w:val="22"/>
          <w:szCs w:val="22"/>
        </w:rPr>
      </w:pPr>
      <w:bookmarkStart w:id="3" w:name="_Toc132636875"/>
      <w:r w:rsidRPr="00FD1E4F">
        <w:rPr>
          <w:rFonts w:ascii="Arial" w:hAnsi="Arial" w:cs="Arial"/>
          <w:sz w:val="22"/>
          <w:szCs w:val="22"/>
        </w:rPr>
        <w:t>II. Stating the reason for always balance of the report of the financial position</w:t>
      </w:r>
      <w:bookmarkEnd w:id="3"/>
      <w:r w:rsidRPr="00FD1E4F">
        <w:rPr>
          <w:rFonts w:ascii="Arial" w:hAnsi="Arial" w:cs="Arial"/>
          <w:sz w:val="22"/>
          <w:szCs w:val="22"/>
        </w:rPr>
        <w:t xml:space="preserve"> </w:t>
      </w:r>
    </w:p>
    <w:p w14:paraId="6762F6F6"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rPr>
        <w:t>The basic accounting equation, which specifies that assets must equal liabilities plus equity of the shareholders, is the foundation upon which the balance sheet, additionally referred to as a report of financial position, is built to maintain balance. The double-entry accounting method is predicated on this idea (</w:t>
      </w:r>
      <w:r w:rsidRPr="00FD1E4F">
        <w:rPr>
          <w:rFonts w:ascii="Arial" w:hAnsi="Arial" w:cs="Arial"/>
          <w:sz w:val="22"/>
          <w:shd w:val="clear" w:color="auto" w:fill="FFFFFF"/>
        </w:rPr>
        <w:t>Griffin</w:t>
      </w:r>
      <w:r w:rsidRPr="00FD1E4F">
        <w:rPr>
          <w:rFonts w:ascii="Arial" w:hAnsi="Arial" w:cs="Arial"/>
          <w:sz w:val="22"/>
        </w:rPr>
        <w:t xml:space="preserve"> </w:t>
      </w:r>
      <w:r w:rsidRPr="00FD1E4F">
        <w:rPr>
          <w:rFonts w:ascii="Arial" w:hAnsi="Arial" w:cs="Arial"/>
          <w:sz w:val="22"/>
          <w:shd w:val="clear" w:color="auto" w:fill="FFFFFF"/>
        </w:rPr>
        <w:t>and Mahajan</w:t>
      </w:r>
      <w:r w:rsidRPr="00FD1E4F">
        <w:rPr>
          <w:rFonts w:ascii="Arial" w:hAnsi="Arial" w:cs="Arial"/>
          <w:sz w:val="22"/>
        </w:rPr>
        <w:t xml:space="preserve">, </w:t>
      </w:r>
      <w:r w:rsidRPr="00FD1E4F">
        <w:rPr>
          <w:rFonts w:ascii="Arial" w:hAnsi="Arial" w:cs="Arial"/>
          <w:sz w:val="22"/>
          <w:shd w:val="clear" w:color="auto" w:fill="FFFFFF"/>
        </w:rPr>
        <w:t>2019)</w:t>
      </w:r>
      <w:r w:rsidRPr="00FD1E4F">
        <w:rPr>
          <w:rFonts w:ascii="Arial" w:hAnsi="Arial" w:cs="Arial"/>
          <w:sz w:val="22"/>
        </w:rPr>
        <w:t>. The balance sheet, which displays the company's assets, liabilities, and shareholders' equity, offers a picture of its financial situation at a particular point in time. Liabilities, which represent the firm's liabilities or obligations, and equity owned by shareholders, which represents the remaining interest in assets after subtracting liabilities, show how these assets are funded. Assets are what the corporation owns. In order to maintain balance, each asset reported on the balance sheet must have a matching record for liabilities and shareholders' equity to represent how the item is financed. A balanced balance sheet, as a result, guarantees that the formula Assets = Liabilities + Shareholders' Equity stays accurate. The balance sheet is essential for reliable financial reporting, evaluation, decision-making, and assessing the company's financial condition and stability because it offers a summary of the company's adherence to the basic accounting equation and details on how its assets are effectively valued and financed.</w:t>
      </w:r>
      <w:r w:rsidRPr="00FD1E4F">
        <w:rPr>
          <w:rFonts w:ascii="Arial" w:hAnsi="Arial" w:cs="Arial"/>
          <w:sz w:val="22"/>
        </w:rPr>
        <w:br w:type="page"/>
      </w:r>
    </w:p>
    <w:p w14:paraId="5AA928FC" w14:textId="77777777" w:rsidR="00FD1E4F" w:rsidRPr="00FD1E4F" w:rsidRDefault="00FD1E4F" w:rsidP="00FD1E4F">
      <w:pPr>
        <w:pStyle w:val="Heading1"/>
        <w:spacing w:line="360" w:lineRule="auto"/>
        <w:ind w:firstLine="397"/>
        <w:rPr>
          <w:rFonts w:ascii="Arial" w:hAnsi="Arial" w:cs="Arial"/>
          <w:sz w:val="22"/>
          <w:szCs w:val="22"/>
        </w:rPr>
      </w:pPr>
      <w:bookmarkStart w:id="4" w:name="_Toc132636876"/>
      <w:r w:rsidRPr="00FD1E4F">
        <w:rPr>
          <w:rFonts w:ascii="Arial" w:hAnsi="Arial" w:cs="Arial"/>
          <w:sz w:val="22"/>
          <w:szCs w:val="22"/>
        </w:rPr>
        <w:lastRenderedPageBreak/>
        <w:t>QUESTION TWO</w:t>
      </w:r>
      <w:bookmarkEnd w:id="4"/>
    </w:p>
    <w:p w14:paraId="269641C9" w14:textId="77777777" w:rsidR="00FD1E4F" w:rsidRPr="00FD1E4F" w:rsidRDefault="00FD1E4F" w:rsidP="00FD1E4F">
      <w:pPr>
        <w:pStyle w:val="Heading2"/>
        <w:spacing w:line="360" w:lineRule="auto"/>
        <w:ind w:firstLine="397"/>
        <w:rPr>
          <w:rFonts w:ascii="Arial" w:hAnsi="Arial" w:cs="Arial"/>
          <w:sz w:val="22"/>
          <w:szCs w:val="22"/>
        </w:rPr>
      </w:pPr>
      <w:bookmarkStart w:id="5" w:name="_Toc132636877"/>
      <w:r w:rsidRPr="00FD1E4F">
        <w:rPr>
          <w:rFonts w:ascii="Arial" w:hAnsi="Arial" w:cs="Arial"/>
          <w:sz w:val="22"/>
          <w:szCs w:val="22"/>
        </w:rPr>
        <w:t>I. Outlining Sweets Plc's accounting ratio estimates and interpretations for the fiscal years ending in 2021 and 2020.</w:t>
      </w:r>
      <w:bookmarkEnd w:id="5"/>
    </w:p>
    <w:p w14:paraId="6D66879F" w14:textId="77777777" w:rsidR="00FD1E4F" w:rsidRPr="00FD1E4F" w:rsidRDefault="00FD1E4F" w:rsidP="00FD1E4F">
      <w:pPr>
        <w:spacing w:line="360" w:lineRule="auto"/>
        <w:ind w:firstLine="397"/>
        <w:rPr>
          <w:rFonts w:ascii="Arial" w:hAnsi="Arial" w:cs="Arial"/>
          <w:b/>
          <w:i/>
          <w:sz w:val="22"/>
        </w:rPr>
      </w:pPr>
      <w:r w:rsidRPr="00FD1E4F">
        <w:rPr>
          <w:rFonts w:ascii="Arial" w:hAnsi="Arial" w:cs="Arial"/>
          <w:b/>
          <w:i/>
          <w:sz w:val="22"/>
        </w:rPr>
        <w:t>I. Return on capital employed (ROCE)</w:t>
      </w:r>
    </w:p>
    <w:p w14:paraId="116DC32B"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Evaluation:</w:t>
      </w:r>
    </w:p>
    <w:tbl>
      <w:tblPr>
        <w:tblStyle w:val="GridTable5Dark-Accent1"/>
        <w:tblW w:w="0" w:type="auto"/>
        <w:jc w:val="center"/>
        <w:tblLook w:val="04A0" w:firstRow="1" w:lastRow="0" w:firstColumn="1" w:lastColumn="0" w:noHBand="0" w:noVBand="1"/>
      </w:tblPr>
      <w:tblGrid>
        <w:gridCol w:w="4519"/>
        <w:gridCol w:w="1433"/>
        <w:gridCol w:w="1433"/>
      </w:tblGrid>
      <w:tr w:rsidR="00FD1E4F" w:rsidRPr="00FD1E4F" w14:paraId="7FF2825E" w14:textId="77777777" w:rsidTr="00706C84">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gridSpan w:val="3"/>
            <w:hideMark/>
          </w:tcPr>
          <w:p w14:paraId="3AE50B62" w14:textId="77777777" w:rsidR="00FD1E4F" w:rsidRPr="00FD1E4F" w:rsidRDefault="00FD1E4F" w:rsidP="00FD1E4F">
            <w:pPr>
              <w:tabs>
                <w:tab w:val="left" w:pos="1728"/>
                <w:tab w:val="center" w:pos="2959"/>
              </w:tabs>
              <w:spacing w:line="360" w:lineRule="auto"/>
              <w:ind w:firstLine="397"/>
              <w:jc w:val="center"/>
              <w:rPr>
                <w:rFonts w:ascii="Arial" w:eastAsia="Times New Roman" w:hAnsi="Arial" w:cs="Arial"/>
                <w:sz w:val="22"/>
              </w:rPr>
            </w:pPr>
            <w:r w:rsidRPr="00FD1E4F">
              <w:rPr>
                <w:rFonts w:ascii="Arial" w:eastAsia="Times New Roman" w:hAnsi="Arial" w:cs="Arial"/>
                <w:sz w:val="22"/>
              </w:rPr>
              <w:t>Calculating the Return on Capital Employed</w:t>
            </w:r>
          </w:p>
        </w:tc>
      </w:tr>
      <w:tr w:rsidR="00FD1E4F" w:rsidRPr="00FD1E4F" w14:paraId="5E3D6EF4" w14:textId="77777777" w:rsidTr="00706C84">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5805333" w14:textId="77777777" w:rsidR="00FD1E4F" w:rsidRPr="00FD1E4F" w:rsidRDefault="00FD1E4F" w:rsidP="00FD1E4F">
            <w:pPr>
              <w:spacing w:line="360" w:lineRule="auto"/>
              <w:ind w:firstLine="397"/>
              <w:rPr>
                <w:rFonts w:ascii="Arial" w:eastAsia="Times New Roman" w:hAnsi="Arial" w:cs="Arial"/>
                <w:sz w:val="22"/>
              </w:rPr>
            </w:pPr>
            <w:r w:rsidRPr="00FD1E4F">
              <w:rPr>
                <w:rFonts w:ascii="Arial" w:eastAsia="Times New Roman" w:hAnsi="Arial" w:cs="Arial"/>
                <w:color w:val="000000"/>
                <w:sz w:val="22"/>
              </w:rPr>
              <w:t>Particulars </w:t>
            </w:r>
          </w:p>
        </w:tc>
        <w:tc>
          <w:tcPr>
            <w:tcW w:w="0" w:type="auto"/>
            <w:hideMark/>
          </w:tcPr>
          <w:p w14:paraId="77049986"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sz w:val="22"/>
              </w:rPr>
            </w:pPr>
            <w:r w:rsidRPr="00FD1E4F">
              <w:rPr>
                <w:rFonts w:ascii="Arial" w:eastAsia="Times New Roman" w:hAnsi="Arial" w:cs="Arial"/>
                <w:b/>
                <w:color w:val="000000"/>
                <w:sz w:val="22"/>
              </w:rPr>
              <w:t>2021 (£)</w:t>
            </w:r>
          </w:p>
        </w:tc>
        <w:tc>
          <w:tcPr>
            <w:tcW w:w="0" w:type="auto"/>
            <w:hideMark/>
          </w:tcPr>
          <w:p w14:paraId="0682AD42"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sz w:val="22"/>
              </w:rPr>
            </w:pPr>
            <w:r w:rsidRPr="00FD1E4F">
              <w:rPr>
                <w:rFonts w:ascii="Arial" w:eastAsia="Times New Roman" w:hAnsi="Arial" w:cs="Arial"/>
                <w:b/>
                <w:color w:val="000000"/>
                <w:sz w:val="22"/>
              </w:rPr>
              <w:t>2020 (£)</w:t>
            </w:r>
          </w:p>
        </w:tc>
      </w:tr>
      <w:tr w:rsidR="00FD1E4F" w:rsidRPr="00FD1E4F" w14:paraId="6CADD5E4" w14:textId="77777777" w:rsidTr="00706C84">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5D66665" w14:textId="77777777" w:rsidR="00FD1E4F" w:rsidRPr="00FD1E4F" w:rsidRDefault="00FD1E4F" w:rsidP="00FD1E4F">
            <w:pPr>
              <w:spacing w:line="360" w:lineRule="auto"/>
              <w:ind w:firstLine="397"/>
              <w:rPr>
                <w:rFonts w:ascii="Arial" w:eastAsia="Times New Roman" w:hAnsi="Arial" w:cs="Arial"/>
                <w:sz w:val="22"/>
              </w:rPr>
            </w:pPr>
            <w:r w:rsidRPr="00FD1E4F">
              <w:rPr>
                <w:rFonts w:ascii="Arial" w:eastAsia="Times New Roman" w:hAnsi="Arial" w:cs="Arial"/>
                <w:b w:val="0"/>
                <w:color w:val="000000"/>
                <w:sz w:val="22"/>
              </w:rPr>
              <w:t>Earnings before interest and tax (EBIT) </w:t>
            </w:r>
          </w:p>
        </w:tc>
        <w:tc>
          <w:tcPr>
            <w:tcW w:w="0" w:type="auto"/>
            <w:hideMark/>
          </w:tcPr>
          <w:p w14:paraId="3D233624"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rPr>
            </w:pPr>
            <w:r w:rsidRPr="00FD1E4F">
              <w:rPr>
                <w:rFonts w:ascii="Arial" w:eastAsia="Times New Roman" w:hAnsi="Arial" w:cs="Arial"/>
                <w:color w:val="000000"/>
                <w:sz w:val="22"/>
              </w:rPr>
              <w:t>805 </w:t>
            </w:r>
          </w:p>
        </w:tc>
        <w:tc>
          <w:tcPr>
            <w:tcW w:w="0" w:type="auto"/>
            <w:hideMark/>
          </w:tcPr>
          <w:p w14:paraId="0AE0C9E4"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rPr>
            </w:pPr>
            <w:r w:rsidRPr="00FD1E4F">
              <w:rPr>
                <w:rFonts w:ascii="Arial" w:eastAsia="Times New Roman" w:hAnsi="Arial" w:cs="Arial"/>
                <w:color w:val="000000"/>
                <w:sz w:val="22"/>
              </w:rPr>
              <w:t>699</w:t>
            </w:r>
          </w:p>
        </w:tc>
      </w:tr>
      <w:tr w:rsidR="00FD1E4F" w:rsidRPr="00FD1E4F" w14:paraId="7D4F1637" w14:textId="77777777" w:rsidTr="00706C84">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3F37028" w14:textId="77777777" w:rsidR="00FD1E4F" w:rsidRPr="00FD1E4F" w:rsidRDefault="00FD1E4F" w:rsidP="00FD1E4F">
            <w:pPr>
              <w:spacing w:line="360" w:lineRule="auto"/>
              <w:ind w:firstLine="397"/>
              <w:rPr>
                <w:rFonts w:ascii="Arial" w:eastAsia="Times New Roman" w:hAnsi="Arial" w:cs="Arial"/>
                <w:sz w:val="22"/>
              </w:rPr>
            </w:pPr>
            <w:r w:rsidRPr="00FD1E4F">
              <w:rPr>
                <w:rFonts w:ascii="Arial" w:eastAsia="Times New Roman" w:hAnsi="Arial" w:cs="Arial"/>
                <w:b w:val="0"/>
                <w:color w:val="000000"/>
                <w:sz w:val="22"/>
              </w:rPr>
              <w:t>Total Asset </w:t>
            </w:r>
          </w:p>
        </w:tc>
        <w:tc>
          <w:tcPr>
            <w:tcW w:w="0" w:type="auto"/>
            <w:hideMark/>
          </w:tcPr>
          <w:p w14:paraId="0D2290C4"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rPr>
            </w:pPr>
            <w:r w:rsidRPr="00FD1E4F">
              <w:rPr>
                <w:rFonts w:ascii="Arial" w:eastAsia="Times New Roman" w:hAnsi="Arial" w:cs="Arial"/>
                <w:color w:val="000000"/>
                <w:sz w:val="22"/>
              </w:rPr>
              <w:t>9,736 </w:t>
            </w:r>
          </w:p>
        </w:tc>
        <w:tc>
          <w:tcPr>
            <w:tcW w:w="0" w:type="auto"/>
            <w:hideMark/>
          </w:tcPr>
          <w:p w14:paraId="021867B4"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rPr>
            </w:pPr>
            <w:r w:rsidRPr="00FD1E4F">
              <w:rPr>
                <w:rFonts w:ascii="Arial" w:eastAsia="Times New Roman" w:hAnsi="Arial" w:cs="Arial"/>
                <w:color w:val="000000"/>
                <w:sz w:val="22"/>
              </w:rPr>
              <w:t>10,087</w:t>
            </w:r>
          </w:p>
        </w:tc>
      </w:tr>
      <w:tr w:rsidR="00FD1E4F" w:rsidRPr="00FD1E4F" w14:paraId="16260126" w14:textId="77777777" w:rsidTr="00706C84">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E14342B" w14:textId="77777777" w:rsidR="00FD1E4F" w:rsidRPr="00FD1E4F" w:rsidRDefault="00FD1E4F" w:rsidP="00FD1E4F">
            <w:pPr>
              <w:spacing w:line="360" w:lineRule="auto"/>
              <w:ind w:firstLine="397"/>
              <w:rPr>
                <w:rFonts w:ascii="Arial" w:eastAsia="Times New Roman" w:hAnsi="Arial" w:cs="Arial"/>
                <w:sz w:val="22"/>
              </w:rPr>
            </w:pPr>
            <w:r w:rsidRPr="00FD1E4F">
              <w:rPr>
                <w:rFonts w:ascii="Arial" w:eastAsia="Times New Roman" w:hAnsi="Arial" w:cs="Arial"/>
                <w:b w:val="0"/>
                <w:color w:val="000000"/>
                <w:sz w:val="22"/>
              </w:rPr>
              <w:t>Current liabilities </w:t>
            </w:r>
          </w:p>
        </w:tc>
        <w:tc>
          <w:tcPr>
            <w:tcW w:w="0" w:type="auto"/>
            <w:hideMark/>
          </w:tcPr>
          <w:p w14:paraId="48222DA9"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rPr>
            </w:pPr>
            <w:r w:rsidRPr="00FD1E4F">
              <w:rPr>
                <w:rFonts w:ascii="Arial" w:eastAsia="Times New Roman" w:hAnsi="Arial" w:cs="Arial"/>
                <w:color w:val="000000"/>
                <w:sz w:val="22"/>
              </w:rPr>
              <w:t>2,511 </w:t>
            </w:r>
          </w:p>
        </w:tc>
        <w:tc>
          <w:tcPr>
            <w:tcW w:w="0" w:type="auto"/>
            <w:hideMark/>
          </w:tcPr>
          <w:p w14:paraId="623E96A4"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rPr>
            </w:pPr>
            <w:r w:rsidRPr="00FD1E4F">
              <w:rPr>
                <w:rFonts w:ascii="Arial" w:eastAsia="Times New Roman" w:hAnsi="Arial" w:cs="Arial"/>
                <w:color w:val="000000"/>
                <w:sz w:val="22"/>
              </w:rPr>
              <w:t>3,046</w:t>
            </w:r>
          </w:p>
        </w:tc>
      </w:tr>
      <w:tr w:rsidR="00FD1E4F" w:rsidRPr="00FD1E4F" w14:paraId="24158710" w14:textId="77777777" w:rsidTr="00706C84">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06D40A" w14:textId="77777777" w:rsidR="00FD1E4F" w:rsidRPr="00FD1E4F" w:rsidRDefault="00FD1E4F" w:rsidP="00FD1E4F">
            <w:pPr>
              <w:spacing w:line="360" w:lineRule="auto"/>
              <w:ind w:firstLine="397"/>
              <w:rPr>
                <w:rFonts w:ascii="Arial" w:eastAsia="Times New Roman" w:hAnsi="Arial" w:cs="Arial"/>
                <w:sz w:val="22"/>
              </w:rPr>
            </w:pPr>
            <w:r w:rsidRPr="00FD1E4F">
              <w:rPr>
                <w:rFonts w:ascii="Arial" w:eastAsia="Times New Roman" w:hAnsi="Arial" w:cs="Arial"/>
                <w:b w:val="0"/>
                <w:color w:val="000000"/>
                <w:sz w:val="22"/>
              </w:rPr>
              <w:t>Capital employed </w:t>
            </w:r>
          </w:p>
        </w:tc>
        <w:tc>
          <w:tcPr>
            <w:tcW w:w="0" w:type="auto"/>
            <w:hideMark/>
          </w:tcPr>
          <w:p w14:paraId="6001572D"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rPr>
            </w:pPr>
            <w:r w:rsidRPr="00FD1E4F">
              <w:rPr>
                <w:rFonts w:ascii="Arial" w:eastAsia="Times New Roman" w:hAnsi="Arial" w:cs="Arial"/>
                <w:color w:val="000000"/>
                <w:sz w:val="22"/>
              </w:rPr>
              <w:t>7,225 </w:t>
            </w:r>
          </w:p>
        </w:tc>
        <w:tc>
          <w:tcPr>
            <w:tcW w:w="0" w:type="auto"/>
            <w:hideMark/>
          </w:tcPr>
          <w:p w14:paraId="2E7A477E"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rPr>
            </w:pPr>
            <w:r w:rsidRPr="00FD1E4F">
              <w:rPr>
                <w:rFonts w:ascii="Arial" w:eastAsia="Times New Roman" w:hAnsi="Arial" w:cs="Arial"/>
                <w:color w:val="000000"/>
                <w:sz w:val="22"/>
              </w:rPr>
              <w:t>7,041</w:t>
            </w:r>
          </w:p>
        </w:tc>
      </w:tr>
      <w:tr w:rsidR="00FD1E4F" w:rsidRPr="00FD1E4F" w14:paraId="40F56C16" w14:textId="77777777" w:rsidTr="00706C84">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8EB45EE" w14:textId="77777777" w:rsidR="00FD1E4F" w:rsidRPr="00FD1E4F" w:rsidRDefault="00FD1E4F" w:rsidP="00FD1E4F">
            <w:pPr>
              <w:spacing w:line="360" w:lineRule="auto"/>
              <w:ind w:firstLine="397"/>
              <w:rPr>
                <w:rFonts w:ascii="Arial" w:eastAsia="Times New Roman" w:hAnsi="Arial" w:cs="Arial"/>
                <w:sz w:val="22"/>
              </w:rPr>
            </w:pPr>
            <w:r w:rsidRPr="00FD1E4F">
              <w:rPr>
                <w:rFonts w:ascii="Arial" w:eastAsia="Times New Roman" w:hAnsi="Arial" w:cs="Arial"/>
                <w:color w:val="000000"/>
                <w:sz w:val="22"/>
              </w:rPr>
              <w:t>(R.O.C.E= E.B.I.T / Capital employed) </w:t>
            </w:r>
          </w:p>
        </w:tc>
        <w:tc>
          <w:tcPr>
            <w:tcW w:w="0" w:type="auto"/>
            <w:hideMark/>
          </w:tcPr>
          <w:p w14:paraId="24E6A27D"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sz w:val="22"/>
              </w:rPr>
            </w:pPr>
            <w:r w:rsidRPr="00FD1E4F">
              <w:rPr>
                <w:rFonts w:ascii="Arial" w:eastAsia="Times New Roman" w:hAnsi="Arial" w:cs="Arial"/>
                <w:b/>
                <w:color w:val="000000"/>
                <w:sz w:val="22"/>
              </w:rPr>
              <w:t>11.14</w:t>
            </w:r>
          </w:p>
        </w:tc>
        <w:tc>
          <w:tcPr>
            <w:tcW w:w="0" w:type="auto"/>
            <w:hideMark/>
          </w:tcPr>
          <w:p w14:paraId="3EF465E2"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sz w:val="22"/>
              </w:rPr>
            </w:pPr>
            <w:r w:rsidRPr="00FD1E4F">
              <w:rPr>
                <w:rFonts w:ascii="Arial" w:eastAsia="Times New Roman" w:hAnsi="Arial" w:cs="Arial"/>
                <w:b/>
                <w:color w:val="000000"/>
                <w:sz w:val="22"/>
              </w:rPr>
              <w:t>9.92</w:t>
            </w:r>
          </w:p>
        </w:tc>
      </w:tr>
    </w:tbl>
    <w:p w14:paraId="224071CB" w14:textId="77777777" w:rsidR="00FD1E4F" w:rsidRPr="00FD1E4F" w:rsidRDefault="00FD1E4F" w:rsidP="00FD1E4F">
      <w:pPr>
        <w:spacing w:line="360" w:lineRule="auto"/>
        <w:ind w:firstLine="397"/>
        <w:rPr>
          <w:rFonts w:ascii="Arial" w:hAnsi="Arial" w:cs="Arial"/>
          <w:b/>
          <w:sz w:val="22"/>
        </w:rPr>
      </w:pPr>
    </w:p>
    <w:p w14:paraId="1D5A3E82"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Analysis</w:t>
      </w:r>
    </w:p>
    <w:p w14:paraId="2A1CB8D3"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rPr>
        <w:t>Evidently, Return on Capital Employed, or ROCE is one of the ratio analysis's most useful calculations according to the accounting idea. It aids in determining the company's profitability and capital efficiency, both of which are important indicators of how well the business is performing. Now that the calculations of the return on investment have been completed in the aforementioned section—where the results have been recorded to be 11.14 in 2021 and 9.92 in the fiscal year 2020—it is clear that the specific business has improved its ability to generate profits from the amount of money that was put forward in the entity.</w:t>
      </w:r>
    </w:p>
    <w:p w14:paraId="2AEB47F3" w14:textId="77777777" w:rsidR="00FD1E4F" w:rsidRPr="00FD1E4F" w:rsidRDefault="00FD1E4F" w:rsidP="00FD1E4F">
      <w:pPr>
        <w:spacing w:line="360" w:lineRule="auto"/>
        <w:ind w:firstLine="397"/>
        <w:rPr>
          <w:rFonts w:ascii="Arial" w:hAnsi="Arial" w:cs="Arial"/>
          <w:b/>
          <w:i/>
          <w:sz w:val="22"/>
        </w:rPr>
      </w:pPr>
      <w:r w:rsidRPr="00FD1E4F">
        <w:rPr>
          <w:rFonts w:ascii="Arial" w:hAnsi="Arial" w:cs="Arial"/>
          <w:b/>
          <w:i/>
          <w:sz w:val="22"/>
        </w:rPr>
        <w:t>II. Return on Equity (ROE)</w:t>
      </w:r>
    </w:p>
    <w:p w14:paraId="1F341231"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Evaluation:</w:t>
      </w:r>
    </w:p>
    <w:tbl>
      <w:tblPr>
        <w:tblStyle w:val="GridTable5Dark-Accent1"/>
        <w:tblW w:w="0" w:type="auto"/>
        <w:jc w:val="center"/>
        <w:tblLook w:val="04A0" w:firstRow="1" w:lastRow="0" w:firstColumn="1" w:lastColumn="0" w:noHBand="0" w:noVBand="1"/>
      </w:tblPr>
      <w:tblGrid>
        <w:gridCol w:w="5118"/>
        <w:gridCol w:w="1433"/>
        <w:gridCol w:w="1433"/>
      </w:tblGrid>
      <w:tr w:rsidR="00FD1E4F" w:rsidRPr="00FD1E4F" w14:paraId="4B8686F2" w14:textId="77777777" w:rsidTr="00706C84">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gridSpan w:val="3"/>
          </w:tcPr>
          <w:p w14:paraId="2BAA9E45" w14:textId="77777777" w:rsidR="00FD1E4F" w:rsidRPr="00FD1E4F" w:rsidRDefault="00FD1E4F" w:rsidP="00FD1E4F">
            <w:pPr>
              <w:spacing w:line="360" w:lineRule="auto"/>
              <w:ind w:firstLine="397"/>
              <w:jc w:val="center"/>
              <w:rPr>
                <w:rFonts w:ascii="Arial" w:hAnsi="Arial" w:cs="Arial"/>
                <w:sz w:val="22"/>
              </w:rPr>
            </w:pPr>
            <w:r w:rsidRPr="00FD1E4F">
              <w:rPr>
                <w:rFonts w:ascii="Arial" w:hAnsi="Arial" w:cs="Arial"/>
                <w:sz w:val="22"/>
              </w:rPr>
              <w:t>Estimating Return on Equity</w:t>
            </w:r>
          </w:p>
        </w:tc>
      </w:tr>
      <w:tr w:rsidR="00FD1E4F" w:rsidRPr="00FD1E4F" w14:paraId="7D19BF82" w14:textId="77777777" w:rsidTr="00706C84">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2F3CF81" w14:textId="77777777" w:rsidR="00FD1E4F" w:rsidRPr="00FD1E4F" w:rsidRDefault="00FD1E4F" w:rsidP="00FD1E4F">
            <w:pPr>
              <w:spacing w:line="360" w:lineRule="auto"/>
              <w:ind w:firstLine="397"/>
              <w:jc w:val="left"/>
              <w:rPr>
                <w:rFonts w:ascii="Arial" w:hAnsi="Arial" w:cs="Arial"/>
                <w:sz w:val="22"/>
              </w:rPr>
            </w:pPr>
            <w:r w:rsidRPr="00FD1E4F">
              <w:rPr>
                <w:rFonts w:ascii="Arial" w:hAnsi="Arial" w:cs="Arial"/>
                <w:sz w:val="22"/>
              </w:rPr>
              <w:t>Particulars </w:t>
            </w:r>
          </w:p>
        </w:tc>
        <w:tc>
          <w:tcPr>
            <w:tcW w:w="0" w:type="auto"/>
            <w:hideMark/>
          </w:tcPr>
          <w:p w14:paraId="5E6C3651"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b/>
                <w:sz w:val="22"/>
              </w:rPr>
            </w:pPr>
            <w:r w:rsidRPr="00FD1E4F">
              <w:rPr>
                <w:rFonts w:ascii="Arial" w:hAnsi="Arial" w:cs="Arial"/>
                <w:b/>
                <w:sz w:val="22"/>
              </w:rPr>
              <w:t>2021 </w:t>
            </w:r>
            <w:r w:rsidRPr="00FD1E4F">
              <w:rPr>
                <w:rFonts w:ascii="Arial" w:eastAsia="Times New Roman" w:hAnsi="Arial" w:cs="Arial"/>
                <w:b/>
                <w:color w:val="000000"/>
                <w:sz w:val="22"/>
              </w:rPr>
              <w:t>(£)</w:t>
            </w:r>
          </w:p>
        </w:tc>
        <w:tc>
          <w:tcPr>
            <w:tcW w:w="0" w:type="auto"/>
            <w:hideMark/>
          </w:tcPr>
          <w:p w14:paraId="786CB2F1"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b/>
                <w:sz w:val="22"/>
              </w:rPr>
            </w:pPr>
            <w:r w:rsidRPr="00FD1E4F">
              <w:rPr>
                <w:rFonts w:ascii="Arial" w:hAnsi="Arial" w:cs="Arial"/>
                <w:b/>
                <w:sz w:val="22"/>
              </w:rPr>
              <w:t xml:space="preserve">2020 </w:t>
            </w:r>
            <w:r w:rsidRPr="00FD1E4F">
              <w:rPr>
                <w:rFonts w:ascii="Arial" w:eastAsia="Times New Roman" w:hAnsi="Arial" w:cs="Arial"/>
                <w:b/>
                <w:color w:val="000000"/>
                <w:sz w:val="22"/>
              </w:rPr>
              <w:t>(£)</w:t>
            </w:r>
          </w:p>
        </w:tc>
      </w:tr>
      <w:tr w:rsidR="00FD1E4F" w:rsidRPr="00FD1E4F" w14:paraId="2AD539C6" w14:textId="77777777" w:rsidTr="00706C84">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D4D716" w14:textId="77777777" w:rsidR="00FD1E4F" w:rsidRPr="00FD1E4F" w:rsidRDefault="00FD1E4F" w:rsidP="00FD1E4F">
            <w:pPr>
              <w:spacing w:line="360" w:lineRule="auto"/>
              <w:ind w:firstLine="397"/>
              <w:jc w:val="left"/>
              <w:rPr>
                <w:rFonts w:ascii="Arial" w:hAnsi="Arial" w:cs="Arial"/>
                <w:sz w:val="22"/>
              </w:rPr>
            </w:pPr>
            <w:r w:rsidRPr="00FD1E4F">
              <w:rPr>
                <w:rFonts w:ascii="Arial" w:hAnsi="Arial" w:cs="Arial"/>
                <w:b w:val="0"/>
                <w:sz w:val="22"/>
              </w:rPr>
              <w:t>Net income </w:t>
            </w:r>
          </w:p>
        </w:tc>
        <w:tc>
          <w:tcPr>
            <w:tcW w:w="0" w:type="auto"/>
            <w:hideMark/>
          </w:tcPr>
          <w:p w14:paraId="034C4063"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D1E4F">
              <w:rPr>
                <w:rFonts w:ascii="Arial" w:hAnsi="Arial" w:cs="Arial"/>
                <w:sz w:val="22"/>
              </w:rPr>
              <w:t>431 </w:t>
            </w:r>
          </w:p>
        </w:tc>
        <w:tc>
          <w:tcPr>
            <w:tcW w:w="0" w:type="auto"/>
            <w:hideMark/>
          </w:tcPr>
          <w:p w14:paraId="1F4EBDD4"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D1E4F">
              <w:rPr>
                <w:rFonts w:ascii="Arial" w:hAnsi="Arial" w:cs="Arial"/>
                <w:sz w:val="22"/>
              </w:rPr>
              <w:t>366</w:t>
            </w:r>
          </w:p>
        </w:tc>
      </w:tr>
      <w:tr w:rsidR="00FD1E4F" w:rsidRPr="00FD1E4F" w14:paraId="6FA31A5E" w14:textId="77777777" w:rsidTr="00706C84">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1161D8C" w14:textId="77777777" w:rsidR="00FD1E4F" w:rsidRPr="00FD1E4F" w:rsidRDefault="00FD1E4F" w:rsidP="00FD1E4F">
            <w:pPr>
              <w:spacing w:line="360" w:lineRule="auto"/>
              <w:ind w:firstLine="397"/>
              <w:jc w:val="left"/>
              <w:rPr>
                <w:rFonts w:ascii="Arial" w:hAnsi="Arial" w:cs="Arial"/>
                <w:sz w:val="22"/>
              </w:rPr>
            </w:pPr>
            <w:r w:rsidRPr="00FD1E4F">
              <w:rPr>
                <w:rFonts w:ascii="Arial" w:hAnsi="Arial" w:cs="Arial"/>
                <w:b w:val="0"/>
                <w:sz w:val="22"/>
              </w:rPr>
              <w:t>Shareholders’ equity </w:t>
            </w:r>
          </w:p>
        </w:tc>
        <w:tc>
          <w:tcPr>
            <w:tcW w:w="0" w:type="auto"/>
            <w:hideMark/>
          </w:tcPr>
          <w:p w14:paraId="58785BAD"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FD1E4F">
              <w:rPr>
                <w:rFonts w:ascii="Arial" w:hAnsi="Arial" w:cs="Arial"/>
                <w:sz w:val="22"/>
              </w:rPr>
              <w:t>300 </w:t>
            </w:r>
          </w:p>
        </w:tc>
        <w:tc>
          <w:tcPr>
            <w:tcW w:w="0" w:type="auto"/>
            <w:hideMark/>
          </w:tcPr>
          <w:p w14:paraId="1C61D132"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FD1E4F">
              <w:rPr>
                <w:rFonts w:ascii="Arial" w:hAnsi="Arial" w:cs="Arial"/>
                <w:sz w:val="22"/>
              </w:rPr>
              <w:t>300</w:t>
            </w:r>
          </w:p>
        </w:tc>
      </w:tr>
      <w:tr w:rsidR="00FD1E4F" w:rsidRPr="00FD1E4F" w14:paraId="60CAC472" w14:textId="77777777" w:rsidTr="00706C84">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37729F" w14:textId="77777777" w:rsidR="00FD1E4F" w:rsidRPr="00FD1E4F" w:rsidRDefault="00FD1E4F" w:rsidP="00FD1E4F">
            <w:pPr>
              <w:spacing w:line="360" w:lineRule="auto"/>
              <w:ind w:firstLine="397"/>
              <w:jc w:val="left"/>
              <w:rPr>
                <w:rFonts w:ascii="Arial" w:hAnsi="Arial" w:cs="Arial"/>
                <w:sz w:val="22"/>
              </w:rPr>
            </w:pPr>
            <w:r w:rsidRPr="00FD1E4F">
              <w:rPr>
                <w:rFonts w:ascii="Arial" w:hAnsi="Arial" w:cs="Arial"/>
                <w:sz w:val="22"/>
              </w:rPr>
              <w:t xml:space="preserve">(R.O.E= Net income / Shareholder’s Equity) </w:t>
            </w:r>
          </w:p>
        </w:tc>
        <w:tc>
          <w:tcPr>
            <w:tcW w:w="0" w:type="auto"/>
            <w:hideMark/>
          </w:tcPr>
          <w:p w14:paraId="6D351BF2"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FD1E4F">
              <w:rPr>
                <w:rFonts w:ascii="Arial" w:hAnsi="Arial" w:cs="Arial"/>
                <w:b/>
                <w:sz w:val="22"/>
              </w:rPr>
              <w:t>1.44</w:t>
            </w:r>
          </w:p>
        </w:tc>
        <w:tc>
          <w:tcPr>
            <w:tcW w:w="0" w:type="auto"/>
            <w:hideMark/>
          </w:tcPr>
          <w:p w14:paraId="297DF91E"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FD1E4F">
              <w:rPr>
                <w:rFonts w:ascii="Arial" w:hAnsi="Arial" w:cs="Arial"/>
                <w:b/>
                <w:sz w:val="22"/>
              </w:rPr>
              <w:t>1.22</w:t>
            </w:r>
          </w:p>
        </w:tc>
      </w:tr>
    </w:tbl>
    <w:p w14:paraId="5DDF2D5E" w14:textId="77777777" w:rsidR="00FD1E4F" w:rsidRPr="00FD1E4F" w:rsidRDefault="00FD1E4F" w:rsidP="00FD1E4F">
      <w:pPr>
        <w:spacing w:line="360" w:lineRule="auto"/>
        <w:ind w:firstLine="397"/>
        <w:rPr>
          <w:rFonts w:ascii="Arial" w:hAnsi="Arial" w:cs="Arial"/>
          <w:b/>
          <w:sz w:val="22"/>
        </w:rPr>
      </w:pPr>
    </w:p>
    <w:p w14:paraId="55DC54D3"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lastRenderedPageBreak/>
        <w:t>Analysis</w:t>
      </w:r>
    </w:p>
    <w:p w14:paraId="00AF0F27"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rPr>
        <w:t>In order to describe the company's financial situation, the ratio can be described as the relationship between the company's profit and the investor's return. Return on equities is used as an example to show how much money the specific corporation made from the investments of the company shareholders</w:t>
      </w:r>
      <w:sdt>
        <w:sdtPr>
          <w:rPr>
            <w:rFonts w:ascii="Arial" w:hAnsi="Arial" w:cs="Arial"/>
            <w:sz w:val="22"/>
          </w:rPr>
          <w:id w:val="1522822436"/>
          <w:citation/>
        </w:sdtPr>
        <w:sdtContent>
          <w:r w:rsidRPr="00FD1E4F">
            <w:rPr>
              <w:rFonts w:ascii="Arial" w:hAnsi="Arial" w:cs="Arial"/>
              <w:sz w:val="22"/>
            </w:rPr>
            <w:fldChar w:fldCharType="begin"/>
          </w:r>
          <w:r w:rsidRPr="00FD1E4F">
            <w:rPr>
              <w:rFonts w:ascii="Arial" w:hAnsi="Arial" w:cs="Arial"/>
              <w:sz w:val="22"/>
              <w:lang w:val="en-US"/>
            </w:rPr>
            <w:instrText xml:space="preserve"> CITATION CFI234 \l 1033 </w:instrText>
          </w:r>
          <w:r w:rsidRPr="00FD1E4F">
            <w:rPr>
              <w:rFonts w:ascii="Arial" w:hAnsi="Arial" w:cs="Arial"/>
              <w:sz w:val="22"/>
            </w:rPr>
            <w:fldChar w:fldCharType="separate"/>
          </w:r>
          <w:r w:rsidRPr="00FD1E4F">
            <w:rPr>
              <w:rFonts w:ascii="Arial" w:hAnsi="Arial" w:cs="Arial"/>
              <w:noProof/>
              <w:sz w:val="22"/>
              <w:lang w:val="en-US"/>
            </w:rPr>
            <w:t xml:space="preserve"> (CFI Team, 2023)</w:t>
          </w:r>
          <w:r w:rsidRPr="00FD1E4F">
            <w:rPr>
              <w:rFonts w:ascii="Arial" w:hAnsi="Arial" w:cs="Arial"/>
              <w:sz w:val="22"/>
            </w:rPr>
            <w:fldChar w:fldCharType="end"/>
          </w:r>
        </w:sdtContent>
      </w:sdt>
      <w:r w:rsidRPr="00FD1E4F">
        <w:rPr>
          <w:rFonts w:ascii="Arial" w:hAnsi="Arial" w:cs="Arial"/>
          <w:sz w:val="22"/>
        </w:rPr>
        <w:t>. Additionally, they have the ability to influence a company's internal growth through the reinvestment of earnings. The estimates shown above clearly show that the entity's return on capital employed increased from 1.22 in 2020 to 1.44 in 2021. The business is growing more efficiently and making appropriate use of its current resources to make a profit.</w:t>
      </w:r>
    </w:p>
    <w:p w14:paraId="56E4FF3E" w14:textId="77777777" w:rsidR="00FD1E4F" w:rsidRPr="00FD1E4F" w:rsidRDefault="00FD1E4F" w:rsidP="00FD1E4F">
      <w:pPr>
        <w:spacing w:line="360" w:lineRule="auto"/>
        <w:ind w:firstLine="397"/>
        <w:rPr>
          <w:rFonts w:ascii="Arial" w:hAnsi="Arial" w:cs="Arial"/>
          <w:b/>
          <w:i/>
          <w:sz w:val="22"/>
        </w:rPr>
      </w:pPr>
      <w:r w:rsidRPr="00FD1E4F">
        <w:rPr>
          <w:rFonts w:ascii="Arial" w:hAnsi="Arial" w:cs="Arial"/>
          <w:b/>
          <w:i/>
          <w:sz w:val="22"/>
        </w:rPr>
        <w:t xml:space="preserve">III. E.P.S  </w:t>
      </w:r>
    </w:p>
    <w:p w14:paraId="2A20D095"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Evaluation:</w:t>
      </w:r>
    </w:p>
    <w:tbl>
      <w:tblPr>
        <w:tblStyle w:val="GridTable5Dark-Accent1"/>
        <w:tblW w:w="0" w:type="auto"/>
        <w:jc w:val="center"/>
        <w:tblLook w:val="04A0" w:firstRow="1" w:lastRow="0" w:firstColumn="1" w:lastColumn="0" w:noHBand="0" w:noVBand="1"/>
      </w:tblPr>
      <w:tblGrid>
        <w:gridCol w:w="5096"/>
        <w:gridCol w:w="1483"/>
        <w:gridCol w:w="1214"/>
      </w:tblGrid>
      <w:tr w:rsidR="00FD1E4F" w:rsidRPr="00FD1E4F" w14:paraId="29B06AA9" w14:textId="77777777" w:rsidTr="00706C84">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7793" w:type="dxa"/>
            <w:gridSpan w:val="3"/>
            <w:hideMark/>
          </w:tcPr>
          <w:p w14:paraId="47EEA804" w14:textId="77777777" w:rsidR="00FD1E4F" w:rsidRPr="00FD1E4F" w:rsidRDefault="00FD1E4F" w:rsidP="00FD1E4F">
            <w:pPr>
              <w:spacing w:line="360" w:lineRule="auto"/>
              <w:ind w:firstLine="397"/>
              <w:jc w:val="center"/>
              <w:rPr>
                <w:rFonts w:ascii="Arial" w:eastAsia="Times New Roman" w:hAnsi="Arial" w:cs="Arial"/>
                <w:color w:val="auto"/>
                <w:sz w:val="22"/>
              </w:rPr>
            </w:pPr>
            <w:r w:rsidRPr="00FD1E4F">
              <w:rPr>
                <w:rFonts w:ascii="Arial" w:eastAsia="Times New Roman" w:hAnsi="Arial" w:cs="Arial"/>
                <w:color w:val="auto"/>
                <w:sz w:val="22"/>
              </w:rPr>
              <w:t>Evaluating Earnings per share</w:t>
            </w:r>
          </w:p>
        </w:tc>
      </w:tr>
      <w:tr w:rsidR="00FD1E4F" w:rsidRPr="00FD1E4F" w14:paraId="026C3FE3" w14:textId="77777777" w:rsidTr="00706C84">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FF89AA0" w14:textId="77777777" w:rsidR="00FD1E4F" w:rsidRPr="00FD1E4F" w:rsidRDefault="00FD1E4F" w:rsidP="00FD1E4F">
            <w:pPr>
              <w:spacing w:line="360" w:lineRule="auto"/>
              <w:ind w:firstLine="397"/>
              <w:rPr>
                <w:rFonts w:ascii="Arial" w:eastAsia="Times New Roman" w:hAnsi="Arial" w:cs="Arial"/>
                <w:color w:val="auto"/>
                <w:sz w:val="22"/>
              </w:rPr>
            </w:pPr>
            <w:r w:rsidRPr="00FD1E4F">
              <w:rPr>
                <w:rFonts w:ascii="Arial" w:eastAsia="Times New Roman" w:hAnsi="Arial" w:cs="Arial"/>
                <w:color w:val="auto"/>
                <w:sz w:val="22"/>
              </w:rPr>
              <w:t>Particulars </w:t>
            </w:r>
          </w:p>
        </w:tc>
        <w:tc>
          <w:tcPr>
            <w:tcW w:w="0" w:type="auto"/>
            <w:hideMark/>
          </w:tcPr>
          <w:p w14:paraId="2F50E609"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auto"/>
                <w:sz w:val="22"/>
              </w:rPr>
            </w:pPr>
            <w:r w:rsidRPr="00FD1E4F">
              <w:rPr>
                <w:rFonts w:ascii="Arial" w:eastAsia="Times New Roman" w:hAnsi="Arial" w:cs="Arial"/>
                <w:b/>
                <w:color w:val="auto"/>
                <w:sz w:val="22"/>
              </w:rPr>
              <w:t>2021 </w:t>
            </w:r>
            <w:r w:rsidRPr="00FD1E4F">
              <w:rPr>
                <w:rFonts w:ascii="Arial" w:eastAsia="Times New Roman" w:hAnsi="Arial" w:cs="Arial"/>
                <w:b/>
                <w:color w:val="000000"/>
                <w:sz w:val="22"/>
              </w:rPr>
              <w:t>(£)</w:t>
            </w:r>
          </w:p>
        </w:tc>
        <w:tc>
          <w:tcPr>
            <w:tcW w:w="1173" w:type="dxa"/>
            <w:hideMark/>
          </w:tcPr>
          <w:p w14:paraId="4D95AF20"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auto"/>
                <w:sz w:val="22"/>
              </w:rPr>
            </w:pPr>
            <w:r w:rsidRPr="00FD1E4F">
              <w:rPr>
                <w:rFonts w:ascii="Arial" w:eastAsia="Times New Roman" w:hAnsi="Arial" w:cs="Arial"/>
                <w:b/>
                <w:color w:val="auto"/>
                <w:sz w:val="22"/>
              </w:rPr>
              <w:t xml:space="preserve">2020 </w:t>
            </w:r>
            <w:r w:rsidRPr="00FD1E4F">
              <w:rPr>
                <w:rFonts w:ascii="Arial" w:eastAsia="Times New Roman" w:hAnsi="Arial" w:cs="Arial"/>
                <w:b/>
                <w:color w:val="000000"/>
                <w:sz w:val="22"/>
              </w:rPr>
              <w:t>(£)</w:t>
            </w:r>
          </w:p>
        </w:tc>
      </w:tr>
      <w:tr w:rsidR="00FD1E4F" w:rsidRPr="00FD1E4F" w14:paraId="2B6C0AAE" w14:textId="77777777" w:rsidTr="00706C84">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DDB921A" w14:textId="77777777" w:rsidR="00FD1E4F" w:rsidRPr="00FD1E4F" w:rsidRDefault="00FD1E4F" w:rsidP="00FD1E4F">
            <w:pPr>
              <w:spacing w:line="360" w:lineRule="auto"/>
              <w:ind w:firstLine="397"/>
              <w:rPr>
                <w:rFonts w:ascii="Arial" w:eastAsia="Times New Roman" w:hAnsi="Arial" w:cs="Arial"/>
                <w:color w:val="auto"/>
                <w:sz w:val="22"/>
              </w:rPr>
            </w:pPr>
            <w:r w:rsidRPr="00FD1E4F">
              <w:rPr>
                <w:rFonts w:ascii="Arial" w:eastAsia="Times New Roman" w:hAnsi="Arial" w:cs="Arial"/>
                <w:b w:val="0"/>
                <w:color w:val="auto"/>
                <w:sz w:val="22"/>
              </w:rPr>
              <w:t>Net income </w:t>
            </w:r>
          </w:p>
        </w:tc>
        <w:tc>
          <w:tcPr>
            <w:tcW w:w="0" w:type="auto"/>
            <w:hideMark/>
          </w:tcPr>
          <w:p w14:paraId="3B80B07C"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D1E4F">
              <w:rPr>
                <w:rFonts w:ascii="Arial" w:hAnsi="Arial" w:cs="Arial"/>
                <w:sz w:val="22"/>
              </w:rPr>
              <w:t>431 </w:t>
            </w:r>
          </w:p>
        </w:tc>
        <w:tc>
          <w:tcPr>
            <w:tcW w:w="1173" w:type="dxa"/>
            <w:hideMark/>
          </w:tcPr>
          <w:p w14:paraId="52FF6900"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D1E4F">
              <w:rPr>
                <w:rFonts w:ascii="Arial" w:hAnsi="Arial" w:cs="Arial"/>
                <w:sz w:val="22"/>
              </w:rPr>
              <w:t>366</w:t>
            </w:r>
          </w:p>
        </w:tc>
      </w:tr>
      <w:tr w:rsidR="00FD1E4F" w:rsidRPr="00FD1E4F" w14:paraId="0CAFA967" w14:textId="77777777" w:rsidTr="00706C84">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E27B57" w14:textId="77777777" w:rsidR="00FD1E4F" w:rsidRPr="00FD1E4F" w:rsidRDefault="00FD1E4F" w:rsidP="00FD1E4F">
            <w:pPr>
              <w:spacing w:line="360" w:lineRule="auto"/>
              <w:ind w:firstLine="397"/>
              <w:rPr>
                <w:rFonts w:ascii="Arial" w:eastAsia="Times New Roman" w:hAnsi="Arial" w:cs="Arial"/>
                <w:color w:val="auto"/>
                <w:sz w:val="22"/>
              </w:rPr>
            </w:pPr>
            <w:r w:rsidRPr="00FD1E4F">
              <w:rPr>
                <w:rFonts w:ascii="Arial" w:eastAsia="Times New Roman" w:hAnsi="Arial" w:cs="Arial"/>
                <w:b w:val="0"/>
                <w:color w:val="auto"/>
                <w:sz w:val="22"/>
              </w:rPr>
              <w:t>Equity Shares (300*0.5)</w:t>
            </w:r>
          </w:p>
        </w:tc>
        <w:tc>
          <w:tcPr>
            <w:tcW w:w="0" w:type="auto"/>
            <w:hideMark/>
          </w:tcPr>
          <w:p w14:paraId="0DA2B969"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FD1E4F">
              <w:rPr>
                <w:rFonts w:ascii="Arial" w:hAnsi="Arial" w:cs="Arial"/>
                <w:sz w:val="22"/>
              </w:rPr>
              <w:t>600</w:t>
            </w:r>
          </w:p>
        </w:tc>
        <w:tc>
          <w:tcPr>
            <w:tcW w:w="1173" w:type="dxa"/>
            <w:hideMark/>
          </w:tcPr>
          <w:p w14:paraId="36AFADEA"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FD1E4F">
              <w:rPr>
                <w:rFonts w:ascii="Arial" w:hAnsi="Arial" w:cs="Arial"/>
                <w:sz w:val="22"/>
              </w:rPr>
              <w:t>600</w:t>
            </w:r>
          </w:p>
        </w:tc>
      </w:tr>
      <w:tr w:rsidR="00FD1E4F" w:rsidRPr="00FD1E4F" w14:paraId="4F76889A" w14:textId="77777777" w:rsidTr="00706C84">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Pr>
          <w:p w14:paraId="4A027B28" w14:textId="77777777" w:rsidR="00FD1E4F" w:rsidRPr="00FD1E4F" w:rsidRDefault="00FD1E4F" w:rsidP="00FD1E4F">
            <w:pPr>
              <w:spacing w:line="360" w:lineRule="auto"/>
              <w:ind w:firstLine="397"/>
              <w:rPr>
                <w:rFonts w:ascii="Arial" w:eastAsia="Times New Roman" w:hAnsi="Arial" w:cs="Arial"/>
                <w:color w:val="auto"/>
                <w:sz w:val="22"/>
              </w:rPr>
            </w:pPr>
            <w:r w:rsidRPr="00FD1E4F">
              <w:rPr>
                <w:rFonts w:ascii="Arial" w:eastAsia="Times New Roman" w:hAnsi="Arial" w:cs="Arial"/>
                <w:color w:val="auto"/>
                <w:sz w:val="22"/>
              </w:rPr>
              <w:t>(EPS = Net Income / No. of equity shares)</w:t>
            </w:r>
          </w:p>
        </w:tc>
        <w:tc>
          <w:tcPr>
            <w:tcW w:w="0" w:type="auto"/>
          </w:tcPr>
          <w:p w14:paraId="5C3B83D9"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FD1E4F">
              <w:rPr>
                <w:rFonts w:ascii="Arial" w:hAnsi="Arial" w:cs="Arial"/>
                <w:b/>
                <w:sz w:val="22"/>
              </w:rPr>
              <w:t>0.72</w:t>
            </w:r>
          </w:p>
        </w:tc>
        <w:tc>
          <w:tcPr>
            <w:tcW w:w="1173" w:type="dxa"/>
          </w:tcPr>
          <w:p w14:paraId="723DFF42"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FD1E4F">
              <w:rPr>
                <w:rFonts w:ascii="Arial" w:hAnsi="Arial" w:cs="Arial"/>
                <w:b/>
                <w:sz w:val="22"/>
              </w:rPr>
              <w:t>0.61</w:t>
            </w:r>
          </w:p>
        </w:tc>
      </w:tr>
    </w:tbl>
    <w:p w14:paraId="11635F14" w14:textId="77777777" w:rsidR="00FD1E4F" w:rsidRPr="00FD1E4F" w:rsidRDefault="00FD1E4F" w:rsidP="00FD1E4F">
      <w:pPr>
        <w:spacing w:line="360" w:lineRule="auto"/>
        <w:ind w:firstLine="397"/>
        <w:rPr>
          <w:rFonts w:ascii="Arial" w:hAnsi="Arial" w:cs="Arial"/>
          <w:b/>
          <w:sz w:val="22"/>
        </w:rPr>
      </w:pPr>
    </w:p>
    <w:p w14:paraId="2C4341A8"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Analysis</w:t>
      </w:r>
    </w:p>
    <w:p w14:paraId="2B3A9722" w14:textId="77777777" w:rsidR="00FD1E4F" w:rsidRDefault="00FD1E4F" w:rsidP="00FD1E4F">
      <w:pPr>
        <w:spacing w:line="360" w:lineRule="auto"/>
        <w:ind w:firstLine="397"/>
        <w:rPr>
          <w:rFonts w:ascii="Arial" w:hAnsi="Arial" w:cs="Arial"/>
          <w:sz w:val="22"/>
        </w:rPr>
      </w:pPr>
      <w:r w:rsidRPr="00FD1E4F">
        <w:rPr>
          <w:rFonts w:ascii="Arial" w:hAnsi="Arial" w:cs="Arial"/>
          <w:sz w:val="22"/>
        </w:rPr>
        <w:t xml:space="preserve">Earnings per share, or E.P.S., are thought to be the most useful metric for assessing a company's profitability. Prior to buying shares, it is typically used to assess the company's ability to generate profits. Higher profits or a company that is worthwhile investing in can be determined by a company's higher earnings per share </w:t>
      </w:r>
      <w:r w:rsidRPr="00FD1E4F">
        <w:rPr>
          <w:rFonts w:ascii="Arial" w:hAnsi="Arial" w:cs="Arial"/>
          <w:sz w:val="22"/>
          <w:shd w:val="clear" w:color="auto" w:fill="FFFFFF"/>
        </w:rPr>
        <w:t xml:space="preserve">(Black </w:t>
      </w:r>
      <w:r w:rsidRPr="00FD1E4F">
        <w:rPr>
          <w:rFonts w:ascii="Arial" w:hAnsi="Arial" w:cs="Arial"/>
          <w:i/>
          <w:sz w:val="22"/>
          <w:shd w:val="clear" w:color="auto" w:fill="FFFFFF"/>
        </w:rPr>
        <w:t>et al</w:t>
      </w:r>
      <w:r w:rsidRPr="00FD1E4F">
        <w:rPr>
          <w:rFonts w:ascii="Arial" w:hAnsi="Arial" w:cs="Arial"/>
          <w:sz w:val="22"/>
          <w:shd w:val="clear" w:color="auto" w:fill="FFFFFF"/>
        </w:rPr>
        <w:t>., 2021)</w:t>
      </w:r>
      <w:r w:rsidRPr="00FD1E4F">
        <w:rPr>
          <w:rFonts w:ascii="Arial" w:hAnsi="Arial" w:cs="Arial"/>
          <w:sz w:val="22"/>
        </w:rPr>
        <w:t xml:space="preserve">. In- 2021 against 2020, when it was roughly 0.61, Sweets Plc's earnings per share increased to 0.72.  As the eps increases, investors are assured that their stakes in the firm are safe, and they have the potential to gradually boost dividend </w:t>
      </w:r>
      <w:proofErr w:type="spellStart"/>
      <w:r w:rsidRPr="00FD1E4F">
        <w:rPr>
          <w:rFonts w:ascii="Arial" w:hAnsi="Arial" w:cs="Arial"/>
          <w:sz w:val="22"/>
        </w:rPr>
        <w:t>payouts</w:t>
      </w:r>
      <w:proofErr w:type="spellEnd"/>
      <w:r w:rsidRPr="00FD1E4F">
        <w:rPr>
          <w:rFonts w:ascii="Arial" w:hAnsi="Arial" w:cs="Arial"/>
          <w:sz w:val="22"/>
        </w:rPr>
        <w:t>.</w:t>
      </w:r>
    </w:p>
    <w:p w14:paraId="35121AD5" w14:textId="77777777" w:rsidR="00FD1E4F" w:rsidRDefault="00FD1E4F" w:rsidP="00FD1E4F">
      <w:pPr>
        <w:spacing w:line="360" w:lineRule="auto"/>
        <w:ind w:firstLine="397"/>
        <w:rPr>
          <w:rFonts w:ascii="Arial" w:hAnsi="Arial" w:cs="Arial"/>
          <w:sz w:val="22"/>
        </w:rPr>
      </w:pPr>
    </w:p>
    <w:p w14:paraId="0EA029C7" w14:textId="77777777" w:rsidR="00FD1E4F" w:rsidRDefault="00FD1E4F" w:rsidP="00FD1E4F">
      <w:pPr>
        <w:spacing w:line="360" w:lineRule="auto"/>
        <w:ind w:firstLine="397"/>
        <w:rPr>
          <w:rFonts w:ascii="Arial" w:hAnsi="Arial" w:cs="Arial"/>
          <w:sz w:val="22"/>
        </w:rPr>
      </w:pPr>
    </w:p>
    <w:p w14:paraId="1A379B0D" w14:textId="77777777" w:rsidR="00FD1E4F" w:rsidRDefault="00FD1E4F" w:rsidP="00FD1E4F">
      <w:pPr>
        <w:spacing w:line="360" w:lineRule="auto"/>
        <w:ind w:firstLine="397"/>
        <w:rPr>
          <w:rFonts w:ascii="Arial" w:hAnsi="Arial" w:cs="Arial"/>
          <w:sz w:val="22"/>
        </w:rPr>
      </w:pPr>
    </w:p>
    <w:p w14:paraId="66F6D69B" w14:textId="77777777" w:rsidR="00FD1E4F" w:rsidRPr="00FD1E4F" w:rsidRDefault="00FD1E4F" w:rsidP="00FD1E4F">
      <w:pPr>
        <w:spacing w:line="360" w:lineRule="auto"/>
        <w:ind w:firstLine="397"/>
        <w:rPr>
          <w:rFonts w:ascii="Arial" w:hAnsi="Arial" w:cs="Arial"/>
          <w:sz w:val="22"/>
          <w:shd w:val="clear" w:color="auto" w:fill="FFFFFF"/>
        </w:rPr>
      </w:pPr>
    </w:p>
    <w:p w14:paraId="01C4C9AC" w14:textId="77777777" w:rsidR="00FD1E4F" w:rsidRPr="00FD1E4F" w:rsidRDefault="00FD1E4F" w:rsidP="00FD1E4F">
      <w:pPr>
        <w:spacing w:line="360" w:lineRule="auto"/>
        <w:ind w:firstLine="397"/>
        <w:rPr>
          <w:rFonts w:ascii="Arial" w:hAnsi="Arial" w:cs="Arial"/>
          <w:b/>
          <w:i/>
          <w:sz w:val="22"/>
        </w:rPr>
      </w:pPr>
      <w:r w:rsidRPr="00FD1E4F">
        <w:rPr>
          <w:rFonts w:ascii="Arial" w:hAnsi="Arial" w:cs="Arial"/>
          <w:b/>
          <w:i/>
          <w:sz w:val="22"/>
        </w:rPr>
        <w:lastRenderedPageBreak/>
        <w:t>IV. Net profit margin:</w:t>
      </w:r>
    </w:p>
    <w:p w14:paraId="7579888C"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Evaluation:</w:t>
      </w:r>
    </w:p>
    <w:tbl>
      <w:tblPr>
        <w:tblStyle w:val="GridTable5Dark-Accent1"/>
        <w:tblW w:w="0" w:type="auto"/>
        <w:jc w:val="center"/>
        <w:tblLook w:val="04A0" w:firstRow="1" w:lastRow="0" w:firstColumn="1" w:lastColumn="0" w:noHBand="0" w:noVBand="1"/>
      </w:tblPr>
      <w:tblGrid>
        <w:gridCol w:w="4446"/>
        <w:gridCol w:w="1433"/>
        <w:gridCol w:w="1433"/>
      </w:tblGrid>
      <w:tr w:rsidR="00FD1E4F" w:rsidRPr="00FD1E4F" w14:paraId="6FB3E31A" w14:textId="77777777" w:rsidTr="00706C84">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gridSpan w:val="3"/>
            <w:hideMark/>
          </w:tcPr>
          <w:p w14:paraId="5278647D" w14:textId="77777777" w:rsidR="00FD1E4F" w:rsidRPr="00FD1E4F" w:rsidRDefault="00FD1E4F" w:rsidP="00FD1E4F">
            <w:pPr>
              <w:spacing w:line="360" w:lineRule="auto"/>
              <w:ind w:firstLine="397"/>
              <w:jc w:val="center"/>
              <w:rPr>
                <w:rFonts w:ascii="Arial" w:hAnsi="Arial" w:cs="Arial"/>
                <w:color w:val="auto"/>
                <w:sz w:val="22"/>
              </w:rPr>
            </w:pPr>
            <w:r w:rsidRPr="00FD1E4F">
              <w:rPr>
                <w:rFonts w:ascii="Arial" w:hAnsi="Arial" w:cs="Arial"/>
                <w:color w:val="auto"/>
                <w:sz w:val="22"/>
              </w:rPr>
              <w:t>Estimating the NPM</w:t>
            </w:r>
          </w:p>
        </w:tc>
      </w:tr>
      <w:tr w:rsidR="00FD1E4F" w:rsidRPr="00FD1E4F" w14:paraId="5D897FB0" w14:textId="77777777" w:rsidTr="00706C84">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31C5886" w14:textId="77777777" w:rsidR="00FD1E4F" w:rsidRPr="00FD1E4F" w:rsidRDefault="00FD1E4F" w:rsidP="00FD1E4F">
            <w:pPr>
              <w:spacing w:line="360" w:lineRule="auto"/>
              <w:ind w:firstLine="397"/>
              <w:rPr>
                <w:rFonts w:ascii="Arial" w:eastAsia="Times New Roman" w:hAnsi="Arial" w:cs="Arial"/>
                <w:color w:val="auto"/>
                <w:sz w:val="22"/>
              </w:rPr>
            </w:pPr>
            <w:r w:rsidRPr="00FD1E4F">
              <w:rPr>
                <w:rFonts w:ascii="Arial" w:eastAsia="Times New Roman" w:hAnsi="Arial" w:cs="Arial"/>
                <w:color w:val="auto"/>
                <w:sz w:val="22"/>
              </w:rPr>
              <w:t>Particulars </w:t>
            </w:r>
          </w:p>
        </w:tc>
        <w:tc>
          <w:tcPr>
            <w:tcW w:w="0" w:type="auto"/>
            <w:hideMark/>
          </w:tcPr>
          <w:p w14:paraId="517D0517"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auto"/>
                <w:sz w:val="22"/>
              </w:rPr>
            </w:pPr>
            <w:r w:rsidRPr="00FD1E4F">
              <w:rPr>
                <w:rFonts w:ascii="Arial" w:eastAsia="Times New Roman" w:hAnsi="Arial" w:cs="Arial"/>
                <w:b/>
                <w:color w:val="auto"/>
                <w:sz w:val="22"/>
              </w:rPr>
              <w:t>2021</w:t>
            </w:r>
            <w:r w:rsidRPr="00FD1E4F">
              <w:rPr>
                <w:rFonts w:ascii="Arial" w:eastAsia="Times New Roman" w:hAnsi="Arial" w:cs="Arial"/>
                <w:b/>
                <w:color w:val="000000"/>
                <w:sz w:val="22"/>
              </w:rPr>
              <w:t>(£)</w:t>
            </w:r>
            <w:r w:rsidRPr="00FD1E4F">
              <w:rPr>
                <w:rFonts w:ascii="Arial" w:eastAsia="Times New Roman" w:hAnsi="Arial" w:cs="Arial"/>
                <w:b/>
                <w:color w:val="auto"/>
                <w:sz w:val="22"/>
              </w:rPr>
              <w:t> </w:t>
            </w:r>
          </w:p>
        </w:tc>
        <w:tc>
          <w:tcPr>
            <w:tcW w:w="0" w:type="auto"/>
            <w:hideMark/>
          </w:tcPr>
          <w:p w14:paraId="44391939"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auto"/>
                <w:sz w:val="22"/>
              </w:rPr>
            </w:pPr>
            <w:r w:rsidRPr="00FD1E4F">
              <w:rPr>
                <w:rFonts w:ascii="Arial" w:eastAsia="Times New Roman" w:hAnsi="Arial" w:cs="Arial"/>
                <w:b/>
                <w:color w:val="auto"/>
                <w:sz w:val="22"/>
              </w:rPr>
              <w:t xml:space="preserve">2020 </w:t>
            </w:r>
            <w:r w:rsidRPr="00FD1E4F">
              <w:rPr>
                <w:rFonts w:ascii="Arial" w:eastAsia="Times New Roman" w:hAnsi="Arial" w:cs="Arial"/>
                <w:b/>
                <w:color w:val="000000"/>
                <w:sz w:val="22"/>
              </w:rPr>
              <w:t>(£)</w:t>
            </w:r>
          </w:p>
        </w:tc>
      </w:tr>
      <w:tr w:rsidR="00FD1E4F" w:rsidRPr="00FD1E4F" w14:paraId="047FBA21" w14:textId="77777777" w:rsidTr="00706C84">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EF476EC" w14:textId="77777777" w:rsidR="00FD1E4F" w:rsidRPr="00FD1E4F" w:rsidRDefault="00FD1E4F" w:rsidP="00FD1E4F">
            <w:pPr>
              <w:spacing w:line="360" w:lineRule="auto"/>
              <w:ind w:firstLine="397"/>
              <w:rPr>
                <w:rFonts w:ascii="Arial" w:eastAsia="Times New Roman" w:hAnsi="Arial" w:cs="Arial"/>
                <w:color w:val="auto"/>
                <w:sz w:val="22"/>
              </w:rPr>
            </w:pPr>
            <w:r w:rsidRPr="00FD1E4F">
              <w:rPr>
                <w:rFonts w:ascii="Arial" w:eastAsia="Times New Roman" w:hAnsi="Arial" w:cs="Arial"/>
                <w:b w:val="0"/>
                <w:color w:val="auto"/>
                <w:sz w:val="22"/>
              </w:rPr>
              <w:t>Net profit </w:t>
            </w:r>
          </w:p>
        </w:tc>
        <w:tc>
          <w:tcPr>
            <w:tcW w:w="0" w:type="auto"/>
            <w:hideMark/>
          </w:tcPr>
          <w:p w14:paraId="038342D6"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 w:val="22"/>
              </w:rPr>
            </w:pPr>
            <w:r w:rsidRPr="00FD1E4F">
              <w:rPr>
                <w:rFonts w:ascii="Arial" w:eastAsia="Times New Roman" w:hAnsi="Arial" w:cs="Arial"/>
                <w:color w:val="auto"/>
                <w:sz w:val="22"/>
              </w:rPr>
              <w:t>431 </w:t>
            </w:r>
          </w:p>
        </w:tc>
        <w:tc>
          <w:tcPr>
            <w:tcW w:w="0" w:type="auto"/>
            <w:hideMark/>
          </w:tcPr>
          <w:p w14:paraId="5DA7AC09"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 w:val="22"/>
              </w:rPr>
            </w:pPr>
            <w:r w:rsidRPr="00FD1E4F">
              <w:rPr>
                <w:rFonts w:ascii="Arial" w:eastAsia="Times New Roman" w:hAnsi="Arial" w:cs="Arial"/>
                <w:color w:val="auto"/>
                <w:sz w:val="22"/>
              </w:rPr>
              <w:t>366</w:t>
            </w:r>
          </w:p>
        </w:tc>
      </w:tr>
      <w:tr w:rsidR="00FD1E4F" w:rsidRPr="00FD1E4F" w14:paraId="0BE233CE" w14:textId="77777777" w:rsidTr="00706C84">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31423D5" w14:textId="77777777" w:rsidR="00FD1E4F" w:rsidRPr="00FD1E4F" w:rsidRDefault="00FD1E4F" w:rsidP="00FD1E4F">
            <w:pPr>
              <w:spacing w:line="360" w:lineRule="auto"/>
              <w:ind w:firstLine="397"/>
              <w:rPr>
                <w:rFonts w:ascii="Arial" w:eastAsia="Times New Roman" w:hAnsi="Arial" w:cs="Arial"/>
                <w:color w:val="auto"/>
                <w:sz w:val="22"/>
              </w:rPr>
            </w:pPr>
            <w:r w:rsidRPr="00FD1E4F">
              <w:rPr>
                <w:rFonts w:ascii="Arial" w:eastAsia="Times New Roman" w:hAnsi="Arial" w:cs="Arial"/>
                <w:b w:val="0"/>
                <w:color w:val="auto"/>
                <w:sz w:val="22"/>
              </w:rPr>
              <w:t>Total revenue </w:t>
            </w:r>
          </w:p>
        </w:tc>
        <w:tc>
          <w:tcPr>
            <w:tcW w:w="0" w:type="auto"/>
            <w:hideMark/>
          </w:tcPr>
          <w:p w14:paraId="26AF83CA"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 w:val="22"/>
              </w:rPr>
            </w:pPr>
            <w:r w:rsidRPr="00FD1E4F">
              <w:rPr>
                <w:rFonts w:ascii="Arial" w:eastAsia="Times New Roman" w:hAnsi="Arial" w:cs="Arial"/>
                <w:color w:val="auto"/>
                <w:sz w:val="22"/>
              </w:rPr>
              <w:t>6738 </w:t>
            </w:r>
          </w:p>
        </w:tc>
        <w:tc>
          <w:tcPr>
            <w:tcW w:w="0" w:type="auto"/>
            <w:hideMark/>
          </w:tcPr>
          <w:p w14:paraId="365F94F4"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 w:val="22"/>
              </w:rPr>
            </w:pPr>
            <w:r w:rsidRPr="00FD1E4F">
              <w:rPr>
                <w:rFonts w:ascii="Arial" w:eastAsia="Times New Roman" w:hAnsi="Arial" w:cs="Arial"/>
                <w:color w:val="auto"/>
                <w:sz w:val="22"/>
              </w:rPr>
              <w:t>6441</w:t>
            </w:r>
          </w:p>
        </w:tc>
      </w:tr>
      <w:tr w:rsidR="00FD1E4F" w:rsidRPr="00FD1E4F" w14:paraId="402B7951" w14:textId="77777777" w:rsidTr="00706C84">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FEA0D2B" w14:textId="77777777" w:rsidR="00FD1E4F" w:rsidRPr="00FD1E4F" w:rsidRDefault="00FD1E4F" w:rsidP="00FD1E4F">
            <w:pPr>
              <w:spacing w:line="360" w:lineRule="auto"/>
              <w:ind w:firstLine="397"/>
              <w:rPr>
                <w:rFonts w:ascii="Arial" w:eastAsia="Times New Roman" w:hAnsi="Arial" w:cs="Arial"/>
                <w:color w:val="auto"/>
                <w:sz w:val="22"/>
              </w:rPr>
            </w:pPr>
            <w:r w:rsidRPr="00FD1E4F">
              <w:rPr>
                <w:rFonts w:ascii="Arial" w:eastAsia="Times New Roman" w:hAnsi="Arial" w:cs="Arial"/>
                <w:color w:val="auto"/>
                <w:sz w:val="22"/>
              </w:rPr>
              <w:t>{N P M= (Net profit / Revenue) * 100 }</w:t>
            </w:r>
          </w:p>
        </w:tc>
        <w:tc>
          <w:tcPr>
            <w:tcW w:w="0" w:type="auto"/>
            <w:hideMark/>
          </w:tcPr>
          <w:p w14:paraId="510838AF"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color w:val="auto"/>
                <w:sz w:val="22"/>
              </w:rPr>
            </w:pPr>
            <w:r w:rsidRPr="00FD1E4F">
              <w:rPr>
                <w:rFonts w:ascii="Arial" w:eastAsia="Times New Roman" w:hAnsi="Arial" w:cs="Arial"/>
                <w:b/>
                <w:color w:val="auto"/>
                <w:sz w:val="22"/>
              </w:rPr>
              <w:t>6.4</w:t>
            </w:r>
          </w:p>
        </w:tc>
        <w:tc>
          <w:tcPr>
            <w:tcW w:w="0" w:type="auto"/>
            <w:hideMark/>
          </w:tcPr>
          <w:p w14:paraId="43737A66"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color w:val="auto"/>
                <w:sz w:val="22"/>
              </w:rPr>
            </w:pPr>
            <w:r w:rsidRPr="00FD1E4F">
              <w:rPr>
                <w:rFonts w:ascii="Arial" w:eastAsia="Times New Roman" w:hAnsi="Arial" w:cs="Arial"/>
                <w:b/>
                <w:color w:val="auto"/>
                <w:sz w:val="22"/>
              </w:rPr>
              <w:t>5.7</w:t>
            </w:r>
          </w:p>
        </w:tc>
      </w:tr>
    </w:tbl>
    <w:p w14:paraId="5ED9DF3B" w14:textId="77777777" w:rsidR="00FD1E4F" w:rsidRPr="00FD1E4F" w:rsidRDefault="00FD1E4F" w:rsidP="00FD1E4F">
      <w:pPr>
        <w:spacing w:line="360" w:lineRule="auto"/>
        <w:ind w:firstLine="397"/>
        <w:rPr>
          <w:rFonts w:ascii="Arial" w:hAnsi="Arial" w:cs="Arial"/>
          <w:b/>
          <w:sz w:val="22"/>
        </w:rPr>
      </w:pPr>
    </w:p>
    <w:p w14:paraId="6755CD39"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Analysis</w:t>
      </w:r>
    </w:p>
    <w:p w14:paraId="61AEE809"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rPr>
        <w:t xml:space="preserve">The relevant margin of profit is portrayed as being one of the most important indicators of the ability of the entity to generate profits. As a precise revenue percentage, it is defined as the quantity of net revenue which is or can be earned. A profit retained after relevant expenses, taxes, and interest have been paid is also implied </w:t>
      </w:r>
      <w:r w:rsidRPr="00FD1E4F">
        <w:rPr>
          <w:rFonts w:ascii="Arial" w:hAnsi="Arial" w:cs="Arial"/>
          <w:sz w:val="22"/>
          <w:shd w:val="clear" w:color="auto" w:fill="FFFFFF"/>
        </w:rPr>
        <w:t>(</w:t>
      </w:r>
      <w:proofErr w:type="spellStart"/>
      <w:r w:rsidRPr="00FD1E4F">
        <w:rPr>
          <w:rFonts w:ascii="Arial" w:hAnsi="Arial" w:cs="Arial"/>
          <w:sz w:val="22"/>
          <w:shd w:val="clear" w:color="auto" w:fill="FFFFFF"/>
        </w:rPr>
        <w:t>Yanto</w:t>
      </w:r>
      <w:proofErr w:type="spellEnd"/>
      <w:r w:rsidRPr="00FD1E4F">
        <w:rPr>
          <w:rFonts w:ascii="Arial" w:hAnsi="Arial" w:cs="Arial"/>
          <w:sz w:val="22"/>
          <w:shd w:val="clear" w:color="auto" w:fill="FFFFFF"/>
        </w:rPr>
        <w:t xml:space="preserve"> </w:t>
      </w:r>
      <w:r w:rsidRPr="00FD1E4F">
        <w:rPr>
          <w:rFonts w:ascii="Arial" w:hAnsi="Arial" w:cs="Arial"/>
          <w:i/>
          <w:sz w:val="22"/>
          <w:shd w:val="clear" w:color="auto" w:fill="FFFFFF"/>
        </w:rPr>
        <w:t>et al</w:t>
      </w:r>
      <w:r w:rsidRPr="00FD1E4F">
        <w:rPr>
          <w:rFonts w:ascii="Arial" w:hAnsi="Arial" w:cs="Arial"/>
          <w:sz w:val="22"/>
          <w:shd w:val="clear" w:color="auto" w:fill="FFFFFF"/>
        </w:rPr>
        <w:t>., 2021)</w:t>
      </w:r>
      <w:r w:rsidRPr="00FD1E4F">
        <w:rPr>
          <w:rFonts w:ascii="Arial" w:hAnsi="Arial" w:cs="Arial"/>
          <w:sz w:val="22"/>
        </w:rPr>
        <w:t>. From the specific year 2020 (5.7%), Sweets Plc's net profit margin is increased to 6.4% in 2021. This company's position is examined since they are capable of keeping costs under control and selling their products for prices higher than their costs. The business also has effective pricing policies and effective operational management.</w:t>
      </w:r>
    </w:p>
    <w:p w14:paraId="0E08836E" w14:textId="77777777" w:rsidR="00FD1E4F" w:rsidRPr="00FD1E4F" w:rsidRDefault="00FD1E4F" w:rsidP="00FD1E4F">
      <w:pPr>
        <w:spacing w:line="360" w:lineRule="auto"/>
        <w:ind w:firstLine="397"/>
        <w:rPr>
          <w:rFonts w:ascii="Arial" w:hAnsi="Arial" w:cs="Arial"/>
          <w:b/>
          <w:i/>
          <w:sz w:val="22"/>
        </w:rPr>
      </w:pPr>
      <w:r w:rsidRPr="00FD1E4F">
        <w:rPr>
          <w:rFonts w:ascii="Arial" w:hAnsi="Arial" w:cs="Arial"/>
          <w:b/>
          <w:i/>
          <w:sz w:val="22"/>
        </w:rPr>
        <w:t>V. Assets Turnover Ratio (ATO)</w:t>
      </w:r>
    </w:p>
    <w:p w14:paraId="77A6C47C"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Evaluation:</w:t>
      </w:r>
    </w:p>
    <w:tbl>
      <w:tblPr>
        <w:tblStyle w:val="GridTable5Dark-Accent1"/>
        <w:tblW w:w="0" w:type="auto"/>
        <w:jc w:val="center"/>
        <w:tblLook w:val="04A0" w:firstRow="1" w:lastRow="0" w:firstColumn="1" w:lastColumn="0" w:noHBand="0" w:noVBand="1"/>
      </w:tblPr>
      <w:tblGrid>
        <w:gridCol w:w="6195"/>
        <w:gridCol w:w="1433"/>
        <w:gridCol w:w="1433"/>
      </w:tblGrid>
      <w:tr w:rsidR="00FD1E4F" w:rsidRPr="00FD1E4F" w14:paraId="72B049A7" w14:textId="77777777" w:rsidTr="00706C84">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gridSpan w:val="3"/>
            <w:hideMark/>
          </w:tcPr>
          <w:p w14:paraId="53CCCBB9" w14:textId="77777777" w:rsidR="00FD1E4F" w:rsidRPr="00FD1E4F" w:rsidRDefault="00FD1E4F" w:rsidP="00FD1E4F">
            <w:pPr>
              <w:spacing w:line="360" w:lineRule="auto"/>
              <w:ind w:firstLine="397"/>
              <w:jc w:val="center"/>
              <w:rPr>
                <w:rFonts w:ascii="Arial" w:eastAsia="Times New Roman" w:hAnsi="Arial" w:cs="Arial"/>
                <w:color w:val="auto"/>
                <w:sz w:val="22"/>
              </w:rPr>
            </w:pPr>
            <w:r w:rsidRPr="00FD1E4F">
              <w:rPr>
                <w:rFonts w:ascii="Arial" w:eastAsia="Times New Roman" w:hAnsi="Arial" w:cs="Arial"/>
                <w:color w:val="auto"/>
                <w:sz w:val="22"/>
              </w:rPr>
              <w:t>Calculating the A. T.O</w:t>
            </w:r>
          </w:p>
        </w:tc>
      </w:tr>
      <w:tr w:rsidR="00FD1E4F" w:rsidRPr="00FD1E4F" w14:paraId="10FB98D3" w14:textId="77777777" w:rsidTr="00706C84">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0067683" w14:textId="77777777" w:rsidR="00FD1E4F" w:rsidRPr="00FD1E4F" w:rsidRDefault="00FD1E4F" w:rsidP="00FD1E4F">
            <w:pPr>
              <w:spacing w:line="360" w:lineRule="auto"/>
              <w:ind w:firstLine="397"/>
              <w:rPr>
                <w:rFonts w:ascii="Arial" w:eastAsia="Times New Roman" w:hAnsi="Arial" w:cs="Arial"/>
                <w:sz w:val="22"/>
              </w:rPr>
            </w:pPr>
            <w:r w:rsidRPr="00FD1E4F">
              <w:rPr>
                <w:rFonts w:ascii="Arial" w:eastAsia="Times New Roman" w:hAnsi="Arial" w:cs="Arial"/>
                <w:color w:val="000000"/>
                <w:sz w:val="22"/>
              </w:rPr>
              <w:t>Particulars </w:t>
            </w:r>
          </w:p>
        </w:tc>
        <w:tc>
          <w:tcPr>
            <w:tcW w:w="0" w:type="auto"/>
            <w:hideMark/>
          </w:tcPr>
          <w:p w14:paraId="42FD80B1"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sz w:val="22"/>
              </w:rPr>
            </w:pPr>
            <w:r w:rsidRPr="00FD1E4F">
              <w:rPr>
                <w:rFonts w:ascii="Arial" w:eastAsia="Times New Roman" w:hAnsi="Arial" w:cs="Arial"/>
                <w:b/>
                <w:color w:val="000000"/>
                <w:sz w:val="22"/>
              </w:rPr>
              <w:t>2021(£) </w:t>
            </w:r>
          </w:p>
        </w:tc>
        <w:tc>
          <w:tcPr>
            <w:tcW w:w="0" w:type="auto"/>
            <w:hideMark/>
          </w:tcPr>
          <w:p w14:paraId="123EDEF2"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sz w:val="22"/>
              </w:rPr>
            </w:pPr>
            <w:r w:rsidRPr="00FD1E4F">
              <w:rPr>
                <w:rFonts w:ascii="Arial" w:eastAsia="Times New Roman" w:hAnsi="Arial" w:cs="Arial"/>
                <w:b/>
                <w:color w:val="000000"/>
                <w:sz w:val="22"/>
              </w:rPr>
              <w:t>2020 (£)</w:t>
            </w:r>
          </w:p>
        </w:tc>
      </w:tr>
      <w:tr w:rsidR="00FD1E4F" w:rsidRPr="00FD1E4F" w14:paraId="643FB7D4" w14:textId="77777777" w:rsidTr="00706C84">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F227EE4" w14:textId="77777777" w:rsidR="00FD1E4F" w:rsidRPr="00FD1E4F" w:rsidRDefault="00FD1E4F" w:rsidP="00FD1E4F">
            <w:pPr>
              <w:spacing w:line="360" w:lineRule="auto"/>
              <w:ind w:firstLine="397"/>
              <w:rPr>
                <w:rFonts w:ascii="Arial" w:eastAsia="Times New Roman" w:hAnsi="Arial" w:cs="Arial"/>
                <w:sz w:val="22"/>
              </w:rPr>
            </w:pPr>
            <w:r w:rsidRPr="00FD1E4F">
              <w:rPr>
                <w:rFonts w:ascii="Arial" w:eastAsia="Times New Roman" w:hAnsi="Arial" w:cs="Arial"/>
                <w:b w:val="0"/>
                <w:color w:val="000000"/>
                <w:sz w:val="22"/>
              </w:rPr>
              <w:t>Total revenue </w:t>
            </w:r>
          </w:p>
        </w:tc>
        <w:tc>
          <w:tcPr>
            <w:tcW w:w="0" w:type="auto"/>
            <w:hideMark/>
          </w:tcPr>
          <w:p w14:paraId="096AB910"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D1E4F">
              <w:rPr>
                <w:rFonts w:ascii="Arial" w:hAnsi="Arial" w:cs="Arial"/>
                <w:sz w:val="22"/>
              </w:rPr>
              <w:t>6738 </w:t>
            </w:r>
          </w:p>
        </w:tc>
        <w:tc>
          <w:tcPr>
            <w:tcW w:w="0" w:type="auto"/>
            <w:hideMark/>
          </w:tcPr>
          <w:p w14:paraId="5E4A522F"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D1E4F">
              <w:rPr>
                <w:rFonts w:ascii="Arial" w:hAnsi="Arial" w:cs="Arial"/>
                <w:sz w:val="22"/>
              </w:rPr>
              <w:t>6441</w:t>
            </w:r>
          </w:p>
        </w:tc>
      </w:tr>
      <w:tr w:rsidR="00FD1E4F" w:rsidRPr="00FD1E4F" w14:paraId="6EB65EA5" w14:textId="77777777" w:rsidTr="00706C84">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B7C2949" w14:textId="77777777" w:rsidR="00FD1E4F" w:rsidRPr="00FD1E4F" w:rsidRDefault="00FD1E4F" w:rsidP="00FD1E4F">
            <w:pPr>
              <w:spacing w:line="360" w:lineRule="auto"/>
              <w:ind w:firstLine="397"/>
              <w:rPr>
                <w:rFonts w:ascii="Arial" w:eastAsia="Times New Roman" w:hAnsi="Arial" w:cs="Arial"/>
                <w:sz w:val="22"/>
              </w:rPr>
            </w:pPr>
            <w:r w:rsidRPr="00FD1E4F">
              <w:rPr>
                <w:rFonts w:ascii="Arial" w:eastAsia="Times New Roman" w:hAnsi="Arial" w:cs="Arial"/>
                <w:b w:val="0"/>
                <w:color w:val="000000"/>
                <w:sz w:val="22"/>
              </w:rPr>
              <w:t>Total Asset </w:t>
            </w:r>
          </w:p>
        </w:tc>
        <w:tc>
          <w:tcPr>
            <w:tcW w:w="0" w:type="auto"/>
            <w:hideMark/>
          </w:tcPr>
          <w:p w14:paraId="6548DD96"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FD1E4F">
              <w:rPr>
                <w:rFonts w:ascii="Arial" w:hAnsi="Arial" w:cs="Arial"/>
                <w:sz w:val="22"/>
              </w:rPr>
              <w:t>9,736 </w:t>
            </w:r>
          </w:p>
        </w:tc>
        <w:tc>
          <w:tcPr>
            <w:tcW w:w="0" w:type="auto"/>
            <w:hideMark/>
          </w:tcPr>
          <w:p w14:paraId="3769BE4D"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FD1E4F">
              <w:rPr>
                <w:rFonts w:ascii="Arial" w:hAnsi="Arial" w:cs="Arial"/>
                <w:sz w:val="22"/>
              </w:rPr>
              <w:t>10,087</w:t>
            </w:r>
          </w:p>
        </w:tc>
      </w:tr>
      <w:tr w:rsidR="00FD1E4F" w:rsidRPr="00FD1E4F" w14:paraId="1C7C716C" w14:textId="77777777" w:rsidTr="00706C84">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559D580" w14:textId="77777777" w:rsidR="00FD1E4F" w:rsidRPr="00FD1E4F" w:rsidRDefault="00FD1E4F" w:rsidP="00FD1E4F">
            <w:pPr>
              <w:spacing w:line="360" w:lineRule="auto"/>
              <w:ind w:firstLine="397"/>
              <w:rPr>
                <w:rFonts w:ascii="Arial" w:eastAsia="Times New Roman" w:hAnsi="Arial" w:cs="Arial"/>
                <w:sz w:val="22"/>
              </w:rPr>
            </w:pPr>
            <w:r w:rsidRPr="00FD1E4F">
              <w:rPr>
                <w:rFonts w:ascii="Arial" w:eastAsia="Times New Roman" w:hAnsi="Arial" w:cs="Arial"/>
                <w:b w:val="0"/>
                <w:color w:val="000000"/>
                <w:sz w:val="22"/>
              </w:rPr>
              <w:t>Average total asset </w:t>
            </w:r>
          </w:p>
        </w:tc>
        <w:tc>
          <w:tcPr>
            <w:tcW w:w="0" w:type="auto"/>
            <w:hideMark/>
          </w:tcPr>
          <w:p w14:paraId="42608F8D"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D1E4F">
              <w:rPr>
                <w:rFonts w:ascii="Arial" w:hAnsi="Arial" w:cs="Arial"/>
                <w:sz w:val="22"/>
              </w:rPr>
              <w:t>9911.5 </w:t>
            </w:r>
          </w:p>
        </w:tc>
        <w:tc>
          <w:tcPr>
            <w:tcW w:w="0" w:type="auto"/>
            <w:hideMark/>
          </w:tcPr>
          <w:p w14:paraId="0D6FFE53"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D1E4F">
              <w:rPr>
                <w:rFonts w:ascii="Arial" w:hAnsi="Arial" w:cs="Arial"/>
                <w:sz w:val="22"/>
              </w:rPr>
              <w:t>5043.5</w:t>
            </w:r>
          </w:p>
        </w:tc>
      </w:tr>
      <w:tr w:rsidR="00FD1E4F" w:rsidRPr="00FD1E4F" w14:paraId="3E60B063" w14:textId="77777777" w:rsidTr="00706C84">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1809B5" w14:textId="77777777" w:rsidR="00FD1E4F" w:rsidRPr="00FD1E4F" w:rsidRDefault="00FD1E4F" w:rsidP="00FD1E4F">
            <w:pPr>
              <w:spacing w:line="360" w:lineRule="auto"/>
              <w:ind w:firstLine="397"/>
              <w:rPr>
                <w:rFonts w:ascii="Arial" w:eastAsia="Times New Roman" w:hAnsi="Arial" w:cs="Arial"/>
                <w:sz w:val="22"/>
              </w:rPr>
            </w:pPr>
            <w:r w:rsidRPr="00FD1E4F">
              <w:rPr>
                <w:rFonts w:ascii="Arial" w:eastAsia="Times New Roman" w:hAnsi="Arial" w:cs="Arial"/>
                <w:color w:val="000000"/>
                <w:sz w:val="22"/>
              </w:rPr>
              <w:t>(Asset turnover Ratio = Revenue/average total asset) </w:t>
            </w:r>
          </w:p>
        </w:tc>
        <w:tc>
          <w:tcPr>
            <w:tcW w:w="0" w:type="auto"/>
            <w:hideMark/>
          </w:tcPr>
          <w:p w14:paraId="4E395DEA"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b/>
                <w:sz w:val="22"/>
              </w:rPr>
            </w:pPr>
            <w:r w:rsidRPr="00FD1E4F">
              <w:rPr>
                <w:rFonts w:ascii="Arial" w:hAnsi="Arial" w:cs="Arial"/>
                <w:b/>
                <w:sz w:val="22"/>
              </w:rPr>
              <w:t>0.68</w:t>
            </w:r>
          </w:p>
        </w:tc>
        <w:tc>
          <w:tcPr>
            <w:tcW w:w="0" w:type="auto"/>
            <w:hideMark/>
          </w:tcPr>
          <w:p w14:paraId="09D4A8E9"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b/>
                <w:sz w:val="22"/>
              </w:rPr>
            </w:pPr>
            <w:r w:rsidRPr="00FD1E4F">
              <w:rPr>
                <w:rFonts w:ascii="Arial" w:hAnsi="Arial" w:cs="Arial"/>
                <w:b/>
                <w:sz w:val="22"/>
              </w:rPr>
              <w:t>1.28</w:t>
            </w:r>
          </w:p>
        </w:tc>
      </w:tr>
    </w:tbl>
    <w:p w14:paraId="1E5B9338" w14:textId="77777777" w:rsidR="00FD1E4F" w:rsidRPr="00FD1E4F" w:rsidRDefault="00FD1E4F" w:rsidP="00FD1E4F">
      <w:pPr>
        <w:spacing w:line="360" w:lineRule="auto"/>
        <w:ind w:firstLine="397"/>
        <w:rPr>
          <w:rFonts w:ascii="Arial" w:hAnsi="Arial" w:cs="Arial"/>
          <w:b/>
          <w:sz w:val="22"/>
        </w:rPr>
      </w:pPr>
    </w:p>
    <w:p w14:paraId="3A2B893C"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Analysis</w:t>
      </w:r>
    </w:p>
    <w:p w14:paraId="333C9DFC"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rPr>
        <w:t xml:space="preserve">This ratio is a measurement that determines how well a company uses its resources to generate the right kind of sales and revenues. The asset turnover ratio is employed to determine how many sales are produced from each dollar of the firm's assets by comparing the overall </w:t>
      </w:r>
      <w:r w:rsidRPr="00FD1E4F">
        <w:rPr>
          <w:rFonts w:ascii="Arial" w:hAnsi="Arial" w:cs="Arial"/>
          <w:sz w:val="22"/>
        </w:rPr>
        <w:lastRenderedPageBreak/>
        <w:t>revenue of the business to the relevant typical total number of assets (</w:t>
      </w:r>
      <w:proofErr w:type="spellStart"/>
      <w:r w:rsidRPr="00FD1E4F">
        <w:rPr>
          <w:rFonts w:ascii="Arial" w:hAnsi="Arial" w:cs="Arial"/>
          <w:sz w:val="22"/>
          <w:shd w:val="clear" w:color="auto" w:fill="FFFFFF"/>
        </w:rPr>
        <w:t>Tissen</w:t>
      </w:r>
      <w:proofErr w:type="spellEnd"/>
      <w:r w:rsidRPr="00FD1E4F">
        <w:rPr>
          <w:rFonts w:ascii="Arial" w:hAnsi="Arial" w:cs="Arial"/>
          <w:sz w:val="22"/>
          <w:shd w:val="clear" w:color="auto" w:fill="FFFFFF"/>
        </w:rPr>
        <w:t xml:space="preserve"> and </w:t>
      </w:r>
      <w:proofErr w:type="spellStart"/>
      <w:r w:rsidRPr="00FD1E4F">
        <w:rPr>
          <w:rFonts w:ascii="Arial" w:hAnsi="Arial" w:cs="Arial"/>
          <w:sz w:val="22"/>
          <w:shd w:val="clear" w:color="auto" w:fill="FFFFFF"/>
        </w:rPr>
        <w:t>Sneidere</w:t>
      </w:r>
      <w:proofErr w:type="spellEnd"/>
      <w:r w:rsidRPr="00FD1E4F">
        <w:rPr>
          <w:rFonts w:ascii="Arial" w:hAnsi="Arial" w:cs="Arial"/>
          <w:sz w:val="22"/>
          <w:shd w:val="clear" w:color="auto" w:fill="FFFFFF"/>
        </w:rPr>
        <w:t>, 2019)</w:t>
      </w:r>
      <w:r w:rsidRPr="00FD1E4F">
        <w:rPr>
          <w:rFonts w:ascii="Arial" w:hAnsi="Arial" w:cs="Arial"/>
          <w:sz w:val="22"/>
        </w:rPr>
        <w:t>. In accordance with the ratio estimate indicated above, the company's ratio decreased from 1.28 in 2020 to 0.68 in 2021. Due to the fact that the ratio must be greater than to be effective. In order to optimise the use of the assets, Sweet's plc must modify its routine business processes.</w:t>
      </w:r>
    </w:p>
    <w:p w14:paraId="3785A88F" w14:textId="77777777" w:rsidR="00FD1E4F" w:rsidRPr="00FD1E4F" w:rsidRDefault="00FD1E4F" w:rsidP="00FD1E4F">
      <w:pPr>
        <w:spacing w:line="360" w:lineRule="auto"/>
        <w:ind w:firstLine="397"/>
        <w:rPr>
          <w:rFonts w:ascii="Arial" w:hAnsi="Arial" w:cs="Arial"/>
          <w:b/>
          <w:i/>
          <w:sz w:val="22"/>
        </w:rPr>
      </w:pPr>
      <w:r w:rsidRPr="00FD1E4F">
        <w:rPr>
          <w:rFonts w:ascii="Arial" w:hAnsi="Arial" w:cs="Arial"/>
          <w:b/>
          <w:i/>
          <w:sz w:val="22"/>
        </w:rPr>
        <w:t>VI. Inventory/Stock holding days:</w:t>
      </w:r>
    </w:p>
    <w:p w14:paraId="1DA051E3"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Evaluation:</w:t>
      </w:r>
    </w:p>
    <w:tbl>
      <w:tblPr>
        <w:tblStyle w:val="GridTable5Dark-Accent1"/>
        <w:tblW w:w="0" w:type="auto"/>
        <w:jc w:val="center"/>
        <w:tblLayout w:type="fixed"/>
        <w:tblLook w:val="04A0" w:firstRow="1" w:lastRow="0" w:firstColumn="1" w:lastColumn="0" w:noHBand="0" w:noVBand="1"/>
      </w:tblPr>
      <w:tblGrid>
        <w:gridCol w:w="5665"/>
        <w:gridCol w:w="1460"/>
        <w:gridCol w:w="1497"/>
      </w:tblGrid>
      <w:tr w:rsidR="00FD1E4F" w:rsidRPr="00FD1E4F" w14:paraId="7D04E969" w14:textId="77777777" w:rsidTr="00706C84">
        <w:trPr>
          <w:cnfStyle w:val="100000000000" w:firstRow="1" w:lastRow="0" w:firstColumn="0" w:lastColumn="0" w:oddVBand="0" w:evenVBand="0" w:oddHBand="0" w:evenHBand="0" w:firstRowFirstColumn="0" w:firstRowLastColumn="0" w:lastRowFirstColumn="0" w:lastRowLastColumn="0"/>
          <w:trHeight w:val="274"/>
          <w:jc w:val="center"/>
        </w:trPr>
        <w:tc>
          <w:tcPr>
            <w:cnfStyle w:val="001000000000" w:firstRow="0" w:lastRow="0" w:firstColumn="1" w:lastColumn="0" w:oddVBand="0" w:evenVBand="0" w:oddHBand="0" w:evenHBand="0" w:firstRowFirstColumn="0" w:firstRowLastColumn="0" w:lastRowFirstColumn="0" w:lastRowLastColumn="0"/>
            <w:tcW w:w="8622" w:type="dxa"/>
            <w:gridSpan w:val="3"/>
          </w:tcPr>
          <w:p w14:paraId="2A72466F" w14:textId="77777777" w:rsidR="00FD1E4F" w:rsidRPr="00FD1E4F" w:rsidRDefault="00FD1E4F" w:rsidP="00FD1E4F">
            <w:pPr>
              <w:spacing w:line="360" w:lineRule="auto"/>
              <w:ind w:firstLine="397"/>
              <w:jc w:val="center"/>
              <w:rPr>
                <w:rFonts w:ascii="Arial" w:hAnsi="Arial" w:cs="Arial"/>
                <w:color w:val="auto"/>
                <w:sz w:val="22"/>
              </w:rPr>
            </w:pPr>
            <w:r w:rsidRPr="00FD1E4F">
              <w:rPr>
                <w:rFonts w:ascii="Arial" w:hAnsi="Arial" w:cs="Arial"/>
                <w:color w:val="auto"/>
                <w:sz w:val="22"/>
              </w:rPr>
              <w:t>Calculation of Inventory Holding Days</w:t>
            </w:r>
          </w:p>
        </w:tc>
      </w:tr>
      <w:tr w:rsidR="00FD1E4F" w:rsidRPr="00FD1E4F" w14:paraId="3385F74C" w14:textId="77777777" w:rsidTr="00706C84">
        <w:trPr>
          <w:cnfStyle w:val="000000100000" w:firstRow="0" w:lastRow="0" w:firstColumn="0" w:lastColumn="0" w:oddVBand="0" w:evenVBand="0" w:oddHBand="1" w:evenHBand="0" w:firstRowFirstColumn="0" w:firstRowLastColumn="0" w:lastRowFirstColumn="0" w:lastRowLastColumn="0"/>
          <w:trHeight w:val="274"/>
          <w:jc w:val="center"/>
        </w:trPr>
        <w:tc>
          <w:tcPr>
            <w:cnfStyle w:val="001000000000" w:firstRow="0" w:lastRow="0" w:firstColumn="1" w:lastColumn="0" w:oddVBand="0" w:evenVBand="0" w:oddHBand="0" w:evenHBand="0" w:firstRowFirstColumn="0" w:firstRowLastColumn="0" w:lastRowFirstColumn="0" w:lastRowLastColumn="0"/>
            <w:tcW w:w="5665" w:type="dxa"/>
          </w:tcPr>
          <w:p w14:paraId="407B6039" w14:textId="77777777" w:rsidR="00FD1E4F" w:rsidRPr="00FD1E4F" w:rsidRDefault="00FD1E4F" w:rsidP="00FD1E4F">
            <w:pPr>
              <w:spacing w:line="360" w:lineRule="auto"/>
              <w:ind w:firstLine="397"/>
              <w:rPr>
                <w:rFonts w:ascii="Arial" w:eastAsia="Times New Roman" w:hAnsi="Arial" w:cs="Arial"/>
                <w:color w:val="auto"/>
                <w:sz w:val="22"/>
              </w:rPr>
            </w:pPr>
            <w:r w:rsidRPr="00FD1E4F">
              <w:rPr>
                <w:rFonts w:ascii="Arial" w:eastAsia="Times New Roman" w:hAnsi="Arial" w:cs="Arial"/>
                <w:color w:val="auto"/>
                <w:sz w:val="22"/>
              </w:rPr>
              <w:t>Particulars </w:t>
            </w:r>
          </w:p>
        </w:tc>
        <w:tc>
          <w:tcPr>
            <w:tcW w:w="1460" w:type="dxa"/>
          </w:tcPr>
          <w:p w14:paraId="582746F1"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auto"/>
                <w:sz w:val="22"/>
              </w:rPr>
            </w:pPr>
            <w:r w:rsidRPr="00FD1E4F">
              <w:rPr>
                <w:rFonts w:ascii="Arial" w:eastAsia="Times New Roman" w:hAnsi="Arial" w:cs="Arial"/>
                <w:b/>
                <w:color w:val="auto"/>
                <w:sz w:val="22"/>
              </w:rPr>
              <w:t>2021</w:t>
            </w:r>
            <w:r w:rsidRPr="00FD1E4F">
              <w:rPr>
                <w:rFonts w:ascii="Arial" w:eastAsia="Times New Roman" w:hAnsi="Arial" w:cs="Arial"/>
                <w:b/>
                <w:color w:val="000000"/>
                <w:sz w:val="22"/>
              </w:rPr>
              <w:t>(£)</w:t>
            </w:r>
          </w:p>
        </w:tc>
        <w:tc>
          <w:tcPr>
            <w:tcW w:w="1497" w:type="dxa"/>
          </w:tcPr>
          <w:p w14:paraId="75D97C64"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b/>
                <w:color w:val="auto"/>
                <w:sz w:val="22"/>
              </w:rPr>
            </w:pPr>
            <w:r w:rsidRPr="00FD1E4F">
              <w:rPr>
                <w:rFonts w:ascii="Arial" w:hAnsi="Arial" w:cs="Arial"/>
                <w:b/>
                <w:color w:val="auto"/>
                <w:sz w:val="22"/>
              </w:rPr>
              <w:t>2020</w:t>
            </w:r>
            <w:r w:rsidRPr="00FD1E4F">
              <w:rPr>
                <w:rFonts w:ascii="Arial" w:eastAsia="Times New Roman" w:hAnsi="Arial" w:cs="Arial"/>
                <w:b/>
                <w:color w:val="000000"/>
                <w:sz w:val="22"/>
              </w:rPr>
              <w:t>(£)</w:t>
            </w:r>
          </w:p>
        </w:tc>
      </w:tr>
      <w:tr w:rsidR="00FD1E4F" w:rsidRPr="00FD1E4F" w14:paraId="41FACF10" w14:textId="77777777" w:rsidTr="00706C84">
        <w:trPr>
          <w:trHeight w:val="274"/>
          <w:jc w:val="center"/>
        </w:trPr>
        <w:tc>
          <w:tcPr>
            <w:cnfStyle w:val="001000000000" w:firstRow="0" w:lastRow="0" w:firstColumn="1" w:lastColumn="0" w:oddVBand="0" w:evenVBand="0" w:oddHBand="0" w:evenHBand="0" w:firstRowFirstColumn="0" w:firstRowLastColumn="0" w:lastRowFirstColumn="0" w:lastRowLastColumn="0"/>
            <w:tcW w:w="5665" w:type="dxa"/>
            <w:hideMark/>
          </w:tcPr>
          <w:p w14:paraId="356CF8E6" w14:textId="77777777" w:rsidR="00FD1E4F" w:rsidRPr="00FD1E4F" w:rsidRDefault="00FD1E4F" w:rsidP="00FD1E4F">
            <w:pPr>
              <w:spacing w:line="360" w:lineRule="auto"/>
              <w:ind w:firstLine="397"/>
              <w:rPr>
                <w:rFonts w:ascii="Arial" w:eastAsia="Times New Roman" w:hAnsi="Arial" w:cs="Arial"/>
                <w:color w:val="auto"/>
                <w:sz w:val="22"/>
              </w:rPr>
            </w:pPr>
            <w:r w:rsidRPr="00FD1E4F">
              <w:rPr>
                <w:rFonts w:ascii="Arial" w:eastAsia="Times New Roman" w:hAnsi="Arial" w:cs="Arial"/>
                <w:b w:val="0"/>
                <w:color w:val="auto"/>
                <w:sz w:val="22"/>
              </w:rPr>
              <w:t>Closing stock </w:t>
            </w:r>
          </w:p>
        </w:tc>
        <w:tc>
          <w:tcPr>
            <w:tcW w:w="1460" w:type="dxa"/>
            <w:hideMark/>
          </w:tcPr>
          <w:p w14:paraId="309564AD"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 w:val="22"/>
              </w:rPr>
            </w:pPr>
            <w:r w:rsidRPr="00FD1E4F">
              <w:rPr>
                <w:rFonts w:ascii="Arial" w:eastAsia="Times New Roman" w:hAnsi="Arial" w:cs="Arial"/>
                <w:color w:val="auto"/>
                <w:sz w:val="22"/>
              </w:rPr>
              <w:t>708</w:t>
            </w:r>
          </w:p>
        </w:tc>
        <w:tc>
          <w:tcPr>
            <w:tcW w:w="1497" w:type="dxa"/>
          </w:tcPr>
          <w:p w14:paraId="6E440182"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 w:val="22"/>
              </w:rPr>
            </w:pPr>
            <w:r w:rsidRPr="00FD1E4F">
              <w:rPr>
                <w:rFonts w:ascii="Arial" w:hAnsi="Arial" w:cs="Arial"/>
                <w:color w:val="auto"/>
                <w:sz w:val="22"/>
              </w:rPr>
              <w:t>659</w:t>
            </w:r>
          </w:p>
        </w:tc>
      </w:tr>
      <w:tr w:rsidR="00FD1E4F" w:rsidRPr="00FD1E4F" w14:paraId="4A02B9C9" w14:textId="77777777" w:rsidTr="00706C84">
        <w:trPr>
          <w:cnfStyle w:val="000000100000" w:firstRow="0" w:lastRow="0" w:firstColumn="0" w:lastColumn="0" w:oddVBand="0" w:evenVBand="0" w:oddHBand="1" w:evenHBand="0" w:firstRowFirstColumn="0" w:firstRowLastColumn="0" w:lastRowFirstColumn="0" w:lastRowLastColumn="0"/>
          <w:trHeight w:val="274"/>
          <w:jc w:val="center"/>
        </w:trPr>
        <w:tc>
          <w:tcPr>
            <w:cnfStyle w:val="001000000000" w:firstRow="0" w:lastRow="0" w:firstColumn="1" w:lastColumn="0" w:oddVBand="0" w:evenVBand="0" w:oddHBand="0" w:evenHBand="0" w:firstRowFirstColumn="0" w:firstRowLastColumn="0" w:lastRowFirstColumn="0" w:lastRowLastColumn="0"/>
            <w:tcW w:w="5665" w:type="dxa"/>
            <w:hideMark/>
          </w:tcPr>
          <w:p w14:paraId="4DE675F3" w14:textId="77777777" w:rsidR="00FD1E4F" w:rsidRPr="00FD1E4F" w:rsidRDefault="00FD1E4F" w:rsidP="00FD1E4F">
            <w:pPr>
              <w:spacing w:line="360" w:lineRule="auto"/>
              <w:ind w:firstLine="397"/>
              <w:rPr>
                <w:rFonts w:ascii="Arial" w:eastAsia="Times New Roman" w:hAnsi="Arial" w:cs="Arial"/>
                <w:color w:val="auto"/>
                <w:sz w:val="22"/>
              </w:rPr>
            </w:pPr>
            <w:r w:rsidRPr="00FD1E4F">
              <w:rPr>
                <w:rFonts w:ascii="Arial" w:eastAsia="Times New Roman" w:hAnsi="Arial" w:cs="Arial"/>
                <w:b w:val="0"/>
                <w:color w:val="auto"/>
                <w:sz w:val="22"/>
              </w:rPr>
              <w:t>Cost of goods sold </w:t>
            </w:r>
          </w:p>
        </w:tc>
        <w:tc>
          <w:tcPr>
            <w:tcW w:w="1460" w:type="dxa"/>
            <w:hideMark/>
          </w:tcPr>
          <w:p w14:paraId="1D47BCA7"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 w:val="22"/>
              </w:rPr>
            </w:pPr>
            <w:r w:rsidRPr="00FD1E4F">
              <w:rPr>
                <w:rFonts w:ascii="Arial" w:eastAsia="Times New Roman" w:hAnsi="Arial" w:cs="Arial"/>
                <w:color w:val="auto"/>
                <w:sz w:val="22"/>
              </w:rPr>
              <w:t>3235</w:t>
            </w:r>
          </w:p>
        </w:tc>
        <w:tc>
          <w:tcPr>
            <w:tcW w:w="1497" w:type="dxa"/>
          </w:tcPr>
          <w:p w14:paraId="641D102F"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 w:val="22"/>
              </w:rPr>
            </w:pPr>
            <w:r w:rsidRPr="00FD1E4F">
              <w:rPr>
                <w:rFonts w:ascii="Arial" w:hAnsi="Arial" w:cs="Arial"/>
                <w:color w:val="auto"/>
                <w:sz w:val="22"/>
              </w:rPr>
              <w:t>3096</w:t>
            </w:r>
          </w:p>
        </w:tc>
      </w:tr>
      <w:tr w:rsidR="00FD1E4F" w:rsidRPr="00FD1E4F" w14:paraId="546AD6CC" w14:textId="77777777" w:rsidTr="00706C84">
        <w:trPr>
          <w:trHeight w:val="458"/>
          <w:jc w:val="center"/>
        </w:trPr>
        <w:tc>
          <w:tcPr>
            <w:cnfStyle w:val="001000000000" w:firstRow="0" w:lastRow="0" w:firstColumn="1" w:lastColumn="0" w:oddVBand="0" w:evenVBand="0" w:oddHBand="0" w:evenHBand="0" w:firstRowFirstColumn="0" w:firstRowLastColumn="0" w:lastRowFirstColumn="0" w:lastRowLastColumn="0"/>
            <w:tcW w:w="5665" w:type="dxa"/>
            <w:hideMark/>
          </w:tcPr>
          <w:p w14:paraId="659E1E46" w14:textId="77777777" w:rsidR="00FD1E4F" w:rsidRPr="00FD1E4F" w:rsidRDefault="00FD1E4F" w:rsidP="00FD1E4F">
            <w:pPr>
              <w:spacing w:line="360" w:lineRule="auto"/>
              <w:ind w:firstLine="397"/>
              <w:rPr>
                <w:rFonts w:ascii="Arial" w:eastAsia="Times New Roman" w:hAnsi="Arial" w:cs="Arial"/>
                <w:color w:val="auto"/>
                <w:sz w:val="22"/>
              </w:rPr>
            </w:pPr>
            <w:r w:rsidRPr="00FD1E4F">
              <w:rPr>
                <w:rFonts w:ascii="Arial" w:eastAsia="Times New Roman" w:hAnsi="Arial" w:cs="Arial"/>
                <w:color w:val="auto"/>
                <w:sz w:val="22"/>
              </w:rPr>
              <w:t>{Stock holding days= (Closing stock / COGS) * 365 }</w:t>
            </w:r>
          </w:p>
        </w:tc>
        <w:tc>
          <w:tcPr>
            <w:tcW w:w="1460" w:type="dxa"/>
            <w:hideMark/>
          </w:tcPr>
          <w:p w14:paraId="7DFC3D7D"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color w:val="auto"/>
                <w:sz w:val="22"/>
              </w:rPr>
            </w:pPr>
            <w:r w:rsidRPr="00FD1E4F">
              <w:rPr>
                <w:rFonts w:ascii="Arial" w:eastAsia="Times New Roman" w:hAnsi="Arial" w:cs="Arial"/>
                <w:b/>
                <w:color w:val="auto"/>
                <w:sz w:val="22"/>
              </w:rPr>
              <w:t>79.88</w:t>
            </w:r>
          </w:p>
        </w:tc>
        <w:tc>
          <w:tcPr>
            <w:tcW w:w="1497" w:type="dxa"/>
          </w:tcPr>
          <w:p w14:paraId="50CFF159" w14:textId="77777777" w:rsidR="00FD1E4F" w:rsidRPr="00FD1E4F" w:rsidRDefault="00FD1E4F" w:rsidP="00FD1E4F">
            <w:pPr>
              <w:pStyle w:val="NormalWeb"/>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FD1E4F">
              <w:rPr>
                <w:rFonts w:ascii="Arial" w:hAnsi="Arial" w:cs="Arial"/>
                <w:b/>
                <w:sz w:val="22"/>
                <w:szCs w:val="22"/>
              </w:rPr>
              <w:t>77.69</w:t>
            </w:r>
          </w:p>
        </w:tc>
      </w:tr>
    </w:tbl>
    <w:p w14:paraId="21BF266E" w14:textId="77777777" w:rsidR="00FD1E4F" w:rsidRPr="00FD1E4F" w:rsidRDefault="00FD1E4F" w:rsidP="00FD1E4F">
      <w:pPr>
        <w:spacing w:line="360" w:lineRule="auto"/>
        <w:ind w:firstLine="397"/>
        <w:rPr>
          <w:rFonts w:ascii="Arial" w:hAnsi="Arial" w:cs="Arial"/>
          <w:b/>
          <w:sz w:val="22"/>
        </w:rPr>
      </w:pPr>
    </w:p>
    <w:p w14:paraId="3D320707"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Analysis</w:t>
      </w:r>
    </w:p>
    <w:p w14:paraId="434472CE"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rPr>
        <w:t>To assess the managers' performance and gauge the firm's liquidity, stock holding, also known as the inventory holding period, is indicated. According to the figures given above, 79.88 more stock-holding days were recorded in 2021 than they were in the previous year</w:t>
      </w:r>
      <w:r w:rsidRPr="00FD1E4F">
        <w:rPr>
          <w:rFonts w:ascii="Arial" w:hAnsi="Arial" w:cs="Arial"/>
          <w:sz w:val="22"/>
          <w:shd w:val="clear" w:color="auto" w:fill="FFFFFF"/>
        </w:rPr>
        <w:t xml:space="preserve"> (Le, 2019)</w:t>
      </w:r>
      <w:r w:rsidRPr="00FD1E4F">
        <w:rPr>
          <w:rFonts w:ascii="Arial" w:hAnsi="Arial" w:cs="Arial"/>
          <w:sz w:val="22"/>
        </w:rPr>
        <w:t>. It indicates that sales are at a minimum as a result of changes in accordance with trends, and it is an early alert for the company.</w:t>
      </w:r>
    </w:p>
    <w:p w14:paraId="33F52BD1" w14:textId="77777777" w:rsidR="00FD1E4F" w:rsidRPr="00FD1E4F" w:rsidRDefault="00FD1E4F" w:rsidP="00FD1E4F">
      <w:pPr>
        <w:spacing w:line="360" w:lineRule="auto"/>
        <w:ind w:firstLine="397"/>
        <w:rPr>
          <w:rFonts w:ascii="Arial" w:hAnsi="Arial" w:cs="Arial"/>
          <w:b/>
          <w:i/>
          <w:sz w:val="22"/>
        </w:rPr>
      </w:pPr>
      <w:r w:rsidRPr="00FD1E4F">
        <w:rPr>
          <w:rFonts w:ascii="Arial" w:hAnsi="Arial" w:cs="Arial"/>
          <w:b/>
          <w:i/>
          <w:sz w:val="22"/>
        </w:rPr>
        <w:t>VII. Period of Debtor Collection:</w:t>
      </w:r>
    </w:p>
    <w:p w14:paraId="5F9EC8BD"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Evaluation:</w:t>
      </w:r>
    </w:p>
    <w:tbl>
      <w:tblPr>
        <w:tblStyle w:val="GridTable5Dark-Accent1"/>
        <w:tblW w:w="0" w:type="auto"/>
        <w:tblLook w:val="04A0" w:firstRow="1" w:lastRow="0" w:firstColumn="1" w:lastColumn="0" w:noHBand="0" w:noVBand="1"/>
      </w:tblPr>
      <w:tblGrid>
        <w:gridCol w:w="6606"/>
        <w:gridCol w:w="1372"/>
        <w:gridCol w:w="1372"/>
      </w:tblGrid>
      <w:tr w:rsidR="00FD1E4F" w:rsidRPr="00FD1E4F" w14:paraId="200349B8" w14:textId="77777777" w:rsidTr="00706C84">
        <w:trPr>
          <w:cnfStyle w:val="100000000000" w:firstRow="1" w:lastRow="0" w:firstColumn="0" w:lastColumn="0" w:oddVBand="0" w:evenVBand="0" w:oddHBand="0"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0" w:type="auto"/>
            <w:gridSpan w:val="3"/>
          </w:tcPr>
          <w:p w14:paraId="6987F65D" w14:textId="77777777" w:rsidR="00FD1E4F" w:rsidRPr="00FD1E4F" w:rsidRDefault="00FD1E4F" w:rsidP="00FD1E4F">
            <w:pPr>
              <w:spacing w:line="360" w:lineRule="auto"/>
              <w:ind w:firstLine="397"/>
              <w:jc w:val="center"/>
              <w:rPr>
                <w:rFonts w:ascii="Arial" w:hAnsi="Arial" w:cs="Arial"/>
                <w:color w:val="auto"/>
                <w:sz w:val="22"/>
              </w:rPr>
            </w:pPr>
            <w:r w:rsidRPr="00FD1E4F">
              <w:rPr>
                <w:rFonts w:ascii="Arial" w:hAnsi="Arial" w:cs="Arial"/>
                <w:color w:val="auto"/>
                <w:sz w:val="22"/>
              </w:rPr>
              <w:t>Estimation of Debtor’s Period</w:t>
            </w:r>
          </w:p>
        </w:tc>
      </w:tr>
      <w:tr w:rsidR="00FD1E4F" w:rsidRPr="00FD1E4F" w14:paraId="13B7D14B" w14:textId="77777777" w:rsidTr="00706C84">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392FDBF4" w14:textId="77777777" w:rsidR="00FD1E4F" w:rsidRPr="00FD1E4F" w:rsidRDefault="00FD1E4F" w:rsidP="00FD1E4F">
            <w:pPr>
              <w:spacing w:line="360" w:lineRule="auto"/>
              <w:ind w:firstLine="397"/>
              <w:rPr>
                <w:rFonts w:ascii="Arial" w:eastAsia="Times New Roman" w:hAnsi="Arial" w:cs="Arial"/>
                <w:color w:val="auto"/>
                <w:sz w:val="22"/>
              </w:rPr>
            </w:pPr>
            <w:r w:rsidRPr="00FD1E4F">
              <w:rPr>
                <w:rFonts w:ascii="Arial" w:eastAsia="Times New Roman" w:hAnsi="Arial" w:cs="Arial"/>
                <w:color w:val="auto"/>
                <w:sz w:val="22"/>
              </w:rPr>
              <w:t>Particulars </w:t>
            </w:r>
          </w:p>
        </w:tc>
        <w:tc>
          <w:tcPr>
            <w:tcW w:w="0" w:type="auto"/>
            <w:hideMark/>
          </w:tcPr>
          <w:p w14:paraId="7C15FDBF"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auto"/>
                <w:sz w:val="22"/>
              </w:rPr>
            </w:pPr>
            <w:r w:rsidRPr="00FD1E4F">
              <w:rPr>
                <w:rFonts w:ascii="Arial" w:eastAsia="Times New Roman" w:hAnsi="Arial" w:cs="Arial"/>
                <w:b/>
                <w:color w:val="auto"/>
                <w:sz w:val="22"/>
              </w:rPr>
              <w:t>2021</w:t>
            </w:r>
            <w:r w:rsidRPr="00FD1E4F">
              <w:rPr>
                <w:rFonts w:ascii="Arial" w:eastAsia="Times New Roman" w:hAnsi="Arial" w:cs="Arial"/>
                <w:b/>
                <w:color w:val="000000"/>
                <w:sz w:val="22"/>
              </w:rPr>
              <w:t>(£)</w:t>
            </w:r>
          </w:p>
        </w:tc>
        <w:tc>
          <w:tcPr>
            <w:tcW w:w="0" w:type="auto"/>
          </w:tcPr>
          <w:p w14:paraId="72B48DFB"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auto"/>
                <w:sz w:val="22"/>
              </w:rPr>
            </w:pPr>
            <w:r w:rsidRPr="00FD1E4F">
              <w:rPr>
                <w:rFonts w:ascii="Arial" w:eastAsia="Times New Roman" w:hAnsi="Arial" w:cs="Arial"/>
                <w:b/>
                <w:color w:val="auto"/>
                <w:sz w:val="22"/>
              </w:rPr>
              <w:t>2020</w:t>
            </w:r>
            <w:r w:rsidRPr="00FD1E4F">
              <w:rPr>
                <w:rFonts w:ascii="Arial" w:eastAsia="Times New Roman" w:hAnsi="Arial" w:cs="Arial"/>
                <w:b/>
                <w:color w:val="000000"/>
                <w:sz w:val="22"/>
              </w:rPr>
              <w:t>(£)</w:t>
            </w:r>
          </w:p>
        </w:tc>
      </w:tr>
      <w:tr w:rsidR="00FD1E4F" w:rsidRPr="00FD1E4F" w14:paraId="371F45A2" w14:textId="77777777" w:rsidTr="00706C84">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0DE4EE82" w14:textId="77777777" w:rsidR="00FD1E4F" w:rsidRPr="00FD1E4F" w:rsidRDefault="00FD1E4F" w:rsidP="00FD1E4F">
            <w:pPr>
              <w:spacing w:line="360" w:lineRule="auto"/>
              <w:ind w:firstLine="397"/>
              <w:rPr>
                <w:rFonts w:ascii="Arial" w:eastAsia="Times New Roman" w:hAnsi="Arial" w:cs="Arial"/>
                <w:color w:val="auto"/>
                <w:sz w:val="22"/>
              </w:rPr>
            </w:pPr>
            <w:r w:rsidRPr="00FD1E4F">
              <w:rPr>
                <w:rFonts w:ascii="Arial" w:eastAsia="Times New Roman" w:hAnsi="Arial" w:cs="Arial"/>
                <w:b w:val="0"/>
                <w:color w:val="auto"/>
                <w:sz w:val="22"/>
              </w:rPr>
              <w:t xml:space="preserve">The amount owed by Debtors </w:t>
            </w:r>
          </w:p>
        </w:tc>
        <w:tc>
          <w:tcPr>
            <w:tcW w:w="0" w:type="auto"/>
            <w:hideMark/>
          </w:tcPr>
          <w:p w14:paraId="229EB6E9"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D1E4F">
              <w:rPr>
                <w:rFonts w:ascii="Arial" w:hAnsi="Arial" w:cs="Arial"/>
                <w:sz w:val="22"/>
              </w:rPr>
              <w:t>1,249</w:t>
            </w:r>
          </w:p>
        </w:tc>
        <w:tc>
          <w:tcPr>
            <w:tcW w:w="0" w:type="auto"/>
          </w:tcPr>
          <w:p w14:paraId="3DDBDFA3"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D1E4F">
              <w:rPr>
                <w:rFonts w:ascii="Arial" w:hAnsi="Arial" w:cs="Arial"/>
                <w:sz w:val="22"/>
              </w:rPr>
              <w:t>1287</w:t>
            </w:r>
          </w:p>
        </w:tc>
      </w:tr>
      <w:tr w:rsidR="00FD1E4F" w:rsidRPr="00FD1E4F" w14:paraId="4959C35B" w14:textId="77777777" w:rsidTr="00706C84">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45BF3463" w14:textId="77777777" w:rsidR="00FD1E4F" w:rsidRPr="00FD1E4F" w:rsidRDefault="00FD1E4F" w:rsidP="00FD1E4F">
            <w:pPr>
              <w:spacing w:line="360" w:lineRule="auto"/>
              <w:ind w:firstLine="397"/>
              <w:rPr>
                <w:rFonts w:ascii="Arial" w:eastAsia="Times New Roman" w:hAnsi="Arial" w:cs="Arial"/>
                <w:color w:val="auto"/>
                <w:sz w:val="22"/>
              </w:rPr>
            </w:pPr>
            <w:r w:rsidRPr="00FD1E4F">
              <w:rPr>
                <w:rFonts w:ascii="Arial" w:eastAsia="Times New Roman" w:hAnsi="Arial" w:cs="Arial"/>
                <w:b w:val="0"/>
                <w:color w:val="auto"/>
                <w:sz w:val="22"/>
              </w:rPr>
              <w:t>credit sales </w:t>
            </w:r>
          </w:p>
        </w:tc>
        <w:tc>
          <w:tcPr>
            <w:tcW w:w="0" w:type="auto"/>
            <w:hideMark/>
          </w:tcPr>
          <w:p w14:paraId="5349A051"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FD1E4F">
              <w:rPr>
                <w:rFonts w:ascii="Arial" w:hAnsi="Arial" w:cs="Arial"/>
                <w:sz w:val="22"/>
              </w:rPr>
              <w:t>6,738</w:t>
            </w:r>
          </w:p>
        </w:tc>
        <w:tc>
          <w:tcPr>
            <w:tcW w:w="0" w:type="auto"/>
          </w:tcPr>
          <w:p w14:paraId="4A9821E9"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FD1E4F">
              <w:rPr>
                <w:rFonts w:ascii="Arial" w:hAnsi="Arial" w:cs="Arial"/>
                <w:sz w:val="22"/>
              </w:rPr>
              <w:t>6441</w:t>
            </w:r>
          </w:p>
        </w:tc>
      </w:tr>
      <w:tr w:rsidR="00FD1E4F" w:rsidRPr="00FD1E4F" w14:paraId="52A93128" w14:textId="77777777" w:rsidTr="00706C84">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13A8607D" w14:textId="77777777" w:rsidR="00FD1E4F" w:rsidRPr="00FD1E4F" w:rsidRDefault="00FD1E4F" w:rsidP="00FD1E4F">
            <w:pPr>
              <w:spacing w:line="360" w:lineRule="auto"/>
              <w:ind w:firstLine="397"/>
              <w:rPr>
                <w:rFonts w:ascii="Arial" w:eastAsia="Times New Roman" w:hAnsi="Arial" w:cs="Arial"/>
                <w:color w:val="auto"/>
                <w:sz w:val="22"/>
              </w:rPr>
            </w:pPr>
            <w:r w:rsidRPr="00FD1E4F">
              <w:rPr>
                <w:rFonts w:ascii="Arial" w:eastAsia="Times New Roman" w:hAnsi="Arial" w:cs="Arial"/>
                <w:color w:val="auto"/>
                <w:sz w:val="22"/>
              </w:rPr>
              <w:t>{Debtors collection period= (Amount owed by debtor/annual credit sales) * 365}</w:t>
            </w:r>
          </w:p>
        </w:tc>
        <w:tc>
          <w:tcPr>
            <w:tcW w:w="0" w:type="auto"/>
            <w:hideMark/>
          </w:tcPr>
          <w:p w14:paraId="3D8A5A80"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FD1E4F">
              <w:rPr>
                <w:rFonts w:ascii="Arial" w:hAnsi="Arial" w:cs="Arial"/>
                <w:b/>
                <w:sz w:val="22"/>
              </w:rPr>
              <w:t>67.65</w:t>
            </w:r>
          </w:p>
        </w:tc>
        <w:tc>
          <w:tcPr>
            <w:tcW w:w="0" w:type="auto"/>
          </w:tcPr>
          <w:p w14:paraId="7FBEB816"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FD1E4F">
              <w:rPr>
                <w:rFonts w:ascii="Arial" w:hAnsi="Arial" w:cs="Arial"/>
                <w:b/>
                <w:sz w:val="22"/>
              </w:rPr>
              <w:t>72.93</w:t>
            </w:r>
          </w:p>
        </w:tc>
      </w:tr>
    </w:tbl>
    <w:p w14:paraId="3FCFAD76" w14:textId="77777777" w:rsidR="00FD1E4F" w:rsidRDefault="00FD1E4F" w:rsidP="00FD1E4F">
      <w:pPr>
        <w:spacing w:line="360" w:lineRule="auto"/>
        <w:ind w:firstLine="397"/>
        <w:rPr>
          <w:rFonts w:ascii="Arial" w:hAnsi="Arial" w:cs="Arial"/>
          <w:b/>
          <w:sz w:val="22"/>
        </w:rPr>
      </w:pPr>
    </w:p>
    <w:p w14:paraId="1538D0B2" w14:textId="77777777" w:rsidR="00FD1E4F" w:rsidRPr="00FD1E4F" w:rsidRDefault="00FD1E4F" w:rsidP="00FD1E4F">
      <w:pPr>
        <w:spacing w:line="360" w:lineRule="auto"/>
        <w:ind w:firstLine="397"/>
        <w:rPr>
          <w:rFonts w:ascii="Arial" w:hAnsi="Arial" w:cs="Arial"/>
          <w:b/>
          <w:sz w:val="22"/>
        </w:rPr>
      </w:pPr>
    </w:p>
    <w:p w14:paraId="1D3E7138"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lastRenderedPageBreak/>
        <w:t>Analysis</w:t>
      </w:r>
    </w:p>
    <w:p w14:paraId="7F8A33A7"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rPr>
        <w:t xml:space="preserve">According to accounting terminology, the debtor collection period is the typical time frame that the company would need to recover its trading debts </w:t>
      </w:r>
      <w:r w:rsidRPr="00FD1E4F">
        <w:rPr>
          <w:rFonts w:ascii="Arial" w:hAnsi="Arial" w:cs="Arial"/>
          <w:sz w:val="22"/>
          <w:shd w:val="clear" w:color="auto" w:fill="FFFFFF"/>
        </w:rPr>
        <w:t xml:space="preserve">(Rey-Ares </w:t>
      </w:r>
      <w:r w:rsidRPr="00FD1E4F">
        <w:rPr>
          <w:rFonts w:ascii="Arial" w:hAnsi="Arial" w:cs="Arial"/>
          <w:i/>
          <w:sz w:val="22"/>
          <w:shd w:val="clear" w:color="auto" w:fill="FFFFFF"/>
        </w:rPr>
        <w:t>et al</w:t>
      </w:r>
      <w:r w:rsidRPr="00FD1E4F">
        <w:rPr>
          <w:rFonts w:ascii="Arial" w:hAnsi="Arial" w:cs="Arial"/>
          <w:sz w:val="22"/>
          <w:shd w:val="clear" w:color="auto" w:fill="FFFFFF"/>
        </w:rPr>
        <w:t>., 2021)</w:t>
      </w:r>
      <w:r w:rsidRPr="00FD1E4F">
        <w:rPr>
          <w:rFonts w:ascii="Arial" w:hAnsi="Arial" w:cs="Arial"/>
          <w:sz w:val="22"/>
        </w:rPr>
        <w:t>. The business is better at collecting its debts, which can also be stated as the shorter the debtor collection period. From the calculations, it can be shown that the period was shorter in 2021 than in 2020, falling to 67.65. It is encouraging that the business may increase sales and receive money more quickly.</w:t>
      </w:r>
    </w:p>
    <w:p w14:paraId="73EC845A" w14:textId="77777777" w:rsidR="00FD1E4F" w:rsidRPr="00FD1E4F" w:rsidRDefault="00FD1E4F" w:rsidP="00FD1E4F">
      <w:pPr>
        <w:spacing w:line="360" w:lineRule="auto"/>
        <w:ind w:firstLine="397"/>
        <w:rPr>
          <w:rFonts w:ascii="Arial" w:hAnsi="Arial" w:cs="Arial"/>
          <w:b/>
          <w:i/>
          <w:sz w:val="22"/>
        </w:rPr>
      </w:pPr>
      <w:r w:rsidRPr="00FD1E4F">
        <w:rPr>
          <w:rFonts w:ascii="Arial" w:hAnsi="Arial" w:cs="Arial"/>
          <w:b/>
          <w:i/>
          <w:sz w:val="22"/>
        </w:rPr>
        <w:t>VIII. Current Ratio</w:t>
      </w:r>
    </w:p>
    <w:p w14:paraId="539E661B"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Evaluation:</w:t>
      </w:r>
    </w:p>
    <w:tbl>
      <w:tblPr>
        <w:tblStyle w:val="GridTable5Dark-Accent1"/>
        <w:tblW w:w="6232" w:type="dxa"/>
        <w:jc w:val="center"/>
        <w:tblLook w:val="04A0" w:firstRow="1" w:lastRow="0" w:firstColumn="1" w:lastColumn="0" w:noHBand="0" w:noVBand="1"/>
      </w:tblPr>
      <w:tblGrid>
        <w:gridCol w:w="2283"/>
        <w:gridCol w:w="1372"/>
        <w:gridCol w:w="2577"/>
      </w:tblGrid>
      <w:tr w:rsidR="00FD1E4F" w:rsidRPr="00FD1E4F" w14:paraId="28964F14" w14:textId="77777777" w:rsidTr="00FD1E4F">
        <w:trPr>
          <w:cnfStyle w:val="100000000000" w:firstRow="1" w:lastRow="0" w:firstColumn="0" w:lastColumn="0" w:oddVBand="0" w:evenVBand="0" w:oddHBand="0" w:evenHBand="0" w:firstRowFirstColumn="0" w:firstRowLastColumn="0" w:lastRowFirstColumn="0" w:lastRowLastColumn="0"/>
          <w:trHeight w:val="501"/>
          <w:jc w:val="center"/>
        </w:trPr>
        <w:tc>
          <w:tcPr>
            <w:cnfStyle w:val="001000000000" w:firstRow="0" w:lastRow="0" w:firstColumn="1" w:lastColumn="0" w:oddVBand="0" w:evenVBand="0" w:oddHBand="0" w:evenHBand="0" w:firstRowFirstColumn="0" w:firstRowLastColumn="0" w:lastRowFirstColumn="0" w:lastRowLastColumn="0"/>
            <w:tcW w:w="6232" w:type="dxa"/>
            <w:gridSpan w:val="3"/>
          </w:tcPr>
          <w:p w14:paraId="7EC00BEC" w14:textId="77777777" w:rsidR="00FD1E4F" w:rsidRPr="00FD1E4F" w:rsidRDefault="00FD1E4F" w:rsidP="00FD1E4F">
            <w:pPr>
              <w:spacing w:line="360" w:lineRule="auto"/>
              <w:ind w:firstLine="397"/>
              <w:jc w:val="center"/>
              <w:rPr>
                <w:rFonts w:ascii="Arial" w:hAnsi="Arial" w:cs="Arial"/>
                <w:color w:val="auto"/>
                <w:sz w:val="22"/>
              </w:rPr>
            </w:pPr>
            <w:r w:rsidRPr="00FD1E4F">
              <w:rPr>
                <w:rFonts w:ascii="Arial" w:hAnsi="Arial" w:cs="Arial"/>
                <w:color w:val="auto"/>
                <w:sz w:val="22"/>
              </w:rPr>
              <w:t>Estimation of the current ratio</w:t>
            </w:r>
          </w:p>
        </w:tc>
      </w:tr>
      <w:tr w:rsidR="00FD1E4F" w:rsidRPr="00FD1E4F" w14:paraId="14D7BBC8" w14:textId="77777777" w:rsidTr="00FD1E4F">
        <w:trPr>
          <w:cnfStyle w:val="000000100000" w:firstRow="0" w:lastRow="0" w:firstColumn="0" w:lastColumn="0" w:oddVBand="0" w:evenVBand="0" w:oddHBand="1" w:evenHBand="0" w:firstRowFirstColumn="0" w:firstRowLastColumn="0" w:lastRowFirstColumn="0" w:lastRowLastColumn="0"/>
          <w:trHeight w:val="27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9646CF0"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rPr>
              <w:t>Particulars </w:t>
            </w:r>
          </w:p>
        </w:tc>
        <w:tc>
          <w:tcPr>
            <w:tcW w:w="0" w:type="auto"/>
            <w:hideMark/>
          </w:tcPr>
          <w:p w14:paraId="0CB3EF49"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b/>
                <w:sz w:val="22"/>
              </w:rPr>
            </w:pPr>
            <w:r w:rsidRPr="00FD1E4F">
              <w:rPr>
                <w:rFonts w:ascii="Arial" w:hAnsi="Arial" w:cs="Arial"/>
                <w:b/>
                <w:sz w:val="22"/>
              </w:rPr>
              <w:t>2021</w:t>
            </w:r>
            <w:r w:rsidRPr="00FD1E4F">
              <w:rPr>
                <w:rFonts w:ascii="Arial" w:hAnsi="Arial" w:cs="Arial"/>
                <w:b/>
                <w:color w:val="000000"/>
                <w:sz w:val="22"/>
              </w:rPr>
              <w:t>(£)</w:t>
            </w:r>
          </w:p>
        </w:tc>
        <w:tc>
          <w:tcPr>
            <w:tcW w:w="2577" w:type="dxa"/>
          </w:tcPr>
          <w:p w14:paraId="6DEF6A8E"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b/>
                <w:sz w:val="22"/>
              </w:rPr>
            </w:pPr>
            <w:r w:rsidRPr="00FD1E4F">
              <w:rPr>
                <w:rFonts w:ascii="Arial" w:hAnsi="Arial" w:cs="Arial"/>
                <w:b/>
                <w:sz w:val="22"/>
              </w:rPr>
              <w:t>2020</w:t>
            </w:r>
            <w:r w:rsidRPr="00FD1E4F">
              <w:rPr>
                <w:rFonts w:ascii="Arial" w:hAnsi="Arial" w:cs="Arial"/>
                <w:b/>
                <w:color w:val="000000"/>
                <w:sz w:val="22"/>
              </w:rPr>
              <w:t>(£)</w:t>
            </w:r>
          </w:p>
        </w:tc>
      </w:tr>
      <w:tr w:rsidR="00FD1E4F" w:rsidRPr="00FD1E4F" w14:paraId="2D7300B0" w14:textId="77777777" w:rsidTr="00FD1E4F">
        <w:trPr>
          <w:trHeight w:val="275"/>
          <w:jc w:val="center"/>
        </w:trPr>
        <w:tc>
          <w:tcPr>
            <w:cnfStyle w:val="001000000000" w:firstRow="0" w:lastRow="0" w:firstColumn="1" w:lastColumn="0" w:oddVBand="0" w:evenVBand="0" w:oddHBand="0" w:evenHBand="0" w:firstRowFirstColumn="0" w:firstRowLastColumn="0" w:lastRowFirstColumn="0" w:lastRowLastColumn="0"/>
            <w:tcW w:w="0" w:type="auto"/>
          </w:tcPr>
          <w:p w14:paraId="334B943D" w14:textId="77777777" w:rsidR="00FD1E4F" w:rsidRPr="00FD1E4F" w:rsidRDefault="00FD1E4F" w:rsidP="00FD1E4F">
            <w:pPr>
              <w:spacing w:line="360" w:lineRule="auto"/>
              <w:ind w:firstLine="397"/>
              <w:rPr>
                <w:rFonts w:ascii="Arial" w:hAnsi="Arial" w:cs="Arial"/>
                <w:sz w:val="22"/>
              </w:rPr>
            </w:pPr>
            <w:r w:rsidRPr="00FD1E4F">
              <w:rPr>
                <w:rFonts w:ascii="Arial" w:hAnsi="Arial" w:cs="Arial"/>
                <w:b w:val="0"/>
                <w:sz w:val="22"/>
              </w:rPr>
              <w:t>Current Assets</w:t>
            </w:r>
          </w:p>
        </w:tc>
        <w:tc>
          <w:tcPr>
            <w:tcW w:w="0" w:type="auto"/>
          </w:tcPr>
          <w:p w14:paraId="7582C4EB"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D1E4F">
              <w:rPr>
                <w:rFonts w:ascii="Arial" w:hAnsi="Arial" w:cs="Arial"/>
                <w:sz w:val="22"/>
              </w:rPr>
              <w:t>9736</w:t>
            </w:r>
          </w:p>
        </w:tc>
        <w:tc>
          <w:tcPr>
            <w:tcW w:w="2577" w:type="dxa"/>
          </w:tcPr>
          <w:p w14:paraId="34C966A1"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D1E4F">
              <w:rPr>
                <w:rFonts w:ascii="Arial" w:hAnsi="Arial" w:cs="Arial"/>
                <w:sz w:val="22"/>
              </w:rPr>
              <w:t>10087</w:t>
            </w:r>
          </w:p>
        </w:tc>
      </w:tr>
      <w:tr w:rsidR="00FD1E4F" w:rsidRPr="00FD1E4F" w14:paraId="740217A3" w14:textId="77777777" w:rsidTr="00FD1E4F">
        <w:trPr>
          <w:cnfStyle w:val="000000100000" w:firstRow="0" w:lastRow="0" w:firstColumn="0" w:lastColumn="0" w:oddVBand="0" w:evenVBand="0" w:oddHBand="1" w:evenHBand="0" w:firstRowFirstColumn="0" w:firstRowLastColumn="0" w:lastRowFirstColumn="0" w:lastRowLastColumn="0"/>
          <w:trHeight w:val="275"/>
          <w:jc w:val="center"/>
        </w:trPr>
        <w:tc>
          <w:tcPr>
            <w:cnfStyle w:val="001000000000" w:firstRow="0" w:lastRow="0" w:firstColumn="1" w:lastColumn="0" w:oddVBand="0" w:evenVBand="0" w:oddHBand="0" w:evenHBand="0" w:firstRowFirstColumn="0" w:firstRowLastColumn="0" w:lastRowFirstColumn="0" w:lastRowLastColumn="0"/>
            <w:tcW w:w="0" w:type="auto"/>
          </w:tcPr>
          <w:p w14:paraId="2FEE1D61" w14:textId="77777777" w:rsidR="00FD1E4F" w:rsidRPr="00FD1E4F" w:rsidRDefault="00FD1E4F" w:rsidP="00FD1E4F">
            <w:pPr>
              <w:spacing w:line="360" w:lineRule="auto"/>
              <w:ind w:firstLine="397"/>
              <w:rPr>
                <w:rFonts w:ascii="Arial" w:hAnsi="Arial" w:cs="Arial"/>
                <w:sz w:val="22"/>
              </w:rPr>
            </w:pPr>
            <w:r w:rsidRPr="00FD1E4F">
              <w:rPr>
                <w:rFonts w:ascii="Arial" w:hAnsi="Arial" w:cs="Arial"/>
                <w:b w:val="0"/>
                <w:sz w:val="22"/>
              </w:rPr>
              <w:t>Current Liabilities</w:t>
            </w:r>
          </w:p>
        </w:tc>
        <w:tc>
          <w:tcPr>
            <w:tcW w:w="0" w:type="auto"/>
          </w:tcPr>
          <w:p w14:paraId="5CE9E9FA"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FD1E4F">
              <w:rPr>
                <w:rFonts w:ascii="Arial" w:hAnsi="Arial" w:cs="Arial"/>
                <w:sz w:val="22"/>
              </w:rPr>
              <w:t>2511</w:t>
            </w:r>
          </w:p>
        </w:tc>
        <w:tc>
          <w:tcPr>
            <w:tcW w:w="2577" w:type="dxa"/>
          </w:tcPr>
          <w:p w14:paraId="14C21090"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FD1E4F">
              <w:rPr>
                <w:rFonts w:ascii="Arial" w:hAnsi="Arial" w:cs="Arial"/>
                <w:sz w:val="22"/>
              </w:rPr>
              <w:t>3046</w:t>
            </w:r>
          </w:p>
        </w:tc>
      </w:tr>
      <w:tr w:rsidR="00FD1E4F" w:rsidRPr="00FD1E4F" w14:paraId="6E9A51DF" w14:textId="77777777" w:rsidTr="00FD1E4F">
        <w:trPr>
          <w:trHeight w:val="52"/>
          <w:jc w:val="center"/>
        </w:trPr>
        <w:tc>
          <w:tcPr>
            <w:cnfStyle w:val="001000000000" w:firstRow="0" w:lastRow="0" w:firstColumn="1" w:lastColumn="0" w:oddVBand="0" w:evenVBand="0" w:oddHBand="0" w:evenHBand="0" w:firstRowFirstColumn="0" w:firstRowLastColumn="0" w:lastRowFirstColumn="0" w:lastRowLastColumn="0"/>
            <w:tcW w:w="0" w:type="auto"/>
          </w:tcPr>
          <w:p w14:paraId="0F51B251"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rPr>
              <w:t>(C.R = C.A / C. L)</w:t>
            </w:r>
          </w:p>
        </w:tc>
        <w:tc>
          <w:tcPr>
            <w:tcW w:w="0" w:type="auto"/>
          </w:tcPr>
          <w:p w14:paraId="4C3288B2"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FD1E4F">
              <w:rPr>
                <w:rFonts w:ascii="Arial" w:hAnsi="Arial" w:cs="Arial"/>
                <w:b/>
                <w:sz w:val="22"/>
              </w:rPr>
              <w:t>3.88</w:t>
            </w:r>
          </w:p>
        </w:tc>
        <w:tc>
          <w:tcPr>
            <w:tcW w:w="2577" w:type="dxa"/>
          </w:tcPr>
          <w:p w14:paraId="49B2E224"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FD1E4F">
              <w:rPr>
                <w:rFonts w:ascii="Arial" w:hAnsi="Arial" w:cs="Arial"/>
                <w:b/>
                <w:sz w:val="22"/>
              </w:rPr>
              <w:t>3.31</w:t>
            </w:r>
          </w:p>
        </w:tc>
      </w:tr>
    </w:tbl>
    <w:p w14:paraId="3143CD33" w14:textId="77777777" w:rsidR="00FD1E4F" w:rsidRDefault="00FD1E4F" w:rsidP="00FD1E4F">
      <w:pPr>
        <w:spacing w:line="360" w:lineRule="auto"/>
        <w:ind w:firstLine="397"/>
        <w:rPr>
          <w:rFonts w:ascii="Arial" w:hAnsi="Arial" w:cs="Arial"/>
          <w:b/>
          <w:sz w:val="22"/>
        </w:rPr>
      </w:pPr>
    </w:p>
    <w:p w14:paraId="066C46EE" w14:textId="77777777" w:rsidR="00FD1E4F" w:rsidRPr="00FD1E4F" w:rsidRDefault="00FD1E4F" w:rsidP="00FD1E4F">
      <w:pPr>
        <w:spacing w:line="360" w:lineRule="auto"/>
        <w:ind w:firstLine="397"/>
        <w:rPr>
          <w:rFonts w:ascii="Arial" w:hAnsi="Arial" w:cs="Arial"/>
          <w:b/>
          <w:sz w:val="22"/>
        </w:rPr>
      </w:pPr>
    </w:p>
    <w:p w14:paraId="1123FAAB"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Analysis</w:t>
      </w:r>
    </w:p>
    <w:p w14:paraId="2C541D22" w14:textId="77777777" w:rsidR="00FD1E4F" w:rsidRDefault="00FD1E4F" w:rsidP="00FD1E4F">
      <w:pPr>
        <w:spacing w:line="360" w:lineRule="auto"/>
        <w:ind w:firstLine="397"/>
        <w:rPr>
          <w:rFonts w:ascii="Arial" w:hAnsi="Arial" w:cs="Arial"/>
          <w:sz w:val="22"/>
        </w:rPr>
      </w:pPr>
      <w:r w:rsidRPr="00FD1E4F">
        <w:rPr>
          <w:rFonts w:ascii="Arial" w:hAnsi="Arial" w:cs="Arial"/>
          <w:sz w:val="22"/>
        </w:rPr>
        <w:t>A company's current liability is compared to its available assets using the current ratio. Lenders feel more confident lending money to an entity whose current ratio is higher. It may alternatively be interpreted as the number of times a business can settle its debts using its current assets</w:t>
      </w:r>
      <w:sdt>
        <w:sdtPr>
          <w:rPr>
            <w:rFonts w:ascii="Arial" w:hAnsi="Arial" w:cs="Arial"/>
            <w:sz w:val="22"/>
          </w:rPr>
          <w:id w:val="1404944953"/>
          <w:citation/>
        </w:sdtPr>
        <w:sdtContent>
          <w:r w:rsidRPr="00FD1E4F">
            <w:rPr>
              <w:rFonts w:ascii="Arial" w:hAnsi="Arial" w:cs="Arial"/>
              <w:sz w:val="22"/>
            </w:rPr>
            <w:fldChar w:fldCharType="begin"/>
          </w:r>
          <w:r w:rsidRPr="00FD1E4F">
            <w:rPr>
              <w:rFonts w:ascii="Arial" w:hAnsi="Arial" w:cs="Arial"/>
              <w:sz w:val="22"/>
              <w:lang w:val="en-US"/>
            </w:rPr>
            <w:instrText xml:space="preserve"> CITATION Tru236 \l 1033 </w:instrText>
          </w:r>
          <w:r w:rsidRPr="00FD1E4F">
            <w:rPr>
              <w:rFonts w:ascii="Arial" w:hAnsi="Arial" w:cs="Arial"/>
              <w:sz w:val="22"/>
            </w:rPr>
            <w:fldChar w:fldCharType="separate"/>
          </w:r>
          <w:r w:rsidRPr="00FD1E4F">
            <w:rPr>
              <w:rFonts w:ascii="Arial" w:hAnsi="Arial" w:cs="Arial"/>
              <w:noProof/>
              <w:sz w:val="22"/>
              <w:lang w:val="en-US"/>
            </w:rPr>
            <w:t xml:space="preserve"> (Tamplin, 2023)</w:t>
          </w:r>
          <w:r w:rsidRPr="00FD1E4F">
            <w:rPr>
              <w:rFonts w:ascii="Arial" w:hAnsi="Arial" w:cs="Arial"/>
              <w:sz w:val="22"/>
            </w:rPr>
            <w:fldChar w:fldCharType="end"/>
          </w:r>
        </w:sdtContent>
      </w:sdt>
      <w:r w:rsidRPr="00FD1E4F">
        <w:rPr>
          <w:rFonts w:ascii="Arial" w:hAnsi="Arial" w:cs="Arial"/>
          <w:sz w:val="22"/>
        </w:rPr>
        <w:t>. It is clear from the estimates of the current ratio grew from 3.31 in the corresponding year of 2020 to 3.88 in the corresponding year of 2021. Due to their substantial short-term assets relative to their short-term liabilities, Sweets Plc is able to satisfy their obligations as evidenced by this increase.</w:t>
      </w:r>
    </w:p>
    <w:p w14:paraId="5DF9AB17" w14:textId="77777777" w:rsidR="00FD1E4F" w:rsidRDefault="00FD1E4F" w:rsidP="00FD1E4F">
      <w:pPr>
        <w:spacing w:line="360" w:lineRule="auto"/>
        <w:ind w:firstLine="397"/>
        <w:rPr>
          <w:rFonts w:ascii="Arial" w:hAnsi="Arial" w:cs="Arial"/>
          <w:sz w:val="22"/>
        </w:rPr>
      </w:pPr>
    </w:p>
    <w:p w14:paraId="106DF93A" w14:textId="77777777" w:rsidR="00FD1E4F" w:rsidRDefault="00FD1E4F" w:rsidP="00FD1E4F">
      <w:pPr>
        <w:spacing w:line="360" w:lineRule="auto"/>
        <w:ind w:firstLine="397"/>
        <w:rPr>
          <w:rFonts w:ascii="Arial" w:hAnsi="Arial" w:cs="Arial"/>
          <w:sz w:val="22"/>
        </w:rPr>
      </w:pPr>
    </w:p>
    <w:p w14:paraId="7B2675F6" w14:textId="77777777" w:rsidR="00FD1E4F" w:rsidRDefault="00FD1E4F" w:rsidP="00FD1E4F">
      <w:pPr>
        <w:spacing w:line="360" w:lineRule="auto"/>
        <w:ind w:firstLine="397"/>
        <w:rPr>
          <w:rFonts w:ascii="Arial" w:hAnsi="Arial" w:cs="Arial"/>
          <w:sz w:val="22"/>
        </w:rPr>
      </w:pPr>
    </w:p>
    <w:p w14:paraId="43675B5F" w14:textId="77777777" w:rsidR="00FD1E4F" w:rsidRPr="00FD1E4F" w:rsidRDefault="00FD1E4F" w:rsidP="00FD1E4F">
      <w:pPr>
        <w:spacing w:line="360" w:lineRule="auto"/>
        <w:ind w:firstLine="397"/>
        <w:rPr>
          <w:rFonts w:ascii="Arial" w:hAnsi="Arial" w:cs="Arial"/>
          <w:sz w:val="22"/>
        </w:rPr>
      </w:pPr>
    </w:p>
    <w:p w14:paraId="31EE5EDE" w14:textId="77777777" w:rsidR="00FD1E4F" w:rsidRPr="00FD1E4F" w:rsidRDefault="00FD1E4F" w:rsidP="00FD1E4F">
      <w:pPr>
        <w:spacing w:line="360" w:lineRule="auto"/>
        <w:ind w:firstLine="397"/>
        <w:rPr>
          <w:rFonts w:ascii="Arial" w:hAnsi="Arial" w:cs="Arial"/>
          <w:b/>
          <w:i/>
          <w:sz w:val="22"/>
        </w:rPr>
      </w:pPr>
      <w:r w:rsidRPr="00FD1E4F">
        <w:rPr>
          <w:rFonts w:ascii="Arial" w:hAnsi="Arial" w:cs="Arial"/>
          <w:b/>
          <w:i/>
          <w:sz w:val="22"/>
        </w:rPr>
        <w:lastRenderedPageBreak/>
        <w:t>IX. Ratio for gearing</w:t>
      </w:r>
    </w:p>
    <w:p w14:paraId="20BA495C"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Evaluation:</w:t>
      </w:r>
    </w:p>
    <w:tbl>
      <w:tblPr>
        <w:tblStyle w:val="GridTable5Dark-Accent1"/>
        <w:tblpPr w:leftFromText="180" w:rightFromText="180" w:vertAnchor="text" w:horzAnchor="margin" w:tblpXSpec="center" w:tblpY="50"/>
        <w:tblW w:w="0" w:type="auto"/>
        <w:tblLook w:val="04A0" w:firstRow="1" w:lastRow="0" w:firstColumn="1" w:lastColumn="0" w:noHBand="0" w:noVBand="1"/>
      </w:tblPr>
      <w:tblGrid>
        <w:gridCol w:w="6562"/>
        <w:gridCol w:w="1372"/>
        <w:gridCol w:w="1416"/>
      </w:tblGrid>
      <w:tr w:rsidR="00FD1E4F" w:rsidRPr="00FD1E4F" w14:paraId="16C87EEA" w14:textId="77777777" w:rsidTr="00706C84">
        <w:trPr>
          <w:cnfStyle w:val="100000000000" w:firstRow="1" w:lastRow="0" w:firstColumn="0" w:lastColumn="0" w:oddVBand="0" w:evenVBand="0" w:oddHBand="0"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gridSpan w:val="3"/>
          </w:tcPr>
          <w:p w14:paraId="259D18AE" w14:textId="77777777" w:rsidR="00FD1E4F" w:rsidRPr="00FD1E4F" w:rsidRDefault="00FD1E4F" w:rsidP="00FD1E4F">
            <w:pPr>
              <w:spacing w:line="360" w:lineRule="auto"/>
              <w:ind w:firstLine="397"/>
              <w:jc w:val="center"/>
              <w:rPr>
                <w:rFonts w:ascii="Arial" w:eastAsia="Times New Roman" w:hAnsi="Arial" w:cs="Arial"/>
                <w:color w:val="auto"/>
                <w:sz w:val="22"/>
              </w:rPr>
            </w:pPr>
            <w:r w:rsidRPr="00FD1E4F">
              <w:rPr>
                <w:rFonts w:ascii="Arial" w:eastAsia="Times New Roman" w:hAnsi="Arial" w:cs="Arial"/>
                <w:color w:val="auto"/>
                <w:sz w:val="22"/>
              </w:rPr>
              <w:t>Calculation of the Gearing Ratio</w:t>
            </w:r>
          </w:p>
        </w:tc>
      </w:tr>
      <w:tr w:rsidR="00FD1E4F" w:rsidRPr="00FD1E4F" w14:paraId="26DF1292" w14:textId="77777777" w:rsidTr="00706C84">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24B99739" w14:textId="77777777" w:rsidR="00FD1E4F" w:rsidRPr="00FD1E4F" w:rsidRDefault="00FD1E4F" w:rsidP="00FD1E4F">
            <w:pPr>
              <w:spacing w:line="360" w:lineRule="auto"/>
              <w:ind w:firstLine="397"/>
              <w:rPr>
                <w:rFonts w:ascii="Arial" w:hAnsi="Arial" w:cs="Arial"/>
                <w:color w:val="auto"/>
                <w:sz w:val="22"/>
              </w:rPr>
            </w:pPr>
            <w:r w:rsidRPr="00FD1E4F">
              <w:rPr>
                <w:rFonts w:ascii="Arial" w:hAnsi="Arial" w:cs="Arial"/>
                <w:color w:val="auto"/>
                <w:sz w:val="22"/>
              </w:rPr>
              <w:t>Particulars</w:t>
            </w:r>
          </w:p>
        </w:tc>
        <w:tc>
          <w:tcPr>
            <w:tcW w:w="0" w:type="auto"/>
            <w:hideMark/>
          </w:tcPr>
          <w:p w14:paraId="7EEB32BB"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auto"/>
                <w:sz w:val="22"/>
              </w:rPr>
            </w:pPr>
            <w:r w:rsidRPr="00FD1E4F">
              <w:rPr>
                <w:rFonts w:ascii="Arial" w:eastAsia="Times New Roman" w:hAnsi="Arial" w:cs="Arial"/>
                <w:b/>
                <w:color w:val="auto"/>
                <w:sz w:val="22"/>
              </w:rPr>
              <w:t>2021</w:t>
            </w:r>
            <w:r w:rsidRPr="00FD1E4F">
              <w:rPr>
                <w:rFonts w:ascii="Arial" w:hAnsi="Arial" w:cs="Arial"/>
                <w:b/>
                <w:color w:val="000000"/>
                <w:sz w:val="22"/>
              </w:rPr>
              <w:t>(£)</w:t>
            </w:r>
          </w:p>
        </w:tc>
        <w:tc>
          <w:tcPr>
            <w:tcW w:w="0" w:type="auto"/>
          </w:tcPr>
          <w:p w14:paraId="200625A6"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auto"/>
                <w:sz w:val="22"/>
              </w:rPr>
            </w:pPr>
            <w:r w:rsidRPr="00FD1E4F">
              <w:rPr>
                <w:rFonts w:ascii="Arial" w:eastAsia="Times New Roman" w:hAnsi="Arial" w:cs="Arial"/>
                <w:b/>
                <w:color w:val="auto"/>
                <w:sz w:val="22"/>
              </w:rPr>
              <w:t xml:space="preserve">2020 </w:t>
            </w:r>
            <w:r w:rsidRPr="00FD1E4F">
              <w:rPr>
                <w:rFonts w:ascii="Arial" w:hAnsi="Arial" w:cs="Arial"/>
                <w:b/>
                <w:color w:val="000000"/>
                <w:sz w:val="22"/>
              </w:rPr>
              <w:t>(£)</w:t>
            </w:r>
          </w:p>
        </w:tc>
      </w:tr>
      <w:tr w:rsidR="00FD1E4F" w:rsidRPr="00FD1E4F" w14:paraId="17EE79E1" w14:textId="77777777" w:rsidTr="00706C84">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56D82688" w14:textId="77777777" w:rsidR="00FD1E4F" w:rsidRPr="00FD1E4F" w:rsidRDefault="00FD1E4F" w:rsidP="00FD1E4F">
            <w:pPr>
              <w:spacing w:line="360" w:lineRule="auto"/>
              <w:ind w:firstLine="397"/>
              <w:rPr>
                <w:rFonts w:ascii="Arial" w:hAnsi="Arial" w:cs="Arial"/>
                <w:color w:val="auto"/>
                <w:sz w:val="22"/>
              </w:rPr>
            </w:pPr>
            <w:r w:rsidRPr="00FD1E4F">
              <w:rPr>
                <w:rFonts w:ascii="Arial" w:hAnsi="Arial" w:cs="Arial"/>
                <w:b w:val="0"/>
                <w:color w:val="auto"/>
                <w:sz w:val="22"/>
              </w:rPr>
              <w:t>Loans and borrowings</w:t>
            </w:r>
          </w:p>
        </w:tc>
        <w:tc>
          <w:tcPr>
            <w:tcW w:w="0" w:type="auto"/>
            <w:hideMark/>
          </w:tcPr>
          <w:p w14:paraId="3D4B11CA" w14:textId="77777777" w:rsidR="00FD1E4F" w:rsidRPr="00FD1E4F" w:rsidRDefault="00FD1E4F" w:rsidP="00FD1E4F">
            <w:pPr>
              <w:spacing w:line="360" w:lineRule="auto"/>
              <w:ind w:right="41" w:firstLine="397"/>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 w:val="22"/>
              </w:rPr>
            </w:pPr>
            <w:r w:rsidRPr="00FD1E4F">
              <w:rPr>
                <w:rFonts w:ascii="Arial" w:eastAsia="Times New Roman" w:hAnsi="Arial" w:cs="Arial"/>
                <w:color w:val="auto"/>
                <w:sz w:val="22"/>
              </w:rPr>
              <w:t>4137</w:t>
            </w:r>
          </w:p>
        </w:tc>
        <w:tc>
          <w:tcPr>
            <w:tcW w:w="0" w:type="auto"/>
          </w:tcPr>
          <w:p w14:paraId="03F638D2" w14:textId="77777777" w:rsidR="00FD1E4F" w:rsidRPr="00FD1E4F" w:rsidRDefault="00FD1E4F" w:rsidP="00FD1E4F">
            <w:pPr>
              <w:spacing w:line="360" w:lineRule="auto"/>
              <w:ind w:right="41" w:firstLine="397"/>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 w:val="22"/>
              </w:rPr>
            </w:pPr>
            <w:r w:rsidRPr="00FD1E4F">
              <w:rPr>
                <w:rFonts w:ascii="Arial" w:eastAsia="Times New Roman" w:hAnsi="Arial" w:cs="Arial"/>
                <w:color w:val="auto"/>
                <w:sz w:val="22"/>
              </w:rPr>
              <w:t>4129</w:t>
            </w:r>
          </w:p>
        </w:tc>
      </w:tr>
      <w:tr w:rsidR="00FD1E4F" w:rsidRPr="00FD1E4F" w14:paraId="70A2B101" w14:textId="77777777" w:rsidTr="00706C84">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32C658F2" w14:textId="77777777" w:rsidR="00FD1E4F" w:rsidRPr="00FD1E4F" w:rsidRDefault="00FD1E4F" w:rsidP="00FD1E4F">
            <w:pPr>
              <w:spacing w:line="360" w:lineRule="auto"/>
              <w:ind w:firstLine="397"/>
              <w:rPr>
                <w:rFonts w:ascii="Arial" w:hAnsi="Arial" w:cs="Arial"/>
                <w:color w:val="auto"/>
                <w:sz w:val="22"/>
              </w:rPr>
            </w:pPr>
            <w:r w:rsidRPr="00FD1E4F">
              <w:rPr>
                <w:rFonts w:ascii="Arial" w:hAnsi="Arial" w:cs="Arial"/>
                <w:b w:val="0"/>
                <w:color w:val="auto"/>
                <w:sz w:val="22"/>
              </w:rPr>
              <w:t>Shareholder equity</w:t>
            </w:r>
          </w:p>
        </w:tc>
        <w:tc>
          <w:tcPr>
            <w:tcW w:w="0" w:type="auto"/>
            <w:hideMark/>
          </w:tcPr>
          <w:p w14:paraId="7E4F1C32" w14:textId="77777777" w:rsidR="00FD1E4F" w:rsidRPr="00FD1E4F" w:rsidRDefault="00FD1E4F" w:rsidP="00FD1E4F">
            <w:pPr>
              <w:spacing w:line="360" w:lineRule="auto"/>
              <w:ind w:right="44"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 w:val="22"/>
              </w:rPr>
            </w:pPr>
            <w:r w:rsidRPr="00FD1E4F">
              <w:rPr>
                <w:rFonts w:ascii="Arial" w:eastAsia="Times New Roman" w:hAnsi="Arial" w:cs="Arial"/>
                <w:color w:val="auto"/>
                <w:sz w:val="22"/>
              </w:rPr>
              <w:t>3,088</w:t>
            </w:r>
          </w:p>
        </w:tc>
        <w:tc>
          <w:tcPr>
            <w:tcW w:w="0" w:type="auto"/>
          </w:tcPr>
          <w:p w14:paraId="3BF993AA" w14:textId="77777777" w:rsidR="00FD1E4F" w:rsidRPr="00FD1E4F" w:rsidRDefault="00FD1E4F" w:rsidP="00FD1E4F">
            <w:pPr>
              <w:spacing w:line="360" w:lineRule="auto"/>
              <w:ind w:right="44"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 w:val="22"/>
              </w:rPr>
            </w:pPr>
            <w:r w:rsidRPr="00FD1E4F">
              <w:rPr>
                <w:rFonts w:ascii="Arial" w:eastAsia="Times New Roman" w:hAnsi="Arial" w:cs="Arial"/>
                <w:color w:val="auto"/>
                <w:sz w:val="22"/>
              </w:rPr>
              <w:t>2912</w:t>
            </w:r>
          </w:p>
        </w:tc>
      </w:tr>
      <w:tr w:rsidR="00FD1E4F" w:rsidRPr="00FD1E4F" w14:paraId="12035950" w14:textId="77777777" w:rsidTr="00706C84">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2C6D61CF" w14:textId="77777777" w:rsidR="00FD1E4F" w:rsidRPr="00FD1E4F" w:rsidRDefault="00FD1E4F" w:rsidP="00FD1E4F">
            <w:pPr>
              <w:spacing w:line="360" w:lineRule="auto"/>
              <w:ind w:firstLine="397"/>
              <w:rPr>
                <w:rFonts w:ascii="Arial" w:hAnsi="Arial" w:cs="Arial"/>
                <w:color w:val="auto"/>
                <w:sz w:val="22"/>
              </w:rPr>
            </w:pPr>
            <w:r w:rsidRPr="00FD1E4F">
              <w:rPr>
                <w:rFonts w:ascii="Arial" w:hAnsi="Arial" w:cs="Arial"/>
                <w:color w:val="auto"/>
                <w:sz w:val="22"/>
              </w:rPr>
              <w:t>(Gearing ratio= Loans &amp; Borrowings / Shareholder’s Equity)</w:t>
            </w:r>
          </w:p>
        </w:tc>
        <w:tc>
          <w:tcPr>
            <w:tcW w:w="0" w:type="auto"/>
            <w:hideMark/>
          </w:tcPr>
          <w:p w14:paraId="7B4E1225" w14:textId="77777777" w:rsidR="00FD1E4F" w:rsidRPr="00FD1E4F" w:rsidRDefault="00FD1E4F" w:rsidP="00FD1E4F">
            <w:pPr>
              <w:spacing w:line="360" w:lineRule="auto"/>
              <w:ind w:right="41" w:firstLine="397"/>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color w:val="auto"/>
                <w:sz w:val="22"/>
              </w:rPr>
            </w:pPr>
            <w:r w:rsidRPr="00FD1E4F">
              <w:rPr>
                <w:rFonts w:ascii="Arial" w:eastAsia="Times New Roman" w:hAnsi="Arial" w:cs="Arial"/>
                <w:b/>
                <w:color w:val="auto"/>
                <w:sz w:val="22"/>
              </w:rPr>
              <w:t>1.42</w:t>
            </w:r>
          </w:p>
        </w:tc>
        <w:tc>
          <w:tcPr>
            <w:tcW w:w="0" w:type="auto"/>
          </w:tcPr>
          <w:p w14:paraId="7D1B0E5F" w14:textId="77777777" w:rsidR="00FD1E4F" w:rsidRPr="00FD1E4F" w:rsidRDefault="00FD1E4F" w:rsidP="00FD1E4F">
            <w:pPr>
              <w:spacing w:line="360" w:lineRule="auto"/>
              <w:ind w:right="41" w:firstLine="397"/>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color w:val="auto"/>
                <w:sz w:val="22"/>
              </w:rPr>
            </w:pPr>
            <w:r w:rsidRPr="00FD1E4F">
              <w:rPr>
                <w:rFonts w:ascii="Arial" w:hAnsi="Arial" w:cs="Arial"/>
                <w:b/>
                <w:color w:val="auto"/>
                <w:sz w:val="22"/>
              </w:rPr>
              <w:t>1.41</w:t>
            </w:r>
          </w:p>
        </w:tc>
      </w:tr>
    </w:tbl>
    <w:p w14:paraId="2585FCD9" w14:textId="77777777" w:rsidR="00FD1E4F" w:rsidRPr="00FD1E4F" w:rsidRDefault="00FD1E4F" w:rsidP="00FD1E4F">
      <w:pPr>
        <w:spacing w:line="360" w:lineRule="auto"/>
        <w:ind w:firstLine="397"/>
        <w:rPr>
          <w:rFonts w:ascii="Arial" w:hAnsi="Arial" w:cs="Arial"/>
          <w:b/>
          <w:sz w:val="22"/>
        </w:rPr>
      </w:pPr>
    </w:p>
    <w:p w14:paraId="2041DFCF"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Analysis</w:t>
      </w:r>
    </w:p>
    <w:p w14:paraId="1A33CCE9"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sz w:val="22"/>
        </w:rPr>
        <w:t>The gearing ratio, also known as the debt-to-equity ratio, describes how much of the business's funding comes from outside sources in contrast to how much comes from equity from its owners (</w:t>
      </w:r>
      <w:r w:rsidRPr="00FD1E4F">
        <w:rPr>
          <w:rFonts w:ascii="Arial" w:hAnsi="Arial" w:cs="Arial"/>
          <w:sz w:val="22"/>
          <w:shd w:val="clear" w:color="auto" w:fill="FFFFFF"/>
        </w:rPr>
        <w:t>Frederic and Dixon, 2020)</w:t>
      </w:r>
      <w:r w:rsidRPr="00FD1E4F">
        <w:rPr>
          <w:rFonts w:ascii="Arial" w:hAnsi="Arial" w:cs="Arial"/>
          <w:sz w:val="22"/>
        </w:rPr>
        <w:t>. Based on the values, it is apparent that the business has expanded very marginally and has 1.42 times as many outside funds as owners in 2021. This would not be having any impact on Sweets Plc's business operations.</w:t>
      </w:r>
    </w:p>
    <w:p w14:paraId="5048CFC6" w14:textId="77777777" w:rsidR="00FD1E4F" w:rsidRPr="00FD1E4F" w:rsidRDefault="00FD1E4F" w:rsidP="00FD1E4F">
      <w:pPr>
        <w:spacing w:line="360" w:lineRule="auto"/>
        <w:ind w:firstLine="397"/>
        <w:rPr>
          <w:rFonts w:ascii="Arial" w:hAnsi="Arial" w:cs="Arial"/>
          <w:b/>
          <w:i/>
          <w:sz w:val="22"/>
        </w:rPr>
      </w:pPr>
    </w:p>
    <w:p w14:paraId="1457C390" w14:textId="77777777" w:rsidR="00FD1E4F" w:rsidRPr="00FD1E4F" w:rsidRDefault="00FD1E4F" w:rsidP="00FD1E4F">
      <w:pPr>
        <w:spacing w:line="360" w:lineRule="auto"/>
        <w:ind w:firstLine="397"/>
        <w:rPr>
          <w:rFonts w:ascii="Arial" w:hAnsi="Arial" w:cs="Arial"/>
          <w:b/>
          <w:i/>
          <w:sz w:val="22"/>
        </w:rPr>
      </w:pPr>
      <w:r w:rsidRPr="00FD1E4F">
        <w:rPr>
          <w:rFonts w:ascii="Arial" w:hAnsi="Arial" w:cs="Arial"/>
          <w:b/>
          <w:i/>
          <w:sz w:val="22"/>
        </w:rPr>
        <w:t>X. Interest Coverage Ratio (ICR)</w:t>
      </w:r>
    </w:p>
    <w:p w14:paraId="05F61C9F"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Evaluation:</w:t>
      </w:r>
    </w:p>
    <w:tbl>
      <w:tblPr>
        <w:tblStyle w:val="GridTable5Dark-Accent1"/>
        <w:tblW w:w="0" w:type="auto"/>
        <w:jc w:val="center"/>
        <w:tblLook w:val="04A0" w:firstRow="1" w:lastRow="0" w:firstColumn="1" w:lastColumn="0" w:noHBand="0" w:noVBand="1"/>
      </w:tblPr>
      <w:tblGrid>
        <w:gridCol w:w="5620"/>
        <w:gridCol w:w="1372"/>
        <w:gridCol w:w="1433"/>
      </w:tblGrid>
      <w:tr w:rsidR="00FD1E4F" w:rsidRPr="00FD1E4F" w14:paraId="2589DCA6" w14:textId="77777777" w:rsidTr="00706C84">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gridSpan w:val="3"/>
          </w:tcPr>
          <w:p w14:paraId="4DB4A0CE" w14:textId="77777777" w:rsidR="00FD1E4F" w:rsidRPr="00FD1E4F" w:rsidRDefault="00FD1E4F" w:rsidP="00FD1E4F">
            <w:pPr>
              <w:spacing w:line="360" w:lineRule="auto"/>
              <w:ind w:firstLine="397"/>
              <w:jc w:val="center"/>
              <w:rPr>
                <w:rFonts w:ascii="Arial" w:eastAsia="Times New Roman" w:hAnsi="Arial" w:cs="Arial"/>
                <w:color w:val="auto"/>
                <w:sz w:val="22"/>
              </w:rPr>
            </w:pPr>
            <w:r w:rsidRPr="00FD1E4F">
              <w:rPr>
                <w:rFonts w:ascii="Arial" w:eastAsia="Times New Roman" w:hAnsi="Arial" w:cs="Arial"/>
                <w:color w:val="auto"/>
                <w:sz w:val="22"/>
              </w:rPr>
              <w:t>Evaluation of the I.C.R</w:t>
            </w:r>
          </w:p>
        </w:tc>
      </w:tr>
      <w:tr w:rsidR="00FD1E4F" w:rsidRPr="00FD1E4F" w14:paraId="3F786591" w14:textId="77777777" w:rsidTr="00706C84">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E28FAB" w14:textId="77777777" w:rsidR="00FD1E4F" w:rsidRPr="00FD1E4F" w:rsidRDefault="00FD1E4F" w:rsidP="00FD1E4F">
            <w:pPr>
              <w:spacing w:line="360" w:lineRule="auto"/>
              <w:ind w:firstLine="397"/>
              <w:rPr>
                <w:rFonts w:ascii="Arial" w:hAnsi="Arial" w:cs="Arial"/>
                <w:color w:val="auto"/>
                <w:sz w:val="22"/>
              </w:rPr>
            </w:pPr>
            <w:r w:rsidRPr="00FD1E4F">
              <w:rPr>
                <w:rFonts w:ascii="Arial" w:hAnsi="Arial" w:cs="Arial"/>
                <w:color w:val="auto"/>
                <w:sz w:val="22"/>
              </w:rPr>
              <w:t>Particulars</w:t>
            </w:r>
          </w:p>
        </w:tc>
        <w:tc>
          <w:tcPr>
            <w:tcW w:w="0" w:type="auto"/>
            <w:hideMark/>
          </w:tcPr>
          <w:p w14:paraId="72AE51E9"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auto"/>
                <w:sz w:val="22"/>
              </w:rPr>
            </w:pPr>
            <w:r w:rsidRPr="00FD1E4F">
              <w:rPr>
                <w:rFonts w:ascii="Arial" w:eastAsia="Times New Roman" w:hAnsi="Arial" w:cs="Arial"/>
                <w:b/>
                <w:color w:val="auto"/>
                <w:sz w:val="22"/>
              </w:rPr>
              <w:t>2021</w:t>
            </w:r>
            <w:r w:rsidRPr="00FD1E4F">
              <w:rPr>
                <w:rFonts w:ascii="Arial" w:hAnsi="Arial" w:cs="Arial"/>
                <w:b/>
                <w:color w:val="000000"/>
                <w:sz w:val="22"/>
              </w:rPr>
              <w:t>(£)</w:t>
            </w:r>
          </w:p>
        </w:tc>
        <w:tc>
          <w:tcPr>
            <w:tcW w:w="0" w:type="auto"/>
          </w:tcPr>
          <w:p w14:paraId="248939BA"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auto"/>
                <w:sz w:val="22"/>
              </w:rPr>
            </w:pPr>
            <w:r w:rsidRPr="00FD1E4F">
              <w:rPr>
                <w:rFonts w:ascii="Arial" w:eastAsia="Times New Roman" w:hAnsi="Arial" w:cs="Arial"/>
                <w:b/>
                <w:color w:val="auto"/>
                <w:sz w:val="22"/>
              </w:rPr>
              <w:t xml:space="preserve">2020 </w:t>
            </w:r>
            <w:r w:rsidRPr="00FD1E4F">
              <w:rPr>
                <w:rFonts w:ascii="Arial" w:hAnsi="Arial" w:cs="Arial"/>
                <w:b/>
                <w:color w:val="000000"/>
                <w:sz w:val="22"/>
              </w:rPr>
              <w:t>(£)</w:t>
            </w:r>
          </w:p>
        </w:tc>
      </w:tr>
      <w:tr w:rsidR="00FD1E4F" w:rsidRPr="00FD1E4F" w14:paraId="318F6BE1" w14:textId="77777777" w:rsidTr="00706C84">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Pr>
          <w:p w14:paraId="08DD5315" w14:textId="77777777" w:rsidR="00FD1E4F" w:rsidRPr="00FD1E4F" w:rsidRDefault="00FD1E4F" w:rsidP="00FD1E4F">
            <w:pPr>
              <w:spacing w:line="360" w:lineRule="auto"/>
              <w:ind w:firstLine="397"/>
              <w:rPr>
                <w:rFonts w:ascii="Arial" w:hAnsi="Arial" w:cs="Arial"/>
                <w:sz w:val="22"/>
              </w:rPr>
            </w:pPr>
            <w:r w:rsidRPr="00FD1E4F">
              <w:rPr>
                <w:rFonts w:ascii="Arial" w:hAnsi="Arial" w:cs="Arial"/>
                <w:b w:val="0"/>
                <w:sz w:val="22"/>
              </w:rPr>
              <w:t>Earnings before interest and taxes </w:t>
            </w:r>
          </w:p>
        </w:tc>
        <w:tc>
          <w:tcPr>
            <w:tcW w:w="0" w:type="auto"/>
          </w:tcPr>
          <w:p w14:paraId="2DC8F338"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D1E4F">
              <w:rPr>
                <w:rFonts w:ascii="Arial" w:hAnsi="Arial" w:cs="Arial"/>
                <w:sz w:val="22"/>
              </w:rPr>
              <w:t>805</w:t>
            </w:r>
          </w:p>
        </w:tc>
        <w:tc>
          <w:tcPr>
            <w:tcW w:w="0" w:type="auto"/>
          </w:tcPr>
          <w:p w14:paraId="112773BA"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D1E4F">
              <w:rPr>
                <w:rFonts w:ascii="Arial" w:hAnsi="Arial" w:cs="Arial"/>
                <w:sz w:val="22"/>
              </w:rPr>
              <w:t>699</w:t>
            </w:r>
          </w:p>
        </w:tc>
      </w:tr>
      <w:tr w:rsidR="00FD1E4F" w:rsidRPr="00FD1E4F" w14:paraId="549FE051" w14:textId="77777777" w:rsidTr="00706C84">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Pr>
          <w:p w14:paraId="662A7140" w14:textId="77777777" w:rsidR="00FD1E4F" w:rsidRPr="00FD1E4F" w:rsidRDefault="00FD1E4F" w:rsidP="00FD1E4F">
            <w:pPr>
              <w:spacing w:line="360" w:lineRule="auto"/>
              <w:ind w:firstLine="397"/>
              <w:rPr>
                <w:rFonts w:ascii="Arial" w:hAnsi="Arial" w:cs="Arial"/>
                <w:sz w:val="22"/>
              </w:rPr>
            </w:pPr>
            <w:r w:rsidRPr="00FD1E4F">
              <w:rPr>
                <w:rFonts w:ascii="Arial" w:hAnsi="Arial" w:cs="Arial"/>
                <w:b w:val="0"/>
                <w:sz w:val="22"/>
              </w:rPr>
              <w:t>Interest expenses </w:t>
            </w:r>
          </w:p>
        </w:tc>
        <w:tc>
          <w:tcPr>
            <w:tcW w:w="0" w:type="auto"/>
          </w:tcPr>
          <w:p w14:paraId="05478E47"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FD1E4F">
              <w:rPr>
                <w:rFonts w:ascii="Arial" w:hAnsi="Arial" w:cs="Arial"/>
                <w:sz w:val="22"/>
              </w:rPr>
              <w:t>226</w:t>
            </w:r>
          </w:p>
        </w:tc>
        <w:tc>
          <w:tcPr>
            <w:tcW w:w="0" w:type="auto"/>
          </w:tcPr>
          <w:p w14:paraId="2529EE18" w14:textId="77777777" w:rsidR="00FD1E4F" w:rsidRPr="00FD1E4F" w:rsidRDefault="00FD1E4F" w:rsidP="00FD1E4F">
            <w:pPr>
              <w:spacing w:line="360" w:lineRule="auto"/>
              <w:ind w:firstLine="397"/>
              <w:jc w:val="right"/>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FD1E4F">
              <w:rPr>
                <w:rFonts w:ascii="Arial" w:hAnsi="Arial" w:cs="Arial"/>
                <w:sz w:val="22"/>
              </w:rPr>
              <w:t>181</w:t>
            </w:r>
          </w:p>
        </w:tc>
      </w:tr>
      <w:tr w:rsidR="00FD1E4F" w:rsidRPr="00FD1E4F" w14:paraId="75B629DA" w14:textId="77777777" w:rsidTr="00706C84">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Pr>
          <w:p w14:paraId="146D55DA"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rPr>
              <w:t>(Interest coverage = E.B.I.T / Interest expenses)</w:t>
            </w:r>
            <w:r w:rsidRPr="00FD1E4F">
              <w:rPr>
                <w:rFonts w:ascii="Arial" w:hAnsi="Arial" w:cs="Arial"/>
                <w:b w:val="0"/>
                <w:sz w:val="22"/>
              </w:rPr>
              <w:t> </w:t>
            </w:r>
          </w:p>
        </w:tc>
        <w:tc>
          <w:tcPr>
            <w:tcW w:w="0" w:type="auto"/>
          </w:tcPr>
          <w:p w14:paraId="4183382E"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FD1E4F">
              <w:rPr>
                <w:rFonts w:ascii="Arial" w:hAnsi="Arial" w:cs="Arial"/>
                <w:b/>
                <w:sz w:val="22"/>
              </w:rPr>
              <w:t>3.6</w:t>
            </w:r>
          </w:p>
        </w:tc>
        <w:tc>
          <w:tcPr>
            <w:tcW w:w="0" w:type="auto"/>
          </w:tcPr>
          <w:p w14:paraId="620F0816" w14:textId="77777777" w:rsidR="00FD1E4F" w:rsidRPr="00FD1E4F" w:rsidRDefault="00FD1E4F" w:rsidP="00FD1E4F">
            <w:pPr>
              <w:spacing w:line="360" w:lineRule="auto"/>
              <w:ind w:firstLine="397"/>
              <w:jc w:val="right"/>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FD1E4F">
              <w:rPr>
                <w:rFonts w:ascii="Arial" w:hAnsi="Arial" w:cs="Arial"/>
                <w:b/>
                <w:sz w:val="22"/>
              </w:rPr>
              <w:t>3.9</w:t>
            </w:r>
          </w:p>
        </w:tc>
      </w:tr>
    </w:tbl>
    <w:p w14:paraId="687085AE" w14:textId="77777777" w:rsidR="00FD1E4F" w:rsidRPr="00FD1E4F" w:rsidRDefault="00FD1E4F" w:rsidP="00FD1E4F">
      <w:pPr>
        <w:spacing w:line="360" w:lineRule="auto"/>
        <w:ind w:firstLine="397"/>
        <w:rPr>
          <w:rFonts w:ascii="Arial" w:hAnsi="Arial" w:cs="Arial"/>
          <w:b/>
          <w:sz w:val="22"/>
        </w:rPr>
      </w:pPr>
    </w:p>
    <w:p w14:paraId="3FC55D38" w14:textId="77777777" w:rsidR="00FD1E4F" w:rsidRPr="00FD1E4F" w:rsidRDefault="00FD1E4F" w:rsidP="00FD1E4F">
      <w:pPr>
        <w:spacing w:line="360" w:lineRule="auto"/>
        <w:ind w:firstLine="397"/>
        <w:rPr>
          <w:rFonts w:ascii="Arial" w:hAnsi="Arial" w:cs="Arial"/>
          <w:b/>
          <w:sz w:val="22"/>
        </w:rPr>
      </w:pPr>
      <w:r w:rsidRPr="00FD1E4F">
        <w:rPr>
          <w:rFonts w:ascii="Arial" w:hAnsi="Arial" w:cs="Arial"/>
          <w:b/>
          <w:sz w:val="22"/>
        </w:rPr>
        <w:t>Analysis</w:t>
      </w:r>
    </w:p>
    <w:p w14:paraId="11961499"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rPr>
        <w:t xml:space="preserve"> The interest cover ratio corresponds to the number of times a company can pay its interest obligations out of the period's revenue. The business's interest coverage ratio in the above table is 3.6, which indicates that it will be able to cover its interest costs in 2021 using 3.6 times its </w:t>
      </w:r>
      <w:r w:rsidRPr="00FD1E4F">
        <w:rPr>
          <w:rFonts w:ascii="Arial" w:hAnsi="Arial" w:cs="Arial"/>
          <w:sz w:val="22"/>
        </w:rPr>
        <w:lastRenderedPageBreak/>
        <w:t>earnings. According to the estimations, the company has used very little capital and is currently struggling to pay its debts.</w:t>
      </w:r>
    </w:p>
    <w:p w14:paraId="45A0F099" w14:textId="77777777" w:rsidR="00FD1E4F" w:rsidRPr="00FD1E4F" w:rsidRDefault="00FD1E4F" w:rsidP="00FD1E4F">
      <w:pPr>
        <w:pStyle w:val="Heading2"/>
        <w:spacing w:line="360" w:lineRule="auto"/>
        <w:ind w:firstLine="397"/>
        <w:rPr>
          <w:rFonts w:ascii="Arial" w:hAnsi="Arial" w:cs="Arial"/>
          <w:sz w:val="22"/>
          <w:szCs w:val="22"/>
        </w:rPr>
      </w:pPr>
      <w:bookmarkStart w:id="6" w:name="_Toc132636878"/>
      <w:r w:rsidRPr="00FD1E4F">
        <w:rPr>
          <w:rFonts w:ascii="Arial" w:hAnsi="Arial" w:cs="Arial"/>
          <w:sz w:val="22"/>
          <w:szCs w:val="22"/>
          <w:lang w:val="en-GB"/>
        </w:rPr>
        <w:t>II</w:t>
      </w:r>
      <w:r w:rsidRPr="00FD1E4F">
        <w:rPr>
          <w:rFonts w:ascii="Arial" w:hAnsi="Arial" w:cs="Arial"/>
          <w:sz w:val="22"/>
          <w:szCs w:val="22"/>
        </w:rPr>
        <w:t>. An evaluation of Sweets Plc's financial results</w:t>
      </w:r>
      <w:bookmarkEnd w:id="6"/>
    </w:p>
    <w:p w14:paraId="4A3AEE34"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rPr>
        <w:t>It is abundantly obvious from the results of the computations that the company is more profitable and is making good use of its resources. The required ROCE has increased from the prior year, and there is still room for the company to increase its ability to turn a profit (</w:t>
      </w:r>
      <w:r w:rsidRPr="00FD1E4F">
        <w:rPr>
          <w:rFonts w:ascii="Arial" w:hAnsi="Arial" w:cs="Arial"/>
          <w:sz w:val="22"/>
          <w:shd w:val="clear" w:color="auto" w:fill="FFFFFF"/>
        </w:rPr>
        <w:t>Tran and Vo, 2022)</w:t>
      </w:r>
      <w:r w:rsidRPr="00FD1E4F">
        <w:rPr>
          <w:rFonts w:ascii="Arial" w:hAnsi="Arial" w:cs="Arial"/>
          <w:sz w:val="22"/>
        </w:rPr>
        <w:t>. Furthermore, the ROE continues to rise which gives investors more confidence in the company's ability to generate superior returns on their capital. Another indicator of profitability is indeed the Net Profit Margin, which has significantly improved and shows how effectively Sweet Plc is managed with appropriate pricing tactics. Also, the business will use each of its resources wisely in order to succeed in the market over the long term.</w:t>
      </w:r>
    </w:p>
    <w:p w14:paraId="51D12BD0" w14:textId="6F293190" w:rsidR="00FD1E4F" w:rsidRPr="00FD1E4F" w:rsidRDefault="00FD1E4F" w:rsidP="00FD1E4F">
      <w:pPr>
        <w:spacing w:line="360" w:lineRule="auto"/>
        <w:ind w:firstLine="397"/>
        <w:jc w:val="left"/>
        <w:rPr>
          <w:rFonts w:ascii="Arial" w:eastAsiaTheme="majorEastAsia" w:hAnsi="Arial" w:cs="Arial"/>
          <w:b/>
          <w:sz w:val="22"/>
          <w:lang w:val="en-US"/>
        </w:rPr>
      </w:pPr>
      <w:r w:rsidRPr="00FD1E4F">
        <w:rPr>
          <w:rFonts w:ascii="Arial" w:hAnsi="Arial" w:cs="Arial"/>
          <w:sz w:val="22"/>
        </w:rPr>
        <w:br w:type="page"/>
      </w:r>
    </w:p>
    <w:p w14:paraId="608AAC1E" w14:textId="77777777" w:rsidR="00FD1E4F" w:rsidRPr="00FD1E4F" w:rsidRDefault="00FD1E4F" w:rsidP="00FD1E4F">
      <w:pPr>
        <w:pStyle w:val="Heading1"/>
        <w:spacing w:line="360" w:lineRule="auto"/>
        <w:ind w:firstLine="397"/>
        <w:rPr>
          <w:rFonts w:ascii="Arial" w:hAnsi="Arial" w:cs="Arial"/>
          <w:sz w:val="22"/>
          <w:szCs w:val="22"/>
        </w:rPr>
      </w:pPr>
      <w:bookmarkStart w:id="7" w:name="_Toc132636879"/>
      <w:r w:rsidRPr="00FD1E4F">
        <w:rPr>
          <w:rFonts w:ascii="Arial" w:hAnsi="Arial" w:cs="Arial"/>
          <w:sz w:val="22"/>
          <w:szCs w:val="22"/>
        </w:rPr>
        <w:lastRenderedPageBreak/>
        <w:t>Conclusion</w:t>
      </w:r>
      <w:bookmarkEnd w:id="7"/>
    </w:p>
    <w:p w14:paraId="42F9E7C5" w14:textId="77777777" w:rsidR="00FD1E4F" w:rsidRPr="00FD1E4F" w:rsidRDefault="00FD1E4F" w:rsidP="00FD1E4F">
      <w:pPr>
        <w:spacing w:line="360" w:lineRule="auto"/>
        <w:ind w:firstLine="397"/>
        <w:rPr>
          <w:rFonts w:ascii="Arial" w:hAnsi="Arial" w:cs="Arial"/>
          <w:sz w:val="22"/>
          <w:lang w:val="en-US"/>
        </w:rPr>
      </w:pPr>
      <w:r w:rsidRPr="00FD1E4F">
        <w:rPr>
          <w:rFonts w:ascii="Arial" w:hAnsi="Arial" w:cs="Arial"/>
          <w:sz w:val="22"/>
          <w:lang w:val="en-US"/>
        </w:rPr>
        <w:t>The above-mentioned report depicted the income statement as well as the company's balance sheet which clearly expresses the financial position of Wales Plc. These statements presented the exact picture of the soundness of the firm and appropriate decisions were taken in the context. Apart from this, estimations of the financial ratios stated the profitability of Sweet's plc which provided better clarity on the performance of the business.</w:t>
      </w:r>
    </w:p>
    <w:p w14:paraId="083D477D" w14:textId="77777777" w:rsidR="00FD1E4F" w:rsidRPr="00FD1E4F" w:rsidRDefault="00FD1E4F" w:rsidP="00FD1E4F">
      <w:pPr>
        <w:spacing w:line="360" w:lineRule="auto"/>
        <w:ind w:firstLine="397"/>
        <w:jc w:val="left"/>
        <w:rPr>
          <w:rFonts w:ascii="Arial" w:hAnsi="Arial" w:cs="Arial"/>
          <w:sz w:val="22"/>
          <w:lang w:val="en-US"/>
        </w:rPr>
      </w:pPr>
      <w:r w:rsidRPr="00FD1E4F">
        <w:rPr>
          <w:rFonts w:ascii="Arial" w:hAnsi="Arial" w:cs="Arial"/>
          <w:sz w:val="22"/>
          <w:lang w:val="en-US"/>
        </w:rPr>
        <w:br w:type="page"/>
      </w:r>
    </w:p>
    <w:p w14:paraId="31EC2E7F" w14:textId="77777777" w:rsidR="00FD1E4F" w:rsidRPr="00FD1E4F" w:rsidRDefault="00FD1E4F" w:rsidP="00FD1E4F">
      <w:pPr>
        <w:pStyle w:val="Heading1"/>
        <w:spacing w:line="360" w:lineRule="auto"/>
        <w:ind w:firstLine="397"/>
        <w:rPr>
          <w:rFonts w:ascii="Arial" w:hAnsi="Arial" w:cs="Arial"/>
          <w:sz w:val="22"/>
          <w:szCs w:val="22"/>
        </w:rPr>
      </w:pPr>
      <w:bookmarkStart w:id="8" w:name="_Toc132636880"/>
      <w:r w:rsidRPr="00FD1E4F">
        <w:rPr>
          <w:rFonts w:ascii="Arial" w:hAnsi="Arial" w:cs="Arial"/>
          <w:sz w:val="22"/>
          <w:szCs w:val="22"/>
        </w:rPr>
        <w:lastRenderedPageBreak/>
        <w:t>References</w:t>
      </w:r>
      <w:bookmarkEnd w:id="8"/>
    </w:p>
    <w:p w14:paraId="4CC09ECB" w14:textId="77777777" w:rsidR="00FD1E4F" w:rsidRPr="00FD1E4F" w:rsidRDefault="00FD1E4F" w:rsidP="00FD1E4F">
      <w:pPr>
        <w:spacing w:line="360" w:lineRule="auto"/>
        <w:ind w:firstLine="397"/>
        <w:rPr>
          <w:rFonts w:ascii="Arial" w:hAnsi="Arial" w:cs="Arial"/>
          <w:sz w:val="22"/>
          <w:shd w:val="clear" w:color="auto" w:fill="FFFFFF"/>
        </w:rPr>
      </w:pPr>
      <w:r w:rsidRPr="00FD1E4F">
        <w:rPr>
          <w:rFonts w:ascii="Arial" w:hAnsi="Arial" w:cs="Arial"/>
          <w:sz w:val="22"/>
          <w:shd w:val="clear" w:color="auto" w:fill="FFFFFF"/>
        </w:rPr>
        <w:t>Black, D.E., Christensen, T.E., Ciesielski, J.T. and Whipple, B.C., (2021). Non</w:t>
      </w:r>
      <w:r w:rsidRPr="00FD1E4F">
        <w:rPr>
          <w:rFonts w:ascii="Cambria Math" w:hAnsi="Cambria Math" w:cs="Cambria Math"/>
          <w:sz w:val="22"/>
          <w:shd w:val="clear" w:color="auto" w:fill="FFFFFF"/>
        </w:rPr>
        <w:t>‐</w:t>
      </w:r>
      <w:r w:rsidRPr="00FD1E4F">
        <w:rPr>
          <w:rFonts w:ascii="Arial" w:hAnsi="Arial" w:cs="Arial"/>
          <w:sz w:val="22"/>
          <w:shd w:val="clear" w:color="auto" w:fill="FFFFFF"/>
        </w:rPr>
        <w:t>GAAP earnings: A consistency and comparability crisis?. </w:t>
      </w:r>
      <w:r w:rsidRPr="00FD1E4F">
        <w:rPr>
          <w:rFonts w:ascii="Arial" w:hAnsi="Arial" w:cs="Arial"/>
          <w:i/>
          <w:iCs/>
          <w:sz w:val="22"/>
          <w:shd w:val="clear" w:color="auto" w:fill="FFFFFF"/>
        </w:rPr>
        <w:t>Contemporary Accounting Research</w:t>
      </w:r>
      <w:r w:rsidRPr="00FD1E4F">
        <w:rPr>
          <w:rFonts w:ascii="Arial" w:hAnsi="Arial" w:cs="Arial"/>
          <w:sz w:val="22"/>
          <w:shd w:val="clear" w:color="auto" w:fill="FFFFFF"/>
        </w:rPr>
        <w:t>.</w:t>
      </w:r>
    </w:p>
    <w:p w14:paraId="1498B7BA" w14:textId="77777777" w:rsidR="00FD1E4F" w:rsidRPr="00FD1E4F" w:rsidRDefault="00FD1E4F" w:rsidP="00FD1E4F">
      <w:pPr>
        <w:spacing w:line="360" w:lineRule="auto"/>
        <w:ind w:firstLine="397"/>
        <w:rPr>
          <w:rFonts w:ascii="Arial" w:hAnsi="Arial" w:cs="Arial"/>
          <w:sz w:val="22"/>
          <w:shd w:val="clear" w:color="auto" w:fill="FFFFFF"/>
        </w:rPr>
      </w:pPr>
      <w:r w:rsidRPr="00FD1E4F">
        <w:rPr>
          <w:rFonts w:ascii="Arial" w:hAnsi="Arial" w:cs="Arial"/>
          <w:sz w:val="22"/>
        </w:rPr>
        <w:t>CFI Team, (2023). Return on Equity (ROE). [Online] Available at: https://corporatefinanceinstitute.com/resources/accounting/what-is-return-on-equity-roe/ [Accessed 13 April 2023].</w:t>
      </w:r>
    </w:p>
    <w:p w14:paraId="41CD1637" w14:textId="77777777" w:rsidR="00FD1E4F" w:rsidRPr="00FD1E4F" w:rsidRDefault="00FD1E4F" w:rsidP="00FD1E4F">
      <w:pPr>
        <w:spacing w:line="360" w:lineRule="auto"/>
        <w:ind w:firstLine="397"/>
        <w:rPr>
          <w:rFonts w:ascii="Arial" w:hAnsi="Arial" w:cs="Arial"/>
          <w:sz w:val="22"/>
          <w:shd w:val="clear" w:color="auto" w:fill="FFFFFF"/>
        </w:rPr>
      </w:pPr>
      <w:r w:rsidRPr="00FD1E4F">
        <w:rPr>
          <w:rFonts w:ascii="Arial" w:hAnsi="Arial" w:cs="Arial"/>
          <w:sz w:val="22"/>
          <w:shd w:val="clear" w:color="auto" w:fill="FFFFFF"/>
        </w:rPr>
        <w:t xml:space="preserve">Cherian, J., Umar, M., Thu, P.A., Nguyen-Trang, T., </w:t>
      </w:r>
      <w:proofErr w:type="spellStart"/>
      <w:r w:rsidRPr="00FD1E4F">
        <w:rPr>
          <w:rFonts w:ascii="Arial" w:hAnsi="Arial" w:cs="Arial"/>
          <w:sz w:val="22"/>
          <w:shd w:val="clear" w:color="auto" w:fill="FFFFFF"/>
        </w:rPr>
        <w:t>Sial</w:t>
      </w:r>
      <w:proofErr w:type="spellEnd"/>
      <w:r w:rsidRPr="00FD1E4F">
        <w:rPr>
          <w:rFonts w:ascii="Arial" w:hAnsi="Arial" w:cs="Arial"/>
          <w:sz w:val="22"/>
          <w:shd w:val="clear" w:color="auto" w:fill="FFFFFF"/>
        </w:rPr>
        <w:t xml:space="preserve">, M.S. and </w:t>
      </w:r>
      <w:proofErr w:type="spellStart"/>
      <w:r w:rsidRPr="00FD1E4F">
        <w:rPr>
          <w:rFonts w:ascii="Arial" w:hAnsi="Arial" w:cs="Arial"/>
          <w:sz w:val="22"/>
          <w:shd w:val="clear" w:color="auto" w:fill="FFFFFF"/>
        </w:rPr>
        <w:t>Khuong</w:t>
      </w:r>
      <w:proofErr w:type="spellEnd"/>
      <w:r w:rsidRPr="00FD1E4F">
        <w:rPr>
          <w:rFonts w:ascii="Arial" w:hAnsi="Arial" w:cs="Arial"/>
          <w:sz w:val="22"/>
          <w:shd w:val="clear" w:color="auto" w:fill="FFFFFF"/>
        </w:rPr>
        <w:t>, N.V., (2019). Does corporate social responsibility affect the financial performance of the manufacturing sector? Evidence from an emerging economy. </w:t>
      </w:r>
      <w:r w:rsidRPr="00FD1E4F">
        <w:rPr>
          <w:rFonts w:ascii="Arial" w:hAnsi="Arial" w:cs="Arial"/>
          <w:i/>
          <w:iCs/>
          <w:sz w:val="22"/>
          <w:shd w:val="clear" w:color="auto" w:fill="FFFFFF"/>
        </w:rPr>
        <w:t>Sustainability</w:t>
      </w:r>
      <w:r w:rsidRPr="00FD1E4F">
        <w:rPr>
          <w:rFonts w:ascii="Arial" w:hAnsi="Arial" w:cs="Arial"/>
          <w:sz w:val="22"/>
          <w:shd w:val="clear" w:color="auto" w:fill="FFFFFF"/>
        </w:rPr>
        <w:t>.</w:t>
      </w:r>
    </w:p>
    <w:p w14:paraId="73DA05EF" w14:textId="77777777" w:rsidR="00FD1E4F" w:rsidRPr="00FD1E4F" w:rsidRDefault="00FD1E4F" w:rsidP="00FD1E4F">
      <w:pPr>
        <w:spacing w:line="360" w:lineRule="auto"/>
        <w:ind w:firstLine="397"/>
        <w:rPr>
          <w:rFonts w:ascii="Arial" w:hAnsi="Arial" w:cs="Arial"/>
          <w:sz w:val="22"/>
          <w:shd w:val="clear" w:color="auto" w:fill="FFFFFF"/>
        </w:rPr>
      </w:pPr>
      <w:r w:rsidRPr="00FD1E4F">
        <w:rPr>
          <w:rFonts w:ascii="Arial" w:hAnsi="Arial" w:cs="Arial"/>
          <w:sz w:val="22"/>
          <w:shd w:val="clear" w:color="auto" w:fill="FFFFFF"/>
        </w:rPr>
        <w:t>Frederick, R. and Dixon, B., (2020). </w:t>
      </w:r>
      <w:r w:rsidRPr="00FD1E4F">
        <w:rPr>
          <w:rFonts w:ascii="Arial" w:hAnsi="Arial" w:cs="Arial"/>
          <w:i/>
          <w:iCs/>
          <w:sz w:val="22"/>
          <w:shd w:val="clear" w:color="auto" w:fill="FFFFFF"/>
        </w:rPr>
        <w:t>Optimizing Gear Ratio Selection for Lap Performance</w:t>
      </w:r>
      <w:r w:rsidRPr="00FD1E4F">
        <w:rPr>
          <w:rFonts w:ascii="Arial" w:hAnsi="Arial" w:cs="Arial"/>
          <w:sz w:val="22"/>
          <w:shd w:val="clear" w:color="auto" w:fill="FFFFFF"/>
        </w:rPr>
        <w:t> (No. 2020-01-0543). SAE Technical Paper.</w:t>
      </w:r>
    </w:p>
    <w:p w14:paraId="0E228662" w14:textId="77777777" w:rsidR="00FD1E4F" w:rsidRPr="00FD1E4F" w:rsidRDefault="00FD1E4F" w:rsidP="00FD1E4F">
      <w:pPr>
        <w:spacing w:line="360" w:lineRule="auto"/>
        <w:ind w:firstLine="397"/>
        <w:rPr>
          <w:rFonts w:ascii="Arial" w:hAnsi="Arial" w:cs="Arial"/>
          <w:sz w:val="22"/>
        </w:rPr>
      </w:pPr>
      <w:r w:rsidRPr="00FD1E4F">
        <w:rPr>
          <w:rFonts w:ascii="Arial" w:hAnsi="Arial" w:cs="Arial"/>
          <w:sz w:val="22"/>
          <w:shd w:val="clear" w:color="auto" w:fill="FFFFFF"/>
        </w:rPr>
        <w:t>Griffin, P.A. and Mahajan, S., (2019). Financial Statement Analysis. </w:t>
      </w:r>
      <w:r w:rsidRPr="00FD1E4F">
        <w:rPr>
          <w:rFonts w:ascii="Arial" w:hAnsi="Arial" w:cs="Arial"/>
          <w:i/>
          <w:iCs/>
          <w:sz w:val="22"/>
          <w:shd w:val="clear" w:color="auto" w:fill="FFFFFF"/>
        </w:rPr>
        <w:t>Finding Alphas: A Quantitative Approach to Building Trading Strategies</w:t>
      </w:r>
      <w:r w:rsidRPr="00FD1E4F">
        <w:rPr>
          <w:rFonts w:ascii="Arial" w:hAnsi="Arial" w:cs="Arial"/>
          <w:sz w:val="22"/>
          <w:shd w:val="clear" w:color="auto" w:fill="FFFFFF"/>
        </w:rPr>
        <w:t>.</w:t>
      </w:r>
    </w:p>
    <w:p w14:paraId="5D8A0816" w14:textId="77777777" w:rsidR="00FD1E4F" w:rsidRPr="00FD1E4F" w:rsidRDefault="00FD1E4F" w:rsidP="00FD1E4F">
      <w:pPr>
        <w:spacing w:line="360" w:lineRule="auto"/>
        <w:ind w:firstLine="397"/>
        <w:rPr>
          <w:rFonts w:ascii="Arial" w:hAnsi="Arial" w:cs="Arial"/>
          <w:sz w:val="22"/>
          <w:shd w:val="clear" w:color="auto" w:fill="FFFFFF"/>
        </w:rPr>
      </w:pPr>
      <w:r w:rsidRPr="00FD1E4F">
        <w:rPr>
          <w:rFonts w:ascii="Arial" w:hAnsi="Arial" w:cs="Arial"/>
          <w:sz w:val="22"/>
          <w:shd w:val="clear" w:color="auto" w:fill="FFFFFF"/>
        </w:rPr>
        <w:t>Le, B., (2019). Working capital management and firm’s valuation, profitability and risk: Evidence from a developing market. </w:t>
      </w:r>
      <w:r w:rsidRPr="00FD1E4F">
        <w:rPr>
          <w:rFonts w:ascii="Arial" w:hAnsi="Arial" w:cs="Arial"/>
          <w:i/>
          <w:iCs/>
          <w:sz w:val="22"/>
          <w:shd w:val="clear" w:color="auto" w:fill="FFFFFF"/>
        </w:rPr>
        <w:t>International Journal of Managerial Finance</w:t>
      </w:r>
      <w:r w:rsidRPr="00FD1E4F">
        <w:rPr>
          <w:rFonts w:ascii="Arial" w:hAnsi="Arial" w:cs="Arial"/>
          <w:sz w:val="22"/>
          <w:shd w:val="clear" w:color="auto" w:fill="FFFFFF"/>
        </w:rPr>
        <w:t>.</w:t>
      </w:r>
    </w:p>
    <w:p w14:paraId="13650D76" w14:textId="77777777" w:rsidR="00FD1E4F" w:rsidRPr="00FD1E4F" w:rsidRDefault="00FD1E4F" w:rsidP="00FD1E4F">
      <w:pPr>
        <w:spacing w:line="360" w:lineRule="auto"/>
        <w:ind w:firstLine="397"/>
        <w:rPr>
          <w:rFonts w:ascii="Arial" w:hAnsi="Arial" w:cs="Arial"/>
          <w:sz w:val="22"/>
          <w:shd w:val="clear" w:color="auto" w:fill="FFFFFF"/>
        </w:rPr>
      </w:pPr>
      <w:r w:rsidRPr="00FD1E4F">
        <w:rPr>
          <w:rFonts w:ascii="Arial" w:hAnsi="Arial" w:cs="Arial"/>
          <w:sz w:val="22"/>
          <w:shd w:val="clear" w:color="auto" w:fill="FFFFFF"/>
        </w:rPr>
        <w:t xml:space="preserve">Rey-Ares, L., Fernández-López, S. and </w:t>
      </w:r>
      <w:proofErr w:type="spellStart"/>
      <w:r w:rsidRPr="00FD1E4F">
        <w:rPr>
          <w:rFonts w:ascii="Arial" w:hAnsi="Arial" w:cs="Arial"/>
          <w:sz w:val="22"/>
          <w:shd w:val="clear" w:color="auto" w:fill="FFFFFF"/>
        </w:rPr>
        <w:t>Rodeiro-Pazos</w:t>
      </w:r>
      <w:proofErr w:type="spellEnd"/>
      <w:r w:rsidRPr="00FD1E4F">
        <w:rPr>
          <w:rFonts w:ascii="Arial" w:hAnsi="Arial" w:cs="Arial"/>
          <w:sz w:val="22"/>
          <w:shd w:val="clear" w:color="auto" w:fill="FFFFFF"/>
        </w:rPr>
        <w:t>, D., (2021). Impact of working capital management on profitability for Spanish fish canning companies. </w:t>
      </w:r>
      <w:r w:rsidRPr="00FD1E4F">
        <w:rPr>
          <w:rFonts w:ascii="Arial" w:hAnsi="Arial" w:cs="Arial"/>
          <w:i/>
          <w:iCs/>
          <w:sz w:val="22"/>
          <w:shd w:val="clear" w:color="auto" w:fill="FFFFFF"/>
        </w:rPr>
        <w:t>Marine Policy</w:t>
      </w:r>
      <w:r w:rsidRPr="00FD1E4F">
        <w:rPr>
          <w:rFonts w:ascii="Arial" w:hAnsi="Arial" w:cs="Arial"/>
          <w:sz w:val="22"/>
          <w:shd w:val="clear" w:color="auto" w:fill="FFFFFF"/>
        </w:rPr>
        <w:t>.</w:t>
      </w:r>
    </w:p>
    <w:p w14:paraId="26C216B3" w14:textId="77777777" w:rsidR="00FD1E4F" w:rsidRPr="00FD1E4F" w:rsidRDefault="00FD1E4F" w:rsidP="00FD1E4F">
      <w:pPr>
        <w:spacing w:line="360" w:lineRule="auto"/>
        <w:ind w:firstLine="397"/>
        <w:rPr>
          <w:rFonts w:ascii="Arial" w:hAnsi="Arial" w:cs="Arial"/>
          <w:sz w:val="22"/>
        </w:rPr>
      </w:pPr>
      <w:proofErr w:type="spellStart"/>
      <w:r w:rsidRPr="00FD1E4F">
        <w:rPr>
          <w:rFonts w:ascii="Arial" w:hAnsi="Arial" w:cs="Arial"/>
          <w:sz w:val="22"/>
        </w:rPr>
        <w:t>Tamplin</w:t>
      </w:r>
      <w:proofErr w:type="spellEnd"/>
      <w:r w:rsidRPr="00FD1E4F">
        <w:rPr>
          <w:rFonts w:ascii="Arial" w:hAnsi="Arial" w:cs="Arial"/>
          <w:sz w:val="22"/>
        </w:rPr>
        <w:t>, T., (2023). Current Ratio Calculation. [Online] Available at: https://www.financestrategists.com/wealth-management/accounting-ratios/current-ratiocalculation/?gclid=CjwKCAjw3POhBhBQEiwAqTCuBrVTeUgFZqCxjd1w7uo_gqrIXYNX6jIOy0SFPXziEcsi0tsmyaVRSRoCj6IQAvD_BwE [Accessed 13 April 2023].</w:t>
      </w:r>
    </w:p>
    <w:p w14:paraId="7EED98A8" w14:textId="77777777" w:rsidR="00FD1E4F" w:rsidRPr="00FD1E4F" w:rsidRDefault="00FD1E4F" w:rsidP="00FD1E4F">
      <w:pPr>
        <w:spacing w:line="360" w:lineRule="auto"/>
        <w:ind w:firstLine="397"/>
        <w:rPr>
          <w:rFonts w:ascii="Arial" w:hAnsi="Arial" w:cs="Arial"/>
          <w:sz w:val="22"/>
        </w:rPr>
      </w:pPr>
      <w:proofErr w:type="spellStart"/>
      <w:r w:rsidRPr="00FD1E4F">
        <w:rPr>
          <w:rFonts w:ascii="Arial" w:hAnsi="Arial" w:cs="Arial"/>
          <w:sz w:val="22"/>
          <w:shd w:val="clear" w:color="auto" w:fill="FFFFFF"/>
          <w:lang w:val="de-DE"/>
        </w:rPr>
        <w:t>Tissen</w:t>
      </w:r>
      <w:proofErr w:type="spellEnd"/>
      <w:r w:rsidRPr="00FD1E4F">
        <w:rPr>
          <w:rFonts w:ascii="Arial" w:hAnsi="Arial" w:cs="Arial"/>
          <w:sz w:val="22"/>
          <w:shd w:val="clear" w:color="auto" w:fill="FFFFFF"/>
          <w:lang w:val="de-DE"/>
        </w:rPr>
        <w:t xml:space="preserve">, M. and </w:t>
      </w:r>
      <w:proofErr w:type="spellStart"/>
      <w:r w:rsidRPr="00FD1E4F">
        <w:rPr>
          <w:rFonts w:ascii="Arial" w:hAnsi="Arial" w:cs="Arial"/>
          <w:sz w:val="22"/>
          <w:shd w:val="clear" w:color="auto" w:fill="FFFFFF"/>
          <w:lang w:val="de-DE"/>
        </w:rPr>
        <w:t>Sneidere</w:t>
      </w:r>
      <w:proofErr w:type="spellEnd"/>
      <w:r w:rsidRPr="00FD1E4F">
        <w:rPr>
          <w:rFonts w:ascii="Arial" w:hAnsi="Arial" w:cs="Arial"/>
          <w:sz w:val="22"/>
          <w:shd w:val="clear" w:color="auto" w:fill="FFFFFF"/>
          <w:lang w:val="de-DE"/>
        </w:rPr>
        <w:t xml:space="preserve">, R., (2019). </w:t>
      </w:r>
      <w:r w:rsidRPr="00FD1E4F">
        <w:rPr>
          <w:rFonts w:ascii="Arial" w:hAnsi="Arial" w:cs="Arial"/>
          <w:sz w:val="22"/>
          <w:shd w:val="clear" w:color="auto" w:fill="FFFFFF"/>
        </w:rPr>
        <w:t>Turnover ratios and profitability ratios calculation methods: the book or average value.</w:t>
      </w:r>
    </w:p>
    <w:p w14:paraId="7C0657BE" w14:textId="77777777" w:rsidR="00FD1E4F" w:rsidRPr="00FD1E4F" w:rsidRDefault="00FD1E4F" w:rsidP="00FD1E4F">
      <w:pPr>
        <w:spacing w:line="360" w:lineRule="auto"/>
        <w:ind w:firstLine="397"/>
        <w:rPr>
          <w:rFonts w:ascii="Arial" w:hAnsi="Arial" w:cs="Arial"/>
          <w:sz w:val="22"/>
          <w:shd w:val="clear" w:color="auto" w:fill="FFFFFF"/>
        </w:rPr>
      </w:pPr>
      <w:r w:rsidRPr="00FD1E4F">
        <w:rPr>
          <w:rFonts w:ascii="Arial" w:hAnsi="Arial" w:cs="Arial"/>
          <w:sz w:val="22"/>
          <w:shd w:val="clear" w:color="auto" w:fill="FFFFFF"/>
        </w:rPr>
        <w:t>Tran, N.P. and Vo, D.H., (2022). Do banks accumulate a higher level of intellectual capital? Evidence from an emerging market. </w:t>
      </w:r>
      <w:r w:rsidRPr="00FD1E4F">
        <w:rPr>
          <w:rFonts w:ascii="Arial" w:hAnsi="Arial" w:cs="Arial"/>
          <w:i/>
          <w:iCs/>
          <w:sz w:val="22"/>
          <w:shd w:val="clear" w:color="auto" w:fill="FFFFFF"/>
        </w:rPr>
        <w:t>Journal of Intellectual Capital</w:t>
      </w:r>
      <w:r w:rsidRPr="00FD1E4F">
        <w:rPr>
          <w:rFonts w:ascii="Arial" w:hAnsi="Arial" w:cs="Arial"/>
          <w:sz w:val="22"/>
          <w:shd w:val="clear" w:color="auto" w:fill="FFFFFF"/>
        </w:rPr>
        <w:t>.</w:t>
      </w:r>
    </w:p>
    <w:p w14:paraId="1A6117D3" w14:textId="77777777" w:rsidR="00FD1E4F" w:rsidRPr="00FD1E4F" w:rsidRDefault="00FD1E4F" w:rsidP="00FD1E4F">
      <w:pPr>
        <w:spacing w:line="360" w:lineRule="auto"/>
        <w:ind w:firstLine="397"/>
        <w:rPr>
          <w:rFonts w:ascii="Arial" w:hAnsi="Arial" w:cs="Arial"/>
          <w:sz w:val="22"/>
          <w:shd w:val="clear" w:color="auto" w:fill="FFFFFF"/>
        </w:rPr>
      </w:pPr>
      <w:proofErr w:type="spellStart"/>
      <w:r w:rsidRPr="00FD1E4F">
        <w:rPr>
          <w:rFonts w:ascii="Arial" w:hAnsi="Arial" w:cs="Arial"/>
          <w:sz w:val="22"/>
          <w:shd w:val="clear" w:color="auto" w:fill="FFFFFF"/>
          <w:lang w:val="en-US"/>
        </w:rPr>
        <w:t>Triani</w:t>
      </w:r>
      <w:proofErr w:type="spellEnd"/>
      <w:r w:rsidRPr="00FD1E4F">
        <w:rPr>
          <w:rFonts w:ascii="Arial" w:hAnsi="Arial" w:cs="Arial"/>
          <w:sz w:val="22"/>
          <w:shd w:val="clear" w:color="auto" w:fill="FFFFFF"/>
          <w:lang w:val="en-US"/>
        </w:rPr>
        <w:t>, N.V., (2023). Income Statemen. </w:t>
      </w:r>
      <w:r w:rsidRPr="00FD1E4F">
        <w:rPr>
          <w:rFonts w:ascii="Arial" w:hAnsi="Arial" w:cs="Arial"/>
          <w:i/>
          <w:iCs/>
          <w:sz w:val="22"/>
          <w:shd w:val="clear" w:color="auto" w:fill="FFFFFF"/>
        </w:rPr>
        <w:t>Available at SSRN 4338487</w:t>
      </w:r>
      <w:r w:rsidRPr="00FD1E4F">
        <w:rPr>
          <w:rFonts w:ascii="Arial" w:hAnsi="Arial" w:cs="Arial"/>
          <w:sz w:val="22"/>
          <w:shd w:val="clear" w:color="auto" w:fill="FFFFFF"/>
        </w:rPr>
        <w:t>.</w:t>
      </w:r>
    </w:p>
    <w:p w14:paraId="19DBC09D" w14:textId="77777777" w:rsidR="00FD1E4F" w:rsidRPr="00FD1E4F" w:rsidRDefault="00FD1E4F" w:rsidP="00FD1E4F">
      <w:pPr>
        <w:spacing w:line="360" w:lineRule="auto"/>
        <w:ind w:firstLine="397"/>
        <w:rPr>
          <w:rFonts w:ascii="Arial" w:hAnsi="Arial" w:cs="Arial"/>
          <w:sz w:val="22"/>
          <w:shd w:val="clear" w:color="auto" w:fill="FFFFFF"/>
          <w:lang w:val="en-US"/>
        </w:rPr>
      </w:pPr>
      <w:proofErr w:type="spellStart"/>
      <w:r w:rsidRPr="00FD1E4F">
        <w:rPr>
          <w:rFonts w:ascii="Arial" w:hAnsi="Arial" w:cs="Arial"/>
          <w:sz w:val="22"/>
          <w:shd w:val="clear" w:color="auto" w:fill="FFFFFF"/>
        </w:rPr>
        <w:t>Yanto</w:t>
      </w:r>
      <w:proofErr w:type="spellEnd"/>
      <w:r w:rsidRPr="00FD1E4F">
        <w:rPr>
          <w:rFonts w:ascii="Arial" w:hAnsi="Arial" w:cs="Arial"/>
          <w:sz w:val="22"/>
          <w:shd w:val="clear" w:color="auto" w:fill="FFFFFF"/>
        </w:rPr>
        <w:t xml:space="preserve">, E., Christy, I. and </w:t>
      </w:r>
      <w:proofErr w:type="spellStart"/>
      <w:r w:rsidRPr="00FD1E4F">
        <w:rPr>
          <w:rFonts w:ascii="Arial" w:hAnsi="Arial" w:cs="Arial"/>
          <w:sz w:val="22"/>
          <w:shd w:val="clear" w:color="auto" w:fill="FFFFFF"/>
        </w:rPr>
        <w:t>Cakranegara</w:t>
      </w:r>
      <w:proofErr w:type="spellEnd"/>
      <w:r w:rsidRPr="00FD1E4F">
        <w:rPr>
          <w:rFonts w:ascii="Arial" w:hAnsi="Arial" w:cs="Arial"/>
          <w:sz w:val="22"/>
          <w:shd w:val="clear" w:color="auto" w:fill="FFFFFF"/>
        </w:rPr>
        <w:t>, P.A., (2021). The influences of return on asset, return on equity, net profit margin, debt equity ratio and current ratio toward stock price. </w:t>
      </w:r>
      <w:r w:rsidRPr="00FD1E4F">
        <w:rPr>
          <w:rFonts w:ascii="Arial" w:hAnsi="Arial" w:cs="Arial"/>
          <w:i/>
          <w:iCs/>
          <w:sz w:val="22"/>
          <w:shd w:val="clear" w:color="auto" w:fill="FFFFFF"/>
        </w:rPr>
        <w:t>International Journal of Science, Technology &amp; Management</w:t>
      </w:r>
      <w:r w:rsidRPr="00FD1E4F">
        <w:rPr>
          <w:rFonts w:ascii="Arial" w:hAnsi="Arial" w:cs="Arial"/>
          <w:sz w:val="22"/>
          <w:shd w:val="clear" w:color="auto" w:fill="FFFFFF"/>
        </w:rPr>
        <w:t>.</w:t>
      </w:r>
    </w:p>
    <w:p w14:paraId="1E78FB0A" w14:textId="77777777" w:rsidR="00FD1E4F" w:rsidRPr="00FD1E4F" w:rsidRDefault="00FD1E4F" w:rsidP="00FD1E4F">
      <w:pPr>
        <w:spacing w:line="360" w:lineRule="auto"/>
        <w:ind w:firstLine="397"/>
        <w:rPr>
          <w:rFonts w:ascii="Arial" w:hAnsi="Arial" w:cs="Arial"/>
          <w:sz w:val="22"/>
        </w:rPr>
      </w:pPr>
    </w:p>
    <w:p w14:paraId="2243645C" w14:textId="77777777" w:rsidR="00FD1E4F" w:rsidRPr="00FD1E4F" w:rsidRDefault="00FD1E4F" w:rsidP="00FD1E4F">
      <w:pPr>
        <w:spacing w:line="360" w:lineRule="auto"/>
        <w:ind w:firstLine="397"/>
        <w:rPr>
          <w:rFonts w:ascii="Arial" w:hAnsi="Arial" w:cs="Arial"/>
          <w:sz w:val="22"/>
        </w:rPr>
      </w:pPr>
    </w:p>
    <w:p w14:paraId="79F19C06" w14:textId="3EBB4668" w:rsidR="009C4312" w:rsidRPr="00FD1E4F" w:rsidRDefault="009C4312" w:rsidP="00FD1E4F">
      <w:pPr>
        <w:spacing w:line="360" w:lineRule="auto"/>
        <w:ind w:firstLine="397"/>
        <w:rPr>
          <w:rFonts w:ascii="Arial" w:hAnsi="Arial" w:cs="Arial"/>
          <w:sz w:val="22"/>
          <w:lang w:val="en-US"/>
        </w:rPr>
      </w:pPr>
    </w:p>
    <w:sectPr w:rsidR="009C4312" w:rsidRPr="00FD1E4F" w:rsidSect="007B6097">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B52A65" w14:textId="77777777" w:rsidR="005A2A1F" w:rsidRDefault="005A2A1F" w:rsidP="00FD1E4F">
      <w:pPr>
        <w:spacing w:after="0" w:line="240" w:lineRule="auto"/>
      </w:pPr>
      <w:r>
        <w:separator/>
      </w:r>
    </w:p>
  </w:endnote>
  <w:endnote w:type="continuationSeparator" w:id="0">
    <w:p w14:paraId="445E3FCE" w14:textId="77777777" w:rsidR="005A2A1F" w:rsidRDefault="005A2A1F" w:rsidP="00FD1E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0462388"/>
      <w:docPartObj>
        <w:docPartGallery w:val="Page Numbers (Bottom of Page)"/>
        <w:docPartUnique/>
      </w:docPartObj>
    </w:sdtPr>
    <w:sdtContent>
      <w:sdt>
        <w:sdtPr>
          <w:id w:val="-1769616900"/>
          <w:docPartObj>
            <w:docPartGallery w:val="Page Numbers (Top of Page)"/>
            <w:docPartUnique/>
          </w:docPartObj>
        </w:sdtPr>
        <w:sdtContent>
          <w:p w14:paraId="36296C3B" w14:textId="77777777" w:rsidR="007B6097" w:rsidRDefault="00A95D6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E29E8A0" w14:textId="77777777" w:rsidR="00D22ED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E5B858" w14:textId="77777777" w:rsidR="005A2A1F" w:rsidRDefault="005A2A1F" w:rsidP="00FD1E4F">
      <w:pPr>
        <w:spacing w:after="0" w:line="240" w:lineRule="auto"/>
      </w:pPr>
      <w:r>
        <w:separator/>
      </w:r>
    </w:p>
  </w:footnote>
  <w:footnote w:type="continuationSeparator" w:id="0">
    <w:p w14:paraId="4C29DF83" w14:textId="77777777" w:rsidR="005A2A1F" w:rsidRDefault="005A2A1F" w:rsidP="00FD1E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DD9F8" w14:textId="2F08CDB2" w:rsidR="00D22ED0" w:rsidRDefault="00000000" w:rsidP="007B6097">
    <w:pP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E4F"/>
    <w:rsid w:val="005730D7"/>
    <w:rsid w:val="005A2A1F"/>
    <w:rsid w:val="005D088F"/>
    <w:rsid w:val="006864EE"/>
    <w:rsid w:val="009C4312"/>
    <w:rsid w:val="00A95D61"/>
    <w:rsid w:val="00F93862"/>
    <w:rsid w:val="00FD1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A0BBB"/>
  <w15:chartTrackingRefBased/>
  <w15:docId w15:val="{BE335E93-0BC6-4910-9BF2-2C5974700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E4F"/>
    <w:pPr>
      <w:spacing w:line="480" w:lineRule="auto"/>
      <w:jc w:val="both"/>
    </w:pPr>
    <w:rPr>
      <w:rFonts w:ascii="Times New Roman" w:hAnsi="Times New Roman"/>
      <w:color w:val="000000" w:themeColor="text1"/>
      <w:kern w:val="0"/>
      <w:sz w:val="24"/>
      <w14:ligatures w14:val="none"/>
    </w:rPr>
  </w:style>
  <w:style w:type="paragraph" w:styleId="Heading1">
    <w:name w:val="heading 1"/>
    <w:basedOn w:val="Normal"/>
    <w:next w:val="Normal"/>
    <w:link w:val="Heading1Char"/>
    <w:uiPriority w:val="9"/>
    <w:qFormat/>
    <w:rsid w:val="00FD1E4F"/>
    <w:pPr>
      <w:keepNext/>
      <w:keepLines/>
      <w:spacing w:before="240"/>
      <w:outlineLvl w:val="0"/>
    </w:pPr>
    <w:rPr>
      <w:rFonts w:eastAsiaTheme="majorEastAsia" w:cstheme="majorBidi"/>
      <w:b/>
      <w:sz w:val="28"/>
      <w:szCs w:val="32"/>
      <w:lang w:val="en-US"/>
    </w:rPr>
  </w:style>
  <w:style w:type="paragraph" w:styleId="Heading2">
    <w:name w:val="heading 2"/>
    <w:basedOn w:val="Normal"/>
    <w:next w:val="Normal"/>
    <w:link w:val="Heading2Char"/>
    <w:uiPriority w:val="9"/>
    <w:unhideWhenUsed/>
    <w:qFormat/>
    <w:rsid w:val="00FD1E4F"/>
    <w:pPr>
      <w:keepNext/>
      <w:keepLines/>
      <w:spacing w:before="40"/>
      <w:outlineLvl w:val="1"/>
    </w:pPr>
    <w:rPr>
      <w:rFonts w:eastAsiaTheme="majorEastAsia"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E4F"/>
    <w:rPr>
      <w:rFonts w:ascii="Times New Roman" w:eastAsiaTheme="majorEastAsia" w:hAnsi="Times New Roman" w:cstheme="majorBidi"/>
      <w:b/>
      <w:color w:val="000000" w:themeColor="text1"/>
      <w:kern w:val="0"/>
      <w:sz w:val="28"/>
      <w:szCs w:val="32"/>
      <w:lang w:val="en-US"/>
      <w14:ligatures w14:val="none"/>
    </w:rPr>
  </w:style>
  <w:style w:type="character" w:customStyle="1" w:styleId="Heading2Char">
    <w:name w:val="Heading 2 Char"/>
    <w:basedOn w:val="DefaultParagraphFont"/>
    <w:link w:val="Heading2"/>
    <w:uiPriority w:val="9"/>
    <w:rsid w:val="00FD1E4F"/>
    <w:rPr>
      <w:rFonts w:ascii="Times New Roman" w:eastAsiaTheme="majorEastAsia" w:hAnsi="Times New Roman" w:cstheme="majorBidi"/>
      <w:b/>
      <w:color w:val="000000" w:themeColor="text1"/>
      <w:kern w:val="0"/>
      <w:sz w:val="26"/>
      <w:szCs w:val="26"/>
      <w:lang w:val="en-US"/>
      <w14:ligatures w14:val="none"/>
    </w:rPr>
  </w:style>
  <w:style w:type="table" w:styleId="GridTable5Dark-Accent1">
    <w:name w:val="Grid Table 5 Dark Accent 1"/>
    <w:basedOn w:val="TableNormal"/>
    <w:uiPriority w:val="50"/>
    <w:rsid w:val="00FD1E4F"/>
    <w:pPr>
      <w:spacing w:after="0" w:line="240" w:lineRule="auto"/>
    </w:pPr>
    <w:rPr>
      <w:kern w:val="0"/>
      <w:lang w:val="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NormalWeb">
    <w:name w:val="Normal (Web)"/>
    <w:basedOn w:val="Normal"/>
    <w:uiPriority w:val="99"/>
    <w:unhideWhenUsed/>
    <w:rsid w:val="00FD1E4F"/>
    <w:pPr>
      <w:spacing w:before="100" w:beforeAutospacing="1" w:after="100" w:afterAutospacing="1" w:line="240" w:lineRule="auto"/>
      <w:jc w:val="left"/>
    </w:pPr>
    <w:rPr>
      <w:rFonts w:eastAsia="Times New Roman" w:cs="Times New Roman"/>
      <w:color w:val="auto"/>
      <w:szCs w:val="24"/>
      <w:lang w:val="en-US"/>
    </w:rPr>
  </w:style>
  <w:style w:type="character" w:styleId="Hyperlink">
    <w:name w:val="Hyperlink"/>
    <w:basedOn w:val="DefaultParagraphFont"/>
    <w:uiPriority w:val="99"/>
    <w:unhideWhenUsed/>
    <w:rsid w:val="00FD1E4F"/>
    <w:rPr>
      <w:color w:val="0563C1" w:themeColor="hyperlink"/>
      <w:u w:val="single"/>
    </w:rPr>
  </w:style>
  <w:style w:type="paragraph" w:styleId="Footer">
    <w:name w:val="footer"/>
    <w:basedOn w:val="Normal"/>
    <w:link w:val="FooterChar"/>
    <w:uiPriority w:val="99"/>
    <w:unhideWhenUsed/>
    <w:rsid w:val="00FD1E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1E4F"/>
    <w:rPr>
      <w:rFonts w:ascii="Times New Roman" w:hAnsi="Times New Roman"/>
      <w:color w:val="000000" w:themeColor="text1"/>
      <w:kern w:val="0"/>
      <w:sz w:val="24"/>
      <w14:ligatures w14:val="none"/>
    </w:rPr>
  </w:style>
  <w:style w:type="paragraph" w:styleId="TOCHeading">
    <w:name w:val="TOC Heading"/>
    <w:basedOn w:val="Heading1"/>
    <w:next w:val="Normal"/>
    <w:uiPriority w:val="39"/>
    <w:unhideWhenUsed/>
    <w:qFormat/>
    <w:rsid w:val="00FD1E4F"/>
    <w:pPr>
      <w:spacing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D1E4F"/>
    <w:pPr>
      <w:spacing w:after="100"/>
    </w:pPr>
  </w:style>
  <w:style w:type="paragraph" w:styleId="TOC2">
    <w:name w:val="toc 2"/>
    <w:basedOn w:val="Normal"/>
    <w:next w:val="Normal"/>
    <w:autoRedefine/>
    <w:uiPriority w:val="39"/>
    <w:unhideWhenUsed/>
    <w:rsid w:val="00FD1E4F"/>
    <w:pPr>
      <w:spacing w:after="100"/>
      <w:ind w:left="240"/>
    </w:pPr>
  </w:style>
  <w:style w:type="paragraph" w:styleId="Header">
    <w:name w:val="header"/>
    <w:basedOn w:val="Normal"/>
    <w:link w:val="HeaderChar"/>
    <w:uiPriority w:val="99"/>
    <w:unhideWhenUsed/>
    <w:rsid w:val="00FD1E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E4F"/>
    <w:rPr>
      <w:rFonts w:ascii="Times New Roman" w:hAnsi="Times New Roman"/>
      <w:color w:val="000000" w:themeColor="text1"/>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bdc237</b:Tag>
    <b:SourceType>InternetSite</b:SourceType>
    <b:Guid>{3D1D045F-AEAB-4A1D-9A7A-BBEF394ED3E1}</b:Guid>
    <b:Author>
      <b:Author>
        <b:Corporate>bdc</b:Corporate>
      </b:Author>
    </b:Author>
    <b:Title>Income statement</b:Title>
    <b:Year>2023</b:Year>
    <b:YearAccessed>2023</b:YearAccessed>
    <b:MonthAccessed>April </b:MonthAccessed>
    <b:DayAccessed>13</b:DayAccessed>
    <b:URL>https://www.bdc.ca/en/articles-tools/entrepreneur-toolkit/templates-business-guides/glossary/income-statement</b:URL>
    <b:RefOrder>1</b:RefOrder>
  </b:Source>
  <b:Source>
    <b:Tag>Nic221</b:Tag>
    <b:SourceType>InternetSite</b:SourceType>
    <b:Guid>{B4E7CAFD-01BC-4123-B9A2-147E22CB6502}</b:Guid>
    <b:Author>
      <b:Author>
        <b:NameList>
          <b:Person>
            <b:Last>Zarzycki</b:Last>
            <b:First>Nick</b:First>
          </b:Person>
        </b:NameList>
      </b:Author>
    </b:Author>
    <b:Title>Understanding an Income Statement (Definition and Examples)</b:Title>
    <b:Year>2022</b:Year>
    <b:YearAccessed>2023</b:YearAccessed>
    <b:MonthAccessed>April </b:MonthAccessed>
    <b:DayAccessed>14</b:DayAccessed>
    <b:URL>https://bench.co/blog/accounting/income-statement/#v4mi-a</b:URL>
    <b:RefOrder>2</b:RefOrder>
  </b:Source>
  <b:Source>
    <b:Tag>McK231</b:Tag>
    <b:SourceType>InternetSite</b:SourceType>
    <b:Guid>{296049FD-C480-46E7-A6C4-C89E49EE4E5E}</b:Guid>
    <b:Author>
      <b:Author>
        <b:NameList>
          <b:Person>
            <b:Last>Girardin</b:Last>
            <b:First>McKayla</b:First>
          </b:Person>
        </b:NameList>
      </b:Author>
    </b:Author>
    <b:Title>What Is a Balance Sheet?</b:Title>
    <b:Year>2023</b:Year>
    <b:YearAccessed>2023</b:YearAccessed>
    <b:MonthAccessed>April </b:MonthAccessed>
    <b:DayAccessed>15</b:DayAccessed>
    <b:URL>https://www.theforage.com/blog/skills/balance-sheet</b:URL>
    <b:RefOrder>3</b:RefOrder>
  </b:Source>
  <b:Source>
    <b:Tag>Owe23</b:Tag>
    <b:SourceType>InternetSite</b:SourceType>
    <b:Guid>{33F921F5-A98C-4F3A-AAA9-FFF1563F5C60}</b:Guid>
    <b:Author>
      <b:Author>
        <b:NameList>
          <b:Person>
            <b:Last>Sweeney</b:Last>
            <b:First>Owen</b:First>
          </b:Person>
        </b:NameList>
      </b:Author>
    </b:Author>
    <b:Title>What are balance sheets and why are they important?</b:Title>
    <b:Year>2023</b:Year>
    <b:YearAccessed>2023</b:YearAccessed>
    <b:MonthAccessed>April </b:MonthAccessed>
    <b:DayAccessed>15</b:DayAccessed>
    <b:URL>https://www.sage.com/en-ca/blog/what-why-balance-sheets-important/#:~:text=Balance%20sheets%20are%20also%20important,to%20receive%20in%20the%20future.</b:URL>
    <b:RefOrder>4</b:RefOrder>
  </b:Source>
  <b:Source>
    <b:Tag>CFI234</b:Tag>
    <b:SourceType>InternetSite</b:SourceType>
    <b:Guid>{244B3A6E-5011-4731-86EA-85A2EC3434D4}</b:Guid>
    <b:Author>
      <b:Author>
        <b:Corporate>CFI Team</b:Corporate>
      </b:Author>
    </b:Author>
    <b:Title>Return on Equity (ROE)</b:Title>
    <b:Year>2023</b:Year>
    <b:YearAccessed>2023</b:YearAccessed>
    <b:MonthAccessed>April</b:MonthAccessed>
    <b:DayAccessed>13</b:DayAccessed>
    <b:URL>https://corporatefinanceinstitute.com/resources/accounting/what-is-return-on-equity-roe/</b:URL>
    <b:RefOrder>1</b:RefOrder>
  </b:Source>
  <b:Source>
    <b:Tag>Tru236</b:Tag>
    <b:SourceType>InternetSite</b:SourceType>
    <b:Guid>{E86958CB-132F-4AA6-808D-3E543696114C}</b:Guid>
    <b:Author>
      <b:Author>
        <b:NameList>
          <b:Person>
            <b:Last>Tamplin</b:Last>
            <b:First>True</b:First>
          </b:Person>
        </b:NameList>
      </b:Author>
    </b:Author>
    <b:Title>Current Ratio Calculation</b:Title>
    <b:Year>2023</b:Year>
    <b:YearAccessed>2023</b:YearAccessed>
    <b:MonthAccessed>April</b:MonthAccessed>
    <b:DayAccessed>13</b:DayAccessed>
    <b:URL>https://www.financestrategists.com/wealth-management/accounting-ratios/current-ratio-calculation/?gclid=CjwKCAjw3POhBhBQEiwAqTCuBrVTeUgFZqCxjd1w7uo_gqrIXYNX6jIOy0SFPXziEcsi0tsmyaVRSRoCj6IQAvD_BwE</b:URL>
    <b:RefOrder>2</b:RefOrder>
  </b:Source>
</b:Sources>
</file>

<file path=customXml/itemProps1.xml><?xml version="1.0" encoding="utf-8"?>
<ds:datastoreItem xmlns:ds="http://schemas.openxmlformats.org/officeDocument/2006/customXml" ds:itemID="{64F1C6BC-C1D6-46BC-95F8-6FB9680CF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3036</Words>
  <Characters>17308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Alexandra Chesoiu (2123374);Emanuel Georgian</dc:creator>
  <cp:keywords/>
  <dc:description/>
  <cp:lastModifiedBy>Maria Alexandra Chesoiu (2123374)</cp:lastModifiedBy>
  <cp:revision>3</cp:revision>
  <dcterms:created xsi:type="dcterms:W3CDTF">2023-04-25T07:47:00Z</dcterms:created>
  <dcterms:modified xsi:type="dcterms:W3CDTF">2023-04-25T08:25:00Z</dcterms:modified>
</cp:coreProperties>
</file>