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51B93AB5">
      <w:pPr>
        <w:pStyle w:val="50"/>
        <w:jc w:val="center"/>
        <w:rPr>
          <w:rFonts w:ascii="open sansregular" w:hAnsi="open sansregular" w:eastAsia="open sansregular" w:cs="open sansregular"/>
          <w:sz w:val="24"/>
          <w:szCs w:val="24"/>
          <w:shd w:val="clear" w:color="auto" w:fill="FFFFFF"/>
        </w:rPr>
      </w:pPr>
    </w:p>
    <w:p w14:paraId="51B93AB6">
      <w:pPr>
        <w:pStyle w:val="50"/>
        <w:jc w:val="center"/>
        <w:rPr>
          <w:rFonts w:ascii="Times New Roman" w:hAnsi="Times New Roman" w:cs="Times New Roman"/>
          <w:sz w:val="96"/>
          <w:szCs w:val="96"/>
        </w:rPr>
      </w:pPr>
    </w:p>
    <w:p w14:paraId="51B93AB7">
      <w:pPr>
        <w:pStyle w:val="49"/>
        <w:jc w:val="center"/>
        <w:rPr>
          <w:rFonts w:ascii="Times New Roman" w:hAnsi="Times New Roman" w:cs="Times New Roman"/>
          <w:color w:val="000000"/>
          <w:sz w:val="72"/>
          <w:szCs w:val="96"/>
        </w:rPr>
      </w:pPr>
      <w:r>
        <w:rPr>
          <w:rFonts w:ascii="Times New Roman" w:hAnsi="Times New Roman" w:cs="Times New Roman"/>
          <w:b/>
          <w:bCs/>
          <w:i/>
          <w:iCs/>
          <w:color w:val="000000"/>
          <w:sz w:val="72"/>
          <w:szCs w:val="96"/>
          <w:u w:val="single"/>
        </w:rPr>
        <w:t>BMSW4014 Problem Solving and Innovation</w:t>
      </w:r>
    </w:p>
    <w:p w14:paraId="51B93AB8">
      <w:pPr>
        <w:pStyle w:val="49"/>
        <w:jc w:val="right"/>
        <w:rPr>
          <w:rFonts w:ascii="Times New Roman" w:hAnsi="Times New Roman" w:cs="Times New Roman"/>
          <w:color w:val="000000"/>
          <w:sz w:val="96"/>
          <w:szCs w:val="96"/>
        </w:rPr>
      </w:pPr>
    </w:p>
    <w:p w14:paraId="51B93AB9">
      <w:pPr>
        <w:jc w:val="center"/>
        <w:rPr>
          <w:b/>
          <w:i/>
          <w:sz w:val="28"/>
          <w:u w:val="single"/>
        </w:rPr>
      </w:pPr>
      <w:r>
        <w:rPr>
          <w:b/>
          <w:i/>
          <w:sz w:val="28"/>
          <w:u w:val="single"/>
        </w:rPr>
        <w:t>Title: An analysis of the factors impacting Starbucks in the UK.</w:t>
      </w:r>
    </w:p>
    <w:p w14:paraId="51B93ABA">
      <w:pPr>
        <w:jc w:val="center"/>
        <w:rPr>
          <w:b/>
          <w:i/>
          <w:sz w:val="28"/>
          <w:u w:val="single"/>
        </w:rPr>
      </w:pPr>
    </w:p>
    <w:p w14:paraId="51B93ABB">
      <w:pPr>
        <w:jc w:val="center"/>
        <w:rPr>
          <w:b/>
          <w:i/>
          <w:sz w:val="28"/>
          <w:u w:val="single"/>
        </w:rPr>
      </w:pPr>
      <w:r>
        <w:rPr>
          <w:b/>
          <w:i/>
          <w:sz w:val="28"/>
          <w:u w:val="single"/>
        </w:rPr>
        <w:t>Florin Coluneanu: 2217293</w:t>
      </w:r>
    </w:p>
    <w:p w14:paraId="51B93ABC">
      <w:pPr>
        <w:jc w:val="center"/>
        <w:rPr>
          <w:b/>
          <w:i/>
          <w:sz w:val="28"/>
          <w:u w:val="single"/>
        </w:rPr>
      </w:pPr>
      <w:r>
        <w:rPr>
          <w:b/>
          <w:i/>
          <w:sz w:val="28"/>
          <w:u w:val="single"/>
        </w:rPr>
        <w:t>Lecturer: Rhiannon Akers</w:t>
      </w:r>
    </w:p>
    <w:p w14:paraId="51B93ABD">
      <w:pPr>
        <w:jc w:val="center"/>
        <w:rPr>
          <w:b/>
          <w:i/>
          <w:sz w:val="28"/>
          <w:u w:val="single"/>
        </w:rPr>
      </w:pPr>
      <w:r>
        <w:rPr>
          <w:b/>
          <w:i/>
          <w:sz w:val="28"/>
          <w:u w:val="single"/>
        </w:rPr>
        <w:t xml:space="preserve">Submission Deadline: by </w:t>
      </w:r>
      <w:r>
        <w:rPr>
          <w:b/>
          <w:i/>
          <w:sz w:val="28"/>
          <w:u w:val="single"/>
          <w:lang w:val="en-GB"/>
        </w:rPr>
        <w:t>6th</w:t>
      </w:r>
      <w:bookmarkStart w:id="5" w:name="_GoBack"/>
      <w:bookmarkEnd w:id="5"/>
      <w:r>
        <w:rPr>
          <w:b/>
          <w:i/>
          <w:sz w:val="28"/>
          <w:u w:val="single"/>
        </w:rPr>
        <w:t xml:space="preserve"> December 2024 at 23:59</w:t>
      </w:r>
    </w:p>
    <w:p w14:paraId="51B93ABE">
      <w:pPr>
        <w:jc w:val="center"/>
        <w:rPr>
          <w:b/>
          <w:i/>
          <w:sz w:val="28"/>
          <w:u w:val="single"/>
        </w:rPr>
      </w:pPr>
      <w:r>
        <w:rPr>
          <w:b/>
          <w:i/>
          <w:sz w:val="28"/>
          <w:u w:val="single"/>
        </w:rPr>
        <w:t>Word Counter: 1844</w:t>
      </w:r>
      <w:r>
        <w:rPr>
          <w:b/>
          <w:i/>
          <w:sz w:val="28"/>
          <w:u w:val="single"/>
        </w:rPr>
        <w:br w:type="page"/>
      </w:r>
    </w:p>
    <w:p w14:paraId="51B93ABF">
      <w:pPr>
        <w:pStyle w:val="56"/>
      </w:pPr>
      <w:r>
        <w:t>Table of Contents</w:t>
      </w:r>
    </w:p>
    <w:p w14:paraId="51B93AC0">
      <w:pPr>
        <w:pStyle w:val="14"/>
        <w:rPr>
          <w:rFonts w:ascii="Calibri" w:hAnsi="Calibri" w:eastAsia="Times New Roman" w:cs="Times New Roman"/>
          <w:color w:val="auto"/>
          <w:sz w:val="22"/>
          <w:lang w:val="en-US" w:eastAsia="en-US"/>
        </w:rPr>
      </w:pPr>
      <w:r>
        <w:fldChar w:fldCharType="begin"/>
      </w:r>
      <w:r>
        <w:instrText xml:space="preserve"> TOC \o "1-3" \h \z \u </w:instrText>
      </w:r>
      <w:r>
        <w:fldChar w:fldCharType="separate"/>
      </w:r>
      <w:r>
        <w:fldChar w:fldCharType="begin"/>
      </w:r>
      <w:r>
        <w:instrText xml:space="preserve"> HYPERLINK \l "_Toc183858899" </w:instrText>
      </w:r>
      <w:r>
        <w:fldChar w:fldCharType="separate"/>
      </w:r>
      <w:r>
        <w:rPr>
          <w:rStyle w:val="12"/>
          <w:i/>
        </w:rPr>
        <w:t>Introduction</w:t>
      </w:r>
      <w:r>
        <w:tab/>
      </w:r>
      <w:r>
        <w:fldChar w:fldCharType="begin"/>
      </w:r>
      <w:r>
        <w:instrText xml:space="preserve"> PAGEREF _Toc183858899 \h </w:instrText>
      </w:r>
      <w:r>
        <w:fldChar w:fldCharType="separate"/>
      </w:r>
      <w:r>
        <w:t>3</w:t>
      </w:r>
      <w:r>
        <w:fldChar w:fldCharType="end"/>
      </w:r>
      <w:r>
        <w:fldChar w:fldCharType="end"/>
      </w:r>
    </w:p>
    <w:p w14:paraId="51B93AC1">
      <w:pPr>
        <w:pStyle w:val="16"/>
        <w:rPr>
          <w:rFonts w:ascii="Calibri" w:hAnsi="Calibri" w:eastAsia="Times New Roman" w:cs="Times New Roman"/>
          <w:color w:val="auto"/>
          <w:sz w:val="22"/>
          <w:lang w:val="en-US" w:eastAsia="en-US"/>
        </w:rPr>
      </w:pPr>
      <w:r>
        <w:fldChar w:fldCharType="begin"/>
      </w:r>
      <w:r>
        <w:instrText xml:space="preserve"> HYPERLINK \l "_Toc183858900" </w:instrText>
      </w:r>
      <w:r>
        <w:fldChar w:fldCharType="separate"/>
      </w:r>
      <w:r>
        <w:rPr>
          <w:rStyle w:val="12"/>
          <w:i/>
        </w:rPr>
        <w:t>Identify and analyse factors impacting Starbucks in the UK.</w:t>
      </w:r>
      <w:r>
        <w:tab/>
      </w:r>
      <w:r>
        <w:fldChar w:fldCharType="begin"/>
      </w:r>
      <w:r>
        <w:instrText xml:space="preserve"> PAGEREF _Toc183858900 \h </w:instrText>
      </w:r>
      <w:r>
        <w:fldChar w:fldCharType="separate"/>
      </w:r>
      <w:r>
        <w:t>3</w:t>
      </w:r>
      <w:r>
        <w:fldChar w:fldCharType="end"/>
      </w:r>
      <w:r>
        <w:fldChar w:fldCharType="end"/>
      </w:r>
    </w:p>
    <w:p w14:paraId="51B93AC2">
      <w:pPr>
        <w:pStyle w:val="14"/>
        <w:rPr>
          <w:rFonts w:ascii="Calibri" w:hAnsi="Calibri" w:eastAsia="Times New Roman" w:cs="Times New Roman"/>
          <w:color w:val="auto"/>
          <w:sz w:val="22"/>
          <w:lang w:val="en-US" w:eastAsia="en-US"/>
        </w:rPr>
      </w:pPr>
      <w:r>
        <w:fldChar w:fldCharType="begin"/>
      </w:r>
      <w:r>
        <w:instrText xml:space="preserve"> HYPERLINK \l "_Toc183858901" </w:instrText>
      </w:r>
      <w:r>
        <w:fldChar w:fldCharType="separate"/>
      </w:r>
      <w:r>
        <w:rPr>
          <w:rStyle w:val="12"/>
          <w:i/>
        </w:rPr>
        <w:t>Conclusion</w:t>
      </w:r>
      <w:r>
        <w:tab/>
      </w:r>
      <w:r>
        <w:fldChar w:fldCharType="begin"/>
      </w:r>
      <w:r>
        <w:instrText xml:space="preserve"> PAGEREF _Toc183858901 \h </w:instrText>
      </w:r>
      <w:r>
        <w:fldChar w:fldCharType="separate"/>
      </w:r>
      <w:r>
        <w:t>5</w:t>
      </w:r>
      <w:r>
        <w:fldChar w:fldCharType="end"/>
      </w:r>
      <w:r>
        <w:fldChar w:fldCharType="end"/>
      </w:r>
    </w:p>
    <w:p w14:paraId="51B93AC3">
      <w:pPr>
        <w:pStyle w:val="14"/>
        <w:rPr>
          <w:rFonts w:ascii="Calibri" w:hAnsi="Calibri" w:eastAsia="Times New Roman" w:cs="Times New Roman"/>
          <w:color w:val="auto"/>
          <w:sz w:val="22"/>
          <w:lang w:val="en-US" w:eastAsia="en-US"/>
        </w:rPr>
      </w:pPr>
      <w:r>
        <w:fldChar w:fldCharType="begin"/>
      </w:r>
      <w:r>
        <w:instrText xml:space="preserve"> HYPERLINK \l "_Toc183858902" </w:instrText>
      </w:r>
      <w:r>
        <w:fldChar w:fldCharType="separate"/>
      </w:r>
      <w:r>
        <w:rPr>
          <w:rStyle w:val="12"/>
          <w:i/>
        </w:rPr>
        <w:t>Recommendations</w:t>
      </w:r>
      <w:r>
        <w:tab/>
      </w:r>
      <w:r>
        <w:fldChar w:fldCharType="begin"/>
      </w:r>
      <w:r>
        <w:instrText xml:space="preserve"> PAGEREF _Toc183858902 \h </w:instrText>
      </w:r>
      <w:r>
        <w:fldChar w:fldCharType="separate"/>
      </w:r>
      <w:r>
        <w:t>6</w:t>
      </w:r>
      <w:r>
        <w:fldChar w:fldCharType="end"/>
      </w:r>
      <w:r>
        <w:fldChar w:fldCharType="end"/>
      </w:r>
    </w:p>
    <w:p w14:paraId="51B93AC4">
      <w:pPr>
        <w:pStyle w:val="14"/>
        <w:rPr>
          <w:rFonts w:ascii="Calibri" w:hAnsi="Calibri" w:eastAsia="Times New Roman" w:cs="Times New Roman"/>
          <w:color w:val="auto"/>
          <w:sz w:val="22"/>
          <w:lang w:val="en-US" w:eastAsia="en-US"/>
        </w:rPr>
      </w:pPr>
      <w:r>
        <w:fldChar w:fldCharType="begin"/>
      </w:r>
      <w:r>
        <w:instrText xml:space="preserve"> HYPERLINK \l "_Toc183858903" </w:instrText>
      </w:r>
      <w:r>
        <w:fldChar w:fldCharType="separate"/>
      </w:r>
      <w:r>
        <w:rPr>
          <w:rStyle w:val="12"/>
          <w:i/>
        </w:rPr>
        <w:t>Reference list</w:t>
      </w:r>
      <w:r>
        <w:tab/>
      </w:r>
      <w:r>
        <w:fldChar w:fldCharType="begin"/>
      </w:r>
      <w:r>
        <w:instrText xml:space="preserve"> PAGEREF _Toc183858903 \h </w:instrText>
      </w:r>
      <w:r>
        <w:fldChar w:fldCharType="separate"/>
      </w:r>
      <w:r>
        <w:t>6</w:t>
      </w:r>
      <w:r>
        <w:fldChar w:fldCharType="end"/>
      </w:r>
      <w:r>
        <w:fldChar w:fldCharType="end"/>
      </w:r>
    </w:p>
    <w:p w14:paraId="51B93AC5">
      <w:r>
        <w:rPr>
          <w:b/>
          <w:bCs/>
        </w:rPr>
        <w:fldChar w:fldCharType="end"/>
      </w:r>
    </w:p>
    <w:p w14:paraId="51B93AC6">
      <w:pPr>
        <w:jc w:val="center"/>
        <w:rPr>
          <w:b/>
          <w:i/>
          <w:sz w:val="28"/>
          <w:u w:val="single"/>
        </w:rPr>
      </w:pPr>
    </w:p>
    <w:p w14:paraId="51B93AC7">
      <w:pPr>
        <w:pStyle w:val="2"/>
        <w:pageBreakBefore/>
        <w:rPr>
          <w:i/>
        </w:rPr>
      </w:pPr>
      <w:bookmarkStart w:id="0" w:name="_Toc183858899"/>
      <w:r>
        <w:rPr>
          <w:i/>
        </w:rPr>
        <w:t>Introduction</w:t>
      </w:r>
      <w:bookmarkEnd w:id="0"/>
    </w:p>
    <w:p w14:paraId="51B93AC8">
      <w:r>
        <w:tab/>
      </w:r>
      <w:r>
        <w:t>Starbucks Corporation is an American multinational chain of coffee houses that offers roaster reserves with the factor of being the largest coffee house company in the world and owns stores globally more than 23,000 (</w:t>
      </w:r>
      <w:r>
        <w:rPr>
          <w:i/>
        </w:rPr>
        <w:t>About Us, Starbucks, 2024</w:t>
      </w:r>
      <w:r>
        <w:t>). Starbucks was founded in the year 1971 on 30</w:t>
      </w:r>
      <w:r>
        <w:rPr>
          <w:vertAlign w:val="superscript"/>
        </w:rPr>
        <w:t>th</w:t>
      </w:r>
      <w:r>
        <w:t xml:space="preserve"> March by founders Jerry Baldwin, Zev Siegl, and Gordon Bowker, which initially sold high-quality coffee beans and related equipment, but with time, Starbucks became a local coffee bean retailer, later moved to café to sell coffee beans, and after opened several stores. The current Starbucks in the UK is one of the largest in Europe, the Middle East and Africa, with an increased gross profit of 15 per cent to 188.5 million USD. Despite the increasing success, Starbucks facing difficulties in the UK market with several factors resulting negatively. The following report will critically demonstrate all those factors which are impacting Starbucks in the UK, with the application of the relevant framework, Pestle analysis and further present recommendations for Starbucks. In order to improve business performance, it is essential to analyse the external or internal factors which have a direct and indirect influence on the business and identify the areas to operate with improved strategies and practices to sustain growth and long-run in the market. </w:t>
      </w:r>
    </w:p>
    <w:p w14:paraId="51B93AC9">
      <w:pPr>
        <w:rPr>
          <w:rFonts w:eastAsia="Times New Roman"/>
          <w:b/>
          <w:bCs/>
          <w:i/>
          <w:sz w:val="28"/>
          <w:szCs w:val="28"/>
        </w:rPr>
      </w:pPr>
      <w:r>
        <w:rPr>
          <w:rFonts w:eastAsia="Times New Roman"/>
          <w:b/>
          <w:bCs/>
          <w:i/>
          <w:sz w:val="28"/>
          <w:szCs w:val="28"/>
        </w:rPr>
        <w:t xml:space="preserve">Findings </w:t>
      </w:r>
    </w:p>
    <w:p w14:paraId="51B93ACA">
      <w:pPr>
        <w:pStyle w:val="3"/>
        <w:rPr>
          <w:i/>
        </w:rPr>
      </w:pPr>
      <w:bookmarkStart w:id="1" w:name="_Toc183858900"/>
      <w:r>
        <w:rPr>
          <w:i/>
        </w:rPr>
        <w:t>Identify and analyse factors impacting Starbucks in the UK.</w:t>
      </w:r>
      <w:bookmarkEnd w:id="1"/>
    </w:p>
    <w:p w14:paraId="51B93ACB">
      <w:pPr>
        <w:ind w:firstLine="576"/>
      </w:pPr>
      <w:r>
        <w:t>External and internal environmental factors are impacting business operations including globalisation, technological advancements, ethical and social responsibilities, and economic and other legal influences (</w:t>
      </w:r>
      <w:r>
        <w:rPr>
          <w:color w:val="222222"/>
          <w:szCs w:val="20"/>
          <w:shd w:val="clear" w:color="auto" w:fill="FFFFFF"/>
        </w:rPr>
        <w:t>Mykhailichenko et al., 2021</w:t>
      </w:r>
      <w:r>
        <w:t xml:space="preserve">). These factors can drastically initiate change within businesses with pressurizing to adapt to change and react accordingly, with the intention to survive and stay competitive in the marketplace. In consideration of the current situation of Starbucks in the UK, which has not reflected upon such positive results, analysing the various factors impacting the performance and operations of Starbucks can help in improved future practices to stay competitive. The application of Pestle analysis as the tool can help Starbucks to offer solutions for current competitive business landscapes, with improved planning and strategic development. </w:t>
      </w:r>
    </w:p>
    <w:p w14:paraId="51B93ACC">
      <w:pPr>
        <w:rPr>
          <w:b/>
          <w:i/>
        </w:rPr>
      </w:pPr>
      <w:r>
        <w:rPr>
          <w:b/>
          <w:i/>
        </w:rPr>
        <w:t xml:space="preserve">PESTLE Analysis </w:t>
      </w:r>
    </w:p>
    <w:p w14:paraId="51B93ACD">
      <w:r>
        <w:t>Pestle analysis is a tool which measures and identifies the key driving factors and approaches, which can influence the strategic business environment of the organisation (</w:t>
      </w:r>
      <w:r>
        <w:rPr>
          <w:color w:val="222222"/>
          <w:szCs w:val="20"/>
          <w:shd w:val="clear" w:color="auto" w:fill="FFFFFF"/>
        </w:rPr>
        <w:t>Eierle, et al., 2022</w:t>
      </w:r>
      <w:r>
        <w:t>). The application of pestle analysis can help Starbucks to measure and critically analyse the factors present in internal and external business environments which are impacting business and allow easy understanding to develop successful strategies for the future (</w:t>
      </w:r>
      <w:r>
        <w:rPr>
          <w:color w:val="222222"/>
          <w:szCs w:val="20"/>
          <w:shd w:val="clear" w:color="auto" w:fill="FFFFFF"/>
        </w:rPr>
        <w:t>Buye, 2021</w:t>
      </w:r>
      <w:r>
        <w:t>). Detailed analysis of factors are as follows –</w:t>
      </w:r>
    </w:p>
    <w:p w14:paraId="51B93ACE">
      <w:pPr>
        <w:numPr>
          <w:ilvl w:val="0"/>
          <w:numId w:val="2"/>
        </w:numPr>
      </w:pPr>
      <w:r>
        <w:rPr>
          <w:b/>
          <w:i/>
        </w:rPr>
        <w:t xml:space="preserve">Political: </w:t>
      </w:r>
      <w:r>
        <w:t>These factors cover the impact of government policies, regulations, tax policies, trade barriers and international relations. In relation to Starbucks, major political factors affected business, such as taxation policies, as different countries have differentiated economic situations and trade restrictions. For example, Starbucks’s policy of not franchising with other organisations, is a cause of concern for business, as it offers risk factors with increased cost in the local market, and less franchise knowledge of geographic, demographics and local country regulations (</w:t>
      </w:r>
      <w:r>
        <w:rPr>
          <w:color w:val="222222"/>
          <w:szCs w:val="20"/>
          <w:shd w:val="clear" w:color="auto" w:fill="FFFFFF"/>
        </w:rPr>
        <w:t>Carter, Warren, and Steinhoff, 2023</w:t>
      </w:r>
      <w:r>
        <w:t xml:space="preserve">). </w:t>
      </w:r>
    </w:p>
    <w:p w14:paraId="51B93ACF">
      <w:pPr>
        <w:numPr>
          <w:ilvl w:val="0"/>
          <w:numId w:val="2"/>
        </w:numPr>
      </w:pPr>
      <w:r>
        <w:rPr>
          <w:b/>
          <w:i/>
        </w:rPr>
        <w:t>Economical:</w:t>
      </w:r>
      <w:r>
        <w:t xml:space="preserve"> This factor is focused on economic conditions, such as inflation, economic growth and interest rates. In recent circumstances, Brexit policy within the UK has majorly impacted the UK’s economy, resulting in reduced real per capita, and labour shortages. Starbucks has also been affected by this approach, as it has led businesses towards a shortage of skilled workforce, and affected the demand for drivers of (HGV), Heavy Goods Vehicles (</w:t>
      </w:r>
      <w:r>
        <w:rPr>
          <w:color w:val="222222"/>
          <w:szCs w:val="20"/>
          <w:shd w:val="clear" w:color="auto" w:fill="FFFFFF"/>
        </w:rPr>
        <w:t>Piecyk, and Allen, 2021</w:t>
      </w:r>
      <w:r>
        <w:t xml:space="preserve">). It has also resulted in several uncertainties and disrupted the supply chain with increased costs of transportation to source raw materials from EU suppliers. </w:t>
      </w:r>
    </w:p>
    <w:p w14:paraId="51B93AD0">
      <w:pPr>
        <w:numPr>
          <w:ilvl w:val="0"/>
          <w:numId w:val="2"/>
        </w:numPr>
      </w:pPr>
      <w:r>
        <w:rPr>
          <w:b/>
          <w:i/>
        </w:rPr>
        <w:t>Social:</w:t>
      </w:r>
      <w:r>
        <w:t xml:space="preserve"> These factors involve the impact of social trends, beliefs and values upon businesses. For example, customers' growing awareness about the concern of health due to coffee consumption affected the coffee industry in the UK and posed a threat to Starbucks as well (</w:t>
      </w:r>
      <w:r>
        <w:rPr>
          <w:color w:val="222222"/>
          <w:szCs w:val="20"/>
          <w:shd w:val="clear" w:color="auto" w:fill="FFFFFF"/>
        </w:rPr>
        <w:t>Casañ, Alier, and Llorens, 2021</w:t>
      </w:r>
      <w:r>
        <w:t>). In the UK market, Starbucks has also outbid the exclusive Nariño Supremo bean crops, which grow in limited quantity and have high-quality beans, making it competitive for their companies to purchase. This factor has been implicated in the supply chain of coffee beans, which are essential resources for coffee-making industries in the country. This is unethical and affects other coffee businesses, resulting in negative perceptions among the target group of customers (</w:t>
      </w:r>
      <w:r>
        <w:rPr>
          <w:color w:val="222222"/>
          <w:szCs w:val="20"/>
          <w:shd w:val="clear" w:color="auto" w:fill="FFFFFF"/>
        </w:rPr>
        <w:t>Ahmed, et al., 2020</w:t>
      </w:r>
      <w:r>
        <w:t xml:space="preserve">). </w:t>
      </w:r>
    </w:p>
    <w:p w14:paraId="51B93AD1">
      <w:pPr>
        <w:numPr>
          <w:ilvl w:val="0"/>
          <w:numId w:val="2"/>
        </w:numPr>
      </w:pPr>
      <w:r>
        <w:rPr>
          <w:b/>
          <w:i/>
        </w:rPr>
        <w:t>Technological:</w:t>
      </w:r>
      <w:r>
        <w:t xml:space="preserve"> This approach of analysis is focused on technological advancements and their significant impact on businesses (</w:t>
      </w:r>
      <w:r>
        <w:rPr>
          <w:color w:val="222222"/>
          <w:szCs w:val="20"/>
          <w:shd w:val="clear" w:color="auto" w:fill="FFFFFF"/>
        </w:rPr>
        <w:t>Eierle, et al., 2022</w:t>
      </w:r>
      <w:r>
        <w:t>). For example, the rise in e-commerce and websites has offered an online method of sales and promotion. Starbucks considering the technical advancement has built its own mobile application and websites which are user-friendly and provide better interface with customers and other clients (</w:t>
      </w:r>
      <w:r>
        <w:rPr>
          <w:color w:val="222222"/>
          <w:szCs w:val="20"/>
          <w:shd w:val="clear" w:color="auto" w:fill="FFFFFF"/>
        </w:rPr>
        <w:t>Halim, et al., 2023</w:t>
      </w:r>
      <w:r>
        <w:t xml:space="preserve">). Along with this, the business offers discount coupons to customers, in partnership with Apple, which also offers a range of resources and opportunities to reach potential customers with internet facilities in the outlet as well.  </w:t>
      </w:r>
    </w:p>
    <w:p w14:paraId="51B93AD2">
      <w:pPr>
        <w:numPr>
          <w:ilvl w:val="0"/>
          <w:numId w:val="2"/>
        </w:numPr>
      </w:pPr>
      <w:r>
        <w:rPr>
          <w:b/>
          <w:i/>
        </w:rPr>
        <w:t>Legal:</w:t>
      </w:r>
      <w:r>
        <w:t xml:space="preserve"> This consists of the impact of regulations, employment laws, safety rules, health and industry specific regulations. This implies upon need to follow certain regulations and policies imposed by the government of the UK, to maintain smooth transactions and import and export of goods (</w:t>
      </w:r>
      <w:r>
        <w:rPr>
          <w:color w:val="222222"/>
          <w:szCs w:val="20"/>
          <w:shd w:val="clear" w:color="auto" w:fill="FFFFFF"/>
        </w:rPr>
        <w:t>Casadei, and Iammarino, 2021</w:t>
      </w:r>
      <w:r>
        <w:t xml:space="preserve">). Starbucks in the UK ensures certain policies like licensing, collisions, and ensures customer safety regulations and other standards, and does not violate any of them. </w:t>
      </w:r>
    </w:p>
    <w:p w14:paraId="51B93AD3">
      <w:pPr>
        <w:numPr>
          <w:ilvl w:val="0"/>
          <w:numId w:val="2"/>
        </w:numPr>
      </w:pPr>
      <w:r>
        <w:rPr>
          <w:b/>
          <w:i/>
        </w:rPr>
        <w:t>Environmental:</w:t>
      </w:r>
      <w:r>
        <w:t xml:space="preserve"> These factors focus on the physical atmosphere including climate change, natural disasters, and regulations relating to environmental safety or concerns. For example, climate change and natural disasters might affect coffee crops and the supply of coffee beans, as these are key resources for the coffee business (</w:t>
      </w:r>
      <w:r>
        <w:rPr>
          <w:color w:val="222222"/>
          <w:szCs w:val="20"/>
          <w:shd w:val="clear" w:color="auto" w:fill="FFFFFF"/>
        </w:rPr>
        <w:t>Koutouleas, et al., 2022</w:t>
      </w:r>
      <w:r>
        <w:t>). Starbucks also requires coffee beans, which can face implications retain to environmental causes, such as water scarcity, and natural calamities. The production of coffee beans has been experiencing environmental disasters and damage due to global warming, which can result in insufficient resource allocation and consumption for Starbucks UK (</w:t>
      </w:r>
      <w:r>
        <w:rPr>
          <w:color w:val="222222"/>
          <w:szCs w:val="20"/>
          <w:shd w:val="clear" w:color="auto" w:fill="FFFFFF"/>
        </w:rPr>
        <w:t>Nguyen, 2020</w:t>
      </w:r>
      <w:r>
        <w:t xml:space="preserve">).  </w:t>
      </w:r>
    </w:p>
    <w:p w14:paraId="51B93AD4">
      <w:pPr>
        <w:pStyle w:val="2"/>
        <w:rPr>
          <w:i/>
        </w:rPr>
      </w:pPr>
      <w:bookmarkStart w:id="2" w:name="_Toc183858901"/>
      <w:r>
        <w:rPr>
          <w:i/>
        </w:rPr>
        <w:t>Conclusion</w:t>
      </w:r>
      <w:bookmarkEnd w:id="2"/>
    </w:p>
    <w:p w14:paraId="51B93AD5">
      <w:pPr>
        <w:tabs>
          <w:tab w:val="left" w:pos="4383"/>
        </w:tabs>
        <w:ind w:firstLine="432"/>
      </w:pPr>
      <w:r>
        <w:t xml:space="preserve">In summary, it can be concluded that assessing the business environment and all related factors in the market is essential for businesses to maintain continuous learning and growth within a market full of intense competition and uncertainties. The above report has critically acknowledged the need to analyse factors impacting business, as analysing internal and external factors can help businesses measure business opportunities, with useful resources and improved planning processes, to mitigate risk and maintain profitability with overall growth and performance. It has also highlighted the feature of understanding all factors, which can help businesses to navigate issues, and upcoming opportunities to achieve goals. It has also been analysed that, Starbucks in the UK has been facing complexities relating to political factors, with a focus on taxation policy, and economic situations, like labour laws, restrictions, and other prohibitions as well. </w:t>
      </w:r>
    </w:p>
    <w:p w14:paraId="51B93AD6">
      <w:pPr>
        <w:pStyle w:val="2"/>
        <w:rPr>
          <w:i/>
        </w:rPr>
      </w:pPr>
      <w:bookmarkStart w:id="3" w:name="_Toc183858902"/>
      <w:r>
        <w:rPr>
          <w:i/>
        </w:rPr>
        <w:t>Recommendations</w:t>
      </w:r>
      <w:bookmarkEnd w:id="3"/>
      <w:r>
        <w:rPr>
          <w:i/>
        </w:rPr>
        <w:t xml:space="preserve"> </w:t>
      </w:r>
    </w:p>
    <w:p w14:paraId="51B93AD7">
      <w:pPr>
        <w:numPr>
          <w:ilvl w:val="0"/>
          <w:numId w:val="3"/>
        </w:numPr>
      </w:pPr>
      <w:r>
        <w:t>Starbucks in relation to the political implication of not franchising with other organisations, the opportunity of franchising with others can be a good option after conducting thorough research of the current market situation, with best practices, efficient goals, and through evaluating performance (</w:t>
      </w:r>
      <w:r>
        <w:rPr>
          <w:color w:val="222222"/>
          <w:szCs w:val="20"/>
          <w:shd w:val="clear" w:color="auto" w:fill="FFFFFF"/>
        </w:rPr>
        <w:t>Mamuti, Ikonomi, and Caputo, 2022</w:t>
      </w:r>
      <w:r>
        <w:t xml:space="preserve">). This strategy can contribute to effective brand recognition, and economies of scale, and provide better operational support with an understanding of local culture or market by Starbucks.  </w:t>
      </w:r>
    </w:p>
    <w:p w14:paraId="51B93AD8">
      <w:pPr>
        <w:numPr>
          <w:ilvl w:val="0"/>
          <w:numId w:val="3"/>
        </w:numPr>
      </w:pPr>
      <w:r>
        <w:t>In context to the shortage of HGV, Starbucks can opt for the strategy of partnering with trucking organisations, which can offer an additional resource and support to the business to identify available drivers in the market (</w:t>
      </w:r>
      <w:r>
        <w:rPr>
          <w:color w:val="222222"/>
          <w:szCs w:val="20"/>
          <w:shd w:val="clear" w:color="auto" w:fill="FFFFFF"/>
        </w:rPr>
        <w:t>Hopkins et al., 2024</w:t>
      </w:r>
      <w:r>
        <w:t xml:space="preserve">). This strategy can help Starbucks to have better access to the large pool of applicants with improved referral networks and training opportunities. </w:t>
      </w:r>
    </w:p>
    <w:p w14:paraId="51B93AD9">
      <w:pPr>
        <w:numPr>
          <w:ilvl w:val="0"/>
          <w:numId w:val="3"/>
        </w:numPr>
      </w:pPr>
      <w:r>
        <w:t>Being committed to several environmental policies and schemes, Starbucks must further focus on green coffee production and processing with a resource positive future and formalizing environmental goals (</w:t>
      </w:r>
      <w:r>
        <w:rPr>
          <w:color w:val="222222"/>
          <w:szCs w:val="20"/>
          <w:shd w:val="clear" w:color="auto" w:fill="FFFFFF"/>
        </w:rPr>
        <w:t>Tsai, et al., 2020</w:t>
      </w:r>
      <w:r>
        <w:t xml:space="preserve">). As increased natural resource scarcity led to a carbon footprint, water wastage footprints were impacting agriculture, resulting in reduced quality and processes of coffee bean production. </w:t>
      </w:r>
    </w:p>
    <w:p w14:paraId="51B93ADA">
      <w:pPr>
        <w:pStyle w:val="2"/>
        <w:rPr>
          <w:i/>
        </w:rPr>
      </w:pPr>
      <w:bookmarkStart w:id="4" w:name="_Toc183858903"/>
      <w:r>
        <w:rPr>
          <w:i/>
        </w:rPr>
        <w:t>Reference list</w:t>
      </w:r>
      <w:bookmarkEnd w:id="4"/>
    </w:p>
    <w:p w14:paraId="51B93ADB">
      <w:pPr>
        <w:rPr>
          <w:i/>
          <w:u w:val="single"/>
        </w:rPr>
      </w:pPr>
      <w:r>
        <w:rPr>
          <w:i/>
          <w:u w:val="single"/>
        </w:rPr>
        <w:t>Books and Journals</w:t>
      </w:r>
    </w:p>
    <w:p w14:paraId="51B93ADC">
      <w:pPr>
        <w:spacing w:line="240" w:lineRule="auto"/>
        <w:ind w:left="360" w:hanging="360"/>
        <w:rPr>
          <w:color w:val="222222"/>
          <w:szCs w:val="20"/>
          <w:shd w:val="clear" w:color="auto" w:fill="FFFFFF"/>
        </w:rPr>
      </w:pPr>
      <w:r>
        <w:rPr>
          <w:color w:val="222222"/>
          <w:szCs w:val="20"/>
          <w:shd w:val="clear" w:color="auto" w:fill="FFFFFF"/>
        </w:rPr>
        <w:t>Ahmed, I., Islam, T., Abdul Rasid, S.Z., Anwar, F. and Khalid, A., 2020. As you sow, so shall you reap: finding customer-based outcomes of socially responsible coffee cafés. </w:t>
      </w:r>
      <w:r>
        <w:rPr>
          <w:i/>
          <w:iCs/>
          <w:color w:val="222222"/>
          <w:szCs w:val="20"/>
          <w:shd w:val="clear" w:color="auto" w:fill="FFFFFF"/>
        </w:rPr>
        <w:t>British Food Journal</w:t>
      </w:r>
      <w:r>
        <w:rPr>
          <w:color w:val="222222"/>
          <w:szCs w:val="20"/>
          <w:shd w:val="clear" w:color="auto" w:fill="FFFFFF"/>
        </w:rPr>
        <w:t>, </w:t>
      </w:r>
      <w:r>
        <w:rPr>
          <w:i/>
          <w:iCs/>
          <w:color w:val="222222"/>
          <w:szCs w:val="20"/>
          <w:shd w:val="clear" w:color="auto" w:fill="FFFFFF"/>
        </w:rPr>
        <w:t>122</w:t>
      </w:r>
      <w:r>
        <w:rPr>
          <w:color w:val="222222"/>
          <w:szCs w:val="20"/>
          <w:shd w:val="clear" w:color="auto" w:fill="FFFFFF"/>
        </w:rPr>
        <w:t>(9), pp.3009-3026.</w:t>
      </w:r>
    </w:p>
    <w:p w14:paraId="51B93ADD">
      <w:pPr>
        <w:spacing w:line="240" w:lineRule="auto"/>
        <w:ind w:left="360" w:hanging="360"/>
        <w:rPr>
          <w:color w:val="222222"/>
          <w:sz w:val="40"/>
          <w:szCs w:val="20"/>
          <w:shd w:val="clear" w:color="auto" w:fill="FFFFFF"/>
        </w:rPr>
      </w:pPr>
      <w:r>
        <w:rPr>
          <w:color w:val="222222"/>
          <w:szCs w:val="20"/>
          <w:shd w:val="clear" w:color="auto" w:fill="FFFFFF"/>
        </w:rPr>
        <w:t>Buye, R., 2021. Critical examination of the PESTEL Analysis Model. </w:t>
      </w:r>
      <w:r>
        <w:rPr>
          <w:i/>
          <w:iCs/>
          <w:color w:val="222222"/>
          <w:szCs w:val="20"/>
          <w:shd w:val="clear" w:color="auto" w:fill="FFFFFF"/>
        </w:rPr>
        <w:t>Project: Action Research for Development</w:t>
      </w:r>
      <w:r>
        <w:rPr>
          <w:color w:val="222222"/>
          <w:szCs w:val="20"/>
          <w:shd w:val="clear" w:color="auto" w:fill="FFFFFF"/>
        </w:rPr>
        <w:t>.</w:t>
      </w:r>
    </w:p>
    <w:p w14:paraId="51B93ADE">
      <w:pPr>
        <w:spacing w:line="240" w:lineRule="auto"/>
        <w:ind w:left="360" w:hanging="360"/>
        <w:rPr>
          <w:color w:val="222222"/>
          <w:szCs w:val="20"/>
          <w:shd w:val="clear" w:color="auto" w:fill="FFFFFF"/>
        </w:rPr>
      </w:pPr>
      <w:r>
        <w:rPr>
          <w:color w:val="222222"/>
          <w:szCs w:val="20"/>
          <w:shd w:val="clear" w:color="auto" w:fill="FFFFFF"/>
        </w:rPr>
        <w:t>Carter, D.B., Warren, R. and Steinhoff, A., 2023. The anatomy of tragedy: Starbucks as a politics of displacement. </w:t>
      </w:r>
      <w:r>
        <w:rPr>
          <w:i/>
          <w:iCs/>
          <w:color w:val="222222"/>
          <w:szCs w:val="20"/>
          <w:shd w:val="clear" w:color="auto" w:fill="FFFFFF"/>
        </w:rPr>
        <w:t>Accounting, Auditing &amp; Accountability Journal</w:t>
      </w:r>
      <w:r>
        <w:rPr>
          <w:color w:val="222222"/>
          <w:szCs w:val="20"/>
          <w:shd w:val="clear" w:color="auto" w:fill="FFFFFF"/>
        </w:rPr>
        <w:t>, </w:t>
      </w:r>
      <w:r>
        <w:rPr>
          <w:i/>
          <w:iCs/>
          <w:color w:val="222222"/>
          <w:szCs w:val="20"/>
          <w:shd w:val="clear" w:color="auto" w:fill="FFFFFF"/>
        </w:rPr>
        <w:t>36</w:t>
      </w:r>
      <w:r>
        <w:rPr>
          <w:color w:val="222222"/>
          <w:szCs w:val="20"/>
          <w:shd w:val="clear" w:color="auto" w:fill="FFFFFF"/>
        </w:rPr>
        <w:t>(1), pp.146-176.</w:t>
      </w:r>
    </w:p>
    <w:p w14:paraId="51B93ADF">
      <w:pPr>
        <w:spacing w:line="240" w:lineRule="auto"/>
        <w:ind w:left="360" w:hanging="360"/>
        <w:rPr>
          <w:color w:val="222222"/>
          <w:sz w:val="32"/>
          <w:szCs w:val="20"/>
          <w:shd w:val="clear" w:color="auto" w:fill="FFFFFF"/>
        </w:rPr>
      </w:pPr>
      <w:r>
        <w:rPr>
          <w:color w:val="222222"/>
          <w:szCs w:val="20"/>
          <w:shd w:val="clear" w:color="auto" w:fill="FFFFFF"/>
        </w:rPr>
        <w:t>Casadei, P. and Iammarino, S., 2021. Trade policy shocks in the UK textile and apparel value chain: Firm perceptions of Brexit uncertainty. </w:t>
      </w:r>
      <w:r>
        <w:rPr>
          <w:i/>
          <w:iCs/>
          <w:color w:val="222222"/>
          <w:szCs w:val="20"/>
          <w:shd w:val="clear" w:color="auto" w:fill="FFFFFF"/>
        </w:rPr>
        <w:t>Journal of International Business Policy</w:t>
      </w:r>
      <w:r>
        <w:rPr>
          <w:color w:val="222222"/>
          <w:szCs w:val="20"/>
          <w:shd w:val="clear" w:color="auto" w:fill="FFFFFF"/>
        </w:rPr>
        <w:t>, </w:t>
      </w:r>
      <w:r>
        <w:rPr>
          <w:i/>
          <w:iCs/>
          <w:color w:val="222222"/>
          <w:szCs w:val="20"/>
          <w:shd w:val="clear" w:color="auto" w:fill="FFFFFF"/>
        </w:rPr>
        <w:t>4</w:t>
      </w:r>
      <w:r>
        <w:rPr>
          <w:color w:val="222222"/>
          <w:szCs w:val="20"/>
          <w:shd w:val="clear" w:color="auto" w:fill="FFFFFF"/>
        </w:rPr>
        <w:t>(2), p.262.</w:t>
      </w:r>
    </w:p>
    <w:p w14:paraId="51B93AE0">
      <w:pPr>
        <w:spacing w:line="240" w:lineRule="auto"/>
        <w:ind w:left="360" w:hanging="360"/>
        <w:rPr>
          <w:color w:val="222222"/>
          <w:sz w:val="32"/>
          <w:szCs w:val="20"/>
          <w:shd w:val="clear" w:color="auto" w:fill="FFFFFF"/>
        </w:rPr>
      </w:pPr>
      <w:r>
        <w:rPr>
          <w:color w:val="222222"/>
          <w:szCs w:val="20"/>
          <w:shd w:val="clear" w:color="auto" w:fill="FFFFFF"/>
        </w:rPr>
        <w:t>Casañ, M.J., Alier, M. and Llorens, A., 2021. A collaborative learning activity to analyze the sustainability of an innovation using PESTLE. </w:t>
      </w:r>
      <w:r>
        <w:rPr>
          <w:i/>
          <w:iCs/>
          <w:color w:val="222222"/>
          <w:szCs w:val="20"/>
          <w:shd w:val="clear" w:color="auto" w:fill="FFFFFF"/>
        </w:rPr>
        <w:t>Sustainability</w:t>
      </w:r>
      <w:r>
        <w:rPr>
          <w:color w:val="222222"/>
          <w:szCs w:val="20"/>
          <w:shd w:val="clear" w:color="auto" w:fill="FFFFFF"/>
        </w:rPr>
        <w:t>, </w:t>
      </w:r>
      <w:r>
        <w:rPr>
          <w:i/>
          <w:iCs/>
          <w:color w:val="222222"/>
          <w:szCs w:val="20"/>
          <w:shd w:val="clear" w:color="auto" w:fill="FFFFFF"/>
        </w:rPr>
        <w:t>13</w:t>
      </w:r>
      <w:r>
        <w:rPr>
          <w:color w:val="222222"/>
          <w:szCs w:val="20"/>
          <w:shd w:val="clear" w:color="auto" w:fill="FFFFFF"/>
        </w:rPr>
        <w:t>(16), p.8756.</w:t>
      </w:r>
    </w:p>
    <w:p w14:paraId="51B93AE1">
      <w:pPr>
        <w:spacing w:line="240" w:lineRule="auto"/>
        <w:ind w:left="360" w:hanging="360"/>
        <w:rPr>
          <w:color w:val="222222"/>
          <w:sz w:val="32"/>
          <w:szCs w:val="20"/>
          <w:shd w:val="clear" w:color="auto" w:fill="FFFFFF"/>
        </w:rPr>
      </w:pPr>
      <w:r>
        <w:rPr>
          <w:color w:val="222222"/>
          <w:szCs w:val="20"/>
          <w:shd w:val="clear" w:color="auto" w:fill="FFFFFF"/>
        </w:rPr>
        <w:t>Eierle, B., Hartlieb, S., Hay, D.C., Niemi, L. and Ojala, H., 2022. External factors and the pricing of audit services: A systematic review of the archival literature using a PESTLE analysis. </w:t>
      </w:r>
      <w:r>
        <w:rPr>
          <w:i/>
          <w:iCs/>
          <w:color w:val="222222"/>
          <w:szCs w:val="20"/>
          <w:shd w:val="clear" w:color="auto" w:fill="FFFFFF"/>
        </w:rPr>
        <w:t>Auditing: A Journal of Practice &amp; Theory</w:t>
      </w:r>
      <w:r>
        <w:rPr>
          <w:color w:val="222222"/>
          <w:szCs w:val="20"/>
          <w:shd w:val="clear" w:color="auto" w:fill="FFFFFF"/>
        </w:rPr>
        <w:t>, </w:t>
      </w:r>
      <w:r>
        <w:rPr>
          <w:i/>
          <w:iCs/>
          <w:color w:val="222222"/>
          <w:szCs w:val="20"/>
          <w:shd w:val="clear" w:color="auto" w:fill="FFFFFF"/>
        </w:rPr>
        <w:t>41</w:t>
      </w:r>
      <w:r>
        <w:rPr>
          <w:color w:val="222222"/>
          <w:szCs w:val="20"/>
          <w:shd w:val="clear" w:color="auto" w:fill="FFFFFF"/>
        </w:rPr>
        <w:t>(3), pp.95-119.</w:t>
      </w:r>
    </w:p>
    <w:p w14:paraId="51B93AE2">
      <w:pPr>
        <w:spacing w:line="240" w:lineRule="auto"/>
        <w:ind w:left="360" w:hanging="360"/>
        <w:rPr>
          <w:sz w:val="32"/>
        </w:rPr>
      </w:pPr>
      <w:r>
        <w:rPr>
          <w:color w:val="222222"/>
          <w:szCs w:val="20"/>
          <w:shd w:val="clear" w:color="auto" w:fill="FFFFFF"/>
        </w:rPr>
        <w:t>Eierle, B., Hartlieb, S., Hay, D.C., Niemi, L. and Ojala, H., 2022. External factors and the pricing of audit services: A systematic review of the archival literature using a PESTLE analysis. </w:t>
      </w:r>
      <w:r>
        <w:rPr>
          <w:i/>
          <w:iCs/>
          <w:color w:val="222222"/>
          <w:szCs w:val="20"/>
          <w:shd w:val="clear" w:color="auto" w:fill="FFFFFF"/>
        </w:rPr>
        <w:t>Auditing: A Journal of Practice &amp; Theory</w:t>
      </w:r>
      <w:r>
        <w:rPr>
          <w:color w:val="222222"/>
          <w:szCs w:val="20"/>
          <w:shd w:val="clear" w:color="auto" w:fill="FFFFFF"/>
        </w:rPr>
        <w:t>, </w:t>
      </w:r>
      <w:r>
        <w:rPr>
          <w:i/>
          <w:iCs/>
          <w:color w:val="222222"/>
          <w:szCs w:val="20"/>
          <w:shd w:val="clear" w:color="auto" w:fill="FFFFFF"/>
        </w:rPr>
        <w:t>41</w:t>
      </w:r>
      <w:r>
        <w:rPr>
          <w:color w:val="222222"/>
          <w:szCs w:val="20"/>
          <w:shd w:val="clear" w:color="auto" w:fill="FFFFFF"/>
        </w:rPr>
        <w:t>(3), pp.95-119.</w:t>
      </w:r>
    </w:p>
    <w:p w14:paraId="51B93AE3">
      <w:pPr>
        <w:spacing w:line="240" w:lineRule="auto"/>
        <w:ind w:left="360" w:hanging="360"/>
        <w:rPr>
          <w:color w:val="222222"/>
          <w:sz w:val="32"/>
          <w:szCs w:val="20"/>
          <w:shd w:val="clear" w:color="auto" w:fill="FFFFFF"/>
        </w:rPr>
      </w:pPr>
      <w:r>
        <w:rPr>
          <w:color w:val="222222"/>
          <w:szCs w:val="20"/>
          <w:shd w:val="clear" w:color="auto" w:fill="FFFFFF"/>
        </w:rPr>
        <w:t>Halim, E., Gomarga, C., Condrobimo, A.R. and Hebrard, M., 2023, August. The Impact of the Starbucks Mobile Application Loyalty Program on Customer Loyalty. In </w:t>
      </w:r>
      <w:r>
        <w:rPr>
          <w:i/>
          <w:iCs/>
          <w:color w:val="222222"/>
          <w:szCs w:val="20"/>
          <w:shd w:val="clear" w:color="auto" w:fill="FFFFFF"/>
        </w:rPr>
        <w:t>2023 International Conference on Information Management and Technology (ICIMTech)</w:t>
      </w:r>
      <w:r>
        <w:rPr>
          <w:color w:val="222222"/>
          <w:szCs w:val="20"/>
          <w:shd w:val="clear" w:color="auto" w:fill="FFFFFF"/>
        </w:rPr>
        <w:t> (pp. 556-561). IEEE.</w:t>
      </w:r>
    </w:p>
    <w:p w14:paraId="51B93AE4">
      <w:pPr>
        <w:spacing w:line="240" w:lineRule="auto"/>
        <w:ind w:left="360" w:hanging="360"/>
        <w:rPr>
          <w:color w:val="222222"/>
          <w:sz w:val="32"/>
          <w:szCs w:val="20"/>
          <w:shd w:val="clear" w:color="auto" w:fill="FFFFFF"/>
        </w:rPr>
      </w:pPr>
      <w:r>
        <w:rPr>
          <w:color w:val="222222"/>
          <w:szCs w:val="20"/>
          <w:shd w:val="clear" w:color="auto" w:fill="FFFFFF"/>
        </w:rPr>
        <w:t>Hopkins, D., Medappa, K., Davidson, A.C., Gregson, N. and James, A., 2024. Views from the cab: the working lives of heavy goods vehicle drivers in the UK.</w:t>
      </w:r>
    </w:p>
    <w:p w14:paraId="51B93AE5">
      <w:pPr>
        <w:spacing w:line="240" w:lineRule="auto"/>
        <w:ind w:left="360" w:hanging="360"/>
        <w:rPr>
          <w:sz w:val="40"/>
          <w:u w:val="single"/>
        </w:rPr>
      </w:pPr>
      <w:r>
        <w:rPr>
          <w:color w:val="222222"/>
          <w:szCs w:val="20"/>
          <w:shd w:val="clear" w:color="auto" w:fill="FFFFFF"/>
        </w:rPr>
        <w:t>Koutouleas, A., Sarzynski, T., Bordeaux, M., Bosselmann, A.S., Campa, C., Etienne, H., Turreira-García, N., Rigal, C., Vaast, P., Ramalho, J.C. and Marraccini, P., 2022. Shaded-coffee: A nature-based strategy for coffee production under climate change? A review. </w:t>
      </w:r>
      <w:r>
        <w:rPr>
          <w:i/>
          <w:iCs/>
          <w:color w:val="222222"/>
          <w:szCs w:val="20"/>
          <w:shd w:val="clear" w:color="auto" w:fill="FFFFFF"/>
        </w:rPr>
        <w:t>Frontiers in Sustainable Food Systems</w:t>
      </w:r>
      <w:r>
        <w:rPr>
          <w:color w:val="222222"/>
          <w:szCs w:val="20"/>
          <w:shd w:val="clear" w:color="auto" w:fill="FFFFFF"/>
        </w:rPr>
        <w:t>, </w:t>
      </w:r>
      <w:r>
        <w:rPr>
          <w:i/>
          <w:iCs/>
          <w:color w:val="222222"/>
          <w:szCs w:val="20"/>
          <w:shd w:val="clear" w:color="auto" w:fill="FFFFFF"/>
        </w:rPr>
        <w:t>6</w:t>
      </w:r>
      <w:r>
        <w:rPr>
          <w:color w:val="222222"/>
          <w:szCs w:val="20"/>
          <w:shd w:val="clear" w:color="auto" w:fill="FFFFFF"/>
        </w:rPr>
        <w:t>, p.877476.</w:t>
      </w:r>
    </w:p>
    <w:p w14:paraId="51B93AE6">
      <w:pPr>
        <w:spacing w:line="240" w:lineRule="auto"/>
        <w:ind w:left="360" w:hanging="360"/>
        <w:rPr>
          <w:color w:val="222222"/>
          <w:sz w:val="32"/>
          <w:szCs w:val="20"/>
          <w:shd w:val="clear" w:color="auto" w:fill="FFFFFF"/>
        </w:rPr>
      </w:pPr>
      <w:r>
        <w:rPr>
          <w:color w:val="222222"/>
          <w:szCs w:val="20"/>
          <w:shd w:val="clear" w:color="auto" w:fill="FFFFFF"/>
        </w:rPr>
        <w:t>Mamuti, A., Ikonomi, M. and Caputo, F., 2022. Starbucks Corporation in Albania: a discussion about franchising path and opportunities in global economy. </w:t>
      </w:r>
      <w:r>
        <w:rPr>
          <w:i/>
          <w:iCs/>
          <w:color w:val="222222"/>
          <w:szCs w:val="20"/>
          <w:shd w:val="clear" w:color="auto" w:fill="FFFFFF"/>
        </w:rPr>
        <w:t>International Journal of Business and Globalisation</w:t>
      </w:r>
      <w:r>
        <w:rPr>
          <w:color w:val="222222"/>
          <w:szCs w:val="20"/>
          <w:shd w:val="clear" w:color="auto" w:fill="FFFFFF"/>
        </w:rPr>
        <w:t>, </w:t>
      </w:r>
      <w:r>
        <w:rPr>
          <w:i/>
          <w:iCs/>
          <w:color w:val="222222"/>
          <w:szCs w:val="20"/>
          <w:shd w:val="clear" w:color="auto" w:fill="FFFFFF"/>
        </w:rPr>
        <w:t>31</w:t>
      </w:r>
      <w:r>
        <w:rPr>
          <w:color w:val="222222"/>
          <w:szCs w:val="20"/>
          <w:shd w:val="clear" w:color="auto" w:fill="FFFFFF"/>
        </w:rPr>
        <w:t>(4), pp.412-432.</w:t>
      </w:r>
    </w:p>
    <w:p w14:paraId="51B93AE7">
      <w:pPr>
        <w:spacing w:line="240" w:lineRule="auto"/>
        <w:ind w:left="360" w:hanging="360"/>
        <w:rPr>
          <w:sz w:val="32"/>
        </w:rPr>
      </w:pPr>
      <w:r>
        <w:rPr>
          <w:color w:val="222222"/>
          <w:szCs w:val="20"/>
          <w:shd w:val="clear" w:color="auto" w:fill="FFFFFF"/>
        </w:rPr>
        <w:t>Mykhailichenko, M., Lozhachevska, O., Smagin, V., Krasnoshtan, O., Zos-Kior, M. and Hnatenko, I., 2021. Competitive strategies of personnel management in business processes of agricultural enterprises focused on digitalization. </w:t>
      </w:r>
      <w:r>
        <w:rPr>
          <w:i/>
          <w:iCs/>
          <w:color w:val="222222"/>
          <w:szCs w:val="20"/>
          <w:shd w:val="clear" w:color="auto" w:fill="FFFFFF"/>
        </w:rPr>
        <w:t>Management Theory and Studies for Rural Business and Infrastructure Development</w:t>
      </w:r>
      <w:r>
        <w:rPr>
          <w:color w:val="222222"/>
          <w:szCs w:val="20"/>
          <w:shd w:val="clear" w:color="auto" w:fill="FFFFFF"/>
        </w:rPr>
        <w:t>, </w:t>
      </w:r>
      <w:r>
        <w:rPr>
          <w:i/>
          <w:iCs/>
          <w:color w:val="222222"/>
          <w:szCs w:val="20"/>
          <w:shd w:val="clear" w:color="auto" w:fill="FFFFFF"/>
        </w:rPr>
        <w:t>43</w:t>
      </w:r>
      <w:r>
        <w:rPr>
          <w:color w:val="222222"/>
          <w:szCs w:val="20"/>
          <w:shd w:val="clear" w:color="auto" w:fill="FFFFFF"/>
        </w:rPr>
        <w:t>(3), pp.403-414.</w:t>
      </w:r>
    </w:p>
    <w:p w14:paraId="51B93AE8">
      <w:pPr>
        <w:spacing w:line="240" w:lineRule="auto"/>
        <w:ind w:left="360" w:hanging="360"/>
        <w:rPr>
          <w:color w:val="222222"/>
          <w:sz w:val="32"/>
          <w:szCs w:val="20"/>
          <w:shd w:val="clear" w:color="auto" w:fill="FFFFFF"/>
        </w:rPr>
      </w:pPr>
      <w:r>
        <w:rPr>
          <w:color w:val="222222"/>
          <w:szCs w:val="20"/>
          <w:shd w:val="clear" w:color="auto" w:fill="FFFFFF"/>
        </w:rPr>
        <w:t>Nguyen, C., 2020. Sustainability marketing concept: Case Starbucks.</w:t>
      </w:r>
    </w:p>
    <w:p w14:paraId="51B93AE9">
      <w:pPr>
        <w:spacing w:line="240" w:lineRule="auto"/>
        <w:ind w:left="360" w:hanging="360"/>
        <w:rPr>
          <w:color w:val="222222"/>
          <w:sz w:val="32"/>
          <w:szCs w:val="20"/>
          <w:shd w:val="clear" w:color="auto" w:fill="FFFFFF"/>
        </w:rPr>
      </w:pPr>
      <w:r>
        <w:rPr>
          <w:color w:val="222222"/>
          <w:szCs w:val="20"/>
          <w:shd w:val="clear" w:color="auto" w:fill="FFFFFF"/>
        </w:rPr>
        <w:t>Piecyk, M. and Allen, J., 2021. Understanding and Addressing HGV driver Shortages in the UK.</w:t>
      </w:r>
    </w:p>
    <w:p w14:paraId="51B93AEA">
      <w:pPr>
        <w:spacing w:line="240" w:lineRule="auto"/>
        <w:ind w:left="360" w:hanging="360"/>
        <w:rPr>
          <w:color w:val="222222"/>
          <w:sz w:val="32"/>
          <w:szCs w:val="20"/>
          <w:shd w:val="clear" w:color="auto" w:fill="FFFFFF"/>
        </w:rPr>
      </w:pPr>
      <w:r>
        <w:rPr>
          <w:color w:val="222222"/>
          <w:szCs w:val="20"/>
          <w:shd w:val="clear" w:color="auto" w:fill="FFFFFF"/>
        </w:rPr>
        <w:t>Tsai, P.H., Lin, G.Y., Zheng, Y.L., Chen, Y.C., Chen, P.Z. and Su, Z.C., 2020. Exploring the effect of Starbucks' green marketing on consumers' purchase decisions from consumers’ perspective. </w:t>
      </w:r>
      <w:r>
        <w:rPr>
          <w:i/>
          <w:iCs/>
          <w:color w:val="222222"/>
          <w:szCs w:val="20"/>
          <w:shd w:val="clear" w:color="auto" w:fill="FFFFFF"/>
        </w:rPr>
        <w:t>Journal of Retailing and Consumer Services</w:t>
      </w:r>
      <w:r>
        <w:rPr>
          <w:color w:val="222222"/>
          <w:szCs w:val="20"/>
          <w:shd w:val="clear" w:color="auto" w:fill="FFFFFF"/>
        </w:rPr>
        <w:t>, </w:t>
      </w:r>
      <w:r>
        <w:rPr>
          <w:i/>
          <w:iCs/>
          <w:color w:val="222222"/>
          <w:szCs w:val="20"/>
          <w:shd w:val="clear" w:color="auto" w:fill="FFFFFF"/>
        </w:rPr>
        <w:t>56</w:t>
      </w:r>
      <w:r>
        <w:rPr>
          <w:color w:val="222222"/>
          <w:szCs w:val="20"/>
          <w:shd w:val="clear" w:color="auto" w:fill="FFFFFF"/>
        </w:rPr>
        <w:t>, p.102162.</w:t>
      </w:r>
    </w:p>
    <w:p w14:paraId="51B93AEB">
      <w:pPr>
        <w:rPr>
          <w:i/>
          <w:u w:val="single"/>
        </w:rPr>
      </w:pPr>
      <w:r>
        <w:rPr>
          <w:i/>
          <w:u w:val="single"/>
        </w:rPr>
        <w:t>Online</w:t>
      </w:r>
    </w:p>
    <w:p w14:paraId="51B93AEC">
      <w:pPr>
        <w:spacing w:line="240" w:lineRule="auto"/>
        <w:ind w:left="360" w:hanging="360"/>
        <w:rPr>
          <w:szCs w:val="24"/>
          <w:shd w:val="clear" w:color="auto" w:fill="FFFFFF"/>
        </w:rPr>
      </w:pPr>
      <w:r>
        <w:rPr>
          <w:i/>
        </w:rPr>
        <w:t>About Us, Starbucks, 2024</w:t>
      </w:r>
      <w:r>
        <w:t xml:space="preserve">. [Online] Available through: </w:t>
      </w:r>
      <w:r>
        <w:fldChar w:fldCharType="begin"/>
      </w:r>
      <w:r>
        <w:instrText xml:space="preserve"> HYPERLINK "https://www.starbucks.co.uk/about-us" </w:instrText>
      </w:r>
      <w:r>
        <w:fldChar w:fldCharType="separate"/>
      </w:r>
      <w:r>
        <w:rPr>
          <w:rStyle w:val="12"/>
        </w:rPr>
        <w:t>https://www.starbucks.co.uk/about-us</w:t>
      </w:r>
      <w:r>
        <w:rPr>
          <w:rStyle w:val="12"/>
        </w:rPr>
        <w:fldChar w:fldCharType="end"/>
      </w:r>
      <w:r>
        <w:t xml:space="preserve"> </w:t>
      </w:r>
    </w:p>
    <w:p w14:paraId="51B93AED">
      <w:pPr>
        <w:spacing w:line="100" w:lineRule="atLeast"/>
        <w:ind w:left="860" w:hanging="860"/>
        <w:rPr>
          <w:szCs w:val="24"/>
          <w:shd w:val="clear" w:color="auto" w:fill="FFFFFF"/>
        </w:rPr>
      </w:pPr>
    </w:p>
    <w:sectPr>
      <w:footerReference r:id="rId5" w:type="default"/>
      <w:pgSz w:w="12240" w:h="15840"/>
      <w:pgMar w:top="1440" w:right="1440" w:bottom="1440" w:left="1440" w:header="720" w:footer="720" w:gutter="0"/>
      <w:cols w:space="720" w:num="1"/>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Droid Sans">
    <w:altName w:val="HP Simplified Jpan"/>
    <w:panose1 w:val="00000000000000000000"/>
    <w:charset w:val="80"/>
    <w:family w:val="auto"/>
    <w:pitch w:val="default"/>
    <w:sig w:usb0="00000000" w:usb1="00000000" w:usb2="00000000" w:usb3="00000000" w:csb0="00040001" w:csb1="00000000"/>
  </w:font>
  <w:font w:name="DejaVu Sans">
    <w:altName w:val="Yu Gothic"/>
    <w:panose1 w:val="00000000000000000000"/>
    <w:charset w:val="80"/>
    <w:family w:val="auto"/>
    <w:pitch w:val="default"/>
    <w:sig w:usb0="00000000" w:usb1="00000000" w:usb2="00000000" w:usb3="00000000" w:csb0="00040001" w:csb1="00000000"/>
  </w:font>
  <w:font w:name="Symbol">
    <w:panose1 w:val="05050102010706020507"/>
    <w:charset w:val="02"/>
    <w:family w:val="roman"/>
    <w:pitch w:val="default"/>
    <w:sig w:usb0="00000000" w:usb1="00000000" w:usb2="00000000" w:usb3="00000000" w:csb0="80000000" w:csb1="00000000"/>
  </w:font>
  <w:font w:name="OpenSymbol">
    <w:altName w:val="MS Gothic"/>
    <w:panose1 w:val="00000000000000000000"/>
    <w:charset w:val="80"/>
    <w:family w:val="auto"/>
    <w:pitch w:val="default"/>
    <w:sig w:usb0="00000000" w:usb1="00000000" w:usb2="00000000" w:usb3="00000000" w:csb0="00040001" w:csb1="00000000"/>
  </w:font>
  <w:font w:name="Tinos">
    <w:altName w:val="MS Gothic"/>
    <w:panose1 w:val="00000000000000000000"/>
    <w:charset w:val="80"/>
    <w:family w:val="roman"/>
    <w:pitch w:val="default"/>
    <w:sig w:usb0="00000000" w:usb1="00000000" w:usb2="00000000" w:usb3="00000000" w:csb0="00040001" w:csb1="00000000"/>
  </w:font>
  <w:font w:name="DejaVu Sans Mono">
    <w:altName w:val="HP Simplified Jpan"/>
    <w:panose1 w:val="00000000000000000000"/>
    <w:charset w:val="80"/>
    <w:family w:val="modern"/>
    <w:pitch w:val="default"/>
    <w:sig w:usb0="00000000" w:usb1="00000000" w:usb2="00000000" w:usb3="00000000" w:csb0="00040001" w:csb1="00000000"/>
  </w:font>
  <w:font w:name="Calibri Light">
    <w:panose1 w:val="020F0302020204030204"/>
    <w:charset w:val="00"/>
    <w:family w:val="swiss"/>
    <w:pitch w:val="default"/>
    <w:sig w:usb0="E4002EFF" w:usb1="C200247B" w:usb2="00000009" w:usb3="00000000" w:csb0="200001FF" w:csb1="00000000"/>
  </w:font>
  <w:font w:name="open sansregular">
    <w:altName w:val="MS Gothic"/>
    <w:panose1 w:val="00000000000000000000"/>
    <w:charset w:val="80"/>
    <w:family w:val="auto"/>
    <w:pitch w:val="default"/>
    <w:sig w:usb0="00000000" w:usb1="00000000" w:usb2="00000000" w:usb3="00000000" w:csb0="00040001" w:csb1="00000000"/>
  </w:font>
  <w:font w:name="MS Gothic">
    <w:panose1 w:val="020B0609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1B93AF2">
    <w:pPr>
      <w:pStyle w:val="10"/>
      <w:jc w:val="center"/>
    </w:pPr>
    <w:r>
      <w:fldChar w:fldCharType="begin"/>
    </w:r>
    <w:r>
      <w:instrText xml:space="preserve"> PAGE   \* MERGEFORMAT </w:instrText>
    </w:r>
    <w:r>
      <w:fldChar w:fldCharType="separate"/>
    </w:r>
    <w:r>
      <w:t>2</w:t>
    </w:r>
    <w:r>
      <w:fldChar w:fldCharType="end"/>
    </w:r>
  </w:p>
  <w:p w14:paraId="51B93AF3">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none"/>
      <w:pStyle w:val="2"/>
      <w:suff w:val="nothing"/>
      <w:lvlText w:val=""/>
      <w:lvlJc w:val="left"/>
      <w:pPr>
        <w:tabs>
          <w:tab w:val="left" w:pos="0"/>
        </w:tabs>
        <w:ind w:left="432" w:hanging="432"/>
      </w:pPr>
    </w:lvl>
    <w:lvl w:ilvl="1" w:tentative="0">
      <w:start w:val="1"/>
      <w:numFmt w:val="none"/>
      <w:pStyle w:val="3"/>
      <w:suff w:val="nothing"/>
      <w:lvlText w:val=""/>
      <w:lvlJc w:val="left"/>
      <w:pPr>
        <w:tabs>
          <w:tab w:val="left" w:pos="0"/>
        </w:tabs>
        <w:ind w:left="576" w:hanging="576"/>
      </w:pPr>
    </w:lvl>
    <w:lvl w:ilvl="2" w:tentative="0">
      <w:start w:val="1"/>
      <w:numFmt w:val="none"/>
      <w:pStyle w:val="4"/>
      <w:suff w:val="nothing"/>
      <w:lvlText w:val=""/>
      <w:lvlJc w:val="left"/>
      <w:pPr>
        <w:tabs>
          <w:tab w:val="left" w:pos="0"/>
        </w:tabs>
        <w:ind w:left="720" w:hanging="720"/>
      </w:pPr>
    </w:lvl>
    <w:lvl w:ilvl="3" w:tentative="0">
      <w:start w:val="1"/>
      <w:numFmt w:val="none"/>
      <w:suff w:val="nothing"/>
      <w:lvlText w:val=""/>
      <w:lvlJc w:val="left"/>
      <w:pPr>
        <w:tabs>
          <w:tab w:val="left" w:pos="864"/>
        </w:tabs>
        <w:ind w:left="864" w:hanging="864"/>
      </w:pPr>
    </w:lvl>
    <w:lvl w:ilvl="4" w:tentative="0">
      <w:start w:val="1"/>
      <w:numFmt w:val="none"/>
      <w:suff w:val="nothing"/>
      <w:lvlText w:val=""/>
      <w:lvlJc w:val="left"/>
      <w:pPr>
        <w:tabs>
          <w:tab w:val="left" w:pos="1008"/>
        </w:tabs>
        <w:ind w:left="1008" w:hanging="1008"/>
      </w:pPr>
    </w:lvl>
    <w:lvl w:ilvl="5" w:tentative="0">
      <w:start w:val="1"/>
      <w:numFmt w:val="none"/>
      <w:suff w:val="nothing"/>
      <w:lvlText w:val=""/>
      <w:lvlJc w:val="left"/>
      <w:pPr>
        <w:tabs>
          <w:tab w:val="left" w:pos="1152"/>
        </w:tabs>
        <w:ind w:left="1152" w:hanging="1152"/>
      </w:pPr>
    </w:lvl>
    <w:lvl w:ilvl="6" w:tentative="0">
      <w:start w:val="1"/>
      <w:numFmt w:val="none"/>
      <w:suff w:val="nothing"/>
      <w:lvlText w:val=""/>
      <w:lvlJc w:val="left"/>
      <w:pPr>
        <w:tabs>
          <w:tab w:val="left" w:pos="1296"/>
        </w:tabs>
        <w:ind w:left="1296" w:hanging="1296"/>
      </w:pPr>
    </w:lvl>
    <w:lvl w:ilvl="7" w:tentative="0">
      <w:start w:val="1"/>
      <w:numFmt w:val="none"/>
      <w:suff w:val="nothing"/>
      <w:lvlText w:val=""/>
      <w:lvlJc w:val="left"/>
      <w:pPr>
        <w:tabs>
          <w:tab w:val="left" w:pos="1440"/>
        </w:tabs>
        <w:ind w:left="1440" w:hanging="1440"/>
      </w:pPr>
    </w:lvl>
    <w:lvl w:ilvl="8" w:tentative="0">
      <w:start w:val="1"/>
      <w:numFmt w:val="none"/>
      <w:suff w:val="nothing"/>
      <w:lvlText w:val=""/>
      <w:lvlJc w:val="left"/>
      <w:pPr>
        <w:tabs>
          <w:tab w:val="left" w:pos="1584"/>
        </w:tabs>
        <w:ind w:left="1584" w:hanging="1584"/>
      </w:pPr>
    </w:lvl>
  </w:abstractNum>
  <w:abstractNum w:abstractNumId="1">
    <w:nsid w:val="1DB86222"/>
    <w:multiLevelType w:val="multilevel"/>
    <w:tmpl w:val="1DB8622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611411E"/>
    <w:multiLevelType w:val="multilevel"/>
    <w:tmpl w:val="7611411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isplayBackgroundShape w:val="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nforcement="0"/>
  <w:defaultTabStop w:val="720"/>
  <w:drawingGridHorizontalSpacing w:val="0"/>
  <w:drawingGridVerticalSpacing w:val="0"/>
  <w:displayHorizontalDrawingGridEvery w:val="0"/>
  <w:displayVerticalDrawingGridEvery w:val="0"/>
  <w:doNotUseMarginsForDrawingGridOrigin w:val="1"/>
  <w:drawingGridHorizontalOrigin w:val="0"/>
  <w:drawingGridVerticalOrigin w:val="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zc2Nja1MDU3MLAwsTRS0lEKTi0uzszPAykwrgUAg7/spiwAAAA="/>
  </w:docVars>
  <w:rsids>
    <w:rsidRoot w:val="004C407B"/>
    <w:rsid w:val="00000E08"/>
    <w:rsid w:val="00001F9D"/>
    <w:rsid w:val="0000305A"/>
    <w:rsid w:val="00003B8F"/>
    <w:rsid w:val="00011432"/>
    <w:rsid w:val="00013DD7"/>
    <w:rsid w:val="00014EBB"/>
    <w:rsid w:val="0002218F"/>
    <w:rsid w:val="000278F7"/>
    <w:rsid w:val="000347A4"/>
    <w:rsid w:val="00047CE6"/>
    <w:rsid w:val="0005440F"/>
    <w:rsid w:val="000551DA"/>
    <w:rsid w:val="00055946"/>
    <w:rsid w:val="0006072A"/>
    <w:rsid w:val="00061109"/>
    <w:rsid w:val="0006469F"/>
    <w:rsid w:val="00066472"/>
    <w:rsid w:val="0007189B"/>
    <w:rsid w:val="00073672"/>
    <w:rsid w:val="00075B2C"/>
    <w:rsid w:val="00076820"/>
    <w:rsid w:val="000774E8"/>
    <w:rsid w:val="000820DB"/>
    <w:rsid w:val="00082B35"/>
    <w:rsid w:val="00085A7D"/>
    <w:rsid w:val="0008609C"/>
    <w:rsid w:val="0008726D"/>
    <w:rsid w:val="000874FE"/>
    <w:rsid w:val="00087958"/>
    <w:rsid w:val="0009397F"/>
    <w:rsid w:val="000A07A6"/>
    <w:rsid w:val="000A2763"/>
    <w:rsid w:val="000A54B5"/>
    <w:rsid w:val="000A7555"/>
    <w:rsid w:val="000B0BD1"/>
    <w:rsid w:val="000B0D2B"/>
    <w:rsid w:val="000B1E0B"/>
    <w:rsid w:val="000B6AAD"/>
    <w:rsid w:val="000B75B5"/>
    <w:rsid w:val="000C2656"/>
    <w:rsid w:val="000C46DB"/>
    <w:rsid w:val="000D7D99"/>
    <w:rsid w:val="000E0A9E"/>
    <w:rsid w:val="000E0D52"/>
    <w:rsid w:val="0010015D"/>
    <w:rsid w:val="0010107A"/>
    <w:rsid w:val="001018C2"/>
    <w:rsid w:val="001042FF"/>
    <w:rsid w:val="0010493B"/>
    <w:rsid w:val="00107B14"/>
    <w:rsid w:val="00114B6D"/>
    <w:rsid w:val="00114C75"/>
    <w:rsid w:val="00116F4F"/>
    <w:rsid w:val="00117A61"/>
    <w:rsid w:val="00120ACF"/>
    <w:rsid w:val="00126BCE"/>
    <w:rsid w:val="00136C28"/>
    <w:rsid w:val="00137958"/>
    <w:rsid w:val="0014116C"/>
    <w:rsid w:val="00142307"/>
    <w:rsid w:val="00144C49"/>
    <w:rsid w:val="001517CC"/>
    <w:rsid w:val="00164771"/>
    <w:rsid w:val="001658E1"/>
    <w:rsid w:val="00165CA4"/>
    <w:rsid w:val="00175B7B"/>
    <w:rsid w:val="00177A45"/>
    <w:rsid w:val="001823E3"/>
    <w:rsid w:val="001A0FB3"/>
    <w:rsid w:val="001A3592"/>
    <w:rsid w:val="001A4C69"/>
    <w:rsid w:val="001B551D"/>
    <w:rsid w:val="001C26EE"/>
    <w:rsid w:val="001C764F"/>
    <w:rsid w:val="001D2D31"/>
    <w:rsid w:val="001D2F54"/>
    <w:rsid w:val="001D6714"/>
    <w:rsid w:val="001D68EF"/>
    <w:rsid w:val="001D6E39"/>
    <w:rsid w:val="001E1BF8"/>
    <w:rsid w:val="001E1DF9"/>
    <w:rsid w:val="001E683C"/>
    <w:rsid w:val="001E7F92"/>
    <w:rsid w:val="001F0BED"/>
    <w:rsid w:val="001F51AA"/>
    <w:rsid w:val="001F55D8"/>
    <w:rsid w:val="00203801"/>
    <w:rsid w:val="00205285"/>
    <w:rsid w:val="00206855"/>
    <w:rsid w:val="002100F7"/>
    <w:rsid w:val="00214031"/>
    <w:rsid w:val="00217D3A"/>
    <w:rsid w:val="0022108F"/>
    <w:rsid w:val="00235067"/>
    <w:rsid w:val="002378B2"/>
    <w:rsid w:val="002402EC"/>
    <w:rsid w:val="002459AC"/>
    <w:rsid w:val="00247809"/>
    <w:rsid w:val="002479A6"/>
    <w:rsid w:val="00257284"/>
    <w:rsid w:val="00271296"/>
    <w:rsid w:val="00273D80"/>
    <w:rsid w:val="00283A5B"/>
    <w:rsid w:val="00284061"/>
    <w:rsid w:val="00284867"/>
    <w:rsid w:val="00286BAB"/>
    <w:rsid w:val="00287BB7"/>
    <w:rsid w:val="00293FD0"/>
    <w:rsid w:val="0029551A"/>
    <w:rsid w:val="002A33BC"/>
    <w:rsid w:val="002A4BDA"/>
    <w:rsid w:val="002C5280"/>
    <w:rsid w:val="002C68C7"/>
    <w:rsid w:val="002C7437"/>
    <w:rsid w:val="002D49FF"/>
    <w:rsid w:val="002D5C20"/>
    <w:rsid w:val="002D736F"/>
    <w:rsid w:val="002E5239"/>
    <w:rsid w:val="002E57CD"/>
    <w:rsid w:val="002E79F8"/>
    <w:rsid w:val="002F06AA"/>
    <w:rsid w:val="002F61B7"/>
    <w:rsid w:val="002F6DBB"/>
    <w:rsid w:val="002F7AC6"/>
    <w:rsid w:val="00304BD0"/>
    <w:rsid w:val="00307592"/>
    <w:rsid w:val="003174E1"/>
    <w:rsid w:val="003201D5"/>
    <w:rsid w:val="00321362"/>
    <w:rsid w:val="003219F8"/>
    <w:rsid w:val="003248B9"/>
    <w:rsid w:val="0032540C"/>
    <w:rsid w:val="00340714"/>
    <w:rsid w:val="003413C8"/>
    <w:rsid w:val="00341808"/>
    <w:rsid w:val="003426BB"/>
    <w:rsid w:val="00361469"/>
    <w:rsid w:val="00363BBF"/>
    <w:rsid w:val="00372494"/>
    <w:rsid w:val="00374E80"/>
    <w:rsid w:val="003755F3"/>
    <w:rsid w:val="00384AE7"/>
    <w:rsid w:val="003919D0"/>
    <w:rsid w:val="00391FE4"/>
    <w:rsid w:val="003924AA"/>
    <w:rsid w:val="00395DA6"/>
    <w:rsid w:val="003A1542"/>
    <w:rsid w:val="003A21B8"/>
    <w:rsid w:val="003A5187"/>
    <w:rsid w:val="003A60C5"/>
    <w:rsid w:val="003B3B85"/>
    <w:rsid w:val="003B5E26"/>
    <w:rsid w:val="003B6361"/>
    <w:rsid w:val="003C11C5"/>
    <w:rsid w:val="003C1FAE"/>
    <w:rsid w:val="003C2314"/>
    <w:rsid w:val="003C3B4D"/>
    <w:rsid w:val="003D4B06"/>
    <w:rsid w:val="003D77D1"/>
    <w:rsid w:val="003E1DFF"/>
    <w:rsid w:val="003F0BDB"/>
    <w:rsid w:val="003F1690"/>
    <w:rsid w:val="003F5044"/>
    <w:rsid w:val="003F68CC"/>
    <w:rsid w:val="004022E1"/>
    <w:rsid w:val="004024AA"/>
    <w:rsid w:val="0040474A"/>
    <w:rsid w:val="004048F6"/>
    <w:rsid w:val="004148D7"/>
    <w:rsid w:val="004218D6"/>
    <w:rsid w:val="00423BDC"/>
    <w:rsid w:val="004307F0"/>
    <w:rsid w:val="0043198A"/>
    <w:rsid w:val="00431F19"/>
    <w:rsid w:val="00433A50"/>
    <w:rsid w:val="004411FB"/>
    <w:rsid w:val="00441B42"/>
    <w:rsid w:val="00445A75"/>
    <w:rsid w:val="004535D1"/>
    <w:rsid w:val="00457126"/>
    <w:rsid w:val="00457F67"/>
    <w:rsid w:val="00461EE8"/>
    <w:rsid w:val="0047209A"/>
    <w:rsid w:val="0047334D"/>
    <w:rsid w:val="004752E9"/>
    <w:rsid w:val="00480C93"/>
    <w:rsid w:val="00496482"/>
    <w:rsid w:val="004A4B95"/>
    <w:rsid w:val="004B053A"/>
    <w:rsid w:val="004B09B8"/>
    <w:rsid w:val="004B0FBA"/>
    <w:rsid w:val="004B3713"/>
    <w:rsid w:val="004B5C62"/>
    <w:rsid w:val="004B6064"/>
    <w:rsid w:val="004B671A"/>
    <w:rsid w:val="004B67AD"/>
    <w:rsid w:val="004C027D"/>
    <w:rsid w:val="004C289B"/>
    <w:rsid w:val="004C3D39"/>
    <w:rsid w:val="004C407B"/>
    <w:rsid w:val="004D035B"/>
    <w:rsid w:val="004D3AF7"/>
    <w:rsid w:val="004D3C20"/>
    <w:rsid w:val="004D6B0D"/>
    <w:rsid w:val="004E472A"/>
    <w:rsid w:val="004E7A2F"/>
    <w:rsid w:val="004F0BE3"/>
    <w:rsid w:val="004F10A1"/>
    <w:rsid w:val="004F2E07"/>
    <w:rsid w:val="00500427"/>
    <w:rsid w:val="005016BD"/>
    <w:rsid w:val="00511B22"/>
    <w:rsid w:val="00520E9A"/>
    <w:rsid w:val="00522A57"/>
    <w:rsid w:val="00527259"/>
    <w:rsid w:val="0053150F"/>
    <w:rsid w:val="005442BE"/>
    <w:rsid w:val="00552293"/>
    <w:rsid w:val="00554F39"/>
    <w:rsid w:val="00561E68"/>
    <w:rsid w:val="0056241F"/>
    <w:rsid w:val="00563204"/>
    <w:rsid w:val="005641A2"/>
    <w:rsid w:val="00567994"/>
    <w:rsid w:val="00570739"/>
    <w:rsid w:val="005711D5"/>
    <w:rsid w:val="005734EB"/>
    <w:rsid w:val="00576146"/>
    <w:rsid w:val="005820FE"/>
    <w:rsid w:val="0058586A"/>
    <w:rsid w:val="00587B36"/>
    <w:rsid w:val="00590E5D"/>
    <w:rsid w:val="00593E09"/>
    <w:rsid w:val="00595F40"/>
    <w:rsid w:val="005A0E22"/>
    <w:rsid w:val="005A33C6"/>
    <w:rsid w:val="005B0BFD"/>
    <w:rsid w:val="005B466F"/>
    <w:rsid w:val="005C382E"/>
    <w:rsid w:val="005D0C04"/>
    <w:rsid w:val="005D4671"/>
    <w:rsid w:val="005E0A2E"/>
    <w:rsid w:val="005E3B25"/>
    <w:rsid w:val="005E45E4"/>
    <w:rsid w:val="005E48C8"/>
    <w:rsid w:val="00606492"/>
    <w:rsid w:val="00607E3F"/>
    <w:rsid w:val="006105F2"/>
    <w:rsid w:val="00610817"/>
    <w:rsid w:val="00610D6D"/>
    <w:rsid w:val="006136BD"/>
    <w:rsid w:val="00613DF6"/>
    <w:rsid w:val="00616D3B"/>
    <w:rsid w:val="006175F2"/>
    <w:rsid w:val="006228FA"/>
    <w:rsid w:val="0063138F"/>
    <w:rsid w:val="006317D2"/>
    <w:rsid w:val="00635149"/>
    <w:rsid w:val="006425D3"/>
    <w:rsid w:val="00642A2D"/>
    <w:rsid w:val="00643395"/>
    <w:rsid w:val="0064742D"/>
    <w:rsid w:val="00647A95"/>
    <w:rsid w:val="00656370"/>
    <w:rsid w:val="00657D84"/>
    <w:rsid w:val="0066477F"/>
    <w:rsid w:val="006672C5"/>
    <w:rsid w:val="006721F8"/>
    <w:rsid w:val="00674AEB"/>
    <w:rsid w:val="00675D44"/>
    <w:rsid w:val="006809A6"/>
    <w:rsid w:val="0068246A"/>
    <w:rsid w:val="00683300"/>
    <w:rsid w:val="00684161"/>
    <w:rsid w:val="00684B33"/>
    <w:rsid w:val="00684EEA"/>
    <w:rsid w:val="00687B2F"/>
    <w:rsid w:val="0069061F"/>
    <w:rsid w:val="006924B4"/>
    <w:rsid w:val="00694466"/>
    <w:rsid w:val="00695A2B"/>
    <w:rsid w:val="006A234E"/>
    <w:rsid w:val="006A6ED5"/>
    <w:rsid w:val="006B04C7"/>
    <w:rsid w:val="006B5876"/>
    <w:rsid w:val="006B6225"/>
    <w:rsid w:val="006C2DCB"/>
    <w:rsid w:val="006C3B5D"/>
    <w:rsid w:val="006D2AE4"/>
    <w:rsid w:val="006D6CF1"/>
    <w:rsid w:val="006E51D7"/>
    <w:rsid w:val="006E5C21"/>
    <w:rsid w:val="006F0686"/>
    <w:rsid w:val="007136FE"/>
    <w:rsid w:val="0071414B"/>
    <w:rsid w:val="00720991"/>
    <w:rsid w:val="007237DC"/>
    <w:rsid w:val="00727A92"/>
    <w:rsid w:val="00732724"/>
    <w:rsid w:val="00734DEF"/>
    <w:rsid w:val="007360F4"/>
    <w:rsid w:val="00746CAD"/>
    <w:rsid w:val="00747727"/>
    <w:rsid w:val="00753314"/>
    <w:rsid w:val="00755B63"/>
    <w:rsid w:val="00756FDB"/>
    <w:rsid w:val="00761039"/>
    <w:rsid w:val="00767D42"/>
    <w:rsid w:val="00770C4A"/>
    <w:rsid w:val="00773B34"/>
    <w:rsid w:val="007755CA"/>
    <w:rsid w:val="00776615"/>
    <w:rsid w:val="00790045"/>
    <w:rsid w:val="007906D1"/>
    <w:rsid w:val="00791280"/>
    <w:rsid w:val="00792596"/>
    <w:rsid w:val="007A0C72"/>
    <w:rsid w:val="007A409A"/>
    <w:rsid w:val="007A65DA"/>
    <w:rsid w:val="007B2633"/>
    <w:rsid w:val="007B44E4"/>
    <w:rsid w:val="007C0B5B"/>
    <w:rsid w:val="007C42BA"/>
    <w:rsid w:val="007C5015"/>
    <w:rsid w:val="007C656B"/>
    <w:rsid w:val="007D1D48"/>
    <w:rsid w:val="007E1A7E"/>
    <w:rsid w:val="007E3AE7"/>
    <w:rsid w:val="007E6C3D"/>
    <w:rsid w:val="007F2F65"/>
    <w:rsid w:val="007F3043"/>
    <w:rsid w:val="007F6871"/>
    <w:rsid w:val="007F79D2"/>
    <w:rsid w:val="0080133C"/>
    <w:rsid w:val="00802FDA"/>
    <w:rsid w:val="0080516C"/>
    <w:rsid w:val="00805D5D"/>
    <w:rsid w:val="00807916"/>
    <w:rsid w:val="00813ACA"/>
    <w:rsid w:val="00815390"/>
    <w:rsid w:val="00816366"/>
    <w:rsid w:val="008215E8"/>
    <w:rsid w:val="008314D1"/>
    <w:rsid w:val="0084210C"/>
    <w:rsid w:val="00843380"/>
    <w:rsid w:val="00852098"/>
    <w:rsid w:val="00853C09"/>
    <w:rsid w:val="00860ED4"/>
    <w:rsid w:val="00866697"/>
    <w:rsid w:val="0087213A"/>
    <w:rsid w:val="00872DF5"/>
    <w:rsid w:val="00873357"/>
    <w:rsid w:val="0087489F"/>
    <w:rsid w:val="00877A44"/>
    <w:rsid w:val="00881F39"/>
    <w:rsid w:val="00885052"/>
    <w:rsid w:val="00886012"/>
    <w:rsid w:val="00887059"/>
    <w:rsid w:val="008874E7"/>
    <w:rsid w:val="00887C38"/>
    <w:rsid w:val="008A017F"/>
    <w:rsid w:val="008A121B"/>
    <w:rsid w:val="008A4821"/>
    <w:rsid w:val="008A74DE"/>
    <w:rsid w:val="008B1396"/>
    <w:rsid w:val="008B2617"/>
    <w:rsid w:val="008B440D"/>
    <w:rsid w:val="008B4A63"/>
    <w:rsid w:val="008B4FA3"/>
    <w:rsid w:val="008B5ACE"/>
    <w:rsid w:val="008C1AAD"/>
    <w:rsid w:val="008C28C8"/>
    <w:rsid w:val="008C4AB7"/>
    <w:rsid w:val="008C5183"/>
    <w:rsid w:val="008C5CAD"/>
    <w:rsid w:val="008C6A96"/>
    <w:rsid w:val="008C753A"/>
    <w:rsid w:val="008D0F6A"/>
    <w:rsid w:val="008D1361"/>
    <w:rsid w:val="008D3FFC"/>
    <w:rsid w:val="008D588A"/>
    <w:rsid w:val="008D7E4A"/>
    <w:rsid w:val="008E1D1C"/>
    <w:rsid w:val="008E3207"/>
    <w:rsid w:val="008F279A"/>
    <w:rsid w:val="008F5548"/>
    <w:rsid w:val="009172D1"/>
    <w:rsid w:val="00922658"/>
    <w:rsid w:val="0092562A"/>
    <w:rsid w:val="0093127F"/>
    <w:rsid w:val="00932DEF"/>
    <w:rsid w:val="00933B51"/>
    <w:rsid w:val="0093437F"/>
    <w:rsid w:val="00935356"/>
    <w:rsid w:val="0093789D"/>
    <w:rsid w:val="009429BB"/>
    <w:rsid w:val="00946D21"/>
    <w:rsid w:val="00952C90"/>
    <w:rsid w:val="00953883"/>
    <w:rsid w:val="009625D0"/>
    <w:rsid w:val="00962A0C"/>
    <w:rsid w:val="009671FA"/>
    <w:rsid w:val="00974CCB"/>
    <w:rsid w:val="009815ED"/>
    <w:rsid w:val="0098432F"/>
    <w:rsid w:val="009B450E"/>
    <w:rsid w:val="009D4018"/>
    <w:rsid w:val="009E3F3D"/>
    <w:rsid w:val="009E4EB6"/>
    <w:rsid w:val="009E667F"/>
    <w:rsid w:val="009E7976"/>
    <w:rsid w:val="009F1081"/>
    <w:rsid w:val="009F2013"/>
    <w:rsid w:val="009F2A89"/>
    <w:rsid w:val="009F34CA"/>
    <w:rsid w:val="009F5E37"/>
    <w:rsid w:val="00A025C1"/>
    <w:rsid w:val="00A03942"/>
    <w:rsid w:val="00A10C4B"/>
    <w:rsid w:val="00A10E3E"/>
    <w:rsid w:val="00A203BD"/>
    <w:rsid w:val="00A2288D"/>
    <w:rsid w:val="00A30823"/>
    <w:rsid w:val="00A313A9"/>
    <w:rsid w:val="00A31F68"/>
    <w:rsid w:val="00A51A7C"/>
    <w:rsid w:val="00A51DBE"/>
    <w:rsid w:val="00A527CB"/>
    <w:rsid w:val="00A5521F"/>
    <w:rsid w:val="00A555B1"/>
    <w:rsid w:val="00A60976"/>
    <w:rsid w:val="00A67741"/>
    <w:rsid w:val="00A67B13"/>
    <w:rsid w:val="00A72468"/>
    <w:rsid w:val="00A746B1"/>
    <w:rsid w:val="00A757F4"/>
    <w:rsid w:val="00A76251"/>
    <w:rsid w:val="00A81C61"/>
    <w:rsid w:val="00A8462E"/>
    <w:rsid w:val="00A85015"/>
    <w:rsid w:val="00A853BD"/>
    <w:rsid w:val="00A90C7E"/>
    <w:rsid w:val="00A95B7F"/>
    <w:rsid w:val="00A96634"/>
    <w:rsid w:val="00A96B20"/>
    <w:rsid w:val="00A96D83"/>
    <w:rsid w:val="00A97685"/>
    <w:rsid w:val="00AA08B7"/>
    <w:rsid w:val="00AA3F39"/>
    <w:rsid w:val="00AA4E36"/>
    <w:rsid w:val="00AB0932"/>
    <w:rsid w:val="00AB09A3"/>
    <w:rsid w:val="00AB35CD"/>
    <w:rsid w:val="00AB44EE"/>
    <w:rsid w:val="00AC26A2"/>
    <w:rsid w:val="00AC30E9"/>
    <w:rsid w:val="00AC7B30"/>
    <w:rsid w:val="00AD6483"/>
    <w:rsid w:val="00AE348A"/>
    <w:rsid w:val="00AE4254"/>
    <w:rsid w:val="00AE7797"/>
    <w:rsid w:val="00AF4C57"/>
    <w:rsid w:val="00AF4EDA"/>
    <w:rsid w:val="00B019F6"/>
    <w:rsid w:val="00B059A8"/>
    <w:rsid w:val="00B108A4"/>
    <w:rsid w:val="00B14D38"/>
    <w:rsid w:val="00B15832"/>
    <w:rsid w:val="00B20A3B"/>
    <w:rsid w:val="00B2220B"/>
    <w:rsid w:val="00B26D4D"/>
    <w:rsid w:val="00B27AB6"/>
    <w:rsid w:val="00B3021E"/>
    <w:rsid w:val="00B3378A"/>
    <w:rsid w:val="00B477E9"/>
    <w:rsid w:val="00B55632"/>
    <w:rsid w:val="00B57B5F"/>
    <w:rsid w:val="00B61B71"/>
    <w:rsid w:val="00B63CCB"/>
    <w:rsid w:val="00B73F4F"/>
    <w:rsid w:val="00B73F53"/>
    <w:rsid w:val="00BA3CA7"/>
    <w:rsid w:val="00BB2787"/>
    <w:rsid w:val="00BB4D0F"/>
    <w:rsid w:val="00BD2907"/>
    <w:rsid w:val="00BD31A5"/>
    <w:rsid w:val="00BD7D9E"/>
    <w:rsid w:val="00BE072D"/>
    <w:rsid w:val="00BE1D78"/>
    <w:rsid w:val="00BE4869"/>
    <w:rsid w:val="00BE597D"/>
    <w:rsid w:val="00BE5C8D"/>
    <w:rsid w:val="00BF2A3F"/>
    <w:rsid w:val="00BF3E6F"/>
    <w:rsid w:val="00BF5024"/>
    <w:rsid w:val="00BF7BCD"/>
    <w:rsid w:val="00C00CD4"/>
    <w:rsid w:val="00C01568"/>
    <w:rsid w:val="00C033A6"/>
    <w:rsid w:val="00C10C44"/>
    <w:rsid w:val="00C16A5A"/>
    <w:rsid w:val="00C20604"/>
    <w:rsid w:val="00C20AB7"/>
    <w:rsid w:val="00C2385E"/>
    <w:rsid w:val="00C270A2"/>
    <w:rsid w:val="00C30C3F"/>
    <w:rsid w:val="00C324BE"/>
    <w:rsid w:val="00C35FD6"/>
    <w:rsid w:val="00C35FEC"/>
    <w:rsid w:val="00C4087F"/>
    <w:rsid w:val="00C471E4"/>
    <w:rsid w:val="00C52C16"/>
    <w:rsid w:val="00C54CB4"/>
    <w:rsid w:val="00C60857"/>
    <w:rsid w:val="00C6097B"/>
    <w:rsid w:val="00C61E7D"/>
    <w:rsid w:val="00C6419E"/>
    <w:rsid w:val="00C716AC"/>
    <w:rsid w:val="00C831BC"/>
    <w:rsid w:val="00C91A00"/>
    <w:rsid w:val="00C92C4E"/>
    <w:rsid w:val="00CA41BE"/>
    <w:rsid w:val="00CA4293"/>
    <w:rsid w:val="00CA48F6"/>
    <w:rsid w:val="00CA50E0"/>
    <w:rsid w:val="00CB099B"/>
    <w:rsid w:val="00CB4809"/>
    <w:rsid w:val="00CB5BEB"/>
    <w:rsid w:val="00CC1B59"/>
    <w:rsid w:val="00CC37A1"/>
    <w:rsid w:val="00CC5D69"/>
    <w:rsid w:val="00CD023B"/>
    <w:rsid w:val="00CD0D75"/>
    <w:rsid w:val="00CD3A61"/>
    <w:rsid w:val="00CD5A4E"/>
    <w:rsid w:val="00CD6004"/>
    <w:rsid w:val="00CE09C9"/>
    <w:rsid w:val="00CE0DE2"/>
    <w:rsid w:val="00CF0575"/>
    <w:rsid w:val="00CF2776"/>
    <w:rsid w:val="00CF308D"/>
    <w:rsid w:val="00CF5D4C"/>
    <w:rsid w:val="00CF66F4"/>
    <w:rsid w:val="00D0263A"/>
    <w:rsid w:val="00D034BF"/>
    <w:rsid w:val="00D171BE"/>
    <w:rsid w:val="00D209E8"/>
    <w:rsid w:val="00D24B97"/>
    <w:rsid w:val="00D26808"/>
    <w:rsid w:val="00D33473"/>
    <w:rsid w:val="00D44A1F"/>
    <w:rsid w:val="00D472E9"/>
    <w:rsid w:val="00D512B2"/>
    <w:rsid w:val="00D56BF3"/>
    <w:rsid w:val="00D576D2"/>
    <w:rsid w:val="00D61A19"/>
    <w:rsid w:val="00D65DDE"/>
    <w:rsid w:val="00D674D9"/>
    <w:rsid w:val="00D778BD"/>
    <w:rsid w:val="00D813F0"/>
    <w:rsid w:val="00D929B8"/>
    <w:rsid w:val="00DA206F"/>
    <w:rsid w:val="00DB073B"/>
    <w:rsid w:val="00DB496C"/>
    <w:rsid w:val="00DC0079"/>
    <w:rsid w:val="00DC27AC"/>
    <w:rsid w:val="00DC3D1E"/>
    <w:rsid w:val="00DC5225"/>
    <w:rsid w:val="00DC60F3"/>
    <w:rsid w:val="00DC62C0"/>
    <w:rsid w:val="00DC7459"/>
    <w:rsid w:val="00DC7589"/>
    <w:rsid w:val="00DD36F3"/>
    <w:rsid w:val="00DD66D7"/>
    <w:rsid w:val="00DD71E2"/>
    <w:rsid w:val="00DE30F5"/>
    <w:rsid w:val="00DE5C5B"/>
    <w:rsid w:val="00DE62E5"/>
    <w:rsid w:val="00DE78D0"/>
    <w:rsid w:val="00DF1650"/>
    <w:rsid w:val="00DF771B"/>
    <w:rsid w:val="00DF7E6E"/>
    <w:rsid w:val="00E0320D"/>
    <w:rsid w:val="00E06664"/>
    <w:rsid w:val="00E12F67"/>
    <w:rsid w:val="00E14BA3"/>
    <w:rsid w:val="00E15FE6"/>
    <w:rsid w:val="00E17C5B"/>
    <w:rsid w:val="00E21352"/>
    <w:rsid w:val="00E21D1D"/>
    <w:rsid w:val="00E23D25"/>
    <w:rsid w:val="00E300D8"/>
    <w:rsid w:val="00E34263"/>
    <w:rsid w:val="00E35F0C"/>
    <w:rsid w:val="00E36433"/>
    <w:rsid w:val="00E37418"/>
    <w:rsid w:val="00E37447"/>
    <w:rsid w:val="00E379B8"/>
    <w:rsid w:val="00E41ECB"/>
    <w:rsid w:val="00E420A7"/>
    <w:rsid w:val="00E470F5"/>
    <w:rsid w:val="00E476B9"/>
    <w:rsid w:val="00E5157A"/>
    <w:rsid w:val="00E51AEE"/>
    <w:rsid w:val="00E54E90"/>
    <w:rsid w:val="00E565AD"/>
    <w:rsid w:val="00E70CD1"/>
    <w:rsid w:val="00E75588"/>
    <w:rsid w:val="00E7582C"/>
    <w:rsid w:val="00E85560"/>
    <w:rsid w:val="00E868EC"/>
    <w:rsid w:val="00E87326"/>
    <w:rsid w:val="00E96432"/>
    <w:rsid w:val="00E97845"/>
    <w:rsid w:val="00EA2015"/>
    <w:rsid w:val="00EA240F"/>
    <w:rsid w:val="00EA489D"/>
    <w:rsid w:val="00EB5B56"/>
    <w:rsid w:val="00EC2AF2"/>
    <w:rsid w:val="00EC52D2"/>
    <w:rsid w:val="00EC70C4"/>
    <w:rsid w:val="00ED172A"/>
    <w:rsid w:val="00ED6FB8"/>
    <w:rsid w:val="00ED7E51"/>
    <w:rsid w:val="00EE2BB7"/>
    <w:rsid w:val="00EE3B50"/>
    <w:rsid w:val="00EF5F50"/>
    <w:rsid w:val="00EF6D5D"/>
    <w:rsid w:val="00F00275"/>
    <w:rsid w:val="00F03A95"/>
    <w:rsid w:val="00F04FF2"/>
    <w:rsid w:val="00F071F4"/>
    <w:rsid w:val="00F10561"/>
    <w:rsid w:val="00F13657"/>
    <w:rsid w:val="00F210BC"/>
    <w:rsid w:val="00F25D4F"/>
    <w:rsid w:val="00F30803"/>
    <w:rsid w:val="00F30F1B"/>
    <w:rsid w:val="00F3197E"/>
    <w:rsid w:val="00F352DB"/>
    <w:rsid w:val="00F433F6"/>
    <w:rsid w:val="00F4352B"/>
    <w:rsid w:val="00F455B9"/>
    <w:rsid w:val="00F472B0"/>
    <w:rsid w:val="00F47D82"/>
    <w:rsid w:val="00F50EE0"/>
    <w:rsid w:val="00F5192B"/>
    <w:rsid w:val="00F52B40"/>
    <w:rsid w:val="00F61A77"/>
    <w:rsid w:val="00F63646"/>
    <w:rsid w:val="00F6587F"/>
    <w:rsid w:val="00F66E53"/>
    <w:rsid w:val="00F67C8D"/>
    <w:rsid w:val="00F67CB8"/>
    <w:rsid w:val="00F70E70"/>
    <w:rsid w:val="00F74902"/>
    <w:rsid w:val="00F769DE"/>
    <w:rsid w:val="00F8085C"/>
    <w:rsid w:val="00F808D7"/>
    <w:rsid w:val="00F819F7"/>
    <w:rsid w:val="00F85E18"/>
    <w:rsid w:val="00F8633E"/>
    <w:rsid w:val="00F92B97"/>
    <w:rsid w:val="00F96740"/>
    <w:rsid w:val="00FA0E5C"/>
    <w:rsid w:val="00FA496F"/>
    <w:rsid w:val="00FB0389"/>
    <w:rsid w:val="00FB1C07"/>
    <w:rsid w:val="00FB772D"/>
    <w:rsid w:val="00FB77FD"/>
    <w:rsid w:val="00FC2316"/>
    <w:rsid w:val="00FC314E"/>
    <w:rsid w:val="00FC3C4D"/>
    <w:rsid w:val="00FC4F0E"/>
    <w:rsid w:val="00FD47E6"/>
    <w:rsid w:val="00FD66DB"/>
    <w:rsid w:val="00FE24FA"/>
    <w:rsid w:val="00FE6BC0"/>
    <w:rsid w:val="00FF35ED"/>
    <w:rsid w:val="00FF552E"/>
    <w:rsid w:val="00FF73BD"/>
    <w:rsid w:val="31AB4CD5"/>
    <w:rsid w:val="5B2A34DE"/>
    <w:rsid w:val="5DF4528E"/>
    <w:rsid w:val="6C0459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EmbedSmartTag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iPriority="99" w:name="Normal Indent"/>
    <w:lsdException w:uiPriority="99" w:name="footnote text"/>
    <w:lsdException w:uiPriority="99" w:name="annotation text"/>
    <w:lsdException w:qFormat="1" w:unhideWhenUsed="0" w:uiPriority="0" w:semiHidden="0" w:name="header"/>
    <w:lsdException w:unhideWhenUsed="0" w:uiPriority="99"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qFormat="1"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line="360" w:lineRule="auto"/>
      <w:jc w:val="both"/>
    </w:pPr>
    <w:rPr>
      <w:rFonts w:ascii="Times New Roman" w:hAnsi="Times New Roman" w:eastAsia="Calibri" w:cs="Times New Roman"/>
      <w:color w:val="000000"/>
      <w:sz w:val="24"/>
      <w:szCs w:val="22"/>
      <w:lang w:val="en-GB" w:eastAsia="ar-SA" w:bidi="ar-SA"/>
    </w:rPr>
  </w:style>
  <w:style w:type="paragraph" w:styleId="2">
    <w:name w:val="heading 1"/>
    <w:basedOn w:val="1"/>
    <w:next w:val="1"/>
    <w:qFormat/>
    <w:uiPriority w:val="0"/>
    <w:pPr>
      <w:keepNext/>
      <w:keepLines/>
      <w:numPr>
        <w:ilvl w:val="0"/>
        <w:numId w:val="1"/>
      </w:numPr>
      <w:spacing w:before="113"/>
      <w:outlineLvl w:val="0"/>
    </w:pPr>
    <w:rPr>
      <w:rFonts w:eastAsia="Times New Roman"/>
      <w:b/>
      <w:bCs/>
      <w:sz w:val="28"/>
      <w:szCs w:val="28"/>
    </w:rPr>
  </w:style>
  <w:style w:type="paragraph" w:styleId="3">
    <w:name w:val="heading 2"/>
    <w:basedOn w:val="1"/>
    <w:next w:val="1"/>
    <w:qFormat/>
    <w:uiPriority w:val="0"/>
    <w:pPr>
      <w:keepNext/>
      <w:keepLines/>
      <w:numPr>
        <w:ilvl w:val="1"/>
        <w:numId w:val="1"/>
      </w:numPr>
      <w:spacing w:before="113"/>
      <w:outlineLvl w:val="1"/>
    </w:pPr>
    <w:rPr>
      <w:rFonts w:eastAsia="Times New Roman"/>
      <w:bCs/>
      <w:szCs w:val="26"/>
      <w:u w:val="single"/>
    </w:rPr>
  </w:style>
  <w:style w:type="paragraph" w:styleId="4">
    <w:name w:val="heading 3"/>
    <w:basedOn w:val="5"/>
    <w:next w:val="6"/>
    <w:qFormat/>
    <w:uiPriority w:val="0"/>
    <w:pPr>
      <w:numPr>
        <w:ilvl w:val="2"/>
        <w:numId w:val="1"/>
      </w:numPr>
      <w:outlineLvl w:val="2"/>
    </w:pPr>
    <w:rPr>
      <w:b/>
      <w:bCs/>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customStyle="1" w:styleId="5">
    <w:name w:val="Heading"/>
    <w:basedOn w:val="1"/>
    <w:next w:val="6"/>
    <w:qFormat/>
    <w:uiPriority w:val="0"/>
    <w:pPr>
      <w:keepNext/>
      <w:spacing w:before="240" w:after="120"/>
    </w:pPr>
    <w:rPr>
      <w:rFonts w:ascii="Arial" w:hAnsi="Arial" w:eastAsia="Droid Sans" w:cs="DejaVu Sans"/>
      <w:sz w:val="28"/>
      <w:szCs w:val="28"/>
    </w:rPr>
  </w:style>
  <w:style w:type="paragraph" w:styleId="6">
    <w:name w:val="Body Text"/>
    <w:basedOn w:val="1"/>
    <w:qFormat/>
    <w:uiPriority w:val="0"/>
  </w:style>
  <w:style w:type="paragraph" w:styleId="9">
    <w:name w:val="caption"/>
    <w:basedOn w:val="1"/>
    <w:qFormat/>
    <w:uiPriority w:val="0"/>
    <w:pPr>
      <w:suppressLineNumbers/>
      <w:spacing w:before="120" w:after="120"/>
    </w:pPr>
    <w:rPr>
      <w:rFonts w:cs="DejaVu Sans"/>
      <w:i/>
      <w:iCs/>
      <w:szCs w:val="24"/>
    </w:rPr>
  </w:style>
  <w:style w:type="paragraph" w:styleId="10">
    <w:name w:val="footer"/>
    <w:basedOn w:val="1"/>
    <w:uiPriority w:val="99"/>
    <w:pPr>
      <w:tabs>
        <w:tab w:val="center" w:pos="4680"/>
        <w:tab w:val="right" w:pos="9360"/>
      </w:tabs>
      <w:spacing w:line="240" w:lineRule="auto"/>
    </w:pPr>
  </w:style>
  <w:style w:type="paragraph" w:styleId="11">
    <w:name w:val="header"/>
    <w:basedOn w:val="1"/>
    <w:qFormat/>
    <w:uiPriority w:val="0"/>
    <w:pPr>
      <w:tabs>
        <w:tab w:val="center" w:pos="4680"/>
        <w:tab w:val="right" w:pos="9360"/>
      </w:tabs>
      <w:spacing w:line="240" w:lineRule="auto"/>
    </w:pPr>
  </w:style>
  <w:style w:type="character" w:styleId="12">
    <w:name w:val="Hyperlink"/>
    <w:uiPriority w:val="99"/>
    <w:rPr>
      <w:color w:val="000080"/>
      <w:u w:val="single"/>
    </w:rPr>
  </w:style>
  <w:style w:type="paragraph" w:styleId="13">
    <w:name w:val="List"/>
    <w:basedOn w:val="6"/>
    <w:qFormat/>
    <w:uiPriority w:val="0"/>
    <w:rPr>
      <w:rFonts w:cs="DejaVu Sans"/>
    </w:rPr>
  </w:style>
  <w:style w:type="paragraph" w:styleId="14">
    <w:name w:val="toc 1"/>
    <w:basedOn w:val="15"/>
    <w:uiPriority w:val="39"/>
    <w:pPr>
      <w:tabs>
        <w:tab w:val="right" w:leader="dot" w:pos="9360"/>
      </w:tabs>
    </w:pPr>
  </w:style>
  <w:style w:type="paragraph" w:customStyle="1" w:styleId="15">
    <w:name w:val="Index"/>
    <w:basedOn w:val="1"/>
    <w:qFormat/>
    <w:uiPriority w:val="0"/>
    <w:pPr>
      <w:suppressLineNumbers/>
    </w:pPr>
    <w:rPr>
      <w:rFonts w:cs="DejaVu Sans"/>
    </w:rPr>
  </w:style>
  <w:style w:type="paragraph" w:styleId="16">
    <w:name w:val="toc 2"/>
    <w:basedOn w:val="15"/>
    <w:uiPriority w:val="39"/>
    <w:pPr>
      <w:tabs>
        <w:tab w:val="right" w:leader="dot" w:pos="9077"/>
      </w:tabs>
      <w:ind w:left="283"/>
    </w:pPr>
  </w:style>
  <w:style w:type="paragraph" w:styleId="17">
    <w:name w:val="toc 3"/>
    <w:basedOn w:val="15"/>
    <w:uiPriority w:val="0"/>
    <w:pPr>
      <w:tabs>
        <w:tab w:val="right" w:leader="dot" w:pos="8794"/>
      </w:tabs>
      <w:ind w:left="566"/>
    </w:pPr>
  </w:style>
  <w:style w:type="paragraph" w:styleId="18">
    <w:name w:val="toc 4"/>
    <w:basedOn w:val="15"/>
    <w:qFormat/>
    <w:uiPriority w:val="0"/>
    <w:pPr>
      <w:tabs>
        <w:tab w:val="right" w:leader="dot" w:pos="8789"/>
      </w:tabs>
      <w:ind w:left="849"/>
    </w:pPr>
  </w:style>
  <w:style w:type="paragraph" w:styleId="19">
    <w:name w:val="toc 5"/>
    <w:basedOn w:val="15"/>
    <w:uiPriority w:val="0"/>
    <w:pPr>
      <w:tabs>
        <w:tab w:val="right" w:leader="dot" w:pos="8506"/>
      </w:tabs>
      <w:ind w:left="1132"/>
    </w:pPr>
  </w:style>
  <w:style w:type="paragraph" w:styleId="20">
    <w:name w:val="toc 6"/>
    <w:basedOn w:val="15"/>
    <w:uiPriority w:val="0"/>
    <w:pPr>
      <w:tabs>
        <w:tab w:val="right" w:leader="dot" w:pos="8223"/>
      </w:tabs>
      <w:ind w:left="1415"/>
    </w:pPr>
  </w:style>
  <w:style w:type="paragraph" w:styleId="21">
    <w:name w:val="toc 7"/>
    <w:basedOn w:val="15"/>
    <w:uiPriority w:val="0"/>
    <w:pPr>
      <w:tabs>
        <w:tab w:val="right" w:leader="dot" w:pos="7940"/>
      </w:tabs>
      <w:ind w:left="1698"/>
    </w:pPr>
  </w:style>
  <w:style w:type="paragraph" w:styleId="22">
    <w:name w:val="toc 8"/>
    <w:basedOn w:val="15"/>
    <w:uiPriority w:val="0"/>
    <w:pPr>
      <w:tabs>
        <w:tab w:val="right" w:leader="dot" w:pos="7657"/>
      </w:tabs>
      <w:ind w:left="1981"/>
    </w:pPr>
  </w:style>
  <w:style w:type="paragraph" w:styleId="23">
    <w:name w:val="toc 9"/>
    <w:basedOn w:val="15"/>
    <w:uiPriority w:val="0"/>
    <w:pPr>
      <w:tabs>
        <w:tab w:val="right" w:leader="dot" w:pos="7374"/>
      </w:tabs>
      <w:ind w:left="2264"/>
    </w:pPr>
  </w:style>
  <w:style w:type="character" w:customStyle="1" w:styleId="24">
    <w:name w:val="WW8Num1z0"/>
    <w:qFormat/>
    <w:uiPriority w:val="0"/>
  </w:style>
  <w:style w:type="character" w:customStyle="1" w:styleId="25">
    <w:name w:val="WW8Num1z1"/>
    <w:uiPriority w:val="0"/>
  </w:style>
  <w:style w:type="character" w:customStyle="1" w:styleId="26">
    <w:name w:val="WW8Num1z2"/>
    <w:uiPriority w:val="0"/>
  </w:style>
  <w:style w:type="character" w:customStyle="1" w:styleId="27">
    <w:name w:val="WW8Num1z3"/>
    <w:uiPriority w:val="0"/>
  </w:style>
  <w:style w:type="character" w:customStyle="1" w:styleId="28">
    <w:name w:val="WW8Num1z4"/>
    <w:uiPriority w:val="0"/>
  </w:style>
  <w:style w:type="character" w:customStyle="1" w:styleId="29">
    <w:name w:val="WW8Num1z5"/>
    <w:uiPriority w:val="0"/>
  </w:style>
  <w:style w:type="character" w:customStyle="1" w:styleId="30">
    <w:name w:val="WW8Num1z6"/>
    <w:uiPriority w:val="0"/>
  </w:style>
  <w:style w:type="character" w:customStyle="1" w:styleId="31">
    <w:name w:val="WW8Num1z7"/>
    <w:uiPriority w:val="0"/>
  </w:style>
  <w:style w:type="character" w:customStyle="1" w:styleId="32">
    <w:name w:val="WW8Num1z8"/>
    <w:uiPriority w:val="0"/>
  </w:style>
  <w:style w:type="character" w:customStyle="1" w:styleId="33">
    <w:name w:val="WW8Num2z0"/>
    <w:uiPriority w:val="0"/>
    <w:rPr>
      <w:rFonts w:ascii="Symbol" w:hAnsi="Symbol" w:cs="OpenSymbol"/>
    </w:rPr>
  </w:style>
  <w:style w:type="character" w:customStyle="1" w:styleId="34">
    <w:name w:val="WW8Num2z1"/>
    <w:qFormat/>
    <w:uiPriority w:val="0"/>
    <w:rPr>
      <w:rFonts w:ascii="OpenSymbol" w:hAnsi="OpenSymbol" w:cs="OpenSymbol"/>
    </w:rPr>
  </w:style>
  <w:style w:type="character" w:customStyle="1" w:styleId="35">
    <w:name w:val="WW8Num3z0"/>
    <w:qFormat/>
    <w:uiPriority w:val="0"/>
    <w:rPr>
      <w:rFonts w:ascii="Symbol" w:hAnsi="Symbol" w:cs="OpenSymbol"/>
    </w:rPr>
  </w:style>
  <w:style w:type="character" w:customStyle="1" w:styleId="36">
    <w:name w:val="WW8Num3z1"/>
    <w:qFormat/>
    <w:uiPriority w:val="0"/>
    <w:rPr>
      <w:rFonts w:ascii="OpenSymbol" w:hAnsi="OpenSymbol" w:cs="OpenSymbol"/>
    </w:rPr>
  </w:style>
  <w:style w:type="character" w:customStyle="1" w:styleId="37">
    <w:name w:val="WW8Num4z0"/>
    <w:uiPriority w:val="0"/>
    <w:rPr>
      <w:rFonts w:ascii="Symbol" w:hAnsi="Symbol" w:cs="OpenSymbol"/>
    </w:rPr>
  </w:style>
  <w:style w:type="character" w:customStyle="1" w:styleId="38">
    <w:name w:val="WW8Num4z1"/>
    <w:uiPriority w:val="0"/>
    <w:rPr>
      <w:rFonts w:ascii="OpenSymbol" w:hAnsi="OpenSymbol" w:cs="OpenSymbol"/>
    </w:rPr>
  </w:style>
  <w:style w:type="character" w:customStyle="1" w:styleId="39">
    <w:name w:val="Default Paragraph Font1"/>
    <w:uiPriority w:val="0"/>
  </w:style>
  <w:style w:type="character" w:customStyle="1" w:styleId="40">
    <w:name w:val="WW-Default Paragraph Font"/>
    <w:qFormat/>
    <w:uiPriority w:val="0"/>
  </w:style>
  <w:style w:type="character" w:customStyle="1" w:styleId="41">
    <w:name w:val="WW-Default Paragraph Font1"/>
    <w:qFormat/>
    <w:uiPriority w:val="0"/>
  </w:style>
  <w:style w:type="character" w:customStyle="1" w:styleId="42">
    <w:name w:val="Header Char"/>
    <w:basedOn w:val="41"/>
    <w:qFormat/>
    <w:uiPriority w:val="0"/>
  </w:style>
  <w:style w:type="character" w:customStyle="1" w:styleId="43">
    <w:name w:val="Footer Char"/>
    <w:basedOn w:val="41"/>
    <w:qFormat/>
    <w:uiPriority w:val="99"/>
  </w:style>
  <w:style w:type="character" w:customStyle="1" w:styleId="44">
    <w:name w:val="Heading 1 Char"/>
    <w:qFormat/>
    <w:uiPriority w:val="0"/>
    <w:rPr>
      <w:rFonts w:ascii="Times New Roman" w:hAnsi="Times New Roman" w:eastAsia="Times New Roman" w:cs="Times New Roman"/>
      <w:b/>
      <w:bCs/>
      <w:sz w:val="28"/>
      <w:szCs w:val="28"/>
    </w:rPr>
  </w:style>
  <w:style w:type="character" w:customStyle="1" w:styleId="45">
    <w:name w:val="Heading 2 Char"/>
    <w:qFormat/>
    <w:uiPriority w:val="0"/>
    <w:rPr>
      <w:rFonts w:ascii="Times New Roman" w:hAnsi="Times New Roman" w:eastAsia="Times New Roman" w:cs="Times New Roman"/>
      <w:bCs/>
      <w:sz w:val="24"/>
      <w:szCs w:val="26"/>
      <w:u w:val="single"/>
    </w:rPr>
  </w:style>
  <w:style w:type="character" w:customStyle="1" w:styleId="46">
    <w:name w:val="Bullets"/>
    <w:qFormat/>
    <w:uiPriority w:val="0"/>
    <w:rPr>
      <w:rFonts w:ascii="OpenSymbol" w:hAnsi="OpenSymbol" w:eastAsia="OpenSymbol" w:cs="OpenSymbol"/>
    </w:rPr>
  </w:style>
  <w:style w:type="character" w:customStyle="1" w:styleId="47">
    <w:name w:val="Numbering Symbols"/>
    <w:qFormat/>
    <w:uiPriority w:val="0"/>
  </w:style>
  <w:style w:type="paragraph" w:customStyle="1" w:styleId="48">
    <w:name w:val="Contents Heading"/>
    <w:basedOn w:val="5"/>
    <w:qFormat/>
    <w:uiPriority w:val="0"/>
    <w:pPr>
      <w:suppressLineNumbers/>
      <w:jc w:val="center"/>
    </w:pPr>
    <w:rPr>
      <w:rFonts w:ascii="Times New Roman" w:hAnsi="Times New Roman" w:cs="Times New Roman"/>
      <w:b/>
      <w:bCs/>
      <w:szCs w:val="32"/>
    </w:rPr>
  </w:style>
  <w:style w:type="paragraph" w:styleId="49">
    <w:name w:val="No Spacing"/>
    <w:qFormat/>
    <w:uiPriority w:val="0"/>
    <w:pPr>
      <w:suppressAutoHyphens/>
      <w:spacing w:line="100" w:lineRule="atLeast"/>
    </w:pPr>
    <w:rPr>
      <w:rFonts w:ascii="Tinos" w:hAnsi="Tinos" w:eastAsia="Droid Sans" w:cs="DejaVu Sans"/>
      <w:sz w:val="24"/>
      <w:szCs w:val="24"/>
      <w:lang w:val="en-GB" w:eastAsia="hi-IN" w:bidi="hi-IN"/>
    </w:rPr>
  </w:style>
  <w:style w:type="paragraph" w:customStyle="1" w:styleId="50">
    <w:name w:val="Preformatted Text"/>
    <w:basedOn w:val="1"/>
    <w:uiPriority w:val="0"/>
    <w:rPr>
      <w:rFonts w:ascii="DejaVu Sans Mono" w:hAnsi="DejaVu Sans Mono" w:eastAsia="DejaVu Sans Mono" w:cs="DejaVu Sans Mono"/>
      <w:sz w:val="20"/>
      <w:szCs w:val="20"/>
    </w:rPr>
  </w:style>
  <w:style w:type="paragraph" w:customStyle="1" w:styleId="51">
    <w:name w:val="Contents 10"/>
    <w:basedOn w:val="15"/>
    <w:qFormat/>
    <w:uiPriority w:val="0"/>
    <w:pPr>
      <w:tabs>
        <w:tab w:val="right" w:leader="dot" w:pos="7091"/>
      </w:tabs>
      <w:ind w:left="2547"/>
    </w:pPr>
  </w:style>
  <w:style w:type="paragraph" w:customStyle="1" w:styleId="52">
    <w:name w:val="Table Contents"/>
    <w:basedOn w:val="1"/>
    <w:qFormat/>
    <w:uiPriority w:val="0"/>
    <w:pPr>
      <w:suppressLineNumbers/>
    </w:pPr>
  </w:style>
  <w:style w:type="paragraph" w:customStyle="1" w:styleId="53">
    <w:name w:val="Table Heading"/>
    <w:basedOn w:val="52"/>
    <w:qFormat/>
    <w:uiPriority w:val="0"/>
    <w:pPr>
      <w:jc w:val="center"/>
    </w:pPr>
    <w:rPr>
      <w:b/>
      <w:bCs/>
    </w:rPr>
  </w:style>
  <w:style w:type="paragraph" w:customStyle="1" w:styleId="54">
    <w:name w:val="Normal1"/>
    <w:qFormat/>
    <w:uiPriority w:val="0"/>
    <w:pPr>
      <w:widowControl w:val="0"/>
      <w:suppressAutoHyphens/>
    </w:pPr>
    <w:rPr>
      <w:rFonts w:ascii="Tinos" w:hAnsi="Tinos" w:eastAsia="DejaVu Sans Mono" w:cs="DejaVu Sans"/>
      <w:sz w:val="24"/>
      <w:szCs w:val="24"/>
      <w:lang w:val="en-GB" w:eastAsia="hi-IN" w:bidi="hi-IN"/>
    </w:rPr>
  </w:style>
  <w:style w:type="paragraph" w:styleId="55">
    <w:name w:val="List Paragraph"/>
    <w:basedOn w:val="1"/>
    <w:qFormat/>
    <w:uiPriority w:val="1"/>
    <w:pPr>
      <w:suppressAutoHyphens w:val="0"/>
      <w:spacing w:line="240" w:lineRule="auto"/>
      <w:ind w:left="720"/>
      <w:contextualSpacing/>
      <w:jc w:val="left"/>
    </w:pPr>
    <w:rPr>
      <w:rFonts w:eastAsia="Times New Roman"/>
      <w:color w:val="auto"/>
      <w:sz w:val="20"/>
      <w:szCs w:val="20"/>
      <w:lang w:eastAsia="en-GB"/>
    </w:rPr>
  </w:style>
  <w:style w:type="paragraph" w:customStyle="1" w:styleId="56">
    <w:name w:val="_Style 55"/>
    <w:basedOn w:val="2"/>
    <w:next w:val="1"/>
    <w:unhideWhenUsed/>
    <w:qFormat/>
    <w:uiPriority w:val="39"/>
    <w:pPr>
      <w:numPr>
        <w:numId w:val="0"/>
      </w:numPr>
      <w:tabs>
        <w:tab w:val="clear" w:pos="0"/>
      </w:tabs>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7</Pages>
  <Words>1956</Words>
  <Characters>11155</Characters>
  <Lines>92</Lines>
  <Paragraphs>26</Paragraphs>
  <TotalTime>7</TotalTime>
  <ScaleCrop>false</ScaleCrop>
  <LinksUpToDate>false</LinksUpToDate>
  <CharactersWithSpaces>13085</CharactersWithSpaces>
  <Application>WPS Office_12.2.0.18911_F1E327BC-269C-435d-A152-05C5408002CA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2015-07-16T17:22:00Z</dcterms:created>
  <dc:creator>WPS_1710953511</dc:creator>
  <cp:lastModifiedBy>Daniel Coluneanu</cp:lastModifiedBy>
  <dcterms:modified xsi:type="dcterms:W3CDTF">2024-12-03T18:35:54Z</dcterms:modified>
  <cp:revision>827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2057-12.2.0.18911</vt:lpwstr>
  </property>
  <property fmtid="{D5CDD505-2E9C-101B-9397-08002B2CF9AE}" pid="3" name="ICV">
    <vt:lpwstr>D99A54CD61564F16B13E7024DC8AD5A3_13</vt:lpwstr>
  </property>
</Properties>
</file>