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b/>
          <w:color w:val="000000"/>
          <w:sz w:val="22"/>
          <w:szCs w:val="22"/>
        </w:rPr>
      </w:pPr>
      <w:r w:rsidRPr="00D86CD2">
        <w:rPr>
          <w:rFonts w:ascii="Helvetica" w:eastAsia="Helvetica Neue" w:hAnsi="Helvetica" w:cs="Helvetica Neue"/>
          <w:b/>
          <w:color w:val="000000"/>
          <w:sz w:val="22"/>
          <w:szCs w:val="22"/>
        </w:rPr>
        <w:t>A CRITICAL COMPARISON OF TWO JSTOR PAPERS</w:t>
      </w:r>
    </w:p>
    <w:p w14:paraId="00000003" w14:textId="77777777" w:rsidR="000E0E90" w:rsidRPr="00D86CD2" w:rsidRDefault="000E0E90">
      <w:pPr>
        <w:pBdr>
          <w:top w:val="nil"/>
          <w:left w:val="nil"/>
          <w:bottom w:val="nil"/>
          <w:right w:val="nil"/>
          <w:between w:val="nil"/>
        </w:pBdr>
        <w:spacing w:line="360" w:lineRule="auto"/>
        <w:rPr>
          <w:rFonts w:ascii="Helvetica" w:eastAsia="Helvetica Neue" w:hAnsi="Helvetica" w:cs="Helvetica Neue"/>
          <w:color w:val="000000"/>
          <w:sz w:val="22"/>
          <w:szCs w:val="22"/>
        </w:rPr>
      </w:pPr>
    </w:p>
    <w:p w14:paraId="00000004" w14:textId="6F806F47" w:rsidR="000E0E90" w:rsidRPr="00D86CD2" w:rsidRDefault="00363BD7">
      <w:pPr>
        <w:pBdr>
          <w:top w:val="nil"/>
          <w:left w:val="nil"/>
          <w:bottom w:val="nil"/>
          <w:right w:val="nil"/>
          <w:between w:val="nil"/>
        </w:pBdr>
        <w:spacing w:line="360" w:lineRule="auto"/>
        <w:rPr>
          <w:rFonts w:ascii="Helvetica" w:eastAsia="Helvetica Neue" w:hAnsi="Helvetica" w:cs="Helvetica Neue"/>
          <w:b/>
          <w:bCs/>
          <w:color w:val="000000"/>
          <w:sz w:val="22"/>
          <w:szCs w:val="22"/>
        </w:rPr>
      </w:pPr>
      <w:r w:rsidRPr="00D86CD2">
        <w:rPr>
          <w:rFonts w:ascii="Helvetica" w:eastAsia="Helvetica Neue" w:hAnsi="Helvetica" w:cs="Helvetica Neue"/>
          <w:b/>
          <w:bCs/>
          <w:color w:val="000000"/>
          <w:sz w:val="22"/>
          <w:szCs w:val="22"/>
        </w:rPr>
        <w:t>I</w:t>
      </w:r>
      <w:r w:rsidR="00D86CD2" w:rsidRPr="00D86CD2">
        <w:rPr>
          <w:rFonts w:ascii="Helvetica" w:eastAsia="Helvetica Neue" w:hAnsi="Helvetica" w:cs="Helvetica Neue"/>
          <w:b/>
          <w:bCs/>
          <w:color w:val="000000"/>
          <w:sz w:val="22"/>
          <w:szCs w:val="22"/>
        </w:rPr>
        <w:t>ntroduction</w:t>
      </w:r>
    </w:p>
    <w:p w14:paraId="00000005"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eastAsia="Helvetica Neue" w:hAnsi="Helvetica" w:cs="Helvetica Neue"/>
          <w:color w:val="000000"/>
          <w:sz w:val="22"/>
          <w:szCs w:val="22"/>
        </w:rPr>
        <w:t xml:space="preserve">This essay critically compares and contrasts two JSTOR papers, using the search terms “Astrology” and “Culture”. The two papers chosen are Raymond Head, “Holst - Astrology and Modernism in ‘The Planets’“, </w:t>
      </w:r>
      <w:r w:rsidRPr="00D86CD2">
        <w:rPr>
          <w:rFonts w:ascii="Helvetica" w:eastAsia="Helvetica Neue" w:hAnsi="Helvetica" w:cs="Helvetica Neue"/>
          <w:i/>
          <w:color w:val="000000"/>
          <w:sz w:val="22"/>
          <w:szCs w:val="22"/>
        </w:rPr>
        <w:t>Tempo</w:t>
      </w:r>
      <w:r w:rsidRPr="00D86CD2">
        <w:rPr>
          <w:rFonts w:ascii="Helvetica" w:eastAsia="Helvetica Neue" w:hAnsi="Helvetica" w:cs="Helvetica Neue"/>
          <w:color w:val="000000"/>
          <w:sz w:val="22"/>
          <w:szCs w:val="22"/>
        </w:rPr>
        <w:t xml:space="preserve">, New Series, nº187 (Dec. 1993), pp.15-22 and </w:t>
      </w:r>
      <w:r w:rsidRPr="00D86CD2">
        <w:rPr>
          <w:rFonts w:ascii="Helvetica" w:eastAsia="Helvetica Neue" w:hAnsi="Helvetica" w:cs="Helvetica Neue"/>
          <w:color w:val="000000"/>
          <w:sz w:val="22"/>
          <w:szCs w:val="22"/>
        </w:rPr>
        <w:t xml:space="preserve">Brian </w:t>
      </w:r>
      <w:proofErr w:type="spellStart"/>
      <w:r w:rsidRPr="00D86CD2">
        <w:rPr>
          <w:rFonts w:ascii="Helvetica" w:eastAsia="Helvetica Neue" w:hAnsi="Helvetica" w:cs="Helvetica Neue"/>
          <w:color w:val="000000"/>
          <w:sz w:val="22"/>
          <w:szCs w:val="22"/>
        </w:rPr>
        <w:t>Diemert</w:t>
      </w:r>
      <w:proofErr w:type="spellEnd"/>
      <w:r w:rsidRPr="00D86CD2">
        <w:rPr>
          <w:rFonts w:ascii="Helvetica" w:eastAsia="Helvetica Neue" w:hAnsi="Helvetica" w:cs="Helvetica Neue"/>
          <w:color w:val="000000"/>
          <w:sz w:val="22"/>
          <w:szCs w:val="22"/>
        </w:rPr>
        <w:t xml:space="preserve">, “The Trials of Astrology in </w:t>
      </w:r>
      <w:proofErr w:type="spellStart"/>
      <w:r w:rsidRPr="00D86CD2">
        <w:rPr>
          <w:rFonts w:ascii="Helvetica" w:eastAsia="Helvetica Neue" w:hAnsi="Helvetica" w:cs="Helvetica Neue"/>
          <w:color w:val="000000"/>
          <w:sz w:val="22"/>
          <w:szCs w:val="22"/>
        </w:rPr>
        <w:t>T.S.Eliot’s</w:t>
      </w:r>
      <w:proofErr w:type="spellEnd"/>
      <w:r w:rsidRPr="00D86CD2">
        <w:rPr>
          <w:rFonts w:ascii="Helvetica" w:eastAsia="Helvetica Neue" w:hAnsi="Helvetica" w:cs="Helvetica Neue"/>
          <w:color w:val="000000"/>
          <w:sz w:val="22"/>
          <w:szCs w:val="22"/>
        </w:rPr>
        <w:t xml:space="preserve"> ‘The Waste Land’: A Gloss on Lines 57-59”, </w:t>
      </w:r>
      <w:r w:rsidRPr="00D86CD2">
        <w:rPr>
          <w:rFonts w:ascii="Helvetica" w:eastAsia="Helvetica Neue" w:hAnsi="Helvetica" w:cs="Helvetica Neue"/>
          <w:i/>
          <w:color w:val="000000"/>
          <w:sz w:val="22"/>
          <w:szCs w:val="22"/>
        </w:rPr>
        <w:t xml:space="preserve">Journal of Modern Literature, </w:t>
      </w:r>
      <w:r w:rsidRPr="00D86CD2">
        <w:rPr>
          <w:rFonts w:ascii="Helvetica" w:eastAsia="Helvetica Neue" w:hAnsi="Helvetica" w:cs="Helvetica Neue"/>
          <w:color w:val="000000"/>
          <w:sz w:val="22"/>
          <w:szCs w:val="22"/>
        </w:rPr>
        <w:t>Vol.22, nº1 (Autumn 1998) pp.175-181.</w:t>
      </w:r>
    </w:p>
    <w:p w14:paraId="00000006" w14:textId="77777777" w:rsidR="000E0E90" w:rsidRPr="00D86CD2" w:rsidRDefault="000E0E90">
      <w:pPr>
        <w:pBdr>
          <w:top w:val="nil"/>
          <w:left w:val="nil"/>
          <w:bottom w:val="nil"/>
          <w:right w:val="nil"/>
          <w:between w:val="nil"/>
        </w:pBdr>
        <w:spacing w:line="360" w:lineRule="auto"/>
        <w:rPr>
          <w:rFonts w:ascii="Helvetica" w:eastAsia="Helvetica Neue" w:hAnsi="Helvetica" w:cs="Helvetica Neue"/>
          <w:color w:val="000000"/>
          <w:sz w:val="22"/>
          <w:szCs w:val="22"/>
        </w:rPr>
      </w:pPr>
    </w:p>
    <w:p w14:paraId="00000007" w14:textId="634D202E" w:rsidR="000E0E90" w:rsidRPr="00D86CD2" w:rsidRDefault="00363BD7">
      <w:pPr>
        <w:pBdr>
          <w:top w:val="nil"/>
          <w:left w:val="nil"/>
          <w:bottom w:val="nil"/>
          <w:right w:val="nil"/>
          <w:between w:val="nil"/>
        </w:pBdr>
        <w:spacing w:line="360" w:lineRule="auto"/>
        <w:rPr>
          <w:rFonts w:ascii="Helvetica" w:eastAsia="Helvetica Neue" w:hAnsi="Helvetica" w:cs="Helvetica Neue"/>
          <w:b/>
          <w:bCs/>
          <w:color w:val="000000"/>
          <w:sz w:val="22"/>
          <w:szCs w:val="22"/>
        </w:rPr>
      </w:pPr>
      <w:r w:rsidRPr="00D86CD2">
        <w:rPr>
          <w:rFonts w:ascii="Helvetica" w:eastAsia="Helvetica Neue" w:hAnsi="Helvetica" w:cs="Helvetica Neue"/>
          <w:b/>
          <w:bCs/>
          <w:color w:val="000000"/>
          <w:sz w:val="22"/>
          <w:szCs w:val="22"/>
        </w:rPr>
        <w:t>D</w:t>
      </w:r>
      <w:r w:rsidR="00D86CD2" w:rsidRPr="00D86CD2">
        <w:rPr>
          <w:rFonts w:ascii="Helvetica" w:eastAsia="Helvetica Neue" w:hAnsi="Helvetica" w:cs="Helvetica Neue"/>
          <w:b/>
          <w:bCs/>
          <w:color w:val="000000"/>
          <w:sz w:val="22"/>
          <w:szCs w:val="22"/>
        </w:rPr>
        <w:t>efinition of the terms</w:t>
      </w:r>
    </w:p>
    <w:p w14:paraId="00000008" w14:textId="343813B9"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eastAsia="Helvetica Neue" w:hAnsi="Helvetica" w:cs="Helvetica Neue"/>
          <w:color w:val="000000"/>
          <w:sz w:val="22"/>
          <w:szCs w:val="22"/>
        </w:rPr>
        <w:t xml:space="preserve">Although Patrick Curry </w:t>
      </w:r>
      <w:r w:rsidR="00450280">
        <w:rPr>
          <w:rFonts w:ascii="Helvetica" w:eastAsia="Helvetica Neue" w:hAnsi="Helvetica" w:cs="Helvetica Neue"/>
          <w:color w:val="000000"/>
          <w:sz w:val="22"/>
          <w:szCs w:val="22"/>
        </w:rPr>
        <w:t>states</w:t>
      </w:r>
      <w:r w:rsidRPr="00D86CD2">
        <w:rPr>
          <w:rFonts w:ascii="Helvetica" w:eastAsia="Helvetica Neue" w:hAnsi="Helvetica" w:cs="Helvetica Neue"/>
          <w:color w:val="000000"/>
          <w:sz w:val="22"/>
          <w:szCs w:val="22"/>
        </w:rPr>
        <w:t xml:space="preserve"> that “The very impossibility of sup</w:t>
      </w:r>
      <w:r w:rsidRPr="00D86CD2">
        <w:rPr>
          <w:rFonts w:ascii="Helvetica" w:eastAsia="Helvetica Neue" w:hAnsi="Helvetica" w:cs="Helvetica Neue"/>
          <w:color w:val="000000"/>
          <w:sz w:val="22"/>
          <w:szCs w:val="22"/>
        </w:rPr>
        <w:t>plying a single or definitive answer has lent astrology much of its longevity, and its interest</w:t>
      </w:r>
      <w:r w:rsidRPr="00D86CD2">
        <w:rPr>
          <w:rFonts w:ascii="Helvetica" w:eastAsia="Helvetica Neue" w:hAnsi="Helvetica" w:cs="Helvetica Neue"/>
          <w:color w:val="000000"/>
          <w:sz w:val="22"/>
          <w:szCs w:val="22"/>
        </w:rPr>
        <w:t xml:space="preserve">”, one of the most </w:t>
      </w:r>
      <w:r w:rsidRPr="00D86CD2">
        <w:rPr>
          <w:rFonts w:ascii="Helvetica" w:eastAsia="Helvetica Neue" w:hAnsi="Helvetica" w:cs="Helvetica Neue"/>
          <w:sz w:val="22"/>
          <w:szCs w:val="22"/>
        </w:rPr>
        <w:t>widely accepted</w:t>
      </w:r>
      <w:r w:rsidRPr="00D86CD2">
        <w:rPr>
          <w:rFonts w:ascii="Helvetica" w:eastAsia="Helvetica Neue" w:hAnsi="Helvetica" w:cs="Helvetica Neue"/>
          <w:color w:val="000000"/>
          <w:sz w:val="22"/>
          <w:szCs w:val="22"/>
        </w:rPr>
        <w:t xml:space="preserve"> definitions of astrology comes from him: “Astrology is the practice of relating the heavenly bodies to lives and events on </w:t>
      </w:r>
      <w:r w:rsidRPr="00D86CD2">
        <w:rPr>
          <w:rFonts w:ascii="Helvetica" w:eastAsia="Helvetica Neue" w:hAnsi="Helvetica" w:cs="Helvetica Neue"/>
          <w:color w:val="000000"/>
          <w:sz w:val="22"/>
          <w:szCs w:val="22"/>
        </w:rPr>
        <w:t>earth, and the tradition that has thus been generated”.</w:t>
      </w:r>
      <w:r w:rsidRPr="00D86CD2">
        <w:rPr>
          <w:rStyle w:val="Refdenotaderodap"/>
          <w:rFonts w:ascii="Helvetica" w:eastAsia="Helvetica Neue" w:hAnsi="Helvetica"/>
          <w:sz w:val="22"/>
          <w:szCs w:val="22"/>
        </w:rPr>
        <w:footnoteReference w:id="1"/>
      </w:r>
    </w:p>
    <w:p w14:paraId="00000009" w14:textId="77777777" w:rsidR="000E0E90" w:rsidRPr="00D86CD2" w:rsidRDefault="00363BD7">
      <w:pPr>
        <w:pBdr>
          <w:top w:val="none" w:sz="0" w:space="0" w:color="000000"/>
          <w:left w:val="none" w:sz="0" w:space="0" w:color="000000"/>
          <w:bottom w:val="none" w:sz="0" w:space="0" w:color="000000"/>
          <w:right w:val="none" w:sz="0" w:space="0" w:color="000000"/>
          <w:between w:val="none" w:sz="0" w:space="0" w:color="000000"/>
        </w:pBdr>
        <w:spacing w:line="360" w:lineRule="auto"/>
        <w:rPr>
          <w:rFonts w:ascii="Helvetica" w:eastAsia="Helvetica Neue" w:hAnsi="Helvetica" w:cs="Helvetica Neue"/>
          <w:sz w:val="22"/>
          <w:szCs w:val="22"/>
        </w:rPr>
      </w:pPr>
      <w:r w:rsidRPr="00D86CD2">
        <w:rPr>
          <w:rFonts w:ascii="Helvetica" w:eastAsia="Helvetica Neue" w:hAnsi="Helvetica" w:cs="Helvetica Neue"/>
          <w:sz w:val="22"/>
          <w:szCs w:val="22"/>
        </w:rPr>
        <w:t>The term ‘Culture’ is defined by Clifford Geertz by “an historically transmitted pattern of meanings embodied in symbols, a system of inherited conceptions expressed in symbolic forms by means of which men communicate, perpetuate, and develop their knowled</w:t>
      </w:r>
      <w:r w:rsidRPr="00D86CD2">
        <w:rPr>
          <w:rFonts w:ascii="Helvetica" w:eastAsia="Helvetica Neue" w:hAnsi="Helvetica" w:cs="Helvetica Neue"/>
          <w:sz w:val="22"/>
          <w:szCs w:val="22"/>
        </w:rPr>
        <w:t>ge about and attitudes toward life”.</w:t>
      </w:r>
      <w:r w:rsidRPr="00D86CD2">
        <w:rPr>
          <w:rStyle w:val="Refdenotaderodap"/>
          <w:rFonts w:ascii="Helvetica" w:eastAsia="Helvetica Neue" w:hAnsi="Helvetica"/>
          <w:sz w:val="22"/>
          <w:szCs w:val="22"/>
        </w:rPr>
        <w:footnoteReference w:id="2"/>
      </w:r>
    </w:p>
    <w:p w14:paraId="0000000A" w14:textId="77777777" w:rsidR="000E0E90" w:rsidRPr="00D86CD2" w:rsidRDefault="000E0E90">
      <w:pPr>
        <w:pBdr>
          <w:top w:val="nil"/>
          <w:left w:val="nil"/>
          <w:bottom w:val="nil"/>
          <w:right w:val="nil"/>
          <w:between w:val="nil"/>
        </w:pBdr>
        <w:spacing w:line="360" w:lineRule="auto"/>
        <w:rPr>
          <w:rFonts w:ascii="Helvetica" w:eastAsia="Helvetica Neue" w:hAnsi="Helvetica" w:cs="Helvetica Neue"/>
          <w:color w:val="000000"/>
          <w:sz w:val="22"/>
          <w:szCs w:val="22"/>
        </w:rPr>
      </w:pPr>
    </w:p>
    <w:p w14:paraId="0000000B" w14:textId="3687AC71" w:rsidR="000E0E90" w:rsidRPr="00D86CD2" w:rsidRDefault="00363BD7">
      <w:pPr>
        <w:pBdr>
          <w:top w:val="nil"/>
          <w:left w:val="nil"/>
          <w:bottom w:val="nil"/>
          <w:right w:val="nil"/>
          <w:between w:val="nil"/>
        </w:pBdr>
        <w:spacing w:line="360" w:lineRule="auto"/>
        <w:rPr>
          <w:rFonts w:ascii="Helvetica" w:eastAsia="Helvetica Neue" w:hAnsi="Helvetica" w:cs="Helvetica Neue"/>
          <w:b/>
          <w:bCs/>
          <w:color w:val="000000"/>
          <w:sz w:val="22"/>
          <w:szCs w:val="22"/>
        </w:rPr>
      </w:pPr>
      <w:r w:rsidRPr="00D86CD2">
        <w:rPr>
          <w:rFonts w:ascii="Helvetica" w:eastAsia="Helvetica Neue" w:hAnsi="Helvetica" w:cs="Helvetica Neue"/>
          <w:b/>
          <w:bCs/>
          <w:color w:val="000000"/>
          <w:sz w:val="22"/>
          <w:szCs w:val="22"/>
        </w:rPr>
        <w:t>T</w:t>
      </w:r>
      <w:r w:rsidR="00D86CD2" w:rsidRPr="00D86CD2">
        <w:rPr>
          <w:rFonts w:ascii="Helvetica" w:eastAsia="Helvetica Neue" w:hAnsi="Helvetica" w:cs="Helvetica Neue"/>
          <w:b/>
          <w:bCs/>
          <w:color w:val="000000"/>
          <w:sz w:val="22"/>
          <w:szCs w:val="22"/>
        </w:rPr>
        <w:t>hemes</w:t>
      </w:r>
    </w:p>
    <w:p w14:paraId="0000000C"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eastAsia="Helvetica Neue" w:hAnsi="Helvetica" w:cs="Helvetica Neue"/>
          <w:color w:val="000000"/>
          <w:sz w:val="22"/>
          <w:szCs w:val="22"/>
        </w:rPr>
        <w:t xml:space="preserve">The aim of this essay is to analyse the two papers based on three themes. </w:t>
      </w:r>
      <w:r w:rsidRPr="00D86CD2">
        <w:rPr>
          <w:rFonts w:ascii="Helvetica" w:eastAsia="Helvetica Neue" w:hAnsi="Helvetica" w:cs="Helvetica Neue"/>
          <w:color w:val="000000"/>
          <w:sz w:val="22"/>
          <w:szCs w:val="22"/>
        </w:rPr>
        <w:t>Firstly, it will be considered which aspects the authors emphasize of the cultural context that enabled the astrological reference</w:t>
      </w:r>
      <w:r w:rsidRPr="00D86CD2">
        <w:rPr>
          <w:rFonts w:ascii="Helvetica" w:eastAsia="Helvetica Neue" w:hAnsi="Helvetica" w:cs="Helvetica Neue"/>
          <w:color w:val="000000"/>
          <w:sz w:val="22"/>
          <w:szCs w:val="22"/>
        </w:rPr>
        <w:t>s in Holst’s composition ‘The Planets’ (1914-16) and T.S. Eliot’s poem ‘The Waste Land’ (1922);</w:t>
      </w:r>
      <w:r w:rsidRPr="00D86CD2">
        <w:rPr>
          <w:rFonts w:ascii="Helvetica" w:eastAsia="Helvetica Neue" w:hAnsi="Helvetica" w:cs="Helvetica Neue"/>
          <w:color w:val="000000"/>
          <w:sz w:val="22"/>
          <w:szCs w:val="22"/>
        </w:rPr>
        <w:t xml:space="preserve"> Secondly, it will be examined the authors’ theories regarding the materialisation of those astrological influences on the subject’s work; Finally, I’ll look </w:t>
      </w:r>
      <w:r w:rsidRPr="00D86CD2">
        <w:rPr>
          <w:rFonts w:ascii="Helvetica" w:eastAsia="Helvetica Neue" w:hAnsi="Helvetica" w:cs="Helvetica Neue"/>
          <w:color w:val="000000"/>
          <w:sz w:val="22"/>
          <w:szCs w:val="22"/>
        </w:rPr>
        <w:t xml:space="preserve">into </w:t>
      </w:r>
      <w:proofErr w:type="spellStart"/>
      <w:r w:rsidRPr="00D86CD2">
        <w:rPr>
          <w:rFonts w:ascii="Helvetica" w:eastAsia="Helvetica Neue" w:hAnsi="Helvetica" w:cs="Helvetica Neue"/>
          <w:color w:val="000000"/>
          <w:sz w:val="22"/>
          <w:szCs w:val="22"/>
        </w:rPr>
        <w:t>Diemert</w:t>
      </w:r>
      <w:proofErr w:type="spellEnd"/>
      <w:r w:rsidRPr="00D86CD2">
        <w:rPr>
          <w:rFonts w:ascii="Helvetica" w:eastAsia="Helvetica Neue" w:hAnsi="Helvetica" w:cs="Helvetica Neue"/>
          <w:color w:val="000000"/>
          <w:sz w:val="22"/>
          <w:szCs w:val="22"/>
        </w:rPr>
        <w:t>’ and Head’ considerations on the subject’s personal position regarding astrology.</w:t>
      </w:r>
    </w:p>
    <w:p w14:paraId="0000000D" w14:textId="4BF48D55" w:rsidR="000E0E90" w:rsidRDefault="000E0E90">
      <w:pPr>
        <w:pBdr>
          <w:top w:val="nil"/>
          <w:left w:val="nil"/>
          <w:bottom w:val="nil"/>
          <w:right w:val="nil"/>
          <w:between w:val="nil"/>
        </w:pBdr>
        <w:spacing w:line="360" w:lineRule="auto"/>
        <w:rPr>
          <w:rFonts w:ascii="Helvetica" w:eastAsia="Helvetica Neue" w:hAnsi="Helvetica" w:cs="Helvetica Neue"/>
          <w:color w:val="000000"/>
          <w:sz w:val="22"/>
          <w:szCs w:val="22"/>
        </w:rPr>
      </w:pPr>
    </w:p>
    <w:p w14:paraId="7FDED94E" w14:textId="47543315" w:rsidR="00D86CD2" w:rsidRPr="00D86CD2" w:rsidRDefault="00D86CD2">
      <w:pPr>
        <w:pBdr>
          <w:top w:val="nil"/>
          <w:left w:val="nil"/>
          <w:bottom w:val="nil"/>
          <w:right w:val="nil"/>
          <w:between w:val="nil"/>
        </w:pBdr>
        <w:spacing w:line="360" w:lineRule="auto"/>
        <w:rPr>
          <w:rFonts w:ascii="Helvetica" w:eastAsia="Helvetica Neue" w:hAnsi="Helvetica" w:cs="Helvetica Neue"/>
          <w:b/>
          <w:bCs/>
          <w:color w:val="000000"/>
          <w:sz w:val="22"/>
          <w:szCs w:val="22"/>
        </w:rPr>
      </w:pPr>
      <w:r w:rsidRPr="00D86CD2">
        <w:rPr>
          <w:rFonts w:ascii="Helvetica" w:eastAsia="Helvetica Neue" w:hAnsi="Helvetica" w:cs="Helvetica Neue"/>
          <w:b/>
          <w:bCs/>
          <w:color w:val="000000"/>
          <w:sz w:val="22"/>
          <w:szCs w:val="22"/>
        </w:rPr>
        <w:t>Cultural context and Astrological references</w:t>
      </w:r>
    </w:p>
    <w:p w14:paraId="0000000E"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eastAsia="Helvetica Neue" w:hAnsi="Helvetica" w:cs="Helvetica Neue"/>
          <w:color w:val="000000"/>
          <w:sz w:val="22"/>
          <w:szCs w:val="22"/>
        </w:rPr>
        <w:t>The English composer Gustav Holst (1874-1934) and the US born poet T.S. Eliot (1888-1965) were contemporaries and had lived under the same cultural context, one</w:t>
      </w:r>
      <w:r w:rsidRPr="00D86CD2">
        <w:rPr>
          <w:rFonts w:ascii="Helvetica" w:eastAsia="Helvetica Neue" w:hAnsi="Helvetica" w:cs="Helvetica Neue"/>
          <w:color w:val="000000"/>
          <w:sz w:val="22"/>
          <w:szCs w:val="22"/>
        </w:rPr>
        <w:t xml:space="preserve"> marked by a “widespread awareness of Theosophy and the interest in such esoteric areas as Indian </w:t>
      </w:r>
      <w:r w:rsidRPr="00D86CD2">
        <w:rPr>
          <w:rFonts w:ascii="Helvetica" w:eastAsia="Helvetica Neue" w:hAnsi="Helvetica" w:cs="Helvetica Neue"/>
          <w:color w:val="000000"/>
          <w:sz w:val="22"/>
          <w:szCs w:val="22"/>
        </w:rPr>
        <w:lastRenderedPageBreak/>
        <w:t>philosophy and astrology”, as Head defined.</w:t>
      </w:r>
      <w:r w:rsidRPr="00D86CD2">
        <w:rPr>
          <w:rStyle w:val="Refdenotaderodap"/>
          <w:rFonts w:ascii="Helvetica" w:eastAsia="Helvetica Neue" w:hAnsi="Helvetica"/>
          <w:sz w:val="22"/>
          <w:szCs w:val="22"/>
        </w:rPr>
        <w:footnoteReference w:id="3"/>
      </w:r>
      <w:r w:rsidRPr="00D86CD2">
        <w:rPr>
          <w:rFonts w:ascii="Helvetica" w:eastAsia="Helvetica Neue" w:hAnsi="Helvetica" w:cs="Helvetica Neue"/>
          <w:color w:val="000000"/>
          <w:sz w:val="22"/>
          <w:szCs w:val="22"/>
        </w:rPr>
        <w:t xml:space="preserve"> Both Head and </w:t>
      </w:r>
      <w:proofErr w:type="spellStart"/>
      <w:r w:rsidRPr="00D86CD2">
        <w:rPr>
          <w:rFonts w:ascii="Helvetica" w:eastAsia="Helvetica Neue" w:hAnsi="Helvetica" w:cs="Helvetica Neue"/>
          <w:color w:val="000000"/>
          <w:sz w:val="22"/>
          <w:szCs w:val="22"/>
        </w:rPr>
        <w:t>Diemert</w:t>
      </w:r>
      <w:proofErr w:type="spellEnd"/>
      <w:r w:rsidRPr="00D86CD2">
        <w:rPr>
          <w:rFonts w:ascii="Helvetica" w:eastAsia="Helvetica Neue" w:hAnsi="Helvetica" w:cs="Helvetica Neue"/>
          <w:color w:val="000000"/>
          <w:sz w:val="22"/>
          <w:szCs w:val="22"/>
        </w:rPr>
        <w:t xml:space="preserve"> covered the subjects’ knowledge in such topics and the influence they had on their life and</w:t>
      </w:r>
      <w:r w:rsidRPr="00D86CD2">
        <w:rPr>
          <w:rFonts w:ascii="Helvetica" w:eastAsia="Helvetica Neue" w:hAnsi="Helvetica" w:cs="Helvetica Neue"/>
          <w:color w:val="000000"/>
          <w:sz w:val="22"/>
          <w:szCs w:val="22"/>
        </w:rPr>
        <w:t xml:space="preserve"> work</w:t>
      </w:r>
      <w:r w:rsidRPr="00D86CD2">
        <w:rPr>
          <w:rFonts w:ascii="Helvetica" w:eastAsia="Helvetica Neue" w:hAnsi="Helvetica" w:cs="Helvetica Neue"/>
          <w:sz w:val="22"/>
          <w:szCs w:val="22"/>
        </w:rPr>
        <w:t>. They also examined</w:t>
      </w:r>
      <w:r w:rsidRPr="00D86CD2">
        <w:rPr>
          <w:rFonts w:ascii="Helvetica" w:eastAsia="Helvetica Neue" w:hAnsi="Helvetica" w:cs="Helvetica Neue"/>
          <w:color w:val="000000"/>
          <w:sz w:val="22"/>
          <w:szCs w:val="22"/>
        </w:rPr>
        <w:t xml:space="preserve"> the astrological practice’ repercussions on a legal level. But while Head gave more </w:t>
      </w:r>
      <w:r w:rsidRPr="00D86CD2">
        <w:rPr>
          <w:rFonts w:ascii="Helvetica" w:eastAsia="Helvetica Neue" w:hAnsi="Helvetica" w:cs="Helvetica Neue"/>
          <w:sz w:val="22"/>
          <w:szCs w:val="22"/>
        </w:rPr>
        <w:t>emphasis</w:t>
      </w:r>
      <w:r w:rsidRPr="00D86CD2">
        <w:rPr>
          <w:rFonts w:ascii="Helvetica" w:eastAsia="Helvetica Neue" w:hAnsi="Helvetica" w:cs="Helvetica Neue"/>
          <w:color w:val="000000"/>
          <w:sz w:val="22"/>
          <w:szCs w:val="22"/>
        </w:rPr>
        <w:t xml:space="preserve"> to the first, </w:t>
      </w:r>
      <w:proofErr w:type="spellStart"/>
      <w:r w:rsidRPr="00D86CD2">
        <w:rPr>
          <w:rFonts w:ascii="Helvetica" w:eastAsia="Helvetica Neue" w:hAnsi="Helvetica" w:cs="Helvetica Neue"/>
          <w:color w:val="000000"/>
          <w:sz w:val="22"/>
          <w:szCs w:val="22"/>
        </w:rPr>
        <w:t>Diemert</w:t>
      </w:r>
      <w:proofErr w:type="spellEnd"/>
      <w:r w:rsidRPr="00D86CD2">
        <w:rPr>
          <w:rFonts w:ascii="Helvetica" w:eastAsia="Helvetica Neue" w:hAnsi="Helvetica" w:cs="Helvetica Neue"/>
          <w:color w:val="000000"/>
          <w:sz w:val="22"/>
          <w:szCs w:val="22"/>
        </w:rPr>
        <w:t xml:space="preserve"> focused on the latter. </w:t>
      </w:r>
    </w:p>
    <w:p w14:paraId="0000000F"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eastAsia="Helvetica Neue" w:hAnsi="Helvetica" w:cs="Helvetica Neue"/>
          <w:color w:val="000000"/>
          <w:sz w:val="22"/>
          <w:szCs w:val="22"/>
        </w:rPr>
        <w:t xml:space="preserve">Head culturally contextualized the beginning of the XX century, being extremely descriptive of Holst’ personal relationships that introduced him to the tenets of Theosophy and how he embraced those principles throughout his life. In regards to music, Head </w:t>
      </w:r>
      <w:r w:rsidRPr="00D86CD2">
        <w:rPr>
          <w:rFonts w:ascii="Helvetica" w:eastAsia="Helvetica Neue" w:hAnsi="Helvetica" w:cs="Helvetica Neue"/>
          <w:color w:val="000000"/>
          <w:sz w:val="22"/>
          <w:szCs w:val="22"/>
        </w:rPr>
        <w:t>stated that they “fortified his desire to explore new ground (…)” leading him to compose ‘The Planets’.</w:t>
      </w:r>
      <w:r w:rsidRPr="00D86CD2">
        <w:rPr>
          <w:rStyle w:val="Refdenotaderodap"/>
          <w:rFonts w:ascii="Helvetica" w:eastAsia="Helvetica Neue" w:hAnsi="Helvetica"/>
          <w:sz w:val="22"/>
          <w:szCs w:val="22"/>
        </w:rPr>
        <w:footnoteReference w:id="4"/>
      </w:r>
      <w:r w:rsidRPr="00D86CD2">
        <w:rPr>
          <w:rFonts w:ascii="Helvetica" w:eastAsia="Helvetica Neue" w:hAnsi="Helvetica" w:cs="Helvetica Neue"/>
          <w:color w:val="000000"/>
          <w:sz w:val="22"/>
          <w:szCs w:val="22"/>
        </w:rPr>
        <w:t xml:space="preserve"> He briefly mentioned Holst’ reasons to be “very circumspect on the astrological basis” of his composition, as the famous astrologer Alan Leo had been p</w:t>
      </w:r>
      <w:r w:rsidRPr="00D86CD2">
        <w:rPr>
          <w:rFonts w:ascii="Helvetica" w:eastAsia="Helvetica Neue" w:hAnsi="Helvetica" w:cs="Helvetica Neue"/>
          <w:color w:val="000000"/>
          <w:sz w:val="22"/>
          <w:szCs w:val="22"/>
        </w:rPr>
        <w:t>rosecuted under the Vagrancy Act sometime before the public presentation of ‘The Planets’.</w:t>
      </w:r>
      <w:r w:rsidRPr="00D86CD2">
        <w:rPr>
          <w:rStyle w:val="Refdenotaderodap"/>
          <w:rFonts w:ascii="Helvetica" w:eastAsia="Helvetica Neue" w:hAnsi="Helvetica"/>
          <w:sz w:val="22"/>
          <w:szCs w:val="22"/>
        </w:rPr>
        <w:footnoteReference w:id="5"/>
      </w:r>
      <w:r w:rsidRPr="00D86CD2">
        <w:rPr>
          <w:rFonts w:ascii="Helvetica" w:eastAsia="Helvetica Neue" w:hAnsi="Helvetica" w:cs="Helvetica Neue"/>
          <w:color w:val="000000"/>
          <w:sz w:val="22"/>
          <w:szCs w:val="22"/>
        </w:rPr>
        <w:t xml:space="preserve"> </w:t>
      </w:r>
    </w:p>
    <w:p w14:paraId="00000010"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eastAsia="Helvetica Neue" w:hAnsi="Helvetica" w:cs="Helvetica Neue"/>
          <w:color w:val="000000"/>
          <w:sz w:val="22"/>
          <w:szCs w:val="22"/>
        </w:rPr>
        <w:t xml:space="preserve">Brian </w:t>
      </w:r>
      <w:proofErr w:type="spellStart"/>
      <w:r w:rsidRPr="00D86CD2">
        <w:rPr>
          <w:rFonts w:ascii="Helvetica" w:eastAsia="Helvetica Neue" w:hAnsi="Helvetica" w:cs="Helvetica Neue"/>
          <w:color w:val="000000"/>
          <w:sz w:val="22"/>
          <w:szCs w:val="22"/>
        </w:rPr>
        <w:t>Diemert</w:t>
      </w:r>
      <w:proofErr w:type="spellEnd"/>
      <w:r w:rsidRPr="00D86CD2">
        <w:rPr>
          <w:rFonts w:ascii="Helvetica" w:eastAsia="Helvetica Neue" w:hAnsi="Helvetica" w:cs="Helvetica Neue"/>
          <w:color w:val="000000"/>
          <w:sz w:val="22"/>
          <w:szCs w:val="22"/>
        </w:rPr>
        <w:t xml:space="preserve"> sparsely talked about Eliot’ studies in Indian traditions and philosophy, choosing to concentrate his narrative on an extensive description of some f</w:t>
      </w:r>
      <w:r w:rsidRPr="00D86CD2">
        <w:rPr>
          <w:rFonts w:ascii="Helvetica" w:eastAsia="Helvetica Neue" w:hAnsi="Helvetica" w:cs="Helvetica Neue"/>
          <w:color w:val="000000"/>
          <w:sz w:val="22"/>
          <w:szCs w:val="22"/>
        </w:rPr>
        <w:t>amous police cases concerning the working conditions of astrologers at the time, according to him “frequently arrested and brought before the courts on charges of fraud”.</w:t>
      </w:r>
      <w:r w:rsidRPr="00D86CD2">
        <w:rPr>
          <w:rFonts w:ascii="Helvetica" w:eastAsia="Helvetica Neue" w:hAnsi="Helvetica" w:cs="Helvetica Neue"/>
          <w:color w:val="000000"/>
          <w:sz w:val="22"/>
          <w:szCs w:val="22"/>
          <w:vertAlign w:val="superscript"/>
        </w:rPr>
        <w:t xml:space="preserve"> </w:t>
      </w:r>
      <w:r w:rsidRPr="00D86CD2">
        <w:rPr>
          <w:rStyle w:val="Refdenotaderodap"/>
          <w:rFonts w:ascii="Helvetica" w:eastAsia="Helvetica Neue" w:hAnsi="Helvetica"/>
          <w:sz w:val="22"/>
          <w:szCs w:val="22"/>
        </w:rPr>
        <w:footnoteReference w:id="6"/>
      </w:r>
      <w:r w:rsidRPr="00D86CD2">
        <w:rPr>
          <w:rFonts w:ascii="Helvetica" w:eastAsia="Helvetica Neue" w:hAnsi="Helvetica" w:cs="Helvetica Neue"/>
          <w:color w:val="000000"/>
          <w:sz w:val="22"/>
          <w:szCs w:val="22"/>
        </w:rPr>
        <w:t xml:space="preserve"> </w:t>
      </w:r>
      <w:proofErr w:type="spellStart"/>
      <w:r w:rsidRPr="00D86CD2">
        <w:rPr>
          <w:rFonts w:ascii="Helvetica" w:eastAsia="Helvetica Neue" w:hAnsi="Helvetica" w:cs="Helvetica Neue"/>
          <w:color w:val="000000"/>
          <w:sz w:val="22"/>
          <w:szCs w:val="22"/>
        </w:rPr>
        <w:t>Diemert</w:t>
      </w:r>
      <w:proofErr w:type="spellEnd"/>
      <w:r w:rsidRPr="00D86CD2">
        <w:rPr>
          <w:rFonts w:ascii="Helvetica" w:eastAsia="Helvetica Neue" w:hAnsi="Helvetica" w:cs="Helvetica Neue"/>
          <w:color w:val="000000"/>
          <w:sz w:val="22"/>
          <w:szCs w:val="22"/>
        </w:rPr>
        <w:t xml:space="preserve"> believed that Eliot had access to the trials news and had used them as an inspiration. </w:t>
      </w:r>
    </w:p>
    <w:p w14:paraId="00000011"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eastAsia="Helvetica Neue" w:hAnsi="Helvetica" w:cs="Helvetica Neue"/>
          <w:color w:val="000000"/>
          <w:sz w:val="22"/>
          <w:szCs w:val="22"/>
        </w:rPr>
        <w:t xml:space="preserve">Whereas Head was very certain about the main object of influence in Holst’ composition, pointing to Alan Leo’ book ‘The Art of Synthesis’ as the </w:t>
      </w:r>
      <w:r w:rsidRPr="00D86CD2">
        <w:rPr>
          <w:rFonts w:ascii="Helvetica" w:eastAsia="Helvetica Neue" w:hAnsi="Helvetica" w:cs="Helvetica Neue"/>
          <w:color w:val="000000"/>
          <w:sz w:val="22"/>
          <w:szCs w:val="22"/>
        </w:rPr>
        <w:t>“…book whic</w:t>
      </w:r>
      <w:r w:rsidRPr="00D86CD2">
        <w:rPr>
          <w:rFonts w:ascii="Helvetica" w:eastAsia="Helvetica Neue" w:hAnsi="Helvetica" w:cs="Helvetica Neue"/>
          <w:color w:val="000000"/>
          <w:sz w:val="22"/>
          <w:szCs w:val="22"/>
        </w:rPr>
        <w:t xml:space="preserve">h (…) inspired the composition of ‘The Planets’”, </w:t>
      </w:r>
      <w:proofErr w:type="spellStart"/>
      <w:r w:rsidRPr="00D86CD2">
        <w:rPr>
          <w:rFonts w:ascii="Helvetica" w:eastAsia="Helvetica Neue" w:hAnsi="Helvetica" w:cs="Helvetica Neue"/>
          <w:color w:val="000000"/>
          <w:sz w:val="22"/>
          <w:szCs w:val="22"/>
        </w:rPr>
        <w:t>Diemert</w:t>
      </w:r>
      <w:proofErr w:type="spellEnd"/>
      <w:r w:rsidRPr="00D86CD2">
        <w:rPr>
          <w:rFonts w:ascii="Helvetica" w:eastAsia="Helvetica Neue" w:hAnsi="Helvetica" w:cs="Helvetica Neue"/>
          <w:color w:val="000000"/>
          <w:sz w:val="22"/>
          <w:szCs w:val="22"/>
        </w:rPr>
        <w:t xml:space="preserve"> suggested that Eliot must have been acquainted </w:t>
      </w:r>
      <w:r w:rsidRPr="00D86CD2">
        <w:rPr>
          <w:rFonts w:ascii="Helvetica" w:eastAsia="Helvetica Neue" w:hAnsi="Helvetica" w:cs="Helvetica Neue"/>
          <w:sz w:val="22"/>
          <w:szCs w:val="22"/>
        </w:rPr>
        <w:t>with</w:t>
      </w:r>
      <w:r w:rsidRPr="00D86CD2">
        <w:rPr>
          <w:rFonts w:ascii="Helvetica" w:eastAsia="Helvetica Neue" w:hAnsi="Helvetica" w:cs="Helvetica Neue"/>
          <w:color w:val="000000"/>
          <w:sz w:val="22"/>
          <w:szCs w:val="22"/>
        </w:rPr>
        <w:t xml:space="preserve"> the astrologers’ trial cases through the newspapers to create his character ‘</w:t>
      </w:r>
      <w:proofErr w:type="spellStart"/>
      <w:r w:rsidRPr="00D86CD2">
        <w:rPr>
          <w:rFonts w:ascii="Helvetica" w:eastAsia="Helvetica Neue" w:hAnsi="Helvetica" w:cs="Helvetica Neue"/>
          <w:color w:val="000000"/>
          <w:sz w:val="22"/>
          <w:szCs w:val="22"/>
        </w:rPr>
        <w:t>Sosostris</w:t>
      </w:r>
      <w:proofErr w:type="spellEnd"/>
      <w:r w:rsidRPr="00D86CD2">
        <w:rPr>
          <w:rFonts w:ascii="Helvetica" w:eastAsia="Helvetica Neue" w:hAnsi="Helvetica" w:cs="Helvetica Neue"/>
          <w:color w:val="000000"/>
          <w:sz w:val="22"/>
          <w:szCs w:val="22"/>
        </w:rPr>
        <w:t>’, despite the lack of evidences.</w:t>
      </w:r>
      <w:r w:rsidRPr="00D86CD2">
        <w:rPr>
          <w:rStyle w:val="Refdenotaderodap"/>
          <w:rFonts w:ascii="Helvetica" w:eastAsia="Helvetica Neue" w:hAnsi="Helvetica"/>
          <w:sz w:val="22"/>
          <w:szCs w:val="22"/>
        </w:rPr>
        <w:footnoteReference w:id="7"/>
      </w:r>
    </w:p>
    <w:p w14:paraId="00000012" w14:textId="0438856C" w:rsidR="000E0E90" w:rsidRDefault="000E0E90">
      <w:pPr>
        <w:pBdr>
          <w:top w:val="nil"/>
          <w:left w:val="nil"/>
          <w:bottom w:val="nil"/>
          <w:right w:val="nil"/>
          <w:between w:val="nil"/>
        </w:pBdr>
        <w:spacing w:line="360" w:lineRule="auto"/>
        <w:rPr>
          <w:rFonts w:ascii="Helvetica" w:eastAsia="Helvetica Neue" w:hAnsi="Helvetica" w:cs="Helvetica Neue"/>
          <w:color w:val="000000"/>
          <w:sz w:val="22"/>
          <w:szCs w:val="22"/>
        </w:rPr>
      </w:pPr>
    </w:p>
    <w:p w14:paraId="07633D14" w14:textId="50364304" w:rsidR="00D86CD2" w:rsidRPr="00D86CD2" w:rsidRDefault="00D86CD2">
      <w:pPr>
        <w:pBdr>
          <w:top w:val="nil"/>
          <w:left w:val="nil"/>
          <w:bottom w:val="nil"/>
          <w:right w:val="nil"/>
          <w:between w:val="nil"/>
        </w:pBdr>
        <w:spacing w:line="360" w:lineRule="auto"/>
        <w:rPr>
          <w:rFonts w:ascii="Helvetica" w:eastAsia="Helvetica Neue" w:hAnsi="Helvetica" w:cs="Helvetica Neue"/>
          <w:b/>
          <w:bCs/>
          <w:color w:val="000000"/>
          <w:sz w:val="22"/>
          <w:szCs w:val="22"/>
        </w:rPr>
      </w:pPr>
      <w:r w:rsidRPr="00D86CD2">
        <w:rPr>
          <w:rFonts w:ascii="Helvetica" w:eastAsia="Helvetica Neue" w:hAnsi="Helvetica" w:cs="Helvetica Neue"/>
          <w:b/>
          <w:bCs/>
          <w:color w:val="000000"/>
          <w:sz w:val="22"/>
          <w:szCs w:val="22"/>
        </w:rPr>
        <w:t>Materialisation of the Astrological references</w:t>
      </w:r>
    </w:p>
    <w:p w14:paraId="00000013"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eastAsia="Helvetica Neue" w:hAnsi="Helvetica" w:cs="Helvetica Neue"/>
          <w:color w:val="000000"/>
          <w:sz w:val="22"/>
          <w:szCs w:val="22"/>
        </w:rPr>
        <w:t>Regarding the realisatio</w:t>
      </w:r>
      <w:r w:rsidRPr="00D86CD2">
        <w:rPr>
          <w:rFonts w:ascii="Helvetica" w:eastAsia="Helvetica Neue" w:hAnsi="Helvetica" w:cs="Helvetica Neue"/>
          <w:color w:val="000000"/>
          <w:sz w:val="22"/>
          <w:szCs w:val="22"/>
        </w:rPr>
        <w:t>n of the astrological influences,</w:t>
      </w:r>
      <w:r w:rsidRPr="00D86CD2">
        <w:rPr>
          <w:rFonts w:ascii="Helvetica" w:eastAsia="Helvetica Neue" w:hAnsi="Helvetica" w:cs="Helvetica Neue"/>
          <w:color w:val="000000"/>
          <w:sz w:val="22"/>
          <w:szCs w:val="22"/>
        </w:rPr>
        <w:t xml:space="preserve"> whereas Head considered the whole composition of Holst as the result of the influence of Alan Leo’s book, </w:t>
      </w:r>
      <w:proofErr w:type="spellStart"/>
      <w:r w:rsidRPr="00D86CD2">
        <w:rPr>
          <w:rFonts w:ascii="Helvetica" w:eastAsia="Helvetica Neue" w:hAnsi="Helvetica" w:cs="Helvetica Neue"/>
          <w:color w:val="000000"/>
          <w:sz w:val="22"/>
          <w:szCs w:val="22"/>
        </w:rPr>
        <w:t>Diemert</w:t>
      </w:r>
      <w:proofErr w:type="spellEnd"/>
      <w:r w:rsidRPr="00D86CD2">
        <w:rPr>
          <w:rFonts w:ascii="Helvetica" w:eastAsia="Helvetica Neue" w:hAnsi="Helvetica" w:cs="Helvetica Neue"/>
          <w:color w:val="000000"/>
          <w:sz w:val="22"/>
          <w:szCs w:val="22"/>
        </w:rPr>
        <w:t xml:space="preserve"> pointed out only two specific lines in Eliot’s ‘The Waste Land’, expressed by the character ‘</w:t>
      </w:r>
      <w:proofErr w:type="spellStart"/>
      <w:r w:rsidRPr="00D86CD2">
        <w:rPr>
          <w:rFonts w:ascii="Helvetica" w:eastAsia="Helvetica Neue" w:hAnsi="Helvetica" w:cs="Helvetica Neue"/>
          <w:color w:val="000000"/>
          <w:sz w:val="22"/>
          <w:szCs w:val="22"/>
        </w:rPr>
        <w:t>Sosostris</w:t>
      </w:r>
      <w:proofErr w:type="spellEnd"/>
      <w:r w:rsidRPr="00D86CD2">
        <w:rPr>
          <w:rFonts w:ascii="Helvetica" w:eastAsia="Helvetica Neue" w:hAnsi="Helvetica" w:cs="Helvetica Neue"/>
          <w:color w:val="000000"/>
          <w:sz w:val="22"/>
          <w:szCs w:val="22"/>
        </w:rPr>
        <w:t>’.</w:t>
      </w:r>
    </w:p>
    <w:p w14:paraId="00000014"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eastAsia="Helvetica Neue" w:hAnsi="Helvetica" w:cs="Helvetica Neue"/>
          <w:color w:val="000000"/>
          <w:sz w:val="22"/>
          <w:szCs w:val="22"/>
        </w:rPr>
        <w:t xml:space="preserve">To support his opinion on Holst’ using Leo’ book as inspiration, Head made a parallel between </w:t>
      </w:r>
    </w:p>
    <w:p w14:paraId="00000015"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eastAsia="Helvetica Neue" w:hAnsi="Helvetica" w:cs="Helvetica Neue"/>
          <w:color w:val="000000"/>
          <w:sz w:val="22"/>
          <w:szCs w:val="22"/>
        </w:rPr>
        <w:t>the structure of the book divided in chapters dedicated to the celestial bodies, and Holst’ composition also divided in movements devoted to the planets. He also</w:t>
      </w:r>
      <w:r w:rsidRPr="00D86CD2">
        <w:rPr>
          <w:rFonts w:ascii="Helvetica" w:eastAsia="Helvetica Neue" w:hAnsi="Helvetica" w:cs="Helvetica Neue"/>
          <w:color w:val="000000"/>
          <w:sz w:val="22"/>
          <w:szCs w:val="22"/>
        </w:rPr>
        <w:t xml:space="preserve"> pointed out that some of the movement’ titles are the same as Leo’s chapter’ headings. Once again, Head was very </w:t>
      </w:r>
      <w:r w:rsidRPr="00D86CD2">
        <w:rPr>
          <w:rFonts w:ascii="Helvetica" w:eastAsia="Helvetica Neue" w:hAnsi="Helvetica" w:cs="Helvetica Neue"/>
          <w:color w:val="000000"/>
          <w:sz w:val="22"/>
          <w:szCs w:val="22"/>
        </w:rPr>
        <w:lastRenderedPageBreak/>
        <w:t>descriptive using specific music terminology to explain each one of the movements, relating the composition sounds with the planets’ character</w:t>
      </w:r>
      <w:r w:rsidRPr="00D86CD2">
        <w:rPr>
          <w:rFonts w:ascii="Helvetica" w:eastAsia="Helvetica Neue" w:hAnsi="Helvetica" w:cs="Helvetica Neue"/>
          <w:color w:val="000000"/>
          <w:sz w:val="22"/>
          <w:szCs w:val="22"/>
        </w:rPr>
        <w:t>istics defined in Leo’s book, such as Mercury which in Leo’s word “represents the silver thread of memory” depicted in the movement “by the use of the glockenspiel and celesta”.</w:t>
      </w:r>
      <w:r w:rsidRPr="00D86CD2">
        <w:rPr>
          <w:rStyle w:val="Refdenotaderodap"/>
          <w:rFonts w:ascii="Helvetica" w:eastAsia="Helvetica Neue" w:hAnsi="Helvetica"/>
          <w:sz w:val="22"/>
          <w:szCs w:val="22"/>
        </w:rPr>
        <w:footnoteReference w:id="8"/>
      </w:r>
      <w:r w:rsidRPr="00D86CD2">
        <w:rPr>
          <w:rFonts w:ascii="Helvetica" w:eastAsia="Helvetica Neue" w:hAnsi="Helvetica" w:cs="Helvetica Neue"/>
          <w:color w:val="000000"/>
          <w:sz w:val="22"/>
          <w:szCs w:val="22"/>
        </w:rPr>
        <w:t xml:space="preserve"> </w:t>
      </w:r>
    </w:p>
    <w:p w14:paraId="00000016"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proofErr w:type="spellStart"/>
      <w:r w:rsidRPr="00D86CD2">
        <w:rPr>
          <w:rFonts w:ascii="Helvetica" w:eastAsia="Helvetica Neue" w:hAnsi="Helvetica" w:cs="Helvetica Neue"/>
          <w:color w:val="000000"/>
          <w:sz w:val="22"/>
          <w:szCs w:val="22"/>
        </w:rPr>
        <w:t>Diemert</w:t>
      </w:r>
      <w:proofErr w:type="spellEnd"/>
      <w:r w:rsidRPr="00D86CD2">
        <w:rPr>
          <w:rFonts w:ascii="Helvetica" w:eastAsia="Helvetica Neue" w:hAnsi="Helvetica" w:cs="Helvetica Neue"/>
          <w:color w:val="000000"/>
          <w:sz w:val="22"/>
          <w:szCs w:val="22"/>
        </w:rPr>
        <w:t>’ considerable attention to the police cases regarding the illegal pr</w:t>
      </w:r>
      <w:r w:rsidRPr="00D86CD2">
        <w:rPr>
          <w:rFonts w:ascii="Helvetica" w:eastAsia="Helvetica Neue" w:hAnsi="Helvetica" w:cs="Helvetica Neue"/>
          <w:color w:val="000000"/>
          <w:sz w:val="22"/>
          <w:szCs w:val="22"/>
        </w:rPr>
        <w:t xml:space="preserve">actice of astrology reflects his opinion that Eliot might have </w:t>
      </w:r>
      <w:r w:rsidRPr="00D86CD2">
        <w:rPr>
          <w:rFonts w:ascii="Helvetica" w:eastAsia="Helvetica Neue" w:hAnsi="Helvetica" w:cs="Helvetica Neue"/>
          <w:sz w:val="22"/>
          <w:szCs w:val="22"/>
        </w:rPr>
        <w:t>seen</w:t>
      </w:r>
      <w:r w:rsidRPr="00D86CD2">
        <w:rPr>
          <w:rFonts w:ascii="Helvetica" w:eastAsia="Helvetica Neue" w:hAnsi="Helvetica" w:cs="Helvetica Neue"/>
          <w:color w:val="000000"/>
          <w:sz w:val="22"/>
          <w:szCs w:val="22"/>
        </w:rPr>
        <w:t xml:space="preserve"> them when he created the </w:t>
      </w:r>
      <w:proofErr w:type="spellStart"/>
      <w:r w:rsidRPr="00D86CD2">
        <w:rPr>
          <w:rFonts w:ascii="Helvetica" w:eastAsia="Helvetica Neue" w:hAnsi="Helvetica" w:cs="Helvetica Neue"/>
          <w:color w:val="000000"/>
          <w:sz w:val="22"/>
          <w:szCs w:val="22"/>
        </w:rPr>
        <w:t>Sosostris</w:t>
      </w:r>
      <w:proofErr w:type="spellEnd"/>
      <w:r w:rsidRPr="00D86CD2">
        <w:rPr>
          <w:rFonts w:ascii="Helvetica" w:eastAsia="Helvetica Neue" w:hAnsi="Helvetica" w:cs="Helvetica Neue"/>
          <w:color w:val="000000"/>
          <w:sz w:val="22"/>
          <w:szCs w:val="22"/>
        </w:rPr>
        <w:t xml:space="preserve"> lines. The issue was not just the practice of an illicit profession, but also the use of the mail to send the clients’ charts which he explained that “in</w:t>
      </w:r>
      <w:r w:rsidRPr="00D86CD2">
        <w:rPr>
          <w:rFonts w:ascii="Helvetica" w:eastAsia="Helvetica Neue" w:hAnsi="Helvetica" w:cs="Helvetica Neue"/>
          <w:color w:val="000000"/>
          <w:sz w:val="22"/>
          <w:szCs w:val="22"/>
        </w:rPr>
        <w:t xml:space="preserve"> the eyes of the authorities (…) were being illegally used for the purposes of fraud”.</w:t>
      </w:r>
      <w:r w:rsidRPr="00D86CD2">
        <w:rPr>
          <w:rStyle w:val="Refdenotaderodap"/>
          <w:rFonts w:ascii="Helvetica" w:eastAsia="Helvetica Neue" w:hAnsi="Helvetica"/>
          <w:sz w:val="22"/>
          <w:szCs w:val="22"/>
        </w:rPr>
        <w:footnoteReference w:id="9"/>
      </w:r>
      <w:r w:rsidRPr="00D86CD2">
        <w:rPr>
          <w:rFonts w:ascii="Helvetica" w:eastAsia="Helvetica Neue" w:hAnsi="Helvetica" w:cs="Helvetica Neue"/>
          <w:color w:val="000000"/>
          <w:sz w:val="22"/>
          <w:szCs w:val="22"/>
        </w:rPr>
        <w:t xml:space="preserve"> That’s </w:t>
      </w:r>
      <w:proofErr w:type="spellStart"/>
      <w:r w:rsidRPr="00D86CD2">
        <w:rPr>
          <w:rFonts w:ascii="Helvetica" w:eastAsia="Helvetica Neue" w:hAnsi="Helvetica" w:cs="Helvetica Neue"/>
          <w:color w:val="000000"/>
          <w:sz w:val="22"/>
          <w:szCs w:val="22"/>
        </w:rPr>
        <w:t>Sosostris</w:t>
      </w:r>
      <w:proofErr w:type="spellEnd"/>
      <w:r w:rsidRPr="00D86CD2">
        <w:rPr>
          <w:rFonts w:ascii="Helvetica" w:eastAsia="Helvetica Neue" w:hAnsi="Helvetica" w:cs="Helvetica Neue"/>
          <w:color w:val="000000"/>
          <w:sz w:val="22"/>
          <w:szCs w:val="22"/>
        </w:rPr>
        <w:t>’ concern expressed in her lines: “…Tell her I bring the horoscope myself / One must be so careful these days”.</w:t>
      </w:r>
      <w:r w:rsidRPr="00D86CD2">
        <w:rPr>
          <w:rStyle w:val="Refdenotaderodap"/>
          <w:rFonts w:ascii="Helvetica" w:eastAsia="Helvetica Neue" w:hAnsi="Helvetica"/>
          <w:sz w:val="22"/>
          <w:szCs w:val="22"/>
        </w:rPr>
        <w:footnoteReference w:id="10"/>
      </w:r>
      <w:r w:rsidRPr="00D86CD2">
        <w:rPr>
          <w:rFonts w:ascii="Helvetica" w:eastAsia="Helvetica Neue" w:hAnsi="Helvetica" w:cs="Helvetica Neue"/>
          <w:color w:val="000000"/>
          <w:sz w:val="22"/>
          <w:szCs w:val="22"/>
        </w:rPr>
        <w:t xml:space="preserve"> It seems possible that Eliot had found </w:t>
      </w:r>
      <w:r w:rsidRPr="00D86CD2">
        <w:rPr>
          <w:rFonts w:ascii="Helvetica" w:eastAsia="Helvetica Neue" w:hAnsi="Helvetica" w:cs="Helvetica Neue"/>
          <w:color w:val="000000"/>
          <w:sz w:val="22"/>
          <w:szCs w:val="22"/>
        </w:rPr>
        <w:t xml:space="preserve">inspiration on the astrologer’ situation to write these two lines, the only astrological reference </w:t>
      </w:r>
      <w:proofErr w:type="spellStart"/>
      <w:r w:rsidRPr="00D86CD2">
        <w:rPr>
          <w:rFonts w:ascii="Helvetica" w:eastAsia="Helvetica Neue" w:hAnsi="Helvetica" w:cs="Helvetica Neue"/>
          <w:color w:val="000000"/>
          <w:sz w:val="22"/>
          <w:szCs w:val="22"/>
        </w:rPr>
        <w:t>Diemert</w:t>
      </w:r>
      <w:proofErr w:type="spellEnd"/>
      <w:r w:rsidRPr="00D86CD2">
        <w:rPr>
          <w:rFonts w:ascii="Helvetica" w:eastAsia="Helvetica Neue" w:hAnsi="Helvetica" w:cs="Helvetica Neue"/>
          <w:color w:val="000000"/>
          <w:sz w:val="22"/>
          <w:szCs w:val="22"/>
        </w:rPr>
        <w:t xml:space="preserve"> found in ‘The Waste Land’. In fact, he admitted that although </w:t>
      </w:r>
      <w:proofErr w:type="spellStart"/>
      <w:r w:rsidRPr="00D86CD2">
        <w:rPr>
          <w:rFonts w:ascii="Helvetica" w:eastAsia="Helvetica Neue" w:hAnsi="Helvetica" w:cs="Helvetica Neue"/>
          <w:color w:val="000000"/>
          <w:sz w:val="22"/>
          <w:szCs w:val="22"/>
        </w:rPr>
        <w:t>Sosostris</w:t>
      </w:r>
      <w:proofErr w:type="spellEnd"/>
      <w:r w:rsidRPr="00D86CD2">
        <w:rPr>
          <w:rFonts w:ascii="Helvetica" w:eastAsia="Helvetica Neue" w:hAnsi="Helvetica" w:cs="Helvetica Neue"/>
          <w:color w:val="000000"/>
          <w:sz w:val="22"/>
          <w:szCs w:val="22"/>
        </w:rPr>
        <w:t xml:space="preserve"> practices astrology “the rich symbolic potential of astrology (…) is not expl</w:t>
      </w:r>
      <w:r w:rsidRPr="00D86CD2">
        <w:rPr>
          <w:rFonts w:ascii="Helvetica" w:eastAsia="Helvetica Neue" w:hAnsi="Helvetica" w:cs="Helvetica Neue"/>
          <w:color w:val="000000"/>
          <w:sz w:val="22"/>
          <w:szCs w:val="22"/>
        </w:rPr>
        <w:t>oited in Eliot’s poem”.</w:t>
      </w:r>
      <w:r w:rsidRPr="00D86CD2">
        <w:rPr>
          <w:rStyle w:val="Refdenotaderodap"/>
          <w:rFonts w:ascii="Helvetica" w:eastAsia="Helvetica Neue" w:hAnsi="Helvetica"/>
          <w:sz w:val="22"/>
          <w:szCs w:val="22"/>
        </w:rPr>
        <w:footnoteReference w:id="11"/>
      </w:r>
      <w:r w:rsidRPr="00D86CD2">
        <w:rPr>
          <w:rFonts w:ascii="Helvetica" w:eastAsia="Helvetica Neue" w:hAnsi="Helvetica" w:cs="Helvetica Neue"/>
          <w:color w:val="000000"/>
          <w:sz w:val="22"/>
          <w:szCs w:val="22"/>
        </w:rPr>
        <w:t xml:space="preserve"> </w:t>
      </w:r>
    </w:p>
    <w:p w14:paraId="00000017" w14:textId="4CB5C4D2" w:rsidR="000E0E90" w:rsidRDefault="000E0E90">
      <w:pPr>
        <w:pBdr>
          <w:top w:val="nil"/>
          <w:left w:val="nil"/>
          <w:bottom w:val="nil"/>
          <w:right w:val="nil"/>
          <w:between w:val="nil"/>
        </w:pBdr>
        <w:spacing w:line="360" w:lineRule="auto"/>
        <w:rPr>
          <w:rFonts w:ascii="Helvetica" w:eastAsia="Helvetica Neue" w:hAnsi="Helvetica" w:cs="Helvetica Neue"/>
          <w:color w:val="000000"/>
          <w:sz w:val="22"/>
          <w:szCs w:val="22"/>
        </w:rPr>
      </w:pPr>
    </w:p>
    <w:p w14:paraId="744C9A5B" w14:textId="7CA8751A" w:rsidR="00D86CD2" w:rsidRPr="00D86CD2" w:rsidRDefault="00D86CD2">
      <w:pPr>
        <w:pBdr>
          <w:top w:val="nil"/>
          <w:left w:val="nil"/>
          <w:bottom w:val="nil"/>
          <w:right w:val="nil"/>
          <w:between w:val="nil"/>
        </w:pBdr>
        <w:spacing w:line="360" w:lineRule="auto"/>
        <w:rPr>
          <w:rFonts w:ascii="Helvetica" w:eastAsia="Helvetica Neue" w:hAnsi="Helvetica" w:cs="Helvetica Neue"/>
          <w:b/>
          <w:bCs/>
          <w:color w:val="000000"/>
          <w:sz w:val="22"/>
          <w:szCs w:val="22"/>
        </w:rPr>
      </w:pPr>
      <w:r w:rsidRPr="00D86CD2">
        <w:rPr>
          <w:rFonts w:ascii="Helvetica" w:eastAsia="Helvetica Neue" w:hAnsi="Helvetica" w:cs="Helvetica Neue"/>
          <w:b/>
          <w:bCs/>
          <w:color w:val="000000"/>
          <w:sz w:val="22"/>
          <w:szCs w:val="22"/>
        </w:rPr>
        <w:t>Personal positions regarding Astrology</w:t>
      </w:r>
    </w:p>
    <w:p w14:paraId="00000018"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eastAsia="Helvetica Neue" w:hAnsi="Helvetica" w:cs="Helvetica Neue"/>
          <w:color w:val="000000"/>
          <w:sz w:val="22"/>
          <w:szCs w:val="22"/>
        </w:rPr>
        <w:t xml:space="preserve">Going throughout the papers, one understands that Head was much more convinced of Holst’ devotion to astrology than </w:t>
      </w:r>
      <w:proofErr w:type="spellStart"/>
      <w:r w:rsidRPr="00D86CD2">
        <w:rPr>
          <w:rFonts w:ascii="Helvetica" w:eastAsia="Helvetica Neue" w:hAnsi="Helvetica" w:cs="Helvetica Neue"/>
          <w:color w:val="000000"/>
          <w:sz w:val="22"/>
          <w:szCs w:val="22"/>
        </w:rPr>
        <w:t>Diemert</w:t>
      </w:r>
      <w:proofErr w:type="spellEnd"/>
      <w:r w:rsidRPr="00D86CD2">
        <w:rPr>
          <w:rFonts w:ascii="Helvetica" w:eastAsia="Helvetica Neue" w:hAnsi="Helvetica" w:cs="Helvetica Neue"/>
          <w:color w:val="000000"/>
          <w:sz w:val="22"/>
          <w:szCs w:val="22"/>
        </w:rPr>
        <w:t xml:space="preserve"> was of Eliot’ position regarding it.</w:t>
      </w:r>
    </w:p>
    <w:p w14:paraId="00000019"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eastAsia="Helvetica Neue" w:hAnsi="Helvetica" w:cs="Helvetica Neue"/>
          <w:color w:val="000000"/>
          <w:sz w:val="22"/>
          <w:szCs w:val="22"/>
        </w:rPr>
        <w:t>All along his essay, Head identified some facts that demonstrate Hol</w:t>
      </w:r>
      <w:r w:rsidRPr="00D86CD2">
        <w:rPr>
          <w:rFonts w:ascii="Helvetica" w:eastAsia="Helvetica Neue" w:hAnsi="Helvetica" w:cs="Helvetica Neue"/>
          <w:color w:val="000000"/>
          <w:sz w:val="22"/>
          <w:szCs w:val="22"/>
        </w:rPr>
        <w:t xml:space="preserve">st’ genuine interest in astrology: Holst was part of the Theosophical milieu, had closed relationships with other composers and scholars that shared the same interest in other cultures and philosophies and in a situation of depression had took the subject </w:t>
      </w:r>
      <w:r w:rsidRPr="00D86CD2">
        <w:rPr>
          <w:rFonts w:ascii="Helvetica" w:eastAsia="Helvetica Neue" w:hAnsi="Helvetica" w:cs="Helvetica Neue"/>
          <w:color w:val="000000"/>
          <w:sz w:val="22"/>
          <w:szCs w:val="22"/>
        </w:rPr>
        <w:t>of astrology even further in hope to better understand himself and his future. In Head’s opinion “… he must have been curious about his own future…and would be helped by the astrological chart, which Holst realized was a map of his own psyche”.</w:t>
      </w:r>
      <w:r w:rsidRPr="00D86CD2">
        <w:rPr>
          <w:rStyle w:val="Refdenotaderodap"/>
          <w:rFonts w:ascii="Helvetica" w:eastAsia="Helvetica Neue" w:hAnsi="Helvetica"/>
          <w:sz w:val="22"/>
          <w:szCs w:val="22"/>
        </w:rPr>
        <w:footnoteReference w:id="12"/>
      </w:r>
      <w:r w:rsidRPr="00D86CD2">
        <w:rPr>
          <w:rFonts w:ascii="Helvetica" w:eastAsia="Helvetica Neue" w:hAnsi="Helvetica" w:cs="Helvetica Neue"/>
          <w:color w:val="000000"/>
          <w:sz w:val="22"/>
          <w:szCs w:val="22"/>
        </w:rPr>
        <w:t xml:space="preserve"> ‘The Plane</w:t>
      </w:r>
      <w:r w:rsidRPr="00D86CD2">
        <w:rPr>
          <w:rFonts w:ascii="Helvetica" w:eastAsia="Helvetica Neue" w:hAnsi="Helvetica" w:cs="Helvetica Neue"/>
          <w:color w:val="000000"/>
          <w:sz w:val="22"/>
          <w:szCs w:val="22"/>
        </w:rPr>
        <w:t>ts’ might be the ultimate confirmation of Holst’ sincere interest in Astrology, a composition that, as he described, “deals with seven influences of destiny and constituents of our spirit”.</w:t>
      </w:r>
      <w:r w:rsidRPr="00D86CD2">
        <w:rPr>
          <w:rStyle w:val="Refdenotaderodap"/>
          <w:rFonts w:ascii="Helvetica" w:eastAsia="Helvetica Neue" w:hAnsi="Helvetica"/>
          <w:sz w:val="22"/>
          <w:szCs w:val="22"/>
        </w:rPr>
        <w:footnoteReference w:id="13"/>
      </w:r>
    </w:p>
    <w:p w14:paraId="0000001A"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eastAsia="Helvetica Neue" w:hAnsi="Helvetica" w:cs="Helvetica Neue"/>
          <w:color w:val="000000"/>
          <w:sz w:val="22"/>
          <w:szCs w:val="22"/>
        </w:rPr>
        <w:t xml:space="preserve">In spite of Eliot’ dedication to the study of Eastern traditions </w:t>
      </w:r>
      <w:r w:rsidRPr="00D86CD2">
        <w:rPr>
          <w:rFonts w:ascii="Helvetica" w:eastAsia="Helvetica Neue" w:hAnsi="Helvetica" w:cs="Helvetica Neue"/>
          <w:color w:val="000000"/>
          <w:sz w:val="22"/>
          <w:szCs w:val="22"/>
        </w:rPr>
        <w:t xml:space="preserve">and philosophy, and his apparent interest in the occult and mysticism, astrology might have been relegated, as </w:t>
      </w:r>
      <w:proofErr w:type="spellStart"/>
      <w:r w:rsidRPr="00D86CD2">
        <w:rPr>
          <w:rFonts w:ascii="Helvetica" w:eastAsia="Helvetica Neue" w:hAnsi="Helvetica" w:cs="Helvetica Neue"/>
          <w:color w:val="000000"/>
          <w:sz w:val="22"/>
          <w:szCs w:val="22"/>
        </w:rPr>
        <w:t>Diemert</w:t>
      </w:r>
      <w:proofErr w:type="spellEnd"/>
      <w:r w:rsidRPr="00D86CD2">
        <w:rPr>
          <w:rFonts w:ascii="Helvetica" w:eastAsia="Helvetica Neue" w:hAnsi="Helvetica" w:cs="Helvetica Neue"/>
          <w:color w:val="000000"/>
          <w:sz w:val="22"/>
          <w:szCs w:val="22"/>
        </w:rPr>
        <w:t xml:space="preserve"> referred </w:t>
      </w:r>
      <w:r w:rsidRPr="00D86CD2">
        <w:rPr>
          <w:rFonts w:ascii="Helvetica" w:eastAsia="Helvetica Neue" w:hAnsi="Helvetica" w:cs="Helvetica Neue"/>
          <w:color w:val="000000"/>
          <w:sz w:val="22"/>
          <w:szCs w:val="22"/>
        </w:rPr>
        <w:lastRenderedPageBreak/>
        <w:t>that “Eliot’s possible and quite probable interest in astrology tend to pale”.</w:t>
      </w:r>
      <w:r w:rsidRPr="00D86CD2">
        <w:rPr>
          <w:rStyle w:val="Refdenotaderodap"/>
          <w:rFonts w:ascii="Helvetica" w:eastAsia="Helvetica Neue" w:hAnsi="Helvetica"/>
          <w:sz w:val="22"/>
          <w:szCs w:val="22"/>
        </w:rPr>
        <w:footnoteReference w:id="14"/>
      </w:r>
      <w:r w:rsidRPr="00D86CD2">
        <w:rPr>
          <w:rFonts w:ascii="Helvetica" w:eastAsia="Helvetica Neue" w:hAnsi="Helvetica" w:cs="Helvetica Neue"/>
          <w:color w:val="000000"/>
          <w:sz w:val="22"/>
          <w:szCs w:val="22"/>
        </w:rPr>
        <w:t xml:space="preserve"> Eliot seemed to express distinct points of view regarding astrology throughout his life. </w:t>
      </w:r>
      <w:proofErr w:type="spellStart"/>
      <w:r w:rsidRPr="00D86CD2">
        <w:rPr>
          <w:rFonts w:ascii="Helvetica" w:eastAsia="Helvetica Neue" w:hAnsi="Helvetica" w:cs="Helvetica Neue"/>
          <w:color w:val="000000"/>
          <w:sz w:val="22"/>
          <w:szCs w:val="22"/>
        </w:rPr>
        <w:t>Diemert</w:t>
      </w:r>
      <w:proofErr w:type="spellEnd"/>
      <w:r w:rsidRPr="00D86CD2">
        <w:rPr>
          <w:rFonts w:ascii="Helvetica" w:eastAsia="Helvetica Neue" w:hAnsi="Helvetica" w:cs="Helvetica Neue"/>
          <w:color w:val="000000"/>
          <w:sz w:val="22"/>
          <w:szCs w:val="22"/>
        </w:rPr>
        <w:t xml:space="preserve"> sought for some back up, introducing some scholars’ opinion about the astrological references in Eliot’ poems. He found some constructive references and some </w:t>
      </w:r>
      <w:r w:rsidRPr="00D86CD2">
        <w:rPr>
          <w:rFonts w:ascii="Helvetica" w:eastAsia="Helvetica Neue" w:hAnsi="Helvetica" w:cs="Helvetica Neue"/>
          <w:color w:val="000000"/>
          <w:sz w:val="22"/>
          <w:szCs w:val="22"/>
        </w:rPr>
        <w:t>with pejorative meaning, making it difficult to get a concise answer regarding Eliot’s personal opinion of astrology.</w:t>
      </w:r>
    </w:p>
    <w:p w14:paraId="0000001C" w14:textId="77777777" w:rsidR="000E0E90" w:rsidRPr="00D86CD2" w:rsidRDefault="000E0E90">
      <w:pPr>
        <w:pBdr>
          <w:top w:val="nil"/>
          <w:left w:val="nil"/>
          <w:bottom w:val="nil"/>
          <w:right w:val="nil"/>
          <w:between w:val="nil"/>
        </w:pBdr>
        <w:spacing w:line="360" w:lineRule="auto"/>
        <w:rPr>
          <w:rFonts w:ascii="Helvetica" w:eastAsia="Helvetica Neue" w:hAnsi="Helvetica" w:cs="Helvetica Neue"/>
          <w:color w:val="000000"/>
          <w:sz w:val="22"/>
          <w:szCs w:val="22"/>
        </w:rPr>
      </w:pPr>
    </w:p>
    <w:p w14:paraId="0000001D" w14:textId="282E325B" w:rsidR="000E0E90" w:rsidRPr="00D86CD2" w:rsidRDefault="00363BD7">
      <w:pPr>
        <w:pBdr>
          <w:top w:val="nil"/>
          <w:left w:val="nil"/>
          <w:bottom w:val="nil"/>
          <w:right w:val="nil"/>
          <w:between w:val="nil"/>
        </w:pBdr>
        <w:spacing w:line="360" w:lineRule="auto"/>
        <w:rPr>
          <w:rFonts w:ascii="Helvetica" w:eastAsia="Helvetica Neue" w:hAnsi="Helvetica" w:cs="Helvetica Neue"/>
          <w:b/>
          <w:bCs/>
          <w:color w:val="000000"/>
          <w:sz w:val="22"/>
          <w:szCs w:val="22"/>
        </w:rPr>
      </w:pPr>
      <w:r w:rsidRPr="00D86CD2">
        <w:rPr>
          <w:rFonts w:ascii="Helvetica" w:eastAsia="Helvetica Neue" w:hAnsi="Helvetica" w:cs="Helvetica Neue"/>
          <w:b/>
          <w:bCs/>
          <w:color w:val="000000"/>
          <w:sz w:val="22"/>
          <w:szCs w:val="22"/>
        </w:rPr>
        <w:t>C</w:t>
      </w:r>
      <w:r w:rsidR="00D86CD2" w:rsidRPr="00D86CD2">
        <w:rPr>
          <w:rFonts w:ascii="Helvetica" w:eastAsia="Helvetica Neue" w:hAnsi="Helvetica" w:cs="Helvetica Neue"/>
          <w:b/>
          <w:bCs/>
          <w:color w:val="000000"/>
          <w:sz w:val="22"/>
          <w:szCs w:val="22"/>
        </w:rPr>
        <w:t>onclusion</w:t>
      </w:r>
    </w:p>
    <w:p w14:paraId="0000001E" w14:textId="77777777" w:rsidR="000E0E90" w:rsidRPr="00D86CD2" w:rsidRDefault="00363BD7">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eastAsia="Helvetica Neue" w:hAnsi="Helvetica" w:cs="Helvetica Neue"/>
          <w:color w:val="000000"/>
          <w:sz w:val="22"/>
          <w:szCs w:val="22"/>
        </w:rPr>
        <w:t>This essay compared and contrasted two papers that shared the subject matter of “Astrology” and “Culture”. The main purpose o</w:t>
      </w:r>
      <w:r w:rsidRPr="00D86CD2">
        <w:rPr>
          <w:rFonts w:ascii="Helvetica" w:eastAsia="Helvetica Neue" w:hAnsi="Helvetica" w:cs="Helvetica Neue"/>
          <w:color w:val="000000"/>
          <w:sz w:val="22"/>
          <w:szCs w:val="22"/>
        </w:rPr>
        <w:t>f this essay was consider the papers via three themes that looked into the aspects the authors’ emphasize of the cultural context that enabled the astrological references in Holst’s composition ‘The Planets’ (1914-16) and T.S. Eliot’s poem ‘The Waste Land’</w:t>
      </w:r>
      <w:r w:rsidRPr="00D86CD2">
        <w:rPr>
          <w:rFonts w:ascii="Helvetica" w:eastAsia="Helvetica Neue" w:hAnsi="Helvetica" w:cs="Helvetica Neue"/>
          <w:color w:val="000000"/>
          <w:sz w:val="22"/>
          <w:szCs w:val="22"/>
        </w:rPr>
        <w:t xml:space="preserve"> (1922); the authors’ theories regarding the materialisation of those astrological influences on the subject’s work; and their considerations on the subject’s personal position regarding astrology.</w:t>
      </w:r>
    </w:p>
    <w:p w14:paraId="00000022" w14:textId="09A3B44D" w:rsidR="000E0E90" w:rsidRDefault="00D86CD2">
      <w:pPr>
        <w:pBdr>
          <w:top w:val="nil"/>
          <w:left w:val="nil"/>
          <w:bottom w:val="nil"/>
          <w:right w:val="nil"/>
          <w:between w:val="nil"/>
        </w:pBdr>
        <w:spacing w:line="360" w:lineRule="auto"/>
        <w:rPr>
          <w:rFonts w:ascii="Helvetica" w:eastAsia="Helvetica Neue" w:hAnsi="Helvetica" w:cs="Helvetica Neue"/>
          <w:color w:val="000000"/>
          <w:sz w:val="22"/>
          <w:szCs w:val="22"/>
        </w:rPr>
      </w:pPr>
      <w:r w:rsidRPr="00D86CD2">
        <w:rPr>
          <w:rFonts w:ascii="Helvetica" w:hAnsi="Helvetica" w:cs="Arial"/>
          <w:sz w:val="22"/>
          <w:szCs w:val="22"/>
        </w:rPr>
        <w:t>In investigating the evidence,</w:t>
      </w:r>
      <w:r w:rsidRPr="00D86CD2">
        <w:rPr>
          <w:rFonts w:ascii="Helvetica" w:hAnsi="Helvetica" w:cs="Arial"/>
          <w:sz w:val="22"/>
          <w:szCs w:val="22"/>
          <w:lang w:val="en-US"/>
        </w:rPr>
        <w:t xml:space="preserve"> </w:t>
      </w:r>
      <w:r>
        <w:rPr>
          <w:rFonts w:ascii="Helvetica" w:hAnsi="Helvetica" w:cs="Arial"/>
          <w:sz w:val="22"/>
          <w:szCs w:val="22"/>
          <w:lang w:val="en-US"/>
        </w:rPr>
        <w:t xml:space="preserve">this essay found that </w:t>
      </w:r>
      <w:r>
        <w:rPr>
          <w:rFonts w:ascii="Helvetica" w:hAnsi="Helvetica"/>
          <w:color w:val="000000" w:themeColor="text1"/>
          <w:sz w:val="22"/>
          <w:szCs w:val="22"/>
          <w:shd w:val="clear" w:color="auto" w:fill="FFFFFF"/>
        </w:rPr>
        <w:t>t</w:t>
      </w:r>
      <w:r w:rsidRPr="00D86CD2">
        <w:rPr>
          <w:rFonts w:ascii="Helvetica" w:hAnsi="Helvetica"/>
          <w:color w:val="000000" w:themeColor="text1"/>
          <w:sz w:val="22"/>
          <w:szCs w:val="22"/>
          <w:shd w:val="clear" w:color="auto" w:fill="FFFFFF"/>
        </w:rPr>
        <w:t xml:space="preserve">here are a number of important differences between </w:t>
      </w:r>
      <w:r>
        <w:rPr>
          <w:rFonts w:ascii="Helvetica" w:hAnsi="Helvetica"/>
          <w:color w:val="000000" w:themeColor="text1"/>
          <w:sz w:val="22"/>
          <w:szCs w:val="22"/>
          <w:shd w:val="clear" w:color="auto" w:fill="FFFFFF"/>
        </w:rPr>
        <w:t>Head</w:t>
      </w:r>
      <w:r w:rsidRPr="00D86CD2">
        <w:rPr>
          <w:rFonts w:ascii="Helvetica" w:hAnsi="Helvetica"/>
          <w:color w:val="000000" w:themeColor="text1"/>
          <w:sz w:val="22"/>
          <w:szCs w:val="22"/>
          <w:shd w:val="clear" w:color="auto" w:fill="FFFFFF"/>
        </w:rPr>
        <w:t xml:space="preserve"> and </w:t>
      </w:r>
      <w:proofErr w:type="spellStart"/>
      <w:r>
        <w:rPr>
          <w:rFonts w:ascii="Helvetica" w:hAnsi="Helvetica"/>
          <w:color w:val="000000" w:themeColor="text1"/>
          <w:sz w:val="22"/>
          <w:szCs w:val="22"/>
          <w:shd w:val="clear" w:color="auto" w:fill="FFFFFF"/>
        </w:rPr>
        <w:t>Diemert</w:t>
      </w:r>
      <w:proofErr w:type="spellEnd"/>
      <w:r>
        <w:rPr>
          <w:rFonts w:ascii="Helvetica" w:hAnsi="Helvetica"/>
          <w:color w:val="000000" w:themeColor="text1"/>
          <w:sz w:val="22"/>
          <w:szCs w:val="22"/>
          <w:shd w:val="clear" w:color="auto" w:fill="FFFFFF"/>
        </w:rPr>
        <w:t>’ papers</w:t>
      </w:r>
      <w:r w:rsidRPr="00D86CD2">
        <w:rPr>
          <w:rFonts w:ascii="Helvetica" w:hAnsi="Helvetica"/>
          <w:color w:val="000000" w:themeColor="text1"/>
          <w:sz w:val="22"/>
          <w:szCs w:val="22"/>
          <w:shd w:val="clear" w:color="auto" w:fill="FFFFFF"/>
        </w:rPr>
        <w:t>.</w:t>
      </w:r>
      <w:r>
        <w:rPr>
          <w:rFonts w:ascii="Helvetica" w:eastAsia="Helvetica Neue" w:hAnsi="Helvetica" w:cs="Helvetica Neue"/>
          <w:color w:val="000000" w:themeColor="text1"/>
          <w:sz w:val="22"/>
          <w:szCs w:val="22"/>
        </w:rPr>
        <w:t xml:space="preserve"> They both share the same point of departure, analysing the same cultural context, </w:t>
      </w:r>
      <w:r w:rsidRPr="00D86CD2">
        <w:rPr>
          <w:rFonts w:ascii="Helvetica" w:hAnsi="Helvetica" w:cs="Arial"/>
          <w:sz w:val="22"/>
          <w:szCs w:val="22"/>
          <w:lang w:val="en-US"/>
        </w:rPr>
        <w:t xml:space="preserve">but from two different </w:t>
      </w:r>
      <w:r>
        <w:rPr>
          <w:rFonts w:ascii="Helvetica" w:hAnsi="Helvetica" w:cs="Arial"/>
          <w:color w:val="000000" w:themeColor="text1"/>
          <w:sz w:val="22"/>
          <w:szCs w:val="22"/>
          <w:lang w:val="en-US"/>
        </w:rPr>
        <w:t>perspectives</w:t>
      </w:r>
      <w:r w:rsidR="00363BD7" w:rsidRPr="00D86CD2">
        <w:rPr>
          <w:rFonts w:ascii="Helvetica" w:eastAsia="Helvetica Neue" w:hAnsi="Helvetica" w:cs="Helvetica Neue"/>
          <w:color w:val="000000" w:themeColor="text1"/>
          <w:sz w:val="22"/>
          <w:szCs w:val="22"/>
        </w:rPr>
        <w:t xml:space="preserve">. </w:t>
      </w:r>
      <w:r w:rsidR="00363BD7" w:rsidRPr="00D86CD2">
        <w:rPr>
          <w:rFonts w:ascii="Helvetica" w:eastAsia="Helvetica Neue" w:hAnsi="Helvetica" w:cs="Helvetica Neue"/>
          <w:color w:val="000000"/>
          <w:sz w:val="22"/>
          <w:szCs w:val="22"/>
        </w:rPr>
        <w:t xml:space="preserve">Head focused on Holst experiences and friendships, </w:t>
      </w:r>
      <w:r>
        <w:rPr>
          <w:rFonts w:ascii="Helvetica" w:eastAsia="Helvetica Neue" w:hAnsi="Helvetica" w:cs="Helvetica Neue"/>
          <w:color w:val="000000"/>
          <w:sz w:val="22"/>
          <w:szCs w:val="22"/>
        </w:rPr>
        <w:t xml:space="preserve">because he </w:t>
      </w:r>
      <w:r w:rsidRPr="00D86CD2">
        <w:rPr>
          <w:rFonts w:ascii="Helvetica" w:eastAsia="Helvetica Neue" w:hAnsi="Helvetica" w:cs="Helvetica Neue"/>
          <w:color w:val="000000"/>
          <w:sz w:val="22"/>
          <w:szCs w:val="22"/>
        </w:rPr>
        <w:t>thought that the astrological reference in Holst composition was coming from his background</w:t>
      </w:r>
      <w:r>
        <w:rPr>
          <w:rFonts w:ascii="Helvetica" w:eastAsia="Helvetica Neue" w:hAnsi="Helvetica" w:cs="Helvetica Neue"/>
          <w:color w:val="000000"/>
          <w:sz w:val="22"/>
          <w:szCs w:val="22"/>
        </w:rPr>
        <w:t xml:space="preserve">. </w:t>
      </w:r>
      <w:proofErr w:type="spellStart"/>
      <w:r w:rsidR="00363BD7" w:rsidRPr="00D86CD2">
        <w:rPr>
          <w:rFonts w:ascii="Helvetica" w:eastAsia="Helvetica Neue" w:hAnsi="Helvetica" w:cs="Helvetica Neue"/>
          <w:color w:val="000000"/>
          <w:sz w:val="22"/>
          <w:szCs w:val="22"/>
        </w:rPr>
        <w:t>Diemert</w:t>
      </w:r>
      <w:proofErr w:type="spellEnd"/>
      <w:r w:rsidR="00363BD7" w:rsidRPr="00D86CD2">
        <w:rPr>
          <w:rFonts w:ascii="Helvetica" w:eastAsia="Helvetica Neue" w:hAnsi="Helvetica" w:cs="Helvetica Neue"/>
          <w:color w:val="000000"/>
          <w:sz w:val="22"/>
          <w:szCs w:val="22"/>
        </w:rPr>
        <w:t xml:space="preserve"> concentrated on the legal repercussions of the astrology practice</w:t>
      </w:r>
      <w:r>
        <w:rPr>
          <w:rFonts w:ascii="Helvetica" w:eastAsia="Helvetica Neue" w:hAnsi="Helvetica" w:cs="Helvetica Neue"/>
          <w:color w:val="000000"/>
          <w:sz w:val="22"/>
          <w:szCs w:val="22"/>
        </w:rPr>
        <w:t xml:space="preserve"> </w:t>
      </w:r>
      <w:r w:rsidR="00363BD7" w:rsidRPr="00D86CD2">
        <w:rPr>
          <w:rFonts w:ascii="Helvetica" w:eastAsia="Helvetica Neue" w:hAnsi="Helvetica" w:cs="Helvetica Neue"/>
          <w:color w:val="000000"/>
          <w:sz w:val="22"/>
          <w:szCs w:val="22"/>
        </w:rPr>
        <w:t>suggest</w:t>
      </w:r>
      <w:r>
        <w:rPr>
          <w:rFonts w:ascii="Helvetica" w:eastAsia="Helvetica Neue" w:hAnsi="Helvetica" w:cs="Helvetica Neue"/>
          <w:color w:val="000000"/>
          <w:sz w:val="22"/>
          <w:szCs w:val="22"/>
        </w:rPr>
        <w:t>ing</w:t>
      </w:r>
      <w:r w:rsidR="00363BD7" w:rsidRPr="00D86CD2">
        <w:rPr>
          <w:rFonts w:ascii="Helvetica" w:eastAsia="Helvetica Neue" w:hAnsi="Helvetica" w:cs="Helvetica Neue"/>
          <w:color w:val="000000"/>
          <w:sz w:val="22"/>
          <w:szCs w:val="22"/>
        </w:rPr>
        <w:t xml:space="preserve"> that Eliot’s astrological influence was based on the astrologer’ current situation at the time. </w:t>
      </w:r>
      <w:r w:rsidR="00363BD7" w:rsidRPr="00D86CD2">
        <w:rPr>
          <w:rFonts w:ascii="Helvetica" w:eastAsia="Helvetica Neue" w:hAnsi="Helvetica" w:cs="Helvetica Neue"/>
          <w:color w:val="000000"/>
          <w:sz w:val="22"/>
          <w:szCs w:val="22"/>
        </w:rPr>
        <w:t>Looking at the materiali</w:t>
      </w:r>
      <w:r w:rsidR="00363BD7" w:rsidRPr="00D86CD2">
        <w:rPr>
          <w:rFonts w:ascii="Helvetica" w:eastAsia="Helvetica Neue" w:hAnsi="Helvetica" w:cs="Helvetica Neue"/>
          <w:color w:val="000000"/>
          <w:sz w:val="22"/>
          <w:szCs w:val="22"/>
        </w:rPr>
        <w:t xml:space="preserve">sation of the astrological influences, it was evident that while Head considered the whole composition of Holst as the result of the influence of Alan Leo’s book ‘The Art of Synthesis’, </w:t>
      </w:r>
      <w:proofErr w:type="spellStart"/>
      <w:r w:rsidR="00363BD7" w:rsidRPr="00D86CD2">
        <w:rPr>
          <w:rFonts w:ascii="Helvetica" w:eastAsia="Helvetica Neue" w:hAnsi="Helvetica" w:cs="Helvetica Neue"/>
          <w:color w:val="000000"/>
          <w:sz w:val="22"/>
          <w:szCs w:val="22"/>
        </w:rPr>
        <w:t>Diemert</w:t>
      </w:r>
      <w:proofErr w:type="spellEnd"/>
      <w:r w:rsidR="00363BD7" w:rsidRPr="00D86CD2">
        <w:rPr>
          <w:rFonts w:ascii="Helvetica" w:eastAsia="Helvetica Neue" w:hAnsi="Helvetica" w:cs="Helvetica Neue"/>
          <w:color w:val="000000"/>
          <w:sz w:val="22"/>
          <w:szCs w:val="22"/>
        </w:rPr>
        <w:t xml:space="preserve"> pointed out only two specific lines in Eliot’s ‘The Waste Land</w:t>
      </w:r>
      <w:r w:rsidR="00363BD7" w:rsidRPr="00D86CD2">
        <w:rPr>
          <w:rFonts w:ascii="Helvetica" w:eastAsia="Helvetica Neue" w:hAnsi="Helvetica" w:cs="Helvetica Neue"/>
          <w:color w:val="000000"/>
          <w:sz w:val="22"/>
          <w:szCs w:val="22"/>
        </w:rPr>
        <w:t>’, expressed by the character ‘</w:t>
      </w:r>
      <w:proofErr w:type="spellStart"/>
      <w:r w:rsidR="00363BD7" w:rsidRPr="00D86CD2">
        <w:rPr>
          <w:rFonts w:ascii="Helvetica" w:eastAsia="Helvetica Neue" w:hAnsi="Helvetica" w:cs="Helvetica Neue"/>
          <w:color w:val="000000"/>
          <w:sz w:val="22"/>
          <w:szCs w:val="22"/>
        </w:rPr>
        <w:t>Sosostris</w:t>
      </w:r>
      <w:proofErr w:type="spellEnd"/>
      <w:r w:rsidR="00363BD7" w:rsidRPr="00D86CD2">
        <w:rPr>
          <w:rFonts w:ascii="Helvetica" w:eastAsia="Helvetica Neue" w:hAnsi="Helvetica" w:cs="Helvetica Neue"/>
          <w:color w:val="000000"/>
          <w:sz w:val="22"/>
          <w:szCs w:val="22"/>
        </w:rPr>
        <w:t xml:space="preserve">’. </w:t>
      </w:r>
      <w:r w:rsidR="00363BD7" w:rsidRPr="00D86CD2">
        <w:rPr>
          <w:rFonts w:ascii="Helvetica" w:eastAsia="Helvetica Neue" w:hAnsi="Helvetica" w:cs="Helvetica Neue"/>
          <w:color w:val="000000"/>
          <w:sz w:val="22"/>
          <w:szCs w:val="22"/>
        </w:rPr>
        <w:t>With his highly descriptive narrative, Head leaves no space for doubts concerning Holst’ personal position with respect to astrology. Gustave Ho</w:t>
      </w:r>
      <w:r w:rsidR="00363BD7" w:rsidRPr="00D86CD2">
        <w:rPr>
          <w:rFonts w:ascii="Helvetica" w:eastAsia="Helvetica Neue" w:hAnsi="Helvetica" w:cs="Helvetica Neue"/>
          <w:color w:val="000000"/>
          <w:sz w:val="22"/>
          <w:szCs w:val="22"/>
        </w:rPr>
        <w:t>st’ composition ‘The Planets’ was indeed a culmination of his dedic</w:t>
      </w:r>
      <w:r w:rsidR="00363BD7" w:rsidRPr="00D86CD2">
        <w:rPr>
          <w:rFonts w:ascii="Helvetica" w:eastAsia="Helvetica Neue" w:hAnsi="Helvetica" w:cs="Helvetica Neue"/>
          <w:color w:val="000000"/>
          <w:sz w:val="22"/>
          <w:szCs w:val="22"/>
        </w:rPr>
        <w:t xml:space="preserve">ation to the study and interest in astrology. By contrast, </w:t>
      </w:r>
      <w:proofErr w:type="spellStart"/>
      <w:r w:rsidR="00363BD7" w:rsidRPr="00D86CD2">
        <w:rPr>
          <w:rFonts w:ascii="Helvetica" w:eastAsia="Helvetica Neue" w:hAnsi="Helvetica" w:cs="Helvetica Neue"/>
          <w:color w:val="000000"/>
          <w:sz w:val="22"/>
          <w:szCs w:val="22"/>
        </w:rPr>
        <w:t>Diemert</w:t>
      </w:r>
      <w:proofErr w:type="spellEnd"/>
      <w:r w:rsidR="00363BD7" w:rsidRPr="00D86CD2">
        <w:rPr>
          <w:rFonts w:ascii="Helvetica" w:eastAsia="Helvetica Neue" w:hAnsi="Helvetica" w:cs="Helvetica Neue"/>
          <w:color w:val="000000"/>
          <w:sz w:val="22"/>
          <w:szCs w:val="22"/>
        </w:rPr>
        <w:t xml:space="preserve"> was not able to achieve a definite conclusion about the real importance astrology would have had to </w:t>
      </w:r>
      <w:proofErr w:type="spellStart"/>
      <w:r w:rsidR="00363BD7" w:rsidRPr="00D86CD2">
        <w:rPr>
          <w:rFonts w:ascii="Helvetica" w:eastAsia="Helvetica Neue" w:hAnsi="Helvetica" w:cs="Helvetica Neue"/>
          <w:color w:val="000000"/>
          <w:sz w:val="22"/>
          <w:szCs w:val="22"/>
        </w:rPr>
        <w:t>T.</w:t>
      </w:r>
      <w:proofErr w:type="gramStart"/>
      <w:r w:rsidR="00363BD7" w:rsidRPr="00D86CD2">
        <w:rPr>
          <w:rFonts w:ascii="Helvetica" w:eastAsia="Helvetica Neue" w:hAnsi="Helvetica" w:cs="Helvetica Neue"/>
          <w:color w:val="000000"/>
          <w:sz w:val="22"/>
          <w:szCs w:val="22"/>
        </w:rPr>
        <w:t>S.Eliot</w:t>
      </w:r>
      <w:proofErr w:type="spellEnd"/>
      <w:proofErr w:type="gramEnd"/>
      <w:r w:rsidR="00363BD7" w:rsidRPr="00D86CD2">
        <w:rPr>
          <w:rFonts w:ascii="Helvetica" w:eastAsia="Helvetica Neue" w:hAnsi="Helvetica" w:cs="Helvetica Neue"/>
          <w:color w:val="000000"/>
          <w:sz w:val="22"/>
          <w:szCs w:val="22"/>
        </w:rPr>
        <w:t xml:space="preserve">. </w:t>
      </w:r>
    </w:p>
    <w:p w14:paraId="7D449AD3" w14:textId="77777777" w:rsidR="00D86CD2" w:rsidRPr="00D86CD2" w:rsidRDefault="00D86CD2">
      <w:pPr>
        <w:pBdr>
          <w:top w:val="nil"/>
          <w:left w:val="nil"/>
          <w:bottom w:val="nil"/>
          <w:right w:val="nil"/>
          <w:between w:val="nil"/>
        </w:pBdr>
        <w:spacing w:line="360" w:lineRule="auto"/>
        <w:rPr>
          <w:rFonts w:ascii="Helvetica" w:eastAsia="Helvetica Neue" w:hAnsi="Helvetica" w:cs="Helvetica Neue"/>
          <w:color w:val="000000"/>
          <w:sz w:val="22"/>
          <w:szCs w:val="22"/>
        </w:rPr>
      </w:pPr>
      <w:bookmarkStart w:id="1" w:name="_GoBack"/>
      <w:bookmarkEnd w:id="1"/>
    </w:p>
    <w:p w14:paraId="00000023" w14:textId="77777777" w:rsidR="000E0E90" w:rsidRPr="00D86CD2" w:rsidRDefault="000E0E90">
      <w:pPr>
        <w:pBdr>
          <w:top w:val="nil"/>
          <w:left w:val="nil"/>
          <w:bottom w:val="nil"/>
          <w:right w:val="nil"/>
          <w:between w:val="nil"/>
        </w:pBdr>
        <w:spacing w:line="360" w:lineRule="auto"/>
        <w:rPr>
          <w:rFonts w:ascii="Helvetica" w:eastAsia="Helvetica Neue" w:hAnsi="Helvetica" w:cs="Helvetica Neue"/>
          <w:color w:val="000000"/>
          <w:sz w:val="22"/>
          <w:szCs w:val="22"/>
        </w:rPr>
      </w:pPr>
    </w:p>
    <w:p w14:paraId="00000024" w14:textId="77777777" w:rsidR="000E0E90" w:rsidRPr="00D86CD2" w:rsidRDefault="000E0E90">
      <w:pPr>
        <w:pBdr>
          <w:top w:val="nil"/>
          <w:left w:val="nil"/>
          <w:bottom w:val="nil"/>
          <w:right w:val="nil"/>
          <w:between w:val="nil"/>
        </w:pBdr>
        <w:spacing w:line="360" w:lineRule="auto"/>
        <w:rPr>
          <w:rFonts w:ascii="Helvetica" w:eastAsia="Helvetica Neue" w:hAnsi="Helvetica" w:cs="Helvetica Neue"/>
          <w:color w:val="000000"/>
          <w:sz w:val="22"/>
          <w:szCs w:val="22"/>
        </w:rPr>
      </w:pPr>
    </w:p>
    <w:sectPr w:rsidR="000E0E90" w:rsidRPr="00D86CD2">
      <w:headerReference w:type="default" r:id="rId6"/>
      <w:footerReference w:type="default" r:id="rId7"/>
      <w:pgSz w:w="11906" w:h="16838"/>
      <w:pgMar w:top="1418" w:right="1247" w:bottom="1418" w:left="1247" w:header="709" w:footer="113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660ABD" w14:textId="77777777" w:rsidR="00363BD7" w:rsidRDefault="00363BD7">
      <w:r>
        <w:separator/>
      </w:r>
    </w:p>
  </w:endnote>
  <w:endnote w:type="continuationSeparator" w:id="0">
    <w:p w14:paraId="70C79F1C" w14:textId="77777777" w:rsidR="00363BD7" w:rsidRDefault="00363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35" w14:textId="77777777" w:rsidR="000E0E90" w:rsidRDefault="000E0E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52D443" w14:textId="77777777" w:rsidR="00363BD7" w:rsidRDefault="00363BD7">
      <w:r>
        <w:separator/>
      </w:r>
    </w:p>
  </w:footnote>
  <w:footnote w:type="continuationSeparator" w:id="0">
    <w:p w14:paraId="01CE92C5" w14:textId="77777777" w:rsidR="00363BD7" w:rsidRDefault="00363BD7">
      <w:r>
        <w:continuationSeparator/>
      </w:r>
    </w:p>
  </w:footnote>
  <w:footnote w:id="1">
    <w:p w14:paraId="00000025" w14:textId="77777777" w:rsidR="000E0E90" w:rsidRDefault="00363BD7">
      <w:pPr>
        <w:pBdr>
          <w:top w:val="nil"/>
          <w:left w:val="nil"/>
          <w:bottom w:val="nil"/>
          <w:right w:val="nil"/>
          <w:between w:val="nil"/>
        </w:pBdr>
        <w:rPr>
          <w:color w:val="000000"/>
          <w:sz w:val="20"/>
          <w:szCs w:val="20"/>
        </w:rPr>
      </w:pPr>
      <w:r w:rsidRPr="00D86CD2">
        <w:rPr>
          <w:rStyle w:val="Refdenotaderodap"/>
        </w:rPr>
        <w:footnoteRef/>
      </w:r>
      <w:r>
        <w:rPr>
          <w:color w:val="000000"/>
          <w:sz w:val="20"/>
          <w:szCs w:val="20"/>
        </w:rPr>
        <w:t xml:space="preserve"> Patrick Curry, </w:t>
      </w:r>
      <w:r>
        <w:rPr>
          <w:i/>
          <w:color w:val="000000"/>
          <w:sz w:val="20"/>
          <w:szCs w:val="20"/>
        </w:rPr>
        <w:t>Prophecy and Power: Astrology in Early Modern England.</w:t>
      </w:r>
      <w:r>
        <w:rPr>
          <w:color w:val="000000"/>
          <w:sz w:val="20"/>
          <w:szCs w:val="20"/>
        </w:rPr>
        <w:t xml:space="preserve"> (Princeton, New Jersey: Princeton University Press, 1989</w:t>
      </w:r>
      <w:proofErr w:type="gramStart"/>
      <w:r>
        <w:rPr>
          <w:color w:val="000000"/>
          <w:sz w:val="20"/>
          <w:szCs w:val="20"/>
        </w:rPr>
        <w:t>).p.</w:t>
      </w:r>
      <w:proofErr w:type="gramEnd"/>
      <w:r>
        <w:rPr>
          <w:color w:val="000000"/>
          <w:sz w:val="20"/>
          <w:szCs w:val="20"/>
        </w:rPr>
        <w:t>1.</w:t>
      </w:r>
    </w:p>
    <w:p w14:paraId="00000026" w14:textId="77777777" w:rsidR="000E0E90" w:rsidRDefault="00363BD7">
      <w:pPr>
        <w:pBdr>
          <w:top w:val="nil"/>
          <w:left w:val="nil"/>
          <w:bottom w:val="nil"/>
          <w:right w:val="nil"/>
          <w:between w:val="nil"/>
        </w:pBdr>
        <w:rPr>
          <w:color w:val="000000"/>
          <w:sz w:val="20"/>
          <w:szCs w:val="20"/>
        </w:rPr>
      </w:pPr>
      <w:bookmarkStart w:id="0" w:name="_gjdgxs" w:colFirst="0" w:colLast="0"/>
      <w:bookmarkEnd w:id="0"/>
      <w:r>
        <w:rPr>
          <w:color w:val="000000"/>
          <w:sz w:val="20"/>
          <w:szCs w:val="20"/>
        </w:rPr>
        <w:t>Patrick Curry</w:t>
      </w:r>
      <w:r>
        <w:rPr>
          <w:i/>
          <w:color w:val="000000"/>
          <w:sz w:val="20"/>
          <w:szCs w:val="20"/>
        </w:rPr>
        <w:t xml:space="preserve">, ‘Astrology’, in Boyd, Kelly (Ed.) </w:t>
      </w:r>
      <w:proofErr w:type="spellStart"/>
      <w:r>
        <w:rPr>
          <w:i/>
          <w:color w:val="000000"/>
          <w:sz w:val="20"/>
          <w:szCs w:val="20"/>
        </w:rPr>
        <w:t>Encyclopedia</w:t>
      </w:r>
      <w:proofErr w:type="spellEnd"/>
      <w:r>
        <w:rPr>
          <w:i/>
          <w:color w:val="000000"/>
          <w:sz w:val="20"/>
          <w:szCs w:val="20"/>
        </w:rPr>
        <w:t xml:space="preserve"> of Historians and Historical Writing, 2 Vol.</w:t>
      </w:r>
      <w:r>
        <w:rPr>
          <w:color w:val="000000"/>
          <w:sz w:val="20"/>
          <w:szCs w:val="20"/>
        </w:rPr>
        <w:t xml:space="preserve"> (London: Fitzroy Dearborn Publishers, 1999</w:t>
      </w:r>
      <w:proofErr w:type="gramStart"/>
      <w:r>
        <w:rPr>
          <w:color w:val="000000"/>
          <w:sz w:val="20"/>
          <w:szCs w:val="20"/>
        </w:rPr>
        <w:t>).p</w:t>
      </w:r>
      <w:proofErr w:type="gramEnd"/>
      <w:r>
        <w:rPr>
          <w:color w:val="000000"/>
          <w:sz w:val="20"/>
          <w:szCs w:val="20"/>
        </w:rPr>
        <w:t>55.</w:t>
      </w:r>
    </w:p>
  </w:footnote>
  <w:footnote w:id="2">
    <w:p w14:paraId="00000027" w14:textId="77777777" w:rsidR="000E0E90" w:rsidRDefault="00363BD7">
      <w:pPr>
        <w:pBdr>
          <w:top w:val="nil"/>
          <w:left w:val="nil"/>
          <w:bottom w:val="nil"/>
          <w:right w:val="nil"/>
          <w:between w:val="nil"/>
        </w:pBdr>
        <w:rPr>
          <w:color w:val="000000"/>
          <w:sz w:val="20"/>
          <w:szCs w:val="20"/>
        </w:rPr>
      </w:pPr>
      <w:r w:rsidRPr="00D86CD2">
        <w:rPr>
          <w:rStyle w:val="Refdenotaderodap"/>
        </w:rPr>
        <w:footnoteRef/>
      </w:r>
      <w:r>
        <w:rPr>
          <w:color w:val="000000"/>
          <w:sz w:val="20"/>
          <w:szCs w:val="20"/>
        </w:rPr>
        <w:t xml:space="preserve"> Clifford Geertz, </w:t>
      </w:r>
      <w:r>
        <w:rPr>
          <w:i/>
          <w:color w:val="000000"/>
          <w:sz w:val="20"/>
          <w:szCs w:val="20"/>
        </w:rPr>
        <w:t>The Interpretatio</w:t>
      </w:r>
      <w:r>
        <w:rPr>
          <w:i/>
          <w:color w:val="000000"/>
          <w:sz w:val="20"/>
          <w:szCs w:val="20"/>
        </w:rPr>
        <w:t>n Of Cultures</w:t>
      </w:r>
      <w:r>
        <w:rPr>
          <w:color w:val="000000"/>
          <w:sz w:val="20"/>
          <w:szCs w:val="20"/>
        </w:rPr>
        <w:t xml:space="preserve"> (Basic Books, 1973</w:t>
      </w:r>
      <w:proofErr w:type="gramStart"/>
      <w:r>
        <w:rPr>
          <w:color w:val="000000"/>
          <w:sz w:val="20"/>
          <w:szCs w:val="20"/>
        </w:rPr>
        <w:t>).p.</w:t>
      </w:r>
      <w:proofErr w:type="gramEnd"/>
      <w:r>
        <w:rPr>
          <w:color w:val="000000"/>
          <w:sz w:val="20"/>
          <w:szCs w:val="20"/>
        </w:rPr>
        <w:t>99.</w:t>
      </w:r>
    </w:p>
  </w:footnote>
  <w:footnote w:id="3">
    <w:p w14:paraId="00000028" w14:textId="77777777" w:rsidR="000E0E90" w:rsidRDefault="00363BD7">
      <w:pPr>
        <w:pBdr>
          <w:top w:val="nil"/>
          <w:left w:val="nil"/>
          <w:bottom w:val="nil"/>
          <w:right w:val="nil"/>
          <w:between w:val="nil"/>
        </w:pBdr>
        <w:rPr>
          <w:color w:val="000000"/>
          <w:sz w:val="20"/>
          <w:szCs w:val="20"/>
        </w:rPr>
      </w:pPr>
      <w:r w:rsidRPr="00D86CD2">
        <w:rPr>
          <w:rStyle w:val="Refdenotaderodap"/>
        </w:rPr>
        <w:footnoteRef/>
      </w:r>
      <w:r>
        <w:rPr>
          <w:color w:val="000000"/>
          <w:sz w:val="20"/>
          <w:szCs w:val="20"/>
        </w:rPr>
        <w:t xml:space="preserve"> Raymond Head, ‘Holst - Astrology and Modernism in “The Planets”’, </w:t>
      </w:r>
      <w:r>
        <w:rPr>
          <w:i/>
          <w:color w:val="000000"/>
          <w:sz w:val="20"/>
          <w:szCs w:val="20"/>
        </w:rPr>
        <w:t>Tempo</w:t>
      </w:r>
      <w:r>
        <w:rPr>
          <w:color w:val="000000"/>
          <w:sz w:val="20"/>
          <w:szCs w:val="20"/>
        </w:rPr>
        <w:t>, 187, 1993, 15-</w:t>
      </w:r>
      <w:proofErr w:type="gramStart"/>
      <w:r>
        <w:rPr>
          <w:color w:val="000000"/>
          <w:sz w:val="20"/>
          <w:szCs w:val="20"/>
        </w:rPr>
        <w:t>22.p.</w:t>
      </w:r>
      <w:proofErr w:type="gramEnd"/>
      <w:r>
        <w:rPr>
          <w:color w:val="000000"/>
          <w:sz w:val="20"/>
          <w:szCs w:val="20"/>
        </w:rPr>
        <w:t>15.</w:t>
      </w:r>
    </w:p>
  </w:footnote>
  <w:footnote w:id="4">
    <w:p w14:paraId="00000029" w14:textId="77777777" w:rsidR="000E0E90" w:rsidRDefault="00363BD7">
      <w:pPr>
        <w:pBdr>
          <w:top w:val="nil"/>
          <w:left w:val="nil"/>
          <w:bottom w:val="nil"/>
          <w:right w:val="nil"/>
          <w:between w:val="nil"/>
        </w:pBdr>
        <w:rPr>
          <w:color w:val="000000"/>
          <w:sz w:val="20"/>
          <w:szCs w:val="20"/>
        </w:rPr>
      </w:pPr>
      <w:r w:rsidRPr="00D86CD2">
        <w:rPr>
          <w:rStyle w:val="Refdenotaderodap"/>
        </w:rPr>
        <w:footnoteRef/>
      </w:r>
      <w:r>
        <w:rPr>
          <w:color w:val="000000"/>
          <w:sz w:val="20"/>
          <w:szCs w:val="20"/>
        </w:rPr>
        <w:t xml:space="preserve"> Head.p.15.</w:t>
      </w:r>
    </w:p>
  </w:footnote>
  <w:footnote w:id="5">
    <w:p w14:paraId="0000002A" w14:textId="77777777" w:rsidR="000E0E90" w:rsidRDefault="00363BD7">
      <w:pPr>
        <w:pBdr>
          <w:top w:val="nil"/>
          <w:left w:val="nil"/>
          <w:bottom w:val="nil"/>
          <w:right w:val="nil"/>
          <w:between w:val="nil"/>
        </w:pBdr>
        <w:rPr>
          <w:color w:val="000000"/>
          <w:sz w:val="20"/>
          <w:szCs w:val="20"/>
        </w:rPr>
      </w:pPr>
      <w:r w:rsidRPr="00D86CD2">
        <w:rPr>
          <w:rStyle w:val="Refdenotaderodap"/>
        </w:rPr>
        <w:footnoteRef/>
      </w:r>
      <w:r>
        <w:rPr>
          <w:color w:val="000000"/>
          <w:sz w:val="20"/>
          <w:szCs w:val="20"/>
        </w:rPr>
        <w:t xml:space="preserve"> Head.p.21.</w:t>
      </w:r>
    </w:p>
  </w:footnote>
  <w:footnote w:id="6">
    <w:p w14:paraId="0000002B" w14:textId="77777777" w:rsidR="000E0E90" w:rsidRDefault="00363BD7">
      <w:pPr>
        <w:pBdr>
          <w:top w:val="nil"/>
          <w:left w:val="nil"/>
          <w:bottom w:val="nil"/>
          <w:right w:val="nil"/>
          <w:between w:val="nil"/>
        </w:pBdr>
        <w:rPr>
          <w:color w:val="000000"/>
          <w:sz w:val="20"/>
          <w:szCs w:val="20"/>
        </w:rPr>
      </w:pPr>
      <w:r w:rsidRPr="00D86CD2">
        <w:rPr>
          <w:rStyle w:val="Refdenotaderodap"/>
        </w:rPr>
        <w:footnoteRef/>
      </w:r>
      <w:r>
        <w:rPr>
          <w:color w:val="000000"/>
          <w:sz w:val="20"/>
          <w:szCs w:val="20"/>
        </w:rPr>
        <w:t xml:space="preserve"> Brian </w:t>
      </w:r>
      <w:proofErr w:type="spellStart"/>
      <w:r>
        <w:rPr>
          <w:color w:val="000000"/>
          <w:sz w:val="20"/>
          <w:szCs w:val="20"/>
        </w:rPr>
        <w:t>Diemert</w:t>
      </w:r>
      <w:proofErr w:type="spellEnd"/>
      <w:r>
        <w:rPr>
          <w:color w:val="000000"/>
          <w:sz w:val="20"/>
          <w:szCs w:val="20"/>
        </w:rPr>
        <w:t>, ‘The Trials of Astrology in T.S. Eliot’s “The Waste Land”: A Gloss on Lines</w:t>
      </w:r>
      <w:r>
        <w:rPr>
          <w:color w:val="000000"/>
          <w:sz w:val="20"/>
          <w:szCs w:val="20"/>
        </w:rPr>
        <w:t xml:space="preserve"> 57-59’, </w:t>
      </w:r>
      <w:r>
        <w:rPr>
          <w:i/>
          <w:color w:val="000000"/>
          <w:sz w:val="20"/>
          <w:szCs w:val="20"/>
        </w:rPr>
        <w:t>Journal of Modern Literature</w:t>
      </w:r>
      <w:r>
        <w:rPr>
          <w:color w:val="000000"/>
          <w:sz w:val="20"/>
          <w:szCs w:val="20"/>
        </w:rPr>
        <w:t>, 22.1 (1998), 175–</w:t>
      </w:r>
      <w:proofErr w:type="gramStart"/>
      <w:r>
        <w:rPr>
          <w:color w:val="000000"/>
          <w:sz w:val="20"/>
          <w:szCs w:val="20"/>
        </w:rPr>
        <w:t>81.p.</w:t>
      </w:r>
      <w:proofErr w:type="gramEnd"/>
      <w:r>
        <w:rPr>
          <w:color w:val="000000"/>
          <w:sz w:val="20"/>
          <w:szCs w:val="20"/>
        </w:rPr>
        <w:t>176</w:t>
      </w:r>
    </w:p>
  </w:footnote>
  <w:footnote w:id="7">
    <w:p w14:paraId="0000002C" w14:textId="77777777" w:rsidR="000E0E90" w:rsidRDefault="00363BD7">
      <w:pPr>
        <w:pBdr>
          <w:top w:val="nil"/>
          <w:left w:val="nil"/>
          <w:bottom w:val="nil"/>
          <w:right w:val="nil"/>
          <w:between w:val="nil"/>
        </w:pBdr>
        <w:rPr>
          <w:color w:val="000000"/>
          <w:sz w:val="20"/>
          <w:szCs w:val="20"/>
        </w:rPr>
      </w:pPr>
      <w:r w:rsidRPr="00D86CD2">
        <w:rPr>
          <w:rStyle w:val="Refdenotaderodap"/>
        </w:rPr>
        <w:footnoteRef/>
      </w:r>
      <w:r>
        <w:rPr>
          <w:color w:val="000000"/>
          <w:sz w:val="20"/>
          <w:szCs w:val="20"/>
        </w:rPr>
        <w:t xml:space="preserve"> Head.p.18</w:t>
      </w:r>
    </w:p>
  </w:footnote>
  <w:footnote w:id="8">
    <w:p w14:paraId="0000002D" w14:textId="77777777" w:rsidR="000E0E90" w:rsidRDefault="00363BD7">
      <w:pPr>
        <w:pBdr>
          <w:top w:val="nil"/>
          <w:left w:val="nil"/>
          <w:bottom w:val="nil"/>
          <w:right w:val="nil"/>
          <w:between w:val="nil"/>
        </w:pBdr>
        <w:rPr>
          <w:color w:val="000000"/>
          <w:sz w:val="20"/>
          <w:szCs w:val="20"/>
        </w:rPr>
      </w:pPr>
      <w:r w:rsidRPr="00D86CD2">
        <w:rPr>
          <w:rStyle w:val="Refdenotaderodap"/>
        </w:rPr>
        <w:footnoteRef/>
      </w:r>
      <w:r>
        <w:rPr>
          <w:color w:val="000000"/>
          <w:sz w:val="20"/>
          <w:szCs w:val="20"/>
        </w:rPr>
        <w:t xml:space="preserve"> Head.p.19.</w:t>
      </w:r>
    </w:p>
  </w:footnote>
  <w:footnote w:id="9">
    <w:p w14:paraId="0000002E" w14:textId="77777777" w:rsidR="000E0E90" w:rsidRDefault="00363BD7">
      <w:pPr>
        <w:pBdr>
          <w:top w:val="nil"/>
          <w:left w:val="nil"/>
          <w:bottom w:val="nil"/>
          <w:right w:val="nil"/>
          <w:between w:val="nil"/>
        </w:pBdr>
        <w:rPr>
          <w:color w:val="000000"/>
          <w:sz w:val="20"/>
          <w:szCs w:val="20"/>
        </w:rPr>
      </w:pPr>
      <w:r w:rsidRPr="00D86CD2">
        <w:rPr>
          <w:rStyle w:val="Refdenotaderodap"/>
        </w:rPr>
        <w:footnoteRef/>
      </w:r>
      <w:r>
        <w:rPr>
          <w:color w:val="000000"/>
          <w:sz w:val="20"/>
          <w:szCs w:val="20"/>
        </w:rPr>
        <w:t xml:space="preserve"> Diemert.p.177.</w:t>
      </w:r>
    </w:p>
  </w:footnote>
  <w:footnote w:id="10">
    <w:p w14:paraId="0000002F" w14:textId="77777777" w:rsidR="000E0E90" w:rsidRDefault="00363BD7">
      <w:pPr>
        <w:pBdr>
          <w:top w:val="nil"/>
          <w:left w:val="nil"/>
          <w:bottom w:val="nil"/>
          <w:right w:val="nil"/>
          <w:between w:val="nil"/>
        </w:pBdr>
        <w:rPr>
          <w:color w:val="000000"/>
          <w:sz w:val="20"/>
          <w:szCs w:val="20"/>
        </w:rPr>
      </w:pPr>
      <w:r w:rsidRPr="00D86CD2">
        <w:rPr>
          <w:rStyle w:val="Refdenotaderodap"/>
        </w:rPr>
        <w:footnoteRef/>
      </w:r>
      <w:r>
        <w:rPr>
          <w:color w:val="000000"/>
          <w:sz w:val="20"/>
          <w:szCs w:val="20"/>
        </w:rPr>
        <w:t xml:space="preserve"> Diemert.p.175</w:t>
      </w:r>
    </w:p>
  </w:footnote>
  <w:footnote w:id="11">
    <w:p w14:paraId="00000030" w14:textId="77777777" w:rsidR="000E0E90" w:rsidRDefault="00363BD7">
      <w:pPr>
        <w:pBdr>
          <w:top w:val="nil"/>
          <w:left w:val="nil"/>
          <w:bottom w:val="nil"/>
          <w:right w:val="nil"/>
          <w:between w:val="nil"/>
        </w:pBdr>
        <w:rPr>
          <w:color w:val="000000"/>
          <w:sz w:val="20"/>
          <w:szCs w:val="20"/>
        </w:rPr>
      </w:pPr>
      <w:r w:rsidRPr="00D86CD2">
        <w:rPr>
          <w:rStyle w:val="Refdenotaderodap"/>
        </w:rPr>
        <w:footnoteRef/>
      </w:r>
      <w:r>
        <w:rPr>
          <w:color w:val="000000"/>
          <w:sz w:val="20"/>
          <w:szCs w:val="20"/>
        </w:rPr>
        <w:t xml:space="preserve"> Diemert.p.176.</w:t>
      </w:r>
    </w:p>
  </w:footnote>
  <w:footnote w:id="12">
    <w:p w14:paraId="00000031" w14:textId="77777777" w:rsidR="000E0E90" w:rsidRDefault="00363BD7">
      <w:pPr>
        <w:pBdr>
          <w:top w:val="nil"/>
          <w:left w:val="nil"/>
          <w:bottom w:val="nil"/>
          <w:right w:val="nil"/>
          <w:between w:val="nil"/>
        </w:pBdr>
        <w:rPr>
          <w:color w:val="000000"/>
          <w:sz w:val="20"/>
          <w:szCs w:val="20"/>
        </w:rPr>
      </w:pPr>
      <w:r w:rsidRPr="00D86CD2">
        <w:rPr>
          <w:rStyle w:val="Refdenotaderodap"/>
        </w:rPr>
        <w:footnoteRef/>
      </w:r>
      <w:r>
        <w:rPr>
          <w:color w:val="000000"/>
          <w:sz w:val="20"/>
          <w:szCs w:val="20"/>
        </w:rPr>
        <w:t xml:space="preserve"> Head. p.17.</w:t>
      </w:r>
    </w:p>
  </w:footnote>
  <w:footnote w:id="13">
    <w:p w14:paraId="00000032" w14:textId="77777777" w:rsidR="000E0E90" w:rsidRDefault="00363BD7">
      <w:pPr>
        <w:pBdr>
          <w:top w:val="nil"/>
          <w:left w:val="nil"/>
          <w:bottom w:val="nil"/>
          <w:right w:val="nil"/>
          <w:between w:val="nil"/>
        </w:pBdr>
        <w:rPr>
          <w:color w:val="000000"/>
          <w:sz w:val="20"/>
          <w:szCs w:val="20"/>
        </w:rPr>
      </w:pPr>
      <w:r w:rsidRPr="00D86CD2">
        <w:rPr>
          <w:rStyle w:val="Refdenotaderodap"/>
        </w:rPr>
        <w:footnoteRef/>
      </w:r>
      <w:r>
        <w:rPr>
          <w:color w:val="000000"/>
          <w:sz w:val="20"/>
          <w:szCs w:val="20"/>
        </w:rPr>
        <w:t xml:space="preserve"> Head. p.21.</w:t>
      </w:r>
    </w:p>
  </w:footnote>
  <w:footnote w:id="14">
    <w:p w14:paraId="00000033" w14:textId="77777777" w:rsidR="000E0E90" w:rsidRDefault="00363BD7">
      <w:pPr>
        <w:pBdr>
          <w:top w:val="nil"/>
          <w:left w:val="nil"/>
          <w:bottom w:val="nil"/>
          <w:right w:val="nil"/>
          <w:between w:val="nil"/>
        </w:pBdr>
        <w:rPr>
          <w:color w:val="000000"/>
          <w:sz w:val="20"/>
          <w:szCs w:val="20"/>
        </w:rPr>
      </w:pPr>
      <w:r w:rsidRPr="00D86CD2">
        <w:rPr>
          <w:rStyle w:val="Refdenotaderodap"/>
        </w:rPr>
        <w:footnoteRef/>
      </w:r>
      <w:r>
        <w:rPr>
          <w:color w:val="000000"/>
          <w:sz w:val="20"/>
          <w:szCs w:val="20"/>
        </w:rPr>
        <w:t xml:space="preserve"> </w:t>
      </w:r>
      <w:proofErr w:type="spellStart"/>
      <w:r>
        <w:rPr>
          <w:color w:val="000000"/>
          <w:sz w:val="20"/>
          <w:szCs w:val="20"/>
        </w:rPr>
        <w:t>Diemert</w:t>
      </w:r>
      <w:proofErr w:type="spellEnd"/>
      <w:r>
        <w:rPr>
          <w:color w:val="000000"/>
          <w:sz w:val="20"/>
          <w:szCs w:val="20"/>
        </w:rPr>
        <w:t>. p.180.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34" w14:textId="77777777" w:rsidR="000E0E90" w:rsidRDefault="000E0E9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E90"/>
    <w:rsid w:val="00047C9A"/>
    <w:rsid w:val="000E0E90"/>
    <w:rsid w:val="00363BD7"/>
    <w:rsid w:val="00450280"/>
    <w:rsid w:val="00D86CD2"/>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F04F8A5"/>
  <w15:docId w15:val="{CC2F03F8-1379-D04C-AD88-227CEF009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pt-P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decomentrio">
    <w:name w:val="annotation text"/>
    <w:basedOn w:val="Normal"/>
    <w:link w:val="TextodecomentrioCarter"/>
    <w:uiPriority w:val="99"/>
    <w:semiHidden/>
    <w:unhideWhenUsed/>
    <w:rPr>
      <w:sz w:val="20"/>
      <w:szCs w:val="20"/>
    </w:rPr>
  </w:style>
  <w:style w:type="character" w:customStyle="1" w:styleId="TextodecomentrioCarter">
    <w:name w:val="Texto de comentário Caráter"/>
    <w:basedOn w:val="Tipodeletrapredefinidodopargrafo"/>
    <w:link w:val="Textodecomentrio"/>
    <w:uiPriority w:val="99"/>
    <w:semiHidden/>
    <w:rPr>
      <w:sz w:val="20"/>
      <w:szCs w:val="20"/>
    </w:rPr>
  </w:style>
  <w:style w:type="character" w:styleId="Refdecomentrio">
    <w:name w:val="annotation reference"/>
    <w:basedOn w:val="Tipodeletrapredefinidodopargrafo"/>
    <w:uiPriority w:val="99"/>
    <w:semiHidden/>
    <w:unhideWhenUsed/>
    <w:rPr>
      <w:sz w:val="16"/>
      <w:szCs w:val="16"/>
    </w:rPr>
  </w:style>
  <w:style w:type="paragraph" w:styleId="Textodebalo">
    <w:name w:val="Balloon Text"/>
    <w:basedOn w:val="Normal"/>
    <w:link w:val="TextodebaloCarter"/>
    <w:uiPriority w:val="99"/>
    <w:semiHidden/>
    <w:unhideWhenUsed/>
    <w:rsid w:val="00D86CD2"/>
    <w:rPr>
      <w:sz w:val="18"/>
      <w:szCs w:val="18"/>
    </w:rPr>
  </w:style>
  <w:style w:type="character" w:customStyle="1" w:styleId="TextodebaloCarter">
    <w:name w:val="Texto de balão Caráter"/>
    <w:basedOn w:val="Tipodeletrapredefinidodopargrafo"/>
    <w:link w:val="Textodebalo"/>
    <w:uiPriority w:val="99"/>
    <w:semiHidden/>
    <w:rsid w:val="00D86CD2"/>
    <w:rPr>
      <w:sz w:val="18"/>
      <w:szCs w:val="18"/>
    </w:rPr>
  </w:style>
  <w:style w:type="character" w:styleId="Refdenotadefim">
    <w:name w:val="endnote reference"/>
    <w:basedOn w:val="Tipodeletrapredefinidodopargrafo"/>
    <w:uiPriority w:val="99"/>
    <w:semiHidden/>
    <w:unhideWhenUsed/>
    <w:rsid w:val="00D86CD2"/>
    <w:rPr>
      <w:vertAlign w:val="superscript"/>
    </w:rPr>
  </w:style>
  <w:style w:type="character" w:styleId="Refdenotaderodap">
    <w:name w:val="footnote reference"/>
    <w:basedOn w:val="Tipodeletrapredefinidodopargrafo"/>
    <w:uiPriority w:val="99"/>
    <w:semiHidden/>
    <w:unhideWhenUsed/>
    <w:rsid w:val="00D86CD2"/>
    <w:rPr>
      <w:vertAlign w:val="superscript"/>
    </w:rPr>
  </w:style>
  <w:style w:type="paragraph" w:styleId="Assuntodecomentrio">
    <w:name w:val="annotation subject"/>
    <w:basedOn w:val="Textodecomentrio"/>
    <w:next w:val="Textodecomentrio"/>
    <w:link w:val="AssuntodecomentrioCarter"/>
    <w:uiPriority w:val="99"/>
    <w:semiHidden/>
    <w:unhideWhenUsed/>
    <w:rsid w:val="00D86CD2"/>
    <w:rPr>
      <w:b/>
      <w:bCs/>
    </w:rPr>
  </w:style>
  <w:style w:type="character" w:customStyle="1" w:styleId="AssuntodecomentrioCarter">
    <w:name w:val="Assunto de comentário Caráter"/>
    <w:basedOn w:val="TextodecomentrioCarter"/>
    <w:link w:val="Assuntodecomentrio"/>
    <w:uiPriority w:val="99"/>
    <w:semiHidden/>
    <w:rsid w:val="00D86C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8299609">
      <w:bodyDiv w:val="1"/>
      <w:marLeft w:val="0"/>
      <w:marRight w:val="0"/>
      <w:marTop w:val="0"/>
      <w:marBottom w:val="0"/>
      <w:divBdr>
        <w:top w:val="none" w:sz="0" w:space="0" w:color="auto"/>
        <w:left w:val="none" w:sz="0" w:space="0" w:color="auto"/>
        <w:bottom w:val="none" w:sz="0" w:space="0" w:color="auto"/>
        <w:right w:val="none" w:sz="0" w:space="0" w:color="auto"/>
      </w:divBdr>
    </w:div>
    <w:div w:id="19630313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1410</Words>
  <Characters>7771</Characters>
  <Application>Microsoft Office Word</Application>
  <DocSecurity>0</DocSecurity>
  <Lines>121</Lines>
  <Paragraphs>29</Paragraphs>
  <ScaleCrop>false</ScaleCrop>
  <Company/>
  <LinksUpToDate>false</LinksUpToDate>
  <CharactersWithSpaces>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2020-03-11T22:41:00Z</dcterms:created>
  <dcterms:modified xsi:type="dcterms:W3CDTF">2020-03-11T23:16:00Z</dcterms:modified>
</cp:coreProperties>
</file>