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71CAD" w14:textId="77777777" w:rsidR="00880F81" w:rsidRDefault="00880F81" w:rsidP="00880F81">
      <w:pPr>
        <w:pStyle w:val="NormalWeb"/>
        <w:jc w:val="center"/>
        <w:rPr>
          <w:rFonts w:ascii="Arial" w:hAnsi="Arial" w:cs="Arial"/>
          <w:b/>
          <w:bCs/>
        </w:rPr>
      </w:pPr>
      <w:r>
        <w:rPr>
          <w:rFonts w:ascii="Arial" w:hAnsi="Arial" w:cs="Arial"/>
          <w:b/>
          <w:bCs/>
        </w:rPr>
        <w:t>Name: Annie Phillips</w:t>
      </w:r>
    </w:p>
    <w:p w14:paraId="526A51D7" w14:textId="38943D0E" w:rsidR="00880F81" w:rsidRDefault="00880F81" w:rsidP="00880F81">
      <w:pPr>
        <w:pStyle w:val="NormalWeb"/>
        <w:jc w:val="center"/>
        <w:rPr>
          <w:rFonts w:ascii="Arial" w:hAnsi="Arial" w:cs="Arial"/>
          <w:b/>
          <w:bCs/>
        </w:rPr>
      </w:pPr>
      <w:r>
        <w:rPr>
          <w:rFonts w:ascii="Arial" w:hAnsi="Arial" w:cs="Arial"/>
          <w:b/>
          <w:bCs/>
        </w:rPr>
        <w:t>Student Number: 1802131</w:t>
      </w:r>
    </w:p>
    <w:p w14:paraId="5B852A34" w14:textId="2B47D123" w:rsidR="00880F81" w:rsidRDefault="00880F81" w:rsidP="00880F81">
      <w:pPr>
        <w:pStyle w:val="NormalWeb"/>
        <w:jc w:val="center"/>
        <w:rPr>
          <w:rFonts w:ascii="Arial" w:hAnsi="Arial" w:cs="Arial"/>
          <w:b/>
          <w:bCs/>
        </w:rPr>
      </w:pPr>
      <w:r>
        <w:rPr>
          <w:rFonts w:ascii="Arial" w:hAnsi="Arial" w:cs="Arial"/>
          <w:b/>
          <w:bCs/>
        </w:rPr>
        <w:t>Year of Study: BA (Year 3)</w:t>
      </w:r>
    </w:p>
    <w:p w14:paraId="1EB7DBB6" w14:textId="4277E6B9" w:rsidR="00541E12" w:rsidRPr="00541E12" w:rsidRDefault="00541E12" w:rsidP="00541E12">
      <w:pPr>
        <w:pStyle w:val="NormalWeb"/>
        <w:spacing w:before="0" w:beforeAutospacing="0" w:after="0" w:afterAutospacing="0"/>
        <w:jc w:val="center"/>
        <w:rPr>
          <w:rFonts w:ascii="Arial" w:hAnsi="Arial" w:cs="Arial"/>
          <w:b/>
          <w:bCs/>
          <w:i/>
          <w:iCs/>
          <w:color w:val="283041"/>
          <w:sz w:val="22"/>
          <w:szCs w:val="22"/>
          <w:u w:val="single"/>
        </w:rPr>
      </w:pPr>
      <w:r w:rsidRPr="00541E12">
        <w:rPr>
          <w:rFonts w:ascii="Arial" w:hAnsi="Arial" w:cs="Arial"/>
          <w:b/>
          <w:bCs/>
          <w:i/>
          <w:iCs/>
          <w:color w:val="283041"/>
          <w:sz w:val="22"/>
          <w:szCs w:val="22"/>
          <w:u w:val="single"/>
        </w:rPr>
        <w:t>Targets</w:t>
      </w:r>
    </w:p>
    <w:p w14:paraId="196D5366" w14:textId="4FEB3FDF" w:rsidR="00541E12" w:rsidRPr="00541E12" w:rsidRDefault="00541E12" w:rsidP="00541E12">
      <w:pPr>
        <w:pStyle w:val="NormalWeb"/>
        <w:spacing w:before="0" w:beforeAutospacing="0" w:after="0" w:afterAutospacing="0"/>
        <w:jc w:val="center"/>
        <w:rPr>
          <w:rFonts w:ascii="Arial" w:hAnsi="Arial" w:cs="Arial"/>
          <w:b/>
          <w:bCs/>
          <w:i/>
          <w:iCs/>
          <w:color w:val="283041"/>
          <w:sz w:val="22"/>
          <w:szCs w:val="22"/>
        </w:rPr>
      </w:pPr>
      <w:r w:rsidRPr="00541E12">
        <w:rPr>
          <w:rFonts w:ascii="Arial" w:hAnsi="Arial" w:cs="Arial"/>
          <w:b/>
          <w:bCs/>
          <w:i/>
          <w:iCs/>
          <w:color w:val="283041"/>
          <w:sz w:val="22"/>
          <w:szCs w:val="22"/>
        </w:rPr>
        <w:t>1 – Review Harvard Referencing Guide</w:t>
      </w:r>
    </w:p>
    <w:p w14:paraId="4479B996" w14:textId="0D77A815" w:rsidR="00541E12" w:rsidRPr="00541E12" w:rsidRDefault="00541E12" w:rsidP="00541E12">
      <w:pPr>
        <w:pStyle w:val="NormalWeb"/>
        <w:spacing w:before="0" w:beforeAutospacing="0" w:after="0" w:afterAutospacing="0"/>
        <w:jc w:val="center"/>
        <w:rPr>
          <w:rFonts w:ascii="Arial" w:hAnsi="Arial" w:cs="Arial"/>
          <w:b/>
          <w:bCs/>
          <w:i/>
          <w:iCs/>
          <w:color w:val="283041"/>
          <w:sz w:val="22"/>
          <w:szCs w:val="22"/>
        </w:rPr>
      </w:pPr>
      <w:r w:rsidRPr="00541E12">
        <w:rPr>
          <w:rFonts w:ascii="Arial" w:hAnsi="Arial" w:cs="Arial"/>
          <w:b/>
          <w:bCs/>
          <w:i/>
          <w:iCs/>
          <w:color w:val="283041"/>
          <w:sz w:val="22"/>
          <w:szCs w:val="22"/>
        </w:rPr>
        <w:t>2 – Consider wider reading</w:t>
      </w:r>
    </w:p>
    <w:p w14:paraId="49C40B6A" w14:textId="77777777" w:rsidR="00541E12" w:rsidRDefault="00541E12" w:rsidP="00880F81">
      <w:pPr>
        <w:pStyle w:val="NormalWeb"/>
        <w:spacing w:line="360" w:lineRule="auto"/>
        <w:rPr>
          <w:rFonts w:ascii="Arial" w:hAnsi="Arial" w:cs="Arial"/>
          <w:b/>
          <w:bCs/>
        </w:rPr>
      </w:pPr>
    </w:p>
    <w:p w14:paraId="38635723" w14:textId="77777777" w:rsidR="00541E12" w:rsidRDefault="00880F81" w:rsidP="00541E12">
      <w:pPr>
        <w:pStyle w:val="NormalWeb"/>
        <w:spacing w:line="360" w:lineRule="auto"/>
        <w:rPr>
          <w:rFonts w:ascii="Arial" w:hAnsi="Arial" w:cs="Arial"/>
          <w:b/>
          <w:bCs/>
        </w:rPr>
      </w:pPr>
      <w:r w:rsidRPr="00880F81">
        <w:rPr>
          <w:rFonts w:ascii="Arial" w:hAnsi="Arial" w:cs="Arial"/>
          <w:b/>
          <w:bCs/>
        </w:rPr>
        <w:t xml:space="preserve">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 </w:t>
      </w:r>
    </w:p>
    <w:p w14:paraId="2479B78A" w14:textId="77777777" w:rsidR="00541E12" w:rsidRDefault="00541E12" w:rsidP="00541E12">
      <w:pPr>
        <w:pStyle w:val="NormalWeb"/>
        <w:spacing w:line="360" w:lineRule="auto"/>
        <w:rPr>
          <w:rFonts w:ascii="Arial" w:hAnsi="Arial" w:cs="Arial"/>
          <w:b/>
          <w:bCs/>
        </w:rPr>
      </w:pPr>
    </w:p>
    <w:p w14:paraId="3C49721F" w14:textId="09A52AAD" w:rsidR="00D45EBC" w:rsidRPr="00541E12" w:rsidRDefault="00541E12" w:rsidP="00541E12">
      <w:pPr>
        <w:pStyle w:val="NormalWeb"/>
        <w:spacing w:line="360" w:lineRule="auto"/>
        <w:rPr>
          <w:rFonts w:ascii="Arial" w:hAnsi="Arial" w:cs="Arial"/>
          <w:b/>
          <w:bCs/>
        </w:rPr>
      </w:pPr>
      <w:r>
        <w:rPr>
          <w:rFonts w:ascii="Arial" w:hAnsi="Arial" w:cs="Arial"/>
          <w:b/>
          <w:bCs/>
        </w:rPr>
        <w:t xml:space="preserve">          </w:t>
      </w:r>
      <w:r w:rsidR="00233DB6" w:rsidRPr="00863D13">
        <w:rPr>
          <w:rFonts w:ascii="Arial" w:hAnsi="Arial" w:cs="Arial"/>
          <w:sz w:val="22"/>
          <w:szCs w:val="22"/>
        </w:rPr>
        <w:t xml:space="preserve">The aim of this essay is to </w:t>
      </w:r>
      <w:r w:rsidR="00B85C39" w:rsidRPr="00863D13">
        <w:rPr>
          <w:rFonts w:ascii="Arial" w:hAnsi="Arial" w:cs="Arial"/>
          <w:sz w:val="22"/>
          <w:szCs w:val="22"/>
        </w:rPr>
        <w:t xml:space="preserve">create and explore a case study developed from a specific research question to gain further knowledge and understanding of an intervention which can be tested throughout Professional Teaching Experiences. The evidence found </w:t>
      </w:r>
      <w:r w:rsidR="003E4083" w:rsidRPr="00863D13">
        <w:rPr>
          <w:rFonts w:ascii="Arial" w:hAnsi="Arial" w:cs="Arial"/>
          <w:sz w:val="22"/>
          <w:szCs w:val="22"/>
        </w:rPr>
        <w:t>throughout</w:t>
      </w:r>
      <w:r w:rsidR="00B85C39" w:rsidRPr="00863D13">
        <w:rPr>
          <w:rFonts w:ascii="Arial" w:hAnsi="Arial" w:cs="Arial"/>
          <w:sz w:val="22"/>
          <w:szCs w:val="22"/>
        </w:rPr>
        <w:t xml:space="preserve"> the case study will be suitable to evidence for reflection purposes. The case study </w:t>
      </w:r>
      <w:r w:rsidR="00D56B10" w:rsidRPr="00863D13">
        <w:rPr>
          <w:rFonts w:ascii="Arial" w:hAnsi="Arial" w:cs="Arial"/>
          <w:sz w:val="22"/>
          <w:szCs w:val="22"/>
        </w:rPr>
        <w:t xml:space="preserve">itself, </w:t>
      </w:r>
      <w:r w:rsidR="00B85C39" w:rsidRPr="00863D13">
        <w:rPr>
          <w:rFonts w:ascii="Arial" w:hAnsi="Arial" w:cs="Arial"/>
          <w:sz w:val="22"/>
          <w:szCs w:val="22"/>
        </w:rPr>
        <w:t xml:space="preserve">will be looking at the importance of the use of differentiation strategies throughout a </w:t>
      </w:r>
      <w:r w:rsidR="00D56B10" w:rsidRPr="00863D13">
        <w:rPr>
          <w:rFonts w:ascii="Arial" w:hAnsi="Arial" w:cs="Arial"/>
          <w:sz w:val="22"/>
          <w:szCs w:val="22"/>
        </w:rPr>
        <w:t>F</w:t>
      </w:r>
      <w:r w:rsidR="00B85C39" w:rsidRPr="00863D13">
        <w:rPr>
          <w:rFonts w:ascii="Arial" w:hAnsi="Arial" w:cs="Arial"/>
          <w:sz w:val="22"/>
          <w:szCs w:val="22"/>
        </w:rPr>
        <w:t xml:space="preserve">oundation </w:t>
      </w:r>
      <w:r w:rsidR="00D56B10" w:rsidRPr="00863D13">
        <w:rPr>
          <w:rFonts w:ascii="Arial" w:hAnsi="Arial" w:cs="Arial"/>
          <w:sz w:val="22"/>
          <w:szCs w:val="22"/>
        </w:rPr>
        <w:t>P</w:t>
      </w:r>
      <w:r w:rsidR="00B85C39" w:rsidRPr="00863D13">
        <w:rPr>
          <w:rFonts w:ascii="Arial" w:hAnsi="Arial" w:cs="Arial"/>
          <w:sz w:val="22"/>
          <w:szCs w:val="22"/>
        </w:rPr>
        <w:t>hase classroom. This area interests the writer greatly as it</w:t>
      </w:r>
      <w:r w:rsidR="003E4083" w:rsidRPr="00863D13">
        <w:rPr>
          <w:rFonts w:ascii="Arial" w:hAnsi="Arial" w:cs="Arial"/>
          <w:sz w:val="22"/>
          <w:szCs w:val="22"/>
        </w:rPr>
        <w:t xml:space="preserve"> comes hand in hand </w:t>
      </w:r>
      <w:r w:rsidR="00B85C39" w:rsidRPr="00863D13">
        <w:rPr>
          <w:rFonts w:ascii="Arial" w:hAnsi="Arial" w:cs="Arial"/>
          <w:sz w:val="22"/>
          <w:szCs w:val="22"/>
        </w:rPr>
        <w:t xml:space="preserve">with </w:t>
      </w:r>
      <w:r w:rsidR="003E4083" w:rsidRPr="00863D13">
        <w:rPr>
          <w:rFonts w:ascii="Arial" w:hAnsi="Arial" w:cs="Arial"/>
          <w:sz w:val="22"/>
          <w:szCs w:val="22"/>
        </w:rPr>
        <w:t>the ability to help develop different l</w:t>
      </w:r>
      <w:r w:rsidR="00B85C39" w:rsidRPr="00863D13">
        <w:rPr>
          <w:rFonts w:ascii="Arial" w:hAnsi="Arial" w:cs="Arial"/>
          <w:sz w:val="22"/>
          <w:szCs w:val="22"/>
        </w:rPr>
        <w:t xml:space="preserve">evels of professional </w:t>
      </w:r>
      <w:r w:rsidR="003E4083" w:rsidRPr="00863D13">
        <w:rPr>
          <w:rFonts w:ascii="Arial" w:hAnsi="Arial" w:cs="Arial"/>
          <w:sz w:val="22"/>
          <w:szCs w:val="22"/>
        </w:rPr>
        <w:t>learning</w:t>
      </w:r>
      <w:r w:rsidR="00D56B10" w:rsidRPr="00863D13">
        <w:rPr>
          <w:rFonts w:ascii="Arial" w:hAnsi="Arial" w:cs="Arial"/>
          <w:sz w:val="22"/>
          <w:szCs w:val="22"/>
        </w:rPr>
        <w:t xml:space="preserve">. This links directly with the standard for Professional Learning which with guidance from the Welsh Government (WG) says teachers should have an appetite for professional learning that has an impact upon pedagogy, and that supports professional growth across a learning environment (Welsh Government, 2018). </w:t>
      </w:r>
      <w:r w:rsidR="00B32227" w:rsidRPr="00863D13">
        <w:rPr>
          <w:rFonts w:ascii="Arial" w:hAnsi="Arial" w:cs="Arial"/>
          <w:sz w:val="22"/>
          <w:szCs w:val="22"/>
        </w:rPr>
        <w:t xml:space="preserve">For additional context, the research took place in a larger sized rural school, where there are around 400 pupils. The classroom in which the research took place, is a reception class with twenty pupils.  The percentage of children who have been identified as having Additional Learning Needs in this classroom is 20%, with a total of 4 children on Individual Education Plans (IEPs). These IEPs </w:t>
      </w:r>
      <w:r w:rsidR="00FF305B" w:rsidRPr="00863D13">
        <w:rPr>
          <w:rFonts w:ascii="Arial" w:hAnsi="Arial" w:cs="Arial"/>
          <w:sz w:val="22"/>
          <w:szCs w:val="22"/>
        </w:rPr>
        <w:t xml:space="preserve">include what helps the child to access and engage with the curriculum. The research </w:t>
      </w:r>
      <w:r w:rsidR="00BF6FCE" w:rsidRPr="00863D13">
        <w:rPr>
          <w:rFonts w:ascii="Arial" w:hAnsi="Arial" w:cs="Arial"/>
          <w:sz w:val="22"/>
          <w:szCs w:val="22"/>
        </w:rPr>
        <w:t>question for this assignment is</w:t>
      </w:r>
      <w:r w:rsidR="00D45EBC" w:rsidRPr="00863D13">
        <w:rPr>
          <w:rFonts w:ascii="Arial" w:hAnsi="Arial" w:cs="Arial"/>
          <w:sz w:val="22"/>
          <w:szCs w:val="22"/>
        </w:rPr>
        <w:t xml:space="preserve"> - W</w:t>
      </w:r>
      <w:r w:rsidR="00BF6FCE" w:rsidRPr="00863D13">
        <w:rPr>
          <w:rFonts w:ascii="Arial" w:hAnsi="Arial" w:cs="Arial"/>
          <w:sz w:val="22"/>
          <w:szCs w:val="22"/>
        </w:rPr>
        <w:t xml:space="preserve">hat is the importance </w:t>
      </w:r>
      <w:r w:rsidR="00D45EBC" w:rsidRPr="00863D13">
        <w:rPr>
          <w:rFonts w:ascii="Arial" w:hAnsi="Arial" w:cs="Arial"/>
          <w:sz w:val="22"/>
          <w:szCs w:val="22"/>
        </w:rPr>
        <w:t xml:space="preserve">in </w:t>
      </w:r>
      <w:r w:rsidR="00BF6FCE" w:rsidRPr="00863D13">
        <w:rPr>
          <w:rFonts w:ascii="Arial" w:hAnsi="Arial" w:cs="Arial"/>
          <w:sz w:val="22"/>
          <w:szCs w:val="22"/>
        </w:rPr>
        <w:t xml:space="preserve">the use </w:t>
      </w:r>
      <w:r w:rsidR="00D45EBC" w:rsidRPr="00863D13">
        <w:rPr>
          <w:rFonts w:ascii="Arial" w:hAnsi="Arial" w:cs="Arial"/>
          <w:sz w:val="22"/>
          <w:szCs w:val="22"/>
        </w:rPr>
        <w:t xml:space="preserve">of </w:t>
      </w:r>
      <w:r w:rsidR="00BF6FCE" w:rsidRPr="00863D13">
        <w:rPr>
          <w:rFonts w:ascii="Arial" w:hAnsi="Arial" w:cs="Arial"/>
          <w:sz w:val="22"/>
          <w:szCs w:val="22"/>
        </w:rPr>
        <w:t>differentiation strategies</w:t>
      </w:r>
      <w:r w:rsidR="00D45EBC" w:rsidRPr="00863D13">
        <w:rPr>
          <w:rFonts w:ascii="Arial" w:hAnsi="Arial" w:cs="Arial"/>
          <w:sz w:val="22"/>
          <w:szCs w:val="22"/>
        </w:rPr>
        <w:t xml:space="preserve"> throughout a Foundation Phase classroom? This includes the use of inclusive strategies while whole class learning and throughout focus groups. Inclusive teaching provides a learning experience that allows pupils from all backgrounds, learning styles and abilities to be successful. Inclusive teaching </w:t>
      </w:r>
      <w:r w:rsidR="00D45EBC" w:rsidRPr="00863D13">
        <w:rPr>
          <w:rFonts w:ascii="Arial" w:hAnsi="Arial" w:cs="Arial"/>
          <w:sz w:val="22"/>
          <w:szCs w:val="22"/>
        </w:rPr>
        <w:lastRenderedPageBreak/>
        <w:t xml:space="preserve">strategies such as differentiation, add to an inclusive learning environment where all pupils feel valued and supported (University College London, 2019). </w:t>
      </w:r>
    </w:p>
    <w:p w14:paraId="451C6298" w14:textId="64E4A684" w:rsidR="001324AC" w:rsidRPr="002C07A4" w:rsidRDefault="00737DD0" w:rsidP="00863D13">
      <w:pPr>
        <w:pStyle w:val="NormalWeb"/>
        <w:shd w:val="clear" w:color="auto" w:fill="FFFFFF"/>
        <w:spacing w:line="360" w:lineRule="auto"/>
        <w:jc w:val="both"/>
        <w:rPr>
          <w:rFonts w:ascii="Arial" w:hAnsi="Arial" w:cs="Arial"/>
          <w:sz w:val="22"/>
          <w:szCs w:val="22"/>
        </w:rPr>
      </w:pPr>
      <w:r w:rsidRPr="00863D13">
        <w:rPr>
          <w:rFonts w:ascii="Arial" w:hAnsi="Arial" w:cs="Arial"/>
          <w:sz w:val="22"/>
          <w:szCs w:val="22"/>
        </w:rPr>
        <w:t>Throughout this literature review, there will be areas of exploration of the use</w:t>
      </w:r>
      <w:r w:rsidR="00E02745" w:rsidRPr="00863D13">
        <w:rPr>
          <w:rFonts w:ascii="Arial" w:hAnsi="Arial" w:cs="Arial"/>
          <w:sz w:val="22"/>
          <w:szCs w:val="22"/>
        </w:rPr>
        <w:t xml:space="preserve"> of differentiation within and across a foundation phase classroom. The purpose of the review will be to consider fragments of existing research on differentiation within the classroom, which will add insights on how </w:t>
      </w:r>
      <w:r w:rsidR="00F60A4A" w:rsidRPr="00863D13">
        <w:rPr>
          <w:rFonts w:ascii="Arial" w:hAnsi="Arial" w:cs="Arial"/>
          <w:sz w:val="22"/>
          <w:szCs w:val="22"/>
        </w:rPr>
        <w:t>adding variation</w:t>
      </w:r>
      <w:r w:rsidR="00E02745" w:rsidRPr="00863D13">
        <w:rPr>
          <w:rFonts w:ascii="Arial" w:hAnsi="Arial" w:cs="Arial"/>
          <w:sz w:val="22"/>
          <w:szCs w:val="22"/>
        </w:rPr>
        <w:t xml:space="preserve"> can positively affect the academic performance of low, average, and high ability pupils in early education. Marjolein Deunk (2015) says that teachers need to be trained well enough to deal with </w:t>
      </w:r>
      <w:r w:rsidR="00F60A4A" w:rsidRPr="00863D13">
        <w:rPr>
          <w:rFonts w:ascii="Arial" w:hAnsi="Arial" w:cs="Arial"/>
          <w:sz w:val="22"/>
          <w:szCs w:val="22"/>
        </w:rPr>
        <w:t xml:space="preserve">understanding the </w:t>
      </w:r>
      <w:r w:rsidR="00E02745" w:rsidRPr="00863D13">
        <w:rPr>
          <w:rFonts w:ascii="Arial" w:hAnsi="Arial" w:cs="Arial"/>
          <w:sz w:val="22"/>
          <w:szCs w:val="22"/>
        </w:rPr>
        <w:t xml:space="preserve">differences of academic progression in their classroom. Teachers need to be aware of cognitive differences and adapt any instruction to individual needs. </w:t>
      </w:r>
      <w:r w:rsidR="00A94B5A" w:rsidRPr="00863D13">
        <w:rPr>
          <w:rFonts w:ascii="Arial" w:hAnsi="Arial" w:cs="Arial"/>
          <w:sz w:val="22"/>
          <w:szCs w:val="22"/>
        </w:rPr>
        <w:t xml:space="preserve">To deliver a great quality of education for learners, a blend of knowledge and practises are combined to create differentiation. Kulik and Kulik (1984) conducted a meta-analysis on ability grouping in a primary school classroom. They focussed on whole class ability grouping, meaning students are assigned to classrooms based on their ability. This is not a common form of practise in schools across Wales, However, from my research at School X, whole class ability grouping does take place in the morning when the whole school practises “Read Write Inc”. This enables the children to work at an academic level that </w:t>
      </w:r>
      <w:r w:rsidR="00F60A4A" w:rsidRPr="00863D13">
        <w:rPr>
          <w:rFonts w:ascii="Arial" w:hAnsi="Arial" w:cs="Arial"/>
          <w:sz w:val="22"/>
          <w:szCs w:val="22"/>
        </w:rPr>
        <w:t>will encourage them further</w:t>
      </w:r>
      <w:r w:rsidR="00A94B5A" w:rsidRPr="00863D13">
        <w:rPr>
          <w:rFonts w:ascii="Arial" w:hAnsi="Arial" w:cs="Arial"/>
          <w:sz w:val="22"/>
          <w:szCs w:val="22"/>
        </w:rPr>
        <w:t xml:space="preserve">, whether it is </w:t>
      </w:r>
      <w:r w:rsidR="00F60A4A" w:rsidRPr="00863D13">
        <w:rPr>
          <w:rFonts w:ascii="Arial" w:hAnsi="Arial" w:cs="Arial"/>
          <w:sz w:val="22"/>
          <w:szCs w:val="22"/>
        </w:rPr>
        <w:t>higher</w:t>
      </w:r>
      <w:r w:rsidR="00A94B5A" w:rsidRPr="00863D13">
        <w:rPr>
          <w:rFonts w:ascii="Arial" w:hAnsi="Arial" w:cs="Arial"/>
          <w:sz w:val="22"/>
          <w:szCs w:val="22"/>
        </w:rPr>
        <w:t xml:space="preserve"> up or lower down in the school. From the meta-analysis </w:t>
      </w:r>
      <w:r w:rsidR="00A877BA" w:rsidRPr="00863D13">
        <w:rPr>
          <w:rFonts w:ascii="Arial" w:hAnsi="Arial" w:cs="Arial"/>
          <w:sz w:val="22"/>
          <w:szCs w:val="22"/>
        </w:rPr>
        <w:t>led</w:t>
      </w:r>
      <w:r w:rsidR="00A94B5A" w:rsidRPr="00863D13">
        <w:rPr>
          <w:rFonts w:ascii="Arial" w:hAnsi="Arial" w:cs="Arial"/>
          <w:sz w:val="22"/>
          <w:szCs w:val="22"/>
        </w:rPr>
        <w:t xml:space="preserve"> by Kulik and Kulik (1984) it was found that </w:t>
      </w:r>
      <w:r w:rsidR="00A877BA" w:rsidRPr="00863D13">
        <w:rPr>
          <w:rFonts w:ascii="Arial" w:hAnsi="Arial" w:cs="Arial"/>
          <w:sz w:val="22"/>
          <w:szCs w:val="22"/>
        </w:rPr>
        <w:t>pupils</w:t>
      </w:r>
      <w:r w:rsidR="00A94B5A" w:rsidRPr="00863D13">
        <w:rPr>
          <w:rFonts w:ascii="Arial" w:hAnsi="Arial" w:cs="Arial"/>
          <w:sz w:val="22"/>
          <w:szCs w:val="22"/>
        </w:rPr>
        <w:t xml:space="preserve"> in homogeneously grouped classrooms had a better achievement than </w:t>
      </w:r>
      <w:r w:rsidR="00A877BA" w:rsidRPr="00863D13">
        <w:rPr>
          <w:rFonts w:ascii="Arial" w:hAnsi="Arial" w:cs="Arial"/>
          <w:sz w:val="22"/>
          <w:szCs w:val="22"/>
        </w:rPr>
        <w:t>pupils</w:t>
      </w:r>
      <w:r w:rsidR="00A94B5A" w:rsidRPr="00863D13">
        <w:rPr>
          <w:rFonts w:ascii="Arial" w:hAnsi="Arial" w:cs="Arial"/>
          <w:sz w:val="22"/>
          <w:szCs w:val="22"/>
        </w:rPr>
        <w:t xml:space="preserve"> in heterogeneous classrooms. Although, the size of the classroom did note an effect. </w:t>
      </w:r>
      <w:r w:rsidR="00A877BA" w:rsidRPr="00863D13">
        <w:rPr>
          <w:rFonts w:ascii="Arial" w:hAnsi="Arial" w:cs="Arial"/>
          <w:sz w:val="22"/>
          <w:szCs w:val="22"/>
        </w:rPr>
        <w:t>This was that the smaller the classroom grouping</w:t>
      </w:r>
      <w:r w:rsidR="00F60A4A" w:rsidRPr="00863D13">
        <w:rPr>
          <w:rFonts w:ascii="Arial" w:hAnsi="Arial" w:cs="Arial"/>
          <w:sz w:val="22"/>
          <w:szCs w:val="22"/>
        </w:rPr>
        <w:t>,</w:t>
      </w:r>
      <w:r w:rsidR="00A877BA" w:rsidRPr="00863D13">
        <w:rPr>
          <w:rFonts w:ascii="Arial" w:hAnsi="Arial" w:cs="Arial"/>
          <w:sz w:val="22"/>
          <w:szCs w:val="22"/>
        </w:rPr>
        <w:t xml:space="preserve"> the better the academic outcome. This is supported by common practise in our classrooms today as a lot of teachers work with smaller focus groups to attain attention and encourage more tailored achievements.</w:t>
      </w:r>
      <w:r w:rsidR="00F60A4A" w:rsidRPr="00863D13">
        <w:rPr>
          <w:rFonts w:ascii="Arial" w:hAnsi="Arial" w:cs="Arial"/>
          <w:sz w:val="22"/>
          <w:szCs w:val="22"/>
        </w:rPr>
        <w:t xml:space="preserve"> Lo, </w:t>
      </w:r>
      <w:r w:rsidR="00097191" w:rsidRPr="00863D13">
        <w:rPr>
          <w:rFonts w:ascii="Arial" w:hAnsi="Arial" w:cs="Arial"/>
          <w:sz w:val="22"/>
          <w:szCs w:val="22"/>
        </w:rPr>
        <w:t>Morris,</w:t>
      </w:r>
      <w:r w:rsidR="00F60A4A" w:rsidRPr="00863D13">
        <w:rPr>
          <w:rFonts w:ascii="Arial" w:hAnsi="Arial" w:cs="Arial"/>
          <w:sz w:val="22"/>
          <w:szCs w:val="22"/>
        </w:rPr>
        <w:t xml:space="preserve"> and Che (2000) indicate that differentiation occurs mainly in terms of the content, the </w:t>
      </w:r>
      <w:r w:rsidR="000D7C67" w:rsidRPr="00863D13">
        <w:rPr>
          <w:rFonts w:ascii="Arial" w:hAnsi="Arial" w:cs="Arial"/>
          <w:sz w:val="22"/>
          <w:szCs w:val="22"/>
        </w:rPr>
        <w:t>process,</w:t>
      </w:r>
      <w:r w:rsidR="00F60A4A" w:rsidRPr="00863D13">
        <w:rPr>
          <w:rFonts w:ascii="Arial" w:hAnsi="Arial" w:cs="Arial"/>
          <w:sz w:val="22"/>
          <w:szCs w:val="22"/>
        </w:rPr>
        <w:t xml:space="preserve"> and the product of each lesson. Tomlinson (1996) also talks about differentiating curriculum content, classroom activities as well as student output. Changing curriculum content could mean covering the same topic but expecting higher ability learners to achieve more and lower ability learners to cover less. </w:t>
      </w:r>
      <w:r w:rsidR="00097191" w:rsidRPr="00863D13">
        <w:rPr>
          <w:rFonts w:ascii="Arial" w:hAnsi="Arial" w:cs="Arial"/>
          <w:sz w:val="22"/>
          <w:szCs w:val="22"/>
        </w:rPr>
        <w:t xml:space="preserve">Although this sounds sensible in terms of planning for achievable academic outcomes, it also could be possible that there is a risk of increasing the learning gap between students with Additional Learning Needs (ALN) and other students. This is an example pulled from the Matthew Effect by Robert Merton (1986) in education – when the rich get richer, and the poor get poorer (Stanovich, 1986). Although as educational practitioners, it is widely believed to be doing the right thing for that child’s progression, studies suggest that any approach where you give ‘less’ for the child to achieve opens the floor to questions for fairness and social integrity. This is because when you offer differentiated challenges for a lower ability child compared to a higher, over time the inequalities between more-able and less-able students begin to show (Brown, 1999; Burton, </w:t>
      </w:r>
      <w:r w:rsidR="00097191" w:rsidRPr="00863D13">
        <w:rPr>
          <w:rFonts w:ascii="Arial" w:hAnsi="Arial" w:cs="Arial"/>
          <w:sz w:val="22"/>
          <w:szCs w:val="22"/>
        </w:rPr>
        <w:lastRenderedPageBreak/>
        <w:t xml:space="preserve">1992; Hart, 1992; Reynolds &amp; Farrell, 1996). </w:t>
      </w:r>
      <w:r w:rsidR="004B4FA5" w:rsidRPr="00863D13">
        <w:rPr>
          <w:rFonts w:ascii="Arial" w:hAnsi="Arial" w:cs="Arial"/>
          <w:sz w:val="22"/>
          <w:szCs w:val="22"/>
        </w:rPr>
        <w:t xml:space="preserve">A paper conducted by the Australian Journal of Learning Disabilities (Vol 6, 2001) </w:t>
      </w:r>
      <w:r w:rsidR="00A76106" w:rsidRPr="00863D13">
        <w:rPr>
          <w:rFonts w:ascii="Arial" w:hAnsi="Arial" w:cs="Arial"/>
          <w:sz w:val="22"/>
          <w:szCs w:val="22"/>
        </w:rPr>
        <w:t>proposes</w:t>
      </w:r>
      <w:r w:rsidR="004B4FA5" w:rsidRPr="00863D13">
        <w:rPr>
          <w:rFonts w:ascii="Arial" w:hAnsi="Arial" w:cs="Arial"/>
          <w:sz w:val="22"/>
          <w:szCs w:val="22"/>
        </w:rPr>
        <w:t xml:space="preserve"> </w:t>
      </w:r>
      <w:r w:rsidR="00A76106" w:rsidRPr="00863D13">
        <w:rPr>
          <w:rFonts w:ascii="Arial" w:hAnsi="Arial" w:cs="Arial"/>
          <w:sz w:val="22"/>
          <w:szCs w:val="22"/>
        </w:rPr>
        <w:t xml:space="preserve">that </w:t>
      </w:r>
      <w:r w:rsidR="004B4FA5" w:rsidRPr="00863D13">
        <w:rPr>
          <w:rFonts w:ascii="Arial" w:hAnsi="Arial" w:cs="Arial"/>
          <w:sz w:val="22"/>
          <w:szCs w:val="22"/>
        </w:rPr>
        <w:t>with ALN produce the best achievement when exposed to ‘direct teaching’. This means when the curriculum is sequenced carefully, receiving frequent feedback from the teacher and being able to apply abundant practise in application of new skills and knowledge for learning and assessment (Wang, 1998). Setting differentiated tasks in your classroom will always help you to gather relevant information on every child’s progress. However, there is research that implies that expecting students to produce different amounts of work will create the danger of self-fulfilling prophecy. Learners would produce less and in turn academic practitioners would begin to expect less</w:t>
      </w:r>
      <w:r w:rsidR="000D7C67" w:rsidRPr="00863D13">
        <w:rPr>
          <w:rFonts w:ascii="Arial" w:hAnsi="Arial" w:cs="Arial"/>
          <w:sz w:val="22"/>
          <w:szCs w:val="22"/>
        </w:rPr>
        <w:t xml:space="preserve"> (Davies, 2000)</w:t>
      </w:r>
      <w:r w:rsidR="004B4FA5" w:rsidRPr="00863D13">
        <w:rPr>
          <w:rFonts w:ascii="Arial" w:hAnsi="Arial" w:cs="Arial"/>
          <w:sz w:val="22"/>
          <w:szCs w:val="22"/>
        </w:rPr>
        <w:t xml:space="preserve">. </w:t>
      </w:r>
      <w:r w:rsidR="000D7C67" w:rsidRPr="00863D13">
        <w:rPr>
          <w:rFonts w:ascii="Arial" w:hAnsi="Arial" w:cs="Arial"/>
          <w:sz w:val="22"/>
          <w:szCs w:val="22"/>
        </w:rPr>
        <w:t xml:space="preserve">An argument to the previous suggested evidence, is that for a teacher working in a foundation phase classroom, (more specifically a reception class where children are ages four and five) understanding exactly what children can produce academically enables the teacher to create a tailor-made plan for the children to achieve their absolute best. </w:t>
      </w:r>
      <w:r w:rsidR="001324AC" w:rsidRPr="00863D13">
        <w:rPr>
          <w:rFonts w:ascii="Arial" w:hAnsi="Arial" w:cs="Arial"/>
          <w:sz w:val="22"/>
          <w:szCs w:val="22"/>
        </w:rPr>
        <w:t xml:space="preserve">The Department for Education (DFE) developed non-statuary curriculum guidance for the early </w:t>
      </w:r>
      <w:proofErr w:type="gramStart"/>
      <w:r w:rsidR="001324AC" w:rsidRPr="00863D13">
        <w:rPr>
          <w:rFonts w:ascii="Arial" w:hAnsi="Arial" w:cs="Arial"/>
          <w:sz w:val="22"/>
          <w:szCs w:val="22"/>
        </w:rPr>
        <w:t>years</w:t>
      </w:r>
      <w:proofErr w:type="gramEnd"/>
      <w:r w:rsidR="001324AC" w:rsidRPr="00863D13">
        <w:rPr>
          <w:rFonts w:ascii="Arial" w:hAnsi="Arial" w:cs="Arial"/>
          <w:sz w:val="22"/>
          <w:szCs w:val="22"/>
        </w:rPr>
        <w:t xml:space="preserve"> foundation stage. No job is more important than working with children in their early years of educations (Department for Education, 2020). With this support, teachers can receive guidance on building on the strengths as well as meeting the needs of any child you work with. “</w:t>
      </w:r>
      <w:r w:rsidR="001324AC" w:rsidRPr="00863D13">
        <w:rPr>
          <w:rFonts w:ascii="Arial" w:hAnsi="Arial" w:cs="Arial"/>
          <w:sz w:val="22"/>
          <w:szCs w:val="22"/>
        </w:rPr>
        <w:t>Children who may struggle in their early learning are not ‘low ability’. We do not know what their potential might be. Every child can make progress with the right support</w:t>
      </w:r>
      <w:r w:rsidR="001324AC" w:rsidRPr="00863D13">
        <w:rPr>
          <w:rFonts w:ascii="Arial" w:hAnsi="Arial" w:cs="Arial"/>
          <w:sz w:val="22"/>
          <w:szCs w:val="22"/>
        </w:rPr>
        <w:t xml:space="preserve">” (Department for Education, p. 5). </w:t>
      </w:r>
      <w:r w:rsidR="009D790D" w:rsidRPr="00863D13">
        <w:rPr>
          <w:rFonts w:ascii="Arial" w:hAnsi="Arial" w:cs="Arial"/>
          <w:sz w:val="22"/>
          <w:szCs w:val="22"/>
        </w:rPr>
        <w:t xml:space="preserve">Statistics show that children develop more from birth to age five more than any other time in their life, so providing high quality early years education is fundamental for </w:t>
      </w:r>
    </w:p>
    <w:p w14:paraId="6191384E" w14:textId="205E8757" w:rsidR="00E775A7" w:rsidRPr="00863D13" w:rsidRDefault="00512C7A" w:rsidP="00863D13">
      <w:pPr>
        <w:pStyle w:val="NormalWeb"/>
        <w:spacing w:line="360" w:lineRule="auto"/>
        <w:jc w:val="both"/>
        <w:rPr>
          <w:rFonts w:ascii="Arial" w:hAnsi="Arial" w:cs="Arial"/>
          <w:sz w:val="22"/>
          <w:szCs w:val="22"/>
        </w:rPr>
      </w:pPr>
      <w:r w:rsidRPr="00863D13">
        <w:rPr>
          <w:rFonts w:ascii="Arial" w:hAnsi="Arial" w:cs="Arial"/>
          <w:sz w:val="22"/>
          <w:szCs w:val="22"/>
        </w:rPr>
        <w:t>A case study is an in-depth investigation of a present-day occurrence. Typically, a case study has a defined space and time frame: “a phenomenon of some sort in bounded context” (Miles, Huberman &amp; Saldana, 2014, p. 28). There are many benefits and drawbacks around the research</w:t>
      </w:r>
      <w:r w:rsidR="00213585" w:rsidRPr="00863D13">
        <w:rPr>
          <w:rFonts w:ascii="Arial" w:hAnsi="Arial" w:cs="Arial"/>
          <w:sz w:val="22"/>
          <w:szCs w:val="22"/>
        </w:rPr>
        <w:t xml:space="preserve"> approach of a case study. Case studies can be a popular research method because they can be conducted whenever the researcher chooses throughout the research process. A key benefit </w:t>
      </w:r>
      <w:r w:rsidR="009B1A19" w:rsidRPr="00863D13">
        <w:rPr>
          <w:rFonts w:ascii="Arial" w:hAnsi="Arial" w:cs="Arial"/>
          <w:sz w:val="22"/>
          <w:szCs w:val="22"/>
        </w:rPr>
        <w:t>in the development of a case study is that you can take what Hodkinson and Hodkinson call ‘lived reality’ (2001:3). Case studies have the potential, when applied successfully, to ‘retain more of the “noise” of real life than many other types of research’ (Hodkinson and Hodkinson, 2001).</w:t>
      </w:r>
      <w:r w:rsidR="00C02BFB" w:rsidRPr="00863D13">
        <w:rPr>
          <w:rFonts w:ascii="Arial" w:hAnsi="Arial" w:cs="Arial"/>
          <w:sz w:val="22"/>
          <w:szCs w:val="22"/>
        </w:rPr>
        <w:t xml:space="preserve"> The use of a case study can be particularly useful in educational contexts, because the researcher may come face to face with unwanted variables, but this can always add more advantages which are valuable to the research, even if unexpected.</w:t>
      </w:r>
      <w:r w:rsidR="00A923E3" w:rsidRPr="00863D13">
        <w:rPr>
          <w:rFonts w:ascii="Arial" w:hAnsi="Arial" w:cs="Arial"/>
          <w:sz w:val="22"/>
          <w:szCs w:val="22"/>
        </w:rPr>
        <w:t xml:space="preserve"> Case studies also allow any researcher to investigate more in-depth than using other research methods as they are focussing on gaining rich qualitative data from the proposed subject of study. </w:t>
      </w:r>
      <w:r w:rsidR="00C02BFB" w:rsidRPr="00863D13">
        <w:rPr>
          <w:rFonts w:ascii="Arial" w:hAnsi="Arial" w:cs="Arial"/>
          <w:sz w:val="22"/>
          <w:szCs w:val="22"/>
        </w:rPr>
        <w:t xml:space="preserve">Some drawbacks to the method of a case study could be the challenge of generality. Experts advise that care should be taken when attempting to </w:t>
      </w:r>
      <w:r w:rsidR="00C02BFB" w:rsidRPr="00863D13">
        <w:rPr>
          <w:rFonts w:ascii="Arial" w:hAnsi="Arial" w:cs="Arial"/>
          <w:sz w:val="22"/>
          <w:szCs w:val="22"/>
        </w:rPr>
        <w:lastRenderedPageBreak/>
        <w:t>generalise the findings (Murphy, 2014)</w:t>
      </w:r>
      <w:r w:rsidR="00A923E3" w:rsidRPr="00863D13">
        <w:rPr>
          <w:rFonts w:ascii="Arial" w:hAnsi="Arial" w:cs="Arial"/>
          <w:sz w:val="22"/>
          <w:szCs w:val="22"/>
        </w:rPr>
        <w:t xml:space="preserve"> Another limitation to be considered is the potential researcher bias. It could be that the researchers’ own feelings and opinions may influence the case study which would cause a knock-on effect with the ethicality of the methodology. Case studies are also recognised to be time-consuming, which could impact on the depth of the analysis in the initial plan of the research. A key point to keep in mind is that case studies are based on the analysis of qualitive data which means, the researcher will interpret the data however they see fit. This means there is always scope for observer bias and this could intrude on the assessment of what the data means</w:t>
      </w:r>
      <w:r w:rsidR="00E775A7" w:rsidRPr="00863D13">
        <w:rPr>
          <w:rFonts w:ascii="Arial" w:hAnsi="Arial" w:cs="Arial"/>
          <w:sz w:val="22"/>
          <w:szCs w:val="22"/>
        </w:rPr>
        <w:t xml:space="preserve"> (McLeod, 2019). </w:t>
      </w:r>
      <w:proofErr w:type="gramStart"/>
      <w:r w:rsidR="00E775A7" w:rsidRPr="00863D13">
        <w:rPr>
          <w:rFonts w:ascii="Arial" w:hAnsi="Arial" w:cs="Arial"/>
          <w:sz w:val="22"/>
          <w:szCs w:val="22"/>
        </w:rPr>
        <w:t>For the purpose of</w:t>
      </w:r>
      <w:proofErr w:type="gramEnd"/>
      <w:r w:rsidR="00E775A7" w:rsidRPr="00863D13">
        <w:rPr>
          <w:rFonts w:ascii="Arial" w:hAnsi="Arial" w:cs="Arial"/>
          <w:sz w:val="22"/>
          <w:szCs w:val="22"/>
        </w:rPr>
        <w:t xml:space="preserve"> the assignment, the participants of the research will be 3-4 four-year-old reception class children. The case study research takes place in the background of a foundation phase classroom, because of this the class teacher is also relevant to the study and therefore will be part of the research process. The method used to ensure the most representative sample from this research was by observing children from different ability groups. Although it is always kept in mind, that at this early stage in their education, foundation phase children’s boundaries have no limits, and this was important to remember throughout the whole research process. </w:t>
      </w:r>
    </w:p>
    <w:p w14:paraId="242352C0" w14:textId="0B4EC261" w:rsidR="00D45EBC" w:rsidRPr="00863D13" w:rsidRDefault="00D50E2C" w:rsidP="00863D13">
      <w:pPr>
        <w:pStyle w:val="NormalWeb"/>
        <w:spacing w:line="360" w:lineRule="auto"/>
        <w:jc w:val="both"/>
        <w:rPr>
          <w:rFonts w:ascii="Arial" w:hAnsi="Arial" w:cs="Arial"/>
          <w:sz w:val="22"/>
          <w:szCs w:val="22"/>
        </w:rPr>
      </w:pPr>
      <w:r w:rsidRPr="00863D13">
        <w:rPr>
          <w:rFonts w:ascii="Arial" w:hAnsi="Arial" w:cs="Arial"/>
          <w:sz w:val="22"/>
          <w:szCs w:val="22"/>
        </w:rPr>
        <w:t xml:space="preserve">For this research, there were two different research methods chosen to help attain the information necessary. The first being observation and the second an interview. Literature tells us that observation in qualitative research is “one of the oldest and most fundamental research methods approaches. The approach involves collecting data using one’s senses, especially looking, and listening in a systematic meaningful way” (McKechnie, 2008, p. 573). Similarly, characterised by Adler and Adler (1994) observations are the base of all research methods. </w:t>
      </w:r>
      <w:r w:rsidR="00D61BF7" w:rsidRPr="00863D13">
        <w:rPr>
          <w:rFonts w:ascii="Arial" w:hAnsi="Arial" w:cs="Arial"/>
          <w:sz w:val="22"/>
          <w:szCs w:val="22"/>
        </w:rPr>
        <w:t>Some strengths to using an observation method for an educational context research would be that the researcher is able to observe a real-life authentic context thoroughly. Observations enable us to find out about specific learning needs of each child which is especially important in relation to the research question at hand. The research question of ‘</w:t>
      </w:r>
      <w:r w:rsidR="00D61BF7" w:rsidRPr="00863D13">
        <w:rPr>
          <w:rFonts w:ascii="Arial" w:hAnsi="Arial" w:cs="Arial"/>
          <w:sz w:val="22"/>
          <w:szCs w:val="22"/>
        </w:rPr>
        <w:t>What is the importance in the use of differentiation strategies throughout a Foundation Phase classroom?</w:t>
      </w:r>
      <w:r w:rsidR="00D61BF7" w:rsidRPr="00863D13">
        <w:rPr>
          <w:rFonts w:ascii="Arial" w:hAnsi="Arial" w:cs="Arial"/>
          <w:sz w:val="22"/>
          <w:szCs w:val="22"/>
        </w:rPr>
        <w:t xml:space="preserve">’ is extremely compatible with the method of observation because as a researcher, you can witness things that participants might not routinely notice or mention in an interview. </w:t>
      </w:r>
      <w:r w:rsidR="00274DD6" w:rsidRPr="00863D13">
        <w:rPr>
          <w:rFonts w:ascii="Arial" w:hAnsi="Arial" w:cs="Arial"/>
          <w:sz w:val="22"/>
          <w:szCs w:val="22"/>
        </w:rPr>
        <w:t xml:space="preserve">Friedrich Froebel (1782-1852) learned much from observing children when playing alone or with other children. According to Froebel, </w:t>
      </w:r>
      <w:r w:rsidR="00C866BA" w:rsidRPr="00863D13">
        <w:rPr>
          <w:rFonts w:ascii="Arial" w:hAnsi="Arial" w:cs="Arial"/>
          <w:sz w:val="22"/>
          <w:szCs w:val="22"/>
        </w:rPr>
        <w:t xml:space="preserve">the behaviour of a young child carries great significance and emphasised observations can support children’s development and learning as well as in terms of research, collection of data. </w:t>
      </w:r>
      <w:r w:rsidR="00274DD6" w:rsidRPr="00863D13">
        <w:rPr>
          <w:rFonts w:ascii="Arial" w:hAnsi="Arial" w:cs="Arial"/>
          <w:sz w:val="22"/>
          <w:szCs w:val="22"/>
        </w:rPr>
        <w:t xml:space="preserve">Limitations for the method of observation could be that the research could be bias, as well as issues with validity are more common in observational studies. </w:t>
      </w:r>
      <w:r w:rsidR="00C866BA" w:rsidRPr="00863D13">
        <w:rPr>
          <w:rFonts w:ascii="Arial" w:hAnsi="Arial" w:cs="Arial"/>
          <w:sz w:val="22"/>
          <w:szCs w:val="22"/>
        </w:rPr>
        <w:t xml:space="preserve">This could be because the research is only able to interpret the data personally and record it this way. For this research, the observation was recorded using a specific scale like the Lueven Scale. The Lueven Scale has a history that stretches back to the 1980s. It is used </w:t>
      </w:r>
      <w:r w:rsidR="00C866BA" w:rsidRPr="00863D13">
        <w:rPr>
          <w:rFonts w:ascii="Arial" w:hAnsi="Arial" w:cs="Arial"/>
          <w:sz w:val="22"/>
          <w:szCs w:val="22"/>
        </w:rPr>
        <w:lastRenderedPageBreak/>
        <w:t xml:space="preserve">as a ‘tool’ for practitioners to use when evaluating quality in their settings (for this assignment, the classroom). The Lueven Scale is an observational scale from 1-5, that allows early years practitioners to calculate the degree in which a child is involved in an activity, majority of the time, self-chosen. </w:t>
      </w:r>
      <w:r w:rsidR="003900FF" w:rsidRPr="00863D13">
        <w:rPr>
          <w:rFonts w:ascii="Arial" w:hAnsi="Arial" w:cs="Arial"/>
          <w:sz w:val="22"/>
          <w:szCs w:val="22"/>
        </w:rPr>
        <w:t>The scale gives descriptors for each level and as noted in Appendix One, the scale is based for this observation on the premise that higher levels of involvement can be used as measures for development</w:t>
      </w:r>
      <w:r w:rsidR="00D57BC7" w:rsidRPr="00863D13">
        <w:rPr>
          <w:rFonts w:ascii="Arial" w:hAnsi="Arial" w:cs="Arial"/>
          <w:sz w:val="22"/>
          <w:szCs w:val="22"/>
        </w:rPr>
        <w:t xml:space="preserve"> or in this case to gain further understanding of a specific topic. For this research, the observation schedule was created largely upon the Lueven Scale outline as the researcher believed that this was the best way to gain evidence whilst observing the participants. The scale requires as much or as little detail as the researcher requires meaning in a school setting it can be tailored for use throughout both busy and quieter observation sessions. The second method used for the research conducted was a small-scale interview with the class teacher. This method was chosen because the class teacher is already very familiar with the inner workings of a foundation phase classroom and from previous discussions had a clear view on why differentiation throughout the phase is important. </w:t>
      </w:r>
      <w:r w:rsidR="008A5EE5" w:rsidRPr="00863D13">
        <w:rPr>
          <w:rFonts w:ascii="Arial" w:hAnsi="Arial" w:cs="Arial"/>
          <w:sz w:val="22"/>
          <w:szCs w:val="22"/>
        </w:rPr>
        <w:t xml:space="preserve">Carolyn Boyce (2006) says the primary advantage of using interviews is that they provide much more detailed information than what is available from other forms of data collection. When you compare this method to the previous research method used for this assignment, the obvious difference is the mass of data you can collect. Another strength when using interviews is that the participants are invited to feel more relaxed to share views and opinions. This would enable the researcher to experience more conversation around the topic rather than filling out a questionnaire which could help the research become more personal. On the other hand, there are a few limitations with the use of interviews for a research purpose. Firstly, the interview could be prone to bias because participants may want to prove their point rather than share opinions. For this research, every effort was made so that the data collection was created for minimal bias. This was achieved by asking open questions as noted in Appendix 2. </w:t>
      </w:r>
      <w:r w:rsidR="00C72891" w:rsidRPr="00863D13">
        <w:rPr>
          <w:rFonts w:ascii="Arial" w:hAnsi="Arial" w:cs="Arial"/>
          <w:sz w:val="22"/>
          <w:szCs w:val="22"/>
        </w:rPr>
        <w:t xml:space="preserve">“The ability to ask questions is the greatest resource in learning the truth” (Jung, n.d). Interviews can also be quite time consuming which means a researcher would need to be organised before conducting the research and to bear in mind any complications that may arise in the planning, transcription, and analysis of the results. Both research methods worked well in partnership with one another, and lots of great information and data was collected for the research from the use of both methods. However, there was a few moments noted throughout the observation part of the interview when going forward could be a possible area for improvement. </w:t>
      </w:r>
      <w:r w:rsidR="007E7DCD" w:rsidRPr="00863D13">
        <w:rPr>
          <w:rFonts w:ascii="Arial" w:hAnsi="Arial" w:cs="Arial"/>
          <w:sz w:val="22"/>
          <w:szCs w:val="22"/>
        </w:rPr>
        <w:t xml:space="preserve">Although the use of observation worked very well for this age group of children, at many points throughout the observation it would hard to make sure every of every child’s engagement as due to the busy nature of the age group. Nevertheless, this research method suited both the participants and the researcher well as the observation schedule could be adapted for us at any point throughout the school day or week as there were multiple </w:t>
      </w:r>
      <w:r w:rsidR="007E7DCD" w:rsidRPr="00863D13">
        <w:rPr>
          <w:rFonts w:ascii="Arial" w:hAnsi="Arial" w:cs="Arial"/>
          <w:sz w:val="22"/>
          <w:szCs w:val="22"/>
        </w:rPr>
        <w:lastRenderedPageBreak/>
        <w:t xml:space="preserve">opportunities for the data to be collected. In future research assignments, there is a possibility that </w:t>
      </w:r>
      <w:r w:rsidR="00BD7E5B" w:rsidRPr="00863D13">
        <w:rPr>
          <w:rFonts w:ascii="Arial" w:hAnsi="Arial" w:cs="Arial"/>
          <w:sz w:val="22"/>
          <w:szCs w:val="22"/>
        </w:rPr>
        <w:t xml:space="preserve">semi-structured interviews could be used for this age group and this method could have worked well for this case study as it was focussing on different ability children throughout the class. The research collected could have included a variation of different information from each child and this is important to keep in mind for future research studies. </w:t>
      </w:r>
    </w:p>
    <w:p w14:paraId="67CD67FF" w14:textId="25A7D18E" w:rsidR="00E011B1" w:rsidRPr="00863D13" w:rsidRDefault="00E011B1" w:rsidP="00863D13">
      <w:pPr>
        <w:pStyle w:val="NormalWeb"/>
        <w:spacing w:line="360" w:lineRule="auto"/>
        <w:jc w:val="both"/>
        <w:rPr>
          <w:rFonts w:ascii="Arial" w:hAnsi="Arial" w:cs="Arial"/>
          <w:sz w:val="22"/>
          <w:szCs w:val="22"/>
        </w:rPr>
      </w:pPr>
      <w:r w:rsidRPr="00863D13">
        <w:rPr>
          <w:rFonts w:ascii="Arial" w:hAnsi="Arial" w:cs="Arial"/>
          <w:sz w:val="22"/>
          <w:szCs w:val="22"/>
        </w:rPr>
        <w:t>The way in which data is presented is important because it shows the data you have collected in a simpler form for the reader to understand. It provides a well-rounded presentation of research findings as well as the analysis concluded from the study.</w:t>
      </w:r>
      <w:r w:rsidR="004346AD" w:rsidRPr="00863D13">
        <w:rPr>
          <w:rFonts w:ascii="Arial" w:hAnsi="Arial" w:cs="Arial"/>
          <w:sz w:val="22"/>
          <w:szCs w:val="22"/>
        </w:rPr>
        <w:t xml:space="preserve"> </w:t>
      </w:r>
      <w:r w:rsidR="004346AD" w:rsidRPr="00863D13">
        <w:rPr>
          <w:rFonts w:ascii="Arial" w:hAnsi="Arial" w:cs="Arial"/>
          <w:sz w:val="22"/>
          <w:szCs w:val="22"/>
        </w:rPr>
        <w:t>Effective presentation and reporting of the data requires using the data collected as well as the ideas generated from the data to build an argument that establishes the point or points you wish to make (Bazel</w:t>
      </w:r>
      <w:r w:rsidR="004346AD" w:rsidRPr="00863D13">
        <w:rPr>
          <w:rFonts w:ascii="Arial" w:hAnsi="Arial" w:cs="Arial"/>
          <w:sz w:val="22"/>
          <w:szCs w:val="22"/>
        </w:rPr>
        <w:t>e</w:t>
      </w:r>
      <w:r w:rsidR="004346AD" w:rsidRPr="00863D13">
        <w:rPr>
          <w:rFonts w:ascii="Arial" w:hAnsi="Arial" w:cs="Arial"/>
          <w:sz w:val="22"/>
          <w:szCs w:val="22"/>
        </w:rPr>
        <w:t>y, 2009).</w:t>
      </w:r>
      <w:r w:rsidR="004346AD" w:rsidRPr="00863D13">
        <w:rPr>
          <w:rFonts w:ascii="Arial" w:hAnsi="Arial" w:cs="Arial"/>
          <w:sz w:val="22"/>
          <w:szCs w:val="22"/>
        </w:rPr>
        <w:t xml:space="preserve"> </w:t>
      </w:r>
      <w:r w:rsidRPr="00863D13">
        <w:rPr>
          <w:rFonts w:ascii="Arial" w:hAnsi="Arial" w:cs="Arial"/>
          <w:sz w:val="22"/>
          <w:szCs w:val="22"/>
        </w:rPr>
        <w:t xml:space="preserve"> </w:t>
      </w:r>
      <w:r w:rsidR="00F51E58" w:rsidRPr="00863D13">
        <w:rPr>
          <w:rFonts w:ascii="Arial" w:hAnsi="Arial" w:cs="Arial"/>
          <w:sz w:val="22"/>
          <w:szCs w:val="22"/>
        </w:rPr>
        <w:t xml:space="preserve">As stated as per the ethics form, the data collected from both the observation schedule as well as the semi-structured interview was stored safely in a locked cupboard that only the researcher and class teacher had access to. The data collected was already anonymised for research purposes and this is because each participant was referred to throughout the data collection using pseudonyms. </w:t>
      </w:r>
      <w:r w:rsidR="003E76DF" w:rsidRPr="00863D13">
        <w:rPr>
          <w:rFonts w:ascii="Arial" w:hAnsi="Arial" w:cs="Arial"/>
          <w:sz w:val="22"/>
          <w:szCs w:val="22"/>
        </w:rPr>
        <w:t xml:space="preserve">According to Braun &amp; Clarke (2006) there are six phases of thematic analysis. However, this model is advisory, and the analysis becomes a recursive process. After the data was collected from all participants, then followed a thorough familiarisation process to gain the maximum advantages possible from the data. Braun &amp; Clarke’s (2006) second phase is coding. Coding was used after the research was conducted because it reduced the data to understand the findings out at a more logical level. </w:t>
      </w:r>
      <w:r w:rsidR="00EA476D" w:rsidRPr="00863D13">
        <w:rPr>
          <w:rFonts w:ascii="Arial" w:hAnsi="Arial" w:cs="Arial"/>
          <w:sz w:val="22"/>
          <w:szCs w:val="22"/>
        </w:rPr>
        <w:t xml:space="preserve">Coding the research enables the researcher to focus more on thematic points of the research and connect whether the data collected links with patterns found in the study. After this stage in the analysis, the researcher then identified the themes found throughout the observational part of the research and conducted a detailed evaluation. </w:t>
      </w:r>
      <w:r w:rsidR="003B6C6C" w:rsidRPr="00863D13">
        <w:rPr>
          <w:rFonts w:ascii="Arial" w:hAnsi="Arial" w:cs="Arial"/>
          <w:sz w:val="22"/>
          <w:szCs w:val="22"/>
        </w:rPr>
        <w:t>A drawback found from this type of data analysis is that it was discovered there were predetermined themes that the researcher expected to find. For example, it was already thought that differentiation in the classroom was fundamental to the development of different ability children. However, as this theme was already a stimulus for the research, the use of the deductive coding was helpful to guarantee the areas of interest for the purpose of the research. On the other hand, an area to remain focussed on is t</w:t>
      </w:r>
      <w:r w:rsidR="008E5064" w:rsidRPr="00863D13">
        <w:rPr>
          <w:rFonts w:ascii="Arial" w:hAnsi="Arial" w:cs="Arial"/>
          <w:sz w:val="22"/>
          <w:szCs w:val="22"/>
        </w:rPr>
        <w:t xml:space="preserve">hat bias may occur with predetermined themes. It is very important throughout the analysis of data that the researcher reflects on the bias of the interpretations as well as document these reasons and why they could influence the results. </w:t>
      </w:r>
    </w:p>
    <w:p w14:paraId="579AAF11" w14:textId="264009F3" w:rsidR="002C07A4" w:rsidRDefault="001075D7" w:rsidP="00863D13">
      <w:pPr>
        <w:pStyle w:val="NormalWeb"/>
        <w:spacing w:line="360" w:lineRule="auto"/>
        <w:jc w:val="both"/>
        <w:rPr>
          <w:rFonts w:ascii="Arial" w:hAnsi="Arial" w:cs="Arial"/>
          <w:sz w:val="22"/>
          <w:szCs w:val="22"/>
        </w:rPr>
      </w:pPr>
      <w:r w:rsidRPr="00863D13">
        <w:rPr>
          <w:rFonts w:ascii="Arial" w:hAnsi="Arial" w:cs="Arial"/>
          <w:sz w:val="22"/>
          <w:szCs w:val="22"/>
        </w:rPr>
        <w:t xml:space="preserve">Throughout this research, many ethical considerations were in place and remained significant throughout the whole process. For </w:t>
      </w:r>
      <w:proofErr w:type="gramStart"/>
      <w:r w:rsidR="002C07A4" w:rsidRPr="00863D13">
        <w:rPr>
          <w:rFonts w:ascii="Arial" w:hAnsi="Arial" w:cs="Arial"/>
          <w:sz w:val="22"/>
          <w:szCs w:val="22"/>
        </w:rPr>
        <w:t>example,</w:t>
      </w:r>
      <w:r w:rsidR="0087104E" w:rsidRPr="00863D13">
        <w:rPr>
          <w:rFonts w:ascii="Arial" w:hAnsi="Arial" w:cs="Arial"/>
          <w:sz w:val="22"/>
          <w:szCs w:val="22"/>
        </w:rPr>
        <w:t xml:space="preserve"> and</w:t>
      </w:r>
      <w:proofErr w:type="gramEnd"/>
      <w:r w:rsidRPr="00863D13">
        <w:rPr>
          <w:rFonts w:ascii="Arial" w:hAnsi="Arial" w:cs="Arial"/>
          <w:sz w:val="22"/>
          <w:szCs w:val="22"/>
        </w:rPr>
        <w:t xml:space="preserve"> referring explicitly to the ethics form completed for this assignment, one ethical consideration that remained at the forefront of the </w:t>
      </w:r>
      <w:r w:rsidRPr="00863D13">
        <w:rPr>
          <w:rFonts w:ascii="Arial" w:hAnsi="Arial" w:cs="Arial"/>
          <w:sz w:val="22"/>
          <w:szCs w:val="22"/>
        </w:rPr>
        <w:lastRenderedPageBreak/>
        <w:t xml:space="preserve">data collection was whether the purpose of this research was valuable </w:t>
      </w:r>
      <w:r w:rsidR="0087104E" w:rsidRPr="00863D13">
        <w:rPr>
          <w:rFonts w:ascii="Arial" w:hAnsi="Arial" w:cs="Arial"/>
          <w:sz w:val="22"/>
          <w:szCs w:val="22"/>
        </w:rPr>
        <w:t>and purposeful for the participants involved</w:t>
      </w:r>
      <w:r w:rsidR="00826EAB" w:rsidRPr="00863D13">
        <w:rPr>
          <w:rFonts w:ascii="Arial" w:hAnsi="Arial" w:cs="Arial"/>
          <w:sz w:val="22"/>
          <w:szCs w:val="22"/>
        </w:rPr>
        <w:t xml:space="preserve"> (conflict of interest)</w:t>
      </w:r>
      <w:r w:rsidR="0087104E" w:rsidRPr="00863D13">
        <w:rPr>
          <w:rFonts w:ascii="Arial" w:hAnsi="Arial" w:cs="Arial"/>
          <w:sz w:val="22"/>
          <w:szCs w:val="22"/>
        </w:rPr>
        <w:t xml:space="preserve">. This risk was mitigated as with the guidance from the class teacher, the research was able to be conducted from a focus group maths session from the current topic the children were learning about. Another risk for the participant is the issue of the participants remaining anonymous. This risk was combatted straight away by referring to each of the participants using pseudonyms which can be seen in Appendix One (the observation schedule) of Child A, B, C and D. The teacher and school also remained anonymous for the purpose of the research and were also referred to using pseudonyms. Although the observation took place in a focus group maths session, the pupils were under no pressure to achieve </w:t>
      </w:r>
      <w:r w:rsidR="007F3A5D" w:rsidRPr="00863D13">
        <w:rPr>
          <w:rFonts w:ascii="Arial" w:hAnsi="Arial" w:cs="Arial"/>
          <w:sz w:val="22"/>
          <w:szCs w:val="22"/>
        </w:rPr>
        <w:t xml:space="preserve">or continue to take part in the activity and this was reinforced lots of times verbally by the researcher. The researcher gained assent from the children by asking if they were </w:t>
      </w:r>
      <w:r w:rsidR="00826EAB" w:rsidRPr="00863D13">
        <w:rPr>
          <w:rFonts w:ascii="Arial" w:hAnsi="Arial" w:cs="Arial"/>
          <w:sz w:val="22"/>
          <w:szCs w:val="22"/>
        </w:rPr>
        <w:t>both happy and comfortable</w:t>
      </w:r>
      <w:r w:rsidR="007F3A5D" w:rsidRPr="00863D13">
        <w:rPr>
          <w:rFonts w:ascii="Arial" w:hAnsi="Arial" w:cs="Arial"/>
          <w:sz w:val="22"/>
          <w:szCs w:val="22"/>
        </w:rPr>
        <w:t xml:space="preserve"> to take part in an activity where they would be</w:t>
      </w:r>
      <w:r w:rsidR="00826EAB" w:rsidRPr="00863D13">
        <w:rPr>
          <w:rFonts w:ascii="Arial" w:hAnsi="Arial" w:cs="Arial"/>
          <w:sz w:val="22"/>
          <w:szCs w:val="22"/>
        </w:rPr>
        <w:t xml:space="preserve"> observed as per their engagement with the task. The task created for the research was educational for the participants but not detrimental to their development with the class teacher meaning it was completed by the children for the purpose of the research but was also a time for learning through play too which is always beneficial in an early </w:t>
      </w:r>
      <w:r w:rsidR="00EE073A" w:rsidRPr="00863D13">
        <w:rPr>
          <w:rFonts w:ascii="Arial" w:hAnsi="Arial" w:cs="Arial"/>
          <w:sz w:val="22"/>
          <w:szCs w:val="22"/>
        </w:rPr>
        <w:t>year’s</w:t>
      </w:r>
      <w:r w:rsidR="00826EAB" w:rsidRPr="00863D13">
        <w:rPr>
          <w:rFonts w:ascii="Arial" w:hAnsi="Arial" w:cs="Arial"/>
          <w:sz w:val="22"/>
          <w:szCs w:val="22"/>
        </w:rPr>
        <w:t xml:space="preserve"> classroom. </w:t>
      </w:r>
      <w:r w:rsidR="002C07A4">
        <w:rPr>
          <w:rFonts w:ascii="Arial" w:hAnsi="Arial" w:cs="Arial"/>
          <w:sz w:val="22"/>
          <w:szCs w:val="22"/>
        </w:rPr>
        <w:t xml:space="preserve"> BERA (2018) recommends that at all stages of the project, from planning to conducting the research that educational researchers should undertake wide consultation to identify any ethical issues that could arise. Keeping the BERA guidance in mind, it would mean that ethical decisions were made deliberately, and iterative of the process of assessing the situation and any issues that could arise.</w:t>
      </w:r>
    </w:p>
    <w:p w14:paraId="59B29979" w14:textId="51341F1E" w:rsidR="00575F81" w:rsidRPr="00863D13" w:rsidRDefault="00855B25" w:rsidP="00863D13">
      <w:pPr>
        <w:pStyle w:val="NormalWeb"/>
        <w:spacing w:line="360" w:lineRule="auto"/>
        <w:jc w:val="both"/>
        <w:rPr>
          <w:rFonts w:ascii="Arial" w:hAnsi="Arial" w:cs="Arial"/>
          <w:sz w:val="22"/>
          <w:szCs w:val="22"/>
        </w:rPr>
      </w:pPr>
      <w:r w:rsidRPr="00863D13">
        <w:rPr>
          <w:rFonts w:ascii="Arial" w:hAnsi="Arial" w:cs="Arial"/>
          <w:sz w:val="22"/>
          <w:szCs w:val="22"/>
        </w:rPr>
        <w:t>The next part of the writing</w:t>
      </w:r>
      <w:r w:rsidR="0071453A" w:rsidRPr="00863D13">
        <w:rPr>
          <w:rFonts w:ascii="Arial" w:hAnsi="Arial" w:cs="Arial"/>
          <w:sz w:val="22"/>
          <w:szCs w:val="22"/>
        </w:rPr>
        <w:t xml:space="preserve"> will share the data found from the </w:t>
      </w:r>
      <w:r w:rsidRPr="00863D13">
        <w:rPr>
          <w:rFonts w:ascii="Arial" w:hAnsi="Arial" w:cs="Arial"/>
          <w:sz w:val="22"/>
          <w:szCs w:val="22"/>
        </w:rPr>
        <w:t xml:space="preserve">observation and interview. As previously mentioned, the observation took place during a maths session where four different ability level children were working at their own pace in completing an activity. </w:t>
      </w:r>
      <w:r w:rsidR="00AC2E12" w:rsidRPr="00863D13">
        <w:rPr>
          <w:rFonts w:ascii="Arial" w:hAnsi="Arial" w:cs="Arial"/>
          <w:sz w:val="22"/>
          <w:szCs w:val="22"/>
        </w:rPr>
        <w:t>T</w:t>
      </w:r>
      <w:r w:rsidRPr="00863D13">
        <w:rPr>
          <w:rFonts w:ascii="Arial" w:hAnsi="Arial" w:cs="Arial"/>
          <w:sz w:val="22"/>
          <w:szCs w:val="22"/>
        </w:rPr>
        <w:t xml:space="preserve">here was planned differentiation for each of the children </w:t>
      </w:r>
      <w:r w:rsidR="00AC2E12" w:rsidRPr="00863D13">
        <w:rPr>
          <w:rFonts w:ascii="Arial" w:hAnsi="Arial" w:cs="Arial"/>
          <w:sz w:val="22"/>
          <w:szCs w:val="22"/>
        </w:rPr>
        <w:t xml:space="preserve">for the task </w:t>
      </w:r>
      <w:r w:rsidRPr="00863D13">
        <w:rPr>
          <w:rFonts w:ascii="Arial" w:hAnsi="Arial" w:cs="Arial"/>
          <w:sz w:val="22"/>
          <w:szCs w:val="22"/>
        </w:rPr>
        <w:t>and this was explained to them individually. The observation plan was recorded on a Lueven scale-based record where each child was measured on their engagement with the task. In general, all four of the children hit peaks and troughs with their focus throughout the task and this could be due to the nature of a loud classroom as well as the age of the participants.</w:t>
      </w:r>
      <w:r w:rsidR="00AC2E12" w:rsidRPr="00863D13">
        <w:rPr>
          <w:rFonts w:ascii="Arial" w:hAnsi="Arial" w:cs="Arial"/>
          <w:sz w:val="22"/>
          <w:szCs w:val="22"/>
        </w:rPr>
        <w:t xml:space="preserve"> Reports found that children’s subjective reactions to noise in the classroom does not directly relate to the actual effect of noise on their performance (Hygge, 2003); (Slater, 1968). Some experts say that some pupils are impaired by noise but do not feel annoyed by it, when on the other hand some peoples feel extremely annoyed but achieve the same results as well in silence as in noise. As the observation took place, it was obvious to see the children’s ability levels (given by Teacher A) matched up with the level of task they were asked to complete, and this was reflected in their engagement too. However, it should not be ruled out that for example, the lower ability children being observed </w:t>
      </w:r>
      <w:r w:rsidR="00AC2E12" w:rsidRPr="00863D13">
        <w:rPr>
          <w:rFonts w:ascii="Arial" w:hAnsi="Arial" w:cs="Arial"/>
          <w:sz w:val="22"/>
          <w:szCs w:val="22"/>
        </w:rPr>
        <w:lastRenderedPageBreak/>
        <w:t xml:space="preserve">could not complete the higher ability level task. </w:t>
      </w:r>
      <w:r w:rsidRPr="00863D13">
        <w:rPr>
          <w:rFonts w:ascii="Arial" w:hAnsi="Arial" w:cs="Arial"/>
          <w:sz w:val="22"/>
          <w:szCs w:val="22"/>
        </w:rPr>
        <w:t xml:space="preserve">In hindsight, a different way to measure the way in which differentiation is used could have been to offer the children to pick what level task they would like to – rather than </w:t>
      </w:r>
      <w:r w:rsidR="00AC2E12" w:rsidRPr="00863D13">
        <w:rPr>
          <w:rFonts w:ascii="Arial" w:hAnsi="Arial" w:cs="Arial"/>
          <w:sz w:val="22"/>
          <w:szCs w:val="22"/>
        </w:rPr>
        <w:t>ass</w:t>
      </w:r>
      <w:r w:rsidR="00AC2E12" w:rsidRPr="00863D13">
        <w:rPr>
          <w:rFonts w:ascii="Arial" w:hAnsi="Arial" w:cs="Arial"/>
          <w:color w:val="333333"/>
          <w:sz w:val="22"/>
          <w:szCs w:val="22"/>
          <w:shd w:val="clear" w:color="auto" w:fill="FFFFFF"/>
        </w:rPr>
        <w:t>i</w:t>
      </w:r>
      <w:r w:rsidR="00AC2E12" w:rsidRPr="00863D13">
        <w:rPr>
          <w:rFonts w:ascii="Arial" w:hAnsi="Arial" w:cs="Arial"/>
          <w:sz w:val="22"/>
          <w:szCs w:val="22"/>
        </w:rPr>
        <w:t>gning</w:t>
      </w:r>
      <w:r w:rsidRPr="00863D13">
        <w:rPr>
          <w:rFonts w:ascii="Arial" w:hAnsi="Arial" w:cs="Arial"/>
          <w:sz w:val="22"/>
          <w:szCs w:val="22"/>
        </w:rPr>
        <w:t xml:space="preserve"> just based off previous ability records. </w:t>
      </w:r>
      <w:r w:rsidR="00AC2E12" w:rsidRPr="00863D13">
        <w:rPr>
          <w:rFonts w:ascii="Arial" w:hAnsi="Arial" w:cs="Arial"/>
          <w:sz w:val="22"/>
          <w:szCs w:val="22"/>
        </w:rPr>
        <w:t xml:space="preserve">The interview conducted with Teacher A consisted of five questions. The interview discussed the different aspects of differentiation in the classroom and Teacher A shared their opinion on why it works so well for not only their current class, but the age group in general. They explained it is a way to help them develop further as they continue through the school, as well as identifying children who could be identified as ALN or need </w:t>
      </w:r>
      <w:r w:rsidR="00575F81" w:rsidRPr="00863D13">
        <w:rPr>
          <w:rFonts w:ascii="Arial" w:hAnsi="Arial" w:cs="Arial"/>
          <w:sz w:val="22"/>
          <w:szCs w:val="22"/>
        </w:rPr>
        <w:t>an</w:t>
      </w:r>
      <w:r w:rsidR="00AC2E12" w:rsidRPr="00863D13">
        <w:rPr>
          <w:rFonts w:ascii="Arial" w:hAnsi="Arial" w:cs="Arial"/>
          <w:sz w:val="22"/>
          <w:szCs w:val="22"/>
        </w:rPr>
        <w:t xml:space="preserve"> Individual Learning Plan (ILP) etc. </w:t>
      </w:r>
      <w:r w:rsidR="00575F81" w:rsidRPr="00863D13">
        <w:rPr>
          <w:rFonts w:ascii="Arial" w:hAnsi="Arial" w:cs="Arial"/>
          <w:sz w:val="22"/>
          <w:szCs w:val="22"/>
        </w:rPr>
        <w:t xml:space="preserve">At this age, it is less about the actual ability of the children but more what are they able to achieve when asked as this could differ from day to day in a reception classroom. Between the ages of 3-5, children have not even </w:t>
      </w:r>
      <w:proofErr w:type="gramStart"/>
      <w:r w:rsidR="00575F81" w:rsidRPr="00863D13">
        <w:rPr>
          <w:rFonts w:ascii="Arial" w:hAnsi="Arial" w:cs="Arial"/>
          <w:sz w:val="22"/>
          <w:szCs w:val="22"/>
        </w:rPr>
        <w:t>began</w:t>
      </w:r>
      <w:proofErr w:type="gramEnd"/>
      <w:r w:rsidR="00575F81" w:rsidRPr="00863D13">
        <w:rPr>
          <w:rFonts w:ascii="Arial" w:hAnsi="Arial" w:cs="Arial"/>
          <w:sz w:val="22"/>
          <w:szCs w:val="22"/>
        </w:rPr>
        <w:t xml:space="preserve"> to develop cognitive skills fully yet and this should always be remembered in current research endeavours. The research showed that differentiation does work well as a tool for completion of tasks in this foundation phase class and the reasoning why was fully understood by the researcher throughout the interview. In the book Outstanding Differentiation for Learning in the Classroom (Bartlett, 2015) it is states that all learners are different, and teachers must differentiate according to the individual pupil and their individual learning needs to achieve outstanding progress (Bartlett, 2015). </w:t>
      </w:r>
    </w:p>
    <w:p w14:paraId="6932EFAD" w14:textId="71279470" w:rsidR="00575F81" w:rsidRDefault="009714AF" w:rsidP="00863D13">
      <w:pPr>
        <w:pStyle w:val="NormalWeb"/>
        <w:spacing w:line="360" w:lineRule="auto"/>
        <w:jc w:val="both"/>
        <w:rPr>
          <w:rFonts w:ascii="Arial" w:hAnsi="Arial" w:cs="Arial"/>
          <w:sz w:val="22"/>
          <w:szCs w:val="22"/>
        </w:rPr>
      </w:pPr>
      <w:r w:rsidRPr="00863D13">
        <w:rPr>
          <w:rFonts w:ascii="Arial" w:hAnsi="Arial" w:cs="Arial"/>
          <w:sz w:val="22"/>
          <w:szCs w:val="22"/>
        </w:rPr>
        <w:t xml:space="preserve">In preparation for this research study, many different methods of research were collated and examined for whether they would be reliable for the sort of data collection needed. It was found that throughout the research process, these methods of collecting data were reliable for this context and worked well in enabling the researching to have a flexible way to achieve this research, as well as record what was found in as much or as little detail as needed. It was thought that the method would be valid for the purpose of this research as the context was in a school background where observations for the research can easily be achieved. The findings were able to be generalised as the data collection was happening and this is down to being able to take a step back from the research and look at the wider picture of what was meant to be achieved. Generalising the data helped to avoid any bias that could have potentially been. This was able to happen as characteristics of the participants were hidden and the data collected was focussed completely on the effectiveness of the differentiation of the task. For any future research, it would be worthy to think about involving more participants </w:t>
      </w:r>
      <w:r w:rsidR="003316F0" w:rsidRPr="00863D13">
        <w:rPr>
          <w:rFonts w:ascii="Arial" w:hAnsi="Arial" w:cs="Arial"/>
          <w:sz w:val="22"/>
          <w:szCs w:val="22"/>
        </w:rPr>
        <w:t>for an interview-based data collection as this could have entered different grounds in terms of what areas were covered when unpicking the data results. It could have been useful to understand a child’s point of view on the subject, but the understand of this topic would have to depend on the age. Including older children in interview-based research would work well as their formed opinions could add greatly to the depth of the research. This would link to the Professional Standards to the standard of professional learning as</w:t>
      </w:r>
      <w:r w:rsidR="00863D13" w:rsidRPr="00863D13">
        <w:rPr>
          <w:rFonts w:ascii="Arial" w:hAnsi="Arial" w:cs="Arial"/>
          <w:sz w:val="22"/>
          <w:szCs w:val="22"/>
        </w:rPr>
        <w:t xml:space="preserve"> the recent new curriculum </w:t>
      </w:r>
      <w:r w:rsidR="00863D13" w:rsidRPr="00863D13">
        <w:rPr>
          <w:rFonts w:ascii="Arial" w:hAnsi="Arial" w:cs="Arial"/>
          <w:sz w:val="22"/>
          <w:szCs w:val="22"/>
        </w:rPr>
        <w:lastRenderedPageBreak/>
        <w:t>set out by the Welsh Government includes central commitment to reforming and improving teachers’ professional development in continuing professional learning (Welsh Government, 2017). Constantly developing research questions like the one used for this case study would enable any teacher to be constantly learning and adapting to new effective tools in the classroom, as well as digging deeper to understand and apply the knowledge on what helps their learners to achieve to the best of their ability</w:t>
      </w:r>
      <w:r w:rsidR="00863D13">
        <w:rPr>
          <w:rFonts w:ascii="Arial" w:hAnsi="Arial" w:cs="Arial"/>
          <w:sz w:val="22"/>
          <w:szCs w:val="22"/>
        </w:rPr>
        <w:t>.</w:t>
      </w:r>
    </w:p>
    <w:p w14:paraId="5CA656BA" w14:textId="77777777" w:rsidR="00541E12" w:rsidRDefault="00541E12" w:rsidP="00541E12">
      <w:pPr>
        <w:pStyle w:val="NormalWeb"/>
        <w:shd w:val="clear" w:color="auto" w:fill="FFFFFF"/>
        <w:spacing w:before="0" w:beforeAutospacing="0" w:after="240" w:afterAutospacing="0" w:line="495" w:lineRule="atLeast"/>
        <w:rPr>
          <w:rFonts w:ascii="Arial" w:hAnsi="Arial" w:cs="Arial"/>
          <w:color w:val="000000"/>
          <w:sz w:val="33"/>
          <w:szCs w:val="33"/>
        </w:rPr>
      </w:pPr>
      <w:r>
        <w:rPr>
          <w:rFonts w:ascii="Arial" w:hAnsi="Arial" w:cs="Arial"/>
          <w:color w:val="000000"/>
          <w:sz w:val="33"/>
          <w:szCs w:val="33"/>
        </w:rPr>
        <w:t>Reference list</w:t>
      </w:r>
    </w:p>
    <w:p w14:paraId="745A020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American Psychological Association (2017). Cognitive and Social Skills to Expect From 3 to 5 Years.</w:t>
      </w:r>
      <w:r>
        <w:rPr>
          <w:rStyle w:val="apple-converted-space"/>
          <w:rFonts w:ascii="Arial" w:hAnsi="Arial" w:cs="Arial"/>
          <w:color w:val="000000"/>
          <w:sz w:val="22"/>
          <w:szCs w:val="22"/>
        </w:rPr>
        <w:t> </w:t>
      </w:r>
      <w:r>
        <w:rPr>
          <w:rFonts w:ascii="Arial" w:hAnsi="Arial" w:cs="Arial"/>
          <w:i/>
          <w:iCs/>
          <w:color w:val="000000"/>
          <w:sz w:val="22"/>
          <w:szCs w:val="22"/>
        </w:rPr>
        <w:t>https://www.apa.org</w:t>
      </w:r>
      <w:r>
        <w:rPr>
          <w:rFonts w:ascii="Arial" w:hAnsi="Arial" w:cs="Arial"/>
          <w:color w:val="000000"/>
          <w:sz w:val="22"/>
          <w:szCs w:val="22"/>
        </w:rPr>
        <w:t>. [online] Available at: https://www.apa.org/act/resources/fact-sheets/development-5-years.</w:t>
      </w:r>
    </w:p>
    <w:p w14:paraId="3C0D7674"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Bartlett, J. (2017).</w:t>
      </w:r>
      <w:r>
        <w:rPr>
          <w:rStyle w:val="apple-converted-space"/>
          <w:rFonts w:ascii="Arial" w:hAnsi="Arial" w:cs="Arial"/>
          <w:color w:val="000000"/>
          <w:sz w:val="22"/>
          <w:szCs w:val="22"/>
        </w:rPr>
        <w:t> </w:t>
      </w:r>
      <w:r>
        <w:rPr>
          <w:rFonts w:ascii="Arial" w:hAnsi="Arial" w:cs="Arial"/>
          <w:i/>
          <w:iCs/>
          <w:color w:val="000000"/>
          <w:sz w:val="22"/>
          <w:szCs w:val="22"/>
        </w:rPr>
        <w:t xml:space="preserve">OUTSTANDING DIFFERENTIATION FOR LEARNING IN THE </w:t>
      </w:r>
      <w:proofErr w:type="gramStart"/>
      <w:r>
        <w:rPr>
          <w:rFonts w:ascii="Arial" w:hAnsi="Arial" w:cs="Arial"/>
          <w:i/>
          <w:iCs/>
          <w:color w:val="000000"/>
          <w:sz w:val="22"/>
          <w:szCs w:val="22"/>
        </w:rPr>
        <w:t>CLASSROOM :</w:t>
      </w:r>
      <w:proofErr w:type="gramEnd"/>
      <w:r>
        <w:rPr>
          <w:rFonts w:ascii="Arial" w:hAnsi="Arial" w:cs="Arial"/>
          <w:i/>
          <w:iCs/>
          <w:color w:val="000000"/>
          <w:sz w:val="22"/>
          <w:szCs w:val="22"/>
        </w:rPr>
        <w:t xml:space="preserve"> </w:t>
      </w:r>
      <w:proofErr w:type="spellStart"/>
      <w:r>
        <w:rPr>
          <w:rFonts w:ascii="Arial" w:hAnsi="Arial" w:cs="Arial"/>
          <w:i/>
          <w:iCs/>
          <w:color w:val="000000"/>
          <w:sz w:val="22"/>
          <w:szCs w:val="22"/>
        </w:rPr>
        <w:t>arabic</w:t>
      </w:r>
      <w:proofErr w:type="spellEnd"/>
      <w:r>
        <w:rPr>
          <w:rFonts w:ascii="Arial" w:hAnsi="Arial" w:cs="Arial"/>
          <w:i/>
          <w:iCs/>
          <w:color w:val="000000"/>
          <w:sz w:val="22"/>
          <w:szCs w:val="22"/>
        </w:rPr>
        <w:t xml:space="preserve"> edition.</w:t>
      </w:r>
      <w:r>
        <w:rPr>
          <w:rStyle w:val="apple-converted-space"/>
          <w:rFonts w:ascii="Arial" w:hAnsi="Arial" w:cs="Arial"/>
          <w:color w:val="000000"/>
          <w:sz w:val="22"/>
          <w:szCs w:val="22"/>
        </w:rPr>
        <w:t> </w:t>
      </w:r>
      <w:r>
        <w:rPr>
          <w:rFonts w:ascii="Arial" w:hAnsi="Arial" w:cs="Arial"/>
          <w:color w:val="000000"/>
          <w:sz w:val="22"/>
          <w:szCs w:val="22"/>
        </w:rPr>
        <w:t>Taylor &amp; Francis Group.</w:t>
      </w:r>
    </w:p>
    <w:p w14:paraId="6B860FC9"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Boyce, C., </w:t>
      </w:r>
      <w:proofErr w:type="spellStart"/>
      <w:r>
        <w:rPr>
          <w:rFonts w:ascii="Arial" w:hAnsi="Arial" w:cs="Arial"/>
          <w:color w:val="000000"/>
          <w:sz w:val="22"/>
          <w:szCs w:val="22"/>
        </w:rPr>
        <w:t>Palena</w:t>
      </w:r>
      <w:proofErr w:type="spellEnd"/>
      <w:r>
        <w:rPr>
          <w:rFonts w:ascii="Arial" w:hAnsi="Arial" w:cs="Arial"/>
          <w:color w:val="000000"/>
          <w:sz w:val="22"/>
          <w:szCs w:val="22"/>
        </w:rPr>
        <w:t xml:space="preserve"> Neale and Pathfinder International (2006).</w:t>
      </w:r>
      <w:r>
        <w:rPr>
          <w:rStyle w:val="apple-converted-space"/>
          <w:rFonts w:ascii="Arial" w:hAnsi="Arial" w:cs="Arial"/>
          <w:color w:val="000000"/>
          <w:sz w:val="22"/>
          <w:szCs w:val="22"/>
        </w:rPr>
        <w:t> </w:t>
      </w:r>
      <w:r>
        <w:rPr>
          <w:rFonts w:ascii="Arial" w:hAnsi="Arial" w:cs="Arial"/>
          <w:i/>
          <w:iCs/>
          <w:color w:val="000000"/>
          <w:sz w:val="22"/>
          <w:szCs w:val="22"/>
        </w:rPr>
        <w:t xml:space="preserve">Conducting in-depth </w:t>
      </w:r>
      <w:proofErr w:type="gramStart"/>
      <w:r>
        <w:rPr>
          <w:rFonts w:ascii="Arial" w:hAnsi="Arial" w:cs="Arial"/>
          <w:i/>
          <w:iCs/>
          <w:color w:val="000000"/>
          <w:sz w:val="22"/>
          <w:szCs w:val="22"/>
        </w:rPr>
        <w:t>interviews :</w:t>
      </w:r>
      <w:proofErr w:type="gramEnd"/>
      <w:r>
        <w:rPr>
          <w:rFonts w:ascii="Arial" w:hAnsi="Arial" w:cs="Arial"/>
          <w:i/>
          <w:iCs/>
          <w:color w:val="000000"/>
          <w:sz w:val="22"/>
          <w:szCs w:val="22"/>
        </w:rPr>
        <w:t xml:space="preserve"> a guide for designing and conducting in-depth interviews for evaluation input</w:t>
      </w:r>
      <w:r>
        <w:rPr>
          <w:rFonts w:ascii="Arial" w:hAnsi="Arial" w:cs="Arial"/>
          <w:color w:val="000000"/>
          <w:sz w:val="22"/>
          <w:szCs w:val="22"/>
        </w:rPr>
        <w:t>. Watertown, Ma: Pathfinder International.</w:t>
      </w:r>
    </w:p>
    <w:p w14:paraId="11189572"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British Educational Research Association (2018).</w:t>
      </w:r>
      <w:r>
        <w:rPr>
          <w:rStyle w:val="apple-converted-space"/>
          <w:rFonts w:ascii="Arial" w:hAnsi="Arial" w:cs="Arial"/>
          <w:color w:val="000000"/>
          <w:sz w:val="22"/>
          <w:szCs w:val="22"/>
        </w:rPr>
        <w:t> </w:t>
      </w:r>
      <w:r>
        <w:rPr>
          <w:rFonts w:ascii="Arial" w:hAnsi="Arial" w:cs="Arial"/>
          <w:i/>
          <w:iCs/>
          <w:color w:val="000000"/>
          <w:sz w:val="22"/>
          <w:szCs w:val="22"/>
        </w:rPr>
        <w:t>Ethical guidelines for educational research.</w:t>
      </w:r>
      <w:r>
        <w:rPr>
          <w:rStyle w:val="apple-converted-space"/>
          <w:rFonts w:ascii="Arial" w:hAnsi="Arial" w:cs="Arial"/>
          <w:color w:val="000000"/>
          <w:sz w:val="22"/>
          <w:szCs w:val="22"/>
        </w:rPr>
        <w:t> </w:t>
      </w:r>
      <w:r>
        <w:rPr>
          <w:rFonts w:ascii="Arial" w:hAnsi="Arial" w:cs="Arial"/>
          <w:color w:val="000000"/>
          <w:sz w:val="22"/>
          <w:szCs w:val="22"/>
        </w:rPr>
        <w:t>4th ed. London: British Educational Research Association.</w:t>
      </w:r>
    </w:p>
    <w:p w14:paraId="772A00F7"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Bushie, C. (2015).</w:t>
      </w:r>
      <w:r>
        <w:rPr>
          <w:rStyle w:val="apple-converted-space"/>
          <w:rFonts w:ascii="Arial" w:hAnsi="Arial" w:cs="Arial"/>
          <w:color w:val="000000"/>
          <w:sz w:val="22"/>
          <w:szCs w:val="22"/>
        </w:rPr>
        <w:t> </w:t>
      </w:r>
      <w:r>
        <w:rPr>
          <w:rFonts w:ascii="Arial" w:hAnsi="Arial" w:cs="Arial"/>
          <w:i/>
          <w:iCs/>
          <w:color w:val="000000"/>
          <w:sz w:val="22"/>
          <w:szCs w:val="22"/>
        </w:rPr>
        <w:t>Differentiation in Education</w:t>
      </w:r>
      <w:r>
        <w:rPr>
          <w:rFonts w:ascii="Arial" w:hAnsi="Arial" w:cs="Arial"/>
          <w:color w:val="000000"/>
          <w:sz w:val="22"/>
          <w:szCs w:val="22"/>
        </w:rPr>
        <w:t>. Available at: https://eric.ed.gov/?id=EJ1230703 [Accessed 20 Feb. 2023].</w:t>
      </w:r>
    </w:p>
    <w:p w14:paraId="2173F9AB"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Campbell, C. and Osmond-Johnson, P. (2018). Leading Teachers’ Professional Learning and Development for Outstanding Teaching.</w:t>
      </w:r>
      <w:r>
        <w:rPr>
          <w:rStyle w:val="apple-converted-space"/>
          <w:rFonts w:ascii="Arial" w:hAnsi="Arial" w:cs="Arial"/>
          <w:color w:val="000000"/>
          <w:sz w:val="22"/>
          <w:szCs w:val="22"/>
        </w:rPr>
        <w:t> </w:t>
      </w:r>
      <w:proofErr w:type="spellStart"/>
      <w:r>
        <w:rPr>
          <w:rFonts w:ascii="Arial" w:hAnsi="Arial" w:cs="Arial"/>
          <w:i/>
          <w:iCs/>
          <w:color w:val="000000"/>
          <w:sz w:val="22"/>
          <w:szCs w:val="22"/>
        </w:rPr>
        <w:t>Cylchgrawn</w:t>
      </w:r>
      <w:proofErr w:type="spellEnd"/>
      <w:r>
        <w:rPr>
          <w:rFonts w:ascii="Arial" w:hAnsi="Arial" w:cs="Arial"/>
          <w:i/>
          <w:iCs/>
          <w:color w:val="000000"/>
          <w:sz w:val="22"/>
          <w:szCs w:val="22"/>
        </w:rPr>
        <w:t xml:space="preserve"> </w:t>
      </w:r>
      <w:proofErr w:type="spellStart"/>
      <w:r>
        <w:rPr>
          <w:rFonts w:ascii="Arial" w:hAnsi="Arial" w:cs="Arial"/>
          <w:i/>
          <w:iCs/>
          <w:color w:val="000000"/>
          <w:sz w:val="22"/>
          <w:szCs w:val="22"/>
        </w:rPr>
        <w:t>Addysg</w:t>
      </w:r>
      <w:proofErr w:type="spellEnd"/>
      <w:r>
        <w:rPr>
          <w:rFonts w:ascii="Arial" w:hAnsi="Arial" w:cs="Arial"/>
          <w:i/>
          <w:iCs/>
          <w:color w:val="000000"/>
          <w:sz w:val="22"/>
          <w:szCs w:val="22"/>
        </w:rPr>
        <w:t xml:space="preserve"> Cymru / Wales Journal of Education</w:t>
      </w:r>
      <w:r>
        <w:rPr>
          <w:rFonts w:ascii="Arial" w:hAnsi="Arial" w:cs="Arial"/>
          <w:color w:val="000000"/>
          <w:sz w:val="22"/>
          <w:szCs w:val="22"/>
        </w:rPr>
        <w:t xml:space="preserve">, 20(2), pp.35–62.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://doi.org/10.16922/wje.20.2.4</w:t>
      </w:r>
      <w:proofErr w:type="gramEnd"/>
      <w:r>
        <w:rPr>
          <w:rFonts w:ascii="Arial" w:hAnsi="Arial" w:cs="Arial"/>
          <w:color w:val="000000"/>
          <w:sz w:val="22"/>
          <w:szCs w:val="22"/>
        </w:rPr>
        <w:t>.</w:t>
      </w:r>
    </w:p>
    <w:p w14:paraId="793DEB5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Clarke, V., Braun, V. and Studies, S. (2013).</w:t>
      </w:r>
      <w:r>
        <w:rPr>
          <w:rStyle w:val="apple-converted-space"/>
          <w:rFonts w:ascii="Arial" w:hAnsi="Arial" w:cs="Arial"/>
          <w:color w:val="000000"/>
          <w:sz w:val="22"/>
          <w:szCs w:val="22"/>
        </w:rPr>
        <w:t> </w:t>
      </w:r>
      <w:r>
        <w:rPr>
          <w:rFonts w:ascii="Arial" w:hAnsi="Arial" w:cs="Arial"/>
          <w:i/>
          <w:iCs/>
          <w:color w:val="000000"/>
          <w:sz w:val="22"/>
          <w:szCs w:val="22"/>
        </w:rPr>
        <w:t>Teaching thematic analysis: Overcoming challenges and developing strategies for effective learning</w:t>
      </w:r>
      <w:r>
        <w:rPr>
          <w:rFonts w:ascii="Arial" w:hAnsi="Arial" w:cs="Arial"/>
          <w:color w:val="000000"/>
          <w:sz w:val="22"/>
          <w:szCs w:val="22"/>
        </w:rPr>
        <w:t>. [online] Available at: https://uwe-repository.worktribe.com/preview/937606/Teaching.</w:t>
      </w:r>
    </w:p>
    <w:p w14:paraId="577B2B3F"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Deunk, M.I., </w:t>
      </w:r>
      <w:proofErr w:type="spellStart"/>
      <w:r>
        <w:rPr>
          <w:rFonts w:ascii="Arial" w:hAnsi="Arial" w:cs="Arial"/>
          <w:color w:val="000000"/>
          <w:sz w:val="22"/>
          <w:szCs w:val="22"/>
        </w:rPr>
        <w:t>Smale-Jacobse</w:t>
      </w:r>
      <w:proofErr w:type="spellEnd"/>
      <w:r>
        <w:rPr>
          <w:rFonts w:ascii="Arial" w:hAnsi="Arial" w:cs="Arial"/>
          <w:color w:val="000000"/>
          <w:sz w:val="22"/>
          <w:szCs w:val="22"/>
        </w:rPr>
        <w:t xml:space="preserve">, A.E., de Boer, H., </w:t>
      </w:r>
      <w:proofErr w:type="spellStart"/>
      <w:r>
        <w:rPr>
          <w:rFonts w:ascii="Arial" w:hAnsi="Arial" w:cs="Arial"/>
          <w:color w:val="000000"/>
          <w:sz w:val="22"/>
          <w:szCs w:val="22"/>
        </w:rPr>
        <w:t>Doolaard</w:t>
      </w:r>
      <w:proofErr w:type="spellEnd"/>
      <w:r>
        <w:rPr>
          <w:rFonts w:ascii="Arial" w:hAnsi="Arial" w:cs="Arial"/>
          <w:color w:val="000000"/>
          <w:sz w:val="22"/>
          <w:szCs w:val="22"/>
        </w:rPr>
        <w:t xml:space="preserve">, S. and Bosker, R.J. (2018). Effective Differentiation </w:t>
      </w:r>
      <w:proofErr w:type="spellStart"/>
      <w:proofErr w:type="gramStart"/>
      <w:r>
        <w:rPr>
          <w:rFonts w:ascii="Arial" w:hAnsi="Arial" w:cs="Arial"/>
          <w:color w:val="000000"/>
          <w:sz w:val="22"/>
          <w:szCs w:val="22"/>
        </w:rPr>
        <w:t>Practices:A</w:t>
      </w:r>
      <w:proofErr w:type="spellEnd"/>
      <w:proofErr w:type="gramEnd"/>
      <w:r>
        <w:rPr>
          <w:rFonts w:ascii="Arial" w:hAnsi="Arial" w:cs="Arial"/>
          <w:color w:val="000000"/>
          <w:sz w:val="22"/>
          <w:szCs w:val="22"/>
        </w:rPr>
        <w:t xml:space="preserve"> Systematic Review and meta-analysis of Studies on the Cognitive Effects of Differentiation Practices in Primary Education.</w:t>
      </w:r>
      <w:r>
        <w:rPr>
          <w:rStyle w:val="apple-converted-space"/>
          <w:rFonts w:ascii="Arial" w:hAnsi="Arial" w:cs="Arial"/>
          <w:color w:val="000000"/>
          <w:sz w:val="22"/>
          <w:szCs w:val="22"/>
        </w:rPr>
        <w:t> </w:t>
      </w:r>
      <w:r>
        <w:rPr>
          <w:rFonts w:ascii="Arial" w:hAnsi="Arial" w:cs="Arial"/>
          <w:i/>
          <w:iCs/>
          <w:color w:val="000000"/>
          <w:sz w:val="22"/>
          <w:szCs w:val="22"/>
        </w:rPr>
        <w:t>Educational Research Review</w:t>
      </w:r>
      <w:r>
        <w:rPr>
          <w:rFonts w:ascii="Arial" w:hAnsi="Arial" w:cs="Arial"/>
          <w:color w:val="000000"/>
          <w:sz w:val="22"/>
          <w:szCs w:val="22"/>
        </w:rPr>
        <w:t xml:space="preserve">, [online] 24(24), pp.31–54.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://doi.org/10.1016/j.edurev.2018.02.002</w:t>
      </w:r>
      <w:proofErr w:type="gramEnd"/>
      <w:r>
        <w:rPr>
          <w:rFonts w:ascii="Arial" w:hAnsi="Arial" w:cs="Arial"/>
          <w:color w:val="000000"/>
          <w:sz w:val="22"/>
          <w:szCs w:val="22"/>
        </w:rPr>
        <w:t>.</w:t>
      </w:r>
    </w:p>
    <w:p w14:paraId="2B36EF6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DfE (2021).</w:t>
      </w:r>
      <w:r>
        <w:rPr>
          <w:rStyle w:val="apple-converted-space"/>
          <w:rFonts w:ascii="Arial" w:hAnsi="Arial" w:cs="Arial"/>
          <w:color w:val="000000"/>
          <w:sz w:val="22"/>
          <w:szCs w:val="22"/>
        </w:rPr>
        <w:t> </w:t>
      </w:r>
      <w:r>
        <w:rPr>
          <w:rFonts w:ascii="Arial" w:hAnsi="Arial" w:cs="Arial"/>
          <w:i/>
          <w:iCs/>
          <w:color w:val="000000"/>
          <w:sz w:val="22"/>
          <w:szCs w:val="22"/>
        </w:rPr>
        <w:t>Development Matters Non-</w:t>
      </w:r>
      <w:proofErr w:type="gramStart"/>
      <w:r>
        <w:rPr>
          <w:rFonts w:ascii="Arial" w:hAnsi="Arial" w:cs="Arial"/>
          <w:i/>
          <w:iCs/>
          <w:color w:val="000000"/>
          <w:sz w:val="22"/>
          <w:szCs w:val="22"/>
        </w:rPr>
        <w:t>statutory</w:t>
      </w:r>
      <w:proofErr w:type="gramEnd"/>
      <w:r>
        <w:rPr>
          <w:rFonts w:ascii="Arial" w:hAnsi="Arial" w:cs="Arial"/>
          <w:i/>
          <w:iCs/>
          <w:color w:val="000000"/>
          <w:sz w:val="22"/>
          <w:szCs w:val="22"/>
        </w:rPr>
        <w:t xml:space="preserve"> Curriculum Guidance for the Early Years Foundation Stage</w:t>
      </w:r>
      <w:r>
        <w:rPr>
          <w:rFonts w:ascii="Arial" w:hAnsi="Arial" w:cs="Arial"/>
          <w:color w:val="000000"/>
          <w:sz w:val="22"/>
          <w:szCs w:val="22"/>
        </w:rPr>
        <w:t>. [online] Department for Education. Available at: https://assets.publishing.service.gov.uk/government/uploads/system/uploads/attachment_da</w:t>
      </w:r>
      <w:r>
        <w:rPr>
          <w:rFonts w:ascii="Arial" w:hAnsi="Arial" w:cs="Arial"/>
          <w:color w:val="000000"/>
          <w:sz w:val="22"/>
          <w:szCs w:val="22"/>
        </w:rPr>
        <w:lastRenderedPageBreak/>
        <w:t>ta/file/1007446/6.7534_DfE_Development_Matters_Report_and_illustrations_web__2_.pdf [Accessed 19 Feb. 2023].</w:t>
      </w:r>
    </w:p>
    <w:p w14:paraId="758BCC69"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Gjerde</w:t>
      </w:r>
      <w:proofErr w:type="spellEnd"/>
      <w:r>
        <w:rPr>
          <w:rFonts w:ascii="Arial" w:hAnsi="Arial" w:cs="Arial"/>
          <w:color w:val="000000"/>
          <w:sz w:val="22"/>
          <w:szCs w:val="22"/>
        </w:rPr>
        <w:t xml:space="preserve">, V., Holst, B. and </w:t>
      </w:r>
      <w:proofErr w:type="spellStart"/>
      <w:r>
        <w:rPr>
          <w:rFonts w:ascii="Arial" w:hAnsi="Arial" w:cs="Arial"/>
          <w:color w:val="000000"/>
          <w:sz w:val="22"/>
          <w:szCs w:val="22"/>
        </w:rPr>
        <w:t>Kolstø</w:t>
      </w:r>
      <w:proofErr w:type="spellEnd"/>
      <w:r>
        <w:rPr>
          <w:rFonts w:ascii="Arial" w:hAnsi="Arial" w:cs="Arial"/>
          <w:color w:val="000000"/>
          <w:sz w:val="22"/>
          <w:szCs w:val="22"/>
        </w:rPr>
        <w:t>, S. (2021). Integrating effective learning strategies in basic physics lectures: A thematic analysis.</w:t>
      </w:r>
      <w:r>
        <w:rPr>
          <w:rStyle w:val="apple-converted-space"/>
          <w:rFonts w:ascii="Arial" w:hAnsi="Arial" w:cs="Arial"/>
          <w:color w:val="000000"/>
          <w:sz w:val="22"/>
          <w:szCs w:val="22"/>
        </w:rPr>
        <w:t> </w:t>
      </w:r>
      <w:r>
        <w:rPr>
          <w:rFonts w:ascii="Arial" w:hAnsi="Arial" w:cs="Arial"/>
          <w:i/>
          <w:iCs/>
          <w:color w:val="000000"/>
          <w:sz w:val="22"/>
          <w:szCs w:val="22"/>
        </w:rPr>
        <w:t>Physical Review Physics Education Research</w:t>
      </w:r>
      <w:r>
        <w:rPr>
          <w:rFonts w:ascii="Arial" w:hAnsi="Arial" w:cs="Arial"/>
          <w:color w:val="000000"/>
          <w:sz w:val="22"/>
          <w:szCs w:val="22"/>
        </w:rPr>
        <w:t xml:space="preserve">, 17(1).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://doi.org/10.1103/physrevphyseducres.17.010124</w:t>
      </w:r>
      <w:proofErr w:type="gramEnd"/>
      <w:r>
        <w:rPr>
          <w:rFonts w:ascii="Arial" w:hAnsi="Arial" w:cs="Arial"/>
          <w:color w:val="000000"/>
          <w:sz w:val="22"/>
          <w:szCs w:val="22"/>
        </w:rPr>
        <w:t>.</w:t>
      </w:r>
    </w:p>
    <w:p w14:paraId="0F2DD19B"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Good, T.L. (1988). Observational Research...Grounding Theory in Classrooms.</w:t>
      </w:r>
      <w:r>
        <w:rPr>
          <w:rStyle w:val="apple-converted-space"/>
          <w:rFonts w:ascii="Arial" w:hAnsi="Arial" w:cs="Arial"/>
          <w:color w:val="000000"/>
          <w:sz w:val="22"/>
          <w:szCs w:val="22"/>
        </w:rPr>
        <w:t> </w:t>
      </w:r>
      <w:r>
        <w:rPr>
          <w:rFonts w:ascii="Arial" w:hAnsi="Arial" w:cs="Arial"/>
          <w:i/>
          <w:iCs/>
          <w:color w:val="000000"/>
          <w:sz w:val="22"/>
          <w:szCs w:val="22"/>
        </w:rPr>
        <w:t>Educational Psychologist</w:t>
      </w:r>
      <w:r>
        <w:rPr>
          <w:rFonts w:ascii="Arial" w:hAnsi="Arial" w:cs="Arial"/>
          <w:color w:val="000000"/>
          <w:sz w:val="22"/>
          <w:szCs w:val="22"/>
        </w:rPr>
        <w:t xml:space="preserve">, 23(4), pp.375–379.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://doi.org/10.1207/s15326985ep2304_5</w:t>
      </w:r>
      <w:proofErr w:type="gramEnd"/>
      <w:r>
        <w:rPr>
          <w:rFonts w:ascii="Arial" w:hAnsi="Arial" w:cs="Arial"/>
          <w:color w:val="000000"/>
          <w:sz w:val="22"/>
          <w:szCs w:val="22"/>
        </w:rPr>
        <w:t>.</w:t>
      </w:r>
    </w:p>
    <w:p w14:paraId="6BCEEBB7"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Ioanna</w:t>
      </w:r>
      <w:proofErr w:type="spellEnd"/>
      <w:r>
        <w:rPr>
          <w:rFonts w:ascii="Arial" w:hAnsi="Arial" w:cs="Arial"/>
          <w:color w:val="000000"/>
          <w:sz w:val="22"/>
          <w:szCs w:val="22"/>
        </w:rPr>
        <w:t xml:space="preserve"> </w:t>
      </w:r>
      <w:proofErr w:type="spellStart"/>
      <w:r>
        <w:rPr>
          <w:rFonts w:ascii="Arial" w:hAnsi="Arial" w:cs="Arial"/>
          <w:color w:val="000000"/>
          <w:sz w:val="22"/>
          <w:szCs w:val="22"/>
        </w:rPr>
        <w:t>Palaiologou</w:t>
      </w:r>
      <w:proofErr w:type="spellEnd"/>
      <w:r>
        <w:rPr>
          <w:rFonts w:ascii="Arial" w:hAnsi="Arial" w:cs="Arial"/>
          <w:color w:val="000000"/>
          <w:sz w:val="22"/>
          <w:szCs w:val="22"/>
        </w:rPr>
        <w:t xml:space="preserve"> (2008).</w:t>
      </w:r>
      <w:r>
        <w:rPr>
          <w:rStyle w:val="apple-converted-space"/>
          <w:rFonts w:ascii="Arial" w:hAnsi="Arial" w:cs="Arial"/>
          <w:color w:val="000000"/>
          <w:sz w:val="22"/>
          <w:szCs w:val="22"/>
        </w:rPr>
        <w:t> </w:t>
      </w:r>
      <w:r>
        <w:rPr>
          <w:rFonts w:ascii="Arial" w:hAnsi="Arial" w:cs="Arial"/>
          <w:i/>
          <w:iCs/>
          <w:color w:val="000000"/>
          <w:sz w:val="22"/>
          <w:szCs w:val="22"/>
        </w:rPr>
        <w:t>Childhood observation</w:t>
      </w:r>
      <w:r>
        <w:rPr>
          <w:rFonts w:ascii="Arial" w:hAnsi="Arial" w:cs="Arial"/>
          <w:color w:val="000000"/>
          <w:sz w:val="22"/>
          <w:szCs w:val="22"/>
        </w:rPr>
        <w:t>. Exeter England: Learning Matters.</w:t>
      </w:r>
    </w:p>
    <w:p w14:paraId="7C35C576"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Jones, S. (n.d.).</w:t>
      </w:r>
      <w:r>
        <w:rPr>
          <w:rStyle w:val="apple-converted-space"/>
          <w:rFonts w:ascii="Arial" w:hAnsi="Arial" w:cs="Arial"/>
          <w:color w:val="000000"/>
          <w:sz w:val="22"/>
          <w:szCs w:val="22"/>
        </w:rPr>
        <w:t> </w:t>
      </w:r>
      <w:r>
        <w:rPr>
          <w:rFonts w:ascii="Arial" w:hAnsi="Arial" w:cs="Arial"/>
          <w:i/>
          <w:iCs/>
          <w:color w:val="000000"/>
          <w:sz w:val="22"/>
          <w:szCs w:val="22"/>
        </w:rPr>
        <w:t>Interpreting themes from qualitative data: thematic analysis</w:t>
      </w:r>
      <w:r>
        <w:rPr>
          <w:rFonts w:ascii="Arial" w:hAnsi="Arial" w:cs="Arial"/>
          <w:color w:val="000000"/>
          <w:sz w:val="22"/>
          <w:szCs w:val="22"/>
        </w:rPr>
        <w:t>. [online] Eval Academy. Available at: https://www.evalacademy.com/articles/interpreting-themes-from-qualitative-data-thematic-analysis.</w:t>
      </w:r>
    </w:p>
    <w:p w14:paraId="35E534FB"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Lewis, D.S. (2022).</w:t>
      </w:r>
      <w:r>
        <w:rPr>
          <w:rStyle w:val="apple-converted-space"/>
          <w:rFonts w:ascii="Arial" w:hAnsi="Arial" w:cs="Arial"/>
          <w:color w:val="000000"/>
          <w:sz w:val="22"/>
          <w:szCs w:val="22"/>
        </w:rPr>
        <w:t> </w:t>
      </w:r>
      <w:r>
        <w:rPr>
          <w:rFonts w:ascii="Arial" w:hAnsi="Arial" w:cs="Arial"/>
          <w:i/>
          <w:iCs/>
          <w:color w:val="000000"/>
          <w:sz w:val="22"/>
          <w:szCs w:val="22"/>
        </w:rPr>
        <w:t>Observing young children</w:t>
      </w:r>
      <w:r>
        <w:rPr>
          <w:rFonts w:ascii="Arial" w:hAnsi="Arial" w:cs="Arial"/>
          <w:color w:val="000000"/>
          <w:sz w:val="22"/>
          <w:szCs w:val="22"/>
        </w:rPr>
        <w:t>. [online] Available at: https://www.froebel.org.uk/uploads/documents/FT_Observing-young-children_Pamphlet_INTERACTIVE_REV-2.pdf.</w:t>
      </w:r>
    </w:p>
    <w:p w14:paraId="352E576D"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Lewis, V., Fraser, S., Open University and Al, E. (2004).</w:t>
      </w:r>
      <w:r>
        <w:rPr>
          <w:rStyle w:val="apple-converted-space"/>
          <w:rFonts w:ascii="Arial" w:hAnsi="Arial" w:cs="Arial"/>
          <w:color w:val="000000"/>
          <w:sz w:val="22"/>
          <w:szCs w:val="22"/>
        </w:rPr>
        <w:t> </w:t>
      </w:r>
      <w:r>
        <w:rPr>
          <w:rFonts w:ascii="Arial" w:hAnsi="Arial" w:cs="Arial"/>
          <w:i/>
          <w:iCs/>
          <w:color w:val="000000"/>
          <w:sz w:val="22"/>
          <w:szCs w:val="22"/>
        </w:rPr>
        <w:t>The reality of research with children and young people</w:t>
      </w:r>
      <w:r>
        <w:rPr>
          <w:rFonts w:ascii="Arial" w:hAnsi="Arial" w:cs="Arial"/>
          <w:color w:val="000000"/>
          <w:sz w:val="22"/>
          <w:szCs w:val="22"/>
        </w:rPr>
        <w:t xml:space="preserve">. </w:t>
      </w:r>
      <w:proofErr w:type="gramStart"/>
      <w:r>
        <w:rPr>
          <w:rFonts w:ascii="Arial" w:hAnsi="Arial" w:cs="Arial"/>
          <w:color w:val="000000"/>
          <w:sz w:val="22"/>
          <w:szCs w:val="22"/>
        </w:rPr>
        <w:t>London ;</w:t>
      </w:r>
      <w:proofErr w:type="gramEnd"/>
      <w:r>
        <w:rPr>
          <w:rFonts w:ascii="Arial" w:hAnsi="Arial" w:cs="Arial"/>
          <w:color w:val="000000"/>
          <w:sz w:val="22"/>
          <w:szCs w:val="22"/>
        </w:rPr>
        <w:t xml:space="preserve"> Thousand Oaks, Calif.: Sage.</w:t>
      </w:r>
    </w:p>
    <w:p w14:paraId="4DDCCD0F"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MacRae</w:t>
      </w:r>
      <w:proofErr w:type="spellEnd"/>
      <w:r>
        <w:rPr>
          <w:rFonts w:ascii="Arial" w:hAnsi="Arial" w:cs="Arial"/>
          <w:color w:val="000000"/>
          <w:sz w:val="22"/>
          <w:szCs w:val="22"/>
        </w:rPr>
        <w:t>, C. and Jones, L. (2020). A philosophical reflection on the ‘Leuven Scale’ and young children’s expressions of involvement.</w:t>
      </w:r>
      <w:r>
        <w:rPr>
          <w:rStyle w:val="apple-converted-space"/>
          <w:rFonts w:ascii="Arial" w:hAnsi="Arial" w:cs="Arial"/>
          <w:color w:val="000000"/>
          <w:sz w:val="22"/>
          <w:szCs w:val="22"/>
        </w:rPr>
        <w:t> </w:t>
      </w:r>
      <w:r>
        <w:rPr>
          <w:rFonts w:ascii="Arial" w:hAnsi="Arial" w:cs="Arial"/>
          <w:i/>
          <w:iCs/>
          <w:color w:val="000000"/>
          <w:sz w:val="22"/>
          <w:szCs w:val="22"/>
        </w:rPr>
        <w:t>International Journal of Qualitative Studies in Education</w:t>
      </w:r>
      <w:r>
        <w:rPr>
          <w:rFonts w:ascii="Arial" w:hAnsi="Arial" w:cs="Arial"/>
          <w:color w:val="000000"/>
          <w:sz w:val="22"/>
          <w:szCs w:val="22"/>
        </w:rPr>
        <w:t xml:space="preserve">, pp.1–13.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://doi.org/10.1080/09518398.2020.1828650</w:t>
      </w:r>
      <w:proofErr w:type="gramEnd"/>
      <w:r>
        <w:rPr>
          <w:rFonts w:ascii="Arial" w:hAnsi="Arial" w:cs="Arial"/>
          <w:color w:val="000000"/>
          <w:sz w:val="22"/>
          <w:szCs w:val="22"/>
        </w:rPr>
        <w:t>.</w:t>
      </w:r>
    </w:p>
    <w:p w14:paraId="2AB397D6"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Massonnié</w:t>
      </w:r>
      <w:proofErr w:type="spellEnd"/>
      <w:r>
        <w:rPr>
          <w:rFonts w:ascii="Arial" w:hAnsi="Arial" w:cs="Arial"/>
          <w:color w:val="000000"/>
          <w:sz w:val="22"/>
          <w:szCs w:val="22"/>
        </w:rPr>
        <w:t xml:space="preserve">, J., </w:t>
      </w:r>
      <w:proofErr w:type="spellStart"/>
      <w:r>
        <w:rPr>
          <w:rFonts w:ascii="Arial" w:hAnsi="Arial" w:cs="Arial"/>
          <w:color w:val="000000"/>
          <w:sz w:val="22"/>
          <w:szCs w:val="22"/>
        </w:rPr>
        <w:t>Frasseto</w:t>
      </w:r>
      <w:proofErr w:type="spellEnd"/>
      <w:r>
        <w:rPr>
          <w:rFonts w:ascii="Arial" w:hAnsi="Arial" w:cs="Arial"/>
          <w:color w:val="000000"/>
          <w:sz w:val="22"/>
          <w:szCs w:val="22"/>
        </w:rPr>
        <w:t xml:space="preserve">, P., </w:t>
      </w:r>
      <w:proofErr w:type="spellStart"/>
      <w:r>
        <w:rPr>
          <w:rFonts w:ascii="Arial" w:hAnsi="Arial" w:cs="Arial"/>
          <w:color w:val="000000"/>
          <w:sz w:val="22"/>
          <w:szCs w:val="22"/>
        </w:rPr>
        <w:t>Mareschal</w:t>
      </w:r>
      <w:proofErr w:type="spellEnd"/>
      <w:r>
        <w:rPr>
          <w:rFonts w:ascii="Arial" w:hAnsi="Arial" w:cs="Arial"/>
          <w:color w:val="000000"/>
          <w:sz w:val="22"/>
          <w:szCs w:val="22"/>
        </w:rPr>
        <w:t xml:space="preserve">, </w:t>
      </w:r>
      <w:proofErr w:type="gramStart"/>
      <w:r>
        <w:rPr>
          <w:rFonts w:ascii="Arial" w:hAnsi="Arial" w:cs="Arial"/>
          <w:color w:val="000000"/>
          <w:sz w:val="22"/>
          <w:szCs w:val="22"/>
        </w:rPr>
        <w:t>D.</w:t>
      </w:r>
      <w:proofErr w:type="gramEnd"/>
      <w:r>
        <w:rPr>
          <w:rFonts w:ascii="Arial" w:hAnsi="Arial" w:cs="Arial"/>
          <w:color w:val="000000"/>
          <w:sz w:val="22"/>
          <w:szCs w:val="22"/>
        </w:rPr>
        <w:t xml:space="preserve"> and Kirkham, N.Z. (2020). Learning in Noisy Classrooms: Children’s Reports of Annoyance and Distraction from Noise are Associated with Individual Differences in Mind-Wandering and Switching skills.</w:t>
      </w:r>
      <w:r>
        <w:rPr>
          <w:rStyle w:val="apple-converted-space"/>
          <w:rFonts w:ascii="Arial" w:hAnsi="Arial" w:cs="Arial"/>
          <w:color w:val="000000"/>
          <w:sz w:val="22"/>
          <w:szCs w:val="22"/>
        </w:rPr>
        <w:t> </w:t>
      </w:r>
      <w:r>
        <w:rPr>
          <w:rFonts w:ascii="Arial" w:hAnsi="Arial" w:cs="Arial"/>
          <w:i/>
          <w:iCs/>
          <w:color w:val="000000"/>
          <w:sz w:val="22"/>
          <w:szCs w:val="22"/>
        </w:rPr>
        <w:t xml:space="preserve">Environment and </w:t>
      </w:r>
      <w:proofErr w:type="spellStart"/>
      <w:r>
        <w:rPr>
          <w:rFonts w:ascii="Arial" w:hAnsi="Arial" w:cs="Arial"/>
          <w:i/>
          <w:iCs/>
          <w:color w:val="000000"/>
          <w:sz w:val="22"/>
          <w:szCs w:val="22"/>
        </w:rPr>
        <w:t>Behavior</w:t>
      </w:r>
      <w:proofErr w:type="spellEnd"/>
      <w:r>
        <w:rPr>
          <w:rFonts w:ascii="Arial" w:hAnsi="Arial" w:cs="Arial"/>
          <w:color w:val="000000"/>
          <w:sz w:val="22"/>
          <w:szCs w:val="22"/>
        </w:rPr>
        <w:t xml:space="preserve">, 54(1), p.001391652095027.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://doi.org/10.1177/0013916520950277</w:t>
      </w:r>
      <w:proofErr w:type="gramEnd"/>
      <w:r>
        <w:rPr>
          <w:rFonts w:ascii="Arial" w:hAnsi="Arial" w:cs="Arial"/>
          <w:color w:val="000000"/>
          <w:sz w:val="22"/>
          <w:szCs w:val="22"/>
        </w:rPr>
        <w:t>.</w:t>
      </w:r>
    </w:p>
    <w:p w14:paraId="46D4A8F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Mcleod, S. (2019).</w:t>
      </w:r>
      <w:r>
        <w:rPr>
          <w:rStyle w:val="apple-converted-space"/>
          <w:rFonts w:ascii="Arial" w:hAnsi="Arial" w:cs="Arial"/>
          <w:color w:val="000000"/>
          <w:sz w:val="22"/>
          <w:szCs w:val="22"/>
        </w:rPr>
        <w:t> </w:t>
      </w:r>
      <w:r>
        <w:rPr>
          <w:rFonts w:ascii="Arial" w:hAnsi="Arial" w:cs="Arial"/>
          <w:i/>
          <w:iCs/>
          <w:color w:val="000000"/>
          <w:sz w:val="22"/>
          <w:szCs w:val="22"/>
        </w:rPr>
        <w:t>Case Study Method</w:t>
      </w:r>
      <w:r>
        <w:rPr>
          <w:rFonts w:ascii="Arial" w:hAnsi="Arial" w:cs="Arial"/>
          <w:color w:val="000000"/>
          <w:sz w:val="22"/>
          <w:szCs w:val="22"/>
        </w:rPr>
        <w:t>. [online] Simplypsychology.org. Available at: https://www.simplypsychology.org/case-study.html.</w:t>
      </w:r>
    </w:p>
    <w:p w14:paraId="6763A6E2"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Murphy, M. (2014).</w:t>
      </w:r>
      <w:r>
        <w:rPr>
          <w:rStyle w:val="apple-converted-space"/>
          <w:rFonts w:ascii="Arial" w:hAnsi="Arial" w:cs="Arial"/>
          <w:color w:val="000000"/>
          <w:sz w:val="22"/>
          <w:szCs w:val="22"/>
        </w:rPr>
        <w:t> </w:t>
      </w:r>
      <w:r>
        <w:rPr>
          <w:rFonts w:ascii="Arial" w:hAnsi="Arial" w:cs="Arial"/>
          <w:i/>
          <w:iCs/>
          <w:color w:val="000000"/>
          <w:sz w:val="22"/>
          <w:szCs w:val="22"/>
        </w:rPr>
        <w:t>What are the benefits and drawbacks of case study research? - Social Theory Applied</w:t>
      </w:r>
      <w:r>
        <w:rPr>
          <w:rFonts w:ascii="Arial" w:hAnsi="Arial" w:cs="Arial"/>
          <w:color w:val="000000"/>
          <w:sz w:val="22"/>
          <w:szCs w:val="22"/>
        </w:rPr>
        <w:t>. [online] Socialtheoryapplied.com. Available at: https://socialtheoryapplied.com/2014/05/24/benefits-drawbacks-case-study-research/.</w:t>
      </w:r>
    </w:p>
    <w:p w14:paraId="7506160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National Autistic Society (2020).</w:t>
      </w:r>
      <w:r>
        <w:rPr>
          <w:rStyle w:val="apple-converted-space"/>
          <w:rFonts w:ascii="Arial" w:hAnsi="Arial" w:cs="Arial"/>
          <w:color w:val="000000"/>
          <w:sz w:val="22"/>
          <w:szCs w:val="22"/>
        </w:rPr>
        <w:t> </w:t>
      </w:r>
      <w:r>
        <w:rPr>
          <w:rFonts w:ascii="Arial" w:hAnsi="Arial" w:cs="Arial"/>
          <w:i/>
          <w:iCs/>
          <w:color w:val="000000"/>
          <w:sz w:val="22"/>
          <w:szCs w:val="22"/>
        </w:rPr>
        <w:t>Individual education plans</w:t>
      </w:r>
      <w:r>
        <w:rPr>
          <w:rFonts w:ascii="Arial" w:hAnsi="Arial" w:cs="Arial"/>
          <w:color w:val="000000"/>
          <w:sz w:val="22"/>
          <w:szCs w:val="22"/>
        </w:rPr>
        <w:t>. [online] www.autism.org.uk. Available at: https://www.autism.org.uk/advice-and-guidance/topics/education/extra-help-at-school/northern-ireland/individual-education-plans.</w:t>
      </w:r>
    </w:p>
    <w:p w14:paraId="0588C46C"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Neale, J. (2016). Iterative categorization (IC): a systematic technique for analysing qualitative data.</w:t>
      </w:r>
      <w:r>
        <w:rPr>
          <w:rStyle w:val="apple-converted-space"/>
          <w:rFonts w:ascii="Arial" w:hAnsi="Arial" w:cs="Arial"/>
          <w:color w:val="000000"/>
          <w:sz w:val="22"/>
          <w:szCs w:val="22"/>
        </w:rPr>
        <w:t> </w:t>
      </w:r>
      <w:r>
        <w:rPr>
          <w:rFonts w:ascii="Arial" w:hAnsi="Arial" w:cs="Arial"/>
          <w:i/>
          <w:iCs/>
          <w:color w:val="000000"/>
          <w:sz w:val="22"/>
          <w:szCs w:val="22"/>
        </w:rPr>
        <w:t>Addiction</w:t>
      </w:r>
      <w:r>
        <w:rPr>
          <w:rFonts w:ascii="Arial" w:hAnsi="Arial" w:cs="Arial"/>
          <w:color w:val="000000"/>
          <w:sz w:val="22"/>
          <w:szCs w:val="22"/>
        </w:rPr>
        <w:t xml:space="preserve">, 111(6), pp.1096–1106.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://doi.org/10.1111/add.13314</w:t>
      </w:r>
      <w:proofErr w:type="gramEnd"/>
      <w:r>
        <w:rPr>
          <w:rFonts w:ascii="Arial" w:hAnsi="Arial" w:cs="Arial"/>
          <w:color w:val="000000"/>
          <w:sz w:val="22"/>
          <w:szCs w:val="22"/>
        </w:rPr>
        <w:t>.</w:t>
      </w:r>
    </w:p>
    <w:p w14:paraId="6AE412A9"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lastRenderedPageBreak/>
        <w:t>Quinzio-Zafran</w:t>
      </w:r>
      <w:proofErr w:type="spellEnd"/>
      <w:r>
        <w:rPr>
          <w:rFonts w:ascii="Arial" w:hAnsi="Arial" w:cs="Arial"/>
          <w:color w:val="000000"/>
          <w:sz w:val="22"/>
          <w:szCs w:val="22"/>
        </w:rPr>
        <w:t xml:space="preserve">, </w:t>
      </w:r>
      <w:proofErr w:type="gramStart"/>
      <w:r>
        <w:rPr>
          <w:rFonts w:ascii="Arial" w:hAnsi="Arial" w:cs="Arial"/>
          <w:color w:val="000000"/>
          <w:sz w:val="22"/>
          <w:szCs w:val="22"/>
        </w:rPr>
        <w:t>A.M.</w:t>
      </w:r>
      <w:proofErr w:type="gramEnd"/>
      <w:r>
        <w:rPr>
          <w:rFonts w:ascii="Arial" w:hAnsi="Arial" w:cs="Arial"/>
          <w:color w:val="000000"/>
          <w:sz w:val="22"/>
          <w:szCs w:val="22"/>
        </w:rPr>
        <w:t xml:space="preserve"> and Wilkins, E.A. (2021).</w:t>
      </w:r>
      <w:r>
        <w:rPr>
          <w:rStyle w:val="apple-converted-space"/>
          <w:rFonts w:ascii="Arial" w:hAnsi="Arial" w:cs="Arial"/>
          <w:color w:val="000000"/>
          <w:sz w:val="22"/>
          <w:szCs w:val="22"/>
        </w:rPr>
        <w:t> </w:t>
      </w:r>
      <w:r>
        <w:rPr>
          <w:rFonts w:ascii="Arial" w:hAnsi="Arial" w:cs="Arial"/>
          <w:i/>
          <w:iCs/>
          <w:color w:val="000000"/>
          <w:sz w:val="22"/>
          <w:szCs w:val="22"/>
        </w:rPr>
        <w:t xml:space="preserve">The new teacher’s guide to overcoming common </w:t>
      </w:r>
      <w:proofErr w:type="gramStart"/>
      <w:r>
        <w:rPr>
          <w:rFonts w:ascii="Arial" w:hAnsi="Arial" w:cs="Arial"/>
          <w:i/>
          <w:iCs/>
          <w:color w:val="000000"/>
          <w:sz w:val="22"/>
          <w:szCs w:val="22"/>
        </w:rPr>
        <w:t>challenges :</w:t>
      </w:r>
      <w:proofErr w:type="gramEnd"/>
      <w:r>
        <w:rPr>
          <w:rFonts w:ascii="Arial" w:hAnsi="Arial" w:cs="Arial"/>
          <w:i/>
          <w:iCs/>
          <w:color w:val="000000"/>
          <w:sz w:val="22"/>
          <w:szCs w:val="22"/>
        </w:rPr>
        <w:t xml:space="preserve"> curated advice from award-winning teachers</w:t>
      </w:r>
      <w:r>
        <w:rPr>
          <w:rFonts w:ascii="Arial" w:hAnsi="Arial" w:cs="Arial"/>
          <w:color w:val="000000"/>
          <w:sz w:val="22"/>
          <w:szCs w:val="22"/>
        </w:rPr>
        <w:t>. [online] New York, Ny: Routledge. Available at: https://books.google.co.uk/books?hl=en&amp;lr=&amp;id=QhEHEAAAQBAJ&amp;oi=fnd&amp;pg=PA79&amp;dq=good+things+about+differentiation+in+education&amp;ots=GQOJZg9AIP&amp;sig=Y6ZlAXBObyZ9hTUid0lW_k-9aWs&amp;redir_esc=y#v=onepage&amp;q=good%20things%20about%20differentiation%20in%20education&amp;f=false [Accessed 19 Feb. 2023].</w:t>
      </w:r>
    </w:p>
    <w:p w14:paraId="4AACDCC6"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Schoch, K. (2020).</w:t>
      </w:r>
      <w:r>
        <w:rPr>
          <w:rStyle w:val="apple-converted-space"/>
          <w:rFonts w:ascii="Arial" w:hAnsi="Arial" w:cs="Arial"/>
          <w:color w:val="000000"/>
          <w:sz w:val="22"/>
          <w:szCs w:val="22"/>
        </w:rPr>
        <w:t> </w:t>
      </w:r>
      <w:r>
        <w:rPr>
          <w:rFonts w:ascii="Arial" w:hAnsi="Arial" w:cs="Arial"/>
          <w:i/>
          <w:iCs/>
          <w:color w:val="000000"/>
          <w:sz w:val="22"/>
          <w:szCs w:val="22"/>
        </w:rPr>
        <w:t>Case Study</w:t>
      </w:r>
      <w:r>
        <w:rPr>
          <w:rFonts w:ascii="Arial" w:hAnsi="Arial" w:cs="Arial"/>
          <w:color w:val="000000"/>
          <w:sz w:val="22"/>
          <w:szCs w:val="22"/>
        </w:rPr>
        <w:t>. Sage Publications Inc.</w:t>
      </w:r>
    </w:p>
    <w:p w14:paraId="649E69AD"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Smit, </w:t>
      </w:r>
      <w:proofErr w:type="gramStart"/>
      <w:r>
        <w:rPr>
          <w:rFonts w:ascii="Arial" w:hAnsi="Arial" w:cs="Arial"/>
          <w:color w:val="000000"/>
          <w:sz w:val="22"/>
          <w:szCs w:val="22"/>
        </w:rPr>
        <w:t>B.</w:t>
      </w:r>
      <w:proofErr w:type="gramEnd"/>
      <w:r>
        <w:rPr>
          <w:rFonts w:ascii="Arial" w:hAnsi="Arial" w:cs="Arial"/>
          <w:color w:val="000000"/>
          <w:sz w:val="22"/>
          <w:szCs w:val="22"/>
        </w:rPr>
        <w:t xml:space="preserve"> and Onwuegbuzie, A.J. (2018). Observations in Qualitative Inquiry: When What You See Is Not What You See.</w:t>
      </w:r>
      <w:r>
        <w:rPr>
          <w:rStyle w:val="apple-converted-space"/>
          <w:rFonts w:ascii="Arial" w:hAnsi="Arial" w:cs="Arial"/>
          <w:color w:val="000000"/>
          <w:sz w:val="22"/>
          <w:szCs w:val="22"/>
        </w:rPr>
        <w:t> </w:t>
      </w:r>
      <w:r>
        <w:rPr>
          <w:rFonts w:ascii="Arial" w:hAnsi="Arial" w:cs="Arial"/>
          <w:i/>
          <w:iCs/>
          <w:color w:val="000000"/>
          <w:sz w:val="22"/>
          <w:szCs w:val="22"/>
        </w:rPr>
        <w:t>International Journal of Qualitative Methods</w:t>
      </w:r>
      <w:r>
        <w:rPr>
          <w:rFonts w:ascii="Arial" w:hAnsi="Arial" w:cs="Arial"/>
          <w:color w:val="000000"/>
          <w:sz w:val="22"/>
          <w:szCs w:val="22"/>
        </w:rPr>
        <w:t xml:space="preserve">, [online] 17(1), p.160940691881676.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://doi.org/10.1177/1609406918816766</w:t>
      </w:r>
      <w:proofErr w:type="gramEnd"/>
      <w:r>
        <w:rPr>
          <w:rFonts w:ascii="Arial" w:hAnsi="Arial" w:cs="Arial"/>
          <w:color w:val="000000"/>
          <w:sz w:val="22"/>
          <w:szCs w:val="22"/>
        </w:rPr>
        <w:t>.</w:t>
      </w:r>
    </w:p>
    <w:p w14:paraId="2C48F235"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UCL (2019).</w:t>
      </w:r>
      <w:r>
        <w:rPr>
          <w:rStyle w:val="apple-converted-space"/>
          <w:rFonts w:ascii="Arial" w:hAnsi="Arial" w:cs="Arial"/>
          <w:color w:val="000000"/>
          <w:sz w:val="22"/>
          <w:szCs w:val="22"/>
        </w:rPr>
        <w:t> </w:t>
      </w:r>
      <w:r>
        <w:rPr>
          <w:rFonts w:ascii="Arial" w:hAnsi="Arial" w:cs="Arial"/>
          <w:i/>
          <w:iCs/>
          <w:color w:val="000000"/>
          <w:sz w:val="22"/>
          <w:szCs w:val="22"/>
        </w:rPr>
        <w:t>Inclusive teaching</w:t>
      </w:r>
      <w:r>
        <w:rPr>
          <w:rFonts w:ascii="Arial" w:hAnsi="Arial" w:cs="Arial"/>
          <w:color w:val="000000"/>
          <w:sz w:val="22"/>
          <w:szCs w:val="22"/>
        </w:rPr>
        <w:t>. [online] Teaching &amp; Learning. Available at: https://www.ucl.ac.uk/teaching-learning/publications/2019/aug/inclusive-teaching [Accessed 10 Feb. 2023].</w:t>
      </w:r>
    </w:p>
    <w:p w14:paraId="0580A55D"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Warwick, P., </w:t>
      </w:r>
      <w:proofErr w:type="spellStart"/>
      <w:r>
        <w:rPr>
          <w:rFonts w:ascii="Arial" w:hAnsi="Arial" w:cs="Arial"/>
          <w:color w:val="000000"/>
          <w:sz w:val="22"/>
          <w:szCs w:val="22"/>
        </w:rPr>
        <w:t>Vrikki</w:t>
      </w:r>
      <w:proofErr w:type="spellEnd"/>
      <w:r>
        <w:rPr>
          <w:rFonts w:ascii="Arial" w:hAnsi="Arial" w:cs="Arial"/>
          <w:color w:val="000000"/>
          <w:sz w:val="22"/>
          <w:szCs w:val="22"/>
        </w:rPr>
        <w:t xml:space="preserve">, M., </w:t>
      </w:r>
      <w:proofErr w:type="spellStart"/>
      <w:r>
        <w:rPr>
          <w:rFonts w:ascii="Arial" w:hAnsi="Arial" w:cs="Arial"/>
          <w:color w:val="000000"/>
          <w:sz w:val="22"/>
          <w:szCs w:val="22"/>
        </w:rPr>
        <w:t>Vermunt</w:t>
      </w:r>
      <w:proofErr w:type="spellEnd"/>
      <w:r>
        <w:rPr>
          <w:rFonts w:ascii="Arial" w:hAnsi="Arial" w:cs="Arial"/>
          <w:color w:val="000000"/>
          <w:sz w:val="22"/>
          <w:szCs w:val="22"/>
        </w:rPr>
        <w:t xml:space="preserve">, J.D., Mercer, N. and van </w:t>
      </w:r>
      <w:proofErr w:type="spellStart"/>
      <w:r>
        <w:rPr>
          <w:rFonts w:ascii="Arial" w:hAnsi="Arial" w:cs="Arial"/>
          <w:color w:val="000000"/>
          <w:sz w:val="22"/>
          <w:szCs w:val="22"/>
        </w:rPr>
        <w:t>Halem</w:t>
      </w:r>
      <w:proofErr w:type="spellEnd"/>
      <w:r>
        <w:rPr>
          <w:rFonts w:ascii="Arial" w:hAnsi="Arial" w:cs="Arial"/>
          <w:color w:val="000000"/>
          <w:sz w:val="22"/>
          <w:szCs w:val="22"/>
        </w:rPr>
        <w:t>, N. (2016). Connecting observations of student and teacher learning: an examination of dialogic processes in Lesson Study discussions in mathematics.</w:t>
      </w:r>
      <w:r>
        <w:rPr>
          <w:rStyle w:val="apple-converted-space"/>
          <w:rFonts w:ascii="Arial" w:hAnsi="Arial" w:cs="Arial"/>
          <w:color w:val="000000"/>
          <w:sz w:val="22"/>
          <w:szCs w:val="22"/>
        </w:rPr>
        <w:t> </w:t>
      </w:r>
      <w:r>
        <w:rPr>
          <w:rFonts w:ascii="Arial" w:hAnsi="Arial" w:cs="Arial"/>
          <w:i/>
          <w:iCs/>
          <w:color w:val="000000"/>
          <w:sz w:val="22"/>
          <w:szCs w:val="22"/>
        </w:rPr>
        <w:t>ZDM</w:t>
      </w:r>
      <w:r>
        <w:rPr>
          <w:rFonts w:ascii="Arial" w:hAnsi="Arial" w:cs="Arial"/>
          <w:color w:val="000000"/>
          <w:sz w:val="22"/>
          <w:szCs w:val="22"/>
        </w:rPr>
        <w:t xml:space="preserve">, 48(4), pp.555–569.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://doi.org/10.1007/s11858-015-0750-z</w:t>
      </w:r>
      <w:proofErr w:type="gramEnd"/>
      <w:r>
        <w:rPr>
          <w:rFonts w:ascii="Arial" w:hAnsi="Arial" w:cs="Arial"/>
          <w:color w:val="000000"/>
          <w:sz w:val="22"/>
          <w:szCs w:val="22"/>
        </w:rPr>
        <w:t>.</w:t>
      </w:r>
    </w:p>
    <w:p w14:paraId="3354868D" w14:textId="77777777" w:rsidR="00541E12" w:rsidRDefault="00541E12" w:rsidP="00541E12">
      <w:pPr>
        <w:pStyle w:val="NormalWeb"/>
        <w:shd w:val="clear" w:color="auto" w:fill="FFFFFF"/>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Westwood, P. (2001). Differentiation’ as a strategy for inclusive classroom practice: Some difficulties identified.</w:t>
      </w:r>
      <w:r>
        <w:rPr>
          <w:rStyle w:val="apple-converted-space"/>
          <w:rFonts w:ascii="Arial" w:hAnsi="Arial" w:cs="Arial"/>
          <w:color w:val="000000"/>
          <w:sz w:val="22"/>
          <w:szCs w:val="22"/>
        </w:rPr>
        <w:t> </w:t>
      </w:r>
      <w:r>
        <w:rPr>
          <w:rFonts w:ascii="Arial" w:hAnsi="Arial" w:cs="Arial"/>
          <w:i/>
          <w:iCs/>
          <w:color w:val="000000"/>
          <w:sz w:val="22"/>
          <w:szCs w:val="22"/>
        </w:rPr>
        <w:t>Australian Journal of Learning Disabilities</w:t>
      </w:r>
      <w:r>
        <w:rPr>
          <w:rFonts w:ascii="Arial" w:hAnsi="Arial" w:cs="Arial"/>
          <w:color w:val="000000"/>
          <w:sz w:val="22"/>
          <w:szCs w:val="22"/>
        </w:rPr>
        <w:t xml:space="preserve">, [online] 6(1), pp.5–11. </w:t>
      </w:r>
      <w:proofErr w:type="spellStart"/>
      <w:proofErr w:type="gramStart"/>
      <w:r>
        <w:rPr>
          <w:rFonts w:ascii="Arial" w:hAnsi="Arial" w:cs="Arial"/>
          <w:color w:val="000000"/>
          <w:sz w:val="22"/>
          <w:szCs w:val="22"/>
        </w:rPr>
        <w:t>doi:https</w:t>
      </w:r>
      <w:proofErr w:type="spellEnd"/>
      <w:r>
        <w:rPr>
          <w:rFonts w:ascii="Arial" w:hAnsi="Arial" w:cs="Arial"/>
          <w:color w:val="000000"/>
          <w:sz w:val="22"/>
          <w:szCs w:val="22"/>
        </w:rPr>
        <w:t>://doi.org/10.1080/19404150109546651</w:t>
      </w:r>
      <w:proofErr w:type="gramEnd"/>
      <w:r>
        <w:rPr>
          <w:rFonts w:ascii="Arial" w:hAnsi="Arial" w:cs="Arial"/>
          <w:color w:val="000000"/>
          <w:sz w:val="22"/>
          <w:szCs w:val="22"/>
        </w:rPr>
        <w:t>.</w:t>
      </w:r>
    </w:p>
    <w:p w14:paraId="23618768" w14:textId="4CBA97AE" w:rsidR="00863D13" w:rsidRPr="00863D13" w:rsidRDefault="00541E12" w:rsidP="00541E12">
      <w:pPr>
        <w:pStyle w:val="NormalWeb"/>
        <w:spacing w:line="360" w:lineRule="auto"/>
        <w:jc w:val="both"/>
        <w:rPr>
          <w:rFonts w:ascii="Arial" w:hAnsi="Arial" w:cs="Arial"/>
          <w:sz w:val="22"/>
          <w:szCs w:val="22"/>
        </w:rPr>
      </w:pPr>
      <w:r>
        <w:rPr>
          <w:rFonts w:ascii="Arial" w:hAnsi="Arial" w:cs="Arial"/>
          <w:color w:val="000000"/>
          <w:sz w:val="22"/>
          <w:szCs w:val="22"/>
          <w:shd w:val="clear" w:color="auto" w:fill="FFFFFF"/>
        </w:rPr>
        <w:t>‌</w:t>
      </w:r>
    </w:p>
    <w:sectPr w:rsidR="00863D13" w:rsidRPr="00863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04F97"/>
    <w:multiLevelType w:val="multilevel"/>
    <w:tmpl w:val="0DC8F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5016C7"/>
    <w:multiLevelType w:val="multilevel"/>
    <w:tmpl w:val="EC4CC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9948102">
    <w:abstractNumId w:val="1"/>
  </w:num>
  <w:num w:numId="2" w16cid:durableId="1003774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81"/>
    <w:rsid w:val="00097191"/>
    <w:rsid w:val="000D7C67"/>
    <w:rsid w:val="001075D7"/>
    <w:rsid w:val="001324AC"/>
    <w:rsid w:val="00213585"/>
    <w:rsid w:val="00233DB6"/>
    <w:rsid w:val="00274DD6"/>
    <w:rsid w:val="002C07A4"/>
    <w:rsid w:val="003316F0"/>
    <w:rsid w:val="003900FF"/>
    <w:rsid w:val="003B6C6C"/>
    <w:rsid w:val="003E4083"/>
    <w:rsid w:val="003E76DF"/>
    <w:rsid w:val="004346AD"/>
    <w:rsid w:val="004B4FA5"/>
    <w:rsid w:val="00512C7A"/>
    <w:rsid w:val="00535D52"/>
    <w:rsid w:val="00541E12"/>
    <w:rsid w:val="00575F81"/>
    <w:rsid w:val="006E6B7B"/>
    <w:rsid w:val="0071453A"/>
    <w:rsid w:val="00737DD0"/>
    <w:rsid w:val="007E7DCD"/>
    <w:rsid w:val="007F3A5D"/>
    <w:rsid w:val="00826EAB"/>
    <w:rsid w:val="00855B25"/>
    <w:rsid w:val="00863D13"/>
    <w:rsid w:val="0087104E"/>
    <w:rsid w:val="00880F81"/>
    <w:rsid w:val="008A5EE5"/>
    <w:rsid w:val="008E5064"/>
    <w:rsid w:val="009714AF"/>
    <w:rsid w:val="009B1A19"/>
    <w:rsid w:val="009D790D"/>
    <w:rsid w:val="00A76106"/>
    <w:rsid w:val="00A877BA"/>
    <w:rsid w:val="00A923E3"/>
    <w:rsid w:val="00A94B5A"/>
    <w:rsid w:val="00AC2E12"/>
    <w:rsid w:val="00B32227"/>
    <w:rsid w:val="00B85C39"/>
    <w:rsid w:val="00BD7E5B"/>
    <w:rsid w:val="00BF6FCE"/>
    <w:rsid w:val="00C02BFB"/>
    <w:rsid w:val="00C72891"/>
    <w:rsid w:val="00C866BA"/>
    <w:rsid w:val="00CE7B3A"/>
    <w:rsid w:val="00D45EBC"/>
    <w:rsid w:val="00D50E2C"/>
    <w:rsid w:val="00D56B10"/>
    <w:rsid w:val="00D57BC7"/>
    <w:rsid w:val="00D61BF7"/>
    <w:rsid w:val="00E011B1"/>
    <w:rsid w:val="00E02745"/>
    <w:rsid w:val="00E775A7"/>
    <w:rsid w:val="00EA476D"/>
    <w:rsid w:val="00EE073A"/>
    <w:rsid w:val="00EE62CE"/>
    <w:rsid w:val="00F51E58"/>
    <w:rsid w:val="00F60A4A"/>
    <w:rsid w:val="00FF3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99A00"/>
  <w15:chartTrackingRefBased/>
  <w15:docId w15:val="{B6C25F60-4405-6146-AE91-C8E2C7268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6BA"/>
    <w:rPr>
      <w:rFonts w:ascii="Times New Roman" w:eastAsia="Times New Roman" w:hAnsi="Times New Roman" w:cs="Times New Roman"/>
      <w:lang w:eastAsia="en-GB"/>
    </w:rPr>
  </w:style>
  <w:style w:type="paragraph" w:styleId="Heading1">
    <w:name w:val="heading 1"/>
    <w:basedOn w:val="Normal"/>
    <w:link w:val="Heading1Char"/>
    <w:uiPriority w:val="9"/>
    <w:qFormat/>
    <w:rsid w:val="00575F8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0F81"/>
    <w:pPr>
      <w:spacing w:before="100" w:beforeAutospacing="1" w:after="100" w:afterAutospacing="1"/>
    </w:pPr>
  </w:style>
  <w:style w:type="character" w:customStyle="1" w:styleId="apple-converted-space">
    <w:name w:val="apple-converted-space"/>
    <w:basedOn w:val="DefaultParagraphFont"/>
    <w:rsid w:val="00C866BA"/>
  </w:style>
  <w:style w:type="character" w:customStyle="1" w:styleId="ref-lnk">
    <w:name w:val="ref-lnk"/>
    <w:basedOn w:val="DefaultParagraphFont"/>
    <w:rsid w:val="00C866BA"/>
  </w:style>
  <w:style w:type="character" w:styleId="Hyperlink">
    <w:name w:val="Hyperlink"/>
    <w:basedOn w:val="DefaultParagraphFont"/>
    <w:uiPriority w:val="99"/>
    <w:semiHidden/>
    <w:unhideWhenUsed/>
    <w:rsid w:val="00C866BA"/>
    <w:rPr>
      <w:color w:val="0000FF"/>
      <w:u w:val="single"/>
    </w:rPr>
  </w:style>
  <w:style w:type="character" w:customStyle="1" w:styleId="off-screen">
    <w:name w:val="off-screen"/>
    <w:basedOn w:val="DefaultParagraphFont"/>
    <w:rsid w:val="00C866BA"/>
  </w:style>
  <w:style w:type="character" w:styleId="Strong">
    <w:name w:val="Strong"/>
    <w:basedOn w:val="DefaultParagraphFont"/>
    <w:uiPriority w:val="22"/>
    <w:qFormat/>
    <w:rsid w:val="00EA476D"/>
    <w:rPr>
      <w:b/>
      <w:bCs/>
    </w:rPr>
  </w:style>
  <w:style w:type="character" w:styleId="Emphasis">
    <w:name w:val="Emphasis"/>
    <w:basedOn w:val="DefaultParagraphFont"/>
    <w:uiPriority w:val="20"/>
    <w:qFormat/>
    <w:rsid w:val="00EA476D"/>
    <w:rPr>
      <w:i/>
      <w:iCs/>
    </w:rPr>
  </w:style>
  <w:style w:type="character" w:customStyle="1" w:styleId="Heading1Char">
    <w:name w:val="Heading 1 Char"/>
    <w:basedOn w:val="DefaultParagraphFont"/>
    <w:link w:val="Heading1"/>
    <w:uiPriority w:val="9"/>
    <w:rsid w:val="00575F8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6584">
      <w:bodyDiv w:val="1"/>
      <w:marLeft w:val="0"/>
      <w:marRight w:val="0"/>
      <w:marTop w:val="0"/>
      <w:marBottom w:val="0"/>
      <w:divBdr>
        <w:top w:val="none" w:sz="0" w:space="0" w:color="auto"/>
        <w:left w:val="none" w:sz="0" w:space="0" w:color="auto"/>
        <w:bottom w:val="none" w:sz="0" w:space="0" w:color="auto"/>
        <w:right w:val="none" w:sz="0" w:space="0" w:color="auto"/>
      </w:divBdr>
      <w:divsChild>
        <w:div w:id="1595434858">
          <w:marLeft w:val="0"/>
          <w:marRight w:val="0"/>
          <w:marTop w:val="0"/>
          <w:marBottom w:val="0"/>
          <w:divBdr>
            <w:top w:val="none" w:sz="0" w:space="0" w:color="auto"/>
            <w:left w:val="none" w:sz="0" w:space="0" w:color="auto"/>
            <w:bottom w:val="none" w:sz="0" w:space="0" w:color="auto"/>
            <w:right w:val="none" w:sz="0" w:space="0" w:color="auto"/>
          </w:divBdr>
          <w:divsChild>
            <w:div w:id="1391155832">
              <w:marLeft w:val="0"/>
              <w:marRight w:val="0"/>
              <w:marTop w:val="0"/>
              <w:marBottom w:val="0"/>
              <w:divBdr>
                <w:top w:val="none" w:sz="0" w:space="0" w:color="auto"/>
                <w:left w:val="none" w:sz="0" w:space="0" w:color="auto"/>
                <w:bottom w:val="none" w:sz="0" w:space="0" w:color="auto"/>
                <w:right w:val="none" w:sz="0" w:space="0" w:color="auto"/>
              </w:divBdr>
              <w:divsChild>
                <w:div w:id="15630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8480">
      <w:bodyDiv w:val="1"/>
      <w:marLeft w:val="0"/>
      <w:marRight w:val="0"/>
      <w:marTop w:val="0"/>
      <w:marBottom w:val="0"/>
      <w:divBdr>
        <w:top w:val="none" w:sz="0" w:space="0" w:color="auto"/>
        <w:left w:val="none" w:sz="0" w:space="0" w:color="auto"/>
        <w:bottom w:val="none" w:sz="0" w:space="0" w:color="auto"/>
        <w:right w:val="none" w:sz="0" w:space="0" w:color="auto"/>
      </w:divBdr>
    </w:div>
    <w:div w:id="99880055">
      <w:bodyDiv w:val="1"/>
      <w:marLeft w:val="0"/>
      <w:marRight w:val="0"/>
      <w:marTop w:val="0"/>
      <w:marBottom w:val="0"/>
      <w:divBdr>
        <w:top w:val="none" w:sz="0" w:space="0" w:color="auto"/>
        <w:left w:val="none" w:sz="0" w:space="0" w:color="auto"/>
        <w:bottom w:val="none" w:sz="0" w:space="0" w:color="auto"/>
        <w:right w:val="none" w:sz="0" w:space="0" w:color="auto"/>
      </w:divBdr>
    </w:div>
    <w:div w:id="155457526">
      <w:bodyDiv w:val="1"/>
      <w:marLeft w:val="0"/>
      <w:marRight w:val="0"/>
      <w:marTop w:val="0"/>
      <w:marBottom w:val="0"/>
      <w:divBdr>
        <w:top w:val="none" w:sz="0" w:space="0" w:color="auto"/>
        <w:left w:val="none" w:sz="0" w:space="0" w:color="auto"/>
        <w:bottom w:val="none" w:sz="0" w:space="0" w:color="auto"/>
        <w:right w:val="none" w:sz="0" w:space="0" w:color="auto"/>
      </w:divBdr>
      <w:divsChild>
        <w:div w:id="1462730151">
          <w:marLeft w:val="0"/>
          <w:marRight w:val="0"/>
          <w:marTop w:val="0"/>
          <w:marBottom w:val="0"/>
          <w:divBdr>
            <w:top w:val="none" w:sz="0" w:space="0" w:color="auto"/>
            <w:left w:val="none" w:sz="0" w:space="0" w:color="auto"/>
            <w:bottom w:val="none" w:sz="0" w:space="0" w:color="auto"/>
            <w:right w:val="none" w:sz="0" w:space="0" w:color="auto"/>
          </w:divBdr>
          <w:divsChild>
            <w:div w:id="1531845307">
              <w:marLeft w:val="0"/>
              <w:marRight w:val="0"/>
              <w:marTop w:val="0"/>
              <w:marBottom w:val="0"/>
              <w:divBdr>
                <w:top w:val="none" w:sz="0" w:space="0" w:color="auto"/>
                <w:left w:val="none" w:sz="0" w:space="0" w:color="auto"/>
                <w:bottom w:val="none" w:sz="0" w:space="0" w:color="auto"/>
                <w:right w:val="none" w:sz="0" w:space="0" w:color="auto"/>
              </w:divBdr>
              <w:divsChild>
                <w:div w:id="1505054771">
                  <w:marLeft w:val="0"/>
                  <w:marRight w:val="0"/>
                  <w:marTop w:val="0"/>
                  <w:marBottom w:val="0"/>
                  <w:divBdr>
                    <w:top w:val="none" w:sz="0" w:space="0" w:color="auto"/>
                    <w:left w:val="none" w:sz="0" w:space="0" w:color="auto"/>
                    <w:bottom w:val="none" w:sz="0" w:space="0" w:color="auto"/>
                    <w:right w:val="none" w:sz="0" w:space="0" w:color="auto"/>
                  </w:divBdr>
                </w:div>
              </w:divsChild>
            </w:div>
            <w:div w:id="367074225">
              <w:marLeft w:val="0"/>
              <w:marRight w:val="0"/>
              <w:marTop w:val="0"/>
              <w:marBottom w:val="0"/>
              <w:divBdr>
                <w:top w:val="none" w:sz="0" w:space="0" w:color="auto"/>
                <w:left w:val="none" w:sz="0" w:space="0" w:color="auto"/>
                <w:bottom w:val="none" w:sz="0" w:space="0" w:color="auto"/>
                <w:right w:val="none" w:sz="0" w:space="0" w:color="auto"/>
              </w:divBdr>
              <w:divsChild>
                <w:div w:id="33784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921708">
          <w:marLeft w:val="0"/>
          <w:marRight w:val="0"/>
          <w:marTop w:val="0"/>
          <w:marBottom w:val="0"/>
          <w:divBdr>
            <w:top w:val="none" w:sz="0" w:space="0" w:color="auto"/>
            <w:left w:val="none" w:sz="0" w:space="0" w:color="auto"/>
            <w:bottom w:val="none" w:sz="0" w:space="0" w:color="auto"/>
            <w:right w:val="none" w:sz="0" w:space="0" w:color="auto"/>
          </w:divBdr>
          <w:divsChild>
            <w:div w:id="367880808">
              <w:marLeft w:val="0"/>
              <w:marRight w:val="0"/>
              <w:marTop w:val="0"/>
              <w:marBottom w:val="0"/>
              <w:divBdr>
                <w:top w:val="none" w:sz="0" w:space="0" w:color="auto"/>
                <w:left w:val="none" w:sz="0" w:space="0" w:color="auto"/>
                <w:bottom w:val="none" w:sz="0" w:space="0" w:color="auto"/>
                <w:right w:val="none" w:sz="0" w:space="0" w:color="auto"/>
              </w:divBdr>
              <w:divsChild>
                <w:div w:id="48706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06872">
      <w:bodyDiv w:val="1"/>
      <w:marLeft w:val="0"/>
      <w:marRight w:val="0"/>
      <w:marTop w:val="0"/>
      <w:marBottom w:val="0"/>
      <w:divBdr>
        <w:top w:val="none" w:sz="0" w:space="0" w:color="auto"/>
        <w:left w:val="none" w:sz="0" w:space="0" w:color="auto"/>
        <w:bottom w:val="none" w:sz="0" w:space="0" w:color="auto"/>
        <w:right w:val="none" w:sz="0" w:space="0" w:color="auto"/>
      </w:divBdr>
      <w:divsChild>
        <w:div w:id="569508701">
          <w:marLeft w:val="0"/>
          <w:marRight w:val="0"/>
          <w:marTop w:val="0"/>
          <w:marBottom w:val="0"/>
          <w:divBdr>
            <w:top w:val="none" w:sz="0" w:space="0" w:color="auto"/>
            <w:left w:val="none" w:sz="0" w:space="0" w:color="auto"/>
            <w:bottom w:val="none" w:sz="0" w:space="0" w:color="auto"/>
            <w:right w:val="none" w:sz="0" w:space="0" w:color="auto"/>
          </w:divBdr>
          <w:divsChild>
            <w:div w:id="79256036">
              <w:marLeft w:val="0"/>
              <w:marRight w:val="0"/>
              <w:marTop w:val="0"/>
              <w:marBottom w:val="0"/>
              <w:divBdr>
                <w:top w:val="none" w:sz="0" w:space="0" w:color="auto"/>
                <w:left w:val="none" w:sz="0" w:space="0" w:color="auto"/>
                <w:bottom w:val="none" w:sz="0" w:space="0" w:color="auto"/>
                <w:right w:val="none" w:sz="0" w:space="0" w:color="auto"/>
              </w:divBdr>
              <w:divsChild>
                <w:div w:id="1304235032">
                  <w:marLeft w:val="0"/>
                  <w:marRight w:val="0"/>
                  <w:marTop w:val="0"/>
                  <w:marBottom w:val="0"/>
                  <w:divBdr>
                    <w:top w:val="none" w:sz="0" w:space="0" w:color="auto"/>
                    <w:left w:val="none" w:sz="0" w:space="0" w:color="auto"/>
                    <w:bottom w:val="none" w:sz="0" w:space="0" w:color="auto"/>
                    <w:right w:val="none" w:sz="0" w:space="0" w:color="auto"/>
                  </w:divBdr>
                  <w:divsChild>
                    <w:div w:id="201892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982037">
      <w:bodyDiv w:val="1"/>
      <w:marLeft w:val="0"/>
      <w:marRight w:val="0"/>
      <w:marTop w:val="0"/>
      <w:marBottom w:val="0"/>
      <w:divBdr>
        <w:top w:val="none" w:sz="0" w:space="0" w:color="auto"/>
        <w:left w:val="none" w:sz="0" w:space="0" w:color="auto"/>
        <w:bottom w:val="none" w:sz="0" w:space="0" w:color="auto"/>
        <w:right w:val="none" w:sz="0" w:space="0" w:color="auto"/>
      </w:divBdr>
      <w:divsChild>
        <w:div w:id="681393871">
          <w:marLeft w:val="0"/>
          <w:marRight w:val="0"/>
          <w:marTop w:val="0"/>
          <w:marBottom w:val="0"/>
          <w:divBdr>
            <w:top w:val="none" w:sz="0" w:space="0" w:color="auto"/>
            <w:left w:val="none" w:sz="0" w:space="0" w:color="auto"/>
            <w:bottom w:val="none" w:sz="0" w:space="0" w:color="auto"/>
            <w:right w:val="none" w:sz="0" w:space="0" w:color="auto"/>
          </w:divBdr>
          <w:divsChild>
            <w:div w:id="1163281954">
              <w:marLeft w:val="0"/>
              <w:marRight w:val="0"/>
              <w:marTop w:val="0"/>
              <w:marBottom w:val="0"/>
              <w:divBdr>
                <w:top w:val="none" w:sz="0" w:space="0" w:color="auto"/>
                <w:left w:val="none" w:sz="0" w:space="0" w:color="auto"/>
                <w:bottom w:val="none" w:sz="0" w:space="0" w:color="auto"/>
                <w:right w:val="none" w:sz="0" w:space="0" w:color="auto"/>
              </w:divBdr>
              <w:divsChild>
                <w:div w:id="134940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139678">
      <w:bodyDiv w:val="1"/>
      <w:marLeft w:val="0"/>
      <w:marRight w:val="0"/>
      <w:marTop w:val="0"/>
      <w:marBottom w:val="0"/>
      <w:divBdr>
        <w:top w:val="none" w:sz="0" w:space="0" w:color="auto"/>
        <w:left w:val="none" w:sz="0" w:space="0" w:color="auto"/>
        <w:bottom w:val="none" w:sz="0" w:space="0" w:color="auto"/>
        <w:right w:val="none" w:sz="0" w:space="0" w:color="auto"/>
      </w:divBdr>
      <w:divsChild>
        <w:div w:id="89742954">
          <w:marLeft w:val="0"/>
          <w:marRight w:val="0"/>
          <w:marTop w:val="0"/>
          <w:marBottom w:val="0"/>
          <w:divBdr>
            <w:top w:val="none" w:sz="0" w:space="0" w:color="auto"/>
            <w:left w:val="none" w:sz="0" w:space="0" w:color="auto"/>
            <w:bottom w:val="none" w:sz="0" w:space="0" w:color="auto"/>
            <w:right w:val="none" w:sz="0" w:space="0" w:color="auto"/>
          </w:divBdr>
          <w:divsChild>
            <w:div w:id="889390137">
              <w:marLeft w:val="0"/>
              <w:marRight w:val="0"/>
              <w:marTop w:val="0"/>
              <w:marBottom w:val="0"/>
              <w:divBdr>
                <w:top w:val="none" w:sz="0" w:space="0" w:color="auto"/>
                <w:left w:val="none" w:sz="0" w:space="0" w:color="auto"/>
                <w:bottom w:val="none" w:sz="0" w:space="0" w:color="auto"/>
                <w:right w:val="none" w:sz="0" w:space="0" w:color="auto"/>
              </w:divBdr>
              <w:divsChild>
                <w:div w:id="1768304398">
                  <w:marLeft w:val="0"/>
                  <w:marRight w:val="0"/>
                  <w:marTop w:val="0"/>
                  <w:marBottom w:val="0"/>
                  <w:divBdr>
                    <w:top w:val="none" w:sz="0" w:space="0" w:color="auto"/>
                    <w:left w:val="none" w:sz="0" w:space="0" w:color="auto"/>
                    <w:bottom w:val="none" w:sz="0" w:space="0" w:color="auto"/>
                    <w:right w:val="none" w:sz="0" w:space="0" w:color="auto"/>
                  </w:divBdr>
                  <w:divsChild>
                    <w:div w:id="118706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58490">
      <w:bodyDiv w:val="1"/>
      <w:marLeft w:val="0"/>
      <w:marRight w:val="0"/>
      <w:marTop w:val="0"/>
      <w:marBottom w:val="0"/>
      <w:divBdr>
        <w:top w:val="none" w:sz="0" w:space="0" w:color="auto"/>
        <w:left w:val="none" w:sz="0" w:space="0" w:color="auto"/>
        <w:bottom w:val="none" w:sz="0" w:space="0" w:color="auto"/>
        <w:right w:val="none" w:sz="0" w:space="0" w:color="auto"/>
      </w:divBdr>
      <w:divsChild>
        <w:div w:id="1840342061">
          <w:marLeft w:val="0"/>
          <w:marRight w:val="0"/>
          <w:marTop w:val="0"/>
          <w:marBottom w:val="0"/>
          <w:divBdr>
            <w:top w:val="none" w:sz="0" w:space="0" w:color="auto"/>
            <w:left w:val="none" w:sz="0" w:space="0" w:color="auto"/>
            <w:bottom w:val="none" w:sz="0" w:space="0" w:color="auto"/>
            <w:right w:val="none" w:sz="0" w:space="0" w:color="auto"/>
          </w:divBdr>
          <w:divsChild>
            <w:div w:id="275602902">
              <w:marLeft w:val="0"/>
              <w:marRight w:val="0"/>
              <w:marTop w:val="0"/>
              <w:marBottom w:val="0"/>
              <w:divBdr>
                <w:top w:val="none" w:sz="0" w:space="0" w:color="auto"/>
                <w:left w:val="none" w:sz="0" w:space="0" w:color="auto"/>
                <w:bottom w:val="none" w:sz="0" w:space="0" w:color="auto"/>
                <w:right w:val="none" w:sz="0" w:space="0" w:color="auto"/>
              </w:divBdr>
              <w:divsChild>
                <w:div w:id="27722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96191">
      <w:bodyDiv w:val="1"/>
      <w:marLeft w:val="0"/>
      <w:marRight w:val="0"/>
      <w:marTop w:val="0"/>
      <w:marBottom w:val="0"/>
      <w:divBdr>
        <w:top w:val="none" w:sz="0" w:space="0" w:color="auto"/>
        <w:left w:val="none" w:sz="0" w:space="0" w:color="auto"/>
        <w:bottom w:val="none" w:sz="0" w:space="0" w:color="auto"/>
        <w:right w:val="none" w:sz="0" w:space="0" w:color="auto"/>
      </w:divBdr>
      <w:divsChild>
        <w:div w:id="926575374">
          <w:marLeft w:val="0"/>
          <w:marRight w:val="0"/>
          <w:marTop w:val="0"/>
          <w:marBottom w:val="0"/>
          <w:divBdr>
            <w:top w:val="none" w:sz="0" w:space="0" w:color="auto"/>
            <w:left w:val="none" w:sz="0" w:space="0" w:color="auto"/>
            <w:bottom w:val="none" w:sz="0" w:space="0" w:color="auto"/>
            <w:right w:val="none" w:sz="0" w:space="0" w:color="auto"/>
          </w:divBdr>
          <w:divsChild>
            <w:div w:id="1805155842">
              <w:marLeft w:val="0"/>
              <w:marRight w:val="0"/>
              <w:marTop w:val="0"/>
              <w:marBottom w:val="0"/>
              <w:divBdr>
                <w:top w:val="none" w:sz="0" w:space="0" w:color="auto"/>
                <w:left w:val="none" w:sz="0" w:space="0" w:color="auto"/>
                <w:bottom w:val="none" w:sz="0" w:space="0" w:color="auto"/>
                <w:right w:val="none" w:sz="0" w:space="0" w:color="auto"/>
              </w:divBdr>
              <w:divsChild>
                <w:div w:id="519900000">
                  <w:marLeft w:val="0"/>
                  <w:marRight w:val="0"/>
                  <w:marTop w:val="0"/>
                  <w:marBottom w:val="0"/>
                  <w:divBdr>
                    <w:top w:val="none" w:sz="0" w:space="0" w:color="auto"/>
                    <w:left w:val="none" w:sz="0" w:space="0" w:color="auto"/>
                    <w:bottom w:val="none" w:sz="0" w:space="0" w:color="auto"/>
                    <w:right w:val="none" w:sz="0" w:space="0" w:color="auto"/>
                  </w:divBdr>
                  <w:divsChild>
                    <w:div w:id="96970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904509">
      <w:bodyDiv w:val="1"/>
      <w:marLeft w:val="0"/>
      <w:marRight w:val="0"/>
      <w:marTop w:val="0"/>
      <w:marBottom w:val="0"/>
      <w:divBdr>
        <w:top w:val="none" w:sz="0" w:space="0" w:color="auto"/>
        <w:left w:val="none" w:sz="0" w:space="0" w:color="auto"/>
        <w:bottom w:val="none" w:sz="0" w:space="0" w:color="auto"/>
        <w:right w:val="none" w:sz="0" w:space="0" w:color="auto"/>
      </w:divBdr>
      <w:divsChild>
        <w:div w:id="1719625563">
          <w:marLeft w:val="0"/>
          <w:marRight w:val="0"/>
          <w:marTop w:val="0"/>
          <w:marBottom w:val="0"/>
          <w:divBdr>
            <w:top w:val="none" w:sz="0" w:space="0" w:color="auto"/>
            <w:left w:val="none" w:sz="0" w:space="0" w:color="auto"/>
            <w:bottom w:val="none" w:sz="0" w:space="0" w:color="auto"/>
            <w:right w:val="none" w:sz="0" w:space="0" w:color="auto"/>
          </w:divBdr>
          <w:divsChild>
            <w:div w:id="549344608">
              <w:marLeft w:val="0"/>
              <w:marRight w:val="0"/>
              <w:marTop w:val="0"/>
              <w:marBottom w:val="0"/>
              <w:divBdr>
                <w:top w:val="none" w:sz="0" w:space="0" w:color="auto"/>
                <w:left w:val="none" w:sz="0" w:space="0" w:color="auto"/>
                <w:bottom w:val="none" w:sz="0" w:space="0" w:color="auto"/>
                <w:right w:val="none" w:sz="0" w:space="0" w:color="auto"/>
              </w:divBdr>
              <w:divsChild>
                <w:div w:id="176707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104320">
      <w:bodyDiv w:val="1"/>
      <w:marLeft w:val="0"/>
      <w:marRight w:val="0"/>
      <w:marTop w:val="0"/>
      <w:marBottom w:val="0"/>
      <w:divBdr>
        <w:top w:val="none" w:sz="0" w:space="0" w:color="auto"/>
        <w:left w:val="none" w:sz="0" w:space="0" w:color="auto"/>
        <w:bottom w:val="none" w:sz="0" w:space="0" w:color="auto"/>
        <w:right w:val="none" w:sz="0" w:space="0" w:color="auto"/>
      </w:divBdr>
      <w:divsChild>
        <w:div w:id="742872909">
          <w:marLeft w:val="0"/>
          <w:marRight w:val="0"/>
          <w:marTop w:val="0"/>
          <w:marBottom w:val="0"/>
          <w:divBdr>
            <w:top w:val="none" w:sz="0" w:space="0" w:color="auto"/>
            <w:left w:val="none" w:sz="0" w:space="0" w:color="auto"/>
            <w:bottom w:val="none" w:sz="0" w:space="0" w:color="auto"/>
            <w:right w:val="none" w:sz="0" w:space="0" w:color="auto"/>
          </w:divBdr>
          <w:divsChild>
            <w:div w:id="1222060800">
              <w:marLeft w:val="0"/>
              <w:marRight w:val="0"/>
              <w:marTop w:val="0"/>
              <w:marBottom w:val="0"/>
              <w:divBdr>
                <w:top w:val="none" w:sz="0" w:space="0" w:color="auto"/>
                <w:left w:val="none" w:sz="0" w:space="0" w:color="auto"/>
                <w:bottom w:val="none" w:sz="0" w:space="0" w:color="auto"/>
                <w:right w:val="none" w:sz="0" w:space="0" w:color="auto"/>
              </w:divBdr>
              <w:divsChild>
                <w:div w:id="1438678013">
                  <w:marLeft w:val="0"/>
                  <w:marRight w:val="0"/>
                  <w:marTop w:val="0"/>
                  <w:marBottom w:val="0"/>
                  <w:divBdr>
                    <w:top w:val="none" w:sz="0" w:space="0" w:color="auto"/>
                    <w:left w:val="none" w:sz="0" w:space="0" w:color="auto"/>
                    <w:bottom w:val="none" w:sz="0" w:space="0" w:color="auto"/>
                    <w:right w:val="none" w:sz="0" w:space="0" w:color="auto"/>
                  </w:divBdr>
                  <w:divsChild>
                    <w:div w:id="171484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085769">
      <w:bodyDiv w:val="1"/>
      <w:marLeft w:val="0"/>
      <w:marRight w:val="0"/>
      <w:marTop w:val="0"/>
      <w:marBottom w:val="0"/>
      <w:divBdr>
        <w:top w:val="none" w:sz="0" w:space="0" w:color="auto"/>
        <w:left w:val="none" w:sz="0" w:space="0" w:color="auto"/>
        <w:bottom w:val="none" w:sz="0" w:space="0" w:color="auto"/>
        <w:right w:val="none" w:sz="0" w:space="0" w:color="auto"/>
      </w:divBdr>
    </w:div>
    <w:div w:id="1519075303">
      <w:bodyDiv w:val="1"/>
      <w:marLeft w:val="0"/>
      <w:marRight w:val="0"/>
      <w:marTop w:val="0"/>
      <w:marBottom w:val="0"/>
      <w:divBdr>
        <w:top w:val="none" w:sz="0" w:space="0" w:color="auto"/>
        <w:left w:val="none" w:sz="0" w:space="0" w:color="auto"/>
        <w:bottom w:val="none" w:sz="0" w:space="0" w:color="auto"/>
        <w:right w:val="none" w:sz="0" w:space="0" w:color="auto"/>
      </w:divBdr>
      <w:divsChild>
        <w:div w:id="591085505">
          <w:marLeft w:val="0"/>
          <w:marRight w:val="0"/>
          <w:marTop w:val="0"/>
          <w:marBottom w:val="0"/>
          <w:divBdr>
            <w:top w:val="none" w:sz="0" w:space="0" w:color="auto"/>
            <w:left w:val="none" w:sz="0" w:space="0" w:color="auto"/>
            <w:bottom w:val="none" w:sz="0" w:space="0" w:color="auto"/>
            <w:right w:val="none" w:sz="0" w:space="0" w:color="auto"/>
          </w:divBdr>
          <w:divsChild>
            <w:div w:id="621500760">
              <w:marLeft w:val="0"/>
              <w:marRight w:val="0"/>
              <w:marTop w:val="0"/>
              <w:marBottom w:val="0"/>
              <w:divBdr>
                <w:top w:val="none" w:sz="0" w:space="0" w:color="auto"/>
                <w:left w:val="none" w:sz="0" w:space="0" w:color="auto"/>
                <w:bottom w:val="none" w:sz="0" w:space="0" w:color="auto"/>
                <w:right w:val="none" w:sz="0" w:space="0" w:color="auto"/>
              </w:divBdr>
              <w:divsChild>
                <w:div w:id="125436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947472">
      <w:bodyDiv w:val="1"/>
      <w:marLeft w:val="0"/>
      <w:marRight w:val="0"/>
      <w:marTop w:val="0"/>
      <w:marBottom w:val="0"/>
      <w:divBdr>
        <w:top w:val="none" w:sz="0" w:space="0" w:color="auto"/>
        <w:left w:val="none" w:sz="0" w:space="0" w:color="auto"/>
        <w:bottom w:val="none" w:sz="0" w:space="0" w:color="auto"/>
        <w:right w:val="none" w:sz="0" w:space="0" w:color="auto"/>
      </w:divBdr>
    </w:div>
    <w:div w:id="1758017785">
      <w:bodyDiv w:val="1"/>
      <w:marLeft w:val="0"/>
      <w:marRight w:val="0"/>
      <w:marTop w:val="0"/>
      <w:marBottom w:val="0"/>
      <w:divBdr>
        <w:top w:val="none" w:sz="0" w:space="0" w:color="auto"/>
        <w:left w:val="none" w:sz="0" w:space="0" w:color="auto"/>
        <w:bottom w:val="none" w:sz="0" w:space="0" w:color="auto"/>
        <w:right w:val="none" w:sz="0" w:space="0" w:color="auto"/>
      </w:divBdr>
      <w:divsChild>
        <w:div w:id="723137652">
          <w:marLeft w:val="0"/>
          <w:marRight w:val="0"/>
          <w:marTop w:val="0"/>
          <w:marBottom w:val="0"/>
          <w:divBdr>
            <w:top w:val="none" w:sz="0" w:space="0" w:color="auto"/>
            <w:left w:val="none" w:sz="0" w:space="0" w:color="auto"/>
            <w:bottom w:val="none" w:sz="0" w:space="0" w:color="auto"/>
            <w:right w:val="none" w:sz="0" w:space="0" w:color="auto"/>
          </w:divBdr>
          <w:divsChild>
            <w:div w:id="789784920">
              <w:marLeft w:val="0"/>
              <w:marRight w:val="0"/>
              <w:marTop w:val="0"/>
              <w:marBottom w:val="0"/>
              <w:divBdr>
                <w:top w:val="none" w:sz="0" w:space="0" w:color="auto"/>
                <w:left w:val="none" w:sz="0" w:space="0" w:color="auto"/>
                <w:bottom w:val="none" w:sz="0" w:space="0" w:color="auto"/>
                <w:right w:val="none" w:sz="0" w:space="0" w:color="auto"/>
              </w:divBdr>
              <w:divsChild>
                <w:div w:id="1038353693">
                  <w:marLeft w:val="0"/>
                  <w:marRight w:val="0"/>
                  <w:marTop w:val="0"/>
                  <w:marBottom w:val="0"/>
                  <w:divBdr>
                    <w:top w:val="none" w:sz="0" w:space="0" w:color="auto"/>
                    <w:left w:val="none" w:sz="0" w:space="0" w:color="auto"/>
                    <w:bottom w:val="none" w:sz="0" w:space="0" w:color="auto"/>
                    <w:right w:val="none" w:sz="0" w:space="0" w:color="auto"/>
                  </w:divBdr>
                  <w:divsChild>
                    <w:div w:id="197984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695524">
      <w:bodyDiv w:val="1"/>
      <w:marLeft w:val="0"/>
      <w:marRight w:val="0"/>
      <w:marTop w:val="0"/>
      <w:marBottom w:val="0"/>
      <w:divBdr>
        <w:top w:val="none" w:sz="0" w:space="0" w:color="auto"/>
        <w:left w:val="none" w:sz="0" w:space="0" w:color="auto"/>
        <w:bottom w:val="none" w:sz="0" w:space="0" w:color="auto"/>
        <w:right w:val="none" w:sz="0" w:space="0" w:color="auto"/>
      </w:divBdr>
      <w:divsChild>
        <w:div w:id="1913076559">
          <w:marLeft w:val="0"/>
          <w:marRight w:val="0"/>
          <w:marTop w:val="0"/>
          <w:marBottom w:val="0"/>
          <w:divBdr>
            <w:top w:val="none" w:sz="0" w:space="0" w:color="auto"/>
            <w:left w:val="none" w:sz="0" w:space="0" w:color="auto"/>
            <w:bottom w:val="none" w:sz="0" w:space="0" w:color="auto"/>
            <w:right w:val="none" w:sz="0" w:space="0" w:color="auto"/>
          </w:divBdr>
          <w:divsChild>
            <w:div w:id="268394362">
              <w:marLeft w:val="0"/>
              <w:marRight w:val="0"/>
              <w:marTop w:val="0"/>
              <w:marBottom w:val="0"/>
              <w:divBdr>
                <w:top w:val="none" w:sz="0" w:space="0" w:color="auto"/>
                <w:left w:val="none" w:sz="0" w:space="0" w:color="auto"/>
                <w:bottom w:val="none" w:sz="0" w:space="0" w:color="auto"/>
                <w:right w:val="none" w:sz="0" w:space="0" w:color="auto"/>
              </w:divBdr>
              <w:divsChild>
                <w:div w:id="1625769549">
                  <w:marLeft w:val="0"/>
                  <w:marRight w:val="0"/>
                  <w:marTop w:val="0"/>
                  <w:marBottom w:val="0"/>
                  <w:divBdr>
                    <w:top w:val="none" w:sz="0" w:space="0" w:color="auto"/>
                    <w:left w:val="none" w:sz="0" w:space="0" w:color="auto"/>
                    <w:bottom w:val="none" w:sz="0" w:space="0" w:color="auto"/>
                    <w:right w:val="none" w:sz="0" w:space="0" w:color="auto"/>
                  </w:divBdr>
                  <w:divsChild>
                    <w:div w:id="93698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776303">
      <w:bodyDiv w:val="1"/>
      <w:marLeft w:val="0"/>
      <w:marRight w:val="0"/>
      <w:marTop w:val="0"/>
      <w:marBottom w:val="0"/>
      <w:divBdr>
        <w:top w:val="none" w:sz="0" w:space="0" w:color="auto"/>
        <w:left w:val="none" w:sz="0" w:space="0" w:color="auto"/>
        <w:bottom w:val="none" w:sz="0" w:space="0" w:color="auto"/>
        <w:right w:val="none" w:sz="0" w:space="0" w:color="auto"/>
      </w:divBdr>
      <w:divsChild>
        <w:div w:id="44060720">
          <w:marLeft w:val="0"/>
          <w:marRight w:val="0"/>
          <w:marTop w:val="0"/>
          <w:marBottom w:val="0"/>
          <w:divBdr>
            <w:top w:val="none" w:sz="0" w:space="0" w:color="auto"/>
            <w:left w:val="none" w:sz="0" w:space="0" w:color="auto"/>
            <w:bottom w:val="none" w:sz="0" w:space="0" w:color="auto"/>
            <w:right w:val="none" w:sz="0" w:space="0" w:color="auto"/>
          </w:divBdr>
          <w:divsChild>
            <w:div w:id="312611518">
              <w:marLeft w:val="0"/>
              <w:marRight w:val="0"/>
              <w:marTop w:val="0"/>
              <w:marBottom w:val="0"/>
              <w:divBdr>
                <w:top w:val="none" w:sz="0" w:space="0" w:color="auto"/>
                <w:left w:val="none" w:sz="0" w:space="0" w:color="auto"/>
                <w:bottom w:val="none" w:sz="0" w:space="0" w:color="auto"/>
                <w:right w:val="none" w:sz="0" w:space="0" w:color="auto"/>
              </w:divBdr>
              <w:divsChild>
                <w:div w:id="31091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491044">
      <w:bodyDiv w:val="1"/>
      <w:marLeft w:val="0"/>
      <w:marRight w:val="0"/>
      <w:marTop w:val="0"/>
      <w:marBottom w:val="0"/>
      <w:divBdr>
        <w:top w:val="none" w:sz="0" w:space="0" w:color="auto"/>
        <w:left w:val="none" w:sz="0" w:space="0" w:color="auto"/>
        <w:bottom w:val="none" w:sz="0" w:space="0" w:color="auto"/>
        <w:right w:val="none" w:sz="0" w:space="0" w:color="auto"/>
      </w:divBdr>
      <w:divsChild>
        <w:div w:id="1917977736">
          <w:marLeft w:val="0"/>
          <w:marRight w:val="0"/>
          <w:marTop w:val="0"/>
          <w:marBottom w:val="0"/>
          <w:divBdr>
            <w:top w:val="none" w:sz="0" w:space="0" w:color="auto"/>
            <w:left w:val="none" w:sz="0" w:space="0" w:color="auto"/>
            <w:bottom w:val="none" w:sz="0" w:space="0" w:color="auto"/>
            <w:right w:val="none" w:sz="0" w:space="0" w:color="auto"/>
          </w:divBdr>
          <w:divsChild>
            <w:div w:id="971789855">
              <w:marLeft w:val="0"/>
              <w:marRight w:val="0"/>
              <w:marTop w:val="0"/>
              <w:marBottom w:val="0"/>
              <w:divBdr>
                <w:top w:val="none" w:sz="0" w:space="0" w:color="auto"/>
                <w:left w:val="none" w:sz="0" w:space="0" w:color="auto"/>
                <w:bottom w:val="none" w:sz="0" w:space="0" w:color="auto"/>
                <w:right w:val="none" w:sz="0" w:space="0" w:color="auto"/>
              </w:divBdr>
              <w:divsChild>
                <w:div w:id="2102336749">
                  <w:marLeft w:val="0"/>
                  <w:marRight w:val="0"/>
                  <w:marTop w:val="0"/>
                  <w:marBottom w:val="0"/>
                  <w:divBdr>
                    <w:top w:val="none" w:sz="0" w:space="0" w:color="auto"/>
                    <w:left w:val="none" w:sz="0" w:space="0" w:color="auto"/>
                    <w:bottom w:val="none" w:sz="0" w:space="0" w:color="auto"/>
                    <w:right w:val="none" w:sz="0" w:space="0" w:color="auto"/>
                  </w:divBdr>
                  <w:divsChild>
                    <w:div w:id="79036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936276">
      <w:bodyDiv w:val="1"/>
      <w:marLeft w:val="0"/>
      <w:marRight w:val="0"/>
      <w:marTop w:val="0"/>
      <w:marBottom w:val="0"/>
      <w:divBdr>
        <w:top w:val="none" w:sz="0" w:space="0" w:color="auto"/>
        <w:left w:val="none" w:sz="0" w:space="0" w:color="auto"/>
        <w:bottom w:val="none" w:sz="0" w:space="0" w:color="auto"/>
        <w:right w:val="none" w:sz="0" w:space="0" w:color="auto"/>
      </w:divBdr>
    </w:div>
    <w:div w:id="2082822107">
      <w:bodyDiv w:val="1"/>
      <w:marLeft w:val="0"/>
      <w:marRight w:val="0"/>
      <w:marTop w:val="0"/>
      <w:marBottom w:val="0"/>
      <w:divBdr>
        <w:top w:val="none" w:sz="0" w:space="0" w:color="auto"/>
        <w:left w:val="none" w:sz="0" w:space="0" w:color="auto"/>
        <w:bottom w:val="none" w:sz="0" w:space="0" w:color="auto"/>
        <w:right w:val="none" w:sz="0" w:space="0" w:color="auto"/>
      </w:divBdr>
      <w:divsChild>
        <w:div w:id="1561553857">
          <w:marLeft w:val="0"/>
          <w:marRight w:val="0"/>
          <w:marTop w:val="0"/>
          <w:marBottom w:val="0"/>
          <w:divBdr>
            <w:top w:val="none" w:sz="0" w:space="0" w:color="auto"/>
            <w:left w:val="none" w:sz="0" w:space="0" w:color="auto"/>
            <w:bottom w:val="none" w:sz="0" w:space="0" w:color="auto"/>
            <w:right w:val="none" w:sz="0" w:space="0" w:color="auto"/>
          </w:divBdr>
          <w:divsChild>
            <w:div w:id="301889974">
              <w:marLeft w:val="0"/>
              <w:marRight w:val="0"/>
              <w:marTop w:val="0"/>
              <w:marBottom w:val="0"/>
              <w:divBdr>
                <w:top w:val="none" w:sz="0" w:space="0" w:color="auto"/>
                <w:left w:val="none" w:sz="0" w:space="0" w:color="auto"/>
                <w:bottom w:val="none" w:sz="0" w:space="0" w:color="auto"/>
                <w:right w:val="none" w:sz="0" w:space="0" w:color="auto"/>
              </w:divBdr>
              <w:divsChild>
                <w:div w:id="134192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781</TotalTime>
  <Pages>11</Pages>
  <Words>4744</Words>
  <Characters>27041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Phillips (1802131)</dc:creator>
  <cp:keywords/>
  <dc:description/>
  <cp:lastModifiedBy>Annie Phillips (1802131)</cp:lastModifiedBy>
  <cp:revision>6</cp:revision>
  <dcterms:created xsi:type="dcterms:W3CDTF">2023-02-15T14:03:00Z</dcterms:created>
  <dcterms:modified xsi:type="dcterms:W3CDTF">2023-02-27T18:58:00Z</dcterms:modified>
</cp:coreProperties>
</file>