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61E4" w:rsidRDefault="00CD61E4" w:rsidP="00CD61E4">
      <w:pPr>
        <w:jc w:val="center"/>
        <w:rPr>
          <w:b/>
          <w:sz w:val="28"/>
          <w:u w:val="single"/>
        </w:rPr>
      </w:pPr>
      <w:r>
        <w:rPr>
          <w:b/>
          <w:sz w:val="28"/>
          <w:u w:val="single"/>
        </w:rPr>
        <w:t>Phoebe McGowan (1600144)</w:t>
      </w:r>
    </w:p>
    <w:p w:rsidR="00CD61E4" w:rsidRDefault="00CD61E4" w:rsidP="00CD61E4">
      <w:pPr>
        <w:jc w:val="center"/>
        <w:rPr>
          <w:b/>
          <w:sz w:val="28"/>
          <w:u w:val="single"/>
        </w:rPr>
      </w:pPr>
      <w:r>
        <w:rPr>
          <w:b/>
          <w:sz w:val="28"/>
          <w:u w:val="single"/>
        </w:rPr>
        <w:t xml:space="preserve">Medieval Britain </w:t>
      </w:r>
      <w:r w:rsidRPr="00CD61E4">
        <w:rPr>
          <w:b/>
          <w:sz w:val="28"/>
          <w:u w:val="single"/>
          <w:lang w:val="en"/>
        </w:rPr>
        <w:t>AHMS5002</w:t>
      </w:r>
    </w:p>
    <w:p w:rsidR="00EB1948" w:rsidRDefault="00CD61E4" w:rsidP="00CD61E4">
      <w:pPr>
        <w:jc w:val="center"/>
        <w:rPr>
          <w:b/>
          <w:sz w:val="28"/>
          <w:u w:val="single"/>
        </w:rPr>
      </w:pPr>
      <w:r w:rsidRPr="00CD61E4">
        <w:rPr>
          <w:b/>
          <w:sz w:val="28"/>
          <w:u w:val="single"/>
        </w:rPr>
        <w:t>To what extent was the reign of Henry I a turning point in English history?</w:t>
      </w:r>
    </w:p>
    <w:p w:rsidR="00F51A85" w:rsidRDefault="00F51A85" w:rsidP="00927EA5">
      <w:pPr>
        <w:rPr>
          <w:sz w:val="28"/>
          <w:u w:val="single"/>
        </w:rPr>
      </w:pPr>
    </w:p>
    <w:p w:rsidR="001E64D2" w:rsidRPr="00B46AFA" w:rsidRDefault="00AF78C0" w:rsidP="00927EA5">
      <w:r w:rsidRPr="00B46AFA">
        <w:t xml:space="preserve">Henry I’s </w:t>
      </w:r>
      <w:r w:rsidR="00927EA5" w:rsidRPr="00B46AFA">
        <w:t xml:space="preserve">approach to royal authority and administration can be seen as revolutionary in the years in which he ruled. Between the years 1100 – 1135 AD, he introduced a developed financial system </w:t>
      </w:r>
      <w:r w:rsidR="001E64D2" w:rsidRPr="00B46AFA">
        <w:t>within his court, the E</w:t>
      </w:r>
      <w:r w:rsidR="00927EA5" w:rsidRPr="00B46AFA">
        <w:t>xchequer, which continued to be used within the English monarchy after his reig</w:t>
      </w:r>
      <w:r w:rsidR="007A5813" w:rsidRPr="00B46AFA">
        <w:t>n. He also made adjustments to the administration of</w:t>
      </w:r>
      <w:r w:rsidR="00927EA5" w:rsidRPr="00B46AFA">
        <w:t xml:space="preserve"> his kingdom, in opposition to the approaches of his predecessors</w:t>
      </w:r>
      <w:r w:rsidR="007A5813" w:rsidRPr="00B46AFA">
        <w:t xml:space="preserve"> and introduced</w:t>
      </w:r>
      <w:r w:rsidR="00927EA5" w:rsidRPr="00B46AFA">
        <w:t xml:space="preserve"> new charters and tax liberties. Whether these actions can be seen as a turning point w</w:t>
      </w:r>
      <w:r w:rsidR="0044159F" w:rsidRPr="00B46AFA">
        <w:t xml:space="preserve">ithin English history </w:t>
      </w:r>
      <w:r w:rsidR="00927EA5" w:rsidRPr="00B46AFA">
        <w:t>is under debate</w:t>
      </w:r>
      <w:r w:rsidR="00325115">
        <w:t>.</w:t>
      </w:r>
      <w:r w:rsidR="00927EA5" w:rsidRPr="00B46AFA">
        <w:t xml:space="preserve"> Using historiography based on the reign of Henry I, as well as primary sources related to his rule and secondary sources that I find relevant to my own debate, I aim to come to a conclusive judgement as to whether Henry I </w:t>
      </w:r>
      <w:r w:rsidR="00C22B0E" w:rsidRPr="00B46AFA">
        <w:t>was</w:t>
      </w:r>
      <w:r w:rsidR="00927EA5" w:rsidRPr="00B46AFA">
        <w:t xml:space="preserve"> a king who impacted the future of England’s history or just partook in the</w:t>
      </w:r>
      <w:r w:rsidR="00C22B0E" w:rsidRPr="00B46AFA">
        <w:t xml:space="preserve"> actions of his predecessors; </w:t>
      </w:r>
      <w:r w:rsidR="00927EA5" w:rsidRPr="00B46AFA">
        <w:t>understanding that if he followed what was successful in the past, he would have</w:t>
      </w:r>
      <w:r w:rsidR="001E64D2" w:rsidRPr="00B46AFA">
        <w:t xml:space="preserve"> an equally successful reign.  </w:t>
      </w:r>
      <w:r w:rsidR="002C29FE" w:rsidRPr="00B46AFA">
        <w:t>It is important to note the exact extent and scope of my enquiry. To make this essay as analytical as possible, I have focused my research on Henry’s reign within England, rather than looking into his foreign policies and how those decisions may have impacted English history. Therefore, my personal definition for ‘English history’ throughout this essay is the internal decisions, approaches and policies made by Henry I</w:t>
      </w:r>
      <w:r w:rsidR="008E6F55" w:rsidRPr="00B46AFA">
        <w:t xml:space="preserve"> within England</w:t>
      </w:r>
      <w:r w:rsidR="002C29FE" w:rsidRPr="00B46AFA">
        <w:t xml:space="preserve">, as well </w:t>
      </w:r>
      <w:r w:rsidR="00D3601C" w:rsidRPr="00B46AFA">
        <w:t xml:space="preserve">as </w:t>
      </w:r>
      <w:r w:rsidR="002C29FE" w:rsidRPr="00B46AFA">
        <w:t xml:space="preserve">how he personally contrasted or was similar to the past English monarchy. </w:t>
      </w:r>
      <w:r w:rsidR="00976A35" w:rsidRPr="00B46AFA">
        <w:t>A turning point ‘is a time at which an important change takes place which affects the future of a person or thing’</w:t>
      </w:r>
      <w:r w:rsidR="00E52FAE" w:rsidRPr="00B46AFA">
        <w:rPr>
          <w:rStyle w:val="FootnoteReference"/>
        </w:rPr>
        <w:footnoteReference w:id="1"/>
      </w:r>
      <w:r w:rsidR="00976A35" w:rsidRPr="00B46AFA">
        <w:t>. In this case, I will be looking at how events, pers</w:t>
      </w:r>
      <w:r w:rsidR="00D3601C" w:rsidRPr="00B46AFA">
        <w:t>onalities and institutions,</w:t>
      </w:r>
      <w:r w:rsidR="00976A35" w:rsidRPr="00B46AFA">
        <w:t xml:space="preserve"> affected the future of England from Henry’s reign onwards. </w:t>
      </w:r>
    </w:p>
    <w:p w:rsidR="006F370A" w:rsidRPr="00B46AFA" w:rsidRDefault="00927EA5" w:rsidP="00CD61E4">
      <w:r w:rsidRPr="00B46AFA">
        <w:t>The characteristics of Henry I</w:t>
      </w:r>
      <w:r w:rsidR="007F4DC6" w:rsidRPr="00B46AFA">
        <w:t>,</w:t>
      </w:r>
      <w:r w:rsidRPr="00B46AFA">
        <w:t xml:space="preserve"> </w:t>
      </w:r>
      <w:r w:rsidR="007F4DC6" w:rsidRPr="00B46AFA">
        <w:t xml:space="preserve">as opposed to his predecessors, </w:t>
      </w:r>
      <w:r w:rsidRPr="00B46AFA">
        <w:t>can be seen as a turning point within the history of the English monarchy. The way in which he approached and dealt with specific ma</w:t>
      </w:r>
      <w:r w:rsidR="00570946" w:rsidRPr="00B46AFA">
        <w:t>tters, as well as differences</w:t>
      </w:r>
      <w:r w:rsidR="00661F65" w:rsidRPr="00B46AFA">
        <w:t xml:space="preserve"> which distance</w:t>
      </w:r>
      <w:r w:rsidR="0063070D" w:rsidRPr="00B46AFA">
        <w:t>d</w:t>
      </w:r>
      <w:r w:rsidRPr="00B46AFA">
        <w:t xml:space="preserve"> himself from his predecessors, allowed England to develop and become more successful throughout the reign of Henry Beauclerc. </w:t>
      </w:r>
      <w:r w:rsidR="009648EA" w:rsidRPr="00B46AFA">
        <w:t>Hollister argues that ‘Henry’s government represent</w:t>
      </w:r>
      <w:r w:rsidR="00C23F8F" w:rsidRPr="00B46AFA">
        <w:t>ed a qualitative</w:t>
      </w:r>
      <w:r w:rsidR="009648EA" w:rsidRPr="00B46AFA">
        <w:t xml:space="preserve"> </w:t>
      </w:r>
      <w:r w:rsidR="00C23F8F" w:rsidRPr="00B46AFA">
        <w:t xml:space="preserve">difference </w:t>
      </w:r>
      <w:r w:rsidR="009648EA" w:rsidRPr="00B46AFA">
        <w:t>in style from that of his predecessors, that his administrative mechanisms constituted novel means to traditional ends’</w:t>
      </w:r>
      <w:r w:rsidR="009648EA" w:rsidRPr="00B46AFA">
        <w:rPr>
          <w:rStyle w:val="FootnoteReference"/>
        </w:rPr>
        <w:footnoteReference w:id="2"/>
      </w:r>
      <w:r w:rsidR="009648EA" w:rsidRPr="00B46AFA">
        <w:t xml:space="preserve">. This statement portrays Henry as a problem solver who is talented at finding solutions to the problems he inherited, as well as problems which occurred throughout his own reign. </w:t>
      </w:r>
      <w:r w:rsidR="00337F8B" w:rsidRPr="00B46AFA">
        <w:t xml:space="preserve">The clear </w:t>
      </w:r>
      <w:r w:rsidR="00C23F8F" w:rsidRPr="00B46AFA">
        <w:t>discrepancy between the characteristics of William Rufus and Henry I, make</w:t>
      </w:r>
      <w:r w:rsidR="00CB4B67" w:rsidRPr="00B46AFA">
        <w:t>s</w:t>
      </w:r>
      <w:r w:rsidR="00C23F8F" w:rsidRPr="00B46AFA">
        <w:t xml:space="preserve"> the reign of Henry a turning point in English history. </w:t>
      </w:r>
      <w:r w:rsidR="00FC18CC" w:rsidRPr="00B46AFA">
        <w:t>William Rufus failed to have the same moral compass</w:t>
      </w:r>
      <w:r w:rsidR="00E9584C" w:rsidRPr="00B46AFA">
        <w:rPr>
          <w:rStyle w:val="FootnoteReference"/>
        </w:rPr>
        <w:footnoteReference w:id="3"/>
      </w:r>
      <w:r w:rsidR="00CB4B67" w:rsidRPr="00B46AFA">
        <w:t xml:space="preserve"> that his father, William the Conqueror</w:t>
      </w:r>
      <w:r w:rsidR="00FC18CC" w:rsidRPr="00B46AFA">
        <w:t xml:space="preserve">, possessed, but it </w:t>
      </w:r>
      <w:r w:rsidR="00373BE1" w:rsidRPr="00B46AFA">
        <w:t xml:space="preserve">is evident that </w:t>
      </w:r>
      <w:r w:rsidR="00FC18CC" w:rsidRPr="00B46AFA">
        <w:t>Henry</w:t>
      </w:r>
      <w:r w:rsidR="00373BE1" w:rsidRPr="00B46AFA">
        <w:t xml:space="preserve">’s </w:t>
      </w:r>
      <w:r w:rsidR="00FC18CC" w:rsidRPr="00B46AFA">
        <w:t>morality was equal, if not more prominent</w:t>
      </w:r>
      <w:r w:rsidR="00B417AA" w:rsidRPr="00B46AFA">
        <w:t>, to that of William I</w:t>
      </w:r>
      <w:r w:rsidR="00FC18CC" w:rsidRPr="00B46AFA">
        <w:t xml:space="preserve">. </w:t>
      </w:r>
      <w:r w:rsidR="00F60603" w:rsidRPr="00B46AFA">
        <w:t>The way in which kings appointed abbots and bishops when a role became vacant within the church meant that ‘the system was clearly open to abuse by an unscrupulous ruler’</w:t>
      </w:r>
      <w:r w:rsidR="00F60603" w:rsidRPr="00B46AFA">
        <w:rPr>
          <w:rStyle w:val="FootnoteReference"/>
        </w:rPr>
        <w:footnoteReference w:id="4"/>
      </w:r>
      <w:r w:rsidR="00F60603" w:rsidRPr="00B46AFA">
        <w:t>.</w:t>
      </w:r>
      <w:r w:rsidR="00404635" w:rsidRPr="00B46AFA">
        <w:t xml:space="preserve"> This reference to the wrongful actions of W</w:t>
      </w:r>
      <w:r w:rsidR="002A57CB" w:rsidRPr="00B46AFA">
        <w:t>illiam II, shows how the abandonment</w:t>
      </w:r>
      <w:r w:rsidR="00404635" w:rsidRPr="00B46AFA">
        <w:t xml:space="preserve"> of any morality within the monarchy, weakens relations between the secular and monastic institutions. </w:t>
      </w:r>
      <w:r w:rsidR="00750441" w:rsidRPr="00B46AFA">
        <w:t xml:space="preserve">By taking the </w:t>
      </w:r>
      <w:r w:rsidR="00750441" w:rsidRPr="00B46AFA">
        <w:lastRenderedPageBreak/>
        <w:t>revenue of empty positions within the clergy</w:t>
      </w:r>
      <w:r w:rsidR="00750441" w:rsidRPr="00B46AFA">
        <w:rPr>
          <w:rStyle w:val="FootnoteReference"/>
        </w:rPr>
        <w:footnoteReference w:id="5"/>
      </w:r>
      <w:r w:rsidR="00750441" w:rsidRPr="00B46AFA">
        <w:t xml:space="preserve">, </w:t>
      </w:r>
      <w:r w:rsidR="00BC52EE" w:rsidRPr="00B46AFA">
        <w:t xml:space="preserve">William Rufus weakened his position as king; he exploited the institutions within his kingdom and weakened relations that he may have found useful as support in the future. </w:t>
      </w:r>
      <w:r w:rsidR="0040225E" w:rsidRPr="00B46AFA">
        <w:t xml:space="preserve">In the year of his coronation, Henry I </w:t>
      </w:r>
      <w:r w:rsidR="00CB4B67" w:rsidRPr="00B46AFA">
        <w:t xml:space="preserve">made sure to highlight these </w:t>
      </w:r>
      <w:r w:rsidR="0040225E" w:rsidRPr="00B46AFA">
        <w:t>actions</w:t>
      </w:r>
      <w:r w:rsidR="00CB4B67" w:rsidRPr="00B46AFA">
        <w:t xml:space="preserve"> </w:t>
      </w:r>
      <w:r w:rsidR="00E552A4" w:rsidRPr="00B46AFA">
        <w:t>by releasing his Charter of L</w:t>
      </w:r>
      <w:r w:rsidR="00385880" w:rsidRPr="00B46AFA">
        <w:t>iberties</w:t>
      </w:r>
      <w:r w:rsidR="0040225E" w:rsidRPr="00B46AFA">
        <w:t xml:space="preserve">. </w:t>
      </w:r>
      <w:r w:rsidR="00E552A4" w:rsidRPr="00B46AFA">
        <w:t>This document is best known for promising ‘to abandon the unjust practices of William II’</w:t>
      </w:r>
      <w:r w:rsidR="00E552A4" w:rsidRPr="00B46AFA">
        <w:rPr>
          <w:vertAlign w:val="superscript"/>
        </w:rPr>
        <w:footnoteReference w:id="6"/>
      </w:r>
      <w:r w:rsidR="00E552A4" w:rsidRPr="00B46AFA">
        <w:t>.</w:t>
      </w:r>
      <w:r w:rsidR="007D3CA4" w:rsidRPr="00B46AFA">
        <w:t xml:space="preserve"> </w:t>
      </w:r>
      <w:r w:rsidR="0040225E" w:rsidRPr="00B46AFA">
        <w:t>In this, he states that: ‘becausethe kingdom had been oppressed by unjust exactions…</w:t>
      </w:r>
      <w:r w:rsidR="005574B2" w:rsidRPr="00B46AFA">
        <w:t xml:space="preserve"> on the death ofarchbishop or bishop or abbot will </w:t>
      </w:r>
      <w:proofErr w:type="gramStart"/>
      <w:r w:rsidR="005574B2" w:rsidRPr="00B46AFA">
        <w:t>I</w:t>
      </w:r>
      <w:proofErr w:type="gramEnd"/>
      <w:r w:rsidR="00AF5C10" w:rsidRPr="00B46AFA">
        <w:t xml:space="preserve"> [not]</w:t>
      </w:r>
      <w:r w:rsidR="005574B2" w:rsidRPr="00B46AFA">
        <w:t xml:space="preserve"> take anything from the church's demesne’</w:t>
      </w:r>
      <w:r w:rsidR="005C0FCF" w:rsidRPr="00B46AFA">
        <w:rPr>
          <w:rStyle w:val="FootnoteReference"/>
        </w:rPr>
        <w:footnoteReference w:id="7"/>
      </w:r>
      <w:r w:rsidR="005574B2" w:rsidRPr="00B46AFA">
        <w:t xml:space="preserve">. </w:t>
      </w:r>
      <w:r w:rsidR="004D1337" w:rsidRPr="00B46AFA">
        <w:t xml:space="preserve">By releasing these promises, he distances himself from the </w:t>
      </w:r>
      <w:r w:rsidR="007D3CA4" w:rsidRPr="00B46AFA">
        <w:t>mistakes of monarchs</w:t>
      </w:r>
      <w:r w:rsidR="00501105" w:rsidRPr="00B46AFA">
        <w:t xml:space="preserve"> before him, marking him as an epitome of a forward thinking individual</w:t>
      </w:r>
      <w:r w:rsidR="007D3CA4" w:rsidRPr="00B46AFA">
        <w:t>.</w:t>
      </w:r>
      <w:r w:rsidR="004D1337" w:rsidRPr="00B46AFA">
        <w:t xml:space="preserve"> </w:t>
      </w:r>
      <w:r w:rsidR="00CB4B67" w:rsidRPr="00B46AFA">
        <w:t>The charter</w:t>
      </w:r>
      <w:r w:rsidR="007D3CA4" w:rsidRPr="00B46AFA">
        <w:t xml:space="preserve"> shows an understanding that both the church and monarchy needed to thrive equally for a peaceful reign, which he achieved for thirty three years</w:t>
      </w:r>
      <w:r w:rsidR="007D3CA4" w:rsidRPr="00B46AFA">
        <w:rPr>
          <w:rStyle w:val="FootnoteReference"/>
        </w:rPr>
        <w:footnoteReference w:id="8"/>
      </w:r>
      <w:r w:rsidR="00352D67" w:rsidRPr="00B46AFA">
        <w:t xml:space="preserve">, </w:t>
      </w:r>
      <w:r w:rsidR="00BE7ADF" w:rsidRPr="00B46AFA">
        <w:t>as well recognising a woman’s status as not exactly equal to a man’s, but hinting at the idea of a growing importance in terms of dowry and property</w:t>
      </w:r>
      <w:r w:rsidR="00BE7ADF" w:rsidRPr="00B46AFA">
        <w:rPr>
          <w:rStyle w:val="FootnoteReference"/>
        </w:rPr>
        <w:footnoteReference w:id="9"/>
      </w:r>
      <w:r w:rsidR="00BE7ADF" w:rsidRPr="00B46AFA">
        <w:t xml:space="preserve">. We can conclude from this that the way in which Henry approached his role as king was very revolutionary for the years in which he reigned. </w:t>
      </w:r>
    </w:p>
    <w:p w:rsidR="009648EA" w:rsidRPr="00B46AFA" w:rsidRDefault="00B05157" w:rsidP="00CD61E4">
      <w:r w:rsidRPr="00B46AFA">
        <w:t xml:space="preserve">William II was also known to neglect his role as king of England. He was a lot more focused on gaining territories in </w:t>
      </w:r>
      <w:r w:rsidR="00922E5A" w:rsidRPr="00B46AFA">
        <w:t>Normandy and Scotland to</w:t>
      </w:r>
      <w:r w:rsidRPr="00B46AFA">
        <w:t xml:space="preserve"> benefit his status and his wealth</w:t>
      </w:r>
      <w:r w:rsidR="002A57CB" w:rsidRPr="00B46AFA">
        <w:t xml:space="preserve"> elsewhere</w:t>
      </w:r>
      <w:r w:rsidRPr="00B46AFA">
        <w:t>. Research shows that ‘from 1091 to 1096 [William Rufus was] in possession of the eastern portion of the duchy and at times</w:t>
      </w:r>
      <w:r w:rsidR="00325115">
        <w:t>’</w:t>
      </w:r>
      <w:r w:rsidRPr="00B46AFA">
        <w:rPr>
          <w:rStyle w:val="FootnoteReference"/>
        </w:rPr>
        <w:footnoteReference w:id="10"/>
      </w:r>
      <w:r w:rsidRPr="00B46AFA">
        <w:t xml:space="preserve">. During </w:t>
      </w:r>
      <w:r w:rsidR="007844BB" w:rsidRPr="00B46AFA">
        <w:t>Rufus’ a</w:t>
      </w:r>
      <w:r w:rsidRPr="00B46AFA">
        <w:t>bsence it is said</w:t>
      </w:r>
      <w:r w:rsidR="00984A02" w:rsidRPr="00B46AFA">
        <w:t xml:space="preserve"> </w:t>
      </w:r>
      <w:r w:rsidRPr="00B46AFA">
        <w:t>that there were ‘fountains flo</w:t>
      </w:r>
      <w:r w:rsidR="002A57CB" w:rsidRPr="00B46AFA">
        <w:t>wing with blood’, as well as a</w:t>
      </w:r>
      <w:r w:rsidRPr="00B46AFA">
        <w:t xml:space="preserve"> neglect of agr</w:t>
      </w:r>
      <w:r w:rsidR="00CD3852" w:rsidRPr="00B46AFA">
        <w:t>iculture and care for</w:t>
      </w:r>
      <w:r w:rsidR="002A57CB" w:rsidRPr="00B46AFA">
        <w:t xml:space="preserve"> the living</w:t>
      </w:r>
      <w:r w:rsidR="00984A02" w:rsidRPr="00B46AFA">
        <w:rPr>
          <w:rStyle w:val="FootnoteReference"/>
        </w:rPr>
        <w:footnoteReference w:id="11"/>
      </w:r>
      <w:r w:rsidRPr="00B46AFA">
        <w:t xml:space="preserve">. </w:t>
      </w:r>
      <w:r w:rsidR="00984A02" w:rsidRPr="00B46AFA">
        <w:t xml:space="preserve">This is completely different to </w:t>
      </w:r>
      <w:r w:rsidR="00DE6492" w:rsidRPr="00B46AFA">
        <w:t>how the years of Henry’s reign are</w:t>
      </w:r>
      <w:r w:rsidR="00984A02" w:rsidRPr="00B46AFA">
        <w:t xml:space="preserve"> represented.</w:t>
      </w:r>
      <w:r w:rsidR="002C7D53" w:rsidRPr="00B46AFA">
        <w:t xml:space="preserve"> Henry I was absent from England a lot, but he still held control over it</w:t>
      </w:r>
      <w:r w:rsidR="002C7D53" w:rsidRPr="00B46AFA">
        <w:rPr>
          <w:rStyle w:val="FootnoteReference"/>
        </w:rPr>
        <w:footnoteReference w:id="12"/>
      </w:r>
      <w:r w:rsidR="002C7D53" w:rsidRPr="00B46AFA">
        <w:t>. He knew that when he left England, his throne would still be se</w:t>
      </w:r>
      <w:r w:rsidR="00CD3852" w:rsidRPr="00B46AFA">
        <w:t>cure and his kingdom functional, thanks to his royal administrative structure which we will explore later.</w:t>
      </w:r>
      <w:r w:rsidR="002C7D53" w:rsidRPr="00B46AFA">
        <w:t xml:space="preserve"> If you look at the previous account, it is clear that this was not the case in William’s reign. </w:t>
      </w:r>
      <w:r w:rsidR="004D1337" w:rsidRPr="00B46AFA">
        <w:t>We could see this contrast in characteristics as a turning point within</w:t>
      </w:r>
      <w:r w:rsidR="002C7D53" w:rsidRPr="00B46AFA">
        <w:t xml:space="preserve"> English history, as people who </w:t>
      </w:r>
      <w:r w:rsidR="004D1337" w:rsidRPr="00B46AFA">
        <w:t>differ in approach and outlook surely act and find solutions in differ</w:t>
      </w:r>
      <w:r w:rsidR="002A57CB" w:rsidRPr="00B46AFA">
        <w:t>ent</w:t>
      </w:r>
      <w:r w:rsidR="004D1337" w:rsidRPr="00B46AFA">
        <w:t xml:space="preserve"> ways. However, as a historian we could also say that the reign of Henry I seems more glorified</w:t>
      </w:r>
      <w:r w:rsidR="002A57CB" w:rsidRPr="00B46AFA">
        <w:t>, introducing a</w:t>
      </w:r>
      <w:r w:rsidR="00B744CD" w:rsidRPr="00B46AFA">
        <w:t xml:space="preserve"> more successful reign of </w:t>
      </w:r>
      <w:r w:rsidR="002A57CB" w:rsidRPr="00B46AFA">
        <w:t>England</w:t>
      </w:r>
      <w:r w:rsidR="00B744CD" w:rsidRPr="00B46AFA">
        <w:t xml:space="preserve"> because the reign of William Rufus found very little success. Henry’s reign will obviously look a lot more successful if his predecessor contributed nothing but failures. </w:t>
      </w:r>
    </w:p>
    <w:p w:rsidR="00076C61" w:rsidRPr="00B46AFA" w:rsidRDefault="0020245F" w:rsidP="0087311E">
      <w:r w:rsidRPr="00B46AFA">
        <w:t xml:space="preserve">However, this belief that Henry I’s character was a turning point in English monarchical history can be counter argued with the view that he was just doing what his predecessors did before him. </w:t>
      </w:r>
      <w:r w:rsidR="003A6BAB" w:rsidRPr="00B46AFA">
        <w:t xml:space="preserve">He used the same techniques of seizing properties and money in order to punish the nobility, as well as establishing control by using the feudalistic society to his advantage, much like William Rufus did. </w:t>
      </w:r>
      <w:r w:rsidR="00B30CE8" w:rsidRPr="00B46AFA">
        <w:t>An example of this is the Treaty of Alton and his actions in the following year</w:t>
      </w:r>
      <w:r w:rsidR="002A14D4" w:rsidRPr="00B46AFA">
        <w:t>.</w:t>
      </w:r>
      <w:r w:rsidR="00C80233" w:rsidRPr="00B46AFA">
        <w:t xml:space="preserve"> </w:t>
      </w:r>
      <w:r w:rsidR="00B725CF" w:rsidRPr="00B46AFA">
        <w:t>‘He p</w:t>
      </w:r>
      <w:r w:rsidR="00C80233" w:rsidRPr="00B46AFA">
        <w:t>ersuaded</w:t>
      </w:r>
      <w:r w:rsidR="00B725CF" w:rsidRPr="00B46AFA">
        <w:t xml:space="preserve"> Robert to renounce his claims for about 3000 marks yearly pension</w:t>
      </w:r>
      <w:r w:rsidR="00300DEE" w:rsidRPr="00B46AFA">
        <w:t>’ as well as inflicting heavy penalties and seizing castles.</w:t>
      </w:r>
      <w:r w:rsidR="00C80233" w:rsidRPr="00B46AFA">
        <w:rPr>
          <w:rStyle w:val="FootnoteReference"/>
        </w:rPr>
        <w:footnoteReference w:id="13"/>
      </w:r>
      <w:r w:rsidR="009B7444" w:rsidRPr="00B46AFA">
        <w:t xml:space="preserve"> These severe punishments can</w:t>
      </w:r>
      <w:r w:rsidR="00992332" w:rsidRPr="00B46AFA">
        <w:t xml:space="preserve"> be seen as a way in which Henry copied the actions </w:t>
      </w:r>
      <w:r w:rsidR="00992332" w:rsidRPr="00B46AFA">
        <w:lastRenderedPageBreak/>
        <w:t>of his predecessors</w:t>
      </w:r>
      <w:r w:rsidR="0027295C" w:rsidRPr="00B46AFA">
        <w:t xml:space="preserve"> but more effectively</w:t>
      </w:r>
      <w:r w:rsidR="007E7577" w:rsidRPr="00B46AFA">
        <w:t>,</w:t>
      </w:r>
      <w:r w:rsidR="0027295C" w:rsidRPr="00B46AFA">
        <w:t xml:space="preserve"> so </w:t>
      </w:r>
      <w:r w:rsidR="005C263F" w:rsidRPr="00B46AFA">
        <w:t xml:space="preserve">that </w:t>
      </w:r>
      <w:r w:rsidR="0027295C" w:rsidRPr="00B46AFA">
        <w:t xml:space="preserve">the problems he encountered would not happen again. </w:t>
      </w:r>
      <w:r w:rsidR="007E7577" w:rsidRPr="00B46AFA">
        <w:t>Nevertheless, there are still elements within his reign w</w:t>
      </w:r>
      <w:r w:rsidR="000C3909" w:rsidRPr="00B46AFA">
        <w:t xml:space="preserve">hich </w:t>
      </w:r>
      <w:r w:rsidR="007E7577" w:rsidRPr="00B46AFA">
        <w:t xml:space="preserve">highlight similarities with English monarchs from the past. </w:t>
      </w:r>
      <w:r w:rsidR="00B417AA" w:rsidRPr="00B46AFA">
        <w:t xml:space="preserve">He referred to the Domesday Survey in a lot of his political and societal decisions, which his father </w:t>
      </w:r>
      <w:r w:rsidR="002F3936" w:rsidRPr="00B46AFA">
        <w:t>w</w:t>
      </w:r>
      <w:r w:rsidR="00B417AA" w:rsidRPr="00B46AFA">
        <w:t>as responsible for setting up</w:t>
      </w:r>
      <w:r w:rsidR="0051139C" w:rsidRPr="00B46AFA">
        <w:rPr>
          <w:rStyle w:val="FootnoteReference"/>
        </w:rPr>
        <w:footnoteReference w:id="14"/>
      </w:r>
      <w:r w:rsidR="00B417AA" w:rsidRPr="00B46AFA">
        <w:t xml:space="preserve">. </w:t>
      </w:r>
      <w:r w:rsidR="003402E0" w:rsidRPr="00B46AFA">
        <w:t>In his Charter of Liberties</w:t>
      </w:r>
      <w:r w:rsidR="00334A58" w:rsidRPr="00B46AFA">
        <w:rPr>
          <w:rStyle w:val="FootnoteReference"/>
        </w:rPr>
        <w:footnoteReference w:id="15"/>
      </w:r>
      <w:r w:rsidR="003402E0" w:rsidRPr="00B46AFA">
        <w:t>, he speaks of the laws of Edwar</w:t>
      </w:r>
      <w:r w:rsidR="00657378" w:rsidRPr="00B46AFA">
        <w:t>d, appealing to the Anglo-Saxon</w:t>
      </w:r>
      <w:r w:rsidR="003402E0" w:rsidRPr="00B46AFA">
        <w:t xml:space="preserve"> past.</w:t>
      </w:r>
      <w:r w:rsidR="00DE1BB0" w:rsidRPr="00B46AFA">
        <w:t xml:space="preserve"> As stated by Mason: ‘royal policies, and indeed royal authority, were justified by appealing to the past’</w:t>
      </w:r>
      <w:r w:rsidR="00DE1BB0" w:rsidRPr="00B46AFA">
        <w:rPr>
          <w:rStyle w:val="FootnoteReference"/>
        </w:rPr>
        <w:footnoteReference w:id="16"/>
      </w:r>
      <w:r w:rsidR="00DE1BB0" w:rsidRPr="00B46AFA">
        <w:t xml:space="preserve">, much like his father William the Conqueror did previously when relating his claim to Edward the Confessor. </w:t>
      </w:r>
      <w:r w:rsidR="00A4455A" w:rsidRPr="00B46AFA">
        <w:t>R</w:t>
      </w:r>
      <w:r w:rsidR="00F77F02" w:rsidRPr="00B46AFA">
        <w:t>elating to the Anglo-Saxon</w:t>
      </w:r>
      <w:r w:rsidR="00A4455A" w:rsidRPr="00B46AFA">
        <w:t xml:space="preserve"> past</w:t>
      </w:r>
      <w:r w:rsidR="00F77F02" w:rsidRPr="00B46AFA">
        <w:t xml:space="preserve"> helped to strengthen H</w:t>
      </w:r>
      <w:r w:rsidR="00125252" w:rsidRPr="00B46AFA">
        <w:t>enry’s claim</w:t>
      </w:r>
      <w:r w:rsidR="00B64DC7" w:rsidRPr="00B46AFA">
        <w:t>, especially as he was</w:t>
      </w:r>
      <w:r w:rsidR="00F77F02" w:rsidRPr="00B46AFA">
        <w:t xml:space="preserve"> Norman and the people he ruled over were not. </w:t>
      </w:r>
      <w:r w:rsidR="00E73363" w:rsidRPr="00B46AFA">
        <w:t>It can be argued that Henry I drew from good aspects of previous rei</w:t>
      </w:r>
      <w:r w:rsidR="008A2522" w:rsidRPr="00B46AFA">
        <w:t>gns in order to benefit his own;</w:t>
      </w:r>
      <w:r w:rsidR="00E73363" w:rsidRPr="00B46AFA">
        <w:t xml:space="preserve"> subtly utilising previous methods, making them more efficient and successful, whilst appealing to the newer generations. </w:t>
      </w:r>
      <w:r w:rsidR="00325115">
        <w:t>Hence realistically</w:t>
      </w:r>
      <w:r w:rsidR="00972C09" w:rsidRPr="00B46AFA">
        <w:t xml:space="preserve">, the argument that Henry I’s reign was a turning point may perhaps be overrated. </w:t>
      </w:r>
      <w:r w:rsidR="00193E23" w:rsidRPr="00B46AFA">
        <w:t>His reign was</w:t>
      </w:r>
      <w:r w:rsidR="00A4455A" w:rsidRPr="00B46AFA">
        <w:t xml:space="preserve"> successful as he was acting on what his predecessors did, but with more initiat</w:t>
      </w:r>
      <w:r w:rsidR="008A2522" w:rsidRPr="00B46AFA">
        <w:t>iv</w:t>
      </w:r>
      <w:r w:rsidR="00A4455A" w:rsidRPr="00B46AFA">
        <w:t>e and effectiveness.</w:t>
      </w:r>
      <w:r w:rsidR="00193E23" w:rsidRPr="00B46AFA">
        <w:t xml:space="preserve"> After all, we have already explored Henry’s nature as a problem solver.</w:t>
      </w:r>
    </w:p>
    <w:p w:rsidR="00DF2BDB" w:rsidRPr="00B46AFA" w:rsidRDefault="0087311E" w:rsidP="0087311E">
      <w:pPr>
        <w:rPr>
          <w:b/>
        </w:rPr>
      </w:pPr>
      <w:r w:rsidRPr="00B46AFA">
        <w:t>Henry I</w:t>
      </w:r>
      <w:r w:rsidR="00076C61" w:rsidRPr="00B46AFA">
        <w:t>’s consolidation of</w:t>
      </w:r>
      <w:r w:rsidRPr="00B46AFA">
        <w:t xml:space="preserve"> power within England and </w:t>
      </w:r>
      <w:r w:rsidR="00D650C2" w:rsidRPr="00B46AFA">
        <w:t>a</w:t>
      </w:r>
      <w:r w:rsidRPr="00B46AFA">
        <w:t>mongst his nobility can also be seen as a turning point in English history. As Henry was a Norman king, it was crucial for his reign to b</w:t>
      </w:r>
      <w:r w:rsidR="007B59CA" w:rsidRPr="00B46AFA">
        <w:t>e accepted in the early stages, as the majority of England was popul</w:t>
      </w:r>
      <w:r w:rsidR="00DD4A2C" w:rsidRPr="00B46AFA">
        <w:t xml:space="preserve">ated by an Anglo-Saxon society </w:t>
      </w:r>
      <w:r w:rsidR="007B59CA" w:rsidRPr="00B46AFA">
        <w:t>after the Norman Conquest in 1066. To appeal</w:t>
      </w:r>
      <w:r w:rsidR="008B75D0" w:rsidRPr="00B46AFA">
        <w:t xml:space="preserve"> to his new kingdom</w:t>
      </w:r>
      <w:r w:rsidR="007B59CA" w:rsidRPr="00B46AFA">
        <w:t>, Henry arranged a marriage between himself and the princess of Scotland</w:t>
      </w:r>
      <w:r w:rsidR="00424AD8" w:rsidRPr="00B46AFA">
        <w:rPr>
          <w:rStyle w:val="FootnoteReference"/>
        </w:rPr>
        <w:footnoteReference w:id="17"/>
      </w:r>
      <w:r w:rsidR="007B59CA" w:rsidRPr="00B46AFA">
        <w:t xml:space="preserve">. </w:t>
      </w:r>
      <w:r w:rsidR="003544F9" w:rsidRPr="00B46AFA">
        <w:t>Although this may not seem to be a drastic move on Henry’s behalf (political marriages and alliances had been taking place for many years), the binding of these two nobles meant that England had a new cultural identity</w:t>
      </w:r>
      <w:r w:rsidR="0003697C" w:rsidRPr="00B46AFA">
        <w:t>; an Anglo-Norman identity</w:t>
      </w:r>
      <w:r w:rsidR="003544F9" w:rsidRPr="00B46AFA">
        <w:t xml:space="preserve">. </w:t>
      </w:r>
      <w:r w:rsidR="006E574D" w:rsidRPr="00B46AFA">
        <w:t xml:space="preserve">This is a turning point in English history. As a society predominantly Anglo-Saxon before the Norman Conquest, the emergence and alliance of both two cultures shaped England’s population. </w:t>
      </w:r>
      <w:r w:rsidR="00F52BA5" w:rsidRPr="00B46AFA">
        <w:t xml:space="preserve">It could be said that this signifies the </w:t>
      </w:r>
      <w:r w:rsidR="007E2634" w:rsidRPr="00B46AFA">
        <w:t>end of Norman supremacy within society. Norman writers spoke of the English as a rather backwards society</w:t>
      </w:r>
      <w:r w:rsidR="007E2634" w:rsidRPr="00B46AFA">
        <w:rPr>
          <w:rStyle w:val="FootnoteReference"/>
        </w:rPr>
        <w:footnoteReference w:id="18"/>
      </w:r>
      <w:r w:rsidR="007E2634" w:rsidRPr="00B46AFA">
        <w:t>, implying the myth of the Norman Yoke. Though lac</w:t>
      </w:r>
      <w:r w:rsidR="00886A72" w:rsidRPr="00B46AFA">
        <w:t>k</w:t>
      </w:r>
      <w:r w:rsidR="007E2634" w:rsidRPr="00B46AFA">
        <w:t>ing histo</w:t>
      </w:r>
      <w:r w:rsidR="00F52BA5" w:rsidRPr="00B46AFA">
        <w:t>rical evidence</w:t>
      </w:r>
      <w:r w:rsidR="007E2634" w:rsidRPr="00B46AFA">
        <w:t xml:space="preserve"> it implies that</w:t>
      </w:r>
      <w:r w:rsidR="00A5411D" w:rsidRPr="00B46AFA">
        <w:t xml:space="preserve"> </w:t>
      </w:r>
      <w:r w:rsidR="007E2634" w:rsidRPr="00B46AFA">
        <w:t>the monarchy ‘i</w:t>
      </w:r>
      <w:r w:rsidR="00184789" w:rsidRPr="00B46AFA">
        <w:t>mposed Norman law, foreign law;</w:t>
      </w:r>
      <w:r w:rsidR="00DD4F66" w:rsidRPr="00B46AFA">
        <w:t xml:space="preserve"> </w:t>
      </w:r>
      <w:r w:rsidR="007E2634" w:rsidRPr="00B46AFA">
        <w:t>French law’</w:t>
      </w:r>
      <w:r w:rsidR="007E2634" w:rsidRPr="00B46AFA">
        <w:rPr>
          <w:rStyle w:val="FootnoteReference"/>
        </w:rPr>
        <w:footnoteReference w:id="19"/>
      </w:r>
      <w:r w:rsidR="00841DAB" w:rsidRPr="00B46AFA">
        <w:t xml:space="preserve"> and that before the conquest, the Anglo-Saxons lacked effective judicial and administrative systems</w:t>
      </w:r>
      <w:r w:rsidR="006038C8" w:rsidRPr="00B46AFA">
        <w:t>.</w:t>
      </w:r>
      <w:r w:rsidR="00D4277D" w:rsidRPr="00B46AFA">
        <w:t xml:space="preserve"> </w:t>
      </w:r>
      <w:r w:rsidR="00886A72" w:rsidRPr="00B46AFA">
        <w:t>The marriage of an Anglo-Saxon to a Norman</w:t>
      </w:r>
      <w:r w:rsidR="003103F9" w:rsidRPr="00B46AFA">
        <w:t xml:space="preserve"> brought together two identities as one.</w:t>
      </w:r>
      <w:r w:rsidR="00711747" w:rsidRPr="00B46AFA">
        <w:t xml:space="preserve"> It ‘[fused] the lines of the West Saxon kings and Norman dukes…</w:t>
      </w:r>
      <w:r w:rsidR="00F52BA5" w:rsidRPr="00B46AFA">
        <w:t>thus</w:t>
      </w:r>
      <w:r w:rsidR="00711747" w:rsidRPr="00B46AFA">
        <w:t xml:space="preserve"> seen as fulfilling the Confessor’s prophecy’</w:t>
      </w:r>
      <w:r w:rsidR="00711747" w:rsidRPr="00B46AFA">
        <w:rPr>
          <w:rStyle w:val="FootnoteReference"/>
        </w:rPr>
        <w:footnoteReference w:id="20"/>
      </w:r>
      <w:r w:rsidR="00711747" w:rsidRPr="00B46AFA">
        <w:t xml:space="preserve">. </w:t>
      </w:r>
      <w:r w:rsidR="00F52BA5" w:rsidRPr="00B46AFA">
        <w:t>This could be related to a tactic that we have exp</w:t>
      </w:r>
      <w:r w:rsidR="00A5411D" w:rsidRPr="00B46AFA">
        <w:t xml:space="preserve">lored previously, where Henry </w:t>
      </w:r>
      <w:r w:rsidR="00F52BA5" w:rsidRPr="00B46AFA">
        <w:t>relates back to the past in order to strengthen his claim</w:t>
      </w:r>
      <w:r w:rsidR="00A5411D" w:rsidRPr="00B46AFA">
        <w:t>.</w:t>
      </w:r>
      <w:r w:rsidR="00F52BA5" w:rsidRPr="00B46AFA">
        <w:t xml:space="preserve"> </w:t>
      </w:r>
      <w:r w:rsidR="00DF5767" w:rsidRPr="00B46AFA">
        <w:t>Edith changed her name to Matilda when she married Henry I</w:t>
      </w:r>
      <w:r w:rsidR="00FE0DF9" w:rsidRPr="00B46AFA">
        <w:rPr>
          <w:rStyle w:val="FootnoteReference"/>
        </w:rPr>
        <w:footnoteReference w:id="21"/>
      </w:r>
      <w:r w:rsidR="00DF5767" w:rsidRPr="00B46AFA">
        <w:t xml:space="preserve">, and as a historian it could be said that this political move was made to strengthen </w:t>
      </w:r>
      <w:r w:rsidR="00593C94" w:rsidRPr="00B46AFA">
        <w:t>this idea of a binary identity;</w:t>
      </w:r>
      <w:r w:rsidR="00DF5767" w:rsidRPr="00B46AFA">
        <w:t xml:space="preserve"> with a Saxon princess adopting a Norman name. The birth of William the </w:t>
      </w:r>
      <w:r w:rsidR="00DF5767" w:rsidRPr="00B46AFA">
        <w:rPr>
          <w:rFonts w:cstheme="minorHAnsi"/>
        </w:rPr>
        <w:t>Æ</w:t>
      </w:r>
      <w:r w:rsidR="00DF5767" w:rsidRPr="00B46AFA">
        <w:t>theling further esta</w:t>
      </w:r>
      <w:r w:rsidR="00D657F6" w:rsidRPr="00B46AFA">
        <w:t>blished this united pop</w:t>
      </w:r>
      <w:r w:rsidR="00AA27DC" w:rsidRPr="00B46AFA">
        <w:t>ulation. Their son was seen as the</w:t>
      </w:r>
      <w:r w:rsidR="00D657F6" w:rsidRPr="00B46AFA">
        <w:t xml:space="preserve"> perfect embodiment of Norm</w:t>
      </w:r>
      <w:r w:rsidR="00334A58" w:rsidRPr="00B46AFA">
        <w:t>an and</w:t>
      </w:r>
      <w:r w:rsidR="003969E8" w:rsidRPr="00B46AFA">
        <w:t xml:space="preserve"> </w:t>
      </w:r>
      <w:r w:rsidR="00AA27DC" w:rsidRPr="00B46AFA">
        <w:t>Anglo-Saxon, setting an</w:t>
      </w:r>
      <w:r w:rsidR="00D657F6" w:rsidRPr="00B46AFA">
        <w:t xml:space="preserve"> example </w:t>
      </w:r>
      <w:r w:rsidR="00AA27DC" w:rsidRPr="00B46AFA">
        <w:t>to</w:t>
      </w:r>
      <w:r w:rsidR="00D657F6" w:rsidRPr="00B46AFA">
        <w:t xml:space="preserve"> </w:t>
      </w:r>
      <w:r w:rsidR="003969E8" w:rsidRPr="00B46AFA">
        <w:t xml:space="preserve">the </w:t>
      </w:r>
      <w:r w:rsidR="00D657F6" w:rsidRPr="00B46AFA">
        <w:t>popula</w:t>
      </w:r>
      <w:r w:rsidR="00AA27DC" w:rsidRPr="00B46AFA">
        <w:t>tion that Henry I ruled over</w:t>
      </w:r>
      <w:r w:rsidR="00D657F6" w:rsidRPr="00B46AFA">
        <w:t>.</w:t>
      </w:r>
      <w:r w:rsidR="00593C94" w:rsidRPr="00B46AFA">
        <w:t xml:space="preserve"> This can be seen as a t</w:t>
      </w:r>
      <w:r w:rsidR="00870038" w:rsidRPr="00B46AFA">
        <w:t>urning point in English history</w:t>
      </w:r>
      <w:r w:rsidR="00593C94" w:rsidRPr="00B46AFA">
        <w:t xml:space="preserve"> as it signified the</w:t>
      </w:r>
      <w:r w:rsidR="00B676B7" w:rsidRPr="00B46AFA">
        <w:t xml:space="preserve"> bringing together of an Anglo-Norman </w:t>
      </w:r>
      <w:r w:rsidR="00B676B7" w:rsidRPr="00B46AFA">
        <w:lastRenderedPageBreak/>
        <w:t xml:space="preserve">identity </w:t>
      </w:r>
      <w:r w:rsidR="00870038" w:rsidRPr="00B46AFA">
        <w:t xml:space="preserve">at the highest level of society, </w:t>
      </w:r>
      <w:r w:rsidR="00B676B7" w:rsidRPr="00B46AFA">
        <w:t xml:space="preserve">which in turn, would decrease the conflict </w:t>
      </w:r>
      <w:r w:rsidR="006038C8" w:rsidRPr="00B46AFA">
        <w:t xml:space="preserve">of cultures </w:t>
      </w:r>
      <w:r w:rsidR="00B676B7" w:rsidRPr="00B46AFA">
        <w:t xml:space="preserve">within the population. </w:t>
      </w:r>
    </w:p>
    <w:p w:rsidR="00FA40C0" w:rsidRPr="007C6C25" w:rsidRDefault="00B4491F" w:rsidP="0087311E">
      <w:pPr>
        <w:rPr>
          <w:b/>
        </w:rPr>
      </w:pPr>
      <w:r w:rsidRPr="00B46AFA">
        <w:t>Henry’s approach to royal administration and the way in which his administrative systems functioned can be seen as a turning point in English history, as it marks the initial st</w:t>
      </w:r>
      <w:r w:rsidR="00C00A67" w:rsidRPr="00B46AFA">
        <w:t xml:space="preserve">eps taken in order for England </w:t>
      </w:r>
      <w:r w:rsidRPr="00B46AFA">
        <w:t xml:space="preserve">to work as a conclusive, </w:t>
      </w:r>
      <w:r w:rsidR="00282E81" w:rsidRPr="00B46AFA">
        <w:t>integrated</w:t>
      </w:r>
      <w:r w:rsidRPr="00B46AFA">
        <w:t xml:space="preserve"> system, relieving t</w:t>
      </w:r>
      <w:r w:rsidR="00771DE5" w:rsidRPr="00B46AFA">
        <w:t xml:space="preserve">he monarch in rule at the time </w:t>
      </w:r>
      <w:r w:rsidRPr="00B46AFA">
        <w:t>o</w:t>
      </w:r>
      <w:r w:rsidR="00282E81" w:rsidRPr="00B46AFA">
        <w:t>f the amount of work he/she is made accountable for. It also paves the way for a system in which, in the absence of a monarch, the bureaucratic system w</w:t>
      </w:r>
      <w:r w:rsidR="00330F98" w:rsidRPr="00B46AFA">
        <w:t xml:space="preserve">ould still be able to function. </w:t>
      </w:r>
      <w:r w:rsidR="00456165" w:rsidRPr="00B46AFA">
        <w:t xml:space="preserve">In Henry’s Grant of Tax Liberties he </w:t>
      </w:r>
      <w:r w:rsidR="00330F98" w:rsidRPr="00B46AFA">
        <w:t>recognise</w:t>
      </w:r>
      <w:r w:rsidR="00456165" w:rsidRPr="00B46AFA">
        <w:t>s</w:t>
      </w:r>
      <w:r w:rsidR="00330F98" w:rsidRPr="00B46AFA">
        <w:t xml:space="preserve"> London as a place of importance within England.</w:t>
      </w:r>
      <w:r w:rsidR="009B1BB7" w:rsidRPr="00B46AFA">
        <w:t xml:space="preserve"> </w:t>
      </w:r>
      <w:r w:rsidR="00483633" w:rsidRPr="00B46AFA">
        <w:t xml:space="preserve">As stated by Hollister: </w:t>
      </w:r>
      <w:r w:rsidR="009B1BB7" w:rsidRPr="00B46AFA">
        <w:t>‘</w:t>
      </w:r>
      <w:r w:rsidR="00483633" w:rsidRPr="00B46AFA">
        <w:t>The much-disputed charter of liberties for the city…marks the very beginning of the city’s history as an autonomous unit’</w:t>
      </w:r>
      <w:r w:rsidR="00483633" w:rsidRPr="00B46AFA">
        <w:rPr>
          <w:rStyle w:val="FootnoteReference"/>
        </w:rPr>
        <w:footnoteReference w:id="22"/>
      </w:r>
      <w:r w:rsidR="00483633" w:rsidRPr="00B46AFA">
        <w:t>.</w:t>
      </w:r>
      <w:r w:rsidR="00513F4C" w:rsidRPr="00B46AFA">
        <w:t xml:space="preserve"> This approach to London as an individual network in which industry flourishes and the economy support</w:t>
      </w:r>
      <w:r w:rsidR="009B1BB7" w:rsidRPr="00B46AFA">
        <w:t>s</w:t>
      </w:r>
      <w:r w:rsidR="00513F4C" w:rsidRPr="00B46AFA">
        <w:t xml:space="preserve"> itself, portrays Henry</w:t>
      </w:r>
      <w:r w:rsidR="00A84249" w:rsidRPr="00B46AFA">
        <w:t xml:space="preserve"> </w:t>
      </w:r>
      <w:r w:rsidR="00513F4C" w:rsidRPr="00B46AFA">
        <w:t>a</w:t>
      </w:r>
      <w:r w:rsidR="00822C50" w:rsidRPr="00B46AFA">
        <w:t>s a</w:t>
      </w:r>
      <w:r w:rsidR="00513F4C" w:rsidRPr="00B46AFA">
        <w:t xml:space="preserve"> monarch who looks very much into the future; aware that the decisions</w:t>
      </w:r>
      <w:r w:rsidR="00822C50" w:rsidRPr="00B46AFA">
        <w:t xml:space="preserve"> he makes at present can</w:t>
      </w:r>
      <w:r w:rsidR="00513F4C" w:rsidRPr="00B46AFA">
        <w:t xml:space="preserve"> impact England’s success after his death</w:t>
      </w:r>
      <w:r w:rsidR="009B1BB7" w:rsidRPr="00B46AFA">
        <w:t>. If a person was in debt to someone living within London, they would either pay their debt or g</w:t>
      </w:r>
      <w:r w:rsidR="00822C50" w:rsidRPr="00B46AFA">
        <w:t>ive to that person some goods from</w:t>
      </w:r>
      <w:r w:rsidR="009B1BB7" w:rsidRPr="00B46AFA">
        <w:t xml:space="preserve"> the town he lived in</w:t>
      </w:r>
      <w:r w:rsidR="009B1BB7" w:rsidRPr="00B46AFA">
        <w:rPr>
          <w:rStyle w:val="FootnoteReference"/>
        </w:rPr>
        <w:footnoteReference w:id="23"/>
      </w:r>
      <w:r w:rsidR="009B1BB7" w:rsidRPr="00B46AFA">
        <w:t xml:space="preserve">. </w:t>
      </w:r>
      <w:r w:rsidR="00190F6D" w:rsidRPr="00B46AFA">
        <w:t>Not only did this reduce conflict between towns, but it also encouraged trad</w:t>
      </w:r>
      <w:r w:rsidR="00A84249" w:rsidRPr="00B46AFA">
        <w:t>e, identifying</w:t>
      </w:r>
      <w:r w:rsidR="00190F6D" w:rsidRPr="00B46AFA">
        <w:t xml:space="preserve"> London as an influential marketplace by which the economy would be advantageous. </w:t>
      </w:r>
      <w:r w:rsidR="00A84249" w:rsidRPr="00B46AFA">
        <w:t xml:space="preserve">Henry </w:t>
      </w:r>
      <w:r w:rsidR="00714340" w:rsidRPr="00B46AFA">
        <w:t xml:space="preserve">highlighted the importance of a central network for business, trade and economy by publishing tax liberties on London, as </w:t>
      </w:r>
      <w:r w:rsidR="004C6E21" w:rsidRPr="00B46AFA">
        <w:t>well creating a path to which London becomes a powerhouse within the Kingdom of England in the future.</w:t>
      </w:r>
      <w:r w:rsidR="004C6E21" w:rsidRPr="007C6C25">
        <w:t xml:space="preserve"> </w:t>
      </w:r>
    </w:p>
    <w:p w:rsidR="00FA40C0" w:rsidRPr="007C6C25" w:rsidRDefault="0045237B" w:rsidP="0087311E">
      <w:r w:rsidRPr="007C6C25">
        <w:t>The introduction of the Exchequer and centralisation of the Royal Court</w:t>
      </w:r>
      <w:r w:rsidR="00B0538B" w:rsidRPr="007C6C25">
        <w:rPr>
          <w:rStyle w:val="FootnoteReference"/>
        </w:rPr>
        <w:footnoteReference w:id="24"/>
      </w:r>
      <w:r w:rsidR="00D35245">
        <w:t>,</w:t>
      </w:r>
      <w:r w:rsidR="00605B2D" w:rsidRPr="007C6C25">
        <w:t xml:space="preserve"> set the foundations for</w:t>
      </w:r>
      <w:r w:rsidRPr="007C6C25">
        <w:t xml:space="preserve"> a </w:t>
      </w:r>
      <w:r w:rsidR="00927F42" w:rsidRPr="007C6C25">
        <w:t>bureaucratic government</w:t>
      </w:r>
      <w:r w:rsidR="00605B2D" w:rsidRPr="007C6C25">
        <w:t xml:space="preserve"> within England</w:t>
      </w:r>
      <w:r w:rsidRPr="007C6C25">
        <w:t xml:space="preserve">, therefore standing as a turning point within English history. </w:t>
      </w:r>
      <w:r w:rsidR="003611D5" w:rsidRPr="007C6C25">
        <w:t>‘His reign marked a significant advance from personal monarchy towards the bureaucratised state of the future’</w:t>
      </w:r>
      <w:r w:rsidR="001D1014" w:rsidRPr="007C6C25">
        <w:rPr>
          <w:rStyle w:val="FootnoteReference"/>
        </w:rPr>
        <w:footnoteReference w:id="25"/>
      </w:r>
      <w:r w:rsidR="003611D5" w:rsidRPr="007C6C25">
        <w:t xml:space="preserve">. </w:t>
      </w:r>
      <w:r w:rsidR="00DE07A2" w:rsidRPr="007C6C25">
        <w:t>T</w:t>
      </w:r>
      <w:r w:rsidR="00CD05F9">
        <w:t>he way in which Henry organised</w:t>
      </w:r>
      <w:r w:rsidR="00DE07A2" w:rsidRPr="007C6C25">
        <w:t xml:space="preserve"> his court</w:t>
      </w:r>
      <w:r w:rsidR="00C44F1E" w:rsidRPr="007C6C25">
        <w:t xml:space="preserve"> enabled the arrival of </w:t>
      </w:r>
      <w:r w:rsidR="00411AA3" w:rsidRPr="007C6C25">
        <w:t>a system</w:t>
      </w:r>
      <w:r w:rsidR="00C44F1E" w:rsidRPr="007C6C25">
        <w:t xml:space="preserve"> where</w:t>
      </w:r>
      <w:r w:rsidR="00411AA3" w:rsidRPr="007C6C25">
        <w:t xml:space="preserve"> the work load was shared, rather than all the responsibility</w:t>
      </w:r>
      <w:r w:rsidR="00236DF2" w:rsidRPr="007C6C25">
        <w:t xml:space="preserve"> being</w:t>
      </w:r>
      <w:r w:rsidR="00411AA3" w:rsidRPr="007C6C25">
        <w:t xml:space="preserve"> given to the king</w:t>
      </w:r>
      <w:r w:rsidR="00443A80" w:rsidRPr="007C6C25">
        <w:t>;</w:t>
      </w:r>
      <w:r w:rsidR="00236DF2" w:rsidRPr="007C6C25">
        <w:t xml:space="preserve"> as w</w:t>
      </w:r>
      <w:r w:rsidR="00B9330F">
        <w:t>as the case for his predecessors</w:t>
      </w:r>
      <w:r w:rsidR="00AF34D5">
        <w:t>.</w:t>
      </w:r>
      <w:r w:rsidR="00BE3ED7" w:rsidRPr="007C6C25">
        <w:t xml:space="preserve"> </w:t>
      </w:r>
      <w:r w:rsidR="006021F6" w:rsidRPr="007C6C25">
        <w:t xml:space="preserve">The </w:t>
      </w:r>
      <w:r w:rsidR="006021F6" w:rsidRPr="007C6C25">
        <w:rPr>
          <w:i/>
        </w:rPr>
        <w:t>Curia Regis</w:t>
      </w:r>
      <w:r w:rsidR="006021F6" w:rsidRPr="007C6C25">
        <w:t xml:space="preserve"> was at first the general council for the king, b</w:t>
      </w:r>
      <w:r w:rsidR="00533D0E">
        <w:t>ut Henry decreased its numbers</w:t>
      </w:r>
      <w:r w:rsidR="006021F6" w:rsidRPr="007C6C25">
        <w:t xml:space="preserve">, and </w:t>
      </w:r>
      <w:r w:rsidR="00533D0E">
        <w:t>appointed them m</w:t>
      </w:r>
      <w:r w:rsidR="006021F6" w:rsidRPr="007C6C25">
        <w:t>embers of the royal household</w:t>
      </w:r>
      <w:r w:rsidR="00533D0E">
        <w:t>, assisting</w:t>
      </w:r>
      <w:r w:rsidR="006021F6" w:rsidRPr="007C6C25">
        <w:t xml:space="preserve"> the king in his judicial work.</w:t>
      </w:r>
      <w:r w:rsidR="006021F6" w:rsidRPr="007C6C25">
        <w:rPr>
          <w:rStyle w:val="FootnoteReference"/>
        </w:rPr>
        <w:footnoteReference w:id="26"/>
      </w:r>
      <w:r w:rsidR="006021F6" w:rsidRPr="007C6C25">
        <w:t xml:space="preserve"> </w:t>
      </w:r>
      <w:r w:rsidR="000935AE" w:rsidRPr="007C6C25">
        <w:t>Henry was able to</w:t>
      </w:r>
      <w:r w:rsidR="00443A80" w:rsidRPr="007C6C25">
        <w:t xml:space="preserve"> then</w:t>
      </w:r>
      <w:r w:rsidR="000935AE" w:rsidRPr="007C6C25">
        <w:t xml:space="preserve"> focus on t</w:t>
      </w:r>
      <w:r w:rsidR="00B9330F">
        <w:t>he most important matters,</w:t>
      </w:r>
      <w:r w:rsidR="000935AE" w:rsidRPr="007C6C25">
        <w:t xml:space="preserve"> </w:t>
      </w:r>
      <w:r w:rsidR="00B9330F">
        <w:t>aware</w:t>
      </w:r>
      <w:r w:rsidR="000935AE" w:rsidRPr="007C6C25">
        <w:t xml:space="preserve"> that other problems</w:t>
      </w:r>
      <w:r w:rsidR="000165D5" w:rsidRPr="007C6C25">
        <w:t xml:space="preserve"> which were less serious,</w:t>
      </w:r>
      <w:r w:rsidR="00B26C42" w:rsidRPr="007C6C25">
        <w:t xml:space="preserve"> would</w:t>
      </w:r>
      <w:r w:rsidR="000935AE" w:rsidRPr="007C6C25">
        <w:t xml:space="preserve"> be </w:t>
      </w:r>
      <w:r w:rsidR="00443A80" w:rsidRPr="007C6C25">
        <w:t>resolved</w:t>
      </w:r>
      <w:r w:rsidR="000165D5" w:rsidRPr="007C6C25">
        <w:t>.</w:t>
      </w:r>
      <w:r w:rsidR="000935AE" w:rsidRPr="007C6C25">
        <w:t xml:space="preserve"> </w:t>
      </w:r>
      <w:r w:rsidR="000C6E85" w:rsidRPr="007C6C25">
        <w:t>By power sharing, Henry was able to create a system of</w:t>
      </w:r>
      <w:r w:rsidR="00E64905">
        <w:t xml:space="preserve"> loyalty</w:t>
      </w:r>
      <w:r w:rsidR="000C6E85" w:rsidRPr="007C6C25">
        <w:t xml:space="preserve">. </w:t>
      </w:r>
      <w:r w:rsidR="00E64905">
        <w:t xml:space="preserve">The </w:t>
      </w:r>
      <w:r w:rsidR="00740EB7" w:rsidRPr="007C6C25">
        <w:t>E</w:t>
      </w:r>
      <w:r w:rsidR="00E91AF6" w:rsidRPr="007C6C25">
        <w:t>xchequer</w:t>
      </w:r>
      <w:r w:rsidR="00E64905">
        <w:t xml:space="preserve"> created</w:t>
      </w:r>
      <w:r w:rsidR="00E91AF6" w:rsidRPr="007C6C25">
        <w:t xml:space="preserve"> a new service within royal government</w:t>
      </w:r>
      <w:r w:rsidR="00E64905">
        <w:t>;</w:t>
      </w:r>
      <w:r w:rsidR="00E91AF6" w:rsidRPr="007C6C25">
        <w:t xml:space="preserve"> improving the effectiveness of the role of royal finance. This can be seen as a way in which Henry I enhanced and improved financial institutions. </w:t>
      </w:r>
      <w:r w:rsidR="00446848" w:rsidRPr="007C6C25">
        <w:t>Arriving around 1110, under Roger of Salisbury,</w:t>
      </w:r>
      <w:r w:rsidR="009347ED" w:rsidRPr="007C6C25">
        <w:rPr>
          <w:rStyle w:val="FootnoteReference"/>
        </w:rPr>
        <w:footnoteReference w:id="27"/>
      </w:r>
      <w:r w:rsidR="00446848" w:rsidRPr="007C6C25">
        <w:t xml:space="preserve"> </w:t>
      </w:r>
      <w:r w:rsidR="00B112FB" w:rsidRPr="007C6C25">
        <w:t>the Exchequer held two roles. The lower Exchequer</w:t>
      </w:r>
      <w:r w:rsidR="00A73FED" w:rsidRPr="007C6C25">
        <w:t xml:space="preserve"> dealt with receipts and payments, whereas the upper Exchequer regulated accounts.</w:t>
      </w:r>
      <w:r w:rsidR="00144EEE" w:rsidRPr="007C6C25">
        <w:t xml:space="preserve"> Twice a year the sheriff of each county was to come in front of the Ex</w:t>
      </w:r>
      <w:r w:rsidR="000D4E65" w:rsidRPr="007C6C25">
        <w:t>chequer and pay rents and fines</w:t>
      </w:r>
      <w:r w:rsidR="00144EEE" w:rsidRPr="007C6C25">
        <w:t>.</w:t>
      </w:r>
      <w:r w:rsidR="00144EEE" w:rsidRPr="007C6C25">
        <w:rPr>
          <w:rStyle w:val="FootnoteReference"/>
        </w:rPr>
        <w:footnoteReference w:id="28"/>
      </w:r>
      <w:r w:rsidR="00A73FED" w:rsidRPr="007C6C25">
        <w:t xml:space="preserve"> </w:t>
      </w:r>
      <w:r w:rsidR="0039094D" w:rsidRPr="007C6C25">
        <w:t>Henry I ‘has been credited with the building of an administrative “machine” of unprecedented effectiveness</w:t>
      </w:r>
      <w:r w:rsidR="008F23D3" w:rsidRPr="007C6C25">
        <w:rPr>
          <w:rStyle w:val="FootnoteReference"/>
        </w:rPr>
        <w:footnoteReference w:id="29"/>
      </w:r>
      <w:r w:rsidR="0039094D" w:rsidRPr="007C6C25">
        <w:t>’</w:t>
      </w:r>
      <w:r w:rsidR="00740EB7" w:rsidRPr="007C6C25">
        <w:t xml:space="preserve"> and the E</w:t>
      </w:r>
      <w:r w:rsidR="0039094D" w:rsidRPr="007C6C25">
        <w:t xml:space="preserve">xchequer is an example of how he achieved this. </w:t>
      </w:r>
      <w:r w:rsidR="00DA15E6" w:rsidRPr="007C6C25">
        <w:t xml:space="preserve">After all, it is plain to see its success as it is still found within government today. </w:t>
      </w:r>
      <w:r w:rsidR="0039094D" w:rsidRPr="007C6C25">
        <w:t xml:space="preserve">We have </w:t>
      </w:r>
      <w:r w:rsidR="0039094D" w:rsidRPr="007C6C25">
        <w:lastRenderedPageBreak/>
        <w:t xml:space="preserve">already noted that the monarch wasn’t present for a lot of his rule in England, providing further evidence that Henry developed a self-sufficient royal government administrative structure. </w:t>
      </w:r>
      <w:r w:rsidR="005D255E" w:rsidRPr="007C6C25">
        <w:t>Therefore, the way in which Henry structured and approached administration was a tur</w:t>
      </w:r>
      <w:r w:rsidR="002537E6" w:rsidRPr="007C6C25">
        <w:t>n</w:t>
      </w:r>
      <w:r w:rsidR="005D255E" w:rsidRPr="007C6C25">
        <w:t>ing point in English history.</w:t>
      </w:r>
      <w:r w:rsidR="008F23D3" w:rsidRPr="007C6C25">
        <w:t xml:space="preserve"> </w:t>
      </w:r>
    </w:p>
    <w:p w:rsidR="00FA40C0" w:rsidRPr="007C6C25" w:rsidRDefault="002537E6" w:rsidP="0087311E">
      <w:r w:rsidRPr="007C6C25">
        <w:t xml:space="preserve">To conclude, the reign of Henry I was a turning point in English history </w:t>
      </w:r>
      <w:r w:rsidR="00531C48">
        <w:t>evident in</w:t>
      </w:r>
      <w:r w:rsidR="00C207A7" w:rsidRPr="007C6C25">
        <w:t xml:space="preserve"> examples such as the ways </w:t>
      </w:r>
      <w:r w:rsidRPr="007C6C25">
        <w:t>in which he consolidated power, his character and approaches compared to that of his predecessors, and his development in royal administrative structure.</w:t>
      </w:r>
      <w:r w:rsidR="00B1608B" w:rsidRPr="007C6C25">
        <w:t xml:space="preserve"> I</w:t>
      </w:r>
      <w:r w:rsidR="003E25DF" w:rsidRPr="007C6C25">
        <w:t>t could be said that a va</w:t>
      </w:r>
      <w:r w:rsidR="00F27315">
        <w:t>st majority of what Henry utilised</w:t>
      </w:r>
      <w:r w:rsidR="003E25DF" w:rsidRPr="007C6C25">
        <w:t xml:space="preserve"> was the methods of those</w:t>
      </w:r>
      <w:r w:rsidR="00B1608B" w:rsidRPr="007C6C25">
        <w:t xml:space="preserve"> used</w:t>
      </w:r>
      <w:r w:rsidR="003E25DF" w:rsidRPr="007C6C25">
        <w:t xml:space="preserve"> before him</w:t>
      </w:r>
      <w:r w:rsidR="00F27315">
        <w:t>.</w:t>
      </w:r>
      <w:r w:rsidR="00B1608B" w:rsidRPr="007C6C25">
        <w:t xml:space="preserve"> However,</w:t>
      </w:r>
      <w:r w:rsidR="003E25DF" w:rsidRPr="007C6C25">
        <w:t xml:space="preserve"> the ways in which Henry controlled his government and the fact that he prepared England not just for problems in the present but for the future, makes him a revolutionary king </w:t>
      </w:r>
      <w:r w:rsidR="004C1FA4">
        <w:t>and</w:t>
      </w:r>
      <w:r w:rsidR="003E25DF" w:rsidRPr="007C6C25">
        <w:t xml:space="preserve"> at times, th</w:t>
      </w:r>
      <w:r w:rsidR="00B1608B" w:rsidRPr="007C6C25">
        <w:t>e voice of the newer generation</w:t>
      </w:r>
      <w:r w:rsidR="003E25DF" w:rsidRPr="007C6C25">
        <w:t xml:space="preserve">. </w:t>
      </w:r>
      <w:r w:rsidR="001142E7" w:rsidRPr="007C6C25">
        <w:t>Though it could be argued that Henry’s reign couldn’t possibly be a turning point, as his successor Stephen I had such an unsuccessful reign even with these new structures embedded in the system he inherited, it could be said</w:t>
      </w:r>
      <w:r w:rsidR="00C207A7" w:rsidRPr="007C6C25">
        <w:t xml:space="preserve"> that many of the actions that H</w:t>
      </w:r>
      <w:r w:rsidR="001142E7" w:rsidRPr="007C6C25">
        <w:t xml:space="preserve">enry committed during his reign were only beneficial for Britain if initiated and used to their full potential by future monarchs, not just exploited and ignored. Failure of </w:t>
      </w:r>
      <w:r w:rsidR="00C207A7" w:rsidRPr="007C6C25">
        <w:t>King</w:t>
      </w:r>
      <w:r w:rsidR="001142E7" w:rsidRPr="007C6C25">
        <w:t xml:space="preserve"> Stephen and the success of Henry II support this.</w:t>
      </w:r>
      <w:r w:rsidR="00AD2405" w:rsidRPr="007C6C25">
        <w:t xml:space="preserve"> Henry laid down the foundations by which England could adopt its reputation as a self-sufficient kingdom, recognising the importance of global hubs</w:t>
      </w:r>
      <w:r w:rsidR="004C1FA4">
        <w:t xml:space="preserve"> </w:t>
      </w:r>
      <w:r w:rsidR="00AD2405" w:rsidRPr="007C6C25">
        <w:t xml:space="preserve">and creating a new cultural identity that the population could unite under: Anglo-Norman. </w:t>
      </w:r>
    </w:p>
    <w:p w:rsidR="00C207A7" w:rsidRPr="007C6C25" w:rsidRDefault="00C207A7" w:rsidP="0087311E">
      <w:pPr>
        <w:rPr>
          <w:highlight w:val="cyan"/>
        </w:rPr>
      </w:pPr>
      <w:bookmarkStart w:id="0" w:name="_GoBack"/>
      <w:bookmarkEnd w:id="0"/>
    </w:p>
    <w:p w:rsidR="00FA40C0" w:rsidRPr="007C6C25" w:rsidRDefault="00FA40C0" w:rsidP="0087311E">
      <w:pPr>
        <w:rPr>
          <w:highlight w:val="cyan"/>
        </w:rPr>
      </w:pPr>
    </w:p>
    <w:p w:rsidR="00FA40C0" w:rsidRDefault="00FA40C0" w:rsidP="0087311E">
      <w:pPr>
        <w:rPr>
          <w:highlight w:val="yellow"/>
        </w:rPr>
      </w:pPr>
    </w:p>
    <w:p w:rsidR="00FA40C0" w:rsidRDefault="00FA40C0" w:rsidP="0087311E">
      <w:pPr>
        <w:rPr>
          <w:highlight w:val="yellow"/>
        </w:rPr>
      </w:pPr>
    </w:p>
    <w:p w:rsidR="004C1FA4" w:rsidRDefault="004C1FA4" w:rsidP="0087311E">
      <w:pPr>
        <w:rPr>
          <w:highlight w:val="yellow"/>
        </w:rPr>
      </w:pPr>
    </w:p>
    <w:p w:rsidR="004C1FA4" w:rsidRDefault="004C1FA4" w:rsidP="0087311E">
      <w:pPr>
        <w:rPr>
          <w:highlight w:val="yellow"/>
        </w:rPr>
      </w:pPr>
    </w:p>
    <w:p w:rsidR="004C1FA4" w:rsidRDefault="004C1FA4" w:rsidP="0087311E">
      <w:pPr>
        <w:rPr>
          <w:highlight w:val="yellow"/>
        </w:rPr>
      </w:pPr>
    </w:p>
    <w:p w:rsidR="004C1FA4" w:rsidRDefault="004C1FA4" w:rsidP="0087311E">
      <w:pPr>
        <w:rPr>
          <w:highlight w:val="yellow"/>
        </w:rPr>
      </w:pPr>
    </w:p>
    <w:p w:rsidR="004C1FA4" w:rsidRDefault="004C1FA4" w:rsidP="0087311E">
      <w:pPr>
        <w:rPr>
          <w:highlight w:val="yellow"/>
        </w:rPr>
      </w:pPr>
    </w:p>
    <w:p w:rsidR="004C1FA4" w:rsidRDefault="004C1FA4"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455515" w:rsidRDefault="00455515" w:rsidP="00455515">
      <w:pPr>
        <w:rPr>
          <w:highlight w:val="yellow"/>
        </w:rPr>
      </w:pPr>
    </w:p>
    <w:p w:rsidR="00B9330F" w:rsidRDefault="00B9330F" w:rsidP="00455515">
      <w:pPr>
        <w:jc w:val="center"/>
        <w:rPr>
          <w:u w:val="single"/>
        </w:rPr>
      </w:pPr>
    </w:p>
    <w:p w:rsidR="00455515" w:rsidRDefault="00455515" w:rsidP="00455515">
      <w:pPr>
        <w:jc w:val="center"/>
        <w:rPr>
          <w:u w:val="single"/>
        </w:rPr>
      </w:pPr>
      <w:r>
        <w:rPr>
          <w:u w:val="single"/>
        </w:rPr>
        <w:lastRenderedPageBreak/>
        <w:t>BIBLIOGRAPHY</w:t>
      </w:r>
    </w:p>
    <w:p w:rsidR="00455515" w:rsidRDefault="00455515" w:rsidP="00455515">
      <w:pPr>
        <w:jc w:val="center"/>
        <w:rPr>
          <w:u w:val="single"/>
        </w:rPr>
      </w:pPr>
    </w:p>
    <w:p w:rsidR="00455515" w:rsidRDefault="00455515" w:rsidP="00455515">
      <w:pPr>
        <w:rPr>
          <w:u w:val="single"/>
        </w:rPr>
      </w:pPr>
      <w:r>
        <w:rPr>
          <w:u w:val="single"/>
        </w:rPr>
        <w:t>PRIMARY SOURCE MATERIALS</w:t>
      </w:r>
    </w:p>
    <w:p w:rsidR="00455515" w:rsidRDefault="00455515" w:rsidP="00455515">
      <w:r w:rsidRPr="004558F0">
        <w:rPr>
          <w:i/>
        </w:rPr>
        <w:t>The Anglo-Saxon Chronicles</w:t>
      </w:r>
      <w:r>
        <w:rPr>
          <w:i/>
        </w:rPr>
        <w:t>,</w:t>
      </w:r>
      <w:r w:rsidRPr="004558F0">
        <w:t xml:space="preserve"> </w:t>
      </w:r>
      <w:r>
        <w:t xml:space="preserve">Translated by Anne Savage </w:t>
      </w:r>
      <w:r w:rsidRPr="004558F0">
        <w:t>(London: Phoebe Phillips Edition, 1983) in Spartacus Educational, Henry II, Spartacus Educational, Available from http://spartacus-educational.com/MEDwilliamII.htm, Accessed on [04/03/2018].</w:t>
      </w:r>
    </w:p>
    <w:p w:rsidR="00455515" w:rsidRPr="004558F0" w:rsidRDefault="00455515" w:rsidP="00455515">
      <w:r w:rsidRPr="004558F0">
        <w:rPr>
          <w:i/>
        </w:rPr>
        <w:t xml:space="preserve">Charter of Liberties of Henry </w:t>
      </w:r>
      <w:r w:rsidRPr="004558F0">
        <w:t xml:space="preserve">I, translated in Albert Beebe White and Wallace Notestein, eds., </w:t>
      </w:r>
      <w:r w:rsidRPr="004558F0">
        <w:rPr>
          <w:i/>
          <w:iCs/>
        </w:rPr>
        <w:t xml:space="preserve">Source Problems in English History </w:t>
      </w:r>
      <w:r w:rsidRPr="004558F0">
        <w:t>(New York: Harper and Brothers, 1915).</w:t>
      </w:r>
    </w:p>
    <w:p w:rsidR="00455515" w:rsidRPr="004558F0" w:rsidRDefault="00455515" w:rsidP="00455515">
      <w:r w:rsidRPr="004558F0">
        <w:rPr>
          <w:i/>
        </w:rPr>
        <w:t>Henry I’s Coronation Charter</w:t>
      </w:r>
      <w:r w:rsidRPr="004558F0">
        <w:t xml:space="preserve">, trans. G.C. Lee, </w:t>
      </w:r>
      <w:r w:rsidRPr="004558F0">
        <w:rPr>
          <w:i/>
        </w:rPr>
        <w:t>Source-Book of English History: Leading Documents</w:t>
      </w:r>
      <w:r w:rsidRPr="004558F0">
        <w:t xml:space="preserve"> (New York: Henry Holt and Company, 1900), pp. 125-127, in </w:t>
      </w:r>
      <w:r w:rsidRPr="004558F0">
        <w:rPr>
          <w:i/>
        </w:rPr>
        <w:t>Readings in Medieval Civilisations and cultures: VI</w:t>
      </w:r>
      <w:r w:rsidRPr="004558F0">
        <w:t>, ed. E. Amt (Letchworth: Broadview Press, 2001).</w:t>
      </w:r>
    </w:p>
    <w:p w:rsidR="00455515" w:rsidRPr="00F6302B" w:rsidRDefault="00455515" w:rsidP="00455515">
      <w:pPr>
        <w:rPr>
          <w:i/>
          <w:iCs/>
        </w:rPr>
      </w:pPr>
      <w:r w:rsidRPr="00F6302B">
        <w:rPr>
          <w:i/>
          <w:iCs/>
        </w:rPr>
        <w:t>Henry I: Grant of Tax Liberties in London, Benjamin Thorpe, ed., Ancient Laws and Institutes of England, (London: Eyre &amp; Spotswood, 1840), p. 497; reprinted in Roy C. Cave &amp; Herbert H. Coulson, A Source Book for Medieval Economic History, (Milwaukee: The Bruce Publishing Co., 1936; reprint ed., New York: Biblo &amp; Tannen, 1965), pp. 366-368.</w:t>
      </w:r>
    </w:p>
    <w:p w:rsidR="00455515" w:rsidRDefault="00455515" w:rsidP="00455515">
      <w:r w:rsidRPr="004558F0">
        <w:rPr>
          <w:i/>
          <w:iCs/>
        </w:rPr>
        <w:t>Ingulf's Chronicle of the Abbey of Croyland with the Continuation of Peter of Blois</w:t>
      </w:r>
      <w:r w:rsidRPr="004558F0">
        <w:t>, trans. Henry T. Riley (London: Hen</w:t>
      </w:r>
      <w:r>
        <w:t>ry G. Bohn, 1854).</w:t>
      </w:r>
    </w:p>
    <w:p w:rsidR="00455515" w:rsidRPr="004558F0" w:rsidRDefault="00455515" w:rsidP="00455515">
      <w:r w:rsidRPr="004558F0">
        <w:t xml:space="preserve">Orderic </w:t>
      </w:r>
      <w:proofErr w:type="spellStart"/>
      <w:r w:rsidRPr="004558F0">
        <w:t>Vitalis</w:t>
      </w:r>
      <w:proofErr w:type="spellEnd"/>
      <w:r w:rsidRPr="004558F0">
        <w:t xml:space="preserve">, in R. Huscroft, </w:t>
      </w:r>
      <w:r w:rsidRPr="004558F0">
        <w:rPr>
          <w:i/>
        </w:rPr>
        <w:t>Ruling England: 1042 – 1217,</w:t>
      </w:r>
      <w:r w:rsidRPr="004558F0">
        <w:t xml:space="preserve"> 2</w:t>
      </w:r>
      <w:r w:rsidRPr="004558F0">
        <w:rPr>
          <w:vertAlign w:val="superscript"/>
        </w:rPr>
        <w:t>nd</w:t>
      </w:r>
      <w:r w:rsidRPr="004558F0">
        <w:t xml:space="preserve"> edn. (Abingdon: Routledge, 2016). </w:t>
      </w:r>
    </w:p>
    <w:p w:rsidR="00455515" w:rsidRDefault="00455515" w:rsidP="00455515">
      <w:pPr>
        <w:rPr>
          <w:u w:val="single"/>
        </w:rPr>
      </w:pPr>
    </w:p>
    <w:p w:rsidR="00455515" w:rsidRDefault="00455515" w:rsidP="00455515">
      <w:pPr>
        <w:rPr>
          <w:u w:val="single"/>
        </w:rPr>
      </w:pPr>
      <w:r>
        <w:rPr>
          <w:u w:val="single"/>
        </w:rPr>
        <w:t>SECONDARY SOURCE MATERIALS</w:t>
      </w:r>
    </w:p>
    <w:p w:rsidR="00455515" w:rsidRPr="004558F0" w:rsidRDefault="00455515" w:rsidP="00455515">
      <w:r w:rsidRPr="004558F0">
        <w:t xml:space="preserve">Barlow, F., </w:t>
      </w:r>
      <w:r w:rsidRPr="004558F0">
        <w:rPr>
          <w:i/>
        </w:rPr>
        <w:t>William Rufus</w:t>
      </w:r>
      <w:r w:rsidRPr="004558F0">
        <w:t>, 2</w:t>
      </w:r>
      <w:r w:rsidRPr="004558F0">
        <w:rPr>
          <w:vertAlign w:val="superscript"/>
        </w:rPr>
        <w:t>nd</w:t>
      </w:r>
      <w:r w:rsidRPr="004558F0">
        <w:t xml:space="preserve"> edn. (New Haven and London: Yale University Press, 2000).</w:t>
      </w:r>
    </w:p>
    <w:p w:rsidR="00455515" w:rsidRPr="004558F0" w:rsidRDefault="00455515" w:rsidP="00455515">
      <w:r w:rsidRPr="004558F0">
        <w:t>BBC, Henry I, BBC, Available from http://www.bbc.co.uk/history/historic_figures/henry_i_king.shtml, Accessed on [03/03/2018].</w:t>
      </w:r>
    </w:p>
    <w:p w:rsidR="00455515" w:rsidRPr="004558F0" w:rsidRDefault="00455515" w:rsidP="00455515">
      <w:r w:rsidRPr="004558F0">
        <w:t>BBC, William II, BBC, Available from http://www.bbc.co.uk/history/historic_figures/william_ii_king.shtml, Accessed on [04/03/2018].</w:t>
      </w:r>
    </w:p>
    <w:p w:rsidR="00455515" w:rsidRPr="004558F0" w:rsidRDefault="00455515" w:rsidP="00455515">
      <w:r w:rsidRPr="004558F0">
        <w:t>Britannica, Curia Regis, Britannica, Available from https://www.britannica.com/topic/curia-medieval-European-court, Accessed on [07/03/2018].</w:t>
      </w:r>
    </w:p>
    <w:p w:rsidR="00455515" w:rsidRPr="004558F0" w:rsidRDefault="00455515" w:rsidP="00455515">
      <w:r w:rsidRPr="004558F0">
        <w:t>Britannica, Exchequer</w:t>
      </w:r>
      <w:r w:rsidRPr="004558F0">
        <w:rPr>
          <w:i/>
        </w:rPr>
        <w:t>,</w:t>
      </w:r>
      <w:r w:rsidRPr="004558F0">
        <w:t xml:space="preserve"> Britannica, Available from https://www.britannica.com/topic/Exchequer, Accessed from [07/03/2018].</w:t>
      </w:r>
    </w:p>
    <w:p w:rsidR="00455515" w:rsidRPr="006B5286" w:rsidRDefault="00455515" w:rsidP="00455515">
      <w:r w:rsidRPr="006B5286">
        <w:t xml:space="preserve">Collins Dictionary, Turning Point, Collins Dictionary, Available from https://www.collinsdictionary.com/dictionary/english/turning-point, Accessed on [09/03/2018]. </w:t>
      </w:r>
    </w:p>
    <w:p w:rsidR="00455515" w:rsidRDefault="00455515" w:rsidP="00455515">
      <w:pPr>
        <w:rPr>
          <w:sz w:val="18"/>
          <w:szCs w:val="18"/>
        </w:rPr>
      </w:pPr>
      <w:r w:rsidRPr="00D90612">
        <w:rPr>
          <w:szCs w:val="18"/>
        </w:rPr>
        <w:t>Haskins,</w:t>
      </w:r>
      <w:r>
        <w:rPr>
          <w:szCs w:val="18"/>
        </w:rPr>
        <w:t xml:space="preserve"> C., H., </w:t>
      </w:r>
      <w:r w:rsidRPr="00D90612">
        <w:rPr>
          <w:i/>
          <w:szCs w:val="18"/>
        </w:rPr>
        <w:t xml:space="preserve">Norman Institutions </w:t>
      </w:r>
      <w:r w:rsidRPr="00D90612">
        <w:rPr>
          <w:szCs w:val="18"/>
        </w:rPr>
        <w:t>(London: Oxford University Press, 1918).</w:t>
      </w:r>
    </w:p>
    <w:p w:rsidR="00455515" w:rsidRPr="004558F0" w:rsidRDefault="00455515" w:rsidP="00455515">
      <w:r w:rsidRPr="004558F0">
        <w:t xml:space="preserve">Hollister, C., W., </w:t>
      </w:r>
      <w:r w:rsidRPr="004558F0">
        <w:rPr>
          <w:i/>
        </w:rPr>
        <w:t>Henry I</w:t>
      </w:r>
      <w:r w:rsidRPr="004558F0">
        <w:t xml:space="preserve"> (New Haven and London: Yale University Press, 2003). </w:t>
      </w:r>
    </w:p>
    <w:p w:rsidR="00455515" w:rsidRPr="004558F0" w:rsidRDefault="00455515" w:rsidP="00455515">
      <w:r w:rsidRPr="004558F0">
        <w:t xml:space="preserve">Hollister, C., W., </w:t>
      </w:r>
      <w:r w:rsidRPr="004558F0">
        <w:rPr>
          <w:i/>
        </w:rPr>
        <w:t>Henry I</w:t>
      </w:r>
      <w:r w:rsidRPr="004558F0">
        <w:t xml:space="preserve"> (New Haven and London: Yale University Press, 2003) in</w:t>
      </w:r>
      <w:r w:rsidRPr="004558F0">
        <w:rPr>
          <w:u w:val="single"/>
        </w:rPr>
        <w:t xml:space="preserve"> </w:t>
      </w:r>
      <w:r w:rsidRPr="004558F0">
        <w:t xml:space="preserve">Huscroft, R., </w:t>
      </w:r>
      <w:r w:rsidRPr="004558F0">
        <w:rPr>
          <w:i/>
        </w:rPr>
        <w:t>Ruling England: 1042 – 1217,</w:t>
      </w:r>
      <w:r w:rsidRPr="004558F0">
        <w:t xml:space="preserve"> 2</w:t>
      </w:r>
      <w:r w:rsidRPr="004558F0">
        <w:rPr>
          <w:vertAlign w:val="superscript"/>
        </w:rPr>
        <w:t>nd</w:t>
      </w:r>
      <w:r w:rsidRPr="004558F0">
        <w:t xml:space="preserve"> edn. (Abingdon: Routledge, 2016). </w:t>
      </w:r>
    </w:p>
    <w:p w:rsidR="00455515" w:rsidRPr="004558F0" w:rsidRDefault="00455515" w:rsidP="00455515">
      <w:r w:rsidRPr="004558F0">
        <w:t xml:space="preserve">Huscroft, R., </w:t>
      </w:r>
      <w:r w:rsidRPr="004558F0">
        <w:rPr>
          <w:i/>
        </w:rPr>
        <w:t>Ruling England: 1042 – 1217,</w:t>
      </w:r>
      <w:r w:rsidRPr="004558F0">
        <w:t xml:space="preserve"> 2</w:t>
      </w:r>
      <w:r w:rsidRPr="004558F0">
        <w:rPr>
          <w:vertAlign w:val="superscript"/>
        </w:rPr>
        <w:t>nd</w:t>
      </w:r>
      <w:r w:rsidRPr="004558F0">
        <w:t xml:space="preserve"> edn. (Abingdon: Routledge, 2016). </w:t>
      </w:r>
    </w:p>
    <w:p w:rsidR="00455515" w:rsidRPr="004558F0" w:rsidRDefault="00455515" w:rsidP="00455515">
      <w:r w:rsidRPr="004558F0">
        <w:lastRenderedPageBreak/>
        <w:t xml:space="preserve">Mason, E., </w:t>
      </w:r>
      <w:r w:rsidRPr="004558F0">
        <w:rPr>
          <w:i/>
        </w:rPr>
        <w:t>Norman Kingship</w:t>
      </w:r>
      <w:r w:rsidRPr="004558F0">
        <w:t xml:space="preserve"> (Suffolk: Headstart History, 1991).</w:t>
      </w:r>
    </w:p>
    <w:p w:rsidR="00455515" w:rsidRPr="004558F0" w:rsidRDefault="00455515" w:rsidP="00455515">
      <w:r w:rsidRPr="004558F0">
        <w:t xml:space="preserve">National Archives, Exchequer of Normandy: Pipe Rolls, Available from http://discovery.nationalarchives.gov.uk/details/r/C6750, Accessed on [07/03/2018]. </w:t>
      </w:r>
    </w:p>
    <w:p w:rsidR="00455515" w:rsidRPr="004558F0" w:rsidRDefault="00455515" w:rsidP="00455515">
      <w:r w:rsidRPr="009F1537">
        <w:t xml:space="preserve">Thomas, </w:t>
      </w:r>
      <w:r>
        <w:t xml:space="preserve">H., M., </w:t>
      </w:r>
      <w:r w:rsidRPr="009F1537">
        <w:rPr>
          <w:i/>
        </w:rPr>
        <w:t>The Norman Conquest: England after William the Conqueror</w:t>
      </w:r>
      <w:r w:rsidRPr="009F1537">
        <w:t xml:space="preserve"> (Plymouth: Rowman and Littlefield Publishers Inc., 2008). p.108.</w:t>
      </w:r>
    </w:p>
    <w:p w:rsidR="00455515" w:rsidRPr="004558F0" w:rsidRDefault="00455515" w:rsidP="00455515">
      <w:r w:rsidRPr="00F23F46">
        <w:t>Wood,</w:t>
      </w:r>
      <w:r>
        <w:t xml:space="preserve"> Michael,</w:t>
      </w:r>
      <w:r w:rsidRPr="00F23F46">
        <w:t xml:space="preserve"> The Norman Yoke: Symbol or Reality</w:t>
      </w:r>
      <w:proofErr w:type="gramStart"/>
      <w:r w:rsidRPr="00F23F46">
        <w:t>?,</w:t>
      </w:r>
      <w:proofErr w:type="gramEnd"/>
      <w:r w:rsidRPr="00F23F46">
        <w:t xml:space="preserve"> BBC, Available from http://www.bbc.co.uk/history/trail/conquest/norman/william_the_conqueror_01.shtml, Accessed on [11/03/2018].</w:t>
      </w:r>
      <w:r w:rsidRPr="004558F0">
        <w:t xml:space="preserve">Haskins, C., H., </w:t>
      </w:r>
      <w:r w:rsidRPr="004558F0">
        <w:rPr>
          <w:i/>
        </w:rPr>
        <w:t xml:space="preserve">Norman Institutions </w:t>
      </w:r>
      <w:r w:rsidRPr="004558F0">
        <w:t>(London: Oxford University Press, 1918).</w:t>
      </w:r>
    </w:p>
    <w:p w:rsidR="00455515" w:rsidRDefault="00455515" w:rsidP="00455515">
      <w:proofErr w:type="spellStart"/>
      <w:r w:rsidRPr="004558F0">
        <w:t>Yulia</w:t>
      </w:r>
      <w:proofErr w:type="spellEnd"/>
      <w:r w:rsidRPr="004558F0">
        <w:t xml:space="preserve"> </w:t>
      </w:r>
      <w:proofErr w:type="spellStart"/>
      <w:r w:rsidRPr="004558F0">
        <w:t>Dzhak</w:t>
      </w:r>
      <w:proofErr w:type="spellEnd"/>
      <w:r w:rsidRPr="004558F0">
        <w:t xml:space="preserve">, The Battle of </w:t>
      </w:r>
      <w:proofErr w:type="spellStart"/>
      <w:r w:rsidRPr="004558F0">
        <w:t>Tinchebray</w:t>
      </w:r>
      <w:proofErr w:type="spellEnd"/>
      <w:r w:rsidRPr="004558F0">
        <w:t xml:space="preserve"> and the Conquest of Normandy (1106), War History Online, Available from https://www.warhistoryonline.com/medieval/battle-tinchebray-conquest-normandy.html/2, Accessed on [03/03/2018].</w:t>
      </w:r>
    </w:p>
    <w:p w:rsidR="00455515" w:rsidRPr="004558F0" w:rsidRDefault="00455515" w:rsidP="00455515"/>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FA40C0" w:rsidRDefault="00FA40C0" w:rsidP="0087311E">
      <w:pPr>
        <w:rPr>
          <w:highlight w:val="yellow"/>
        </w:rPr>
      </w:pPr>
    </w:p>
    <w:p w:rsidR="00B676B7" w:rsidRDefault="00B676B7" w:rsidP="0087311E"/>
    <w:p w:rsidR="00B676B7" w:rsidRDefault="00B676B7" w:rsidP="0087311E"/>
    <w:p w:rsidR="00B676B7" w:rsidRDefault="00B676B7" w:rsidP="0087311E"/>
    <w:p w:rsidR="00927EA5" w:rsidRPr="00CD61E4" w:rsidRDefault="00927EA5" w:rsidP="00CD61E4"/>
    <w:sectPr w:rsidR="00927EA5" w:rsidRPr="00CD61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27B7" w:rsidRDefault="00F327B7" w:rsidP="009648EA">
      <w:pPr>
        <w:spacing w:after="0" w:line="240" w:lineRule="auto"/>
      </w:pPr>
      <w:r>
        <w:separator/>
      </w:r>
    </w:p>
  </w:endnote>
  <w:endnote w:type="continuationSeparator" w:id="0">
    <w:p w:rsidR="00F327B7" w:rsidRDefault="00F327B7" w:rsidP="00964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27B7" w:rsidRDefault="00F327B7" w:rsidP="009648EA">
      <w:pPr>
        <w:spacing w:after="0" w:line="240" w:lineRule="auto"/>
      </w:pPr>
      <w:r>
        <w:separator/>
      </w:r>
    </w:p>
  </w:footnote>
  <w:footnote w:type="continuationSeparator" w:id="0">
    <w:p w:rsidR="00F327B7" w:rsidRDefault="00F327B7" w:rsidP="009648EA">
      <w:pPr>
        <w:spacing w:after="0" w:line="240" w:lineRule="auto"/>
      </w:pPr>
      <w:r>
        <w:continuationSeparator/>
      </w:r>
    </w:p>
  </w:footnote>
  <w:footnote w:id="1">
    <w:p w:rsidR="007C6C25" w:rsidRPr="00E52FAE" w:rsidRDefault="007C6C25">
      <w:pPr>
        <w:pStyle w:val="FootnoteText"/>
        <w:rPr>
          <w:sz w:val="18"/>
        </w:rPr>
      </w:pPr>
      <w:r w:rsidRPr="00E52FAE">
        <w:rPr>
          <w:rStyle w:val="FootnoteReference"/>
          <w:sz w:val="18"/>
        </w:rPr>
        <w:footnoteRef/>
      </w:r>
      <w:r w:rsidRPr="00E52FAE">
        <w:rPr>
          <w:sz w:val="18"/>
        </w:rPr>
        <w:t xml:space="preserve"> Collins Dictionary, Turning Point, Collins Dictionary, Available from https://www.collinsdictionary.com/dictionary/english/turning-point, Accessed on [09/03/2018]. </w:t>
      </w:r>
    </w:p>
  </w:footnote>
  <w:footnote w:id="2">
    <w:p w:rsidR="007C6C25" w:rsidRPr="00483633" w:rsidRDefault="007C6C25">
      <w:pPr>
        <w:pStyle w:val="FootnoteText"/>
        <w:rPr>
          <w:b/>
          <w:sz w:val="18"/>
          <w:szCs w:val="18"/>
        </w:rPr>
      </w:pPr>
      <w:r w:rsidRPr="00483633">
        <w:rPr>
          <w:rStyle w:val="FootnoteReference"/>
          <w:sz w:val="18"/>
          <w:szCs w:val="18"/>
        </w:rPr>
        <w:footnoteRef/>
      </w:r>
      <w:r w:rsidRPr="00483633">
        <w:rPr>
          <w:sz w:val="18"/>
          <w:szCs w:val="18"/>
        </w:rPr>
        <w:t xml:space="preserve"> C. Warren Hollister, </w:t>
      </w:r>
      <w:r w:rsidRPr="00483633">
        <w:rPr>
          <w:i/>
          <w:sz w:val="18"/>
          <w:szCs w:val="18"/>
        </w:rPr>
        <w:t>Henry I</w:t>
      </w:r>
      <w:r w:rsidRPr="00483633">
        <w:rPr>
          <w:sz w:val="18"/>
          <w:szCs w:val="18"/>
        </w:rPr>
        <w:t xml:space="preserve"> (New Haven and London: Yale University Press, 2003). p.368.</w:t>
      </w:r>
    </w:p>
  </w:footnote>
  <w:footnote w:id="3">
    <w:p w:rsidR="007C6C25" w:rsidRPr="00483633" w:rsidRDefault="007C6C25">
      <w:pPr>
        <w:pStyle w:val="FootnoteText"/>
        <w:rPr>
          <w:b/>
          <w:sz w:val="18"/>
          <w:szCs w:val="18"/>
        </w:rPr>
      </w:pPr>
      <w:r w:rsidRPr="00483633">
        <w:rPr>
          <w:rStyle w:val="FootnoteReference"/>
          <w:sz w:val="18"/>
          <w:szCs w:val="18"/>
        </w:rPr>
        <w:footnoteRef/>
      </w:r>
      <w:r w:rsidRPr="00483633">
        <w:rPr>
          <w:sz w:val="18"/>
          <w:szCs w:val="18"/>
        </w:rPr>
        <w:t xml:space="preserve"> F. Barlow, </w:t>
      </w:r>
      <w:r w:rsidRPr="00483633">
        <w:rPr>
          <w:i/>
          <w:sz w:val="18"/>
          <w:szCs w:val="18"/>
        </w:rPr>
        <w:t>William Rufus</w:t>
      </w:r>
      <w:r w:rsidRPr="00483633">
        <w:rPr>
          <w:sz w:val="18"/>
          <w:szCs w:val="18"/>
        </w:rPr>
        <w:t>, 2</w:t>
      </w:r>
      <w:r w:rsidRPr="00483633">
        <w:rPr>
          <w:sz w:val="18"/>
          <w:szCs w:val="18"/>
          <w:vertAlign w:val="superscript"/>
        </w:rPr>
        <w:t>nd</w:t>
      </w:r>
      <w:r w:rsidRPr="00483633">
        <w:rPr>
          <w:sz w:val="18"/>
          <w:szCs w:val="18"/>
        </w:rPr>
        <w:t xml:space="preserve"> edn. (New Haven and London: Yale University Press, 2000). p.3. </w:t>
      </w:r>
      <w:r w:rsidRPr="00483633">
        <w:rPr>
          <w:b/>
          <w:sz w:val="18"/>
          <w:szCs w:val="18"/>
        </w:rPr>
        <w:t xml:space="preserve"> </w:t>
      </w:r>
    </w:p>
  </w:footnote>
  <w:footnote w:id="4">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R. Huscroft, </w:t>
      </w:r>
      <w:r w:rsidRPr="00483633">
        <w:rPr>
          <w:i/>
          <w:sz w:val="18"/>
          <w:szCs w:val="18"/>
        </w:rPr>
        <w:t>Ruling England: 1042 – 1217,</w:t>
      </w:r>
      <w:r w:rsidRPr="00483633">
        <w:rPr>
          <w:sz w:val="18"/>
          <w:szCs w:val="18"/>
        </w:rPr>
        <w:t xml:space="preserve"> 2</w:t>
      </w:r>
      <w:r w:rsidRPr="00483633">
        <w:rPr>
          <w:sz w:val="18"/>
          <w:szCs w:val="18"/>
          <w:vertAlign w:val="superscript"/>
        </w:rPr>
        <w:t>nd</w:t>
      </w:r>
      <w:r w:rsidRPr="00483633">
        <w:rPr>
          <w:sz w:val="18"/>
          <w:szCs w:val="18"/>
        </w:rPr>
        <w:t xml:space="preserve"> edn. (Abingdon: Routledge, 2016). p.99. </w:t>
      </w:r>
    </w:p>
  </w:footnote>
  <w:footnote w:id="5">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BBC, William II, BBC, Available from http://www.bbc.co.uk/history/historic_figures/william_ii_king.shtml, Accessed on [04/03/2018].</w:t>
      </w:r>
    </w:p>
  </w:footnote>
  <w:footnote w:id="6">
    <w:p w:rsidR="007C6C25" w:rsidRPr="00483633" w:rsidRDefault="007C6C25" w:rsidP="00E552A4">
      <w:pPr>
        <w:pStyle w:val="FootnoteText"/>
        <w:rPr>
          <w:sz w:val="18"/>
          <w:szCs w:val="18"/>
        </w:rPr>
      </w:pPr>
      <w:r w:rsidRPr="00483633">
        <w:rPr>
          <w:rStyle w:val="FootnoteReference"/>
          <w:sz w:val="18"/>
          <w:szCs w:val="18"/>
        </w:rPr>
        <w:footnoteRef/>
      </w:r>
      <w:r w:rsidRPr="00483633">
        <w:rPr>
          <w:sz w:val="18"/>
          <w:szCs w:val="18"/>
        </w:rPr>
        <w:t xml:space="preserve"> Huscroft, </w:t>
      </w:r>
      <w:r w:rsidRPr="00483633">
        <w:rPr>
          <w:i/>
          <w:sz w:val="18"/>
          <w:szCs w:val="18"/>
        </w:rPr>
        <w:t>Ruling England</w:t>
      </w:r>
      <w:r w:rsidRPr="00483633">
        <w:rPr>
          <w:sz w:val="18"/>
          <w:szCs w:val="18"/>
        </w:rPr>
        <w:t>, p.68</w:t>
      </w:r>
    </w:p>
  </w:footnote>
  <w:footnote w:id="7">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w:t>
      </w:r>
      <w:r w:rsidRPr="00483633">
        <w:rPr>
          <w:i/>
          <w:sz w:val="18"/>
          <w:szCs w:val="18"/>
        </w:rPr>
        <w:t xml:space="preserve">Charter of Liberties of Henry </w:t>
      </w:r>
      <w:r w:rsidRPr="00483633">
        <w:rPr>
          <w:sz w:val="18"/>
          <w:szCs w:val="18"/>
        </w:rPr>
        <w:t xml:space="preserve">I, translated in Albert Beebe White and Wallace Notestein, eds., </w:t>
      </w:r>
      <w:r w:rsidRPr="00483633">
        <w:rPr>
          <w:i/>
          <w:iCs/>
          <w:sz w:val="18"/>
          <w:szCs w:val="18"/>
        </w:rPr>
        <w:t xml:space="preserve">Source Problems in English History </w:t>
      </w:r>
      <w:r w:rsidRPr="00483633">
        <w:rPr>
          <w:sz w:val="18"/>
          <w:szCs w:val="18"/>
        </w:rPr>
        <w:t>(New York: Harper and Brothers, 1915).</w:t>
      </w:r>
    </w:p>
  </w:footnote>
  <w:footnote w:id="8">
    <w:p w:rsidR="007C6C25" w:rsidRPr="00483633" w:rsidRDefault="007C6C25" w:rsidP="007D3CA4">
      <w:pPr>
        <w:pStyle w:val="FootnoteText"/>
        <w:rPr>
          <w:sz w:val="18"/>
          <w:szCs w:val="18"/>
        </w:rPr>
      </w:pPr>
      <w:r w:rsidRPr="00483633">
        <w:rPr>
          <w:rStyle w:val="FootnoteReference"/>
          <w:sz w:val="18"/>
          <w:szCs w:val="18"/>
        </w:rPr>
        <w:footnoteRef/>
      </w:r>
      <w:r w:rsidRPr="00483633">
        <w:rPr>
          <w:i/>
          <w:sz w:val="18"/>
          <w:szCs w:val="18"/>
        </w:rPr>
        <w:t xml:space="preserve"> </w:t>
      </w:r>
      <w:r w:rsidRPr="00483633">
        <w:rPr>
          <w:sz w:val="18"/>
          <w:szCs w:val="18"/>
        </w:rPr>
        <w:t xml:space="preserve">Huscroft, </w:t>
      </w:r>
      <w:r w:rsidRPr="00483633">
        <w:rPr>
          <w:i/>
          <w:sz w:val="18"/>
          <w:szCs w:val="18"/>
        </w:rPr>
        <w:t>Ruling England,</w:t>
      </w:r>
      <w:r w:rsidRPr="00483633">
        <w:rPr>
          <w:sz w:val="18"/>
          <w:szCs w:val="18"/>
        </w:rPr>
        <w:t xml:space="preserve"> p.68. </w:t>
      </w:r>
    </w:p>
  </w:footnote>
  <w:footnote w:id="9">
    <w:p w:rsidR="007C6C25" w:rsidRPr="00483633" w:rsidRDefault="007C6C25" w:rsidP="00BE7ADF">
      <w:pPr>
        <w:pStyle w:val="FootnoteText"/>
        <w:rPr>
          <w:sz w:val="18"/>
          <w:szCs w:val="18"/>
        </w:rPr>
      </w:pPr>
      <w:r w:rsidRPr="00483633">
        <w:rPr>
          <w:rStyle w:val="FootnoteReference"/>
          <w:sz w:val="18"/>
          <w:szCs w:val="18"/>
        </w:rPr>
        <w:footnoteRef/>
      </w:r>
      <w:r w:rsidRPr="00483633">
        <w:rPr>
          <w:sz w:val="18"/>
          <w:szCs w:val="18"/>
        </w:rPr>
        <w:t xml:space="preserve"> </w:t>
      </w:r>
      <w:r w:rsidRPr="00483633">
        <w:rPr>
          <w:i/>
          <w:sz w:val="18"/>
          <w:szCs w:val="18"/>
        </w:rPr>
        <w:t>Henry I’s Coronation Charter</w:t>
      </w:r>
      <w:r w:rsidRPr="00483633">
        <w:rPr>
          <w:sz w:val="18"/>
          <w:szCs w:val="18"/>
        </w:rPr>
        <w:t xml:space="preserve">, trans. G.C. Lee, </w:t>
      </w:r>
      <w:r w:rsidRPr="00483633">
        <w:rPr>
          <w:i/>
          <w:sz w:val="18"/>
          <w:szCs w:val="18"/>
        </w:rPr>
        <w:t>Source-Book of English History: Leading Documents</w:t>
      </w:r>
      <w:r w:rsidRPr="00483633">
        <w:rPr>
          <w:sz w:val="18"/>
          <w:szCs w:val="18"/>
        </w:rPr>
        <w:t xml:space="preserve"> (New York: Henry Holt and Company, 1900), pp. 125-127, in </w:t>
      </w:r>
      <w:r w:rsidRPr="00483633">
        <w:rPr>
          <w:i/>
          <w:sz w:val="18"/>
          <w:szCs w:val="18"/>
        </w:rPr>
        <w:t>Readings in Medieval Civilisations and cultures: VI</w:t>
      </w:r>
      <w:r w:rsidRPr="00483633">
        <w:rPr>
          <w:sz w:val="18"/>
          <w:szCs w:val="18"/>
        </w:rPr>
        <w:t>, ed. E. Amt (Letchworth: Broadview Press, 2001).</w:t>
      </w:r>
    </w:p>
  </w:footnote>
  <w:footnote w:id="10">
    <w:p w:rsidR="007C6C25" w:rsidRDefault="007C6C25">
      <w:pPr>
        <w:pStyle w:val="FootnoteText"/>
      </w:pPr>
      <w:r w:rsidRPr="00483633">
        <w:rPr>
          <w:rStyle w:val="FootnoteReference"/>
          <w:sz w:val="18"/>
          <w:szCs w:val="18"/>
        </w:rPr>
        <w:footnoteRef/>
      </w:r>
      <w:r w:rsidRPr="00483633">
        <w:rPr>
          <w:sz w:val="18"/>
          <w:szCs w:val="18"/>
        </w:rPr>
        <w:t xml:space="preserve"> C. H. Haskins, </w:t>
      </w:r>
      <w:r w:rsidRPr="00483633">
        <w:rPr>
          <w:i/>
          <w:sz w:val="18"/>
          <w:szCs w:val="18"/>
        </w:rPr>
        <w:t xml:space="preserve">Norman Institutions </w:t>
      </w:r>
      <w:r w:rsidRPr="00483633">
        <w:rPr>
          <w:sz w:val="18"/>
          <w:szCs w:val="18"/>
        </w:rPr>
        <w:t>(London: Oxford University Press, 1918). p.78.</w:t>
      </w:r>
    </w:p>
  </w:footnote>
  <w:footnote w:id="11">
    <w:p w:rsidR="007C6C25" w:rsidRPr="004259C1" w:rsidRDefault="007C6C25">
      <w:pPr>
        <w:pStyle w:val="FootnoteText"/>
        <w:rPr>
          <w:sz w:val="18"/>
        </w:rPr>
      </w:pPr>
      <w:r w:rsidRPr="004259C1">
        <w:rPr>
          <w:rStyle w:val="FootnoteReference"/>
          <w:sz w:val="18"/>
        </w:rPr>
        <w:footnoteRef/>
      </w:r>
      <w:r w:rsidRPr="004259C1">
        <w:rPr>
          <w:sz w:val="18"/>
        </w:rPr>
        <w:t xml:space="preserve"> </w:t>
      </w:r>
      <w:r w:rsidRPr="004259C1">
        <w:rPr>
          <w:i/>
          <w:iCs/>
          <w:sz w:val="18"/>
        </w:rPr>
        <w:t>Ingulf's Chronicle of the Abbey of Croyland with the Continuation of Peter of Blois</w:t>
      </w:r>
      <w:r w:rsidRPr="004259C1">
        <w:rPr>
          <w:sz w:val="18"/>
        </w:rPr>
        <w:t>, trans. Henry T. Riley (London: Henry G. Bohn, 1854), pp. 229-37.</w:t>
      </w:r>
    </w:p>
  </w:footnote>
  <w:footnote w:id="12">
    <w:p w:rsidR="007C6C25" w:rsidRPr="00422A02" w:rsidRDefault="007C6C25">
      <w:pPr>
        <w:pStyle w:val="FootnoteText"/>
        <w:rPr>
          <w:sz w:val="18"/>
        </w:rPr>
      </w:pPr>
      <w:r w:rsidRPr="002C7D53">
        <w:rPr>
          <w:rStyle w:val="FootnoteReference"/>
          <w:sz w:val="18"/>
        </w:rPr>
        <w:footnoteRef/>
      </w:r>
      <w:r w:rsidRPr="002C7D53">
        <w:rPr>
          <w:sz w:val="18"/>
        </w:rPr>
        <w:t xml:space="preserve"> BBC, Henry I, BBC, Available from http://www.bbc.co.uk/history/historic_figures/henry_i_king.shtml, Accessed on [03/03/2018].</w:t>
      </w:r>
    </w:p>
  </w:footnote>
  <w:footnote w:id="13">
    <w:p w:rsidR="007C6C25" w:rsidRPr="0051139C" w:rsidRDefault="007C6C25">
      <w:pPr>
        <w:pStyle w:val="FootnoteText"/>
        <w:rPr>
          <w:sz w:val="18"/>
        </w:rPr>
      </w:pPr>
      <w:r w:rsidRPr="00C80233">
        <w:rPr>
          <w:rStyle w:val="FootnoteReference"/>
          <w:sz w:val="18"/>
        </w:rPr>
        <w:footnoteRef/>
      </w:r>
      <w:r w:rsidRPr="00C80233">
        <w:rPr>
          <w:sz w:val="18"/>
        </w:rPr>
        <w:t xml:space="preserve"> </w:t>
      </w:r>
      <w:proofErr w:type="spellStart"/>
      <w:r w:rsidRPr="00C80233">
        <w:rPr>
          <w:sz w:val="18"/>
        </w:rPr>
        <w:t>Yulia</w:t>
      </w:r>
      <w:proofErr w:type="spellEnd"/>
      <w:r w:rsidRPr="00C80233">
        <w:rPr>
          <w:sz w:val="18"/>
        </w:rPr>
        <w:t xml:space="preserve"> </w:t>
      </w:r>
      <w:proofErr w:type="spellStart"/>
      <w:r w:rsidRPr="00C80233">
        <w:rPr>
          <w:sz w:val="18"/>
        </w:rPr>
        <w:t>Dzhak</w:t>
      </w:r>
      <w:proofErr w:type="spellEnd"/>
      <w:r w:rsidRPr="00C80233">
        <w:rPr>
          <w:sz w:val="18"/>
        </w:rPr>
        <w:t xml:space="preserve">, The Battle of </w:t>
      </w:r>
      <w:proofErr w:type="spellStart"/>
      <w:r w:rsidRPr="00C80233">
        <w:rPr>
          <w:sz w:val="18"/>
        </w:rPr>
        <w:t>Tinchebray</w:t>
      </w:r>
      <w:proofErr w:type="spellEnd"/>
      <w:r w:rsidRPr="00C80233">
        <w:rPr>
          <w:sz w:val="18"/>
        </w:rPr>
        <w:t xml:space="preserve"> and the Conquest of Normandy (1106), War History Online, Available from https://www.warhistoryonline.com/medieval/battle-tinchebray-conquest-normandy.html/2, Accessed on [03/03/2018].</w:t>
      </w:r>
    </w:p>
  </w:footnote>
  <w:footnote w:id="14">
    <w:p w:rsidR="007C6C25" w:rsidRPr="00DE1BB0" w:rsidRDefault="007C6C25">
      <w:pPr>
        <w:pStyle w:val="FootnoteText"/>
        <w:rPr>
          <w:sz w:val="18"/>
        </w:rPr>
      </w:pPr>
      <w:r w:rsidRPr="0051139C">
        <w:rPr>
          <w:rStyle w:val="FootnoteReference"/>
          <w:sz w:val="18"/>
        </w:rPr>
        <w:footnoteRef/>
      </w:r>
      <w:r w:rsidRPr="0051139C">
        <w:rPr>
          <w:sz w:val="18"/>
        </w:rPr>
        <w:t xml:space="preserve"> E. Mason, </w:t>
      </w:r>
      <w:r w:rsidRPr="0051139C">
        <w:rPr>
          <w:i/>
          <w:sz w:val="18"/>
        </w:rPr>
        <w:t>Norman Kingship</w:t>
      </w:r>
      <w:r w:rsidRPr="0051139C">
        <w:rPr>
          <w:sz w:val="18"/>
        </w:rPr>
        <w:t xml:space="preserve"> (Suffolk: Headstart History, 1991).</w:t>
      </w:r>
    </w:p>
  </w:footnote>
  <w:footnote w:id="15">
    <w:p w:rsidR="007C6C25" w:rsidRPr="00334A58" w:rsidRDefault="007C6C25">
      <w:pPr>
        <w:pStyle w:val="FootnoteText"/>
        <w:rPr>
          <w:sz w:val="18"/>
          <w:szCs w:val="18"/>
        </w:rPr>
      </w:pPr>
      <w:r w:rsidRPr="00334A58">
        <w:rPr>
          <w:rStyle w:val="FootnoteReference"/>
          <w:sz w:val="18"/>
          <w:szCs w:val="18"/>
        </w:rPr>
        <w:footnoteRef/>
      </w:r>
      <w:r w:rsidRPr="00334A58">
        <w:rPr>
          <w:sz w:val="18"/>
          <w:szCs w:val="18"/>
        </w:rPr>
        <w:t xml:space="preserve"> </w:t>
      </w:r>
      <w:r w:rsidRPr="00334A58">
        <w:rPr>
          <w:i/>
          <w:sz w:val="18"/>
          <w:szCs w:val="18"/>
        </w:rPr>
        <w:t>Henry I’s Coronation Charter</w:t>
      </w:r>
      <w:r w:rsidRPr="00334A58">
        <w:rPr>
          <w:sz w:val="18"/>
          <w:szCs w:val="18"/>
        </w:rPr>
        <w:t xml:space="preserve">, trans. G.C. Lee, </w:t>
      </w:r>
      <w:r w:rsidRPr="00334A58">
        <w:rPr>
          <w:i/>
          <w:sz w:val="18"/>
          <w:szCs w:val="18"/>
        </w:rPr>
        <w:t>Source-Book of English History: Leading Documents</w:t>
      </w:r>
      <w:r w:rsidRPr="00334A58">
        <w:rPr>
          <w:sz w:val="18"/>
          <w:szCs w:val="18"/>
        </w:rPr>
        <w:t xml:space="preserve"> (New York: Henry Holt and Company, 1900), pp. 125-127, in </w:t>
      </w:r>
      <w:r w:rsidRPr="00334A58">
        <w:rPr>
          <w:i/>
          <w:sz w:val="18"/>
          <w:szCs w:val="18"/>
        </w:rPr>
        <w:t>Readings in Medieval Civilisations and cultures: VI</w:t>
      </w:r>
      <w:r w:rsidRPr="00334A58">
        <w:rPr>
          <w:sz w:val="18"/>
          <w:szCs w:val="18"/>
        </w:rPr>
        <w:t>, ed. E. Amt (Letchworth: Broadview Press, 2001).</w:t>
      </w:r>
    </w:p>
  </w:footnote>
  <w:footnote w:id="16">
    <w:p w:rsidR="007C6C25" w:rsidRPr="00DE1BB0" w:rsidRDefault="007C6C25">
      <w:pPr>
        <w:pStyle w:val="FootnoteText"/>
      </w:pPr>
      <w:r w:rsidRPr="00DE1BB0">
        <w:rPr>
          <w:rStyle w:val="FootnoteReference"/>
          <w:sz w:val="18"/>
        </w:rPr>
        <w:footnoteRef/>
      </w:r>
      <w:r w:rsidRPr="00DE1BB0">
        <w:rPr>
          <w:sz w:val="18"/>
        </w:rPr>
        <w:t xml:space="preserve"> Mason, </w:t>
      </w:r>
      <w:r w:rsidRPr="00DE1BB0">
        <w:rPr>
          <w:i/>
          <w:sz w:val="18"/>
        </w:rPr>
        <w:t>Norman Kingship</w:t>
      </w:r>
      <w:r w:rsidRPr="00DE1BB0">
        <w:rPr>
          <w:sz w:val="18"/>
        </w:rPr>
        <w:t xml:space="preserve">, p.23. </w:t>
      </w:r>
    </w:p>
  </w:footnote>
  <w:footnote w:id="17">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Hollister, </w:t>
      </w:r>
      <w:r w:rsidRPr="00483633">
        <w:rPr>
          <w:i/>
          <w:sz w:val="18"/>
          <w:szCs w:val="18"/>
        </w:rPr>
        <w:t>Henry I</w:t>
      </w:r>
      <w:r w:rsidRPr="00483633">
        <w:rPr>
          <w:sz w:val="18"/>
          <w:szCs w:val="18"/>
        </w:rPr>
        <w:t>, p.127.</w:t>
      </w:r>
    </w:p>
  </w:footnote>
  <w:footnote w:id="18">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H. M. Thomas, </w:t>
      </w:r>
      <w:proofErr w:type="gramStart"/>
      <w:r w:rsidRPr="00483633">
        <w:rPr>
          <w:i/>
          <w:sz w:val="18"/>
          <w:szCs w:val="18"/>
        </w:rPr>
        <w:t>The</w:t>
      </w:r>
      <w:proofErr w:type="gramEnd"/>
      <w:r w:rsidRPr="00483633">
        <w:rPr>
          <w:i/>
          <w:sz w:val="18"/>
          <w:szCs w:val="18"/>
        </w:rPr>
        <w:t xml:space="preserve"> Norman Conquest: England after William the Conqueror</w:t>
      </w:r>
      <w:r w:rsidRPr="00483633">
        <w:rPr>
          <w:sz w:val="18"/>
          <w:szCs w:val="18"/>
        </w:rPr>
        <w:t xml:space="preserve"> (Plymouth: Rowman and Littlefield Publishers Inc., 2008). p.108.</w:t>
      </w:r>
    </w:p>
  </w:footnote>
  <w:footnote w:id="19">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Michael Wood, The Norman Yoke: Symbol or Reality</w:t>
      </w:r>
      <w:proofErr w:type="gramStart"/>
      <w:r w:rsidRPr="00483633">
        <w:rPr>
          <w:sz w:val="18"/>
          <w:szCs w:val="18"/>
        </w:rPr>
        <w:t>?,</w:t>
      </w:r>
      <w:proofErr w:type="gramEnd"/>
      <w:r w:rsidRPr="00483633">
        <w:rPr>
          <w:sz w:val="18"/>
          <w:szCs w:val="18"/>
        </w:rPr>
        <w:t xml:space="preserve"> BBC, Available from http://www.bbc.co.uk/history/trail/conquest/norman/william_the_conqueror_01.shtml, Accessed on [11/03/2018].</w:t>
      </w:r>
    </w:p>
  </w:footnote>
  <w:footnote w:id="20">
    <w:p w:rsidR="007C6C25" w:rsidRPr="00483633" w:rsidRDefault="007C6C25">
      <w:pPr>
        <w:pStyle w:val="FootnoteText"/>
        <w:rPr>
          <w:sz w:val="18"/>
          <w:szCs w:val="18"/>
        </w:rPr>
      </w:pPr>
      <w:r w:rsidRPr="00483633">
        <w:rPr>
          <w:rStyle w:val="FootnoteReference"/>
          <w:sz w:val="18"/>
          <w:szCs w:val="18"/>
        </w:rPr>
        <w:footnoteRef/>
      </w:r>
      <w:r w:rsidRPr="00483633">
        <w:rPr>
          <w:sz w:val="18"/>
          <w:szCs w:val="18"/>
        </w:rPr>
        <w:t xml:space="preserve"> </w:t>
      </w:r>
      <w:r w:rsidRPr="00483633">
        <w:rPr>
          <w:b/>
          <w:sz w:val="18"/>
          <w:szCs w:val="18"/>
        </w:rPr>
        <w:t xml:space="preserve"> </w:t>
      </w:r>
      <w:r w:rsidRPr="00483633">
        <w:rPr>
          <w:sz w:val="18"/>
          <w:szCs w:val="18"/>
        </w:rPr>
        <w:t xml:space="preserve">Hollister, </w:t>
      </w:r>
      <w:r w:rsidRPr="00483633">
        <w:rPr>
          <w:i/>
          <w:sz w:val="18"/>
          <w:szCs w:val="18"/>
        </w:rPr>
        <w:t>Henry I</w:t>
      </w:r>
      <w:r w:rsidRPr="00483633">
        <w:rPr>
          <w:sz w:val="18"/>
          <w:szCs w:val="18"/>
        </w:rPr>
        <w:t>, p.127.</w:t>
      </w:r>
    </w:p>
  </w:footnote>
  <w:footnote w:id="21">
    <w:p w:rsidR="007C6C25" w:rsidRPr="00483633" w:rsidRDefault="007C6C25">
      <w:pPr>
        <w:pStyle w:val="FootnoteText"/>
        <w:rPr>
          <w:b/>
          <w:sz w:val="18"/>
          <w:szCs w:val="18"/>
        </w:rPr>
      </w:pPr>
      <w:r w:rsidRPr="00483633">
        <w:rPr>
          <w:rStyle w:val="FootnoteReference"/>
          <w:sz w:val="18"/>
          <w:szCs w:val="18"/>
        </w:rPr>
        <w:footnoteRef/>
      </w:r>
      <w:r w:rsidRPr="00483633">
        <w:rPr>
          <w:sz w:val="18"/>
          <w:szCs w:val="18"/>
        </w:rPr>
        <w:t xml:space="preserve"> Huscroft, </w:t>
      </w:r>
      <w:r w:rsidRPr="00483633">
        <w:rPr>
          <w:i/>
          <w:sz w:val="18"/>
          <w:szCs w:val="18"/>
        </w:rPr>
        <w:t>Ruling England, p.68.</w:t>
      </w:r>
      <w:r w:rsidRPr="00483633">
        <w:rPr>
          <w:b/>
          <w:sz w:val="18"/>
          <w:szCs w:val="18"/>
        </w:rPr>
        <w:t xml:space="preserve"> </w:t>
      </w:r>
    </w:p>
  </w:footnote>
  <w:footnote w:id="22">
    <w:p w:rsidR="007C6C25" w:rsidRPr="00483633" w:rsidRDefault="007C6C25">
      <w:pPr>
        <w:pStyle w:val="FootnoteText"/>
      </w:pPr>
      <w:r w:rsidRPr="00483633">
        <w:rPr>
          <w:rStyle w:val="FootnoteReference"/>
          <w:sz w:val="18"/>
          <w:szCs w:val="18"/>
        </w:rPr>
        <w:footnoteRef/>
      </w:r>
      <w:r w:rsidRPr="00483633">
        <w:rPr>
          <w:sz w:val="18"/>
          <w:szCs w:val="18"/>
        </w:rPr>
        <w:t xml:space="preserve"> Hollister, </w:t>
      </w:r>
      <w:r w:rsidRPr="00483633">
        <w:rPr>
          <w:i/>
          <w:sz w:val="18"/>
          <w:szCs w:val="18"/>
        </w:rPr>
        <w:t>Henry I</w:t>
      </w:r>
      <w:r w:rsidRPr="00483633">
        <w:rPr>
          <w:sz w:val="18"/>
          <w:szCs w:val="18"/>
        </w:rPr>
        <w:t>, p.473.</w:t>
      </w:r>
    </w:p>
  </w:footnote>
  <w:footnote w:id="23">
    <w:p w:rsidR="007C6C25" w:rsidRDefault="007C6C25">
      <w:pPr>
        <w:pStyle w:val="FootnoteText"/>
      </w:pPr>
      <w:r w:rsidRPr="009B1BB7">
        <w:rPr>
          <w:rStyle w:val="FootnoteReference"/>
          <w:sz w:val="18"/>
        </w:rPr>
        <w:footnoteRef/>
      </w:r>
      <w:r w:rsidRPr="009B1BB7">
        <w:rPr>
          <w:sz w:val="18"/>
        </w:rPr>
        <w:t xml:space="preserve"> </w:t>
      </w:r>
      <w:r>
        <w:rPr>
          <w:i/>
          <w:sz w:val="18"/>
        </w:rPr>
        <w:t xml:space="preserve">Henry I: Grant of Tax Liberties in </w:t>
      </w:r>
      <w:r w:rsidRPr="009B1BB7">
        <w:rPr>
          <w:sz w:val="18"/>
        </w:rPr>
        <w:t>London</w:t>
      </w:r>
      <w:r>
        <w:rPr>
          <w:sz w:val="18"/>
        </w:rPr>
        <w:t xml:space="preserve">, </w:t>
      </w:r>
      <w:r w:rsidRPr="009B1BB7">
        <w:rPr>
          <w:sz w:val="18"/>
        </w:rPr>
        <w:t xml:space="preserve">Benjamin Thorpe, ed., </w:t>
      </w:r>
      <w:r w:rsidRPr="009B1BB7">
        <w:rPr>
          <w:i/>
          <w:iCs/>
          <w:sz w:val="18"/>
        </w:rPr>
        <w:t>Ancient Laws and Institutes of England</w:t>
      </w:r>
      <w:r w:rsidRPr="009B1BB7">
        <w:rPr>
          <w:sz w:val="18"/>
        </w:rPr>
        <w:t xml:space="preserve">, (London: Eyre &amp; Spotswood, 1840), p. 497; reprinted in Roy C. Cave &amp; Herbert H. Coulson, </w:t>
      </w:r>
      <w:r w:rsidRPr="009B1BB7">
        <w:rPr>
          <w:i/>
          <w:iCs/>
          <w:sz w:val="18"/>
        </w:rPr>
        <w:t xml:space="preserve">A Source Book for Medieval Economic History, </w:t>
      </w:r>
      <w:r w:rsidRPr="009B1BB7">
        <w:rPr>
          <w:sz w:val="18"/>
        </w:rPr>
        <w:t>(Milwaukee: The Bruce Publishing Co., 1936; reprint ed., New York: Biblo &amp; Tannen, 1965), pp. 366-368.</w:t>
      </w:r>
    </w:p>
  </w:footnote>
  <w:footnote w:id="24">
    <w:p w:rsidR="007C6C25" w:rsidRPr="00B0538B" w:rsidRDefault="007C6C25">
      <w:pPr>
        <w:pStyle w:val="FootnoteText"/>
        <w:rPr>
          <w:sz w:val="18"/>
        </w:rPr>
      </w:pPr>
      <w:r w:rsidRPr="00B0538B">
        <w:rPr>
          <w:rStyle w:val="FootnoteReference"/>
          <w:sz w:val="18"/>
        </w:rPr>
        <w:footnoteRef/>
      </w:r>
      <w:r w:rsidRPr="00B0538B">
        <w:rPr>
          <w:sz w:val="18"/>
        </w:rPr>
        <w:t xml:space="preserve"> Hollister, </w:t>
      </w:r>
      <w:r w:rsidRPr="00B0538B">
        <w:rPr>
          <w:i/>
          <w:sz w:val="18"/>
        </w:rPr>
        <w:t>Henry I</w:t>
      </w:r>
      <w:r>
        <w:rPr>
          <w:sz w:val="18"/>
        </w:rPr>
        <w:t>,</w:t>
      </w:r>
      <w:r w:rsidRPr="00B0538B">
        <w:rPr>
          <w:sz w:val="18"/>
        </w:rPr>
        <w:t xml:space="preserve"> </w:t>
      </w:r>
      <w:r>
        <w:rPr>
          <w:sz w:val="18"/>
        </w:rPr>
        <w:t>p.349.</w:t>
      </w:r>
    </w:p>
  </w:footnote>
  <w:footnote w:id="25">
    <w:p w:rsidR="007C6C25" w:rsidRPr="000F2EB4" w:rsidRDefault="007C6C25">
      <w:pPr>
        <w:pStyle w:val="FootnoteText"/>
        <w:rPr>
          <w:sz w:val="18"/>
          <w:szCs w:val="18"/>
        </w:rPr>
      </w:pPr>
      <w:r w:rsidRPr="001D1014">
        <w:rPr>
          <w:rStyle w:val="FootnoteReference"/>
          <w:sz w:val="18"/>
          <w:szCs w:val="18"/>
        </w:rPr>
        <w:footnoteRef/>
      </w:r>
      <w:r w:rsidRPr="001D1014">
        <w:rPr>
          <w:sz w:val="18"/>
          <w:szCs w:val="18"/>
        </w:rPr>
        <w:t xml:space="preserve"> BBC, Henry I, BBC, Available from http://www.bbc.co.uk/history/historic_figures/henry_i_king.shtml, Accessed on [03/03/2018].</w:t>
      </w:r>
    </w:p>
  </w:footnote>
  <w:footnote w:id="26">
    <w:p w:rsidR="007C6C25" w:rsidRPr="009347ED" w:rsidRDefault="007C6C25" w:rsidP="006021F6">
      <w:pPr>
        <w:pStyle w:val="FootnoteText"/>
        <w:rPr>
          <w:sz w:val="18"/>
        </w:rPr>
      </w:pPr>
      <w:r w:rsidRPr="000F2EB4">
        <w:rPr>
          <w:rStyle w:val="FootnoteReference"/>
          <w:sz w:val="18"/>
        </w:rPr>
        <w:footnoteRef/>
      </w:r>
      <w:r w:rsidRPr="000F2EB4">
        <w:rPr>
          <w:sz w:val="18"/>
        </w:rPr>
        <w:t xml:space="preserve"> Britannica, Curia Regis, Britannica, Available from https://www.britannica.com/topic/curia-medieval-European-court, Accessed on [07/03/2018].</w:t>
      </w:r>
    </w:p>
  </w:footnote>
  <w:footnote w:id="27">
    <w:p w:rsidR="007C6C25" w:rsidRPr="009347ED" w:rsidRDefault="007C6C25">
      <w:pPr>
        <w:pStyle w:val="FootnoteText"/>
      </w:pPr>
      <w:r w:rsidRPr="009347ED">
        <w:rPr>
          <w:rStyle w:val="FootnoteReference"/>
          <w:sz w:val="18"/>
        </w:rPr>
        <w:footnoteRef/>
      </w:r>
      <w:r w:rsidRPr="009347ED">
        <w:rPr>
          <w:sz w:val="18"/>
        </w:rPr>
        <w:t xml:space="preserve"> Hollister, </w:t>
      </w:r>
      <w:r w:rsidRPr="009347ED">
        <w:rPr>
          <w:i/>
          <w:sz w:val="18"/>
        </w:rPr>
        <w:t xml:space="preserve">Henry I, </w:t>
      </w:r>
      <w:r w:rsidRPr="009347ED">
        <w:rPr>
          <w:sz w:val="18"/>
        </w:rPr>
        <w:t>p.100.</w:t>
      </w:r>
    </w:p>
  </w:footnote>
  <w:footnote w:id="28">
    <w:p w:rsidR="007C6C25" w:rsidRPr="008F23D3" w:rsidRDefault="007C6C25">
      <w:pPr>
        <w:pStyle w:val="FootnoteText"/>
        <w:rPr>
          <w:sz w:val="18"/>
        </w:rPr>
      </w:pPr>
      <w:r w:rsidRPr="00144EEE">
        <w:rPr>
          <w:rStyle w:val="FootnoteReference"/>
          <w:sz w:val="18"/>
        </w:rPr>
        <w:footnoteRef/>
      </w:r>
      <w:r w:rsidRPr="00144EEE">
        <w:rPr>
          <w:sz w:val="18"/>
        </w:rPr>
        <w:t xml:space="preserve"> Britannica, Curia Regis, Britannica, Available from https://www.britannica.com/topic/curia-medieval-European-court, Accessed on [07/03/2018].</w:t>
      </w:r>
    </w:p>
  </w:footnote>
  <w:footnote w:id="29">
    <w:p w:rsidR="007C6C25" w:rsidRPr="008F23D3" w:rsidRDefault="007C6C25">
      <w:pPr>
        <w:pStyle w:val="FootnoteText"/>
      </w:pPr>
      <w:r w:rsidRPr="008F23D3">
        <w:rPr>
          <w:rStyle w:val="FootnoteReference"/>
          <w:sz w:val="18"/>
        </w:rPr>
        <w:footnoteRef/>
      </w:r>
      <w:r w:rsidRPr="008F23D3">
        <w:rPr>
          <w:sz w:val="18"/>
        </w:rPr>
        <w:t xml:space="preserve"> Hollister, </w:t>
      </w:r>
      <w:r w:rsidRPr="008F23D3">
        <w:rPr>
          <w:i/>
          <w:sz w:val="18"/>
        </w:rPr>
        <w:t>Henry I</w:t>
      </w:r>
      <w:r w:rsidRPr="008F23D3">
        <w:rPr>
          <w:sz w:val="18"/>
        </w:rPr>
        <w:t>, p.1.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DE70F1"/>
    <w:multiLevelType w:val="hybridMultilevel"/>
    <w:tmpl w:val="551EB2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EF602D"/>
    <w:multiLevelType w:val="hybridMultilevel"/>
    <w:tmpl w:val="7C4009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1E4"/>
    <w:rsid w:val="000165D5"/>
    <w:rsid w:val="000323AE"/>
    <w:rsid w:val="0003697C"/>
    <w:rsid w:val="00076C61"/>
    <w:rsid w:val="00085CB9"/>
    <w:rsid w:val="000935AE"/>
    <w:rsid w:val="000A104C"/>
    <w:rsid w:val="000B03C6"/>
    <w:rsid w:val="000B4C04"/>
    <w:rsid w:val="000C3909"/>
    <w:rsid w:val="000C6E85"/>
    <w:rsid w:val="000D4E65"/>
    <w:rsid w:val="000F2EB4"/>
    <w:rsid w:val="001072AD"/>
    <w:rsid w:val="001142E7"/>
    <w:rsid w:val="00120FFC"/>
    <w:rsid w:val="00125252"/>
    <w:rsid w:val="0014460C"/>
    <w:rsid w:val="00144E2D"/>
    <w:rsid w:val="00144EEE"/>
    <w:rsid w:val="00146B1F"/>
    <w:rsid w:val="00151543"/>
    <w:rsid w:val="00176989"/>
    <w:rsid w:val="00184789"/>
    <w:rsid w:val="00190F6D"/>
    <w:rsid w:val="00193E23"/>
    <w:rsid w:val="001D1014"/>
    <w:rsid w:val="001E64D2"/>
    <w:rsid w:val="001F1C57"/>
    <w:rsid w:val="001F1D98"/>
    <w:rsid w:val="0020245F"/>
    <w:rsid w:val="00227F81"/>
    <w:rsid w:val="00236DF2"/>
    <w:rsid w:val="002537E6"/>
    <w:rsid w:val="0027295C"/>
    <w:rsid w:val="00282E81"/>
    <w:rsid w:val="00284316"/>
    <w:rsid w:val="00295C3B"/>
    <w:rsid w:val="002A14D4"/>
    <w:rsid w:val="002A57CB"/>
    <w:rsid w:val="002A5B27"/>
    <w:rsid w:val="002C29FE"/>
    <w:rsid w:val="002C7D53"/>
    <w:rsid w:val="002F3936"/>
    <w:rsid w:val="00300DEE"/>
    <w:rsid w:val="003103F9"/>
    <w:rsid w:val="00325115"/>
    <w:rsid w:val="00330F98"/>
    <w:rsid w:val="003348FA"/>
    <w:rsid w:val="00334A58"/>
    <w:rsid w:val="00337F8B"/>
    <w:rsid w:val="003402E0"/>
    <w:rsid w:val="00352D67"/>
    <w:rsid w:val="003544F9"/>
    <w:rsid w:val="00355E5B"/>
    <w:rsid w:val="003611D5"/>
    <w:rsid w:val="00373BE1"/>
    <w:rsid w:val="00385880"/>
    <w:rsid w:val="0039094D"/>
    <w:rsid w:val="003969E8"/>
    <w:rsid w:val="003A08D3"/>
    <w:rsid w:val="003A6BAB"/>
    <w:rsid w:val="003E25DF"/>
    <w:rsid w:val="0040225E"/>
    <w:rsid w:val="0040371C"/>
    <w:rsid w:val="00404635"/>
    <w:rsid w:val="00411AA3"/>
    <w:rsid w:val="00422A02"/>
    <w:rsid w:val="00424AD8"/>
    <w:rsid w:val="004259C1"/>
    <w:rsid w:val="0044159F"/>
    <w:rsid w:val="00443A80"/>
    <w:rsid w:val="00446848"/>
    <w:rsid w:val="0045237B"/>
    <w:rsid w:val="00455515"/>
    <w:rsid w:val="00456165"/>
    <w:rsid w:val="00483219"/>
    <w:rsid w:val="00483633"/>
    <w:rsid w:val="004C1FA4"/>
    <w:rsid w:val="004C6E21"/>
    <w:rsid w:val="004D1337"/>
    <w:rsid w:val="004F22EC"/>
    <w:rsid w:val="00501105"/>
    <w:rsid w:val="0051139C"/>
    <w:rsid w:val="00513F4C"/>
    <w:rsid w:val="00531C48"/>
    <w:rsid w:val="00533D0E"/>
    <w:rsid w:val="00537AE9"/>
    <w:rsid w:val="005524F9"/>
    <w:rsid w:val="005574B2"/>
    <w:rsid w:val="00570946"/>
    <w:rsid w:val="00584FE6"/>
    <w:rsid w:val="00593C94"/>
    <w:rsid w:val="005C0FCF"/>
    <w:rsid w:val="005C263F"/>
    <w:rsid w:val="005C42D0"/>
    <w:rsid w:val="005D255E"/>
    <w:rsid w:val="005F6132"/>
    <w:rsid w:val="006021F6"/>
    <w:rsid w:val="006038C8"/>
    <w:rsid w:val="00605B2D"/>
    <w:rsid w:val="006171DA"/>
    <w:rsid w:val="006305AE"/>
    <w:rsid w:val="0063070D"/>
    <w:rsid w:val="006434A1"/>
    <w:rsid w:val="00657378"/>
    <w:rsid w:val="00661F65"/>
    <w:rsid w:val="006B3F27"/>
    <w:rsid w:val="006D2B61"/>
    <w:rsid w:val="006E574D"/>
    <w:rsid w:val="006F370A"/>
    <w:rsid w:val="006F681B"/>
    <w:rsid w:val="00705C79"/>
    <w:rsid w:val="00711747"/>
    <w:rsid w:val="0071430F"/>
    <w:rsid w:val="00714340"/>
    <w:rsid w:val="00731C8E"/>
    <w:rsid w:val="00734772"/>
    <w:rsid w:val="0073502C"/>
    <w:rsid w:val="00735E76"/>
    <w:rsid w:val="00740EB7"/>
    <w:rsid w:val="00750441"/>
    <w:rsid w:val="00771DE5"/>
    <w:rsid w:val="00774015"/>
    <w:rsid w:val="007844BB"/>
    <w:rsid w:val="00796358"/>
    <w:rsid w:val="007A5813"/>
    <w:rsid w:val="007B59CA"/>
    <w:rsid w:val="007B7A2B"/>
    <w:rsid w:val="007C6C25"/>
    <w:rsid w:val="007D2A02"/>
    <w:rsid w:val="007D3CA4"/>
    <w:rsid w:val="007E2634"/>
    <w:rsid w:val="007E7577"/>
    <w:rsid w:val="007F0CA6"/>
    <w:rsid w:val="007F4DC6"/>
    <w:rsid w:val="00822C50"/>
    <w:rsid w:val="00841DAB"/>
    <w:rsid w:val="0085775F"/>
    <w:rsid w:val="00870038"/>
    <w:rsid w:val="008708E2"/>
    <w:rsid w:val="0087311E"/>
    <w:rsid w:val="008839E2"/>
    <w:rsid w:val="00886A72"/>
    <w:rsid w:val="008A2522"/>
    <w:rsid w:val="008A2A93"/>
    <w:rsid w:val="008B66AB"/>
    <w:rsid w:val="008B75D0"/>
    <w:rsid w:val="008C4AD8"/>
    <w:rsid w:val="008E6F55"/>
    <w:rsid w:val="008F23D3"/>
    <w:rsid w:val="008F5D55"/>
    <w:rsid w:val="008F5E2A"/>
    <w:rsid w:val="009202EC"/>
    <w:rsid w:val="00922E5A"/>
    <w:rsid w:val="00923A63"/>
    <w:rsid w:val="00927EA5"/>
    <w:rsid w:val="00927F42"/>
    <w:rsid w:val="009347ED"/>
    <w:rsid w:val="00937B9C"/>
    <w:rsid w:val="009648EA"/>
    <w:rsid w:val="00964BAB"/>
    <w:rsid w:val="00972C09"/>
    <w:rsid w:val="00976A35"/>
    <w:rsid w:val="00984A02"/>
    <w:rsid w:val="00992332"/>
    <w:rsid w:val="009B1BB7"/>
    <w:rsid w:val="009B7444"/>
    <w:rsid w:val="009E2E3B"/>
    <w:rsid w:val="00A4455A"/>
    <w:rsid w:val="00A5411D"/>
    <w:rsid w:val="00A73FED"/>
    <w:rsid w:val="00A84249"/>
    <w:rsid w:val="00A90927"/>
    <w:rsid w:val="00AA27DC"/>
    <w:rsid w:val="00AB7EBE"/>
    <w:rsid w:val="00AD2405"/>
    <w:rsid w:val="00AF34D5"/>
    <w:rsid w:val="00AF3A48"/>
    <w:rsid w:val="00AF5C10"/>
    <w:rsid w:val="00AF78C0"/>
    <w:rsid w:val="00B05157"/>
    <w:rsid w:val="00B0538B"/>
    <w:rsid w:val="00B112FB"/>
    <w:rsid w:val="00B1608B"/>
    <w:rsid w:val="00B20ABB"/>
    <w:rsid w:val="00B26C42"/>
    <w:rsid w:val="00B30CE8"/>
    <w:rsid w:val="00B417AA"/>
    <w:rsid w:val="00B4491F"/>
    <w:rsid w:val="00B46AFA"/>
    <w:rsid w:val="00B5133F"/>
    <w:rsid w:val="00B64DC7"/>
    <w:rsid w:val="00B676B7"/>
    <w:rsid w:val="00B67711"/>
    <w:rsid w:val="00B725CF"/>
    <w:rsid w:val="00B744CD"/>
    <w:rsid w:val="00B9330F"/>
    <w:rsid w:val="00B97F40"/>
    <w:rsid w:val="00BA25F6"/>
    <w:rsid w:val="00BA5082"/>
    <w:rsid w:val="00BC52EE"/>
    <w:rsid w:val="00BD37DA"/>
    <w:rsid w:val="00BE3ED7"/>
    <w:rsid w:val="00BE7ADF"/>
    <w:rsid w:val="00C00A67"/>
    <w:rsid w:val="00C013C3"/>
    <w:rsid w:val="00C207A7"/>
    <w:rsid w:val="00C22B0E"/>
    <w:rsid w:val="00C23F8F"/>
    <w:rsid w:val="00C44F1E"/>
    <w:rsid w:val="00C605D3"/>
    <w:rsid w:val="00C607A9"/>
    <w:rsid w:val="00C66F18"/>
    <w:rsid w:val="00C80233"/>
    <w:rsid w:val="00C8484E"/>
    <w:rsid w:val="00CB4B67"/>
    <w:rsid w:val="00CB5082"/>
    <w:rsid w:val="00CD05F9"/>
    <w:rsid w:val="00CD3852"/>
    <w:rsid w:val="00CD61E4"/>
    <w:rsid w:val="00D032F2"/>
    <w:rsid w:val="00D157C2"/>
    <w:rsid w:val="00D35245"/>
    <w:rsid w:val="00D3601C"/>
    <w:rsid w:val="00D4277D"/>
    <w:rsid w:val="00D650C2"/>
    <w:rsid w:val="00D657F6"/>
    <w:rsid w:val="00DA15E6"/>
    <w:rsid w:val="00DB54B4"/>
    <w:rsid w:val="00DB6139"/>
    <w:rsid w:val="00DD4A2C"/>
    <w:rsid w:val="00DD4F66"/>
    <w:rsid w:val="00DE07A2"/>
    <w:rsid w:val="00DE1BB0"/>
    <w:rsid w:val="00DE603F"/>
    <w:rsid w:val="00DE6191"/>
    <w:rsid w:val="00DE6492"/>
    <w:rsid w:val="00DF2BDB"/>
    <w:rsid w:val="00DF5767"/>
    <w:rsid w:val="00E03242"/>
    <w:rsid w:val="00E049D5"/>
    <w:rsid w:val="00E0545D"/>
    <w:rsid w:val="00E07751"/>
    <w:rsid w:val="00E11D9A"/>
    <w:rsid w:val="00E136CC"/>
    <w:rsid w:val="00E23A78"/>
    <w:rsid w:val="00E30458"/>
    <w:rsid w:val="00E50336"/>
    <w:rsid w:val="00E52FAE"/>
    <w:rsid w:val="00E54639"/>
    <w:rsid w:val="00E552A4"/>
    <w:rsid w:val="00E55BE3"/>
    <w:rsid w:val="00E64905"/>
    <w:rsid w:val="00E73363"/>
    <w:rsid w:val="00E772C4"/>
    <w:rsid w:val="00E91AF6"/>
    <w:rsid w:val="00E941ED"/>
    <w:rsid w:val="00E9584C"/>
    <w:rsid w:val="00EB1948"/>
    <w:rsid w:val="00EB54D4"/>
    <w:rsid w:val="00ED1802"/>
    <w:rsid w:val="00F037CE"/>
    <w:rsid w:val="00F20C3B"/>
    <w:rsid w:val="00F27315"/>
    <w:rsid w:val="00F327B7"/>
    <w:rsid w:val="00F3416B"/>
    <w:rsid w:val="00F51A85"/>
    <w:rsid w:val="00F52BA5"/>
    <w:rsid w:val="00F60603"/>
    <w:rsid w:val="00F767A2"/>
    <w:rsid w:val="00F77F02"/>
    <w:rsid w:val="00F93073"/>
    <w:rsid w:val="00FA40C0"/>
    <w:rsid w:val="00FA483C"/>
    <w:rsid w:val="00FA4FFE"/>
    <w:rsid w:val="00FC02BD"/>
    <w:rsid w:val="00FC18CC"/>
    <w:rsid w:val="00FE0DF9"/>
    <w:rsid w:val="00FE6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3D57286-5EB7-4562-B2FC-885DE55D9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48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48EA"/>
    <w:rPr>
      <w:sz w:val="20"/>
      <w:szCs w:val="20"/>
    </w:rPr>
  </w:style>
  <w:style w:type="character" w:styleId="FootnoteReference">
    <w:name w:val="footnote reference"/>
    <w:basedOn w:val="DefaultParagraphFont"/>
    <w:uiPriority w:val="99"/>
    <w:semiHidden/>
    <w:unhideWhenUsed/>
    <w:rsid w:val="009648EA"/>
    <w:rPr>
      <w:vertAlign w:val="superscript"/>
    </w:rPr>
  </w:style>
  <w:style w:type="paragraph" w:styleId="ListParagraph">
    <w:name w:val="List Paragraph"/>
    <w:basedOn w:val="Normal"/>
    <w:uiPriority w:val="34"/>
    <w:qFormat/>
    <w:rsid w:val="0087311E"/>
    <w:pPr>
      <w:ind w:left="720"/>
      <w:contextualSpacing/>
    </w:pPr>
  </w:style>
  <w:style w:type="character" w:styleId="Hyperlink">
    <w:name w:val="Hyperlink"/>
    <w:basedOn w:val="DefaultParagraphFont"/>
    <w:uiPriority w:val="99"/>
    <w:unhideWhenUsed/>
    <w:rsid w:val="00DD4F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A1405-BB8E-4338-8CA8-236C4FA08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4142</TotalTime>
  <Pages>7</Pages>
  <Words>2930</Words>
  <Characters>15502</Characters>
  <Application>Microsoft Office Word</Application>
  <DocSecurity>0</DocSecurity>
  <Lines>242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420</cp:revision>
  <dcterms:created xsi:type="dcterms:W3CDTF">2018-03-10T13:42:00Z</dcterms:created>
  <dcterms:modified xsi:type="dcterms:W3CDTF">2018-03-13T19:33:00Z</dcterms:modified>
</cp:coreProperties>
</file>