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EF75E2">
        <w:tc>
          <w:tcPr>
            <w:tcW w:w="10910" w:type="dxa"/>
          </w:tcPr>
          <w:p w14:paraId="02F8EE88" w14:textId="0624434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F75E2">
              <w:rPr>
                <w:rFonts w:ascii="Times New Roman" w:hAnsi="Times New Roman" w:cs="Times New Roman"/>
                <w:b/>
                <w:color w:val="auto"/>
                <w:sz w:val="48"/>
              </w:rPr>
              <w:t>Sophie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AC54A1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F75E2">
              <w:rPr>
                <w:rFonts w:ascii="Times New Roman" w:hAnsi="Times New Roman" w:cs="Times New Roman"/>
                <w:b/>
                <w:color w:val="auto"/>
                <w:sz w:val="48"/>
              </w:rPr>
              <w:t xml:space="preserve"> Sophdavies1112@gmail.com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FC036E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F75E2">
              <w:t xml:space="preserve"> </w:t>
            </w:r>
            <w:r w:rsidR="00EF75E2" w:rsidRPr="00EF75E2">
              <w:rPr>
                <w:rFonts w:ascii="Times New Roman" w:hAnsi="Times New Roman" w:cs="Times New Roman"/>
                <w:b/>
                <w:color w:val="auto"/>
                <w:sz w:val="48"/>
              </w:rPr>
              <w:t>1901883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61333F52" w14:textId="77777777" w:rsidR="00EF75E2" w:rsidRDefault="00EF75E2" w:rsidP="00FF7EBB">
            <w:pPr>
              <w:jc w:val="both"/>
              <w:rPr>
                <w:sz w:val="24"/>
                <w:szCs w:val="24"/>
              </w:rPr>
            </w:pPr>
          </w:p>
          <w:p w14:paraId="26889CDB" w14:textId="77777777" w:rsidR="00EF75E2" w:rsidRDefault="00EF75E2" w:rsidP="00EF75E2">
            <w:pPr>
              <w:jc w:val="both"/>
              <w:rPr>
                <w:sz w:val="24"/>
                <w:szCs w:val="24"/>
              </w:rPr>
            </w:pPr>
            <w:r w:rsidRPr="00EF75E2">
              <w:rPr>
                <w:sz w:val="24"/>
                <w:szCs w:val="24"/>
              </w:rPr>
              <w:t xml:space="preserve">The main legislation leading adult safeguarding in Wales is the Social Services and Well-being (Wales) Act 2014 (SSWBA 2014), most significantly part 7, which creates legal responsibility for safeguarding adults at risk of abuse or neglect. The act defines an adult at risk as an individual who is experiencing or at risk of experiencing abuse or neglect, has care needs and consequently cannot protect themselves against the abuse or neglect (Welsh Government, 2014). </w:t>
            </w:r>
          </w:p>
          <w:p w14:paraId="04290D9B" w14:textId="77777777" w:rsidR="00EF75E2" w:rsidRPr="00EF75E2" w:rsidRDefault="00EF75E2" w:rsidP="00EF75E2">
            <w:pPr>
              <w:jc w:val="both"/>
              <w:rPr>
                <w:sz w:val="24"/>
                <w:szCs w:val="24"/>
              </w:rPr>
            </w:pPr>
          </w:p>
          <w:p w14:paraId="61F64616" w14:textId="77777777" w:rsidR="00EF75E2" w:rsidRDefault="00EF75E2" w:rsidP="00EF75E2">
            <w:pPr>
              <w:jc w:val="both"/>
              <w:rPr>
                <w:sz w:val="24"/>
                <w:szCs w:val="24"/>
              </w:rPr>
            </w:pPr>
            <w:r w:rsidRPr="00EF75E2">
              <w:rPr>
                <w:sz w:val="24"/>
                <w:szCs w:val="24"/>
              </w:rPr>
              <w:t xml:space="preserve">In line with Section 126 of the SSWBA 2014, the local authority has a duty to make enquiries if they have reasonable cause to believe that an individual within the area is at risk of abuse or neglect. These enquiries should determine if action is required to protect the individual and if so, what action is required to happen. In addition, Section 128 of the act states that partners of the local authority must report if they have reasonable cause to suspect an adult is at risk. Thus, promoting multi-agency accountability and not putting the onus solely on social services (Welsh Government, 2014). </w:t>
            </w:r>
          </w:p>
          <w:p w14:paraId="12A1BA0A" w14:textId="77777777" w:rsidR="00EF75E2" w:rsidRPr="00EF75E2" w:rsidRDefault="00EF75E2" w:rsidP="00EF75E2">
            <w:pPr>
              <w:jc w:val="both"/>
              <w:rPr>
                <w:sz w:val="24"/>
                <w:szCs w:val="24"/>
              </w:rPr>
            </w:pPr>
          </w:p>
          <w:p w14:paraId="3FEBB39A" w14:textId="77777777" w:rsidR="00EF75E2" w:rsidRDefault="00EF75E2" w:rsidP="00EF75E2">
            <w:pPr>
              <w:jc w:val="both"/>
              <w:rPr>
                <w:sz w:val="24"/>
                <w:szCs w:val="24"/>
              </w:rPr>
            </w:pPr>
            <w:r w:rsidRPr="00EF75E2">
              <w:rPr>
                <w:sz w:val="24"/>
                <w:szCs w:val="24"/>
              </w:rPr>
              <w:t xml:space="preserve">Individual social care organisations must have their own safeguarding policies and procedures which reflect national legislation, the Wales Safeguarding Procedures and local agreements. These procedures should inform staff on how to respond to abuse and neglect, record concerns and report safeguarding issues whilst maintaining confidentiality. Within my organisation, in addition to doing Section 126 safeguarding enquiries, professionals in adult services also refer to the Collaborative Working and Maintaining Partnership in Adult Safeguarding (CWMPAS) Mid and West Wales Safeguarding Threshold Guidance Document. This was created to assist professionals to determine when concerns about an adult should be reported to the local authority as a safeguarding concern and advises professionals on how to manage a concern that does not meet safeguarding threshold (Mid and West Wales Safeguarding Adults Board, 2018).  </w:t>
            </w:r>
          </w:p>
          <w:p w14:paraId="58CACCD3" w14:textId="77777777" w:rsidR="00EF75E2" w:rsidRPr="00EF75E2" w:rsidRDefault="00EF75E2" w:rsidP="00EF75E2">
            <w:pPr>
              <w:jc w:val="both"/>
              <w:rPr>
                <w:sz w:val="24"/>
                <w:szCs w:val="24"/>
              </w:rPr>
            </w:pPr>
          </w:p>
          <w:p w14:paraId="5055ED37" w14:textId="77777777" w:rsidR="00EF75E2" w:rsidRDefault="00EF75E2" w:rsidP="00EF75E2">
            <w:pPr>
              <w:jc w:val="both"/>
              <w:rPr>
                <w:sz w:val="24"/>
                <w:szCs w:val="24"/>
              </w:rPr>
            </w:pPr>
            <w:r w:rsidRPr="00EF75E2">
              <w:rPr>
                <w:sz w:val="24"/>
                <w:szCs w:val="24"/>
              </w:rPr>
              <w:lastRenderedPageBreak/>
              <w:t>Nationally the SSWBA 2014 is supported by the Welsh Government’s legislative guidance Working Together to Safeguard People. The guidance is aimed at individuals, groups and organisation who provide activities or services to individuals in Wales to support them in understanding safeguarding and how they can safeguard service users (Welsh Government, 2022). Along with this the Wales Safeguarding Procedures offers a national framework intended to assist practitioners in the statutory, voluntary and private sector in health, social care and other services. The framework outlines professional’s responsibilities during the safeguarding process and aims to standardise practice across Wales (Wales Safeguarding Procedures, 2026).</w:t>
            </w:r>
          </w:p>
          <w:p w14:paraId="39D061B8" w14:textId="77777777" w:rsidR="00EF75E2" w:rsidRPr="00EF75E2" w:rsidRDefault="00EF75E2" w:rsidP="00EF75E2">
            <w:pPr>
              <w:jc w:val="both"/>
              <w:rPr>
                <w:sz w:val="24"/>
                <w:szCs w:val="24"/>
              </w:rPr>
            </w:pPr>
          </w:p>
          <w:p w14:paraId="0B7A41C2" w14:textId="77777777" w:rsidR="00EF75E2" w:rsidRPr="00EF75E2" w:rsidRDefault="00EF75E2" w:rsidP="00EF75E2">
            <w:pPr>
              <w:jc w:val="both"/>
              <w:rPr>
                <w:sz w:val="24"/>
                <w:szCs w:val="24"/>
              </w:rPr>
            </w:pPr>
            <w:r w:rsidRPr="00EF75E2">
              <w:rPr>
                <w:sz w:val="24"/>
                <w:szCs w:val="24"/>
              </w:rPr>
              <w:t xml:space="preserve">The Regional Safeguarding Boards works under Part 7 of the SSWBA 2014. The framework allows the Regional Safeguarding Boards to achieve their legislative responsibilities under the SSWBA 2014. The Safeguarding Boards develop procedures and implement standards in regional safeguarding policies and processes. The Boards also reinforce how standards should be used in training, learning and development and are responsible for identifying appropriate and qualified trainers to provide the learning programmes (Social Care Wales, 2025). As a result, local authorities have safeguarding procedures that put national legislation into procedures which are appropriate for each locality including processes for reporting safeguarding concerns, sharing information and decision making.       </w:t>
            </w:r>
          </w:p>
          <w:p w14:paraId="13C6F3DF" w14:textId="77777777" w:rsidR="00EF75E2" w:rsidRDefault="00EF75E2" w:rsidP="00EF75E2">
            <w:pPr>
              <w:jc w:val="both"/>
              <w:rPr>
                <w:sz w:val="24"/>
                <w:szCs w:val="24"/>
              </w:rPr>
            </w:pPr>
          </w:p>
          <w:p w14:paraId="57ADCF59" w14:textId="0A41A797" w:rsidR="00EF75E2" w:rsidRDefault="00EF75E2" w:rsidP="00EF75E2">
            <w:pPr>
              <w:jc w:val="both"/>
              <w:rPr>
                <w:sz w:val="24"/>
                <w:szCs w:val="24"/>
              </w:rPr>
            </w:pPr>
            <w:r w:rsidRPr="00EF75E2">
              <w:rPr>
                <w:sz w:val="24"/>
                <w:szCs w:val="24"/>
              </w:rPr>
              <w:t>Word Count: 509</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33EF23B5" w14:textId="77777777" w:rsidR="00EF75E2" w:rsidRDefault="00EF75E2" w:rsidP="00FC0334">
            <w:pPr>
              <w:jc w:val="both"/>
              <w:rPr>
                <w:i/>
                <w:sz w:val="24"/>
                <w:szCs w:val="24"/>
              </w:rPr>
            </w:pPr>
          </w:p>
          <w:p w14:paraId="0EBA8FA4" w14:textId="77777777" w:rsidR="00EF75E2" w:rsidRDefault="00EF75E2" w:rsidP="00EF75E2">
            <w:pPr>
              <w:jc w:val="both"/>
              <w:rPr>
                <w:iCs/>
                <w:sz w:val="24"/>
                <w:szCs w:val="24"/>
              </w:rPr>
            </w:pPr>
            <w:r w:rsidRPr="00EF75E2">
              <w:rPr>
                <w:iCs/>
                <w:sz w:val="24"/>
                <w:szCs w:val="24"/>
              </w:rPr>
              <w:t xml:space="preserve">A considerable difference between safeguarding in adults and children’s services is the prominence of choice, capacity, autonomy and an individual’s ability to consent. Section 126 of SSWBA 2014 outlines that an adult at risk is someone who is experiencing or at risk of experiencing abuse or neglect, has care needs and is therefore unable to protect themselves (Welsh Government, 2014). This means that professionals need to balance safeguarding responsibilities with the </w:t>
            </w:r>
            <w:proofErr w:type="spellStart"/>
            <w:r w:rsidRPr="00EF75E2">
              <w:rPr>
                <w:iCs/>
                <w:sz w:val="24"/>
                <w:szCs w:val="24"/>
              </w:rPr>
              <w:t>individuals</w:t>
            </w:r>
            <w:proofErr w:type="spellEnd"/>
            <w:r w:rsidRPr="00EF75E2">
              <w:rPr>
                <w:iCs/>
                <w:sz w:val="24"/>
                <w:szCs w:val="24"/>
              </w:rPr>
              <w:t xml:space="preserve"> right to make decisions regarding themselves and their care. This is supported by the Mental Capacity Act (MCA) 2005 which outlines that professionals must empower individuals to make decisions and for others to make best interest decisions when an individual lacks capacity to make choices for themselves. Mental capacity is ‘decision specific’ which means that an individual may be able to make decisions about some aspects of their care but not others (Social Care Institute for excellence, </w:t>
            </w:r>
            <w:proofErr w:type="spellStart"/>
            <w:r w:rsidRPr="00EF75E2">
              <w:rPr>
                <w:iCs/>
                <w:sz w:val="24"/>
                <w:szCs w:val="24"/>
              </w:rPr>
              <w:t>n.d</w:t>
            </w:r>
            <w:proofErr w:type="spellEnd"/>
            <w:r w:rsidRPr="00EF75E2">
              <w:rPr>
                <w:iCs/>
                <w:sz w:val="24"/>
                <w:szCs w:val="24"/>
              </w:rPr>
              <w:t xml:space="preserve">).  </w:t>
            </w:r>
          </w:p>
          <w:p w14:paraId="47B05950" w14:textId="77777777" w:rsidR="00EF75E2" w:rsidRPr="00EF75E2" w:rsidRDefault="00EF75E2" w:rsidP="00EF75E2">
            <w:pPr>
              <w:jc w:val="both"/>
              <w:rPr>
                <w:iCs/>
                <w:sz w:val="24"/>
                <w:szCs w:val="24"/>
              </w:rPr>
            </w:pPr>
          </w:p>
          <w:p w14:paraId="262534F6" w14:textId="77777777" w:rsidR="00EF75E2" w:rsidRPr="00EF75E2" w:rsidRDefault="00EF75E2" w:rsidP="00EF75E2">
            <w:pPr>
              <w:jc w:val="both"/>
              <w:rPr>
                <w:iCs/>
                <w:sz w:val="24"/>
                <w:szCs w:val="24"/>
              </w:rPr>
            </w:pPr>
            <w:r w:rsidRPr="00EF75E2">
              <w:rPr>
                <w:iCs/>
                <w:sz w:val="24"/>
                <w:szCs w:val="24"/>
              </w:rPr>
              <w:t xml:space="preserve">In line with the principles of the MCA 2005, an adult should not be deemed unable to make a decision just because they have made unwise decisions. Consequently, professionals need to balance safeguarding the individual alongside the </w:t>
            </w:r>
            <w:proofErr w:type="spellStart"/>
            <w:r w:rsidRPr="00EF75E2">
              <w:rPr>
                <w:iCs/>
                <w:sz w:val="24"/>
                <w:szCs w:val="24"/>
              </w:rPr>
              <w:t>persons</w:t>
            </w:r>
            <w:proofErr w:type="spellEnd"/>
            <w:r w:rsidRPr="00EF75E2">
              <w:rPr>
                <w:iCs/>
                <w:sz w:val="24"/>
                <w:szCs w:val="24"/>
              </w:rPr>
              <w:t xml:space="preserve"> right to make their own choices including choices which others might consider to be risky. In practice this can be difficult for </w:t>
            </w:r>
            <w:r w:rsidRPr="00EF75E2">
              <w:rPr>
                <w:iCs/>
                <w:sz w:val="24"/>
                <w:szCs w:val="24"/>
              </w:rPr>
              <w:lastRenderedPageBreak/>
              <w:t>professionals as safeguarding an individual doesn’t necessarily mean eliminating all risk. Therefore, professionals working with adults need to consider the individual’s mental capacity, wishes, circumstances and what they are hoping to achieve (Welsh Government, 2005).</w:t>
            </w:r>
          </w:p>
          <w:p w14:paraId="7C6D858C" w14:textId="77777777" w:rsidR="00EF75E2" w:rsidRPr="00EF75E2" w:rsidRDefault="00EF75E2" w:rsidP="00EF75E2">
            <w:pPr>
              <w:jc w:val="both"/>
              <w:rPr>
                <w:iCs/>
                <w:sz w:val="24"/>
                <w:szCs w:val="24"/>
              </w:rPr>
            </w:pPr>
          </w:p>
          <w:p w14:paraId="10A9574E" w14:textId="77777777" w:rsidR="00EF75E2" w:rsidRPr="00EF75E2" w:rsidRDefault="00EF75E2" w:rsidP="00EF75E2">
            <w:pPr>
              <w:jc w:val="both"/>
              <w:rPr>
                <w:iCs/>
                <w:sz w:val="24"/>
                <w:szCs w:val="24"/>
              </w:rPr>
            </w:pPr>
            <w:r w:rsidRPr="00EF75E2">
              <w:rPr>
                <w:iCs/>
                <w:sz w:val="24"/>
                <w:szCs w:val="24"/>
              </w:rPr>
              <w:t xml:space="preserve">In contrast, although gaining the wishes and feelings of a child whilst safeguarding them is significant, it is the responsibility of adults to protect a child from harm and abuse as a child cannot always do this themselves. Consequently, professionals may have to act even when this conflicts with the child or their parent’s wishes and is supported to do so by legislation such as the Children Act 1989 (Welsh Government, 1989). </w:t>
            </w:r>
          </w:p>
          <w:p w14:paraId="05074FE3" w14:textId="77777777" w:rsidR="00EF75E2" w:rsidRDefault="00EF75E2" w:rsidP="00EF75E2">
            <w:pPr>
              <w:jc w:val="both"/>
              <w:rPr>
                <w:iCs/>
                <w:sz w:val="24"/>
                <w:szCs w:val="24"/>
              </w:rPr>
            </w:pPr>
          </w:p>
          <w:p w14:paraId="4B870029" w14:textId="535F2B27" w:rsidR="00EF75E2" w:rsidRPr="00EF75E2" w:rsidRDefault="00EF75E2" w:rsidP="00EF75E2">
            <w:pPr>
              <w:jc w:val="both"/>
              <w:rPr>
                <w:iCs/>
                <w:sz w:val="24"/>
                <w:szCs w:val="24"/>
              </w:rPr>
            </w:pPr>
            <w:r w:rsidRPr="00EF75E2">
              <w:rPr>
                <w:iCs/>
                <w:sz w:val="24"/>
                <w:szCs w:val="24"/>
              </w:rPr>
              <w:t xml:space="preserve">Reflecting on these differences highlights that I will need to adapt my practice depending on the individual I am supporting. In children’s services, my focus is more on protecting the welfare of the child and reducing the risk of them experiencing harm whereas if I were working in adult services, I would be required to consider the individuals consent, mental capacity as well as the benefits of taking positive risks. However, a social worker in both adult and children’s services is required to use professional judgement, person centred practice and following legislation and procedures. </w:t>
            </w:r>
          </w:p>
          <w:p w14:paraId="33BF6D16" w14:textId="77777777" w:rsidR="00EF75E2" w:rsidRDefault="00EF75E2" w:rsidP="00EF75E2">
            <w:pPr>
              <w:jc w:val="both"/>
              <w:rPr>
                <w:iCs/>
                <w:sz w:val="24"/>
                <w:szCs w:val="24"/>
              </w:rPr>
            </w:pPr>
          </w:p>
          <w:p w14:paraId="54085921" w14:textId="04906D58" w:rsidR="00EF75E2" w:rsidRPr="00EF75E2" w:rsidRDefault="00EF75E2" w:rsidP="00EF75E2">
            <w:pPr>
              <w:jc w:val="both"/>
              <w:rPr>
                <w:iCs/>
                <w:sz w:val="24"/>
                <w:szCs w:val="24"/>
              </w:rPr>
            </w:pPr>
            <w:r w:rsidRPr="00EF75E2">
              <w:rPr>
                <w:iCs/>
                <w:sz w:val="24"/>
                <w:szCs w:val="24"/>
              </w:rPr>
              <w:t>Word Count: 411</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E2FD5" w14:textId="77777777" w:rsidR="00E821A1" w:rsidRDefault="00E821A1">
      <w:r>
        <w:separator/>
      </w:r>
    </w:p>
  </w:endnote>
  <w:endnote w:type="continuationSeparator" w:id="0">
    <w:p w14:paraId="3BC5FBAB" w14:textId="77777777" w:rsidR="00E821A1" w:rsidRDefault="00E821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48119" w14:textId="77777777" w:rsidR="00E821A1" w:rsidRDefault="00E821A1">
      <w:r>
        <w:separator/>
      </w:r>
    </w:p>
  </w:footnote>
  <w:footnote w:type="continuationSeparator" w:id="0">
    <w:p w14:paraId="6E56967B" w14:textId="77777777" w:rsidR="00E821A1" w:rsidRDefault="00E821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3D"/>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21A1"/>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EF75E2"/>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1123</Words>
  <Characters>6407</Characters>
  <Application>Microsoft Office Word</Application>
  <DocSecurity>4</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Sophie</cp:lastModifiedBy>
  <cp:revision>2</cp:revision>
  <cp:lastPrinted>2020-02-11T19:20:00Z</cp:lastPrinted>
  <dcterms:created xsi:type="dcterms:W3CDTF">2026-09-29T19:20:00Z</dcterms:created>
  <dcterms:modified xsi:type="dcterms:W3CDTF">2026-09-29T19:20:00Z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