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9DF" w:rsidRDefault="006A300A" w:rsidP="000849DF">
      <w:pPr>
        <w:rPr>
          <w:rFonts w:cs="Arial"/>
          <w:color w:val="58595B"/>
          <w:sz w:val="36"/>
          <w:szCs w:val="36"/>
        </w:rPr>
      </w:pPr>
      <w:r>
        <w:rPr>
          <w:rFonts w:cs="Arial"/>
          <w:color w:val="58595B"/>
          <w:sz w:val="36"/>
          <w:szCs w:val="36"/>
        </w:rPr>
        <w:t>Q</w:t>
      </w:r>
      <w:r w:rsidR="000849DF">
        <w:rPr>
          <w:rFonts w:cs="Arial"/>
          <w:color w:val="58595B"/>
          <w:sz w:val="36"/>
          <w:szCs w:val="36"/>
        </w:rPr>
        <w:t>ualification: CIPD Diploma in Applied Human Resources</w:t>
      </w:r>
    </w:p>
    <w:p w:rsidR="000849DF" w:rsidRDefault="000849DF" w:rsidP="000849DF">
      <w:pPr>
        <w:rPr>
          <w:rFonts w:cs="Arial"/>
          <w:color w:val="58595B"/>
          <w:sz w:val="36"/>
          <w:szCs w:val="36"/>
        </w:rPr>
      </w:pPr>
    </w:p>
    <w:p w:rsidR="000849DF" w:rsidRDefault="000849DF" w:rsidP="000849DF">
      <w:pPr>
        <w:rPr>
          <w:rFonts w:cs="Arial"/>
          <w:color w:val="58595B"/>
          <w:sz w:val="36"/>
          <w:szCs w:val="36"/>
        </w:rPr>
      </w:pPr>
      <w:r>
        <w:rPr>
          <w:rFonts w:cs="Arial"/>
          <w:color w:val="58595B"/>
          <w:sz w:val="36"/>
          <w:szCs w:val="36"/>
        </w:rPr>
        <w:t>Module Name: Understanding Employment Law</w:t>
      </w:r>
    </w:p>
    <w:p w:rsidR="000849DF" w:rsidRDefault="000849DF" w:rsidP="000849DF">
      <w:pPr>
        <w:rPr>
          <w:rFonts w:cs="Arial"/>
          <w:color w:val="58595B"/>
          <w:sz w:val="36"/>
          <w:szCs w:val="36"/>
        </w:rPr>
      </w:pPr>
    </w:p>
    <w:p w:rsidR="000849DF" w:rsidRDefault="000849DF" w:rsidP="000849DF">
      <w:pPr>
        <w:rPr>
          <w:rFonts w:cs="Arial"/>
          <w:color w:val="58595B"/>
          <w:sz w:val="36"/>
          <w:szCs w:val="36"/>
        </w:rPr>
      </w:pPr>
    </w:p>
    <w:p w:rsidR="000849DF" w:rsidRDefault="000849DF" w:rsidP="000849DF">
      <w:pPr>
        <w:rPr>
          <w:rFonts w:cs="Arial"/>
          <w:color w:val="58595B"/>
          <w:sz w:val="36"/>
          <w:szCs w:val="36"/>
        </w:rPr>
      </w:pPr>
      <w:r>
        <w:rPr>
          <w:rFonts w:cs="Arial"/>
          <w:color w:val="58595B"/>
          <w:sz w:val="36"/>
          <w:szCs w:val="36"/>
        </w:rPr>
        <w:t>Student Name: Wendy Roach</w:t>
      </w:r>
    </w:p>
    <w:p w:rsidR="000849DF" w:rsidRDefault="000849DF" w:rsidP="000849DF">
      <w:pPr>
        <w:rPr>
          <w:rFonts w:cs="Arial"/>
          <w:color w:val="58595B"/>
          <w:sz w:val="36"/>
          <w:szCs w:val="36"/>
        </w:rPr>
      </w:pPr>
      <w:r>
        <w:rPr>
          <w:rFonts w:cs="Arial"/>
          <w:color w:val="58595B"/>
          <w:sz w:val="36"/>
          <w:szCs w:val="36"/>
        </w:rPr>
        <w:t>Student Number: 2019071381</w:t>
      </w:r>
    </w:p>
    <w:p w:rsidR="000849DF" w:rsidRDefault="000849DF" w:rsidP="000849DF">
      <w:pPr>
        <w:rPr>
          <w:rFonts w:cs="Arial"/>
          <w:color w:val="58595B"/>
          <w:sz w:val="36"/>
          <w:szCs w:val="36"/>
        </w:rPr>
      </w:pPr>
      <w:r>
        <w:rPr>
          <w:rFonts w:cs="Arial"/>
          <w:color w:val="58595B"/>
          <w:sz w:val="36"/>
          <w:szCs w:val="36"/>
        </w:rPr>
        <w:t>CIPD Membership Number: 55521124</w:t>
      </w:r>
    </w:p>
    <w:p w:rsidR="000849DF" w:rsidRDefault="000849DF" w:rsidP="000849DF">
      <w:pPr>
        <w:rPr>
          <w:rFonts w:cs="Arial"/>
          <w:color w:val="58595B"/>
          <w:sz w:val="36"/>
          <w:szCs w:val="36"/>
        </w:rPr>
      </w:pPr>
    </w:p>
    <w:p w:rsidR="000849DF" w:rsidRDefault="000849DF" w:rsidP="000849DF">
      <w:pPr>
        <w:rPr>
          <w:rFonts w:cs="Arial"/>
          <w:color w:val="58595B"/>
          <w:sz w:val="36"/>
          <w:szCs w:val="36"/>
        </w:rPr>
      </w:pPr>
    </w:p>
    <w:p w:rsidR="000849DF" w:rsidRDefault="000849DF" w:rsidP="000849DF">
      <w:pPr>
        <w:rPr>
          <w:rFonts w:cs="Arial"/>
          <w:color w:val="58595B"/>
          <w:sz w:val="36"/>
          <w:szCs w:val="36"/>
        </w:rPr>
      </w:pPr>
    </w:p>
    <w:p w:rsidR="000849DF" w:rsidRDefault="000849DF" w:rsidP="000849DF">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0849DF" w:rsidRDefault="000849DF" w:rsidP="000849DF">
      <w:pPr>
        <w:rPr>
          <w:rFonts w:cs="Arial"/>
          <w:color w:val="58595B"/>
          <w:sz w:val="36"/>
          <w:szCs w:val="36"/>
        </w:rPr>
      </w:pPr>
    </w:p>
    <w:p w:rsidR="000849DF" w:rsidRDefault="000849DF" w:rsidP="000849DF">
      <w:pPr>
        <w:rPr>
          <w:rFonts w:cs="Arial"/>
          <w:color w:val="58595B"/>
          <w:sz w:val="36"/>
          <w:szCs w:val="36"/>
        </w:rPr>
      </w:pPr>
      <w:r>
        <w:rPr>
          <w:rFonts w:cs="Arial"/>
          <w:color w:val="58595B"/>
          <w:sz w:val="36"/>
          <w:szCs w:val="36"/>
        </w:rPr>
        <w:t>Signed: Wendy Roach</w:t>
      </w:r>
    </w:p>
    <w:p w:rsidR="000849DF" w:rsidRDefault="00021665" w:rsidP="000849DF">
      <w:pPr>
        <w:rPr>
          <w:rFonts w:cs="Arial"/>
          <w:color w:val="58595B"/>
          <w:sz w:val="36"/>
          <w:szCs w:val="36"/>
        </w:rPr>
      </w:pPr>
      <w:r>
        <w:rPr>
          <w:rFonts w:cs="Arial"/>
          <w:color w:val="58595B"/>
          <w:sz w:val="36"/>
          <w:szCs w:val="36"/>
        </w:rPr>
        <w:t>Date: 30th</w:t>
      </w:r>
      <w:r w:rsidR="000849DF">
        <w:rPr>
          <w:rFonts w:cs="Arial"/>
          <w:color w:val="58595B"/>
          <w:sz w:val="36"/>
          <w:szCs w:val="36"/>
        </w:rPr>
        <w:t xml:space="preserve"> April 2020</w:t>
      </w:r>
    </w:p>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Default="000849DF" w:rsidP="000849DF"/>
    <w:p w:rsidR="000849DF" w:rsidRPr="007E1BC4" w:rsidRDefault="000849DF" w:rsidP="000849DF">
      <w:pPr>
        <w:pStyle w:val="ListParagraph"/>
        <w:numPr>
          <w:ilvl w:val="0"/>
          <w:numId w:val="1"/>
        </w:numPr>
        <w:rPr>
          <w:rFonts w:cs="Arial"/>
          <w:color w:val="002060"/>
          <w:sz w:val="24"/>
          <w:szCs w:val="24"/>
          <w:u w:val="single"/>
          <w:lang w:val="en-GB"/>
        </w:rPr>
      </w:pPr>
      <w:r w:rsidRPr="007E1BC4">
        <w:rPr>
          <w:rFonts w:cs="Arial"/>
          <w:color w:val="002060"/>
          <w:sz w:val="24"/>
          <w:szCs w:val="24"/>
          <w:u w:val="single"/>
        </w:rPr>
        <w:lastRenderedPageBreak/>
        <w:t>Explain the purpose of employment law and outline the role played by the tribunal and courts system in enforcing employment law.</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i/>
          <w:color w:val="002060"/>
          <w:sz w:val="24"/>
          <w:szCs w:val="24"/>
        </w:rPr>
      </w:pPr>
      <w:r w:rsidRPr="00A813F3">
        <w:rPr>
          <w:rFonts w:cs="Arial"/>
          <w:color w:val="002060"/>
          <w:sz w:val="24"/>
          <w:szCs w:val="24"/>
        </w:rPr>
        <w:t xml:space="preserve">The simple aim behind employment law is to provide a fair approach to support both the employer and employee should a ‘disagreement’ arise which requires lawful intervention. The intention needs to be fair and consistent to both. </w:t>
      </w:r>
      <w:r w:rsidR="006A300A" w:rsidRPr="00A813F3">
        <w:rPr>
          <w:rFonts w:cs="Arial"/>
          <w:color w:val="002060"/>
          <w:sz w:val="24"/>
          <w:szCs w:val="24"/>
        </w:rPr>
        <w:t xml:space="preserve">(Daniels, 2019, p1) </w:t>
      </w:r>
      <w:r w:rsidRPr="00A813F3">
        <w:rPr>
          <w:rFonts w:cs="Arial"/>
          <w:color w:val="002060"/>
          <w:sz w:val="24"/>
          <w:szCs w:val="24"/>
        </w:rPr>
        <w:t>‘</w:t>
      </w:r>
      <w:proofErr w:type="gramStart"/>
      <w:r w:rsidRPr="00A813F3">
        <w:rPr>
          <w:rFonts w:cs="Arial"/>
          <w:i/>
          <w:color w:val="002060"/>
          <w:sz w:val="24"/>
          <w:szCs w:val="24"/>
        </w:rPr>
        <w:t>to</w:t>
      </w:r>
      <w:proofErr w:type="gramEnd"/>
      <w:r w:rsidRPr="00A813F3">
        <w:rPr>
          <w:rFonts w:cs="Arial"/>
          <w:i/>
          <w:color w:val="002060"/>
          <w:sz w:val="24"/>
          <w:szCs w:val="24"/>
        </w:rPr>
        <w:t xml:space="preserve"> regulate the relationship between the employer and employee’</w:t>
      </w:r>
      <w:r w:rsidR="00BC27CB" w:rsidRPr="00A813F3">
        <w:rPr>
          <w:rFonts w:cs="Arial"/>
          <w:i/>
          <w:color w:val="002060"/>
          <w:sz w:val="24"/>
          <w:szCs w:val="24"/>
        </w:rPr>
        <w:t>.</w:t>
      </w:r>
      <w:r w:rsidRPr="00A813F3">
        <w:rPr>
          <w:rFonts w:cs="Arial"/>
          <w:i/>
          <w:color w:val="002060"/>
          <w:sz w:val="24"/>
          <w:szCs w:val="24"/>
        </w:rPr>
        <w:t xml:space="preserve"> </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In reality this is not necessarily the case and it could be suggested that there is a strong bias toward the employer. Employment Law has increased significantly and is always changing, impacted by politics a</w:t>
      </w:r>
      <w:r w:rsidR="007E1BC4">
        <w:rPr>
          <w:rFonts w:cs="Arial"/>
          <w:color w:val="002060"/>
          <w:sz w:val="24"/>
          <w:szCs w:val="24"/>
        </w:rPr>
        <w:t>nd a</w:t>
      </w:r>
      <w:r w:rsidRPr="00A813F3">
        <w:rPr>
          <w:rFonts w:cs="Arial"/>
          <w:color w:val="002060"/>
          <w:sz w:val="24"/>
          <w:szCs w:val="24"/>
        </w:rPr>
        <w:t xml:space="preserve"> continuous increase in new legislation. </w:t>
      </w:r>
    </w:p>
    <w:p w:rsidR="000849DF" w:rsidRPr="00A813F3" w:rsidRDefault="00BB088F" w:rsidP="000849DF">
      <w:pPr>
        <w:pStyle w:val="ListParagraph"/>
        <w:ind w:left="360"/>
        <w:rPr>
          <w:rFonts w:cs="Arial"/>
          <w:color w:val="002060"/>
          <w:sz w:val="24"/>
          <w:szCs w:val="24"/>
        </w:rPr>
      </w:pPr>
      <w:r w:rsidRPr="00A813F3">
        <w:rPr>
          <w:rFonts w:cs="Arial"/>
          <w:color w:val="002060"/>
          <w:sz w:val="24"/>
          <w:szCs w:val="24"/>
        </w:rPr>
        <w:t>Daniels (2019)</w:t>
      </w:r>
      <w:r w:rsidR="000849DF" w:rsidRPr="00A813F3">
        <w:rPr>
          <w:rFonts w:cs="Arial"/>
          <w:color w:val="002060"/>
          <w:sz w:val="24"/>
          <w:szCs w:val="24"/>
        </w:rPr>
        <w:t xml:space="preserve"> highlights that for employers and HR professionals this is a demanding area</w:t>
      </w:r>
      <w:r w:rsidR="007E1BC4">
        <w:rPr>
          <w:rFonts w:cs="Arial"/>
          <w:color w:val="002060"/>
          <w:sz w:val="24"/>
          <w:szCs w:val="24"/>
        </w:rPr>
        <w:t>,</w:t>
      </w:r>
      <w:r w:rsidR="000849DF" w:rsidRPr="00A813F3">
        <w:rPr>
          <w:rFonts w:cs="Arial"/>
          <w:color w:val="002060"/>
          <w:sz w:val="24"/>
          <w:szCs w:val="24"/>
        </w:rPr>
        <w:t xml:space="preserve"> both time consuming and costly to any </w:t>
      </w:r>
      <w:proofErr w:type="spellStart"/>
      <w:r w:rsidR="000849DF" w:rsidRPr="00A813F3">
        <w:rPr>
          <w:rFonts w:cs="Arial"/>
          <w:color w:val="002060"/>
          <w:sz w:val="24"/>
          <w:szCs w:val="24"/>
        </w:rPr>
        <w:t>organisation</w:t>
      </w:r>
      <w:proofErr w:type="spellEnd"/>
      <w:r w:rsidR="000849DF" w:rsidRPr="00A813F3">
        <w:rPr>
          <w:rFonts w:cs="Arial"/>
          <w:color w:val="002060"/>
          <w:sz w:val="24"/>
          <w:szCs w:val="24"/>
        </w:rPr>
        <w:t xml:space="preserve"> or business.</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Although most employment law is in place via statutes</w:t>
      </w:r>
      <w:r w:rsidR="007E1BC4">
        <w:rPr>
          <w:rFonts w:cs="Arial"/>
          <w:color w:val="002060"/>
          <w:sz w:val="24"/>
          <w:szCs w:val="24"/>
        </w:rPr>
        <w:t xml:space="preserve"> e.g. Acts passed by Parliament,</w:t>
      </w:r>
      <w:r w:rsidRPr="00A813F3">
        <w:rPr>
          <w:rFonts w:cs="Arial"/>
          <w:color w:val="002060"/>
          <w:sz w:val="24"/>
          <w:szCs w:val="24"/>
        </w:rPr>
        <w:t xml:space="preserve"> Common Law also </w:t>
      </w:r>
      <w:r w:rsidR="0050375E" w:rsidRPr="00A813F3">
        <w:rPr>
          <w:rFonts w:cs="Arial"/>
          <w:color w:val="002060"/>
          <w:sz w:val="24"/>
          <w:szCs w:val="24"/>
        </w:rPr>
        <w:t>exists, Taylor and</w:t>
      </w:r>
      <w:r w:rsidRPr="00A813F3">
        <w:rPr>
          <w:rFonts w:cs="Arial"/>
          <w:color w:val="002060"/>
          <w:sz w:val="24"/>
          <w:szCs w:val="24"/>
        </w:rPr>
        <w:t xml:space="preserve"> Woodham</w:t>
      </w:r>
      <w:r w:rsidR="0050375E" w:rsidRPr="00A813F3">
        <w:rPr>
          <w:rFonts w:cs="Arial"/>
          <w:color w:val="002060"/>
          <w:sz w:val="24"/>
          <w:szCs w:val="24"/>
        </w:rPr>
        <w:t xml:space="preserve"> (2016)</w:t>
      </w:r>
      <w:r w:rsidRPr="00A813F3">
        <w:rPr>
          <w:rFonts w:cs="Arial"/>
          <w:color w:val="002060"/>
          <w:sz w:val="24"/>
          <w:szCs w:val="24"/>
        </w:rPr>
        <w:t xml:space="preserve"> remark that this is often a process of setting a precedent and has morphed over time.</w:t>
      </w:r>
    </w:p>
    <w:p w:rsidR="000849DF" w:rsidRPr="00A813F3" w:rsidRDefault="000849DF" w:rsidP="000849DF">
      <w:pPr>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To enforce employment law has proven to be as equally challenging, originally referred to as ‘industrial tribunals’ established in 1964, mainly reviewing employer appeals in relation to training levies. The process has significantly developed with greater authority and an increase of HR law referred to as ‘Employment Tribunals’.</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Law is divided into two main areas namely criminal or civil, both follow a hierarchal structure, each following a different process:-</w:t>
      </w:r>
    </w:p>
    <w:p w:rsidR="000849DF" w:rsidRPr="00085CE0" w:rsidRDefault="000849DF" w:rsidP="000849DF">
      <w:pPr>
        <w:pStyle w:val="ListParagraph"/>
        <w:ind w:left="360"/>
        <w:rPr>
          <w:rFonts w:cs="Arial"/>
          <w:sz w:val="24"/>
          <w:szCs w:val="24"/>
        </w:rPr>
      </w:pPr>
    </w:p>
    <w:p w:rsidR="000849DF" w:rsidRPr="00A813F3" w:rsidRDefault="000849DF" w:rsidP="000849DF">
      <w:pPr>
        <w:pStyle w:val="ListParagraph"/>
        <w:ind w:left="360"/>
        <w:rPr>
          <w:rFonts w:cs="Arial"/>
          <w:color w:val="002060"/>
          <w:sz w:val="24"/>
          <w:szCs w:val="24"/>
          <w:u w:val="single"/>
        </w:rPr>
      </w:pPr>
      <w:r w:rsidRPr="00A813F3">
        <w:rPr>
          <w:rFonts w:cs="Arial"/>
          <w:color w:val="002060"/>
          <w:sz w:val="24"/>
          <w:szCs w:val="24"/>
          <w:u w:val="single"/>
        </w:rPr>
        <w:t>Criminal Court Process</w:t>
      </w:r>
    </w:p>
    <w:p w:rsidR="000849DF" w:rsidRPr="00085CE0" w:rsidRDefault="000849DF" w:rsidP="000849DF">
      <w:pPr>
        <w:pStyle w:val="ListParagraph"/>
        <w:ind w:left="360"/>
        <w:rPr>
          <w:rFonts w:cs="Arial"/>
          <w:sz w:val="24"/>
          <w:szCs w:val="24"/>
        </w:rPr>
      </w:pPr>
    </w:p>
    <w:p w:rsidR="000849DF" w:rsidRPr="00085CE0" w:rsidRDefault="000849DF" w:rsidP="000849DF">
      <w:pPr>
        <w:pStyle w:val="ListParagraph"/>
        <w:ind w:left="360"/>
        <w:jc w:val="center"/>
        <w:rPr>
          <w:rFonts w:cs="Arial"/>
          <w:sz w:val="24"/>
          <w:szCs w:val="24"/>
        </w:rPr>
      </w:pPr>
      <w:r w:rsidRPr="00085CE0">
        <w:rPr>
          <w:noProof/>
          <w:sz w:val="24"/>
          <w:szCs w:val="24"/>
          <w:lang w:val="en-GB" w:eastAsia="en-GB"/>
        </w:rPr>
        <w:drawing>
          <wp:inline distT="0" distB="0" distL="0" distR="0" wp14:anchorId="5A53DF16" wp14:editId="5EA22A1A">
            <wp:extent cx="2276475" cy="1533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76475" cy="1533525"/>
                    </a:xfrm>
                    <a:prstGeom prst="rect">
                      <a:avLst/>
                    </a:prstGeom>
                  </pic:spPr>
                </pic:pic>
              </a:graphicData>
            </a:graphic>
          </wp:inline>
        </w:drawing>
      </w:r>
    </w:p>
    <w:p w:rsidR="000849DF" w:rsidRPr="0050375E" w:rsidRDefault="007E1BC4" w:rsidP="000849DF">
      <w:pPr>
        <w:pStyle w:val="ListParagraph"/>
        <w:ind w:left="360"/>
        <w:jc w:val="center"/>
        <w:rPr>
          <w:rFonts w:cs="Arial"/>
          <w:sz w:val="16"/>
          <w:szCs w:val="16"/>
        </w:rPr>
      </w:pPr>
      <w:r>
        <w:rPr>
          <w:rFonts w:cs="Arial"/>
          <w:sz w:val="16"/>
          <w:szCs w:val="16"/>
        </w:rPr>
        <w:t>(</w:t>
      </w:r>
      <w:r w:rsidR="000849DF" w:rsidRPr="0050375E">
        <w:rPr>
          <w:rFonts w:cs="Arial"/>
          <w:sz w:val="16"/>
          <w:szCs w:val="16"/>
        </w:rPr>
        <w:t>Kathy Daniels Introduction to Employment Law</w:t>
      </w:r>
      <w:r>
        <w:rPr>
          <w:rFonts w:cs="Arial"/>
          <w:sz w:val="16"/>
          <w:szCs w:val="16"/>
        </w:rPr>
        <w:t xml:space="preserve"> 2019)</w:t>
      </w:r>
      <w:r w:rsidR="000849DF" w:rsidRPr="0050375E">
        <w:rPr>
          <w:rFonts w:cs="Arial"/>
          <w:sz w:val="16"/>
          <w:szCs w:val="16"/>
        </w:rPr>
        <w:t xml:space="preserve"> </w:t>
      </w:r>
    </w:p>
    <w:p w:rsidR="000849DF" w:rsidRPr="00085CE0" w:rsidRDefault="000849DF" w:rsidP="000849DF">
      <w:pPr>
        <w:pStyle w:val="ListParagraph"/>
        <w:ind w:left="360"/>
        <w:rPr>
          <w:rFonts w:cs="Arial"/>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All cases usually go before the magistrate’s court, if appealed they are referred on:-</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numPr>
          <w:ilvl w:val="0"/>
          <w:numId w:val="2"/>
        </w:numPr>
        <w:rPr>
          <w:rFonts w:cs="Arial"/>
          <w:color w:val="002060"/>
          <w:sz w:val="24"/>
          <w:szCs w:val="24"/>
        </w:rPr>
      </w:pPr>
      <w:r w:rsidRPr="00A813F3">
        <w:rPr>
          <w:rFonts w:cs="Arial"/>
          <w:color w:val="002060"/>
          <w:sz w:val="24"/>
          <w:szCs w:val="24"/>
        </w:rPr>
        <w:t>Appeals on fact to Crown Court.</w:t>
      </w:r>
    </w:p>
    <w:p w:rsidR="000849DF" w:rsidRPr="00A813F3" w:rsidRDefault="000849DF" w:rsidP="000849DF">
      <w:pPr>
        <w:pStyle w:val="ListParagraph"/>
        <w:numPr>
          <w:ilvl w:val="0"/>
          <w:numId w:val="2"/>
        </w:numPr>
        <w:rPr>
          <w:rFonts w:cs="Arial"/>
          <w:color w:val="002060"/>
          <w:sz w:val="24"/>
          <w:szCs w:val="24"/>
        </w:rPr>
      </w:pPr>
      <w:r w:rsidRPr="00A813F3">
        <w:rPr>
          <w:rFonts w:cs="Arial"/>
          <w:color w:val="002060"/>
          <w:sz w:val="24"/>
          <w:szCs w:val="24"/>
        </w:rPr>
        <w:t>Appeals on issues to High Court</w:t>
      </w:r>
    </w:p>
    <w:p w:rsidR="000849DF" w:rsidRPr="00A813F3" w:rsidRDefault="000849DF" w:rsidP="000849DF">
      <w:pPr>
        <w:pStyle w:val="ListParagraph"/>
        <w:ind w:left="360"/>
        <w:rPr>
          <w:rFonts w:cs="Arial"/>
          <w:color w:val="002060"/>
          <w:sz w:val="24"/>
          <w:szCs w:val="24"/>
        </w:rPr>
      </w:pPr>
    </w:p>
    <w:p w:rsidR="0050375E" w:rsidRPr="00A813F3" w:rsidRDefault="000849DF" w:rsidP="0050375E">
      <w:pPr>
        <w:pStyle w:val="ListParagraph"/>
        <w:ind w:left="360"/>
        <w:rPr>
          <w:rFonts w:cs="Arial"/>
          <w:color w:val="002060"/>
          <w:sz w:val="24"/>
          <w:szCs w:val="24"/>
        </w:rPr>
      </w:pPr>
      <w:r w:rsidRPr="00A813F3">
        <w:rPr>
          <w:rFonts w:cs="Arial"/>
          <w:color w:val="002060"/>
          <w:sz w:val="24"/>
          <w:szCs w:val="24"/>
        </w:rPr>
        <w:t>Further appeals on either are then referred to the Supreme Court.</w:t>
      </w:r>
    </w:p>
    <w:p w:rsidR="000849DF" w:rsidRPr="00A813F3" w:rsidRDefault="000849DF" w:rsidP="000849DF">
      <w:pPr>
        <w:pStyle w:val="ListParagraph"/>
        <w:ind w:left="360"/>
        <w:rPr>
          <w:rFonts w:cs="Arial"/>
          <w:color w:val="002060"/>
          <w:sz w:val="24"/>
          <w:szCs w:val="24"/>
        </w:rPr>
      </w:pPr>
    </w:p>
    <w:p w:rsidR="00A813F3" w:rsidRDefault="00A813F3" w:rsidP="000849DF">
      <w:pPr>
        <w:pStyle w:val="ListParagraph"/>
        <w:ind w:left="360"/>
        <w:rPr>
          <w:rFonts w:cs="Arial"/>
          <w:color w:val="002060"/>
          <w:sz w:val="24"/>
          <w:szCs w:val="24"/>
          <w:u w:val="single"/>
        </w:rPr>
      </w:pPr>
    </w:p>
    <w:p w:rsidR="00A813F3" w:rsidRDefault="00A813F3" w:rsidP="000849DF">
      <w:pPr>
        <w:pStyle w:val="ListParagraph"/>
        <w:ind w:left="360"/>
        <w:rPr>
          <w:rFonts w:cs="Arial"/>
          <w:color w:val="002060"/>
          <w:sz w:val="24"/>
          <w:szCs w:val="24"/>
          <w:u w:val="single"/>
        </w:rPr>
      </w:pPr>
    </w:p>
    <w:p w:rsidR="00A813F3" w:rsidRDefault="00A813F3" w:rsidP="000849DF">
      <w:pPr>
        <w:pStyle w:val="ListParagraph"/>
        <w:ind w:left="360"/>
        <w:rPr>
          <w:rFonts w:cs="Arial"/>
          <w:color w:val="002060"/>
          <w:sz w:val="24"/>
          <w:szCs w:val="24"/>
          <w:u w:val="single"/>
        </w:rPr>
      </w:pPr>
    </w:p>
    <w:p w:rsidR="000849DF" w:rsidRPr="00A813F3" w:rsidRDefault="000849DF" w:rsidP="000849DF">
      <w:pPr>
        <w:pStyle w:val="ListParagraph"/>
        <w:ind w:left="360"/>
        <w:rPr>
          <w:rFonts w:cs="Arial"/>
          <w:color w:val="002060"/>
          <w:sz w:val="24"/>
          <w:szCs w:val="24"/>
          <w:u w:val="single"/>
        </w:rPr>
      </w:pPr>
      <w:r w:rsidRPr="00A813F3">
        <w:rPr>
          <w:rFonts w:cs="Arial"/>
          <w:color w:val="002060"/>
          <w:sz w:val="24"/>
          <w:szCs w:val="24"/>
          <w:u w:val="single"/>
        </w:rPr>
        <w:t>Civil Court Process</w:t>
      </w:r>
    </w:p>
    <w:p w:rsidR="000849DF" w:rsidRPr="00085CE0" w:rsidRDefault="000849DF" w:rsidP="000849DF">
      <w:pPr>
        <w:pStyle w:val="ListParagraph"/>
        <w:ind w:left="360"/>
        <w:rPr>
          <w:rFonts w:cs="Arial"/>
          <w:sz w:val="24"/>
          <w:szCs w:val="24"/>
          <w:u w:val="single"/>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The majority of employment law falls into civil law. Civil law includes disputes relating to contract, tort or property.</w:t>
      </w:r>
      <w:r w:rsidR="0050375E" w:rsidRPr="00A813F3">
        <w:rPr>
          <w:rFonts w:cs="Arial"/>
          <w:color w:val="002060"/>
          <w:sz w:val="24"/>
          <w:szCs w:val="24"/>
        </w:rPr>
        <w:t xml:space="preserve"> Once again</w:t>
      </w:r>
      <w:r w:rsidRPr="00A813F3">
        <w:rPr>
          <w:rFonts w:cs="Arial"/>
          <w:color w:val="002060"/>
          <w:sz w:val="24"/>
          <w:szCs w:val="24"/>
        </w:rPr>
        <w:t xml:space="preserve"> Daniels </w:t>
      </w:r>
      <w:r w:rsidR="0050375E" w:rsidRPr="00A813F3">
        <w:rPr>
          <w:rFonts w:cs="Arial"/>
          <w:color w:val="002060"/>
          <w:sz w:val="24"/>
          <w:szCs w:val="24"/>
        </w:rPr>
        <w:t xml:space="preserve">(2019) </w:t>
      </w:r>
      <w:r w:rsidR="007E1BC4">
        <w:rPr>
          <w:rFonts w:cs="Arial"/>
          <w:color w:val="002060"/>
          <w:sz w:val="24"/>
          <w:szCs w:val="24"/>
        </w:rPr>
        <w:t>confirms</w:t>
      </w:r>
      <w:r w:rsidRPr="00A813F3">
        <w:rPr>
          <w:rFonts w:cs="Arial"/>
          <w:color w:val="002060"/>
          <w:sz w:val="24"/>
          <w:szCs w:val="24"/>
        </w:rPr>
        <w:t xml:space="preserve"> that the majority of disputes fall under civil law and are settled via an Employment Tribunal.</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Employment Tribunals came in to existence as a result of a report undertaken by Lord Donovan in the mid 1960’s who’s ideal was to ensure an employee should have access to support “</w:t>
      </w:r>
      <w:r w:rsidRPr="00A813F3">
        <w:rPr>
          <w:rFonts w:cs="Arial"/>
          <w:i/>
          <w:color w:val="002060"/>
          <w:sz w:val="24"/>
          <w:szCs w:val="24"/>
        </w:rPr>
        <w:t>quickly and without cost</w:t>
      </w:r>
      <w:r w:rsidRPr="00A813F3">
        <w:rPr>
          <w:rFonts w:cs="Arial"/>
          <w:color w:val="002060"/>
          <w:sz w:val="24"/>
          <w:szCs w:val="24"/>
        </w:rPr>
        <w:t>” (</w:t>
      </w:r>
      <w:r w:rsidR="0050375E" w:rsidRPr="00A813F3">
        <w:rPr>
          <w:rFonts w:cs="Arial"/>
          <w:color w:val="002060"/>
          <w:sz w:val="24"/>
          <w:szCs w:val="24"/>
        </w:rPr>
        <w:t>Daniels, 2019 p</w:t>
      </w:r>
      <w:r w:rsidRPr="00A813F3">
        <w:rPr>
          <w:rFonts w:cs="Arial"/>
          <w:color w:val="002060"/>
          <w:sz w:val="24"/>
          <w:szCs w:val="24"/>
        </w:rPr>
        <w:t>20)</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 xml:space="preserve">From the process below it is clear to see that a case is initially presented at an Employment Tribunal, if appealed it goes before the Appeal Tribunal and </w:t>
      </w:r>
      <w:r w:rsidR="007E1BC4">
        <w:rPr>
          <w:rFonts w:cs="Arial"/>
          <w:color w:val="002060"/>
          <w:sz w:val="24"/>
          <w:szCs w:val="24"/>
        </w:rPr>
        <w:t>s</w:t>
      </w:r>
      <w:r w:rsidRPr="00A813F3">
        <w:rPr>
          <w:rFonts w:cs="Arial"/>
          <w:color w:val="002060"/>
          <w:sz w:val="24"/>
          <w:szCs w:val="24"/>
        </w:rPr>
        <w:t>o forth to the Court of Appeal and Supreme Court.</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Some claims can go before the County or High Court, an example of this would be a wrongful dismissal claim</w:t>
      </w:r>
      <w:r w:rsidR="00023630" w:rsidRPr="00A813F3">
        <w:rPr>
          <w:rFonts w:cs="Arial"/>
          <w:color w:val="002060"/>
          <w:sz w:val="24"/>
          <w:szCs w:val="24"/>
        </w:rPr>
        <w:t xml:space="preserve"> of a value that exceeds £25000, Daniels (2019)</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The following highlights the Civil Law route for claims.</w:t>
      </w:r>
    </w:p>
    <w:p w:rsidR="000849DF" w:rsidRPr="00085CE0" w:rsidRDefault="000849DF" w:rsidP="000849DF">
      <w:pPr>
        <w:pStyle w:val="ListParagraph"/>
        <w:ind w:left="360"/>
        <w:rPr>
          <w:rFonts w:cs="Arial"/>
          <w:sz w:val="24"/>
          <w:szCs w:val="24"/>
          <w:u w:val="single"/>
        </w:rPr>
      </w:pPr>
    </w:p>
    <w:p w:rsidR="000849DF" w:rsidRPr="00085CE0" w:rsidRDefault="000849DF" w:rsidP="000849DF">
      <w:pPr>
        <w:pStyle w:val="ListParagraph"/>
        <w:ind w:left="360"/>
        <w:jc w:val="center"/>
        <w:rPr>
          <w:rFonts w:cs="Arial"/>
          <w:sz w:val="24"/>
          <w:szCs w:val="24"/>
          <w:u w:val="single"/>
        </w:rPr>
      </w:pPr>
      <w:r w:rsidRPr="00085CE0">
        <w:rPr>
          <w:noProof/>
          <w:sz w:val="24"/>
          <w:szCs w:val="24"/>
          <w:lang w:val="en-GB" w:eastAsia="en-GB"/>
        </w:rPr>
        <w:drawing>
          <wp:inline distT="0" distB="0" distL="0" distR="0" wp14:anchorId="0E3622DB" wp14:editId="4DE3E541">
            <wp:extent cx="1969770" cy="263857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81411" cy="2654169"/>
                    </a:xfrm>
                    <a:prstGeom prst="rect">
                      <a:avLst/>
                    </a:prstGeom>
                  </pic:spPr>
                </pic:pic>
              </a:graphicData>
            </a:graphic>
          </wp:inline>
        </w:drawing>
      </w:r>
    </w:p>
    <w:p w:rsidR="00A813F3" w:rsidRPr="0050375E" w:rsidRDefault="007E1BC4" w:rsidP="00A813F3">
      <w:pPr>
        <w:pStyle w:val="ListParagraph"/>
        <w:ind w:left="360"/>
        <w:jc w:val="center"/>
        <w:rPr>
          <w:rFonts w:cs="Arial"/>
          <w:sz w:val="16"/>
          <w:szCs w:val="16"/>
        </w:rPr>
      </w:pPr>
      <w:r>
        <w:rPr>
          <w:rFonts w:cs="Arial"/>
          <w:sz w:val="16"/>
          <w:szCs w:val="16"/>
        </w:rPr>
        <w:t>(</w:t>
      </w:r>
      <w:r w:rsidR="00A813F3" w:rsidRPr="0050375E">
        <w:rPr>
          <w:rFonts w:cs="Arial"/>
          <w:sz w:val="16"/>
          <w:szCs w:val="16"/>
        </w:rPr>
        <w:t xml:space="preserve">Kathy Daniels Introduction to Employment Law </w:t>
      </w:r>
      <w:r>
        <w:rPr>
          <w:rFonts w:cs="Arial"/>
          <w:sz w:val="16"/>
          <w:szCs w:val="16"/>
        </w:rPr>
        <w:t>2019)</w:t>
      </w:r>
    </w:p>
    <w:p w:rsidR="000849DF" w:rsidRPr="00085CE0" w:rsidRDefault="000849DF" w:rsidP="000849DF">
      <w:pPr>
        <w:pStyle w:val="ListParagraph"/>
        <w:ind w:left="360"/>
        <w:rPr>
          <w:rFonts w:cs="Arial"/>
          <w:sz w:val="24"/>
          <w:szCs w:val="24"/>
        </w:rPr>
      </w:pPr>
    </w:p>
    <w:p w:rsidR="000849DF" w:rsidRPr="00085CE0" w:rsidRDefault="000849DF" w:rsidP="000849DF">
      <w:pPr>
        <w:pStyle w:val="ListParagraph"/>
        <w:ind w:left="360"/>
        <w:rPr>
          <w:rFonts w:cs="Arial"/>
          <w:sz w:val="24"/>
          <w:szCs w:val="24"/>
        </w:rPr>
      </w:pPr>
    </w:p>
    <w:p w:rsidR="000849DF" w:rsidRPr="00A813F3" w:rsidRDefault="000849DF" w:rsidP="00A813F3">
      <w:pPr>
        <w:ind w:left="360"/>
        <w:rPr>
          <w:rFonts w:cs="Arial"/>
          <w:color w:val="002060"/>
          <w:sz w:val="24"/>
          <w:szCs w:val="24"/>
        </w:rPr>
      </w:pPr>
      <w:r w:rsidRPr="00A813F3">
        <w:rPr>
          <w:rFonts w:cs="Arial"/>
          <w:color w:val="002060"/>
          <w:sz w:val="24"/>
          <w:szCs w:val="24"/>
        </w:rPr>
        <w:t>In 2009</w:t>
      </w:r>
      <w:r w:rsidR="007E1BC4">
        <w:rPr>
          <w:rFonts w:cs="Arial"/>
          <w:color w:val="002060"/>
          <w:sz w:val="24"/>
          <w:szCs w:val="24"/>
        </w:rPr>
        <w:t>,</w:t>
      </w:r>
      <w:r w:rsidRPr="00A813F3">
        <w:rPr>
          <w:rFonts w:cs="Arial"/>
          <w:color w:val="002060"/>
          <w:sz w:val="24"/>
          <w:szCs w:val="24"/>
        </w:rPr>
        <w:t xml:space="preserve"> a case was brought by a teacher against Pembrokeshire Council for unfair dismissal. The school had decided to dismiss a teacher who had been on a succession of fixed term contracts</w:t>
      </w:r>
      <w:r w:rsidR="007E1BC4">
        <w:rPr>
          <w:rFonts w:cs="Arial"/>
          <w:color w:val="002060"/>
          <w:sz w:val="24"/>
          <w:szCs w:val="24"/>
        </w:rPr>
        <w:t>. T</w:t>
      </w:r>
      <w:r w:rsidRPr="00A813F3">
        <w:rPr>
          <w:rFonts w:cs="Arial"/>
          <w:color w:val="002060"/>
          <w:sz w:val="24"/>
          <w:szCs w:val="24"/>
        </w:rPr>
        <w:t xml:space="preserve">here was still a need for such a teacher at the school where she worked. </w:t>
      </w:r>
      <w:r w:rsidR="0050375E" w:rsidRPr="00A813F3">
        <w:rPr>
          <w:rFonts w:cs="Arial"/>
          <w:color w:val="002060"/>
          <w:sz w:val="24"/>
          <w:szCs w:val="24"/>
        </w:rPr>
        <w:t>An</w:t>
      </w:r>
      <w:r w:rsidRPr="00A813F3">
        <w:rPr>
          <w:rFonts w:cs="Arial"/>
          <w:color w:val="002060"/>
          <w:sz w:val="24"/>
          <w:szCs w:val="24"/>
        </w:rPr>
        <w:t xml:space="preserve"> industrial tribunal ruled that PCC infringed the basic employment rights</w:t>
      </w:r>
      <w:r w:rsidR="007E1BC4">
        <w:rPr>
          <w:rFonts w:cs="Arial"/>
          <w:color w:val="002060"/>
          <w:sz w:val="24"/>
          <w:szCs w:val="24"/>
        </w:rPr>
        <w:t xml:space="preserve"> of</w:t>
      </w:r>
      <w:r w:rsidRPr="00A813F3">
        <w:rPr>
          <w:rFonts w:cs="Arial"/>
          <w:color w:val="002060"/>
          <w:sz w:val="24"/>
          <w:szCs w:val="24"/>
        </w:rPr>
        <w:t xml:space="preserve"> the teacher by refusing to renew her fixed term contract.</w:t>
      </w:r>
    </w:p>
    <w:p w:rsidR="00C56AFE" w:rsidRPr="00A813F3" w:rsidRDefault="00C56AFE" w:rsidP="000849DF">
      <w:pPr>
        <w:pStyle w:val="ListParagraph"/>
        <w:ind w:left="360"/>
        <w:rPr>
          <w:rFonts w:cs="Arial"/>
          <w:color w:val="002060"/>
          <w:sz w:val="24"/>
          <w:szCs w:val="24"/>
        </w:rPr>
      </w:pPr>
      <w:r w:rsidRPr="00A813F3">
        <w:rPr>
          <w:rFonts w:cs="Arial"/>
          <w:color w:val="002060"/>
          <w:sz w:val="24"/>
          <w:szCs w:val="24"/>
        </w:rPr>
        <w:t>(Western Telegraph 2009)</w:t>
      </w:r>
    </w:p>
    <w:p w:rsidR="000849DF" w:rsidRPr="00A813F3" w:rsidRDefault="000849DF" w:rsidP="000849DF">
      <w:pPr>
        <w:pStyle w:val="ListParagraph"/>
        <w:ind w:left="360"/>
        <w:rPr>
          <w:color w:val="002060"/>
        </w:rPr>
      </w:pPr>
    </w:p>
    <w:p w:rsidR="000849DF" w:rsidRPr="00A813F3" w:rsidRDefault="000849DF" w:rsidP="00C56AFE">
      <w:pPr>
        <w:rPr>
          <w:rFonts w:cs="Arial"/>
          <w:color w:val="002060"/>
          <w:sz w:val="24"/>
          <w:szCs w:val="24"/>
          <w:lang w:val="en-GB"/>
        </w:rPr>
      </w:pPr>
    </w:p>
    <w:p w:rsidR="000849DF" w:rsidRPr="007E1BC4" w:rsidRDefault="000849DF" w:rsidP="000849DF">
      <w:pPr>
        <w:pStyle w:val="ListParagraph"/>
        <w:numPr>
          <w:ilvl w:val="0"/>
          <w:numId w:val="1"/>
        </w:numPr>
        <w:rPr>
          <w:rFonts w:cs="Arial"/>
          <w:color w:val="002060"/>
          <w:sz w:val="24"/>
          <w:szCs w:val="24"/>
          <w:u w:val="single"/>
        </w:rPr>
      </w:pPr>
      <w:proofErr w:type="spellStart"/>
      <w:r w:rsidRPr="007E1BC4">
        <w:rPr>
          <w:rFonts w:cs="Arial"/>
          <w:color w:val="002060"/>
          <w:sz w:val="24"/>
          <w:szCs w:val="24"/>
          <w:u w:val="single"/>
        </w:rPr>
        <w:t>Summarise</w:t>
      </w:r>
      <w:proofErr w:type="spellEnd"/>
      <w:r w:rsidRPr="007E1BC4">
        <w:rPr>
          <w:rFonts w:cs="Arial"/>
          <w:color w:val="002060"/>
          <w:sz w:val="24"/>
          <w:szCs w:val="24"/>
          <w:u w:val="single"/>
        </w:rPr>
        <w:t xml:space="preserve"> the main principles of discrimination law in relation to recruitment and selection and explain how contracts of employment are established.</w:t>
      </w:r>
    </w:p>
    <w:p w:rsidR="000849DF" w:rsidRPr="00A813F3" w:rsidRDefault="000849DF" w:rsidP="000849DF">
      <w:pPr>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lastRenderedPageBreak/>
        <w:t xml:space="preserve">The main principles in relation to recruitment </w:t>
      </w:r>
      <w:r w:rsidR="007E1BC4">
        <w:rPr>
          <w:rFonts w:cs="Arial"/>
          <w:color w:val="002060"/>
          <w:sz w:val="24"/>
          <w:szCs w:val="24"/>
        </w:rPr>
        <w:t>and selection fall into direct</w:t>
      </w:r>
      <w:r w:rsidRPr="00A813F3">
        <w:rPr>
          <w:rFonts w:cs="Arial"/>
          <w:color w:val="002060"/>
          <w:sz w:val="24"/>
          <w:szCs w:val="24"/>
        </w:rPr>
        <w:t xml:space="preserve">/indirect discrimination. </w:t>
      </w:r>
      <w:r w:rsidRPr="00A813F3">
        <w:rPr>
          <w:rFonts w:cs="Arial"/>
          <w:i/>
          <w:color w:val="002060"/>
          <w:sz w:val="24"/>
          <w:szCs w:val="24"/>
        </w:rPr>
        <w:t>The Equality Act of 2010</w:t>
      </w:r>
      <w:r w:rsidRPr="00A813F3">
        <w:rPr>
          <w:rFonts w:cs="Arial"/>
          <w:color w:val="002060"/>
          <w:sz w:val="24"/>
          <w:szCs w:val="24"/>
        </w:rPr>
        <w:t xml:space="preserve"> preserves the rights of an individual from discrimination covering a range of what are described as protected characteristics. An example of these would be age, disability, and sex.</w:t>
      </w:r>
    </w:p>
    <w:p w:rsidR="000849DF" w:rsidRPr="00A813F3" w:rsidRDefault="000849DF" w:rsidP="000849DF">
      <w:pPr>
        <w:ind w:left="360"/>
        <w:rPr>
          <w:rFonts w:cs="Arial"/>
          <w:color w:val="002060"/>
          <w:sz w:val="24"/>
          <w:szCs w:val="24"/>
        </w:rPr>
      </w:pPr>
      <w:r w:rsidRPr="00A813F3">
        <w:rPr>
          <w:rFonts w:cs="Arial"/>
          <w:color w:val="002060"/>
          <w:sz w:val="24"/>
          <w:szCs w:val="24"/>
        </w:rPr>
        <w:t>Under EU law</w:t>
      </w:r>
      <w:r w:rsidR="007E1BC4">
        <w:rPr>
          <w:rFonts w:cs="Arial"/>
          <w:color w:val="002060"/>
          <w:sz w:val="24"/>
          <w:szCs w:val="24"/>
        </w:rPr>
        <w:t>,</w:t>
      </w:r>
      <w:r w:rsidRPr="00A813F3">
        <w:rPr>
          <w:rFonts w:cs="Arial"/>
          <w:color w:val="002060"/>
          <w:sz w:val="24"/>
          <w:szCs w:val="24"/>
        </w:rPr>
        <w:t xml:space="preserve"> part time/fixed time workers are further protected and the UK law also extends this to include ex-offenders and union membership/non membership.</w:t>
      </w:r>
    </w:p>
    <w:p w:rsidR="000849DF" w:rsidRPr="00A813F3" w:rsidRDefault="000849DF" w:rsidP="000849DF">
      <w:pPr>
        <w:ind w:left="360"/>
        <w:rPr>
          <w:rFonts w:cs="Arial"/>
          <w:color w:val="002060"/>
          <w:sz w:val="24"/>
          <w:szCs w:val="24"/>
        </w:rPr>
      </w:pPr>
    </w:p>
    <w:p w:rsidR="000849DF" w:rsidRPr="00A813F3" w:rsidRDefault="00C56AFE" w:rsidP="000849DF">
      <w:pPr>
        <w:ind w:left="360"/>
        <w:rPr>
          <w:rFonts w:cs="Arial"/>
          <w:color w:val="002060"/>
          <w:sz w:val="24"/>
          <w:szCs w:val="24"/>
        </w:rPr>
      </w:pPr>
      <w:r w:rsidRPr="00A813F3">
        <w:rPr>
          <w:rFonts w:cs="Arial"/>
          <w:color w:val="002060"/>
          <w:sz w:val="24"/>
          <w:szCs w:val="24"/>
        </w:rPr>
        <w:t xml:space="preserve">Taylor and Woodham (2016) </w:t>
      </w:r>
      <w:r w:rsidR="000849DF" w:rsidRPr="00A813F3">
        <w:rPr>
          <w:rFonts w:cs="Arial"/>
          <w:color w:val="002060"/>
          <w:sz w:val="24"/>
          <w:szCs w:val="24"/>
        </w:rPr>
        <w:t xml:space="preserve">explain that there is </w:t>
      </w:r>
      <w:proofErr w:type="spellStart"/>
      <w:r w:rsidR="000849DF" w:rsidRPr="00A813F3">
        <w:rPr>
          <w:rFonts w:cs="Arial"/>
          <w:color w:val="002060"/>
          <w:sz w:val="24"/>
          <w:szCs w:val="24"/>
        </w:rPr>
        <w:t>recognised</w:t>
      </w:r>
      <w:proofErr w:type="spellEnd"/>
      <w:r w:rsidR="000849DF" w:rsidRPr="00A813F3">
        <w:rPr>
          <w:rFonts w:cs="Arial"/>
          <w:color w:val="002060"/>
          <w:sz w:val="24"/>
          <w:szCs w:val="24"/>
        </w:rPr>
        <w:t xml:space="preserve"> difference between direct and indirect discrimination. Direct discrimination takes place at the first stages of recruitment when a candidate may not be selected because of a protected right.</w:t>
      </w:r>
    </w:p>
    <w:p w:rsidR="000849DF" w:rsidRPr="00A813F3" w:rsidRDefault="000849DF" w:rsidP="000849DF">
      <w:pPr>
        <w:ind w:left="360"/>
        <w:rPr>
          <w:rFonts w:cs="Arial"/>
          <w:color w:val="002060"/>
          <w:sz w:val="24"/>
          <w:szCs w:val="24"/>
        </w:rPr>
      </w:pPr>
      <w:r w:rsidRPr="00A813F3">
        <w:rPr>
          <w:rFonts w:cs="Arial"/>
          <w:color w:val="002060"/>
          <w:sz w:val="24"/>
          <w:szCs w:val="24"/>
        </w:rPr>
        <w:t>There are times when this may be the case e.g. a disability may mean that the candidate is unable to undertake the role however it does have to be proven that in lawful terms there were no ‘reasona</w:t>
      </w:r>
      <w:r w:rsidR="007E1BC4">
        <w:rPr>
          <w:rFonts w:cs="Arial"/>
          <w:color w:val="002060"/>
          <w:sz w:val="24"/>
          <w:szCs w:val="24"/>
        </w:rPr>
        <w:t>ble adjustments’  that could not</w:t>
      </w:r>
      <w:r w:rsidRPr="00A813F3">
        <w:rPr>
          <w:rFonts w:cs="Arial"/>
          <w:color w:val="002060"/>
          <w:sz w:val="24"/>
          <w:szCs w:val="24"/>
        </w:rPr>
        <w:t xml:space="preserve"> be made to meet the candidate’s needs.</w:t>
      </w:r>
    </w:p>
    <w:p w:rsidR="000849DF" w:rsidRPr="00A813F3" w:rsidRDefault="000849DF" w:rsidP="000849DF">
      <w:pPr>
        <w:ind w:left="360"/>
        <w:rPr>
          <w:rFonts w:cs="Arial"/>
          <w:color w:val="002060"/>
          <w:sz w:val="24"/>
          <w:szCs w:val="24"/>
        </w:rPr>
      </w:pPr>
      <w:r w:rsidRPr="00A813F3">
        <w:rPr>
          <w:rFonts w:cs="Arial"/>
          <w:color w:val="002060"/>
          <w:sz w:val="24"/>
          <w:szCs w:val="24"/>
        </w:rPr>
        <w:t>Likewise some roles have specific requirements and it is lawful to recruit according to this need e.g. a female to work in a female domestic abuse hostel. The gender protected right would not be upheld in this instance.</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Indirect discrimination covers situations where an employer has a practice that looks as if it is fair but does actually discriminate against certain groups of people.</w:t>
      </w:r>
    </w:p>
    <w:p w:rsidR="000849DF" w:rsidRPr="00A813F3" w:rsidRDefault="00C56AFE" w:rsidP="00C56AFE">
      <w:pPr>
        <w:ind w:left="360"/>
        <w:rPr>
          <w:rFonts w:cs="Arial"/>
          <w:color w:val="002060"/>
          <w:sz w:val="24"/>
          <w:szCs w:val="24"/>
        </w:rPr>
      </w:pPr>
      <w:r w:rsidRPr="00A813F3">
        <w:rPr>
          <w:rFonts w:cs="Arial"/>
          <w:color w:val="002060"/>
          <w:sz w:val="24"/>
          <w:szCs w:val="24"/>
        </w:rPr>
        <w:t>Taylor and Woodham (2016) describe a</w:t>
      </w:r>
      <w:r w:rsidR="000849DF" w:rsidRPr="00A813F3">
        <w:rPr>
          <w:rFonts w:cs="Arial"/>
          <w:color w:val="002060"/>
          <w:sz w:val="24"/>
          <w:szCs w:val="24"/>
        </w:rPr>
        <w:t>n example of this as a height requirement in a role. This would discriminate against those who could not fulfill this be it too tall or too small.</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As a local authority our policies for recruitment are very clear and in line with law. </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I have recently been involved in writing some training relating to unconscious bias recruitment. It is interesting to </w:t>
      </w:r>
      <w:proofErr w:type="spellStart"/>
      <w:r w:rsidRPr="00A813F3">
        <w:rPr>
          <w:rFonts w:cs="Arial"/>
          <w:color w:val="002060"/>
          <w:sz w:val="24"/>
          <w:szCs w:val="24"/>
        </w:rPr>
        <w:t>realise</w:t>
      </w:r>
      <w:proofErr w:type="spellEnd"/>
      <w:r w:rsidRPr="00A813F3">
        <w:rPr>
          <w:rFonts w:cs="Arial"/>
          <w:color w:val="002060"/>
          <w:sz w:val="24"/>
          <w:szCs w:val="24"/>
        </w:rPr>
        <w:t xml:space="preserve"> that a recruit</w:t>
      </w:r>
      <w:r w:rsidR="007E1BC4">
        <w:rPr>
          <w:rFonts w:cs="Arial"/>
          <w:color w:val="002060"/>
          <w:sz w:val="24"/>
          <w:szCs w:val="24"/>
        </w:rPr>
        <w:t>er may</w:t>
      </w:r>
      <w:r w:rsidRPr="00A813F3">
        <w:rPr>
          <w:rFonts w:cs="Arial"/>
          <w:color w:val="002060"/>
          <w:sz w:val="24"/>
          <w:szCs w:val="24"/>
        </w:rPr>
        <w:t xml:space="preserve"> naturally recruit in their own image or make judgments that do not relate to the suitability of the individual to undertake the role. As a best practice we would normally include a HR Officer alongside the departmental recruiting manager, this helps to ensure that recruitment of employees meets the required laws.</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One instance</w:t>
      </w:r>
      <w:r w:rsidR="007E1BC4">
        <w:rPr>
          <w:rFonts w:cs="Arial"/>
          <w:color w:val="002060"/>
          <w:sz w:val="24"/>
          <w:szCs w:val="24"/>
        </w:rPr>
        <w:t>,</w:t>
      </w:r>
      <w:r w:rsidRPr="00A813F3">
        <w:rPr>
          <w:rFonts w:cs="Arial"/>
          <w:color w:val="002060"/>
          <w:sz w:val="24"/>
          <w:szCs w:val="24"/>
        </w:rPr>
        <w:t xml:space="preserve"> where positive discrimination may be acceptable relates to minority groups. An example of this is the current consideration by the Welsh Government to adopt this</w:t>
      </w:r>
      <w:r w:rsidR="007E1BC4">
        <w:rPr>
          <w:rFonts w:cs="Arial"/>
          <w:color w:val="002060"/>
          <w:sz w:val="24"/>
          <w:szCs w:val="24"/>
        </w:rPr>
        <w:t xml:space="preserve"> approach</w:t>
      </w:r>
      <w:r w:rsidRPr="00A813F3">
        <w:rPr>
          <w:rFonts w:cs="Arial"/>
          <w:color w:val="002060"/>
          <w:sz w:val="24"/>
          <w:szCs w:val="24"/>
        </w:rPr>
        <w:t xml:space="preserve"> with the recruitment of Councilors, positive discrimination may be allowed in relation to gender and sexual orientation, since it is suggested that women etc. are not fully represented. All candidates m</w:t>
      </w:r>
      <w:r w:rsidR="007E1BC4">
        <w:rPr>
          <w:rFonts w:cs="Arial"/>
          <w:color w:val="002060"/>
          <w:sz w:val="24"/>
          <w:szCs w:val="24"/>
        </w:rPr>
        <w:t>ust still be suitably qualified. If two are candidates are equally suitable then positive discrimination could apply. Likewise this approach is acceptable in job recruitment.</w:t>
      </w:r>
    </w:p>
    <w:p w:rsidR="000849DF" w:rsidRDefault="000849DF" w:rsidP="000849DF">
      <w:pPr>
        <w:rPr>
          <w:rFonts w:cs="Arial"/>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Upon successful recruitment a contract of employment is entered in to by both parties and both need to </w:t>
      </w:r>
      <w:proofErr w:type="spellStart"/>
      <w:r w:rsidRPr="00A813F3">
        <w:rPr>
          <w:rFonts w:cs="Arial"/>
          <w:color w:val="002060"/>
          <w:sz w:val="24"/>
          <w:szCs w:val="24"/>
        </w:rPr>
        <w:t>realise</w:t>
      </w:r>
      <w:proofErr w:type="spellEnd"/>
      <w:r w:rsidRPr="00A813F3">
        <w:rPr>
          <w:rFonts w:cs="Arial"/>
          <w:color w:val="002060"/>
          <w:sz w:val="24"/>
          <w:szCs w:val="24"/>
        </w:rPr>
        <w:t xml:space="preserve"> their commitment.</w:t>
      </w:r>
    </w:p>
    <w:p w:rsidR="000849DF" w:rsidRPr="00A813F3" w:rsidRDefault="000849DF" w:rsidP="000849DF">
      <w:pPr>
        <w:ind w:left="360"/>
        <w:rPr>
          <w:rFonts w:cs="Arial"/>
          <w:color w:val="002060"/>
          <w:sz w:val="24"/>
          <w:szCs w:val="24"/>
        </w:rPr>
      </w:pPr>
      <w:r w:rsidRPr="00A813F3">
        <w:rPr>
          <w:rFonts w:cs="Arial"/>
          <w:color w:val="002060"/>
          <w:sz w:val="24"/>
          <w:szCs w:val="24"/>
        </w:rPr>
        <w:t>A contract would typically include the obligations of both parties and outline or reference working policies and practices. A contract does not have to be written but best practice would recommend this and should include the following:-</w:t>
      </w:r>
    </w:p>
    <w:p w:rsidR="000849DF" w:rsidRPr="00A813F3" w:rsidRDefault="000849DF" w:rsidP="000849DF">
      <w:pPr>
        <w:ind w:left="360"/>
        <w:rPr>
          <w:rFonts w:cs="Arial"/>
          <w:color w:val="002060"/>
          <w:sz w:val="24"/>
          <w:szCs w:val="24"/>
        </w:rPr>
      </w:pPr>
    </w:p>
    <w:p w:rsidR="000849DF" w:rsidRPr="00A813F3" w:rsidRDefault="000849DF" w:rsidP="000849DF">
      <w:pPr>
        <w:pStyle w:val="ListParagraph"/>
        <w:numPr>
          <w:ilvl w:val="0"/>
          <w:numId w:val="3"/>
        </w:numPr>
        <w:rPr>
          <w:rFonts w:cs="Arial"/>
          <w:color w:val="002060"/>
          <w:sz w:val="24"/>
          <w:szCs w:val="24"/>
        </w:rPr>
      </w:pPr>
      <w:r w:rsidRPr="00A813F3">
        <w:rPr>
          <w:rFonts w:cs="Arial"/>
          <w:color w:val="002060"/>
          <w:sz w:val="24"/>
          <w:szCs w:val="24"/>
        </w:rPr>
        <w:lastRenderedPageBreak/>
        <w:t>Unconditional offer - as with the unconditional acceptance, this may be subject to suitable references being obtained etc.</w:t>
      </w:r>
    </w:p>
    <w:p w:rsidR="000849DF" w:rsidRPr="00A813F3" w:rsidRDefault="000849DF" w:rsidP="000849DF">
      <w:pPr>
        <w:pStyle w:val="ListParagraph"/>
        <w:numPr>
          <w:ilvl w:val="0"/>
          <w:numId w:val="3"/>
        </w:numPr>
        <w:rPr>
          <w:rFonts w:cs="Arial"/>
          <w:color w:val="002060"/>
          <w:sz w:val="24"/>
          <w:szCs w:val="24"/>
        </w:rPr>
      </w:pPr>
      <w:r w:rsidRPr="00A813F3">
        <w:rPr>
          <w:rFonts w:cs="Arial"/>
          <w:color w:val="002060"/>
          <w:sz w:val="24"/>
          <w:szCs w:val="24"/>
        </w:rPr>
        <w:t>Unconditional acceptance</w:t>
      </w:r>
    </w:p>
    <w:p w:rsidR="000849DF" w:rsidRPr="00A813F3" w:rsidRDefault="000849DF" w:rsidP="000849DF">
      <w:pPr>
        <w:pStyle w:val="ListParagraph"/>
        <w:numPr>
          <w:ilvl w:val="0"/>
          <w:numId w:val="3"/>
        </w:numPr>
        <w:rPr>
          <w:rFonts w:cs="Arial"/>
          <w:color w:val="002060"/>
          <w:sz w:val="24"/>
          <w:szCs w:val="24"/>
        </w:rPr>
      </w:pPr>
      <w:r w:rsidRPr="00A813F3">
        <w:rPr>
          <w:rFonts w:cs="Arial"/>
          <w:color w:val="002060"/>
          <w:sz w:val="24"/>
          <w:szCs w:val="24"/>
        </w:rPr>
        <w:t>Intention to form a legal relationship</w:t>
      </w:r>
    </w:p>
    <w:p w:rsidR="000849DF" w:rsidRPr="00A813F3" w:rsidRDefault="000849DF" w:rsidP="000849DF">
      <w:pPr>
        <w:pStyle w:val="ListParagraph"/>
        <w:numPr>
          <w:ilvl w:val="0"/>
          <w:numId w:val="3"/>
        </w:numPr>
        <w:rPr>
          <w:rFonts w:cs="Arial"/>
          <w:color w:val="002060"/>
          <w:sz w:val="24"/>
          <w:szCs w:val="24"/>
        </w:rPr>
      </w:pPr>
      <w:r w:rsidRPr="00A813F3">
        <w:rPr>
          <w:rFonts w:cs="Arial"/>
          <w:color w:val="002060"/>
          <w:sz w:val="24"/>
          <w:szCs w:val="24"/>
        </w:rPr>
        <w:t>Consideration/payment/payment in kind</w:t>
      </w:r>
    </w:p>
    <w:p w:rsidR="000849DF" w:rsidRPr="00A813F3" w:rsidRDefault="000849DF" w:rsidP="000849DF">
      <w:pPr>
        <w:pStyle w:val="ListParagraph"/>
        <w:numPr>
          <w:ilvl w:val="0"/>
          <w:numId w:val="3"/>
        </w:numPr>
        <w:rPr>
          <w:rFonts w:cs="Arial"/>
          <w:color w:val="002060"/>
          <w:sz w:val="24"/>
          <w:szCs w:val="24"/>
        </w:rPr>
      </w:pPr>
      <w:r w:rsidRPr="00A813F3">
        <w:rPr>
          <w:rFonts w:cs="Arial"/>
          <w:color w:val="002060"/>
          <w:sz w:val="24"/>
          <w:szCs w:val="24"/>
        </w:rPr>
        <w:t xml:space="preserve">Certainty (a clear understanding of the terms and conditions) </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Looking at my own contract of employment it includes holiday entitlement, work base and requirements of notice if I were to resign, payment, permanent</w:t>
      </w:r>
      <w:r w:rsidR="007E1BC4">
        <w:rPr>
          <w:rFonts w:cs="Arial"/>
          <w:color w:val="002060"/>
          <w:sz w:val="24"/>
          <w:szCs w:val="24"/>
        </w:rPr>
        <w:t xml:space="preserve"> position</w:t>
      </w:r>
      <w:r w:rsidRPr="00A813F3">
        <w:rPr>
          <w:rFonts w:cs="Arial"/>
          <w:color w:val="002060"/>
          <w:sz w:val="24"/>
          <w:szCs w:val="24"/>
        </w:rPr>
        <w:t>, probation, etc.</w:t>
      </w:r>
    </w:p>
    <w:p w:rsidR="000849DF" w:rsidRPr="00A813F3" w:rsidRDefault="000849DF" w:rsidP="000849DF">
      <w:pPr>
        <w:ind w:left="360"/>
        <w:rPr>
          <w:rFonts w:cs="Arial"/>
          <w:color w:val="002060"/>
          <w:sz w:val="24"/>
          <w:szCs w:val="24"/>
        </w:rPr>
      </w:pPr>
      <w:r w:rsidRPr="00A813F3">
        <w:rPr>
          <w:rFonts w:cs="Arial"/>
          <w:color w:val="002060"/>
          <w:sz w:val="24"/>
          <w:szCs w:val="24"/>
        </w:rPr>
        <w:t>As with all employment contracts any changes could be made but with the agreement of both parties. I have just reduced my working hours and thus I had to go through a</w:t>
      </w:r>
      <w:r w:rsidR="008A38DF">
        <w:rPr>
          <w:rFonts w:cs="Arial"/>
          <w:color w:val="002060"/>
          <w:sz w:val="24"/>
          <w:szCs w:val="24"/>
        </w:rPr>
        <w:t>n application</w:t>
      </w:r>
      <w:r w:rsidRPr="00A813F3">
        <w:rPr>
          <w:rFonts w:cs="Arial"/>
          <w:color w:val="002060"/>
          <w:sz w:val="24"/>
          <w:szCs w:val="24"/>
        </w:rPr>
        <w:t xml:space="preserve"> pro</w:t>
      </w:r>
      <w:r w:rsidR="008A38DF">
        <w:rPr>
          <w:rFonts w:cs="Arial"/>
          <w:color w:val="002060"/>
          <w:sz w:val="24"/>
          <w:szCs w:val="24"/>
        </w:rPr>
        <w:t>cess, acceptance</w:t>
      </w:r>
      <w:r w:rsidRPr="00A813F3">
        <w:rPr>
          <w:rFonts w:cs="Arial"/>
          <w:color w:val="002060"/>
          <w:sz w:val="24"/>
          <w:szCs w:val="24"/>
        </w:rPr>
        <w:t xml:space="preserve"> and my contract amended. In a past role all employees were asked to change their working pattern to include weekends, a one off payment w</w:t>
      </w:r>
      <w:r w:rsidR="008A38DF">
        <w:rPr>
          <w:rFonts w:cs="Arial"/>
          <w:color w:val="002060"/>
          <w:sz w:val="24"/>
          <w:szCs w:val="24"/>
        </w:rPr>
        <w:t>as given to encourage agreement</w:t>
      </w:r>
      <w:r w:rsidRPr="00A813F3">
        <w:rPr>
          <w:rFonts w:cs="Arial"/>
          <w:color w:val="002060"/>
          <w:sz w:val="24"/>
          <w:szCs w:val="24"/>
        </w:rPr>
        <w:t xml:space="preserve"> but some staff did not accept this and different contracts now exist in this </w:t>
      </w:r>
      <w:proofErr w:type="spellStart"/>
      <w:r w:rsidRPr="00A813F3">
        <w:rPr>
          <w:rFonts w:cs="Arial"/>
          <w:color w:val="002060"/>
          <w:sz w:val="24"/>
          <w:szCs w:val="24"/>
        </w:rPr>
        <w:t>organisation</w:t>
      </w:r>
      <w:proofErr w:type="spellEnd"/>
      <w:r w:rsidRPr="00A813F3">
        <w:rPr>
          <w:rFonts w:cs="Arial"/>
          <w:color w:val="002060"/>
          <w:sz w:val="24"/>
          <w:szCs w:val="24"/>
        </w:rPr>
        <w:t xml:space="preserve">. </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There is a grey area relating to ‘contracts of services’ in comparison to ‘contracts of service’. Simply described by Taylor &amp; </w:t>
      </w:r>
      <w:proofErr w:type="spellStart"/>
      <w:r w:rsidRPr="00A813F3">
        <w:rPr>
          <w:rFonts w:cs="Arial"/>
          <w:color w:val="002060"/>
          <w:sz w:val="24"/>
          <w:szCs w:val="24"/>
        </w:rPr>
        <w:t>Woodhams</w:t>
      </w:r>
      <w:proofErr w:type="spellEnd"/>
      <w:r w:rsidR="00010F77" w:rsidRPr="00A813F3">
        <w:rPr>
          <w:rFonts w:cs="Arial"/>
          <w:color w:val="002060"/>
          <w:sz w:val="24"/>
          <w:szCs w:val="24"/>
        </w:rPr>
        <w:t xml:space="preserve"> (2016)</w:t>
      </w:r>
      <w:r w:rsidR="008A38DF">
        <w:rPr>
          <w:rFonts w:cs="Arial"/>
          <w:color w:val="002060"/>
          <w:sz w:val="24"/>
          <w:szCs w:val="24"/>
        </w:rPr>
        <w:t>,</w:t>
      </w:r>
      <w:r w:rsidRPr="00A813F3">
        <w:rPr>
          <w:rFonts w:cs="Arial"/>
          <w:color w:val="002060"/>
          <w:sz w:val="24"/>
          <w:szCs w:val="24"/>
        </w:rPr>
        <w:t xml:space="preserve"> in this instance those under a ‘contract of services’ would not always benefit from the full safeguarding of all employment law.</w:t>
      </w:r>
    </w:p>
    <w:p w:rsidR="000849DF" w:rsidRPr="00A813F3" w:rsidRDefault="000849DF" w:rsidP="000849DF">
      <w:pPr>
        <w:ind w:left="360"/>
        <w:rPr>
          <w:rFonts w:cs="Arial"/>
          <w:color w:val="002060"/>
          <w:sz w:val="24"/>
          <w:szCs w:val="24"/>
        </w:rPr>
      </w:pPr>
      <w:r w:rsidRPr="00A813F3">
        <w:rPr>
          <w:rFonts w:cs="Arial"/>
          <w:color w:val="002060"/>
          <w:sz w:val="24"/>
          <w:szCs w:val="24"/>
        </w:rPr>
        <w:t>A good example of this</w:t>
      </w:r>
      <w:r w:rsidR="008A38DF">
        <w:rPr>
          <w:rFonts w:cs="Arial"/>
          <w:color w:val="002060"/>
          <w:sz w:val="24"/>
          <w:szCs w:val="24"/>
        </w:rPr>
        <w:t xml:space="preserve"> is </w:t>
      </w:r>
      <w:r w:rsidRPr="00A813F3">
        <w:rPr>
          <w:rFonts w:cs="Arial"/>
          <w:color w:val="002060"/>
          <w:sz w:val="24"/>
          <w:szCs w:val="24"/>
        </w:rPr>
        <w:t xml:space="preserve">the case of </w:t>
      </w:r>
      <w:proofErr w:type="spellStart"/>
      <w:r w:rsidRPr="008A38DF">
        <w:rPr>
          <w:rFonts w:cs="Arial"/>
          <w:i/>
          <w:color w:val="002060"/>
          <w:sz w:val="24"/>
          <w:szCs w:val="24"/>
        </w:rPr>
        <w:t>Pimlico</w:t>
      </w:r>
      <w:proofErr w:type="spellEnd"/>
      <w:r w:rsidRPr="008A38DF">
        <w:rPr>
          <w:rFonts w:cs="Arial"/>
          <w:i/>
          <w:color w:val="002060"/>
          <w:sz w:val="24"/>
          <w:szCs w:val="24"/>
        </w:rPr>
        <w:t xml:space="preserve"> Plumbers v Smith Supreme Court</w:t>
      </w:r>
      <w:r w:rsidRPr="00A813F3">
        <w:rPr>
          <w:rFonts w:cs="Arial"/>
          <w:color w:val="002060"/>
          <w:sz w:val="24"/>
          <w:szCs w:val="24"/>
        </w:rPr>
        <w:t>. A plumber working on a contract that described him as self-employed was in fact a worker and thus was entitled to various employment rights.</w:t>
      </w:r>
    </w:p>
    <w:p w:rsidR="000849DF" w:rsidRPr="00A813F3" w:rsidRDefault="000849DF" w:rsidP="000849DF">
      <w:pPr>
        <w:ind w:left="360"/>
        <w:rPr>
          <w:rFonts w:cs="Arial"/>
          <w:color w:val="002060"/>
          <w:sz w:val="24"/>
          <w:szCs w:val="24"/>
        </w:rPr>
      </w:pPr>
      <w:r w:rsidRPr="00A813F3">
        <w:rPr>
          <w:rFonts w:cs="Arial"/>
          <w:color w:val="002060"/>
          <w:sz w:val="24"/>
          <w:szCs w:val="24"/>
        </w:rPr>
        <w:t xml:space="preserve">This case highlighted specific areas and the </w:t>
      </w:r>
      <w:proofErr w:type="spellStart"/>
      <w:r w:rsidRPr="00A813F3">
        <w:rPr>
          <w:rFonts w:cs="Arial"/>
          <w:color w:val="002060"/>
          <w:sz w:val="24"/>
          <w:szCs w:val="24"/>
        </w:rPr>
        <w:t>Pimlico</w:t>
      </w:r>
      <w:proofErr w:type="spellEnd"/>
      <w:r w:rsidRPr="00A813F3">
        <w:rPr>
          <w:rFonts w:cs="Arial"/>
          <w:color w:val="002060"/>
          <w:sz w:val="24"/>
          <w:szCs w:val="24"/>
        </w:rPr>
        <w:t xml:space="preserve"> outcome posed the question of whether individuals were genuinely self-employed</w:t>
      </w:r>
      <w:r w:rsidR="00010F77" w:rsidRPr="00A813F3">
        <w:rPr>
          <w:rFonts w:cs="Arial"/>
          <w:color w:val="002060"/>
          <w:sz w:val="24"/>
          <w:szCs w:val="24"/>
        </w:rPr>
        <w:t>. (Burges-Salmon</w:t>
      </w:r>
      <w:r w:rsidR="00D67C46" w:rsidRPr="00A813F3">
        <w:rPr>
          <w:rFonts w:cs="Arial"/>
          <w:color w:val="002060"/>
          <w:sz w:val="24"/>
          <w:szCs w:val="24"/>
        </w:rPr>
        <w:t>, 2018</w:t>
      </w:r>
      <w:r w:rsidR="00010F77" w:rsidRPr="00A813F3">
        <w:rPr>
          <w:rFonts w:cs="Arial"/>
          <w:color w:val="002060"/>
          <w:sz w:val="24"/>
          <w:szCs w:val="24"/>
        </w:rPr>
        <w:t>)</w:t>
      </w:r>
    </w:p>
    <w:p w:rsidR="000849DF" w:rsidRPr="00C77DE4" w:rsidRDefault="000849DF" w:rsidP="000849DF">
      <w:pPr>
        <w:rPr>
          <w:rFonts w:cs="Arial"/>
          <w:sz w:val="24"/>
          <w:szCs w:val="24"/>
        </w:rPr>
      </w:pPr>
      <w:r w:rsidRPr="00C77DE4">
        <w:rPr>
          <w:rFonts w:cs="Arial"/>
          <w:sz w:val="24"/>
          <w:szCs w:val="24"/>
        </w:rPr>
        <w:br/>
      </w:r>
    </w:p>
    <w:p w:rsidR="000849DF" w:rsidRPr="008A38DF" w:rsidRDefault="000849DF" w:rsidP="000849DF">
      <w:pPr>
        <w:pStyle w:val="ListParagraph"/>
        <w:numPr>
          <w:ilvl w:val="0"/>
          <w:numId w:val="1"/>
        </w:numPr>
        <w:rPr>
          <w:rFonts w:cs="Arial"/>
          <w:color w:val="002060"/>
          <w:sz w:val="24"/>
          <w:szCs w:val="24"/>
          <w:u w:val="single"/>
        </w:rPr>
      </w:pPr>
      <w:r w:rsidRPr="008A38DF">
        <w:rPr>
          <w:rFonts w:cs="Arial"/>
          <w:color w:val="002060"/>
          <w:sz w:val="24"/>
          <w:szCs w:val="24"/>
          <w:u w:val="single"/>
        </w:rPr>
        <w:t xml:space="preserve">An </w:t>
      </w:r>
      <w:proofErr w:type="spellStart"/>
      <w:r w:rsidRPr="008A38DF">
        <w:rPr>
          <w:rFonts w:cs="Arial"/>
          <w:color w:val="002060"/>
          <w:sz w:val="24"/>
          <w:szCs w:val="24"/>
          <w:u w:val="single"/>
        </w:rPr>
        <w:t>organisation</w:t>
      </w:r>
      <w:proofErr w:type="spellEnd"/>
      <w:r w:rsidRPr="008A38DF">
        <w:rPr>
          <w:rFonts w:cs="Arial"/>
          <w:color w:val="002060"/>
          <w:sz w:val="24"/>
          <w:szCs w:val="24"/>
          <w:u w:val="single"/>
        </w:rPr>
        <w:t xml:space="preserve"> is planning a major </w:t>
      </w:r>
      <w:proofErr w:type="spellStart"/>
      <w:r w:rsidRPr="008A38DF">
        <w:rPr>
          <w:rFonts w:cs="Arial"/>
          <w:color w:val="002060"/>
          <w:sz w:val="24"/>
          <w:szCs w:val="24"/>
          <w:u w:val="single"/>
        </w:rPr>
        <w:t>reorganisation</w:t>
      </w:r>
      <w:proofErr w:type="spellEnd"/>
      <w:r w:rsidRPr="008A38DF">
        <w:rPr>
          <w:rFonts w:cs="Arial"/>
          <w:color w:val="002060"/>
          <w:sz w:val="24"/>
          <w:szCs w:val="24"/>
          <w:u w:val="single"/>
        </w:rPr>
        <w:t xml:space="preserve"> which will involve moving some staff to other sites and outsourcing a major function to a sub-contractor. </w:t>
      </w:r>
      <w:r w:rsidRPr="008A38DF">
        <w:rPr>
          <w:rFonts w:cs="Arial"/>
          <w:color w:val="002060"/>
          <w:sz w:val="24"/>
          <w:szCs w:val="24"/>
          <w:u w:val="single"/>
        </w:rPr>
        <w:br/>
      </w:r>
    </w:p>
    <w:p w:rsidR="000849DF" w:rsidRPr="00A813F3" w:rsidRDefault="000849DF" w:rsidP="000849DF">
      <w:pPr>
        <w:ind w:left="360"/>
        <w:rPr>
          <w:rFonts w:cs="Arial"/>
          <w:color w:val="002060"/>
          <w:sz w:val="24"/>
          <w:szCs w:val="24"/>
          <w:u w:val="single"/>
        </w:rPr>
      </w:pPr>
      <w:r w:rsidRPr="00A813F3">
        <w:rPr>
          <w:rFonts w:cs="Arial"/>
          <w:color w:val="002060"/>
          <w:sz w:val="24"/>
          <w:szCs w:val="24"/>
          <w:u w:val="single"/>
        </w:rPr>
        <w:t>Outline when and how contracts can be changed lawfully</w:t>
      </w:r>
    </w:p>
    <w:p w:rsidR="000849DF" w:rsidRPr="00A813F3" w:rsidRDefault="000849DF" w:rsidP="000849DF">
      <w:pPr>
        <w:pStyle w:val="ListParagraph"/>
        <w:rPr>
          <w:rFonts w:cs="Arial"/>
          <w:color w:val="002060"/>
          <w:sz w:val="24"/>
          <w:szCs w:val="24"/>
        </w:rPr>
      </w:pPr>
    </w:p>
    <w:p w:rsidR="000849DF" w:rsidRPr="00A813F3" w:rsidRDefault="000849DF" w:rsidP="000849DF">
      <w:pPr>
        <w:ind w:firstLine="360"/>
        <w:rPr>
          <w:rFonts w:cs="Arial"/>
          <w:color w:val="002060"/>
          <w:sz w:val="24"/>
          <w:szCs w:val="24"/>
        </w:rPr>
      </w:pPr>
      <w:r w:rsidRPr="00A813F3">
        <w:rPr>
          <w:rFonts w:cs="Arial"/>
          <w:color w:val="002060"/>
          <w:sz w:val="24"/>
          <w:szCs w:val="24"/>
        </w:rPr>
        <w:t>A contract can be legally changed if the current contract held:-</w:t>
      </w:r>
    </w:p>
    <w:p w:rsidR="000849DF" w:rsidRPr="00A813F3" w:rsidRDefault="000849DF" w:rsidP="000849DF">
      <w:pPr>
        <w:pStyle w:val="ListParagraph"/>
        <w:numPr>
          <w:ilvl w:val="0"/>
          <w:numId w:val="4"/>
        </w:numPr>
        <w:rPr>
          <w:rFonts w:cs="Arial"/>
          <w:color w:val="002060"/>
          <w:sz w:val="24"/>
          <w:szCs w:val="24"/>
        </w:rPr>
      </w:pPr>
      <w:r w:rsidRPr="00A813F3">
        <w:rPr>
          <w:rFonts w:cs="Arial"/>
          <w:color w:val="002060"/>
          <w:sz w:val="24"/>
          <w:szCs w:val="24"/>
        </w:rPr>
        <w:t>Is wide ranging enough to allow for it</w:t>
      </w:r>
    </w:p>
    <w:p w:rsidR="000849DF" w:rsidRPr="00A813F3" w:rsidRDefault="000849DF" w:rsidP="000849DF">
      <w:pPr>
        <w:pStyle w:val="ListParagraph"/>
        <w:numPr>
          <w:ilvl w:val="0"/>
          <w:numId w:val="4"/>
        </w:numPr>
        <w:rPr>
          <w:rFonts w:cs="Arial"/>
          <w:color w:val="002060"/>
          <w:sz w:val="24"/>
          <w:szCs w:val="24"/>
        </w:rPr>
      </w:pPr>
      <w:r w:rsidRPr="00A813F3">
        <w:rPr>
          <w:rFonts w:cs="Arial"/>
          <w:color w:val="002060"/>
          <w:sz w:val="24"/>
          <w:szCs w:val="24"/>
        </w:rPr>
        <w:t>It contains a contractual right</w:t>
      </w:r>
    </w:p>
    <w:p w:rsidR="000849DF" w:rsidRPr="00A813F3" w:rsidRDefault="000849DF" w:rsidP="000849DF">
      <w:pPr>
        <w:pStyle w:val="ListParagraph"/>
        <w:numPr>
          <w:ilvl w:val="0"/>
          <w:numId w:val="4"/>
        </w:numPr>
        <w:rPr>
          <w:rFonts w:cs="Arial"/>
          <w:color w:val="002060"/>
          <w:sz w:val="24"/>
          <w:szCs w:val="24"/>
        </w:rPr>
      </w:pPr>
      <w:r w:rsidRPr="00A813F3">
        <w:rPr>
          <w:rFonts w:cs="Arial"/>
          <w:color w:val="002060"/>
          <w:sz w:val="24"/>
          <w:szCs w:val="24"/>
        </w:rPr>
        <w:t>It contains flexibility to vary its terms, this is only likely to relate to minor amendments</w:t>
      </w:r>
    </w:p>
    <w:p w:rsidR="000849DF" w:rsidRPr="00A813F3" w:rsidRDefault="000849DF" w:rsidP="000849DF">
      <w:pPr>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It is classed as a contractual variation and must fulfill ether an economic, technical or </w:t>
      </w:r>
      <w:proofErr w:type="spellStart"/>
      <w:r w:rsidRPr="00A813F3">
        <w:rPr>
          <w:rFonts w:cs="Arial"/>
          <w:color w:val="002060"/>
          <w:sz w:val="24"/>
          <w:szCs w:val="24"/>
        </w:rPr>
        <w:t>organisational</w:t>
      </w:r>
      <w:proofErr w:type="spellEnd"/>
      <w:r w:rsidRPr="00A813F3">
        <w:rPr>
          <w:rFonts w:cs="Arial"/>
          <w:color w:val="002060"/>
          <w:sz w:val="24"/>
          <w:szCs w:val="24"/>
        </w:rPr>
        <w:t xml:space="preserve"> (ETO) need.</w:t>
      </w:r>
    </w:p>
    <w:p w:rsidR="000849DF" w:rsidRPr="00A813F3" w:rsidRDefault="000849DF" w:rsidP="000849DF">
      <w:pPr>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In the instance of moving employees to another site of work, mobility clauses are often present in a contract of employment and permit an employer to move an employee providing sufficient notice is given. </w:t>
      </w:r>
    </w:p>
    <w:p w:rsidR="000849DF" w:rsidRPr="00A813F3" w:rsidRDefault="000849DF" w:rsidP="000849DF">
      <w:pPr>
        <w:ind w:left="360"/>
        <w:rPr>
          <w:rFonts w:cs="Arial"/>
          <w:color w:val="002060"/>
          <w:sz w:val="24"/>
          <w:szCs w:val="24"/>
        </w:rPr>
      </w:pPr>
      <w:r w:rsidRPr="00A813F3">
        <w:rPr>
          <w:rFonts w:cs="Arial"/>
          <w:color w:val="002060"/>
          <w:sz w:val="24"/>
          <w:szCs w:val="24"/>
        </w:rPr>
        <w:t>In a previous role in Barclays Bank, this was a common practice and a months’ notice was required to move an individual from one branch to another to work. If the notice period was not met then an employee would be entitled to refuse</w:t>
      </w:r>
      <w:r w:rsidR="008A38DF">
        <w:rPr>
          <w:rFonts w:cs="Arial"/>
          <w:color w:val="002060"/>
          <w:sz w:val="24"/>
          <w:szCs w:val="24"/>
        </w:rPr>
        <w:t>,</w:t>
      </w:r>
      <w:r w:rsidRPr="00A813F3">
        <w:rPr>
          <w:rFonts w:cs="Arial"/>
          <w:color w:val="002060"/>
          <w:sz w:val="24"/>
          <w:szCs w:val="24"/>
        </w:rPr>
        <w:t xml:space="preserve"> pending the full notice</w:t>
      </w:r>
      <w:r w:rsidR="008A38DF">
        <w:rPr>
          <w:rFonts w:cs="Arial"/>
          <w:color w:val="002060"/>
          <w:sz w:val="24"/>
          <w:szCs w:val="24"/>
        </w:rPr>
        <w:t xml:space="preserve"> allowed</w:t>
      </w:r>
      <w:r w:rsidRPr="00A813F3">
        <w:rPr>
          <w:rFonts w:cs="Arial"/>
          <w:color w:val="002060"/>
          <w:sz w:val="24"/>
          <w:szCs w:val="24"/>
        </w:rPr>
        <w:t xml:space="preserve"> or claim a travel allowance to meet any incurred cost over and above their current cost. </w:t>
      </w:r>
    </w:p>
    <w:p w:rsidR="000849DF" w:rsidRPr="00A813F3" w:rsidRDefault="000849DF" w:rsidP="000849DF">
      <w:pPr>
        <w:rPr>
          <w:rFonts w:cs="Arial"/>
          <w:color w:val="002060"/>
          <w:sz w:val="24"/>
          <w:szCs w:val="24"/>
        </w:rPr>
      </w:pPr>
    </w:p>
    <w:p w:rsidR="000849DF" w:rsidRPr="00A813F3" w:rsidRDefault="000849DF" w:rsidP="000849DF">
      <w:pPr>
        <w:rPr>
          <w:rFonts w:cs="Arial"/>
          <w:color w:val="002060"/>
          <w:sz w:val="24"/>
          <w:szCs w:val="24"/>
        </w:rPr>
      </w:pPr>
    </w:p>
    <w:p w:rsidR="000849DF" w:rsidRPr="00A813F3" w:rsidRDefault="000849DF" w:rsidP="000849DF">
      <w:pPr>
        <w:ind w:firstLine="360"/>
        <w:rPr>
          <w:rFonts w:cs="Arial"/>
          <w:color w:val="002060"/>
          <w:sz w:val="24"/>
          <w:szCs w:val="24"/>
          <w:u w:val="single"/>
        </w:rPr>
      </w:pPr>
      <w:proofErr w:type="spellStart"/>
      <w:r w:rsidRPr="00A813F3">
        <w:rPr>
          <w:rFonts w:cs="Arial"/>
          <w:color w:val="002060"/>
          <w:sz w:val="24"/>
          <w:szCs w:val="24"/>
          <w:u w:val="single"/>
        </w:rPr>
        <w:t>Summarise</w:t>
      </w:r>
      <w:proofErr w:type="spellEnd"/>
      <w:r w:rsidRPr="00A813F3">
        <w:rPr>
          <w:rFonts w:cs="Arial"/>
          <w:color w:val="002060"/>
          <w:sz w:val="24"/>
          <w:szCs w:val="24"/>
          <w:u w:val="single"/>
        </w:rPr>
        <w:t xml:space="preserve"> the main requirements of the law on business transfers.</w:t>
      </w:r>
    </w:p>
    <w:p w:rsidR="000849DF" w:rsidRDefault="000849DF" w:rsidP="000849DF">
      <w:pPr>
        <w:rPr>
          <w:rFonts w:cs="Arial"/>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In the instance of outsourcing to another contractor </w:t>
      </w:r>
      <w:r w:rsidR="008A38DF">
        <w:rPr>
          <w:rFonts w:cs="Arial"/>
          <w:color w:val="002060"/>
          <w:sz w:val="24"/>
          <w:szCs w:val="24"/>
        </w:rPr>
        <w:t>a</w:t>
      </w:r>
      <w:r w:rsidRPr="00A813F3">
        <w:rPr>
          <w:rFonts w:cs="Arial"/>
          <w:color w:val="002060"/>
          <w:sz w:val="24"/>
          <w:szCs w:val="24"/>
        </w:rPr>
        <w:t>gain this is not an uncommon practice in today’s environment and falls under the rules of TUPE (</w:t>
      </w:r>
      <w:r w:rsidRPr="00A813F3">
        <w:rPr>
          <w:rFonts w:cs="Arial"/>
          <w:i/>
          <w:color w:val="002060"/>
          <w:sz w:val="24"/>
          <w:szCs w:val="24"/>
        </w:rPr>
        <w:t>Transfer of Undertakings Regulations 1981</w:t>
      </w:r>
      <w:r w:rsidRPr="00A813F3">
        <w:rPr>
          <w:rFonts w:cs="Arial"/>
          <w:color w:val="002060"/>
          <w:sz w:val="24"/>
          <w:szCs w:val="24"/>
        </w:rPr>
        <w:t>). The transfer has to be a “clearly defined economic enti</w:t>
      </w:r>
      <w:r w:rsidR="00010F77" w:rsidRPr="00A813F3">
        <w:rPr>
          <w:rFonts w:cs="Arial"/>
          <w:color w:val="002060"/>
          <w:sz w:val="24"/>
          <w:szCs w:val="24"/>
        </w:rPr>
        <w:t>ty” as described by Daniels (2019)</w:t>
      </w:r>
      <w:r w:rsidRPr="00A813F3">
        <w:rPr>
          <w:rFonts w:cs="Arial"/>
          <w:color w:val="002060"/>
          <w:sz w:val="24"/>
          <w:szCs w:val="24"/>
        </w:rPr>
        <w:t>. She goes on to explain that these regulations protect the employees who are being transferred and ensure that they are not disadvantaged in any way. These employees should be consulted with throughout, before, during and after the transfer has taken place.</w:t>
      </w:r>
    </w:p>
    <w:p w:rsidR="000849DF" w:rsidRPr="00A813F3" w:rsidRDefault="000849DF" w:rsidP="000849DF">
      <w:pPr>
        <w:ind w:left="360"/>
        <w:rPr>
          <w:rFonts w:cs="Arial"/>
          <w:color w:val="002060"/>
          <w:sz w:val="24"/>
          <w:szCs w:val="24"/>
        </w:rPr>
      </w:pPr>
    </w:p>
    <w:p w:rsidR="008A38DF" w:rsidRDefault="000849DF" w:rsidP="000849DF">
      <w:pPr>
        <w:ind w:left="360"/>
        <w:rPr>
          <w:rFonts w:cs="Arial"/>
          <w:color w:val="002060"/>
          <w:sz w:val="24"/>
          <w:szCs w:val="24"/>
        </w:rPr>
      </w:pPr>
      <w:r w:rsidRPr="00A813F3">
        <w:rPr>
          <w:rFonts w:cs="Arial"/>
          <w:color w:val="002060"/>
          <w:sz w:val="24"/>
          <w:szCs w:val="24"/>
        </w:rPr>
        <w:t xml:space="preserve">This may also include negotiating with Trade Unions. </w:t>
      </w:r>
    </w:p>
    <w:p w:rsidR="008A38DF" w:rsidRDefault="008A38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During the consultation the employer must provide the employee with information relating to the transfer i.e. reason for transfer, date of transfer, implications of the transfer (social, legal, economic).</w:t>
      </w:r>
    </w:p>
    <w:p w:rsidR="000849DF" w:rsidRPr="00A813F3" w:rsidRDefault="000849DF" w:rsidP="000849DF">
      <w:pPr>
        <w:ind w:left="360"/>
        <w:rPr>
          <w:rFonts w:cs="Arial"/>
          <w:color w:val="002060"/>
          <w:sz w:val="24"/>
          <w:szCs w:val="24"/>
        </w:rPr>
      </w:pPr>
      <w:r w:rsidRPr="00A813F3">
        <w:rPr>
          <w:rFonts w:cs="Arial"/>
          <w:color w:val="002060"/>
          <w:sz w:val="24"/>
          <w:szCs w:val="24"/>
        </w:rPr>
        <w:t>If a consultation does not take place or is deemed inadequate then both transferee and transferor are liable to pay employee compensation of up to 13 weeks’ pay.</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 As part of the transfer the terms and conditions of their current employment should be maintained, an example of this might be length of service, holiday entitlement, employment benefits etc. However, any occupational pension would not transfer.</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An employee has the right to refuse the transfe</w:t>
      </w:r>
      <w:r w:rsidR="008A38DF">
        <w:rPr>
          <w:rFonts w:cs="Arial"/>
          <w:color w:val="002060"/>
          <w:sz w:val="24"/>
          <w:szCs w:val="24"/>
        </w:rPr>
        <w:t>r and thus would be resigning bu</w:t>
      </w:r>
      <w:r w:rsidRPr="00A813F3">
        <w:rPr>
          <w:rFonts w:cs="Arial"/>
          <w:color w:val="002060"/>
          <w:sz w:val="24"/>
          <w:szCs w:val="24"/>
        </w:rPr>
        <w:t>t would not be entitled to redundancy under these circumstances and cannot bring a case of unfair dismissal.</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The current employer must provide the new employer were specific information at least 28 days before the transfer and this includes e.g. employee names, ages, disciplinary, grievance in the last two years</w:t>
      </w:r>
    </w:p>
    <w:p w:rsidR="000849DF" w:rsidRPr="00A813F3" w:rsidRDefault="000849DF" w:rsidP="000849DF">
      <w:pPr>
        <w:ind w:left="360"/>
        <w:rPr>
          <w:rFonts w:cs="Arial"/>
          <w:color w:val="002060"/>
          <w:sz w:val="24"/>
          <w:szCs w:val="24"/>
        </w:rPr>
      </w:pPr>
      <w:r w:rsidRPr="00A813F3">
        <w:rPr>
          <w:rFonts w:cs="Arial"/>
          <w:color w:val="002060"/>
          <w:sz w:val="24"/>
          <w:szCs w:val="24"/>
        </w:rPr>
        <w:t xml:space="preserve">                                                                                                                                                                               </w:t>
      </w:r>
      <w:r w:rsidRPr="00A813F3">
        <w:rPr>
          <w:rFonts w:cs="Arial"/>
          <w:color w:val="002060"/>
          <w:sz w:val="24"/>
          <w:szCs w:val="24"/>
        </w:rPr>
        <w:br/>
      </w:r>
      <w:r w:rsidRPr="00A813F3">
        <w:rPr>
          <w:rFonts w:cs="Arial"/>
          <w:color w:val="002060"/>
          <w:sz w:val="24"/>
          <w:szCs w:val="24"/>
          <w:u w:val="single"/>
        </w:rPr>
        <w:t>Explain briefly the main requirements of redundancy law</w:t>
      </w:r>
    </w:p>
    <w:p w:rsidR="000849DF" w:rsidRPr="00A813F3" w:rsidRDefault="000849DF" w:rsidP="000849DF">
      <w:pPr>
        <w:ind w:firstLine="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 xml:space="preserve">Having been a ‘victim’ of this on a number of occasions, I have witnessed both poor and positive practices. As with the TUPE approach an employer must undertake a consultation with employees, this process can vary according to the number of employee redundancies:- </w:t>
      </w:r>
    </w:p>
    <w:p w:rsidR="000849DF" w:rsidRPr="00A813F3" w:rsidRDefault="000849DF" w:rsidP="000849DF">
      <w:pPr>
        <w:ind w:left="360"/>
        <w:rPr>
          <w:rFonts w:cs="Arial"/>
          <w:color w:val="002060"/>
          <w:sz w:val="24"/>
          <w:szCs w:val="24"/>
        </w:rPr>
      </w:pPr>
      <w:r w:rsidRPr="00A813F3">
        <w:rPr>
          <w:rFonts w:cs="Arial"/>
          <w:color w:val="002060"/>
          <w:sz w:val="24"/>
          <w:szCs w:val="24"/>
        </w:rPr>
        <w:t>100+ = 45 day consultation</w:t>
      </w:r>
    </w:p>
    <w:p w:rsidR="000849DF" w:rsidRPr="00A813F3" w:rsidRDefault="000849DF" w:rsidP="000849DF">
      <w:pPr>
        <w:ind w:left="360"/>
        <w:rPr>
          <w:rFonts w:cs="Arial"/>
          <w:color w:val="002060"/>
          <w:sz w:val="24"/>
          <w:szCs w:val="24"/>
        </w:rPr>
      </w:pPr>
      <w:r w:rsidRPr="00A813F3">
        <w:rPr>
          <w:rFonts w:cs="Arial"/>
          <w:color w:val="002060"/>
          <w:sz w:val="24"/>
          <w:szCs w:val="24"/>
        </w:rPr>
        <w:t>20-99 = 30 day consultation</w:t>
      </w:r>
    </w:p>
    <w:p w:rsidR="000849DF" w:rsidRPr="00A813F3" w:rsidRDefault="000849DF" w:rsidP="000849DF">
      <w:pPr>
        <w:ind w:left="360"/>
        <w:rPr>
          <w:rFonts w:cs="Arial"/>
          <w:color w:val="002060"/>
          <w:sz w:val="24"/>
          <w:szCs w:val="24"/>
        </w:rPr>
      </w:pPr>
      <w:r w:rsidRPr="00A813F3">
        <w:rPr>
          <w:rFonts w:cs="Arial"/>
          <w:color w:val="002060"/>
          <w:sz w:val="24"/>
          <w:szCs w:val="24"/>
        </w:rPr>
        <w:t>Employees must be provided with a range of information including number of redundancies, redundancy calculation, process etc.</w:t>
      </w:r>
    </w:p>
    <w:p w:rsidR="000849DF" w:rsidRPr="00A813F3" w:rsidRDefault="000849DF" w:rsidP="000849DF">
      <w:pPr>
        <w:ind w:left="360"/>
        <w:rPr>
          <w:rFonts w:cs="Arial"/>
          <w:color w:val="002060"/>
          <w:sz w:val="24"/>
          <w:szCs w:val="24"/>
        </w:rPr>
      </w:pPr>
      <w:r w:rsidRPr="00A813F3">
        <w:rPr>
          <w:rFonts w:cs="Arial"/>
          <w:color w:val="002060"/>
          <w:sz w:val="24"/>
          <w:szCs w:val="24"/>
        </w:rPr>
        <w:t>Employers do not have to offer voluntary redundancy and the selection process must be fair and reasonable. I have experienced both the last in, first out approach along with selection by performance and interview, where a scoring system was used.</w:t>
      </w:r>
    </w:p>
    <w:p w:rsidR="000849DF" w:rsidRPr="00A813F3" w:rsidRDefault="000849DF" w:rsidP="000849DF">
      <w:pPr>
        <w:ind w:left="360"/>
        <w:rPr>
          <w:rFonts w:cs="Arial"/>
          <w:color w:val="002060"/>
          <w:sz w:val="24"/>
          <w:szCs w:val="24"/>
        </w:rPr>
      </w:pPr>
      <w:r w:rsidRPr="00A813F3">
        <w:rPr>
          <w:rFonts w:cs="Arial"/>
          <w:color w:val="002060"/>
          <w:sz w:val="24"/>
          <w:szCs w:val="24"/>
        </w:rPr>
        <w:lastRenderedPageBreak/>
        <w:t>I was invited to an individual consultation and had the right to bring some one with me. This is the expected process, likewise I also had the right to appeal the decision.</w:t>
      </w:r>
    </w:p>
    <w:p w:rsidR="000849DF" w:rsidRPr="00A813F3" w:rsidRDefault="000849DF" w:rsidP="000849DF">
      <w:pPr>
        <w:ind w:left="360"/>
        <w:rPr>
          <w:rFonts w:cs="Arial"/>
          <w:color w:val="002060"/>
          <w:sz w:val="24"/>
          <w:szCs w:val="24"/>
        </w:rPr>
      </w:pPr>
      <w:r w:rsidRPr="00A813F3">
        <w:rPr>
          <w:rFonts w:cs="Arial"/>
          <w:color w:val="002060"/>
          <w:sz w:val="24"/>
          <w:szCs w:val="24"/>
        </w:rPr>
        <w:t>There is a statutory redundancy pay calculation as basic but I was fortunate enough to receive an enhanced package provide</w:t>
      </w:r>
      <w:r w:rsidR="008A38DF">
        <w:rPr>
          <w:rFonts w:cs="Arial"/>
          <w:color w:val="002060"/>
          <w:sz w:val="24"/>
          <w:szCs w:val="24"/>
        </w:rPr>
        <w:t xml:space="preserve">d by the </w:t>
      </w:r>
      <w:proofErr w:type="spellStart"/>
      <w:r w:rsidR="008A38DF">
        <w:rPr>
          <w:rFonts w:cs="Arial"/>
          <w:color w:val="002060"/>
          <w:sz w:val="24"/>
          <w:szCs w:val="24"/>
        </w:rPr>
        <w:t>organisation</w:t>
      </w:r>
      <w:proofErr w:type="spellEnd"/>
      <w:r w:rsidR="008A38DF">
        <w:rPr>
          <w:rFonts w:cs="Arial"/>
          <w:color w:val="002060"/>
          <w:sz w:val="24"/>
          <w:szCs w:val="24"/>
        </w:rPr>
        <w:t xml:space="preserve"> in which </w:t>
      </w:r>
      <w:r w:rsidRPr="00A813F3">
        <w:rPr>
          <w:rFonts w:cs="Arial"/>
          <w:color w:val="002060"/>
          <w:sz w:val="24"/>
          <w:szCs w:val="24"/>
        </w:rPr>
        <w:t xml:space="preserve">I worked. Interestingly, this enhancement also came with certain conditions e.g. returning to the same </w:t>
      </w:r>
      <w:proofErr w:type="spellStart"/>
      <w:r w:rsidRPr="00A813F3">
        <w:rPr>
          <w:rFonts w:cs="Arial"/>
          <w:color w:val="002060"/>
          <w:sz w:val="24"/>
          <w:szCs w:val="24"/>
        </w:rPr>
        <w:t>organisation</w:t>
      </w:r>
      <w:proofErr w:type="spellEnd"/>
      <w:r w:rsidRPr="00A813F3">
        <w:rPr>
          <w:rFonts w:cs="Arial"/>
          <w:color w:val="002060"/>
          <w:sz w:val="24"/>
          <w:szCs w:val="24"/>
        </w:rPr>
        <w:t xml:space="preserve"> in anot</w:t>
      </w:r>
      <w:r w:rsidR="008A38DF">
        <w:rPr>
          <w:rFonts w:cs="Arial"/>
          <w:color w:val="002060"/>
          <w:sz w:val="24"/>
          <w:szCs w:val="24"/>
        </w:rPr>
        <w:t>her role for the next 12 months was prohibited.</w:t>
      </w:r>
    </w:p>
    <w:p w:rsidR="000849DF" w:rsidRPr="00A813F3" w:rsidRDefault="000849DF" w:rsidP="000849DF">
      <w:pPr>
        <w:ind w:left="360"/>
        <w:rPr>
          <w:rFonts w:cs="Arial"/>
          <w:color w:val="002060"/>
          <w:sz w:val="24"/>
          <w:szCs w:val="24"/>
        </w:rPr>
      </w:pPr>
    </w:p>
    <w:p w:rsidR="000849DF" w:rsidRPr="00A813F3" w:rsidRDefault="000849DF" w:rsidP="000849DF">
      <w:pPr>
        <w:ind w:left="360"/>
        <w:rPr>
          <w:rFonts w:cs="Arial"/>
          <w:color w:val="002060"/>
          <w:sz w:val="24"/>
          <w:szCs w:val="24"/>
        </w:rPr>
      </w:pPr>
      <w:r w:rsidRPr="00A813F3">
        <w:rPr>
          <w:rFonts w:cs="Arial"/>
          <w:color w:val="002060"/>
          <w:sz w:val="24"/>
          <w:szCs w:val="24"/>
        </w:rPr>
        <w:t>Redeployment can also be an option with redundancy where an employee may be offered an alternative role or re-engage</w:t>
      </w:r>
      <w:r w:rsidR="008A38DF">
        <w:rPr>
          <w:rFonts w:cs="Arial"/>
          <w:color w:val="002060"/>
          <w:sz w:val="24"/>
          <w:szCs w:val="24"/>
        </w:rPr>
        <w:t>d by the employer</w:t>
      </w:r>
      <w:r w:rsidRPr="00A813F3">
        <w:rPr>
          <w:rFonts w:cs="Arial"/>
          <w:color w:val="002060"/>
          <w:sz w:val="24"/>
          <w:szCs w:val="24"/>
        </w:rPr>
        <w:t xml:space="preserve"> within 4 weeks of their redundancy offering them a suitable role with the same </w:t>
      </w:r>
      <w:r w:rsidR="00010F77" w:rsidRPr="00A813F3">
        <w:rPr>
          <w:rFonts w:cs="Arial"/>
          <w:color w:val="002060"/>
          <w:sz w:val="24"/>
          <w:szCs w:val="24"/>
        </w:rPr>
        <w:t>terms</w:t>
      </w:r>
      <w:r w:rsidRPr="00A813F3">
        <w:rPr>
          <w:rFonts w:cs="Arial"/>
          <w:color w:val="002060"/>
          <w:sz w:val="24"/>
          <w:szCs w:val="24"/>
        </w:rPr>
        <w:t xml:space="preserve"> and conditions previously held. </w:t>
      </w:r>
    </w:p>
    <w:p w:rsidR="000849DF" w:rsidRPr="00A813F3" w:rsidRDefault="000849DF" w:rsidP="000849DF">
      <w:pPr>
        <w:ind w:firstLine="360"/>
        <w:rPr>
          <w:rFonts w:cs="Arial"/>
          <w:color w:val="002060"/>
          <w:sz w:val="24"/>
          <w:szCs w:val="24"/>
        </w:rPr>
      </w:pPr>
    </w:p>
    <w:p w:rsidR="000849DF" w:rsidRPr="00A813F3" w:rsidRDefault="000849DF" w:rsidP="000849DF">
      <w:pPr>
        <w:pStyle w:val="ListParagraph"/>
        <w:numPr>
          <w:ilvl w:val="0"/>
          <w:numId w:val="1"/>
        </w:numPr>
        <w:rPr>
          <w:rFonts w:cs="Arial"/>
          <w:color w:val="002060"/>
          <w:sz w:val="24"/>
          <w:szCs w:val="24"/>
        </w:rPr>
      </w:pPr>
      <w:proofErr w:type="spellStart"/>
      <w:r w:rsidRPr="00A813F3">
        <w:rPr>
          <w:rFonts w:cs="Arial"/>
          <w:color w:val="002060"/>
          <w:sz w:val="24"/>
          <w:szCs w:val="24"/>
        </w:rPr>
        <w:t>Summarise</w:t>
      </w:r>
      <w:proofErr w:type="spellEnd"/>
      <w:r w:rsidRPr="00A813F3">
        <w:rPr>
          <w:rFonts w:cs="Arial"/>
          <w:color w:val="002060"/>
          <w:sz w:val="24"/>
          <w:szCs w:val="24"/>
        </w:rPr>
        <w:t xml:space="preserve">: </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br/>
        <w:t xml:space="preserve">(a) </w:t>
      </w:r>
      <w:proofErr w:type="gramStart"/>
      <w:r w:rsidRPr="00A813F3">
        <w:rPr>
          <w:rFonts w:cs="Arial"/>
          <w:color w:val="002060"/>
          <w:sz w:val="24"/>
          <w:szCs w:val="24"/>
          <w:u w:val="single"/>
        </w:rPr>
        <w:t>the</w:t>
      </w:r>
      <w:proofErr w:type="gramEnd"/>
      <w:r w:rsidRPr="00A813F3">
        <w:rPr>
          <w:rFonts w:cs="Arial"/>
          <w:color w:val="002060"/>
          <w:sz w:val="24"/>
          <w:szCs w:val="24"/>
          <w:u w:val="single"/>
        </w:rPr>
        <w:t xml:space="preserve"> major statutory rights employees have in rel</w:t>
      </w:r>
      <w:r w:rsidR="003C5650" w:rsidRPr="00A813F3">
        <w:rPr>
          <w:rFonts w:cs="Arial"/>
          <w:color w:val="002060"/>
          <w:sz w:val="24"/>
          <w:szCs w:val="24"/>
          <w:u w:val="single"/>
        </w:rPr>
        <w:t xml:space="preserve">ation to pay, holidays and </w:t>
      </w:r>
      <w:r w:rsidR="003C5650" w:rsidRPr="00A813F3">
        <w:rPr>
          <w:rFonts w:cs="Arial"/>
          <w:color w:val="002060"/>
          <w:sz w:val="24"/>
          <w:szCs w:val="24"/>
          <w:u w:val="single"/>
        </w:rPr>
        <w:br/>
      </w:r>
      <w:r w:rsidRPr="00A813F3">
        <w:rPr>
          <w:rFonts w:cs="Arial"/>
          <w:color w:val="002060"/>
          <w:sz w:val="24"/>
          <w:szCs w:val="24"/>
          <w:u w:val="single"/>
        </w:rPr>
        <w:t xml:space="preserve"> working time and,</w:t>
      </w:r>
      <w:r w:rsidRPr="00A813F3">
        <w:rPr>
          <w:rFonts w:cs="Arial"/>
          <w:color w:val="002060"/>
          <w:sz w:val="24"/>
          <w:szCs w:val="24"/>
        </w:rPr>
        <w:t xml:space="preserve"> </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 xml:space="preserve">An employee </w:t>
      </w:r>
      <w:r w:rsidR="008A38DF">
        <w:rPr>
          <w:rFonts w:cs="Arial"/>
          <w:color w:val="002060"/>
          <w:sz w:val="24"/>
          <w:szCs w:val="24"/>
        </w:rPr>
        <w:t>‘works’ for their employer and Working T</w:t>
      </w:r>
      <w:r w:rsidRPr="00A813F3">
        <w:rPr>
          <w:rFonts w:cs="Arial"/>
          <w:color w:val="002060"/>
          <w:sz w:val="24"/>
          <w:szCs w:val="24"/>
        </w:rPr>
        <w:t>ime describes the time that the employee fulfills this</w:t>
      </w:r>
      <w:r w:rsidR="008A38DF">
        <w:rPr>
          <w:rFonts w:cs="Arial"/>
          <w:color w:val="002060"/>
          <w:sz w:val="24"/>
          <w:szCs w:val="24"/>
        </w:rPr>
        <w:t>,</w:t>
      </w:r>
      <w:r w:rsidRPr="00A813F3">
        <w:rPr>
          <w:rFonts w:cs="Arial"/>
          <w:color w:val="002060"/>
          <w:sz w:val="24"/>
          <w:szCs w:val="24"/>
        </w:rPr>
        <w:t xml:space="preserve"> including any appropriate training.</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Working Time sets out the practices and regulations which should be followed by an employer as a minimum, they are basic employer rights. It includes the number of working hours in a week, rest times, annual leave entitlements along with night worker and young worker rules.</w:t>
      </w:r>
    </w:p>
    <w:p w:rsidR="008A38DF" w:rsidRDefault="000849DF" w:rsidP="000849DF">
      <w:pPr>
        <w:pStyle w:val="ListParagraph"/>
        <w:ind w:left="360"/>
        <w:rPr>
          <w:rFonts w:cs="Arial"/>
          <w:color w:val="002060"/>
          <w:sz w:val="24"/>
          <w:szCs w:val="24"/>
        </w:rPr>
      </w:pPr>
      <w:r w:rsidRPr="00A813F3">
        <w:rPr>
          <w:rFonts w:cs="Arial"/>
          <w:color w:val="002060"/>
          <w:sz w:val="24"/>
          <w:szCs w:val="24"/>
        </w:rPr>
        <w:t xml:space="preserve">It would appear that these are clearly defined however, employees do have the option to formally and lawfully opt out of the 48 hours per week restriction. </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This can be reversed with prior notice given of three months.</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Likewise</w:t>
      </w:r>
      <w:r w:rsidR="008A38DF">
        <w:rPr>
          <w:rFonts w:cs="Arial"/>
          <w:color w:val="002060"/>
          <w:sz w:val="24"/>
          <w:szCs w:val="24"/>
        </w:rPr>
        <w:t>,</w:t>
      </w:r>
      <w:r w:rsidRPr="00A813F3">
        <w:rPr>
          <w:rFonts w:cs="Arial"/>
          <w:color w:val="002060"/>
          <w:sz w:val="24"/>
          <w:szCs w:val="24"/>
        </w:rPr>
        <w:t xml:space="preserve"> an employer can seek a workforce agreement with its employees to vary these regulations and adjust its practices to suit </w:t>
      </w:r>
      <w:r w:rsidR="008A38DF">
        <w:rPr>
          <w:rFonts w:cs="Arial"/>
          <w:color w:val="002060"/>
          <w:sz w:val="24"/>
          <w:szCs w:val="24"/>
        </w:rPr>
        <w:t xml:space="preserve">its </w:t>
      </w:r>
      <w:r w:rsidRPr="00A813F3">
        <w:rPr>
          <w:rFonts w:cs="Arial"/>
          <w:color w:val="002060"/>
          <w:sz w:val="24"/>
          <w:szCs w:val="24"/>
        </w:rPr>
        <w:t>need</w:t>
      </w:r>
      <w:r w:rsidR="008A38DF">
        <w:rPr>
          <w:rFonts w:cs="Arial"/>
          <w:color w:val="002060"/>
          <w:sz w:val="24"/>
          <w:szCs w:val="24"/>
        </w:rPr>
        <w:t>s</w:t>
      </w:r>
      <w:r w:rsidRPr="00A813F3">
        <w:rPr>
          <w:rFonts w:cs="Arial"/>
          <w:color w:val="002060"/>
          <w:sz w:val="24"/>
          <w:szCs w:val="24"/>
        </w:rPr>
        <w:t>. This would impact the whole of the workforce and is open to interpretation.</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Equal pay law states that men and women should be paid the same for doing the same job. To challenge this an employee must evidence a ‘comparator’ who also works/has worked for the same employer and receives greater benefit than the claimant.</w:t>
      </w:r>
    </w:p>
    <w:p w:rsidR="000849DF" w:rsidRPr="00A813F3" w:rsidRDefault="000849DF" w:rsidP="000849DF">
      <w:pPr>
        <w:pStyle w:val="ListParagraph"/>
        <w:ind w:left="360"/>
        <w:rPr>
          <w:rFonts w:cs="Arial"/>
          <w:color w:val="002060"/>
          <w:sz w:val="24"/>
          <w:szCs w:val="24"/>
        </w:rPr>
      </w:pPr>
      <w:r w:rsidRPr="00A813F3">
        <w:rPr>
          <w:rFonts w:cs="Arial"/>
          <w:i/>
          <w:color w:val="002060"/>
          <w:sz w:val="24"/>
          <w:szCs w:val="24"/>
        </w:rPr>
        <w:t>The National Minimum Wage Act 1998</w:t>
      </w:r>
      <w:r w:rsidRPr="00A813F3">
        <w:rPr>
          <w:rFonts w:cs="Arial"/>
          <w:color w:val="002060"/>
          <w:sz w:val="24"/>
          <w:szCs w:val="24"/>
        </w:rPr>
        <w:t xml:space="preserve"> exists alongside the </w:t>
      </w:r>
      <w:r w:rsidRPr="008A38DF">
        <w:rPr>
          <w:rFonts w:cs="Arial"/>
          <w:i/>
          <w:color w:val="002060"/>
          <w:sz w:val="24"/>
          <w:szCs w:val="24"/>
        </w:rPr>
        <w:t>National Living</w:t>
      </w:r>
      <w:r w:rsidRPr="00A813F3">
        <w:rPr>
          <w:rFonts w:cs="Arial"/>
          <w:color w:val="002060"/>
          <w:sz w:val="24"/>
          <w:szCs w:val="24"/>
        </w:rPr>
        <w:t xml:space="preserve"> </w:t>
      </w:r>
      <w:r w:rsidRPr="008A38DF">
        <w:rPr>
          <w:rFonts w:cs="Arial"/>
          <w:i/>
          <w:color w:val="002060"/>
          <w:sz w:val="24"/>
          <w:szCs w:val="24"/>
        </w:rPr>
        <w:t>Wage</w:t>
      </w:r>
      <w:r w:rsidR="008A38DF">
        <w:rPr>
          <w:rFonts w:cs="Arial"/>
          <w:color w:val="002060"/>
          <w:sz w:val="24"/>
          <w:szCs w:val="24"/>
        </w:rPr>
        <w:t>,</w:t>
      </w:r>
      <w:r w:rsidRPr="00A813F3">
        <w:rPr>
          <w:rFonts w:cs="Arial"/>
          <w:color w:val="002060"/>
          <w:sz w:val="24"/>
          <w:szCs w:val="24"/>
        </w:rPr>
        <w:t xml:space="preserve"> which lists minimum payment rates for employees, this is banded by age along with an apprentice rate.</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 xml:space="preserve">According to </w:t>
      </w:r>
      <w:r w:rsidR="008C5533" w:rsidRPr="00A813F3">
        <w:rPr>
          <w:rFonts w:cs="Arial"/>
          <w:color w:val="002060"/>
          <w:sz w:val="24"/>
          <w:szCs w:val="24"/>
        </w:rPr>
        <w:t xml:space="preserve">the </w:t>
      </w:r>
      <w:r w:rsidR="008C5533" w:rsidRPr="00A813F3">
        <w:rPr>
          <w:rFonts w:cs="Arial"/>
          <w:i/>
          <w:color w:val="002060"/>
          <w:sz w:val="24"/>
          <w:szCs w:val="24"/>
        </w:rPr>
        <w:t>Advisory, Conciliation and Arbitration Service</w:t>
      </w:r>
      <w:r w:rsidR="008C5533" w:rsidRPr="00A813F3">
        <w:rPr>
          <w:rFonts w:cs="Arial"/>
          <w:color w:val="002060"/>
          <w:sz w:val="24"/>
          <w:szCs w:val="24"/>
        </w:rPr>
        <w:t xml:space="preserve"> (</w:t>
      </w:r>
      <w:r w:rsidRPr="00A813F3">
        <w:rPr>
          <w:rFonts w:cs="Arial"/>
          <w:color w:val="002060"/>
          <w:sz w:val="24"/>
          <w:szCs w:val="24"/>
        </w:rPr>
        <w:t>ACAS</w:t>
      </w:r>
      <w:r w:rsidR="008C5533" w:rsidRPr="00A813F3">
        <w:rPr>
          <w:rFonts w:cs="Arial"/>
          <w:i/>
          <w:color w:val="002060"/>
          <w:sz w:val="24"/>
          <w:szCs w:val="24"/>
        </w:rPr>
        <w:t>)</w:t>
      </w:r>
      <w:r w:rsidRPr="00A813F3">
        <w:rPr>
          <w:rFonts w:cs="Arial"/>
          <w:color w:val="002060"/>
          <w:sz w:val="24"/>
          <w:szCs w:val="24"/>
        </w:rPr>
        <w:t xml:space="preserve"> all employees, from the first day of employment are entitled to 5.6 weeks paid holiday per year pro rata to the number of days they work. Employers can include the eight UK bank holidays within this figure. The rate at which holiday pay is met should be equal to their working pay. If an empl</w:t>
      </w:r>
      <w:r w:rsidR="008A38DF">
        <w:rPr>
          <w:rFonts w:cs="Arial"/>
          <w:color w:val="002060"/>
          <w:sz w:val="24"/>
          <w:szCs w:val="24"/>
        </w:rPr>
        <w:t>oyees working pattern varies the</w:t>
      </w:r>
      <w:r w:rsidRPr="00A813F3">
        <w:rPr>
          <w:rFonts w:cs="Arial"/>
          <w:color w:val="002060"/>
          <w:sz w:val="24"/>
          <w:szCs w:val="24"/>
        </w:rPr>
        <w:t xml:space="preserve">n an average over the last year should be calculated. This should also include overtime, shift allowance, commission etc. </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In relation to sick pay entitlement ACAS refer</w:t>
      </w:r>
      <w:r w:rsidR="008A38DF">
        <w:rPr>
          <w:rFonts w:cs="Arial"/>
          <w:color w:val="002060"/>
          <w:sz w:val="24"/>
          <w:szCs w:val="24"/>
        </w:rPr>
        <w:t>s</w:t>
      </w:r>
      <w:r w:rsidRPr="00A813F3">
        <w:rPr>
          <w:rFonts w:cs="Arial"/>
          <w:color w:val="002060"/>
          <w:sz w:val="24"/>
          <w:szCs w:val="24"/>
        </w:rPr>
        <w:t xml:space="preserve"> an employee to their contract of employment. An employer cannot pay less than Statutory Sic</w:t>
      </w:r>
      <w:r w:rsidR="008A38DF">
        <w:rPr>
          <w:rFonts w:cs="Arial"/>
          <w:color w:val="002060"/>
          <w:sz w:val="24"/>
          <w:szCs w:val="24"/>
        </w:rPr>
        <w:t xml:space="preserve">k Pay. The first </w:t>
      </w:r>
      <w:r w:rsidR="008A38DF">
        <w:rPr>
          <w:rFonts w:cs="Arial"/>
          <w:color w:val="002060"/>
          <w:sz w:val="24"/>
          <w:szCs w:val="24"/>
        </w:rPr>
        <w:lastRenderedPageBreak/>
        <w:t>three</w:t>
      </w:r>
      <w:r w:rsidRPr="00A813F3">
        <w:rPr>
          <w:rFonts w:cs="Arial"/>
          <w:color w:val="002060"/>
          <w:sz w:val="24"/>
          <w:szCs w:val="24"/>
        </w:rPr>
        <w:t xml:space="preserve"> days of sickness are classed as waiting days and an employee would only be paid for days he would normally work.</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During any period of sickness an employee will continue to garnish holiday entitlement and likewise if someone is sick on a day that had been prearranged as holiday leave, they are entitled to retake this time.</w:t>
      </w: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 xml:space="preserve">Revisiting the </w:t>
      </w:r>
      <w:proofErr w:type="spellStart"/>
      <w:r w:rsidRPr="00A813F3">
        <w:rPr>
          <w:rFonts w:cs="Arial"/>
          <w:color w:val="002060"/>
          <w:sz w:val="24"/>
          <w:szCs w:val="24"/>
        </w:rPr>
        <w:t>Pimlico</w:t>
      </w:r>
      <w:proofErr w:type="spellEnd"/>
      <w:r w:rsidRPr="00A813F3">
        <w:rPr>
          <w:rFonts w:cs="Arial"/>
          <w:color w:val="002060"/>
          <w:sz w:val="24"/>
          <w:szCs w:val="24"/>
        </w:rPr>
        <w:t xml:space="preserve"> Plumber</w:t>
      </w:r>
      <w:r w:rsidR="008A38DF">
        <w:rPr>
          <w:rFonts w:cs="Arial"/>
          <w:color w:val="002060"/>
          <w:sz w:val="24"/>
          <w:szCs w:val="24"/>
        </w:rPr>
        <w:t xml:space="preserve"> case</w:t>
      </w:r>
      <w:r w:rsidRPr="00A813F3">
        <w:rPr>
          <w:rFonts w:cs="Arial"/>
          <w:color w:val="002060"/>
          <w:sz w:val="24"/>
          <w:szCs w:val="24"/>
        </w:rPr>
        <w:t xml:space="preserve"> highlighted earlier, an employee who was treated as self-employed and never took holiday may be able to recover up to 13 years of backdated holidays. (</w:t>
      </w:r>
      <w:r w:rsidR="0008554F" w:rsidRPr="00A813F3">
        <w:rPr>
          <w:rFonts w:cs="Arial"/>
          <w:color w:val="002060"/>
          <w:sz w:val="24"/>
          <w:szCs w:val="24"/>
        </w:rPr>
        <w:t>See</w:t>
      </w:r>
      <w:r w:rsidRPr="00A813F3">
        <w:rPr>
          <w:rFonts w:cs="Arial"/>
          <w:color w:val="002060"/>
          <w:sz w:val="24"/>
          <w:szCs w:val="24"/>
        </w:rPr>
        <w:t xml:space="preserve"> also the case of King </w:t>
      </w:r>
      <w:proofErr w:type="gramStart"/>
      <w:r w:rsidRPr="00A813F3">
        <w:rPr>
          <w:rFonts w:cs="Arial"/>
          <w:color w:val="002060"/>
          <w:sz w:val="24"/>
          <w:szCs w:val="24"/>
        </w:rPr>
        <w:t>v</w:t>
      </w:r>
      <w:proofErr w:type="gramEnd"/>
      <w:r w:rsidRPr="00A813F3">
        <w:rPr>
          <w:rFonts w:cs="Arial"/>
          <w:color w:val="002060"/>
          <w:sz w:val="24"/>
          <w:szCs w:val="24"/>
        </w:rPr>
        <w:t xml:space="preserve"> Sash Windows (2017)</w:t>
      </w:r>
    </w:p>
    <w:p w:rsidR="000849DF" w:rsidRPr="00A813F3" w:rsidRDefault="008C5533" w:rsidP="000849DF">
      <w:pPr>
        <w:pStyle w:val="ListParagraph"/>
        <w:ind w:left="360"/>
        <w:rPr>
          <w:rFonts w:cs="Arial"/>
          <w:color w:val="002060"/>
          <w:sz w:val="24"/>
          <w:szCs w:val="24"/>
        </w:rPr>
      </w:pPr>
      <w:r w:rsidRPr="00A813F3">
        <w:rPr>
          <w:color w:val="002060"/>
        </w:rPr>
        <w:t>(</w:t>
      </w:r>
      <w:r w:rsidRPr="008A38DF">
        <w:rPr>
          <w:color w:val="002060"/>
          <w:sz w:val="24"/>
          <w:szCs w:val="24"/>
        </w:rPr>
        <w:t>Personnel Today,2017)</w:t>
      </w:r>
      <w:r w:rsidR="000849DF" w:rsidRPr="00A813F3">
        <w:rPr>
          <w:rFonts w:cs="Arial"/>
          <w:color w:val="002060"/>
          <w:sz w:val="24"/>
          <w:szCs w:val="24"/>
        </w:rPr>
        <w:t xml:space="preserve"> that although </w:t>
      </w:r>
      <w:r w:rsidR="008A38DF" w:rsidRPr="00A813F3">
        <w:rPr>
          <w:rFonts w:cs="Arial"/>
          <w:color w:val="002060"/>
          <w:sz w:val="24"/>
          <w:szCs w:val="24"/>
        </w:rPr>
        <w:t>Mr.</w:t>
      </w:r>
      <w:r w:rsidR="000849DF" w:rsidRPr="00A813F3">
        <w:rPr>
          <w:rFonts w:cs="Arial"/>
          <w:color w:val="002060"/>
          <w:sz w:val="24"/>
          <w:szCs w:val="24"/>
        </w:rPr>
        <w:t xml:space="preserve"> King worked for a period on a commission only basis, he was still classed as a ‘worker’ under UK working time legislation and thus entitled to annual leave with pay or payment in lieu of leave.</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t xml:space="preserve">All employees have the right to an </w:t>
      </w:r>
      <w:proofErr w:type="spellStart"/>
      <w:r w:rsidRPr="00A813F3">
        <w:rPr>
          <w:rFonts w:cs="Arial"/>
          <w:color w:val="002060"/>
          <w:sz w:val="24"/>
          <w:szCs w:val="24"/>
        </w:rPr>
        <w:t>itemised</w:t>
      </w:r>
      <w:proofErr w:type="spellEnd"/>
      <w:r w:rsidRPr="00A813F3">
        <w:rPr>
          <w:rFonts w:cs="Arial"/>
          <w:color w:val="002060"/>
          <w:sz w:val="24"/>
          <w:szCs w:val="24"/>
        </w:rPr>
        <w:t xml:space="preserve"> pay statement which</w:t>
      </w:r>
      <w:r w:rsidR="0008554F">
        <w:rPr>
          <w:rFonts w:cs="Arial"/>
          <w:color w:val="002060"/>
          <w:sz w:val="24"/>
          <w:szCs w:val="24"/>
        </w:rPr>
        <w:t xml:space="preserve"> would list</w:t>
      </w:r>
      <w:r w:rsidRPr="00A813F3">
        <w:rPr>
          <w:rFonts w:cs="Arial"/>
          <w:color w:val="002060"/>
          <w:sz w:val="24"/>
          <w:szCs w:val="24"/>
        </w:rPr>
        <w:t xml:space="preserve"> any lawful deductions</w:t>
      </w:r>
      <w:r w:rsidR="0008554F">
        <w:rPr>
          <w:rFonts w:cs="Arial"/>
          <w:color w:val="002060"/>
          <w:sz w:val="24"/>
          <w:szCs w:val="24"/>
        </w:rPr>
        <w:t>,</w:t>
      </w:r>
      <w:r w:rsidRPr="00A813F3">
        <w:rPr>
          <w:rFonts w:cs="Arial"/>
          <w:color w:val="002060"/>
          <w:sz w:val="24"/>
          <w:szCs w:val="24"/>
        </w:rPr>
        <w:t xml:space="preserve"> this can include overpayment in salary, court orders, legislative and those agreed by contract. My own pay statement includes union membership deduction and gym membership</w:t>
      </w:r>
      <w:r w:rsidR="0008554F">
        <w:rPr>
          <w:rFonts w:cs="Arial"/>
          <w:color w:val="002060"/>
          <w:sz w:val="24"/>
          <w:szCs w:val="24"/>
        </w:rPr>
        <w:t>,</w:t>
      </w:r>
      <w:r w:rsidRPr="00A813F3">
        <w:rPr>
          <w:rFonts w:cs="Arial"/>
          <w:color w:val="002060"/>
          <w:sz w:val="24"/>
          <w:szCs w:val="24"/>
        </w:rPr>
        <w:t xml:space="preserve"> both have been agreed by contract.</w:t>
      </w:r>
    </w:p>
    <w:p w:rsidR="000849DF" w:rsidRPr="00A813F3" w:rsidRDefault="000849DF" w:rsidP="000849DF">
      <w:pPr>
        <w:pStyle w:val="ListParagraph"/>
        <w:ind w:left="360"/>
        <w:rPr>
          <w:rFonts w:cs="Arial"/>
          <w:color w:val="002060"/>
          <w:sz w:val="24"/>
          <w:szCs w:val="24"/>
        </w:rPr>
      </w:pPr>
    </w:p>
    <w:p w:rsidR="000849DF" w:rsidRPr="00A813F3" w:rsidRDefault="000849DF" w:rsidP="000849DF">
      <w:pPr>
        <w:pStyle w:val="ListParagraph"/>
        <w:ind w:left="360"/>
        <w:rPr>
          <w:rFonts w:cs="Arial"/>
          <w:color w:val="002060"/>
          <w:sz w:val="24"/>
          <w:szCs w:val="24"/>
        </w:rPr>
      </w:pPr>
      <w:r w:rsidRPr="00A813F3">
        <w:rPr>
          <w:rFonts w:cs="Arial"/>
          <w:color w:val="002060"/>
          <w:sz w:val="24"/>
          <w:szCs w:val="24"/>
        </w:rPr>
        <w:br/>
        <w:t>(b</w:t>
      </w:r>
      <w:r w:rsidRPr="00A813F3">
        <w:rPr>
          <w:rFonts w:cs="Arial"/>
          <w:color w:val="002060"/>
          <w:sz w:val="24"/>
          <w:szCs w:val="24"/>
          <w:u w:val="single"/>
        </w:rPr>
        <w:t xml:space="preserve">) </w:t>
      </w:r>
      <w:proofErr w:type="gramStart"/>
      <w:r w:rsidRPr="00A813F3">
        <w:rPr>
          <w:rFonts w:cs="Arial"/>
          <w:color w:val="002060"/>
          <w:sz w:val="24"/>
          <w:szCs w:val="24"/>
          <w:u w:val="single"/>
        </w:rPr>
        <w:t>the</w:t>
      </w:r>
      <w:proofErr w:type="gramEnd"/>
      <w:r w:rsidRPr="00A813F3">
        <w:rPr>
          <w:rFonts w:cs="Arial"/>
          <w:color w:val="002060"/>
          <w:sz w:val="24"/>
          <w:szCs w:val="24"/>
          <w:u w:val="single"/>
        </w:rPr>
        <w:t xml:space="preserve"> major maternity, paternity and other family-friendly employment rights</w:t>
      </w:r>
      <w:r w:rsidRPr="00A813F3">
        <w:rPr>
          <w:rFonts w:cs="Arial"/>
          <w:color w:val="002060"/>
          <w:sz w:val="24"/>
          <w:szCs w:val="24"/>
        </w:rPr>
        <w:t>.</w:t>
      </w:r>
    </w:p>
    <w:p w:rsidR="000849DF" w:rsidRPr="00A813F3" w:rsidRDefault="000849DF" w:rsidP="000849DF">
      <w:pPr>
        <w:pStyle w:val="ListParagraph"/>
        <w:ind w:left="360"/>
        <w:rPr>
          <w:rFonts w:cs="Arial"/>
          <w:color w:val="002060"/>
          <w:sz w:val="24"/>
          <w:szCs w:val="24"/>
        </w:rPr>
      </w:pPr>
    </w:p>
    <w:p w:rsidR="004A203F" w:rsidRPr="00A813F3" w:rsidRDefault="004A203F" w:rsidP="004A203F">
      <w:pPr>
        <w:pStyle w:val="ListParagraph"/>
        <w:ind w:left="360"/>
        <w:rPr>
          <w:rFonts w:cs="Arial"/>
          <w:color w:val="002060"/>
          <w:sz w:val="24"/>
          <w:szCs w:val="24"/>
        </w:rPr>
      </w:pPr>
      <w:r w:rsidRPr="00A813F3">
        <w:rPr>
          <w:rFonts w:cs="Arial"/>
          <w:color w:val="002060"/>
          <w:sz w:val="24"/>
          <w:szCs w:val="24"/>
        </w:rPr>
        <w:t>Family- friendly rights include:-</w:t>
      </w:r>
    </w:p>
    <w:p w:rsidR="004A203F" w:rsidRPr="00A813F3" w:rsidRDefault="004A203F" w:rsidP="004A203F">
      <w:pPr>
        <w:pStyle w:val="ListParagraph"/>
        <w:ind w:left="360"/>
        <w:rPr>
          <w:rFonts w:cs="Arial"/>
          <w:color w:val="002060"/>
          <w:sz w:val="24"/>
          <w:szCs w:val="24"/>
        </w:rPr>
      </w:pPr>
    </w:p>
    <w:p w:rsidR="004A203F" w:rsidRPr="00A813F3" w:rsidRDefault="004A203F" w:rsidP="004A203F">
      <w:pPr>
        <w:pStyle w:val="ListParagraph"/>
        <w:ind w:left="360"/>
        <w:rPr>
          <w:rFonts w:cs="Arial"/>
          <w:color w:val="002060"/>
          <w:sz w:val="24"/>
          <w:szCs w:val="24"/>
        </w:rPr>
      </w:pPr>
      <w:r w:rsidRPr="00A813F3">
        <w:rPr>
          <w:rFonts w:cs="Arial"/>
          <w:color w:val="002060"/>
          <w:sz w:val="24"/>
          <w:szCs w:val="24"/>
        </w:rPr>
        <w:t>Maternity &amp; antenatal – this area of law protects a woman through the time of her pregnancy and includes antenatal care, care at work and maternity leave.</w:t>
      </w:r>
      <w:r w:rsidR="0066617D" w:rsidRPr="00A813F3">
        <w:rPr>
          <w:rFonts w:cs="Arial"/>
          <w:color w:val="002060"/>
          <w:sz w:val="24"/>
          <w:szCs w:val="24"/>
        </w:rPr>
        <w:t xml:space="preserve"> Only employees who have a contract of employment qualify. The employee must formally inform her employer no later than the fifteenth week before the expected date of child birth, that she is pregnant, </w:t>
      </w:r>
    </w:p>
    <w:p w:rsidR="004A203F" w:rsidRPr="0008554F" w:rsidRDefault="004A203F" w:rsidP="0008554F">
      <w:pPr>
        <w:ind w:left="360"/>
        <w:rPr>
          <w:rFonts w:cs="Arial"/>
          <w:color w:val="002060"/>
          <w:sz w:val="24"/>
          <w:szCs w:val="24"/>
        </w:rPr>
      </w:pPr>
      <w:r w:rsidRPr="0008554F">
        <w:rPr>
          <w:rFonts w:cs="Arial"/>
          <w:color w:val="002060"/>
          <w:sz w:val="24"/>
          <w:szCs w:val="24"/>
        </w:rPr>
        <w:t>Daniels</w:t>
      </w:r>
      <w:r w:rsidR="0008554F">
        <w:rPr>
          <w:rFonts w:cs="Arial"/>
          <w:color w:val="002060"/>
          <w:sz w:val="24"/>
          <w:szCs w:val="24"/>
        </w:rPr>
        <w:t xml:space="preserve"> (2019)</w:t>
      </w:r>
      <w:r w:rsidRPr="0008554F">
        <w:rPr>
          <w:rFonts w:cs="Arial"/>
          <w:color w:val="002060"/>
          <w:sz w:val="24"/>
          <w:szCs w:val="24"/>
        </w:rPr>
        <w:t xml:space="preserve"> highlights that paid time to attend antenatal appointment during work time is permitted and more recently this also includes the women’s partner in a ‘qualifying relationship’ to also attend two antenatal appointments.</w:t>
      </w:r>
    </w:p>
    <w:p w:rsidR="004A203F" w:rsidRPr="00A813F3" w:rsidRDefault="004A203F" w:rsidP="004A203F">
      <w:pPr>
        <w:pStyle w:val="ListParagraph"/>
        <w:ind w:left="360"/>
        <w:rPr>
          <w:rFonts w:cs="Arial"/>
          <w:color w:val="002060"/>
          <w:sz w:val="24"/>
          <w:szCs w:val="24"/>
        </w:rPr>
      </w:pPr>
      <w:r w:rsidRPr="00A813F3">
        <w:rPr>
          <w:rFonts w:cs="Arial"/>
          <w:color w:val="002060"/>
          <w:sz w:val="24"/>
          <w:szCs w:val="24"/>
        </w:rPr>
        <w:t xml:space="preserve">The employer is required to assess any work related risks and </w:t>
      </w:r>
      <w:r w:rsidR="0008554F">
        <w:rPr>
          <w:rFonts w:cs="Arial"/>
          <w:color w:val="002060"/>
          <w:sz w:val="24"/>
          <w:szCs w:val="24"/>
        </w:rPr>
        <w:t>move</w:t>
      </w:r>
      <w:r w:rsidR="00724C05" w:rsidRPr="00A813F3">
        <w:rPr>
          <w:rFonts w:cs="Arial"/>
          <w:color w:val="002060"/>
          <w:sz w:val="24"/>
          <w:szCs w:val="24"/>
        </w:rPr>
        <w:t xml:space="preserve"> her to an alternative role if appropriate or at worst suspend her on full pay on maternity grounds.</w:t>
      </w:r>
    </w:p>
    <w:p w:rsidR="0008554F" w:rsidRDefault="00724C05" w:rsidP="0008554F">
      <w:pPr>
        <w:pStyle w:val="ListParagraph"/>
        <w:ind w:left="360"/>
        <w:rPr>
          <w:rFonts w:cs="Arial"/>
          <w:color w:val="002060"/>
          <w:sz w:val="24"/>
          <w:szCs w:val="24"/>
        </w:rPr>
      </w:pPr>
      <w:r w:rsidRPr="00A813F3">
        <w:rPr>
          <w:rFonts w:cs="Arial"/>
          <w:color w:val="002060"/>
          <w:sz w:val="24"/>
          <w:szCs w:val="24"/>
        </w:rPr>
        <w:t>Maternity lea</w:t>
      </w:r>
      <w:r w:rsidR="0008554F">
        <w:rPr>
          <w:rFonts w:cs="Arial"/>
          <w:color w:val="002060"/>
          <w:sz w:val="24"/>
          <w:szCs w:val="24"/>
        </w:rPr>
        <w:t>ve falls into three categories:-</w:t>
      </w:r>
    </w:p>
    <w:p w:rsidR="0008554F" w:rsidRPr="0008554F" w:rsidRDefault="0008554F" w:rsidP="0008554F">
      <w:pPr>
        <w:pStyle w:val="ListParagraph"/>
        <w:ind w:left="360"/>
        <w:rPr>
          <w:rFonts w:cs="Arial"/>
          <w:color w:val="002060"/>
          <w:sz w:val="24"/>
          <w:szCs w:val="24"/>
        </w:rPr>
      </w:pPr>
    </w:p>
    <w:p w:rsidR="00793BB5" w:rsidRPr="00A813F3" w:rsidRDefault="00724C05" w:rsidP="00793BB5">
      <w:pPr>
        <w:pStyle w:val="ListParagraph"/>
        <w:ind w:left="360"/>
        <w:rPr>
          <w:rFonts w:cs="Arial"/>
          <w:color w:val="002060"/>
          <w:sz w:val="24"/>
          <w:szCs w:val="24"/>
        </w:rPr>
      </w:pPr>
      <w:r w:rsidRPr="00A813F3">
        <w:rPr>
          <w:rFonts w:cs="Arial"/>
          <w:color w:val="002060"/>
          <w:sz w:val="24"/>
          <w:szCs w:val="24"/>
        </w:rPr>
        <w:t>Compulsory maternity leave (CML) and covers the two week</w:t>
      </w:r>
      <w:r w:rsidR="0008554F">
        <w:rPr>
          <w:rFonts w:cs="Arial"/>
          <w:color w:val="002060"/>
          <w:sz w:val="24"/>
          <w:szCs w:val="24"/>
        </w:rPr>
        <w:t>s</w:t>
      </w:r>
      <w:r w:rsidRPr="00A813F3">
        <w:rPr>
          <w:rFonts w:cs="Arial"/>
          <w:color w:val="002060"/>
          <w:sz w:val="24"/>
          <w:szCs w:val="24"/>
        </w:rPr>
        <w:t xml:space="preserve"> immediately following the date of child birth. At this time no employee can work for her employer. This leads into and is included in Ordinary Maternity Leave (OML)</w:t>
      </w:r>
      <w:r w:rsidR="0066617D" w:rsidRPr="00A813F3">
        <w:rPr>
          <w:rFonts w:cs="Arial"/>
          <w:color w:val="002060"/>
          <w:sz w:val="24"/>
          <w:szCs w:val="24"/>
        </w:rPr>
        <w:t>. All women are entitled to take a total of 26 weeks OML regardless of their length of service.</w:t>
      </w:r>
      <w:r w:rsidR="00793BB5" w:rsidRPr="00A813F3">
        <w:rPr>
          <w:rFonts w:cs="Arial"/>
          <w:color w:val="002060"/>
          <w:sz w:val="24"/>
          <w:szCs w:val="24"/>
        </w:rPr>
        <w:t xml:space="preserve"> Throughout maternity leave an employee is entitled to the benefits and terms and conditions of her employment and likewise must adhere to her contract, her continuous length of employment will also carry on. She will continue to garnish holiday entitlement and is able to partake in up to ten paid keeping in touch days (KIT). Additional Maternity Leave (AML) can be taken for up to a further 26 weeks. The main difference comes on returning to work when after OML a woman has the right to return to her original role, after AML the employer </w:t>
      </w:r>
      <w:r w:rsidR="00804F7B" w:rsidRPr="00A813F3">
        <w:rPr>
          <w:rFonts w:cs="Arial"/>
          <w:color w:val="002060"/>
          <w:sz w:val="24"/>
          <w:szCs w:val="24"/>
        </w:rPr>
        <w:t>is not bound to offer this role if not reasonably practicable and a similar role can be offered.</w:t>
      </w:r>
    </w:p>
    <w:p w:rsidR="00514C8B" w:rsidRPr="00A813F3" w:rsidRDefault="00514C8B" w:rsidP="00793BB5">
      <w:pPr>
        <w:pStyle w:val="ListParagraph"/>
        <w:ind w:left="360"/>
        <w:rPr>
          <w:rFonts w:cs="Arial"/>
          <w:color w:val="002060"/>
          <w:sz w:val="24"/>
          <w:szCs w:val="24"/>
        </w:rPr>
      </w:pPr>
    </w:p>
    <w:p w:rsidR="00514C8B" w:rsidRPr="00A813F3" w:rsidRDefault="00514C8B" w:rsidP="00793BB5">
      <w:pPr>
        <w:pStyle w:val="ListParagraph"/>
        <w:ind w:left="360"/>
        <w:rPr>
          <w:rFonts w:cs="Arial"/>
          <w:color w:val="002060"/>
          <w:sz w:val="24"/>
          <w:szCs w:val="24"/>
        </w:rPr>
      </w:pPr>
      <w:r w:rsidRPr="00A813F3">
        <w:rPr>
          <w:rFonts w:cs="Arial"/>
          <w:color w:val="002060"/>
          <w:sz w:val="24"/>
          <w:szCs w:val="24"/>
        </w:rPr>
        <w:t xml:space="preserve">. </w:t>
      </w:r>
    </w:p>
    <w:p w:rsidR="00804F7B" w:rsidRPr="00A813F3" w:rsidRDefault="00804F7B" w:rsidP="00793BB5">
      <w:pPr>
        <w:pStyle w:val="ListParagraph"/>
        <w:ind w:left="360"/>
        <w:rPr>
          <w:rFonts w:cs="Arial"/>
          <w:color w:val="002060"/>
          <w:sz w:val="24"/>
          <w:szCs w:val="24"/>
        </w:rPr>
      </w:pPr>
      <w:r w:rsidRPr="00A813F3">
        <w:rPr>
          <w:rFonts w:cs="Arial"/>
          <w:color w:val="002060"/>
          <w:sz w:val="24"/>
          <w:szCs w:val="24"/>
        </w:rPr>
        <w:lastRenderedPageBreak/>
        <w:t>The employee must notify her employer of her date to return to work giving at least eight weeks’ notice if wishing to return early. Likewise notice must also be given if she decides to delay her return.</w:t>
      </w:r>
    </w:p>
    <w:p w:rsidR="00804F7B" w:rsidRPr="00A813F3" w:rsidRDefault="00804F7B" w:rsidP="00793BB5">
      <w:pPr>
        <w:pStyle w:val="ListParagraph"/>
        <w:ind w:left="360"/>
        <w:rPr>
          <w:rFonts w:cs="Arial"/>
          <w:color w:val="002060"/>
          <w:sz w:val="24"/>
          <w:szCs w:val="24"/>
        </w:rPr>
      </w:pPr>
      <w:r w:rsidRPr="00A813F3">
        <w:rPr>
          <w:rFonts w:cs="Arial"/>
          <w:color w:val="002060"/>
          <w:sz w:val="24"/>
          <w:szCs w:val="24"/>
        </w:rPr>
        <w:t>Certain rights also exist if an employee decides to resign before going on maternity leave or during maternity leave</w:t>
      </w:r>
      <w:r w:rsidR="00514C8B" w:rsidRPr="00A813F3">
        <w:rPr>
          <w:rFonts w:cs="Arial"/>
          <w:color w:val="002060"/>
          <w:sz w:val="24"/>
          <w:szCs w:val="24"/>
        </w:rPr>
        <w:t xml:space="preserve"> and the employee would</w:t>
      </w:r>
      <w:r w:rsidRPr="00A813F3">
        <w:rPr>
          <w:rFonts w:cs="Arial"/>
          <w:color w:val="002060"/>
          <w:sz w:val="24"/>
          <w:szCs w:val="24"/>
        </w:rPr>
        <w:t xml:space="preserve"> fo</w:t>
      </w:r>
      <w:r w:rsidR="00514C8B" w:rsidRPr="00A813F3">
        <w:rPr>
          <w:rFonts w:cs="Arial"/>
          <w:color w:val="002060"/>
          <w:sz w:val="24"/>
          <w:szCs w:val="24"/>
        </w:rPr>
        <w:t>r</w:t>
      </w:r>
      <w:r w:rsidRPr="00A813F3">
        <w:rPr>
          <w:rFonts w:cs="Arial"/>
          <w:color w:val="002060"/>
          <w:sz w:val="24"/>
          <w:szCs w:val="24"/>
        </w:rPr>
        <w:t xml:space="preserve">feit </w:t>
      </w:r>
      <w:r w:rsidR="00514C8B" w:rsidRPr="00A813F3">
        <w:rPr>
          <w:rFonts w:cs="Arial"/>
          <w:color w:val="002060"/>
          <w:sz w:val="24"/>
          <w:szCs w:val="24"/>
        </w:rPr>
        <w:t>contractual benefits.</w:t>
      </w:r>
    </w:p>
    <w:p w:rsidR="00804F7B" w:rsidRPr="00A813F3" w:rsidRDefault="00804F7B" w:rsidP="00793BB5">
      <w:pPr>
        <w:pStyle w:val="ListParagraph"/>
        <w:ind w:left="360"/>
        <w:rPr>
          <w:rFonts w:cs="Arial"/>
          <w:color w:val="002060"/>
          <w:sz w:val="24"/>
          <w:szCs w:val="24"/>
        </w:rPr>
      </w:pPr>
    </w:p>
    <w:p w:rsidR="00804F7B" w:rsidRPr="00A813F3" w:rsidRDefault="00804F7B" w:rsidP="00793BB5">
      <w:pPr>
        <w:pStyle w:val="ListParagraph"/>
        <w:ind w:left="360"/>
        <w:rPr>
          <w:rFonts w:cs="Arial"/>
          <w:color w:val="002060"/>
          <w:sz w:val="24"/>
          <w:szCs w:val="24"/>
        </w:rPr>
      </w:pPr>
      <w:r w:rsidRPr="00A813F3">
        <w:rPr>
          <w:rFonts w:cs="Arial"/>
          <w:color w:val="002060"/>
          <w:sz w:val="24"/>
          <w:szCs w:val="24"/>
        </w:rPr>
        <w:t>From a pay perspective Statutory Maternity Pay (SMP) or Maternity Allowance (MA) are paid for the first 39 weeks of maternity leave</w:t>
      </w:r>
      <w:r w:rsidR="0008554F">
        <w:rPr>
          <w:rFonts w:cs="Arial"/>
          <w:color w:val="002060"/>
          <w:sz w:val="24"/>
          <w:szCs w:val="24"/>
        </w:rPr>
        <w:t>,</w:t>
      </w:r>
      <w:r w:rsidRPr="00A813F3">
        <w:rPr>
          <w:rFonts w:cs="Arial"/>
          <w:color w:val="002060"/>
          <w:sz w:val="24"/>
          <w:szCs w:val="24"/>
        </w:rPr>
        <w:t xml:space="preserve"> any further leave is unpaid.</w:t>
      </w:r>
    </w:p>
    <w:p w:rsidR="00514C8B" w:rsidRPr="00A813F3" w:rsidRDefault="00514C8B" w:rsidP="00793BB5">
      <w:pPr>
        <w:pStyle w:val="ListParagraph"/>
        <w:ind w:left="360"/>
        <w:rPr>
          <w:rFonts w:cs="Arial"/>
          <w:color w:val="002060"/>
          <w:sz w:val="24"/>
          <w:szCs w:val="24"/>
        </w:rPr>
      </w:pPr>
    </w:p>
    <w:p w:rsidR="00FD2288" w:rsidRPr="00A813F3" w:rsidRDefault="00514C8B" w:rsidP="000849DF">
      <w:pPr>
        <w:pStyle w:val="ListParagraph"/>
        <w:ind w:left="360"/>
        <w:rPr>
          <w:rFonts w:cs="Arial"/>
          <w:color w:val="002060"/>
          <w:sz w:val="24"/>
          <w:szCs w:val="24"/>
        </w:rPr>
      </w:pPr>
      <w:r w:rsidRPr="00A813F3">
        <w:rPr>
          <w:rFonts w:cs="Arial"/>
          <w:color w:val="002060"/>
          <w:sz w:val="24"/>
          <w:szCs w:val="24"/>
        </w:rPr>
        <w:t>Statutory Paternity L</w:t>
      </w:r>
      <w:r w:rsidR="00D67C46" w:rsidRPr="00A813F3">
        <w:rPr>
          <w:rFonts w:cs="Arial"/>
          <w:color w:val="002060"/>
          <w:sz w:val="24"/>
          <w:szCs w:val="24"/>
        </w:rPr>
        <w:t xml:space="preserve">eave was introduced as part of </w:t>
      </w:r>
      <w:r w:rsidR="00D67C46" w:rsidRPr="00A813F3">
        <w:rPr>
          <w:rFonts w:cs="Arial"/>
          <w:i/>
          <w:color w:val="002060"/>
          <w:sz w:val="24"/>
          <w:szCs w:val="24"/>
        </w:rPr>
        <w:t>T</w:t>
      </w:r>
      <w:r w:rsidRPr="00A813F3">
        <w:rPr>
          <w:rFonts w:cs="Arial"/>
          <w:i/>
          <w:color w:val="002060"/>
          <w:sz w:val="24"/>
          <w:szCs w:val="24"/>
        </w:rPr>
        <w:t>he Employment Act 2002</w:t>
      </w:r>
      <w:r w:rsidRPr="00A813F3">
        <w:rPr>
          <w:rFonts w:cs="Arial"/>
          <w:color w:val="002060"/>
          <w:sz w:val="24"/>
          <w:szCs w:val="24"/>
        </w:rPr>
        <w:t xml:space="preserve"> and an employee must have worked for the employer for 26 continuous weeks prior to the fifteenth week before the EWC. They must be the father of the child, mother’s husband or partner. As with maternity leave certain notices must </w:t>
      </w:r>
      <w:r w:rsidR="0008554F">
        <w:rPr>
          <w:rFonts w:cs="Arial"/>
          <w:color w:val="002060"/>
          <w:sz w:val="24"/>
          <w:szCs w:val="24"/>
        </w:rPr>
        <w:t xml:space="preserve">be </w:t>
      </w:r>
      <w:r w:rsidRPr="00A813F3">
        <w:rPr>
          <w:rFonts w:cs="Arial"/>
          <w:color w:val="002060"/>
          <w:sz w:val="24"/>
          <w:szCs w:val="24"/>
        </w:rPr>
        <w:t xml:space="preserve">adhered to and a maximum of two weeks </w:t>
      </w:r>
      <w:r w:rsidR="00FD2288" w:rsidRPr="00A813F3">
        <w:rPr>
          <w:rFonts w:cs="Arial"/>
          <w:color w:val="002060"/>
          <w:sz w:val="24"/>
          <w:szCs w:val="24"/>
        </w:rPr>
        <w:t xml:space="preserve">paternity </w:t>
      </w:r>
      <w:r w:rsidRPr="00A813F3">
        <w:rPr>
          <w:rFonts w:cs="Arial"/>
          <w:color w:val="002060"/>
          <w:sz w:val="24"/>
          <w:szCs w:val="24"/>
        </w:rPr>
        <w:t>leave</w:t>
      </w:r>
      <w:r w:rsidR="00FD2288" w:rsidRPr="00A813F3">
        <w:rPr>
          <w:rFonts w:cs="Arial"/>
          <w:color w:val="002060"/>
          <w:sz w:val="24"/>
          <w:szCs w:val="24"/>
        </w:rPr>
        <w:t xml:space="preserve"> at the lower rate of SMP. The employee would return to their original role and still maintains their terms and conditions of employment throughout the paternity leave. </w:t>
      </w:r>
    </w:p>
    <w:p w:rsidR="00FD2288" w:rsidRPr="00A813F3" w:rsidRDefault="00FD2288" w:rsidP="000849DF">
      <w:pPr>
        <w:pStyle w:val="ListParagraph"/>
        <w:ind w:left="360"/>
        <w:rPr>
          <w:rFonts w:cs="Arial"/>
          <w:color w:val="002060"/>
          <w:sz w:val="24"/>
          <w:szCs w:val="24"/>
        </w:rPr>
      </w:pPr>
    </w:p>
    <w:p w:rsidR="00FD2288" w:rsidRPr="00A813F3" w:rsidRDefault="00FD2288" w:rsidP="00FD2288">
      <w:pPr>
        <w:pStyle w:val="ListParagraph"/>
        <w:ind w:left="360"/>
        <w:rPr>
          <w:rFonts w:cs="Arial"/>
          <w:color w:val="002060"/>
          <w:sz w:val="24"/>
          <w:szCs w:val="24"/>
        </w:rPr>
      </w:pPr>
      <w:r w:rsidRPr="00A813F3">
        <w:rPr>
          <w:rFonts w:cs="Arial"/>
          <w:color w:val="002060"/>
          <w:sz w:val="24"/>
          <w:szCs w:val="24"/>
        </w:rPr>
        <w:t xml:space="preserve">Statutory Adoption Leave (SAL) also came into force under the same act and follows similar principals. </w:t>
      </w:r>
      <w:r w:rsidR="0008554F">
        <w:rPr>
          <w:rFonts w:cs="Arial"/>
          <w:color w:val="002060"/>
          <w:sz w:val="24"/>
          <w:szCs w:val="24"/>
        </w:rPr>
        <w:t>The</w:t>
      </w:r>
      <w:r w:rsidRPr="00A813F3">
        <w:rPr>
          <w:rFonts w:cs="Arial"/>
          <w:color w:val="002060"/>
          <w:sz w:val="24"/>
          <w:szCs w:val="24"/>
        </w:rPr>
        <w:t xml:space="preserve"> same SMP rights apply to partners adopting a child.</w:t>
      </w:r>
    </w:p>
    <w:p w:rsidR="00FD2288" w:rsidRPr="00A813F3" w:rsidRDefault="00FD2288" w:rsidP="00FD2288">
      <w:pPr>
        <w:pStyle w:val="ListParagraph"/>
        <w:ind w:left="360"/>
        <w:rPr>
          <w:rFonts w:cs="Arial"/>
          <w:color w:val="002060"/>
          <w:sz w:val="24"/>
          <w:szCs w:val="24"/>
        </w:rPr>
      </w:pPr>
    </w:p>
    <w:p w:rsidR="00C26A9C" w:rsidRPr="00A813F3" w:rsidRDefault="00FD2288" w:rsidP="00FD2288">
      <w:pPr>
        <w:pStyle w:val="ListParagraph"/>
        <w:ind w:left="360"/>
        <w:rPr>
          <w:rFonts w:cs="Arial"/>
          <w:color w:val="002060"/>
          <w:sz w:val="24"/>
          <w:szCs w:val="24"/>
        </w:rPr>
      </w:pPr>
      <w:r w:rsidRPr="00A813F3">
        <w:rPr>
          <w:rFonts w:cs="Arial"/>
          <w:color w:val="002060"/>
          <w:sz w:val="24"/>
          <w:szCs w:val="24"/>
        </w:rPr>
        <w:t>In 2014 Shared Parental Leave Regul</w:t>
      </w:r>
      <w:r w:rsidR="008C5533" w:rsidRPr="00A813F3">
        <w:rPr>
          <w:rFonts w:cs="Arial"/>
          <w:color w:val="002060"/>
          <w:sz w:val="24"/>
          <w:szCs w:val="24"/>
        </w:rPr>
        <w:t>ations were introduced. As</w:t>
      </w:r>
      <w:r w:rsidRPr="00A813F3">
        <w:rPr>
          <w:rFonts w:cs="Arial"/>
          <w:color w:val="002060"/>
          <w:sz w:val="24"/>
          <w:szCs w:val="24"/>
        </w:rPr>
        <w:t xml:space="preserve"> Daniels </w:t>
      </w:r>
      <w:r w:rsidR="008C5533" w:rsidRPr="00A813F3">
        <w:rPr>
          <w:rFonts w:cs="Arial"/>
          <w:color w:val="002060"/>
          <w:sz w:val="24"/>
          <w:szCs w:val="24"/>
        </w:rPr>
        <w:t xml:space="preserve">(2019) </w:t>
      </w:r>
      <w:r w:rsidRPr="00A813F3">
        <w:rPr>
          <w:rFonts w:cs="Arial"/>
          <w:color w:val="002060"/>
          <w:sz w:val="24"/>
          <w:szCs w:val="24"/>
        </w:rPr>
        <w:t xml:space="preserve">suggests it is quite simply a way of sharing the leave with a partner. </w:t>
      </w:r>
      <w:r w:rsidR="00C26A9C" w:rsidRPr="00A813F3">
        <w:rPr>
          <w:rFonts w:cs="Arial"/>
          <w:color w:val="002060"/>
          <w:sz w:val="24"/>
          <w:szCs w:val="24"/>
        </w:rPr>
        <w:t>This can give couples more choice and flexibility in the first year of having a child. Once again certain conditions must be met including that of having worked for the employer for at least 26 weeks by the fifteenth week before EWC and likewise the partner for 26 weeks in the 66 weeks leading up to the date that the baby is due and must have earned above the Maternity Allowance threshold for 13 of those 66 weeks.</w:t>
      </w:r>
    </w:p>
    <w:p w:rsidR="00C26A9C" w:rsidRPr="00A813F3" w:rsidRDefault="00C26A9C" w:rsidP="00FD2288">
      <w:pPr>
        <w:pStyle w:val="ListParagraph"/>
        <w:ind w:left="360"/>
        <w:rPr>
          <w:rFonts w:cs="Arial"/>
          <w:color w:val="002060"/>
          <w:sz w:val="24"/>
          <w:szCs w:val="24"/>
        </w:rPr>
      </w:pPr>
    </w:p>
    <w:p w:rsidR="009F75DC" w:rsidRPr="00A813F3" w:rsidRDefault="0008554F" w:rsidP="00FD2288">
      <w:pPr>
        <w:pStyle w:val="ListParagraph"/>
        <w:ind w:left="360"/>
        <w:rPr>
          <w:rFonts w:cs="Arial"/>
          <w:color w:val="002060"/>
          <w:sz w:val="24"/>
          <w:szCs w:val="24"/>
        </w:rPr>
      </w:pPr>
      <w:r>
        <w:rPr>
          <w:rFonts w:cs="Arial"/>
          <w:color w:val="002060"/>
          <w:sz w:val="24"/>
          <w:szCs w:val="24"/>
        </w:rPr>
        <w:t>Parental Leave,</w:t>
      </w:r>
      <w:r w:rsidR="00C26A9C" w:rsidRPr="00A813F3">
        <w:rPr>
          <w:rFonts w:cs="Arial"/>
          <w:color w:val="002060"/>
          <w:sz w:val="24"/>
          <w:szCs w:val="24"/>
        </w:rPr>
        <w:t xml:space="preserve"> allows parents up to 18 weeks’ time away from work to look after their child but is unpaid. This can be repeated for each child a</w:t>
      </w:r>
      <w:r w:rsidR="009F75DC" w:rsidRPr="00A813F3">
        <w:rPr>
          <w:rFonts w:cs="Arial"/>
          <w:color w:val="002060"/>
          <w:sz w:val="24"/>
          <w:szCs w:val="24"/>
        </w:rPr>
        <w:t>nd during this time the employees contract remains in place, thus their terms and conditions continue.</w:t>
      </w:r>
    </w:p>
    <w:p w:rsidR="009F75DC" w:rsidRPr="00A813F3" w:rsidRDefault="009F75DC" w:rsidP="00FD2288">
      <w:pPr>
        <w:pStyle w:val="ListParagraph"/>
        <w:ind w:left="360"/>
        <w:rPr>
          <w:rFonts w:cs="Arial"/>
          <w:color w:val="002060"/>
          <w:sz w:val="24"/>
          <w:szCs w:val="24"/>
        </w:rPr>
      </w:pPr>
    </w:p>
    <w:p w:rsidR="000849DF" w:rsidRPr="00A813F3" w:rsidRDefault="009F75DC" w:rsidP="00FD2288">
      <w:pPr>
        <w:pStyle w:val="ListParagraph"/>
        <w:ind w:left="360"/>
        <w:rPr>
          <w:rFonts w:cs="Arial"/>
          <w:color w:val="002060"/>
          <w:sz w:val="24"/>
          <w:szCs w:val="24"/>
        </w:rPr>
      </w:pPr>
      <w:r w:rsidRPr="00A813F3">
        <w:rPr>
          <w:rFonts w:cs="Arial"/>
          <w:color w:val="002060"/>
          <w:sz w:val="24"/>
          <w:szCs w:val="24"/>
        </w:rPr>
        <w:t>Other such Family friendly employment rights exist for flexible working, time off for dependents, public duties etc.</w:t>
      </w:r>
      <w:r w:rsidR="000849DF" w:rsidRPr="00A813F3">
        <w:rPr>
          <w:rFonts w:cs="Arial"/>
          <w:color w:val="002060"/>
          <w:sz w:val="24"/>
          <w:szCs w:val="24"/>
        </w:rPr>
        <w:br/>
      </w:r>
    </w:p>
    <w:p w:rsidR="0008554F" w:rsidRDefault="000849DF" w:rsidP="000849DF">
      <w:pPr>
        <w:pStyle w:val="ListParagraph"/>
        <w:numPr>
          <w:ilvl w:val="0"/>
          <w:numId w:val="1"/>
        </w:numPr>
        <w:rPr>
          <w:rFonts w:cs="Arial"/>
          <w:color w:val="002060"/>
          <w:sz w:val="24"/>
          <w:szCs w:val="24"/>
          <w:u w:val="single"/>
        </w:rPr>
      </w:pPr>
      <w:proofErr w:type="spellStart"/>
      <w:r w:rsidRPr="0008554F">
        <w:rPr>
          <w:rFonts w:cs="Arial"/>
          <w:color w:val="002060"/>
          <w:sz w:val="24"/>
          <w:szCs w:val="24"/>
          <w:u w:val="single"/>
        </w:rPr>
        <w:t>Summarise</w:t>
      </w:r>
      <w:proofErr w:type="spellEnd"/>
      <w:r w:rsidRPr="0008554F">
        <w:rPr>
          <w:rFonts w:cs="Arial"/>
          <w:color w:val="002060"/>
          <w:sz w:val="24"/>
          <w:szCs w:val="24"/>
          <w:u w:val="single"/>
        </w:rPr>
        <w:t>:</w:t>
      </w:r>
    </w:p>
    <w:p w:rsidR="009F75DC" w:rsidRPr="0008554F" w:rsidRDefault="000849DF" w:rsidP="0008554F">
      <w:pPr>
        <w:pStyle w:val="ListParagraph"/>
        <w:ind w:left="360"/>
        <w:rPr>
          <w:rFonts w:cs="Arial"/>
          <w:color w:val="002060"/>
          <w:sz w:val="24"/>
          <w:szCs w:val="24"/>
          <w:u w:val="single"/>
        </w:rPr>
      </w:pPr>
      <w:r w:rsidRPr="0008554F">
        <w:rPr>
          <w:rFonts w:cs="Arial"/>
          <w:color w:val="002060"/>
          <w:sz w:val="24"/>
          <w:szCs w:val="24"/>
          <w:u w:val="single"/>
        </w:rPr>
        <w:br/>
      </w:r>
      <w:r w:rsidRPr="0008554F">
        <w:rPr>
          <w:rFonts w:cs="Arial"/>
          <w:color w:val="002060"/>
          <w:sz w:val="24"/>
          <w:szCs w:val="24"/>
        </w:rPr>
        <w:t>(a)</w:t>
      </w:r>
      <w:r w:rsidRPr="0008554F">
        <w:rPr>
          <w:rFonts w:cs="Arial"/>
          <w:color w:val="002060"/>
          <w:sz w:val="24"/>
          <w:szCs w:val="24"/>
          <w:u w:val="single"/>
        </w:rPr>
        <w:t xml:space="preserve"> </w:t>
      </w:r>
      <w:proofErr w:type="gramStart"/>
      <w:r w:rsidRPr="0008554F">
        <w:rPr>
          <w:rFonts w:cs="Arial"/>
          <w:color w:val="002060"/>
          <w:sz w:val="24"/>
          <w:szCs w:val="24"/>
          <w:u w:val="single"/>
        </w:rPr>
        <w:t>the</w:t>
      </w:r>
      <w:proofErr w:type="gramEnd"/>
      <w:r w:rsidRPr="0008554F">
        <w:rPr>
          <w:rFonts w:cs="Arial"/>
          <w:color w:val="002060"/>
          <w:sz w:val="24"/>
          <w:szCs w:val="24"/>
          <w:u w:val="single"/>
        </w:rPr>
        <w:t xml:space="preserve"> major requirements of health and safety law</w:t>
      </w:r>
    </w:p>
    <w:p w:rsidR="009F75DC" w:rsidRPr="00A813F3" w:rsidRDefault="009F75DC" w:rsidP="009F75DC">
      <w:pPr>
        <w:pStyle w:val="ListParagraph"/>
        <w:ind w:left="360"/>
        <w:rPr>
          <w:rFonts w:cs="Arial"/>
          <w:color w:val="002060"/>
          <w:sz w:val="24"/>
          <w:szCs w:val="24"/>
        </w:rPr>
      </w:pPr>
    </w:p>
    <w:p w:rsidR="009F75DC" w:rsidRPr="00A813F3" w:rsidRDefault="009F75DC" w:rsidP="009F75DC">
      <w:pPr>
        <w:pStyle w:val="ListParagraph"/>
        <w:ind w:left="360"/>
        <w:rPr>
          <w:rFonts w:cs="Arial"/>
          <w:color w:val="002060"/>
          <w:sz w:val="24"/>
          <w:szCs w:val="24"/>
        </w:rPr>
      </w:pPr>
      <w:r w:rsidRPr="00A813F3">
        <w:rPr>
          <w:rFonts w:cs="Arial"/>
          <w:i/>
          <w:color w:val="002060"/>
          <w:sz w:val="24"/>
          <w:szCs w:val="24"/>
        </w:rPr>
        <w:t>The Health and Safety at Work Act 1974</w:t>
      </w:r>
      <w:r w:rsidRPr="00A813F3">
        <w:rPr>
          <w:rFonts w:cs="Arial"/>
          <w:color w:val="002060"/>
          <w:sz w:val="24"/>
          <w:szCs w:val="24"/>
        </w:rPr>
        <w:t xml:space="preserve"> is the one piece of legislation that exists to cover this. </w:t>
      </w:r>
      <w:r w:rsidR="0008554F">
        <w:rPr>
          <w:rFonts w:cs="Arial"/>
          <w:color w:val="002060"/>
          <w:sz w:val="24"/>
          <w:szCs w:val="24"/>
        </w:rPr>
        <w:t>This act is part of</w:t>
      </w:r>
      <w:r w:rsidRPr="00A813F3">
        <w:rPr>
          <w:rFonts w:cs="Arial"/>
          <w:color w:val="002060"/>
          <w:sz w:val="24"/>
          <w:szCs w:val="24"/>
        </w:rPr>
        <w:t xml:space="preserve"> criminal law and require</w:t>
      </w:r>
      <w:r w:rsidR="0008554F">
        <w:rPr>
          <w:rFonts w:cs="Arial"/>
          <w:color w:val="002060"/>
          <w:sz w:val="24"/>
          <w:szCs w:val="24"/>
        </w:rPr>
        <w:t>s</w:t>
      </w:r>
      <w:r w:rsidRPr="00A813F3">
        <w:rPr>
          <w:rFonts w:cs="Arial"/>
          <w:color w:val="002060"/>
          <w:sz w:val="24"/>
          <w:szCs w:val="24"/>
        </w:rPr>
        <w:t xml:space="preserve"> employers to protect</w:t>
      </w:r>
      <w:r w:rsidR="009C0CCF" w:rsidRPr="00A813F3">
        <w:rPr>
          <w:rFonts w:cs="Arial"/>
          <w:color w:val="002060"/>
          <w:sz w:val="24"/>
          <w:szCs w:val="24"/>
        </w:rPr>
        <w:t xml:space="preserve"> the health, safety and welfare at work of all their employees.</w:t>
      </w:r>
    </w:p>
    <w:p w:rsidR="0008554F" w:rsidRDefault="009C0CCF" w:rsidP="009F75DC">
      <w:pPr>
        <w:pStyle w:val="ListParagraph"/>
        <w:ind w:left="360"/>
        <w:rPr>
          <w:rFonts w:cs="Arial"/>
          <w:color w:val="002060"/>
          <w:sz w:val="24"/>
          <w:szCs w:val="24"/>
        </w:rPr>
      </w:pPr>
      <w:r w:rsidRPr="00A813F3">
        <w:rPr>
          <w:rFonts w:cs="Arial"/>
          <w:color w:val="002060"/>
          <w:sz w:val="24"/>
          <w:szCs w:val="24"/>
        </w:rPr>
        <w:t xml:space="preserve">Those employers who employ in excess of five employees must have in place a written health and safety policy. Risk assessments play a vital part in any </w:t>
      </w:r>
      <w:r w:rsidRPr="00A813F3">
        <w:rPr>
          <w:rFonts w:cs="Arial"/>
          <w:color w:val="002060"/>
          <w:sz w:val="24"/>
          <w:szCs w:val="24"/>
        </w:rPr>
        <w:lastRenderedPageBreak/>
        <w:t>challenge and are required to identify any risks and the appropriate measure</w:t>
      </w:r>
      <w:r w:rsidR="0008554F">
        <w:rPr>
          <w:rFonts w:cs="Arial"/>
          <w:color w:val="002060"/>
          <w:sz w:val="24"/>
          <w:szCs w:val="24"/>
        </w:rPr>
        <w:t>s</w:t>
      </w:r>
      <w:r w:rsidRPr="00A813F3">
        <w:rPr>
          <w:rFonts w:cs="Arial"/>
          <w:color w:val="002060"/>
          <w:sz w:val="24"/>
          <w:szCs w:val="24"/>
        </w:rPr>
        <w:t xml:space="preserve"> put in place to overcome them. </w:t>
      </w:r>
    </w:p>
    <w:p w:rsidR="009C0CCF" w:rsidRPr="00A813F3" w:rsidRDefault="009C0CCF" w:rsidP="009F75DC">
      <w:pPr>
        <w:pStyle w:val="ListParagraph"/>
        <w:ind w:left="360"/>
        <w:rPr>
          <w:rFonts w:cs="Arial"/>
          <w:color w:val="002060"/>
          <w:sz w:val="24"/>
          <w:szCs w:val="24"/>
        </w:rPr>
      </w:pPr>
      <w:r w:rsidRPr="00A813F3">
        <w:rPr>
          <w:rFonts w:cs="Arial"/>
          <w:color w:val="002060"/>
          <w:sz w:val="24"/>
          <w:szCs w:val="24"/>
        </w:rPr>
        <w:t>These can range from use of equipment, manual handling</w:t>
      </w:r>
      <w:r w:rsidR="00372A27" w:rsidRPr="00A813F3">
        <w:rPr>
          <w:rFonts w:cs="Arial"/>
          <w:color w:val="002060"/>
          <w:sz w:val="24"/>
          <w:szCs w:val="24"/>
        </w:rPr>
        <w:t>, and maintenance of buildings to</w:t>
      </w:r>
      <w:r w:rsidRPr="00A813F3">
        <w:rPr>
          <w:rFonts w:cs="Arial"/>
          <w:color w:val="002060"/>
          <w:sz w:val="24"/>
          <w:szCs w:val="24"/>
        </w:rPr>
        <w:t xml:space="preserve"> roles that are exceptionally stressful.</w:t>
      </w:r>
    </w:p>
    <w:p w:rsidR="009C0CCF" w:rsidRPr="00A813F3" w:rsidRDefault="009C0CCF" w:rsidP="009F75DC">
      <w:pPr>
        <w:pStyle w:val="ListParagraph"/>
        <w:ind w:left="360"/>
        <w:rPr>
          <w:rFonts w:cs="Arial"/>
          <w:color w:val="002060"/>
          <w:sz w:val="24"/>
          <w:szCs w:val="24"/>
        </w:rPr>
      </w:pPr>
      <w:r w:rsidRPr="00A813F3">
        <w:rPr>
          <w:rFonts w:cs="Arial"/>
          <w:color w:val="002060"/>
          <w:sz w:val="24"/>
          <w:szCs w:val="24"/>
        </w:rPr>
        <w:t xml:space="preserve">PCC is an </w:t>
      </w:r>
      <w:proofErr w:type="spellStart"/>
      <w:r w:rsidR="0008554F">
        <w:rPr>
          <w:rFonts w:cs="Arial"/>
          <w:color w:val="002060"/>
          <w:sz w:val="24"/>
          <w:szCs w:val="24"/>
        </w:rPr>
        <w:t>organis</w:t>
      </w:r>
      <w:r w:rsidR="00E2278C" w:rsidRPr="00A813F3">
        <w:rPr>
          <w:rFonts w:cs="Arial"/>
          <w:color w:val="002060"/>
          <w:sz w:val="24"/>
          <w:szCs w:val="24"/>
        </w:rPr>
        <w:t>ation</w:t>
      </w:r>
      <w:proofErr w:type="spellEnd"/>
      <w:r w:rsidRPr="00A813F3">
        <w:rPr>
          <w:rFonts w:cs="Arial"/>
          <w:color w:val="002060"/>
          <w:sz w:val="24"/>
          <w:szCs w:val="24"/>
        </w:rPr>
        <w:t xml:space="preserve"> of over 6000 employees, we have a health and safety team</w:t>
      </w:r>
      <w:r w:rsidR="00372A27" w:rsidRPr="00A813F3">
        <w:rPr>
          <w:rFonts w:cs="Arial"/>
          <w:color w:val="002060"/>
          <w:sz w:val="24"/>
          <w:szCs w:val="24"/>
        </w:rPr>
        <w:t xml:space="preserve"> within our HR service</w:t>
      </w:r>
      <w:r w:rsidRPr="00A813F3">
        <w:rPr>
          <w:rFonts w:cs="Arial"/>
          <w:color w:val="002060"/>
          <w:sz w:val="24"/>
          <w:szCs w:val="24"/>
        </w:rPr>
        <w:t xml:space="preserve"> who</w:t>
      </w:r>
      <w:r w:rsidR="00372A27" w:rsidRPr="00A813F3">
        <w:rPr>
          <w:rFonts w:cs="Arial"/>
          <w:color w:val="002060"/>
          <w:sz w:val="24"/>
          <w:szCs w:val="24"/>
        </w:rPr>
        <w:t xml:space="preserve"> oversee this </w:t>
      </w:r>
      <w:proofErr w:type="spellStart"/>
      <w:r w:rsidR="00372A27" w:rsidRPr="00A813F3">
        <w:rPr>
          <w:rFonts w:cs="Arial"/>
          <w:color w:val="002060"/>
          <w:sz w:val="24"/>
          <w:szCs w:val="24"/>
        </w:rPr>
        <w:t>specialised</w:t>
      </w:r>
      <w:proofErr w:type="spellEnd"/>
      <w:r w:rsidRPr="00A813F3">
        <w:rPr>
          <w:rFonts w:cs="Arial"/>
          <w:color w:val="002060"/>
          <w:sz w:val="24"/>
          <w:szCs w:val="24"/>
        </w:rPr>
        <w:t xml:space="preserve"> </w:t>
      </w:r>
      <w:r w:rsidR="00372A27" w:rsidRPr="00A813F3">
        <w:rPr>
          <w:rFonts w:cs="Arial"/>
          <w:color w:val="002060"/>
          <w:sz w:val="24"/>
          <w:szCs w:val="24"/>
        </w:rPr>
        <w:t>area. They undertake   risk assessments, formally logging them, deliver training and respond to any internal inciden</w:t>
      </w:r>
      <w:r w:rsidR="0008554F">
        <w:rPr>
          <w:rFonts w:cs="Arial"/>
          <w:color w:val="002060"/>
          <w:sz w:val="24"/>
          <w:szCs w:val="24"/>
        </w:rPr>
        <w:t>ts that occur. This</w:t>
      </w:r>
      <w:r w:rsidR="00372A27" w:rsidRPr="00A813F3">
        <w:rPr>
          <w:rFonts w:cs="Arial"/>
          <w:color w:val="002060"/>
          <w:sz w:val="24"/>
          <w:szCs w:val="24"/>
        </w:rPr>
        <w:t xml:space="preserve"> team also includes a provision for occupational health and more recently a strong focus on the mental health and wellbeing of employees.</w:t>
      </w:r>
    </w:p>
    <w:p w:rsidR="00372A27" w:rsidRDefault="000849DF" w:rsidP="009F75DC">
      <w:pPr>
        <w:pStyle w:val="ListParagraph"/>
        <w:ind w:left="360"/>
        <w:rPr>
          <w:rFonts w:cs="Arial"/>
          <w:color w:val="002060"/>
          <w:sz w:val="24"/>
          <w:szCs w:val="24"/>
          <w:u w:val="single"/>
        </w:rPr>
      </w:pPr>
      <w:r w:rsidRPr="0008554F">
        <w:rPr>
          <w:rFonts w:cs="Arial"/>
          <w:color w:val="002060"/>
          <w:sz w:val="24"/>
          <w:szCs w:val="24"/>
          <w:u w:val="single"/>
        </w:rPr>
        <w:br/>
      </w:r>
      <w:r w:rsidRPr="0008554F">
        <w:rPr>
          <w:rFonts w:cs="Arial"/>
          <w:color w:val="002060"/>
          <w:sz w:val="24"/>
          <w:szCs w:val="24"/>
        </w:rPr>
        <w:t>(b)</w:t>
      </w:r>
      <w:r w:rsidRPr="0008554F">
        <w:rPr>
          <w:rFonts w:cs="Arial"/>
          <w:color w:val="002060"/>
          <w:sz w:val="24"/>
          <w:szCs w:val="24"/>
          <w:u w:val="single"/>
        </w:rPr>
        <w:t xml:space="preserve"> </w:t>
      </w:r>
      <w:proofErr w:type="gramStart"/>
      <w:r w:rsidRPr="0008554F">
        <w:rPr>
          <w:rFonts w:cs="Arial"/>
          <w:color w:val="002060"/>
          <w:sz w:val="24"/>
          <w:szCs w:val="24"/>
          <w:u w:val="single"/>
        </w:rPr>
        <w:t>key</w:t>
      </w:r>
      <w:proofErr w:type="gramEnd"/>
      <w:r w:rsidRPr="0008554F">
        <w:rPr>
          <w:rFonts w:cs="Arial"/>
          <w:color w:val="002060"/>
          <w:sz w:val="24"/>
          <w:szCs w:val="24"/>
          <w:u w:val="single"/>
        </w:rPr>
        <w:t xml:space="preserve"> legislation supporting equality and diversity in the workplace</w:t>
      </w:r>
    </w:p>
    <w:p w:rsidR="0008554F" w:rsidRPr="0008554F" w:rsidRDefault="0008554F" w:rsidP="009F75DC">
      <w:pPr>
        <w:pStyle w:val="ListParagraph"/>
        <w:ind w:left="360"/>
        <w:rPr>
          <w:rFonts w:cs="Arial"/>
          <w:color w:val="002060"/>
          <w:sz w:val="24"/>
          <w:szCs w:val="24"/>
          <w:u w:val="single"/>
        </w:rPr>
      </w:pPr>
    </w:p>
    <w:p w:rsidR="00372A27" w:rsidRPr="00A813F3" w:rsidRDefault="00372A27" w:rsidP="009F75DC">
      <w:pPr>
        <w:pStyle w:val="ListParagraph"/>
        <w:ind w:left="360"/>
        <w:rPr>
          <w:rFonts w:cs="Arial"/>
          <w:color w:val="002060"/>
          <w:sz w:val="24"/>
          <w:szCs w:val="24"/>
        </w:rPr>
      </w:pPr>
      <w:r w:rsidRPr="00A813F3">
        <w:rPr>
          <w:rFonts w:cs="Arial"/>
          <w:i/>
          <w:color w:val="002060"/>
          <w:sz w:val="24"/>
          <w:szCs w:val="24"/>
        </w:rPr>
        <w:t>The Equality Act of 2010</w:t>
      </w:r>
      <w:r w:rsidRPr="00A813F3">
        <w:rPr>
          <w:rFonts w:cs="Arial"/>
          <w:color w:val="002060"/>
          <w:sz w:val="24"/>
          <w:szCs w:val="24"/>
        </w:rPr>
        <w:t xml:space="preserve"> p</w:t>
      </w:r>
      <w:r w:rsidR="0008554F">
        <w:rPr>
          <w:rFonts w:cs="Arial"/>
          <w:color w:val="002060"/>
          <w:sz w:val="24"/>
          <w:szCs w:val="24"/>
        </w:rPr>
        <w:t>rotects individuals fro</w:t>
      </w:r>
      <w:r w:rsidRPr="00A813F3">
        <w:rPr>
          <w:rFonts w:cs="Arial"/>
          <w:color w:val="002060"/>
          <w:sz w:val="24"/>
          <w:szCs w:val="24"/>
        </w:rPr>
        <w:t>m discrimination at work. As highlighted earlier</w:t>
      </w:r>
      <w:r w:rsidR="00C0370D" w:rsidRPr="00A813F3">
        <w:rPr>
          <w:rFonts w:cs="Arial"/>
          <w:color w:val="002060"/>
          <w:sz w:val="24"/>
          <w:szCs w:val="24"/>
        </w:rPr>
        <w:t xml:space="preserve"> in question 2 relating to</w:t>
      </w:r>
      <w:r w:rsidRPr="00A813F3">
        <w:rPr>
          <w:rFonts w:cs="Arial"/>
          <w:color w:val="002060"/>
          <w:sz w:val="24"/>
          <w:szCs w:val="24"/>
        </w:rPr>
        <w:t xml:space="preserve"> recruitment</w:t>
      </w:r>
      <w:r w:rsidR="00C0370D" w:rsidRPr="00A813F3">
        <w:rPr>
          <w:rFonts w:cs="Arial"/>
          <w:color w:val="002060"/>
          <w:sz w:val="24"/>
          <w:szCs w:val="24"/>
        </w:rPr>
        <w:t>, the protected characteristics of this act also apply to employees in the work place. Once again PCC has a formal policy in place along with an equality and diversity strategy. The aim of which is to ensure equality and diversity in everything we do. Thus an employer must make</w:t>
      </w:r>
      <w:r w:rsidR="0008554F">
        <w:rPr>
          <w:rFonts w:cs="Arial"/>
          <w:color w:val="002060"/>
          <w:sz w:val="24"/>
          <w:szCs w:val="24"/>
        </w:rPr>
        <w:t>,</w:t>
      </w:r>
      <w:r w:rsidR="00C0370D" w:rsidRPr="00A813F3">
        <w:rPr>
          <w:rFonts w:cs="Arial"/>
          <w:color w:val="002060"/>
          <w:sz w:val="24"/>
          <w:szCs w:val="24"/>
        </w:rPr>
        <w:t xml:space="preserve"> what are known as ‘reasonable adjustments’ to allow all employees to be treated fairly. A typical example of this may </w:t>
      </w:r>
      <w:r w:rsidR="0008554F">
        <w:rPr>
          <w:rFonts w:cs="Arial"/>
          <w:color w:val="002060"/>
          <w:sz w:val="24"/>
          <w:szCs w:val="24"/>
        </w:rPr>
        <w:t xml:space="preserve">be </w:t>
      </w:r>
      <w:r w:rsidR="00C0370D" w:rsidRPr="00A813F3">
        <w:rPr>
          <w:rFonts w:cs="Arial"/>
          <w:color w:val="002060"/>
          <w:sz w:val="24"/>
          <w:szCs w:val="24"/>
        </w:rPr>
        <w:t>promotion, a recent internal challenge was made by a part time employee who felt that she was</w:t>
      </w:r>
      <w:r w:rsidR="007B0F16" w:rsidRPr="00A813F3">
        <w:rPr>
          <w:rFonts w:cs="Arial"/>
          <w:color w:val="002060"/>
          <w:sz w:val="24"/>
          <w:szCs w:val="24"/>
        </w:rPr>
        <w:t xml:space="preserve"> overlooked for a training opportunity</w:t>
      </w:r>
      <w:r w:rsidR="00C0370D" w:rsidRPr="00A813F3">
        <w:rPr>
          <w:rFonts w:cs="Arial"/>
          <w:color w:val="002060"/>
          <w:sz w:val="24"/>
          <w:szCs w:val="24"/>
        </w:rPr>
        <w:t xml:space="preserve"> because she was part time</w:t>
      </w:r>
      <w:r w:rsidR="007B0F16" w:rsidRPr="00A813F3">
        <w:rPr>
          <w:rFonts w:cs="Arial"/>
          <w:color w:val="002060"/>
          <w:sz w:val="24"/>
          <w:szCs w:val="24"/>
        </w:rPr>
        <w:t>.</w:t>
      </w:r>
    </w:p>
    <w:p w:rsidR="007B0F16" w:rsidRPr="00A813F3" w:rsidRDefault="007B0F16" w:rsidP="009F75DC">
      <w:pPr>
        <w:pStyle w:val="ListParagraph"/>
        <w:ind w:left="360"/>
        <w:rPr>
          <w:rFonts w:cs="Arial"/>
          <w:color w:val="002060"/>
          <w:sz w:val="24"/>
          <w:szCs w:val="24"/>
        </w:rPr>
      </w:pPr>
    </w:p>
    <w:p w:rsidR="00D67C46" w:rsidRPr="00A813F3" w:rsidRDefault="007B0F16" w:rsidP="009F75DC">
      <w:pPr>
        <w:pStyle w:val="ListParagraph"/>
        <w:ind w:left="360"/>
        <w:rPr>
          <w:rFonts w:cs="Arial"/>
          <w:color w:val="002060"/>
          <w:sz w:val="24"/>
          <w:szCs w:val="24"/>
        </w:rPr>
      </w:pPr>
      <w:r w:rsidRPr="00A813F3">
        <w:rPr>
          <w:rFonts w:cs="Arial"/>
          <w:color w:val="002060"/>
          <w:sz w:val="24"/>
          <w:szCs w:val="24"/>
        </w:rPr>
        <w:t>In 2019 an</w:t>
      </w:r>
      <w:r w:rsidR="00D67C46" w:rsidRPr="00A813F3">
        <w:rPr>
          <w:rFonts w:cs="Arial"/>
          <w:color w:val="002060"/>
          <w:sz w:val="24"/>
          <w:szCs w:val="24"/>
        </w:rPr>
        <w:t xml:space="preserve"> eighty eight</w:t>
      </w:r>
      <w:r w:rsidRPr="00A813F3">
        <w:rPr>
          <w:rFonts w:cs="Arial"/>
          <w:color w:val="002060"/>
          <w:sz w:val="24"/>
          <w:szCs w:val="24"/>
        </w:rPr>
        <w:t xml:space="preserve"> year old hospital secretary became the oldest person to win an age discrimination case after she was sacked when colleagues complained about her age and frailty. </w:t>
      </w:r>
      <w:r w:rsidR="00D67C46" w:rsidRPr="00A813F3">
        <w:rPr>
          <w:rFonts w:cs="Arial"/>
          <w:color w:val="002060"/>
          <w:sz w:val="24"/>
          <w:szCs w:val="24"/>
        </w:rPr>
        <w:t>(People M</w:t>
      </w:r>
      <w:r w:rsidRPr="00A813F3">
        <w:rPr>
          <w:rFonts w:cs="Arial"/>
          <w:color w:val="002060"/>
          <w:sz w:val="24"/>
          <w:szCs w:val="24"/>
        </w:rPr>
        <w:t>anagement</w:t>
      </w:r>
      <w:r w:rsidR="00D67C46" w:rsidRPr="00A813F3">
        <w:rPr>
          <w:rFonts w:cs="Arial"/>
          <w:color w:val="002060"/>
          <w:sz w:val="24"/>
          <w:szCs w:val="24"/>
        </w:rPr>
        <w:t>, CIPD 2019).</w:t>
      </w:r>
    </w:p>
    <w:p w:rsidR="007B0F16" w:rsidRPr="00A813F3" w:rsidRDefault="007B0F16" w:rsidP="009F75DC">
      <w:pPr>
        <w:pStyle w:val="ListParagraph"/>
        <w:ind w:left="360"/>
        <w:rPr>
          <w:rFonts w:cs="Arial"/>
          <w:color w:val="002060"/>
          <w:sz w:val="24"/>
          <w:szCs w:val="24"/>
        </w:rPr>
      </w:pPr>
      <w:r w:rsidRPr="00A813F3">
        <w:rPr>
          <w:rFonts w:cs="Arial"/>
          <w:color w:val="002060"/>
          <w:sz w:val="24"/>
          <w:szCs w:val="24"/>
        </w:rPr>
        <w:t xml:space="preserve"> </w:t>
      </w:r>
      <w:r w:rsidR="000849DF" w:rsidRPr="00A813F3">
        <w:rPr>
          <w:rFonts w:cs="Arial"/>
          <w:color w:val="002060"/>
          <w:sz w:val="24"/>
          <w:szCs w:val="24"/>
        </w:rPr>
        <w:br/>
        <w:t>(c)</w:t>
      </w:r>
      <w:r w:rsidR="000849DF" w:rsidRPr="0008554F">
        <w:rPr>
          <w:rFonts w:cs="Arial"/>
          <w:color w:val="002060"/>
          <w:sz w:val="24"/>
          <w:szCs w:val="24"/>
          <w:u w:val="single"/>
        </w:rPr>
        <w:t xml:space="preserve"> </w:t>
      </w:r>
      <w:proofErr w:type="gramStart"/>
      <w:r w:rsidR="000849DF" w:rsidRPr="0008554F">
        <w:rPr>
          <w:rFonts w:cs="Arial"/>
          <w:color w:val="002060"/>
          <w:sz w:val="24"/>
          <w:szCs w:val="24"/>
          <w:u w:val="single"/>
        </w:rPr>
        <w:t>the</w:t>
      </w:r>
      <w:proofErr w:type="gramEnd"/>
      <w:r w:rsidR="000849DF" w:rsidRPr="0008554F">
        <w:rPr>
          <w:rFonts w:cs="Arial"/>
          <w:color w:val="002060"/>
          <w:sz w:val="24"/>
          <w:szCs w:val="24"/>
          <w:u w:val="single"/>
        </w:rPr>
        <w:t xml:space="preserve"> concept of implied duties in relation to employee management at work</w:t>
      </w:r>
    </w:p>
    <w:p w:rsidR="007B0F16" w:rsidRPr="00A813F3" w:rsidRDefault="007B0F16" w:rsidP="009F75DC">
      <w:pPr>
        <w:pStyle w:val="ListParagraph"/>
        <w:ind w:left="360"/>
        <w:rPr>
          <w:rFonts w:cs="Arial"/>
          <w:color w:val="002060"/>
          <w:sz w:val="24"/>
          <w:szCs w:val="24"/>
        </w:rPr>
      </w:pPr>
    </w:p>
    <w:p w:rsidR="000849DF" w:rsidRPr="00A813F3" w:rsidRDefault="007B0F16" w:rsidP="009F75DC">
      <w:pPr>
        <w:pStyle w:val="ListParagraph"/>
        <w:ind w:left="360"/>
        <w:rPr>
          <w:rFonts w:cs="Arial"/>
          <w:color w:val="002060"/>
          <w:sz w:val="24"/>
          <w:szCs w:val="24"/>
        </w:rPr>
      </w:pPr>
      <w:r w:rsidRPr="00A813F3">
        <w:rPr>
          <w:rFonts w:cs="Arial"/>
          <w:color w:val="002060"/>
          <w:sz w:val="24"/>
          <w:szCs w:val="24"/>
        </w:rPr>
        <w:t>Implied duties</w:t>
      </w:r>
      <w:r w:rsidR="002B754E" w:rsidRPr="00A813F3">
        <w:rPr>
          <w:rFonts w:cs="Arial"/>
          <w:color w:val="002060"/>
          <w:sz w:val="24"/>
          <w:szCs w:val="24"/>
        </w:rPr>
        <w:t xml:space="preserve"> and rights of both employers and employees are included</w:t>
      </w:r>
      <w:r w:rsidR="0008554F">
        <w:rPr>
          <w:rFonts w:cs="Arial"/>
          <w:color w:val="002060"/>
          <w:sz w:val="24"/>
          <w:szCs w:val="24"/>
        </w:rPr>
        <w:t xml:space="preserve"> in</w:t>
      </w:r>
      <w:r w:rsidR="002B754E" w:rsidRPr="00A813F3">
        <w:rPr>
          <w:rFonts w:cs="Arial"/>
          <w:color w:val="002060"/>
          <w:sz w:val="24"/>
          <w:szCs w:val="24"/>
        </w:rPr>
        <w:t xml:space="preserve"> a contract of employment. </w:t>
      </w:r>
      <w:r w:rsidR="0008554F">
        <w:rPr>
          <w:rFonts w:cs="Arial"/>
          <w:color w:val="002060"/>
          <w:sz w:val="24"/>
          <w:szCs w:val="24"/>
        </w:rPr>
        <w:t>‘</w:t>
      </w:r>
      <w:r w:rsidR="002B754E" w:rsidRPr="00A813F3">
        <w:rPr>
          <w:rFonts w:cs="Arial"/>
          <w:color w:val="002060"/>
          <w:sz w:val="24"/>
          <w:szCs w:val="24"/>
        </w:rPr>
        <w:t>Implied</w:t>
      </w:r>
      <w:r w:rsidR="0008554F">
        <w:rPr>
          <w:rFonts w:cs="Arial"/>
          <w:color w:val="002060"/>
          <w:sz w:val="24"/>
          <w:szCs w:val="24"/>
        </w:rPr>
        <w:t>’</w:t>
      </w:r>
      <w:r w:rsidR="002B754E" w:rsidRPr="00A813F3">
        <w:rPr>
          <w:rFonts w:cs="Arial"/>
          <w:color w:val="002060"/>
          <w:sz w:val="24"/>
          <w:szCs w:val="24"/>
        </w:rPr>
        <w:t xml:space="preserve"> terms include statutory rights, mutual trust and confidence. Unlike </w:t>
      </w:r>
      <w:r w:rsidR="0008554F">
        <w:rPr>
          <w:rFonts w:cs="Arial"/>
          <w:color w:val="002060"/>
          <w:sz w:val="24"/>
          <w:szCs w:val="24"/>
        </w:rPr>
        <w:t>‘</w:t>
      </w:r>
      <w:r w:rsidR="002B754E" w:rsidRPr="00A813F3">
        <w:rPr>
          <w:rFonts w:cs="Arial"/>
          <w:color w:val="002060"/>
          <w:sz w:val="24"/>
          <w:szCs w:val="24"/>
        </w:rPr>
        <w:t>express</w:t>
      </w:r>
      <w:r w:rsidR="0008554F">
        <w:rPr>
          <w:rFonts w:cs="Arial"/>
          <w:color w:val="002060"/>
          <w:sz w:val="24"/>
          <w:szCs w:val="24"/>
        </w:rPr>
        <w:t>’</w:t>
      </w:r>
      <w:r w:rsidR="002B754E" w:rsidRPr="00A813F3">
        <w:rPr>
          <w:rFonts w:cs="Arial"/>
          <w:color w:val="002060"/>
          <w:sz w:val="24"/>
          <w:szCs w:val="24"/>
        </w:rPr>
        <w:t xml:space="preserve"> terms which are clearly stated, </w:t>
      </w:r>
      <w:r w:rsidR="00D67C46" w:rsidRPr="00A813F3">
        <w:rPr>
          <w:rFonts w:cs="Arial"/>
          <w:color w:val="002060"/>
          <w:sz w:val="24"/>
          <w:szCs w:val="24"/>
        </w:rPr>
        <w:t>(</w:t>
      </w:r>
      <w:proofErr w:type="spellStart"/>
      <w:r w:rsidR="00D67C46" w:rsidRPr="00A813F3">
        <w:rPr>
          <w:rFonts w:cs="Arial"/>
          <w:color w:val="002060"/>
          <w:sz w:val="24"/>
          <w:szCs w:val="24"/>
        </w:rPr>
        <w:t>Worksmart</w:t>
      </w:r>
      <w:proofErr w:type="spellEnd"/>
      <w:r w:rsidR="00D67C46" w:rsidRPr="00A813F3">
        <w:rPr>
          <w:rFonts w:cs="Arial"/>
          <w:color w:val="002060"/>
          <w:sz w:val="24"/>
          <w:szCs w:val="24"/>
        </w:rPr>
        <w:t xml:space="preserve"> 2020)</w:t>
      </w:r>
      <w:r w:rsidR="002B754E" w:rsidRPr="00A813F3">
        <w:rPr>
          <w:rFonts w:cs="Arial"/>
          <w:color w:val="002060"/>
          <w:sz w:val="24"/>
          <w:szCs w:val="24"/>
        </w:rPr>
        <w:t xml:space="preserve"> refers to implied terms as obvious to both parties and are considered to be an assumed part of the contract.</w:t>
      </w:r>
      <w:r w:rsidR="000849DF" w:rsidRPr="00A813F3">
        <w:rPr>
          <w:rFonts w:cs="Arial"/>
          <w:color w:val="002060"/>
          <w:sz w:val="24"/>
          <w:szCs w:val="24"/>
        </w:rPr>
        <w:br/>
      </w:r>
    </w:p>
    <w:p w:rsidR="00A73E44" w:rsidRPr="0008554F" w:rsidRDefault="002B754E" w:rsidP="000849DF">
      <w:pPr>
        <w:rPr>
          <w:rFonts w:cs="Arial"/>
          <w:color w:val="002060"/>
          <w:sz w:val="24"/>
          <w:szCs w:val="24"/>
          <w:u w:val="single"/>
        </w:rPr>
      </w:pPr>
      <w:r w:rsidRPr="00A813F3">
        <w:rPr>
          <w:rFonts w:cs="Arial"/>
          <w:color w:val="002060"/>
          <w:sz w:val="24"/>
          <w:szCs w:val="24"/>
        </w:rPr>
        <w:t>6</w:t>
      </w:r>
      <w:r w:rsidR="0008554F">
        <w:rPr>
          <w:rFonts w:cs="Arial"/>
          <w:color w:val="002060"/>
          <w:sz w:val="24"/>
          <w:szCs w:val="24"/>
        </w:rPr>
        <w:t>.</w:t>
      </w:r>
      <w:r w:rsidRPr="00A813F3">
        <w:rPr>
          <w:rFonts w:cs="Arial"/>
          <w:color w:val="002060"/>
          <w:sz w:val="24"/>
          <w:szCs w:val="24"/>
        </w:rPr>
        <w:t xml:space="preserve"> </w:t>
      </w:r>
      <w:r w:rsidR="000849DF" w:rsidRPr="0008554F">
        <w:rPr>
          <w:rFonts w:cs="Arial"/>
          <w:color w:val="002060"/>
          <w:sz w:val="24"/>
          <w:szCs w:val="24"/>
          <w:u w:val="single"/>
        </w:rPr>
        <w:t>Explain briefly the main requirements of unfair dismissal law in respect of:</w:t>
      </w:r>
    </w:p>
    <w:p w:rsidR="00C65ADF" w:rsidRPr="00A813F3" w:rsidRDefault="00C65ADF" w:rsidP="000849DF">
      <w:pPr>
        <w:rPr>
          <w:rFonts w:cs="Arial"/>
          <w:color w:val="002060"/>
          <w:sz w:val="24"/>
          <w:szCs w:val="24"/>
        </w:rPr>
      </w:pPr>
    </w:p>
    <w:p w:rsidR="00DD326A" w:rsidRDefault="000849DF" w:rsidP="000849DF">
      <w:pPr>
        <w:rPr>
          <w:rFonts w:cs="Arial"/>
          <w:color w:val="002060"/>
          <w:sz w:val="24"/>
          <w:szCs w:val="24"/>
          <w:u w:val="single"/>
        </w:rPr>
      </w:pPr>
      <w:r w:rsidRPr="00A813F3">
        <w:rPr>
          <w:rFonts w:cs="Arial"/>
          <w:color w:val="002060"/>
          <w:sz w:val="24"/>
          <w:szCs w:val="24"/>
        </w:rPr>
        <w:br/>
      </w:r>
      <w:r w:rsidR="00DD326A">
        <w:rPr>
          <w:rFonts w:cs="Arial"/>
          <w:color w:val="002060"/>
          <w:sz w:val="24"/>
          <w:szCs w:val="24"/>
        </w:rPr>
        <w:t xml:space="preserve"> </w:t>
      </w:r>
      <w:r w:rsidRPr="00A813F3">
        <w:rPr>
          <w:rFonts w:cs="Arial"/>
          <w:color w:val="002060"/>
          <w:sz w:val="24"/>
          <w:szCs w:val="24"/>
        </w:rPr>
        <w:t>(</w:t>
      </w:r>
      <w:proofErr w:type="gramStart"/>
      <w:r w:rsidRPr="00A813F3">
        <w:rPr>
          <w:rFonts w:cs="Arial"/>
          <w:color w:val="002060"/>
          <w:sz w:val="24"/>
          <w:szCs w:val="24"/>
        </w:rPr>
        <w:t>a</w:t>
      </w:r>
      <w:proofErr w:type="gramEnd"/>
      <w:r w:rsidRPr="00A813F3">
        <w:rPr>
          <w:rFonts w:cs="Arial"/>
          <w:color w:val="002060"/>
          <w:sz w:val="24"/>
          <w:szCs w:val="24"/>
        </w:rPr>
        <w:t xml:space="preserve">) </w:t>
      </w:r>
      <w:r w:rsidR="00DD326A">
        <w:rPr>
          <w:rFonts w:cs="Arial"/>
          <w:color w:val="002060"/>
          <w:sz w:val="24"/>
          <w:szCs w:val="24"/>
          <w:u w:val="single"/>
        </w:rPr>
        <w:t>C</w:t>
      </w:r>
      <w:r w:rsidRPr="00DD326A">
        <w:rPr>
          <w:rFonts w:cs="Arial"/>
          <w:color w:val="002060"/>
          <w:sz w:val="24"/>
          <w:szCs w:val="24"/>
          <w:u w:val="single"/>
        </w:rPr>
        <w:t>apability</w:t>
      </w:r>
      <w:r w:rsidR="00A73E44" w:rsidRPr="00DD326A">
        <w:rPr>
          <w:rFonts w:cs="Arial"/>
          <w:color w:val="002060"/>
          <w:sz w:val="24"/>
          <w:szCs w:val="24"/>
          <w:u w:val="single"/>
        </w:rPr>
        <w:t xml:space="preserve"> or qualifications</w:t>
      </w:r>
    </w:p>
    <w:p w:rsidR="00DD326A" w:rsidRDefault="00DD326A" w:rsidP="000849DF">
      <w:pPr>
        <w:rPr>
          <w:rFonts w:cs="Arial"/>
          <w:color w:val="002060"/>
          <w:sz w:val="24"/>
          <w:szCs w:val="24"/>
        </w:rPr>
      </w:pPr>
      <w:r>
        <w:rPr>
          <w:rFonts w:cs="Arial"/>
          <w:color w:val="002060"/>
          <w:sz w:val="24"/>
          <w:szCs w:val="24"/>
        </w:rPr>
        <w:t xml:space="preserve"> </w:t>
      </w:r>
    </w:p>
    <w:p w:rsidR="002B754E" w:rsidRPr="00A813F3" w:rsidRDefault="00A73E44" w:rsidP="00DD326A">
      <w:pPr>
        <w:rPr>
          <w:rFonts w:cs="Arial"/>
          <w:color w:val="002060"/>
          <w:sz w:val="24"/>
          <w:szCs w:val="24"/>
        </w:rPr>
      </w:pPr>
      <w:r w:rsidRPr="00A813F3">
        <w:rPr>
          <w:rFonts w:cs="Arial"/>
          <w:i/>
          <w:color w:val="002060"/>
          <w:sz w:val="24"/>
          <w:szCs w:val="24"/>
        </w:rPr>
        <w:t>The Employment Rights Act 1996</w:t>
      </w:r>
      <w:r w:rsidR="00DD326A">
        <w:rPr>
          <w:rFonts w:cs="Arial"/>
          <w:color w:val="002060"/>
          <w:sz w:val="24"/>
          <w:szCs w:val="24"/>
        </w:rPr>
        <w:t xml:space="preserve"> defines capability as a “</w:t>
      </w:r>
      <w:r w:rsidRPr="00DD326A">
        <w:rPr>
          <w:rFonts w:cs="Arial"/>
          <w:i/>
          <w:color w:val="002060"/>
          <w:sz w:val="24"/>
          <w:szCs w:val="24"/>
        </w:rPr>
        <w:t>skill, aptitude, health or</w:t>
      </w:r>
      <w:r w:rsidRPr="00A813F3">
        <w:rPr>
          <w:rFonts w:cs="Arial"/>
          <w:color w:val="002060"/>
          <w:sz w:val="24"/>
          <w:szCs w:val="24"/>
        </w:rPr>
        <w:t xml:space="preserve"> </w:t>
      </w:r>
      <w:r w:rsidR="00DD326A">
        <w:rPr>
          <w:rFonts w:cs="Arial"/>
          <w:color w:val="002060"/>
          <w:sz w:val="24"/>
          <w:szCs w:val="24"/>
        </w:rPr>
        <w:t xml:space="preserve">    </w:t>
      </w:r>
      <w:r w:rsidRPr="00DD326A">
        <w:rPr>
          <w:rFonts w:cs="Arial"/>
          <w:i/>
          <w:color w:val="002060"/>
          <w:sz w:val="24"/>
          <w:szCs w:val="24"/>
        </w:rPr>
        <w:t>any o</w:t>
      </w:r>
      <w:r w:rsidR="00DD326A" w:rsidRPr="00DD326A">
        <w:rPr>
          <w:rFonts w:cs="Arial"/>
          <w:i/>
          <w:color w:val="002060"/>
          <w:sz w:val="24"/>
          <w:szCs w:val="24"/>
        </w:rPr>
        <w:t>ther physical or mental quality</w:t>
      </w:r>
      <w:r w:rsidR="00DD326A">
        <w:rPr>
          <w:rFonts w:cs="Arial"/>
          <w:color w:val="002060"/>
          <w:sz w:val="24"/>
          <w:szCs w:val="24"/>
        </w:rPr>
        <w:t>”</w:t>
      </w:r>
      <w:r w:rsidRPr="00A813F3">
        <w:rPr>
          <w:rFonts w:cs="Arial"/>
          <w:color w:val="002060"/>
          <w:sz w:val="24"/>
          <w:szCs w:val="24"/>
        </w:rPr>
        <w:t xml:space="preserve"> </w:t>
      </w:r>
      <w:r w:rsidR="00DD326A">
        <w:rPr>
          <w:rFonts w:cs="Arial"/>
          <w:color w:val="002060"/>
          <w:sz w:val="24"/>
          <w:szCs w:val="24"/>
        </w:rPr>
        <w:t>(Daniels 2019 p163)</w:t>
      </w:r>
      <w:r w:rsidRPr="00A813F3">
        <w:rPr>
          <w:rFonts w:cs="Arial"/>
          <w:color w:val="002060"/>
          <w:sz w:val="24"/>
          <w:szCs w:val="24"/>
        </w:rPr>
        <w:t>. Qualifications are defined as an academic, technical or professional qualification applicable to the role.</w:t>
      </w:r>
    </w:p>
    <w:p w:rsidR="00A73E44" w:rsidRPr="00A813F3" w:rsidRDefault="00A73E44" w:rsidP="000849DF">
      <w:pPr>
        <w:rPr>
          <w:rFonts w:cs="Arial"/>
          <w:color w:val="002060"/>
          <w:sz w:val="24"/>
          <w:szCs w:val="24"/>
        </w:rPr>
      </w:pPr>
      <w:r w:rsidRPr="00A813F3">
        <w:rPr>
          <w:rFonts w:cs="Arial"/>
          <w:color w:val="002060"/>
          <w:sz w:val="24"/>
          <w:szCs w:val="24"/>
        </w:rPr>
        <w:t>An employer has a responsibility to clearly define the responsibilities an</w:t>
      </w:r>
      <w:r w:rsidR="00481F08" w:rsidRPr="00A813F3">
        <w:rPr>
          <w:rFonts w:cs="Arial"/>
          <w:color w:val="002060"/>
          <w:sz w:val="24"/>
          <w:szCs w:val="24"/>
        </w:rPr>
        <w:t>d</w:t>
      </w:r>
      <w:r w:rsidRPr="00A813F3">
        <w:rPr>
          <w:rFonts w:cs="Arial"/>
          <w:color w:val="002060"/>
          <w:sz w:val="24"/>
          <w:szCs w:val="24"/>
        </w:rPr>
        <w:t xml:space="preserve"> requirements of the role upon recruitment and outline any consequences of not meeting the performance required. If this does become an issue then the employer would still be expected to support any development with the employee to meet the standard before resorting to any disciplinary action.</w:t>
      </w:r>
    </w:p>
    <w:p w:rsidR="00DD326A" w:rsidRDefault="00A73E44" w:rsidP="000849DF">
      <w:pPr>
        <w:rPr>
          <w:rFonts w:cs="Arial"/>
          <w:color w:val="002060"/>
          <w:sz w:val="24"/>
          <w:szCs w:val="24"/>
        </w:rPr>
      </w:pPr>
      <w:r w:rsidRPr="00A813F3">
        <w:rPr>
          <w:rFonts w:cs="Arial"/>
          <w:color w:val="002060"/>
          <w:sz w:val="24"/>
          <w:szCs w:val="24"/>
        </w:rPr>
        <w:t xml:space="preserve">Dismissing staff due to ill health </w:t>
      </w:r>
      <w:r w:rsidR="00481F08" w:rsidRPr="00A813F3">
        <w:rPr>
          <w:rFonts w:cs="Arial"/>
          <w:color w:val="002060"/>
          <w:sz w:val="24"/>
          <w:szCs w:val="24"/>
        </w:rPr>
        <w:t xml:space="preserve">requires the employer to prove that the employee is too unwell or physically unable to do the job, the level of absence or the nature of the </w:t>
      </w:r>
      <w:r w:rsidR="00481F08" w:rsidRPr="00A813F3">
        <w:rPr>
          <w:rFonts w:cs="Arial"/>
          <w:color w:val="002060"/>
          <w:sz w:val="24"/>
          <w:szCs w:val="24"/>
        </w:rPr>
        <w:lastRenderedPageBreak/>
        <w:t>illness. This can include consistent short term absences or long term ill health problems. The employer must also consider any reasonable adjustments that could be made. The employer would need to prove that he has considered all of the above otherwise any dismissal could be classed as unfair.</w:t>
      </w:r>
      <w:r w:rsidR="004D544A" w:rsidRPr="00A813F3">
        <w:rPr>
          <w:rFonts w:cs="Arial"/>
          <w:color w:val="002060"/>
          <w:sz w:val="24"/>
          <w:szCs w:val="24"/>
        </w:rPr>
        <w:t xml:space="preserve"> </w:t>
      </w:r>
    </w:p>
    <w:p w:rsidR="00A73E44" w:rsidRPr="00A813F3" w:rsidRDefault="00D67C46" w:rsidP="000849DF">
      <w:pPr>
        <w:rPr>
          <w:rFonts w:cs="Arial"/>
          <w:color w:val="002060"/>
          <w:sz w:val="24"/>
          <w:szCs w:val="24"/>
        </w:rPr>
      </w:pPr>
      <w:r w:rsidRPr="00A813F3">
        <w:rPr>
          <w:rFonts w:cs="Arial"/>
          <w:color w:val="002060"/>
          <w:sz w:val="24"/>
          <w:szCs w:val="24"/>
        </w:rPr>
        <w:t>(</w:t>
      </w:r>
      <w:r w:rsidR="004D544A" w:rsidRPr="00A813F3">
        <w:rPr>
          <w:rFonts w:cs="Arial"/>
          <w:color w:val="002060"/>
          <w:sz w:val="24"/>
          <w:szCs w:val="24"/>
        </w:rPr>
        <w:t xml:space="preserve">DB </w:t>
      </w:r>
      <w:proofErr w:type="spellStart"/>
      <w:r w:rsidR="004D544A" w:rsidRPr="00A813F3">
        <w:rPr>
          <w:rFonts w:cs="Arial"/>
          <w:color w:val="002060"/>
          <w:sz w:val="24"/>
          <w:szCs w:val="24"/>
        </w:rPr>
        <w:t>Schenker</w:t>
      </w:r>
      <w:proofErr w:type="spellEnd"/>
      <w:r w:rsidR="004D544A" w:rsidRPr="00A813F3">
        <w:rPr>
          <w:rFonts w:cs="Arial"/>
          <w:color w:val="002060"/>
          <w:sz w:val="24"/>
          <w:szCs w:val="24"/>
        </w:rPr>
        <w:t xml:space="preserve"> Rail (UK) </w:t>
      </w:r>
      <w:proofErr w:type="spellStart"/>
      <w:r w:rsidR="004D544A" w:rsidRPr="00A813F3">
        <w:rPr>
          <w:rFonts w:cs="Arial"/>
          <w:color w:val="002060"/>
          <w:sz w:val="24"/>
          <w:szCs w:val="24"/>
        </w:rPr>
        <w:t>ld</w:t>
      </w:r>
      <w:proofErr w:type="spellEnd"/>
      <w:r w:rsidR="004D544A" w:rsidRPr="00A813F3">
        <w:rPr>
          <w:rFonts w:cs="Arial"/>
          <w:color w:val="002060"/>
          <w:sz w:val="24"/>
          <w:szCs w:val="24"/>
        </w:rPr>
        <w:t xml:space="preserve"> v </w:t>
      </w:r>
      <w:proofErr w:type="spellStart"/>
      <w:proofErr w:type="gramStart"/>
      <w:r w:rsidR="004D544A" w:rsidRPr="00A813F3">
        <w:rPr>
          <w:rFonts w:cs="Arial"/>
          <w:color w:val="002060"/>
          <w:sz w:val="24"/>
          <w:szCs w:val="24"/>
        </w:rPr>
        <w:t>Doolan</w:t>
      </w:r>
      <w:proofErr w:type="spellEnd"/>
      <w:r w:rsidR="004D544A" w:rsidRPr="00A813F3">
        <w:rPr>
          <w:rFonts w:cs="Arial"/>
          <w:color w:val="002060"/>
          <w:sz w:val="24"/>
          <w:szCs w:val="24"/>
        </w:rPr>
        <w:t>(</w:t>
      </w:r>
      <w:proofErr w:type="gramEnd"/>
      <w:r w:rsidR="004D544A" w:rsidRPr="00A813F3">
        <w:rPr>
          <w:rFonts w:cs="Arial"/>
          <w:color w:val="002060"/>
          <w:sz w:val="24"/>
          <w:szCs w:val="24"/>
        </w:rPr>
        <w:t>2011) UK EAT/0053/09</w:t>
      </w:r>
      <w:r w:rsidRPr="00A813F3">
        <w:rPr>
          <w:rFonts w:cs="Arial"/>
          <w:color w:val="002060"/>
          <w:sz w:val="24"/>
          <w:szCs w:val="24"/>
        </w:rPr>
        <w:t>)</w:t>
      </w:r>
      <w:r w:rsidR="004D544A" w:rsidRPr="00A813F3">
        <w:rPr>
          <w:rFonts w:cs="Arial"/>
          <w:color w:val="002060"/>
          <w:sz w:val="24"/>
          <w:szCs w:val="24"/>
        </w:rPr>
        <w:t xml:space="preserve"> This case highlighte</w:t>
      </w:r>
      <w:r w:rsidRPr="00A813F3">
        <w:rPr>
          <w:rFonts w:cs="Arial"/>
          <w:color w:val="002060"/>
          <w:sz w:val="24"/>
          <w:szCs w:val="24"/>
        </w:rPr>
        <w:t>d that fact that the employee w</w:t>
      </w:r>
      <w:r w:rsidR="004D544A" w:rsidRPr="00A813F3">
        <w:rPr>
          <w:rFonts w:cs="Arial"/>
          <w:color w:val="002060"/>
          <w:sz w:val="24"/>
          <w:szCs w:val="24"/>
        </w:rPr>
        <w:t xml:space="preserve">as offered alternative roles when the employer felt that the individual lacked the capability to </w:t>
      </w:r>
      <w:r w:rsidRPr="00A813F3">
        <w:rPr>
          <w:rFonts w:cs="Arial"/>
          <w:color w:val="002060"/>
          <w:sz w:val="24"/>
          <w:szCs w:val="24"/>
        </w:rPr>
        <w:t>return</w:t>
      </w:r>
      <w:r w:rsidR="004D544A" w:rsidRPr="00A813F3">
        <w:rPr>
          <w:rFonts w:cs="Arial"/>
          <w:color w:val="002060"/>
          <w:sz w:val="24"/>
          <w:szCs w:val="24"/>
        </w:rPr>
        <w:t xml:space="preserve"> to his original role. The employee refused to accept an alternative role and was subsequently dismissed on the grounds of capability. Interestingly although the Employment Tribunal ruled as unfair dismissal this was later overturned by the EAT who felt that the medical evidence was sufficient to support the dismissal.</w:t>
      </w:r>
    </w:p>
    <w:p w:rsidR="004D544A" w:rsidRPr="00A813F3" w:rsidRDefault="004D544A" w:rsidP="000849DF">
      <w:pPr>
        <w:rPr>
          <w:rFonts w:cs="Arial"/>
          <w:color w:val="002060"/>
          <w:sz w:val="24"/>
          <w:szCs w:val="24"/>
        </w:rPr>
      </w:pPr>
    </w:p>
    <w:p w:rsidR="00DD326A" w:rsidRDefault="000849DF" w:rsidP="000849DF">
      <w:pPr>
        <w:rPr>
          <w:rFonts w:cs="Arial"/>
          <w:color w:val="002060"/>
          <w:sz w:val="24"/>
          <w:szCs w:val="24"/>
        </w:rPr>
      </w:pPr>
      <w:r w:rsidRPr="00A813F3">
        <w:rPr>
          <w:rFonts w:cs="Arial"/>
          <w:color w:val="002060"/>
          <w:sz w:val="24"/>
          <w:szCs w:val="24"/>
        </w:rPr>
        <w:br/>
        <w:t xml:space="preserve">(b) </w:t>
      </w:r>
      <w:r w:rsidR="00DD326A" w:rsidRPr="00DD326A">
        <w:rPr>
          <w:rFonts w:cs="Arial"/>
          <w:color w:val="002060"/>
          <w:sz w:val="24"/>
          <w:szCs w:val="24"/>
          <w:u w:val="single"/>
        </w:rPr>
        <w:t>Misconduct</w:t>
      </w:r>
      <w:r w:rsidR="00DD326A">
        <w:rPr>
          <w:rFonts w:cs="Arial"/>
          <w:color w:val="002060"/>
          <w:sz w:val="24"/>
          <w:szCs w:val="24"/>
        </w:rPr>
        <w:t xml:space="preserve"> </w:t>
      </w:r>
    </w:p>
    <w:p w:rsidR="00DD326A" w:rsidRDefault="004D544A" w:rsidP="000849DF">
      <w:pPr>
        <w:rPr>
          <w:rFonts w:cs="Arial"/>
          <w:color w:val="002060"/>
          <w:sz w:val="24"/>
          <w:szCs w:val="24"/>
        </w:rPr>
      </w:pPr>
      <w:r w:rsidRPr="00A813F3">
        <w:rPr>
          <w:rFonts w:cs="Arial"/>
          <w:color w:val="002060"/>
          <w:sz w:val="24"/>
          <w:szCs w:val="24"/>
        </w:rPr>
        <w:t xml:space="preserve"> </w:t>
      </w:r>
    </w:p>
    <w:p w:rsidR="004D544A" w:rsidRDefault="00DD326A" w:rsidP="000849DF">
      <w:pPr>
        <w:rPr>
          <w:rFonts w:cs="Arial"/>
          <w:color w:val="002060"/>
          <w:sz w:val="24"/>
          <w:szCs w:val="24"/>
        </w:rPr>
      </w:pPr>
      <w:r>
        <w:rPr>
          <w:rFonts w:cs="Arial"/>
          <w:color w:val="002060"/>
          <w:sz w:val="24"/>
          <w:szCs w:val="24"/>
        </w:rPr>
        <w:t xml:space="preserve">Misconduct is </w:t>
      </w:r>
      <w:r w:rsidR="004D544A" w:rsidRPr="00A813F3">
        <w:rPr>
          <w:rFonts w:cs="Arial"/>
          <w:color w:val="002060"/>
          <w:sz w:val="24"/>
          <w:szCs w:val="24"/>
        </w:rPr>
        <w:t>broken down in to two types:-</w:t>
      </w:r>
    </w:p>
    <w:p w:rsidR="00DD326A" w:rsidRPr="00A813F3" w:rsidRDefault="00DD326A" w:rsidP="000849DF">
      <w:pPr>
        <w:rPr>
          <w:rFonts w:cs="Arial"/>
          <w:color w:val="002060"/>
          <w:sz w:val="24"/>
          <w:szCs w:val="24"/>
        </w:rPr>
      </w:pPr>
    </w:p>
    <w:p w:rsidR="004D544A" w:rsidRPr="00A813F3" w:rsidRDefault="00DD326A" w:rsidP="000849DF">
      <w:pPr>
        <w:rPr>
          <w:rFonts w:cs="Arial"/>
          <w:color w:val="002060"/>
          <w:sz w:val="24"/>
          <w:szCs w:val="24"/>
        </w:rPr>
      </w:pPr>
      <w:r>
        <w:rPr>
          <w:rFonts w:cs="Arial"/>
          <w:color w:val="002060"/>
          <w:sz w:val="24"/>
          <w:szCs w:val="24"/>
        </w:rPr>
        <w:t>Gross misconduct,</w:t>
      </w:r>
      <w:r w:rsidR="004D544A" w:rsidRPr="00A813F3">
        <w:rPr>
          <w:rFonts w:cs="Arial"/>
          <w:color w:val="002060"/>
          <w:sz w:val="24"/>
          <w:szCs w:val="24"/>
        </w:rPr>
        <w:t xml:space="preserve"> described as a </w:t>
      </w:r>
      <w:proofErr w:type="spellStart"/>
      <w:r w:rsidR="004D544A" w:rsidRPr="00A813F3">
        <w:rPr>
          <w:rFonts w:cs="Arial"/>
          <w:color w:val="002060"/>
          <w:sz w:val="24"/>
          <w:szCs w:val="24"/>
        </w:rPr>
        <w:t>behaviour</w:t>
      </w:r>
      <w:proofErr w:type="spellEnd"/>
      <w:r w:rsidR="004D544A" w:rsidRPr="00A813F3">
        <w:rPr>
          <w:rFonts w:cs="Arial"/>
          <w:color w:val="002060"/>
          <w:sz w:val="24"/>
          <w:szCs w:val="24"/>
        </w:rPr>
        <w:t xml:space="preserve"> </w:t>
      </w:r>
      <w:r w:rsidR="00E2278C" w:rsidRPr="00A813F3">
        <w:rPr>
          <w:rFonts w:cs="Arial"/>
          <w:color w:val="002060"/>
          <w:sz w:val="24"/>
          <w:szCs w:val="24"/>
        </w:rPr>
        <w:t xml:space="preserve">by the </w:t>
      </w:r>
      <w:r w:rsidR="00C65ADF" w:rsidRPr="00A813F3">
        <w:rPr>
          <w:rFonts w:cs="Arial"/>
          <w:color w:val="002060"/>
          <w:sz w:val="24"/>
          <w:szCs w:val="24"/>
        </w:rPr>
        <w:t>employee which is so bad that it</w:t>
      </w:r>
      <w:r w:rsidR="00E2278C" w:rsidRPr="00A813F3">
        <w:rPr>
          <w:rFonts w:cs="Arial"/>
          <w:color w:val="002060"/>
          <w:sz w:val="24"/>
          <w:szCs w:val="24"/>
        </w:rPr>
        <w:t xml:space="preserve"> destroys the employer/employee relationship and the implied duties of the contract of mutual trust. This could include theft, fraud, </w:t>
      </w:r>
      <w:r w:rsidR="00C65ADF" w:rsidRPr="00A813F3">
        <w:rPr>
          <w:rFonts w:cs="Arial"/>
          <w:color w:val="002060"/>
          <w:sz w:val="24"/>
          <w:szCs w:val="24"/>
        </w:rPr>
        <w:t>and assault</w:t>
      </w:r>
      <w:r w:rsidR="00E2278C" w:rsidRPr="00A813F3">
        <w:rPr>
          <w:rFonts w:cs="Arial"/>
          <w:color w:val="002060"/>
          <w:sz w:val="24"/>
          <w:szCs w:val="24"/>
        </w:rPr>
        <w:t xml:space="preserve"> and could result in immediate dismissal.</w:t>
      </w:r>
    </w:p>
    <w:p w:rsidR="00E2278C" w:rsidRPr="00A813F3" w:rsidRDefault="00E2278C" w:rsidP="000849DF">
      <w:pPr>
        <w:rPr>
          <w:rFonts w:cs="Arial"/>
          <w:color w:val="002060"/>
          <w:sz w:val="24"/>
          <w:szCs w:val="24"/>
        </w:rPr>
      </w:pPr>
    </w:p>
    <w:p w:rsidR="00E2278C" w:rsidRPr="00A813F3" w:rsidRDefault="00E2278C" w:rsidP="000849DF">
      <w:pPr>
        <w:rPr>
          <w:rFonts w:cs="Arial"/>
          <w:color w:val="002060"/>
          <w:sz w:val="24"/>
          <w:szCs w:val="24"/>
        </w:rPr>
      </w:pPr>
      <w:r w:rsidRPr="00A813F3">
        <w:rPr>
          <w:rFonts w:cs="Arial"/>
          <w:color w:val="002060"/>
          <w:sz w:val="24"/>
          <w:szCs w:val="24"/>
        </w:rPr>
        <w:t xml:space="preserve">The </w:t>
      </w:r>
      <w:proofErr w:type="spellStart"/>
      <w:r w:rsidRPr="00A813F3">
        <w:rPr>
          <w:rFonts w:cs="Arial"/>
          <w:color w:val="002060"/>
          <w:sz w:val="24"/>
          <w:szCs w:val="24"/>
        </w:rPr>
        <w:t>Burchell</w:t>
      </w:r>
      <w:proofErr w:type="spellEnd"/>
      <w:r w:rsidRPr="00A813F3">
        <w:rPr>
          <w:rFonts w:cs="Arial"/>
          <w:color w:val="002060"/>
          <w:sz w:val="24"/>
          <w:szCs w:val="24"/>
        </w:rPr>
        <w:t xml:space="preserve"> test relates to a precedent case between British Home Stores LTD v </w:t>
      </w:r>
      <w:proofErr w:type="spellStart"/>
      <w:r w:rsidRPr="00A813F3">
        <w:rPr>
          <w:rFonts w:cs="Arial"/>
          <w:color w:val="002060"/>
          <w:sz w:val="24"/>
          <w:szCs w:val="24"/>
        </w:rPr>
        <w:t>Burchell</w:t>
      </w:r>
      <w:proofErr w:type="spellEnd"/>
      <w:r w:rsidRPr="00A813F3">
        <w:rPr>
          <w:rFonts w:cs="Arial"/>
          <w:color w:val="002060"/>
          <w:sz w:val="24"/>
          <w:szCs w:val="24"/>
        </w:rPr>
        <w:t xml:space="preserve"> (1978) IRLR379</w:t>
      </w:r>
      <w:r w:rsidR="00C65ADF" w:rsidRPr="00A813F3">
        <w:rPr>
          <w:rFonts w:cs="Arial"/>
          <w:color w:val="002060"/>
          <w:sz w:val="24"/>
          <w:szCs w:val="24"/>
        </w:rPr>
        <w:t>. It highlights a test that an Employment Tribunal can use to consider a case of dismissal for misconduct and highlights three areas:-</w:t>
      </w:r>
    </w:p>
    <w:p w:rsidR="00C65ADF" w:rsidRPr="00A813F3" w:rsidRDefault="00C65ADF" w:rsidP="000849DF">
      <w:pPr>
        <w:rPr>
          <w:rFonts w:cs="Arial"/>
          <w:color w:val="002060"/>
          <w:sz w:val="24"/>
          <w:szCs w:val="24"/>
        </w:rPr>
      </w:pPr>
    </w:p>
    <w:p w:rsidR="00C65ADF" w:rsidRPr="00A813F3" w:rsidRDefault="00C65ADF" w:rsidP="00C65ADF">
      <w:pPr>
        <w:numPr>
          <w:ilvl w:val="0"/>
          <w:numId w:val="5"/>
        </w:numPr>
        <w:shd w:val="clear" w:color="auto" w:fill="FFFFFF"/>
        <w:rPr>
          <w:rFonts w:eastAsia="Times New Roman" w:cs="Arial"/>
          <w:color w:val="002060"/>
          <w:sz w:val="24"/>
          <w:szCs w:val="24"/>
          <w:lang w:val="en-GB" w:eastAsia="en-GB"/>
        </w:rPr>
      </w:pPr>
      <w:r w:rsidRPr="00A813F3">
        <w:rPr>
          <w:rFonts w:eastAsia="Times New Roman" w:cs="Arial"/>
          <w:color w:val="002060"/>
          <w:sz w:val="24"/>
          <w:szCs w:val="24"/>
          <w:lang w:val="en-GB" w:eastAsia="en-GB"/>
        </w:rPr>
        <w:t>Did the employer genuinely believe the employee was guilty of the alleged misconduct?</w:t>
      </w:r>
    </w:p>
    <w:p w:rsidR="00C65ADF" w:rsidRPr="00A813F3" w:rsidRDefault="00C65ADF" w:rsidP="00C65ADF">
      <w:pPr>
        <w:numPr>
          <w:ilvl w:val="0"/>
          <w:numId w:val="5"/>
        </w:numPr>
        <w:shd w:val="clear" w:color="auto" w:fill="FFFFFF"/>
        <w:rPr>
          <w:rFonts w:eastAsia="Times New Roman" w:cs="Arial"/>
          <w:color w:val="002060"/>
          <w:sz w:val="24"/>
          <w:szCs w:val="24"/>
          <w:lang w:val="en-GB" w:eastAsia="en-GB"/>
        </w:rPr>
      </w:pPr>
      <w:r w:rsidRPr="00A813F3">
        <w:rPr>
          <w:rFonts w:eastAsia="Times New Roman" w:cs="Arial"/>
          <w:color w:val="002060"/>
          <w:sz w:val="24"/>
          <w:szCs w:val="24"/>
          <w:lang w:val="en-GB" w:eastAsia="en-GB"/>
        </w:rPr>
        <w:t>Did the employer have genuine grounds to suspect that the employee was guilty of misconduct?</w:t>
      </w:r>
    </w:p>
    <w:p w:rsidR="00C65ADF" w:rsidRPr="00A813F3" w:rsidRDefault="00C65ADF" w:rsidP="00C65ADF">
      <w:pPr>
        <w:numPr>
          <w:ilvl w:val="0"/>
          <w:numId w:val="5"/>
        </w:numPr>
        <w:shd w:val="clear" w:color="auto" w:fill="FFFFFF"/>
        <w:rPr>
          <w:rFonts w:eastAsia="Times New Roman" w:cs="Arial"/>
          <w:color w:val="002060"/>
          <w:sz w:val="24"/>
          <w:szCs w:val="24"/>
          <w:lang w:val="en-GB" w:eastAsia="en-GB"/>
        </w:rPr>
      </w:pPr>
      <w:r w:rsidRPr="00A813F3">
        <w:rPr>
          <w:rFonts w:eastAsia="Times New Roman" w:cs="Arial"/>
          <w:color w:val="002060"/>
          <w:sz w:val="24"/>
          <w:szCs w:val="24"/>
          <w:lang w:val="en-GB" w:eastAsia="en-GB"/>
        </w:rPr>
        <w:t>Did the employer carry out a reasonable investigation before making a final decision about the employees’ guilt?</w:t>
      </w:r>
    </w:p>
    <w:p w:rsidR="00E2278C" w:rsidRPr="00A813F3" w:rsidRDefault="00E2278C" w:rsidP="000849DF">
      <w:pPr>
        <w:rPr>
          <w:rFonts w:cs="Arial"/>
          <w:color w:val="002060"/>
          <w:sz w:val="24"/>
          <w:szCs w:val="24"/>
        </w:rPr>
      </w:pPr>
    </w:p>
    <w:p w:rsidR="004D544A" w:rsidRPr="00A813F3" w:rsidRDefault="00E2278C" w:rsidP="000849DF">
      <w:pPr>
        <w:rPr>
          <w:rFonts w:cs="Arial"/>
          <w:color w:val="002060"/>
          <w:sz w:val="24"/>
          <w:szCs w:val="24"/>
        </w:rPr>
      </w:pPr>
      <w:r w:rsidRPr="00A813F3">
        <w:rPr>
          <w:rFonts w:cs="Arial"/>
          <w:color w:val="002060"/>
          <w:sz w:val="24"/>
          <w:szCs w:val="24"/>
        </w:rPr>
        <w:t>M</w:t>
      </w:r>
      <w:r w:rsidR="004D544A" w:rsidRPr="00A813F3">
        <w:rPr>
          <w:rFonts w:cs="Arial"/>
          <w:color w:val="002060"/>
          <w:sz w:val="24"/>
          <w:szCs w:val="24"/>
        </w:rPr>
        <w:t>isconduct</w:t>
      </w:r>
      <w:r w:rsidR="00DD326A">
        <w:rPr>
          <w:rFonts w:cs="Arial"/>
          <w:color w:val="002060"/>
          <w:sz w:val="24"/>
          <w:szCs w:val="24"/>
        </w:rPr>
        <w:t xml:space="preserve"> is </w:t>
      </w:r>
      <w:r w:rsidRPr="00A813F3">
        <w:rPr>
          <w:rFonts w:cs="Arial"/>
          <w:color w:val="002060"/>
          <w:sz w:val="24"/>
          <w:szCs w:val="24"/>
        </w:rPr>
        <w:t>a less serious offence e.g. bad language</w:t>
      </w:r>
      <w:r w:rsidR="00C65ADF" w:rsidRPr="00A813F3">
        <w:rPr>
          <w:rFonts w:cs="Arial"/>
          <w:color w:val="002060"/>
          <w:sz w:val="24"/>
          <w:szCs w:val="24"/>
        </w:rPr>
        <w:t>, poor time keeping. If it</w:t>
      </w:r>
      <w:r w:rsidRPr="00A813F3">
        <w:rPr>
          <w:rFonts w:cs="Arial"/>
          <w:color w:val="002060"/>
          <w:sz w:val="24"/>
          <w:szCs w:val="24"/>
        </w:rPr>
        <w:t xml:space="preserve"> continue</w:t>
      </w:r>
      <w:r w:rsidR="00C65ADF" w:rsidRPr="00A813F3">
        <w:rPr>
          <w:rFonts w:cs="Arial"/>
          <w:color w:val="002060"/>
          <w:sz w:val="24"/>
          <w:szCs w:val="24"/>
        </w:rPr>
        <w:t>s then it</w:t>
      </w:r>
      <w:r w:rsidRPr="00A813F3">
        <w:rPr>
          <w:rFonts w:cs="Arial"/>
          <w:color w:val="002060"/>
          <w:sz w:val="24"/>
          <w:szCs w:val="24"/>
        </w:rPr>
        <w:t xml:space="preserve"> could result in dismissal.</w:t>
      </w:r>
    </w:p>
    <w:p w:rsidR="00C65ADF" w:rsidRPr="00A813F3" w:rsidRDefault="00C65ADF" w:rsidP="000849DF">
      <w:pPr>
        <w:rPr>
          <w:rFonts w:cs="Arial"/>
          <w:color w:val="002060"/>
          <w:sz w:val="24"/>
          <w:szCs w:val="24"/>
        </w:rPr>
      </w:pPr>
    </w:p>
    <w:p w:rsidR="00C83D6B" w:rsidRPr="00A813F3" w:rsidRDefault="00C65ADF" w:rsidP="000849DF">
      <w:pPr>
        <w:rPr>
          <w:rFonts w:cs="Arial"/>
          <w:color w:val="002060"/>
          <w:sz w:val="24"/>
          <w:szCs w:val="24"/>
        </w:rPr>
      </w:pPr>
      <w:r w:rsidRPr="00A813F3">
        <w:rPr>
          <w:rFonts w:cs="Arial"/>
          <w:color w:val="002060"/>
          <w:sz w:val="24"/>
          <w:szCs w:val="24"/>
        </w:rPr>
        <w:t xml:space="preserve">I have recently shadowed a HR Officer </w:t>
      </w:r>
      <w:r w:rsidR="00DD326A">
        <w:rPr>
          <w:rFonts w:cs="Arial"/>
          <w:color w:val="002060"/>
          <w:sz w:val="24"/>
          <w:szCs w:val="24"/>
        </w:rPr>
        <w:t>in PCC investigating</w:t>
      </w:r>
      <w:r w:rsidR="00C83D6B" w:rsidRPr="00A813F3">
        <w:rPr>
          <w:rFonts w:cs="Arial"/>
          <w:color w:val="002060"/>
          <w:sz w:val="24"/>
          <w:szCs w:val="24"/>
        </w:rPr>
        <w:t xml:space="preserve"> two cases of misconduct both relating to loss of a driving license. The role of one employee requires him to drive as essential to his role whilst the other is mainly office based but his role requests that it is desirable that he can drive if required. As an </w:t>
      </w:r>
      <w:proofErr w:type="spellStart"/>
      <w:r w:rsidR="00C83D6B" w:rsidRPr="00A813F3">
        <w:rPr>
          <w:rFonts w:cs="Arial"/>
          <w:color w:val="002060"/>
          <w:sz w:val="24"/>
          <w:szCs w:val="24"/>
        </w:rPr>
        <w:t>organisation</w:t>
      </w:r>
      <w:proofErr w:type="spellEnd"/>
      <w:r w:rsidR="00C83D6B" w:rsidRPr="00A813F3">
        <w:rPr>
          <w:rFonts w:cs="Arial"/>
          <w:color w:val="002060"/>
          <w:sz w:val="24"/>
          <w:szCs w:val="24"/>
        </w:rPr>
        <w:t xml:space="preserve"> we are attempting to accommodate both individuals in suitable roles, however, we are not obliged to do this and in both cases warnings have been given.</w:t>
      </w:r>
    </w:p>
    <w:p w:rsidR="00DD326A" w:rsidRDefault="000849DF" w:rsidP="000849DF">
      <w:pPr>
        <w:rPr>
          <w:rFonts w:cs="Arial"/>
          <w:color w:val="002060"/>
          <w:sz w:val="24"/>
          <w:szCs w:val="24"/>
        </w:rPr>
      </w:pPr>
      <w:r w:rsidRPr="00A813F3">
        <w:rPr>
          <w:rFonts w:cs="Arial"/>
          <w:color w:val="002060"/>
          <w:sz w:val="24"/>
          <w:szCs w:val="24"/>
        </w:rPr>
        <w:br/>
        <w:t xml:space="preserve">(c) </w:t>
      </w:r>
      <w:r w:rsidR="00DD326A" w:rsidRPr="00DD326A">
        <w:rPr>
          <w:rFonts w:cs="Arial"/>
          <w:color w:val="002060"/>
          <w:sz w:val="24"/>
          <w:szCs w:val="24"/>
          <w:u w:val="single"/>
        </w:rPr>
        <w:t>Grievance</w:t>
      </w:r>
      <w:r w:rsidR="00DD326A">
        <w:rPr>
          <w:rFonts w:cs="Arial"/>
          <w:color w:val="002060"/>
          <w:sz w:val="24"/>
          <w:szCs w:val="24"/>
        </w:rPr>
        <w:t xml:space="preserve"> </w:t>
      </w:r>
    </w:p>
    <w:p w:rsidR="00DD326A" w:rsidRDefault="00DD326A" w:rsidP="000849DF">
      <w:pPr>
        <w:rPr>
          <w:rFonts w:cs="Arial"/>
          <w:color w:val="002060"/>
          <w:sz w:val="24"/>
          <w:szCs w:val="24"/>
        </w:rPr>
      </w:pPr>
    </w:p>
    <w:p w:rsidR="00A157AE" w:rsidRPr="00A813F3" w:rsidRDefault="00C83D6B" w:rsidP="000849DF">
      <w:pPr>
        <w:rPr>
          <w:rFonts w:cs="Arial"/>
          <w:color w:val="002060"/>
          <w:sz w:val="24"/>
          <w:szCs w:val="24"/>
        </w:rPr>
      </w:pPr>
      <w:r w:rsidRPr="00DD326A">
        <w:rPr>
          <w:rFonts w:cs="Arial"/>
          <w:i/>
          <w:color w:val="002060"/>
          <w:sz w:val="24"/>
          <w:szCs w:val="24"/>
        </w:rPr>
        <w:t xml:space="preserve">The </w:t>
      </w:r>
      <w:r w:rsidR="00EF0FD4" w:rsidRPr="00DD326A">
        <w:rPr>
          <w:rFonts w:cs="Arial"/>
          <w:i/>
          <w:color w:val="002060"/>
          <w:sz w:val="24"/>
          <w:szCs w:val="24"/>
        </w:rPr>
        <w:t>Employment</w:t>
      </w:r>
      <w:r w:rsidRPr="00DD326A">
        <w:rPr>
          <w:rFonts w:cs="Arial"/>
          <w:i/>
          <w:color w:val="002060"/>
          <w:sz w:val="24"/>
          <w:szCs w:val="24"/>
        </w:rPr>
        <w:t xml:space="preserve"> Act 2002</w:t>
      </w:r>
      <w:r w:rsidRPr="00A813F3">
        <w:rPr>
          <w:rFonts w:cs="Arial"/>
          <w:color w:val="002060"/>
          <w:sz w:val="24"/>
          <w:szCs w:val="24"/>
        </w:rPr>
        <w:t xml:space="preserve"> introduced a statutory grievance procedure</w:t>
      </w:r>
      <w:r w:rsidR="00DD326A">
        <w:rPr>
          <w:rFonts w:cs="Arial"/>
          <w:color w:val="002060"/>
          <w:sz w:val="24"/>
          <w:szCs w:val="24"/>
        </w:rPr>
        <w:t xml:space="preserve">. </w:t>
      </w:r>
      <w:proofErr w:type="spellStart"/>
      <w:r w:rsidR="00DD326A">
        <w:rPr>
          <w:rFonts w:cs="Arial"/>
          <w:color w:val="002060"/>
          <w:sz w:val="24"/>
          <w:szCs w:val="24"/>
        </w:rPr>
        <w:t>O</w:t>
      </w:r>
      <w:r w:rsidR="00D571BE" w:rsidRPr="00A813F3">
        <w:rPr>
          <w:rFonts w:cs="Arial"/>
          <w:color w:val="002060"/>
          <w:sz w:val="24"/>
          <w:szCs w:val="24"/>
        </w:rPr>
        <w:t>rganisations</w:t>
      </w:r>
      <w:proofErr w:type="spellEnd"/>
      <w:r w:rsidR="00D571BE" w:rsidRPr="00A813F3">
        <w:rPr>
          <w:rFonts w:cs="Arial"/>
          <w:color w:val="002060"/>
          <w:sz w:val="24"/>
          <w:szCs w:val="24"/>
        </w:rPr>
        <w:t xml:space="preserve"> are now </w:t>
      </w:r>
      <w:r w:rsidR="00DD326A">
        <w:rPr>
          <w:rFonts w:cs="Arial"/>
          <w:color w:val="002060"/>
          <w:sz w:val="24"/>
          <w:szCs w:val="24"/>
        </w:rPr>
        <w:t xml:space="preserve">also </w:t>
      </w:r>
      <w:r w:rsidR="00D571BE" w:rsidRPr="00A813F3">
        <w:rPr>
          <w:rFonts w:cs="Arial"/>
          <w:color w:val="002060"/>
          <w:sz w:val="24"/>
          <w:szCs w:val="24"/>
        </w:rPr>
        <w:t>required to follow the ACAS Code of Practice: Disciplinar</w:t>
      </w:r>
      <w:r w:rsidR="00DD326A">
        <w:rPr>
          <w:rFonts w:cs="Arial"/>
          <w:color w:val="002060"/>
          <w:sz w:val="24"/>
          <w:szCs w:val="24"/>
        </w:rPr>
        <w:t>y and Grievance Procedure. Both</w:t>
      </w:r>
      <w:r w:rsidR="00D571BE" w:rsidRPr="00A813F3">
        <w:rPr>
          <w:rFonts w:cs="Arial"/>
          <w:color w:val="002060"/>
          <w:sz w:val="24"/>
          <w:szCs w:val="24"/>
        </w:rPr>
        <w:t xml:space="preserve"> the employer and employee are expected to </w:t>
      </w:r>
      <w:r w:rsidR="00D67C46" w:rsidRPr="00A813F3">
        <w:rPr>
          <w:rFonts w:cs="Arial"/>
          <w:color w:val="002060"/>
          <w:sz w:val="24"/>
          <w:szCs w:val="24"/>
        </w:rPr>
        <w:t>follow</w:t>
      </w:r>
      <w:r w:rsidR="00D571BE" w:rsidRPr="00A813F3">
        <w:rPr>
          <w:rFonts w:cs="Arial"/>
          <w:color w:val="002060"/>
          <w:sz w:val="24"/>
          <w:szCs w:val="24"/>
        </w:rPr>
        <w:t xml:space="preserve"> this procedure and failure to do so can reduce any compensation by up to 25 per cent.</w:t>
      </w:r>
    </w:p>
    <w:p w:rsidR="00D571BE" w:rsidRPr="00A813F3" w:rsidRDefault="00D571BE" w:rsidP="000849DF">
      <w:pPr>
        <w:rPr>
          <w:rFonts w:cs="Arial"/>
          <w:color w:val="002060"/>
          <w:sz w:val="24"/>
          <w:szCs w:val="24"/>
        </w:rPr>
      </w:pPr>
      <w:r w:rsidRPr="00A813F3">
        <w:rPr>
          <w:rFonts w:cs="Arial"/>
          <w:color w:val="002060"/>
          <w:sz w:val="24"/>
          <w:szCs w:val="24"/>
        </w:rPr>
        <w:lastRenderedPageBreak/>
        <w:t xml:space="preserve">An employee has the right to raise a grievance and it is one of the ways of </w:t>
      </w:r>
      <w:r w:rsidR="00D67C46" w:rsidRPr="00A813F3">
        <w:rPr>
          <w:rFonts w:cs="Arial"/>
          <w:color w:val="002060"/>
          <w:sz w:val="24"/>
          <w:szCs w:val="24"/>
        </w:rPr>
        <w:t>resolving a</w:t>
      </w:r>
      <w:r w:rsidRPr="00A813F3">
        <w:rPr>
          <w:rFonts w:cs="Arial"/>
          <w:color w:val="002060"/>
          <w:sz w:val="24"/>
          <w:szCs w:val="24"/>
        </w:rPr>
        <w:t xml:space="preserve"> problem at work. The grievance has to be genuine.</w:t>
      </w:r>
    </w:p>
    <w:p w:rsidR="00D571BE" w:rsidRPr="00A813F3" w:rsidRDefault="000609F3" w:rsidP="000849DF">
      <w:pPr>
        <w:rPr>
          <w:rFonts w:cs="Arial"/>
          <w:color w:val="002060"/>
          <w:sz w:val="24"/>
          <w:szCs w:val="24"/>
        </w:rPr>
      </w:pPr>
      <w:r w:rsidRPr="00A813F3">
        <w:rPr>
          <w:rFonts w:cs="Arial"/>
          <w:color w:val="002060"/>
          <w:sz w:val="24"/>
          <w:szCs w:val="24"/>
        </w:rPr>
        <w:t>PCC has a grievance policy which complies with the ACAS Code. The CIPD highlights the importance of ensuring that all employers treat employee grievances in the same fair manner and are familiar with procedure. In reality the HR function within PCC manage all employer grievances and would prefer to resolve them on an inf</w:t>
      </w:r>
      <w:r w:rsidR="00DD326A">
        <w:rPr>
          <w:rFonts w:cs="Arial"/>
          <w:color w:val="002060"/>
          <w:sz w:val="24"/>
          <w:szCs w:val="24"/>
        </w:rPr>
        <w:t>ormal rather than formal basis</w:t>
      </w:r>
      <w:r w:rsidRPr="00A813F3">
        <w:rPr>
          <w:rFonts w:cs="Arial"/>
          <w:color w:val="002060"/>
          <w:sz w:val="24"/>
          <w:szCs w:val="24"/>
        </w:rPr>
        <w:t>.</w:t>
      </w:r>
    </w:p>
    <w:p w:rsidR="000609F3" w:rsidRPr="00A813F3" w:rsidRDefault="000609F3" w:rsidP="000849DF">
      <w:pPr>
        <w:rPr>
          <w:rFonts w:cs="Arial"/>
          <w:color w:val="002060"/>
          <w:sz w:val="24"/>
          <w:szCs w:val="24"/>
        </w:rPr>
      </w:pPr>
      <w:r w:rsidRPr="00A813F3">
        <w:rPr>
          <w:rFonts w:cs="Arial"/>
          <w:color w:val="002060"/>
          <w:sz w:val="24"/>
          <w:szCs w:val="24"/>
        </w:rPr>
        <w:t>The ACAS Code sets out the formal process, timescales and stages.</w:t>
      </w:r>
    </w:p>
    <w:p w:rsidR="000609F3" w:rsidRPr="00A813F3" w:rsidRDefault="000609F3" w:rsidP="000849DF">
      <w:pPr>
        <w:rPr>
          <w:rFonts w:cs="Arial"/>
          <w:color w:val="002060"/>
          <w:sz w:val="24"/>
          <w:szCs w:val="24"/>
        </w:rPr>
      </w:pPr>
      <w:r w:rsidRPr="00A813F3">
        <w:rPr>
          <w:rFonts w:cs="Arial"/>
          <w:color w:val="002060"/>
          <w:sz w:val="24"/>
          <w:szCs w:val="24"/>
        </w:rPr>
        <w:t>Sadly in reality</w:t>
      </w:r>
      <w:r w:rsidR="00EF0FD4" w:rsidRPr="00A813F3">
        <w:rPr>
          <w:rFonts w:cs="Arial"/>
          <w:color w:val="002060"/>
          <w:sz w:val="24"/>
          <w:szCs w:val="24"/>
        </w:rPr>
        <w:t>,</w:t>
      </w:r>
      <w:r w:rsidRPr="00A813F3">
        <w:rPr>
          <w:rFonts w:cs="Arial"/>
          <w:color w:val="002060"/>
          <w:sz w:val="24"/>
          <w:szCs w:val="24"/>
        </w:rPr>
        <w:t xml:space="preserve"> very few cases are ever upheld and an employee</w:t>
      </w:r>
      <w:r w:rsidR="00EF0FD4" w:rsidRPr="00A813F3">
        <w:rPr>
          <w:rFonts w:cs="Arial"/>
          <w:color w:val="002060"/>
          <w:sz w:val="24"/>
          <w:szCs w:val="24"/>
        </w:rPr>
        <w:t xml:space="preserve"> often</w:t>
      </w:r>
      <w:r w:rsidRPr="00A813F3">
        <w:rPr>
          <w:rFonts w:cs="Arial"/>
          <w:color w:val="002060"/>
          <w:sz w:val="24"/>
          <w:szCs w:val="24"/>
        </w:rPr>
        <w:t xml:space="preserve"> leave</w:t>
      </w:r>
      <w:r w:rsidR="00EF0FD4" w:rsidRPr="00A813F3">
        <w:rPr>
          <w:rFonts w:cs="Arial"/>
          <w:color w:val="002060"/>
          <w:sz w:val="24"/>
          <w:szCs w:val="24"/>
        </w:rPr>
        <w:t>s</w:t>
      </w:r>
      <w:r w:rsidRPr="00A813F3">
        <w:rPr>
          <w:rFonts w:cs="Arial"/>
          <w:color w:val="002060"/>
          <w:sz w:val="24"/>
          <w:szCs w:val="24"/>
        </w:rPr>
        <w:t xml:space="preserve"> their role. A typical example in PCC is that of a grievance formally raised by an employee in relation to agile working, the</w:t>
      </w:r>
      <w:r w:rsidR="00EF0FD4" w:rsidRPr="00A813F3">
        <w:rPr>
          <w:rFonts w:cs="Arial"/>
          <w:color w:val="002060"/>
          <w:sz w:val="24"/>
          <w:szCs w:val="24"/>
        </w:rPr>
        <w:t xml:space="preserve"> employee has since taken early retirement. </w:t>
      </w:r>
    </w:p>
    <w:p w:rsidR="00DD326A" w:rsidRDefault="00DD326A" w:rsidP="000849DF">
      <w:pPr>
        <w:rPr>
          <w:rFonts w:cs="Arial"/>
          <w:color w:val="002060"/>
          <w:sz w:val="24"/>
          <w:szCs w:val="24"/>
        </w:rPr>
      </w:pPr>
    </w:p>
    <w:p w:rsidR="00DD326A" w:rsidRDefault="00775911" w:rsidP="00DD326A">
      <w:pPr>
        <w:rPr>
          <w:rFonts w:cs="Arial"/>
          <w:color w:val="002060"/>
          <w:sz w:val="24"/>
          <w:szCs w:val="24"/>
        </w:rPr>
      </w:pPr>
      <w:r>
        <w:rPr>
          <w:rFonts w:cs="Arial"/>
          <w:color w:val="002060"/>
          <w:sz w:val="24"/>
          <w:szCs w:val="24"/>
        </w:rPr>
        <w:t xml:space="preserve">Another example of </w:t>
      </w:r>
      <w:bookmarkStart w:id="0" w:name="_GoBack"/>
      <w:bookmarkEnd w:id="0"/>
      <w:r w:rsidR="004678BB">
        <w:rPr>
          <w:rFonts w:cs="Arial"/>
          <w:color w:val="002060"/>
          <w:sz w:val="24"/>
          <w:szCs w:val="24"/>
        </w:rPr>
        <w:t>grievance :</w:t>
      </w:r>
      <w:proofErr w:type="gramStart"/>
      <w:r w:rsidR="00D67C46" w:rsidRPr="00A813F3">
        <w:rPr>
          <w:rFonts w:cs="Arial"/>
          <w:color w:val="002060"/>
          <w:sz w:val="24"/>
          <w:szCs w:val="24"/>
        </w:rPr>
        <w:t>(</w:t>
      </w:r>
      <w:r w:rsidR="00EF0FD4" w:rsidRPr="00A813F3">
        <w:rPr>
          <w:rFonts w:cs="Arial"/>
          <w:color w:val="002060"/>
          <w:sz w:val="24"/>
          <w:szCs w:val="24"/>
        </w:rPr>
        <w:t>The</w:t>
      </w:r>
      <w:proofErr w:type="gramEnd"/>
      <w:r w:rsidR="00EF0FD4" w:rsidRPr="00A813F3">
        <w:rPr>
          <w:rFonts w:cs="Arial"/>
          <w:color w:val="002060"/>
          <w:sz w:val="24"/>
          <w:szCs w:val="24"/>
        </w:rPr>
        <w:t xml:space="preserve"> case of Blackburn </w:t>
      </w:r>
      <w:r w:rsidR="00D67C46" w:rsidRPr="00A813F3">
        <w:rPr>
          <w:rFonts w:cs="Arial"/>
          <w:color w:val="002060"/>
          <w:sz w:val="24"/>
          <w:szCs w:val="24"/>
        </w:rPr>
        <w:t>v Aldi Stores Ltd 29 July 2013)</w:t>
      </w:r>
    </w:p>
    <w:p w:rsidR="00EF0FD4" w:rsidRPr="00DD326A" w:rsidRDefault="00D67C46" w:rsidP="00DD326A">
      <w:pPr>
        <w:rPr>
          <w:color w:val="002060"/>
          <w:sz w:val="24"/>
          <w:szCs w:val="24"/>
        </w:rPr>
      </w:pPr>
      <w:r w:rsidRPr="00DD326A">
        <w:rPr>
          <w:rFonts w:cs="Arial"/>
          <w:bCs/>
          <w:i/>
          <w:color w:val="002060"/>
          <w:sz w:val="24"/>
          <w:szCs w:val="24"/>
        </w:rPr>
        <w:t>‘</w:t>
      </w:r>
      <w:r w:rsidR="00EF0FD4" w:rsidRPr="00DD326A">
        <w:rPr>
          <w:rFonts w:cs="Arial"/>
          <w:bCs/>
          <w:i/>
          <w:color w:val="002060"/>
          <w:sz w:val="24"/>
          <w:szCs w:val="24"/>
        </w:rPr>
        <w:t>A supermarket driver with employee status raised health and safety-based grievances against his employer. In accordance with his employer’s written grievance procedure, the grievance was heard by a regional managing director who accepted some of the driver’s complaints and rejected others.</w:t>
      </w:r>
    </w:p>
    <w:p w:rsidR="00EF0FD4" w:rsidRPr="00A813F3" w:rsidRDefault="00EF0FD4" w:rsidP="00EF0FD4">
      <w:pPr>
        <w:pStyle w:val="NormalWeb"/>
        <w:shd w:val="clear" w:color="auto" w:fill="F7F6F6"/>
        <w:rPr>
          <w:rFonts w:ascii="Arial" w:hAnsi="Arial" w:cs="Arial"/>
          <w:bCs/>
          <w:i/>
          <w:color w:val="002060"/>
        </w:rPr>
      </w:pPr>
      <w:r w:rsidRPr="00A813F3">
        <w:rPr>
          <w:rFonts w:ascii="Arial" w:hAnsi="Arial" w:cs="Arial"/>
          <w:bCs/>
          <w:i/>
          <w:color w:val="002060"/>
        </w:rPr>
        <w:t>The driver appealed again and the appeal was unsuccessful. The appeal was heard by the same managing director, rather than by a more senior manager. This was a breach of the employer’s own grievance procedure and the ACAS Code of practice.</w:t>
      </w:r>
    </w:p>
    <w:p w:rsidR="00EF0FD4" w:rsidRDefault="00EF0FD4" w:rsidP="000849DF">
      <w:pPr>
        <w:rPr>
          <w:rFonts w:cs="Arial"/>
          <w:bCs/>
          <w:i/>
          <w:color w:val="002060"/>
          <w:sz w:val="24"/>
          <w:szCs w:val="24"/>
          <w:shd w:val="clear" w:color="auto" w:fill="F7F6F6"/>
        </w:rPr>
      </w:pPr>
      <w:r w:rsidRPr="00A813F3">
        <w:rPr>
          <w:rFonts w:cs="Arial"/>
          <w:bCs/>
          <w:i/>
          <w:color w:val="002060"/>
          <w:sz w:val="24"/>
          <w:szCs w:val="24"/>
          <w:shd w:val="clear" w:color="auto" w:fill="F7F6F6"/>
        </w:rPr>
        <w:t>The driver resigned and claimed constructive unfair dismissal. He based this claim on a breach of the implied term of trust and confidence by the employer. He alleged that, as the employer had failed to follow its own grievance procedure, a proper appeal had not taken place.</w:t>
      </w:r>
      <w:r w:rsidR="00D67C46" w:rsidRPr="00A813F3">
        <w:rPr>
          <w:rFonts w:cs="Arial"/>
          <w:bCs/>
          <w:i/>
          <w:color w:val="002060"/>
          <w:sz w:val="24"/>
          <w:szCs w:val="24"/>
          <w:shd w:val="clear" w:color="auto" w:fill="F7F6F6"/>
        </w:rPr>
        <w:t>’</w:t>
      </w:r>
    </w:p>
    <w:p w:rsidR="00775911" w:rsidRDefault="00775911" w:rsidP="000849DF">
      <w:pPr>
        <w:rPr>
          <w:rFonts w:cs="Arial"/>
          <w:bCs/>
          <w:i/>
          <w:color w:val="002060"/>
          <w:sz w:val="24"/>
          <w:szCs w:val="24"/>
          <w:shd w:val="clear" w:color="auto" w:fill="F7F6F6"/>
        </w:rPr>
      </w:pPr>
    </w:p>
    <w:p w:rsidR="00775911" w:rsidRPr="00775911" w:rsidRDefault="00775911" w:rsidP="000849DF">
      <w:pPr>
        <w:rPr>
          <w:rFonts w:cs="Arial"/>
          <w:bCs/>
          <w:color w:val="002060"/>
          <w:sz w:val="24"/>
          <w:szCs w:val="24"/>
          <w:shd w:val="clear" w:color="auto" w:fill="F7F6F6"/>
        </w:rPr>
      </w:pPr>
      <w:r>
        <w:rPr>
          <w:rFonts w:cs="Arial"/>
          <w:bCs/>
          <w:color w:val="002060"/>
          <w:sz w:val="24"/>
          <w:szCs w:val="24"/>
          <w:shd w:val="clear" w:color="auto" w:fill="F7F6F6"/>
        </w:rPr>
        <w:t>A simple and foolish breach of the ACAS Code.</w:t>
      </w:r>
    </w:p>
    <w:p w:rsidR="00CD44F9" w:rsidRDefault="00CD44F9" w:rsidP="000849DF">
      <w:pPr>
        <w:rPr>
          <w:rFonts w:cs="Arial"/>
          <w:bCs/>
          <w:i/>
          <w:color w:val="1F4E79" w:themeColor="accent1" w:themeShade="80"/>
          <w:sz w:val="24"/>
          <w:szCs w:val="24"/>
          <w:shd w:val="clear" w:color="auto" w:fill="F7F6F6"/>
        </w:rPr>
      </w:pPr>
    </w:p>
    <w:p w:rsidR="00CD44F9" w:rsidRPr="00775911" w:rsidRDefault="00CD44F9" w:rsidP="000849DF">
      <w:pPr>
        <w:rPr>
          <w:rFonts w:cs="Arial"/>
          <w:bCs/>
          <w:color w:val="1F4E79" w:themeColor="accent1" w:themeShade="80"/>
          <w:sz w:val="24"/>
          <w:szCs w:val="24"/>
          <w:shd w:val="clear" w:color="auto" w:fill="F7F6F6"/>
        </w:rPr>
      </w:pPr>
    </w:p>
    <w:p w:rsidR="00CD44F9" w:rsidRDefault="00CD44F9" w:rsidP="000849DF">
      <w:pPr>
        <w:rPr>
          <w:rFonts w:cs="Arial"/>
          <w:bCs/>
          <w:i/>
          <w:color w:val="1F4E79" w:themeColor="accent1" w:themeShade="80"/>
          <w:sz w:val="24"/>
          <w:szCs w:val="24"/>
          <w:shd w:val="clear" w:color="auto" w:fill="F7F6F6"/>
        </w:rPr>
      </w:pPr>
    </w:p>
    <w:p w:rsidR="00CD44F9" w:rsidRPr="00CD44F9" w:rsidRDefault="00CD44F9" w:rsidP="00CD44F9">
      <w:pPr>
        <w:spacing w:after="160" w:line="259" w:lineRule="auto"/>
        <w:rPr>
          <w:rFonts w:eastAsiaTheme="minorHAnsi" w:cs="Arial"/>
          <w:color w:val="auto"/>
          <w:sz w:val="24"/>
          <w:szCs w:val="24"/>
          <w:u w:val="single"/>
          <w:lang w:val="en-GB"/>
        </w:rPr>
      </w:pPr>
      <w:r w:rsidRPr="00CD44F9">
        <w:rPr>
          <w:rFonts w:eastAsiaTheme="minorHAnsi" w:cs="Arial"/>
          <w:color w:val="auto"/>
          <w:sz w:val="24"/>
          <w:szCs w:val="24"/>
          <w:u w:val="single"/>
          <w:lang w:val="en-GB"/>
        </w:rPr>
        <w:t>References/Bibliography</w:t>
      </w:r>
    </w:p>
    <w:p w:rsidR="00CD44F9" w:rsidRPr="00CD44F9" w:rsidRDefault="00CD44F9" w:rsidP="00CD44F9">
      <w:pPr>
        <w:spacing w:after="160" w:line="259" w:lineRule="auto"/>
        <w:rPr>
          <w:rFonts w:eastAsiaTheme="minorHAnsi" w:cs="Arial"/>
          <w:color w:val="1F4E79" w:themeColor="accent1" w:themeShade="80"/>
          <w:sz w:val="24"/>
          <w:szCs w:val="24"/>
          <w:u w:val="single"/>
          <w:lang w:val="en-GB"/>
        </w:rPr>
      </w:pPr>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Kathy Daniels, (2019) </w:t>
      </w:r>
      <w:r w:rsidRPr="00CD44F9">
        <w:rPr>
          <w:rFonts w:eastAsiaTheme="minorHAnsi" w:cs="Arial"/>
          <w:i/>
          <w:color w:val="auto"/>
          <w:sz w:val="24"/>
          <w:szCs w:val="24"/>
          <w:lang w:val="en-GB"/>
        </w:rPr>
        <w:t xml:space="preserve">Introduction to Employment Law. </w:t>
      </w:r>
      <w:r w:rsidRPr="00CD44F9">
        <w:rPr>
          <w:rFonts w:eastAsiaTheme="minorHAnsi" w:cs="Arial"/>
          <w:color w:val="auto"/>
          <w:sz w:val="24"/>
          <w:szCs w:val="24"/>
          <w:lang w:val="en-GB"/>
        </w:rPr>
        <w:t>5</w:t>
      </w:r>
      <w:r w:rsidRPr="00CD44F9">
        <w:rPr>
          <w:rFonts w:eastAsiaTheme="minorHAnsi" w:cs="Arial"/>
          <w:color w:val="auto"/>
          <w:sz w:val="24"/>
          <w:szCs w:val="24"/>
          <w:vertAlign w:val="superscript"/>
          <w:lang w:val="en-GB"/>
        </w:rPr>
        <w:t>th</w:t>
      </w:r>
      <w:r w:rsidRPr="00CD44F9">
        <w:rPr>
          <w:rFonts w:eastAsiaTheme="minorHAnsi" w:cs="Arial"/>
          <w:color w:val="auto"/>
          <w:sz w:val="24"/>
          <w:szCs w:val="24"/>
          <w:lang w:val="en-GB"/>
        </w:rPr>
        <w:t xml:space="preserve"> </w:t>
      </w:r>
      <w:proofErr w:type="spellStart"/>
      <w:r w:rsidRPr="00CD44F9">
        <w:rPr>
          <w:rFonts w:eastAsiaTheme="minorHAnsi" w:cs="Arial"/>
          <w:color w:val="auto"/>
          <w:sz w:val="24"/>
          <w:szCs w:val="24"/>
          <w:lang w:val="en-GB"/>
        </w:rPr>
        <w:t>edn</w:t>
      </w:r>
      <w:proofErr w:type="spellEnd"/>
      <w:r w:rsidRPr="00CD44F9">
        <w:rPr>
          <w:rFonts w:eastAsiaTheme="minorHAnsi" w:cs="Arial"/>
          <w:color w:val="auto"/>
          <w:sz w:val="24"/>
          <w:szCs w:val="24"/>
          <w:lang w:val="en-GB"/>
        </w:rPr>
        <w:t xml:space="preserve">. London: </w:t>
      </w:r>
      <w:proofErr w:type="spellStart"/>
      <w:r w:rsidRPr="00CD44F9">
        <w:rPr>
          <w:rFonts w:eastAsiaTheme="minorHAnsi" w:cs="Arial"/>
          <w:color w:val="auto"/>
          <w:sz w:val="24"/>
          <w:szCs w:val="24"/>
          <w:lang w:val="en-GB"/>
        </w:rPr>
        <w:t>Kogan</w:t>
      </w:r>
      <w:proofErr w:type="spellEnd"/>
      <w:r w:rsidRPr="00CD44F9">
        <w:rPr>
          <w:rFonts w:eastAsiaTheme="minorHAnsi" w:cs="Arial"/>
          <w:color w:val="auto"/>
          <w:sz w:val="24"/>
          <w:szCs w:val="24"/>
          <w:lang w:val="en-GB"/>
        </w:rPr>
        <w:t xml:space="preserve"> Ltd</w:t>
      </w:r>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Daniels, D. (2019) </w:t>
      </w:r>
      <w:r w:rsidRPr="00CD44F9">
        <w:rPr>
          <w:rFonts w:eastAsiaTheme="minorHAnsi" w:cs="Arial"/>
          <w:i/>
          <w:color w:val="auto"/>
          <w:sz w:val="24"/>
          <w:szCs w:val="24"/>
          <w:lang w:val="en-GB"/>
        </w:rPr>
        <w:t xml:space="preserve">Introduction to Employment Law. </w:t>
      </w:r>
      <w:r w:rsidRPr="00CD44F9">
        <w:rPr>
          <w:rFonts w:eastAsiaTheme="minorHAnsi" w:cs="Arial"/>
          <w:color w:val="auto"/>
          <w:sz w:val="24"/>
          <w:szCs w:val="24"/>
          <w:lang w:val="en-GB"/>
        </w:rPr>
        <w:t>5</w:t>
      </w:r>
      <w:r w:rsidRPr="00CD44F9">
        <w:rPr>
          <w:rFonts w:eastAsiaTheme="minorHAnsi" w:cs="Arial"/>
          <w:color w:val="auto"/>
          <w:sz w:val="24"/>
          <w:szCs w:val="24"/>
          <w:vertAlign w:val="superscript"/>
          <w:lang w:val="en-GB"/>
        </w:rPr>
        <w:t>th</w:t>
      </w:r>
      <w:r w:rsidRPr="00CD44F9">
        <w:rPr>
          <w:rFonts w:eastAsiaTheme="minorHAnsi" w:cs="Arial"/>
          <w:color w:val="auto"/>
          <w:sz w:val="24"/>
          <w:szCs w:val="24"/>
          <w:lang w:val="en-GB"/>
        </w:rPr>
        <w:t xml:space="preserve"> </w:t>
      </w:r>
      <w:proofErr w:type="spellStart"/>
      <w:r w:rsidRPr="00CD44F9">
        <w:rPr>
          <w:rFonts w:eastAsiaTheme="minorHAnsi" w:cs="Arial"/>
          <w:color w:val="auto"/>
          <w:sz w:val="24"/>
          <w:szCs w:val="24"/>
          <w:lang w:val="en-GB"/>
        </w:rPr>
        <w:t>edn</w:t>
      </w:r>
      <w:proofErr w:type="spellEnd"/>
      <w:r w:rsidRPr="00CD44F9">
        <w:rPr>
          <w:rFonts w:eastAsiaTheme="minorHAnsi" w:cs="Arial"/>
          <w:color w:val="auto"/>
          <w:sz w:val="24"/>
          <w:szCs w:val="24"/>
          <w:lang w:val="en-GB"/>
        </w:rPr>
        <w:t xml:space="preserve">. London: </w:t>
      </w:r>
      <w:proofErr w:type="spellStart"/>
      <w:r w:rsidRPr="00CD44F9">
        <w:rPr>
          <w:rFonts w:eastAsiaTheme="minorHAnsi" w:cs="Arial"/>
          <w:color w:val="auto"/>
          <w:sz w:val="24"/>
          <w:szCs w:val="24"/>
          <w:lang w:val="en-GB"/>
        </w:rPr>
        <w:t>Kogan</w:t>
      </w:r>
      <w:proofErr w:type="spellEnd"/>
      <w:r w:rsidRPr="00CD44F9">
        <w:rPr>
          <w:rFonts w:eastAsiaTheme="minorHAnsi" w:cs="Arial"/>
          <w:color w:val="auto"/>
          <w:sz w:val="24"/>
          <w:szCs w:val="24"/>
          <w:lang w:val="en-GB"/>
        </w:rPr>
        <w:t xml:space="preserve"> Ltd</w:t>
      </w:r>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Taylor, S. and Woodham, C. (2016) </w:t>
      </w:r>
      <w:r w:rsidRPr="00CD44F9">
        <w:rPr>
          <w:rFonts w:eastAsiaTheme="minorHAnsi" w:cs="Arial"/>
          <w:i/>
          <w:color w:val="auto"/>
          <w:sz w:val="24"/>
          <w:szCs w:val="24"/>
          <w:lang w:val="en-GB"/>
        </w:rPr>
        <w:t xml:space="preserve">Human Resource Management: People and Organisations. </w:t>
      </w:r>
      <w:proofErr w:type="spellStart"/>
      <w:r w:rsidRPr="00CD44F9">
        <w:rPr>
          <w:rFonts w:eastAsiaTheme="minorHAnsi" w:cs="Arial"/>
          <w:color w:val="auto"/>
          <w:sz w:val="24"/>
          <w:szCs w:val="24"/>
          <w:lang w:val="en-GB"/>
        </w:rPr>
        <w:t>London</w:t>
      </w:r>
      <w:proofErr w:type="gramStart"/>
      <w:r w:rsidRPr="00CD44F9">
        <w:rPr>
          <w:rFonts w:eastAsiaTheme="minorHAnsi" w:cs="Arial"/>
          <w:color w:val="auto"/>
          <w:sz w:val="24"/>
          <w:szCs w:val="24"/>
          <w:lang w:val="en-GB"/>
        </w:rPr>
        <w:t>:CIPD</w:t>
      </w:r>
      <w:proofErr w:type="spellEnd"/>
      <w:proofErr w:type="gramEnd"/>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Western Telegraph (2009) ‘Pembrokeshire County Council slammed for teachers unfair dismissal’, </w:t>
      </w:r>
      <w:r w:rsidRPr="00CD44F9">
        <w:rPr>
          <w:rFonts w:eastAsiaTheme="minorHAnsi" w:cs="Arial"/>
          <w:i/>
          <w:color w:val="auto"/>
          <w:sz w:val="24"/>
          <w:szCs w:val="24"/>
          <w:lang w:val="en-GB"/>
        </w:rPr>
        <w:t xml:space="preserve">Western Telegraph, </w:t>
      </w:r>
      <w:r w:rsidRPr="00CD44F9">
        <w:rPr>
          <w:rFonts w:eastAsiaTheme="minorHAnsi" w:cs="Arial"/>
          <w:color w:val="auto"/>
          <w:sz w:val="24"/>
          <w:szCs w:val="24"/>
          <w:lang w:val="en-GB"/>
        </w:rPr>
        <w:t>11</w:t>
      </w:r>
      <w:r w:rsidRPr="00CD44F9">
        <w:rPr>
          <w:rFonts w:eastAsiaTheme="minorHAnsi" w:cs="Arial"/>
          <w:color w:val="auto"/>
          <w:sz w:val="24"/>
          <w:szCs w:val="24"/>
          <w:vertAlign w:val="superscript"/>
          <w:lang w:val="en-GB"/>
        </w:rPr>
        <w:t>th</w:t>
      </w:r>
      <w:r w:rsidRPr="00CD44F9">
        <w:rPr>
          <w:rFonts w:eastAsiaTheme="minorHAnsi" w:cs="Arial"/>
          <w:color w:val="auto"/>
          <w:sz w:val="24"/>
          <w:szCs w:val="24"/>
          <w:lang w:val="en-GB"/>
        </w:rPr>
        <w:t xml:space="preserve"> June, p.1. Available at </w:t>
      </w:r>
      <w:hyperlink r:id="rId7" w:history="1">
        <w:r w:rsidRPr="00CD44F9">
          <w:rPr>
            <w:rFonts w:eastAsiaTheme="minorHAnsi" w:cs="Arial"/>
            <w:color w:val="auto"/>
            <w:u w:val="single"/>
            <w:lang w:val="en-GB"/>
          </w:rPr>
          <w:t>https://www.westerntelegraph.co.uk/news/4432950.pembrokeshire-county-council-slammed-for-teachers-unfair-dismissal/</w:t>
        </w:r>
      </w:hyperlink>
    </w:p>
    <w:p w:rsidR="00CD44F9" w:rsidRPr="00CD44F9" w:rsidRDefault="00CD44F9" w:rsidP="00CD44F9">
      <w:pPr>
        <w:spacing w:after="160" w:line="259" w:lineRule="auto"/>
        <w:rPr>
          <w:sz w:val="24"/>
          <w:szCs w:val="24"/>
        </w:rPr>
      </w:pPr>
      <w:r w:rsidRPr="00CD44F9">
        <w:rPr>
          <w:rFonts w:eastAsiaTheme="minorHAnsi" w:cs="Arial"/>
          <w:color w:val="auto"/>
          <w:sz w:val="24"/>
          <w:szCs w:val="24"/>
          <w:lang w:val="en-GB"/>
        </w:rPr>
        <w:t>Burges-Salmon (2018) ‘Supreme court confirms that confirms that self-employed plumber was a worker’. Available at:</w:t>
      </w:r>
      <w:r w:rsidRPr="00CD44F9">
        <w:rPr>
          <w:color w:val="auto"/>
          <w:sz w:val="24"/>
          <w:szCs w:val="24"/>
        </w:rPr>
        <w:t xml:space="preserve"> </w:t>
      </w:r>
      <w:hyperlink r:id="rId8" w:history="1">
        <w:r w:rsidRPr="00CD44F9">
          <w:rPr>
            <w:color w:val="auto"/>
            <w:sz w:val="24"/>
            <w:szCs w:val="24"/>
            <w:u w:val="single"/>
          </w:rPr>
          <w:t>https://www.burges-salmon.com/news-and-insight/legal-updates/supreme-court-confirms-that-self-employed-plumber-was-a-worker/</w:t>
        </w:r>
      </w:hyperlink>
      <w:r w:rsidRPr="00CD44F9">
        <w:rPr>
          <w:sz w:val="24"/>
          <w:szCs w:val="24"/>
        </w:rPr>
        <w:t xml:space="preserve"> </w:t>
      </w:r>
    </w:p>
    <w:p w:rsidR="00CD44F9" w:rsidRPr="00CD44F9" w:rsidRDefault="00CD44F9" w:rsidP="00CD44F9">
      <w:pPr>
        <w:spacing w:after="160" w:line="259" w:lineRule="auto"/>
        <w:rPr>
          <w:color w:val="auto"/>
          <w:sz w:val="24"/>
          <w:szCs w:val="24"/>
        </w:rPr>
      </w:pPr>
      <w:r w:rsidRPr="00CD44F9">
        <w:rPr>
          <w:color w:val="auto"/>
          <w:sz w:val="24"/>
          <w:szCs w:val="24"/>
        </w:rPr>
        <w:lastRenderedPageBreak/>
        <w:t>King v Sash Windows Ltd (2017) C214/16</w:t>
      </w:r>
    </w:p>
    <w:p w:rsidR="00CD44F9" w:rsidRPr="00CD44F9" w:rsidRDefault="00CD44F9" w:rsidP="00CD44F9">
      <w:pPr>
        <w:spacing w:line="259" w:lineRule="auto"/>
        <w:rPr>
          <w:rFonts w:eastAsiaTheme="minorHAnsi" w:cs="Arial"/>
          <w:color w:val="auto"/>
          <w:sz w:val="24"/>
          <w:szCs w:val="24"/>
          <w:lang w:val="en-GB"/>
        </w:rPr>
      </w:pPr>
      <w:r w:rsidRPr="00CD44F9">
        <w:rPr>
          <w:rFonts w:eastAsiaTheme="minorHAnsi" w:cs="Arial"/>
          <w:color w:val="auto"/>
          <w:sz w:val="24"/>
          <w:szCs w:val="24"/>
          <w:lang w:val="en-GB"/>
        </w:rPr>
        <w:t>Personnel Today (2017) ‘Sash-windows decision leaves employers open’</w:t>
      </w:r>
    </w:p>
    <w:p w:rsidR="00CD44F9" w:rsidRPr="00CD44F9" w:rsidRDefault="00CD44F9" w:rsidP="00CD44F9">
      <w:pPr>
        <w:spacing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Available at: </w:t>
      </w:r>
      <w:hyperlink r:id="rId9" w:history="1">
        <w:r w:rsidRPr="00CD44F9">
          <w:rPr>
            <w:rFonts w:eastAsiaTheme="minorHAnsi" w:cs="Arial"/>
            <w:color w:val="auto"/>
            <w:sz w:val="24"/>
            <w:szCs w:val="24"/>
            <w:u w:val="single"/>
            <w:lang w:val="en-GB"/>
          </w:rPr>
          <w:t>https://www.personneltoday.com/hr/sash-windows-decision-leaves-employers-open-holiday-pay-claims/</w:t>
        </w:r>
      </w:hyperlink>
      <w:r w:rsidRPr="00CD44F9">
        <w:rPr>
          <w:rFonts w:eastAsiaTheme="minorHAnsi" w:cs="Arial"/>
          <w:color w:val="auto"/>
          <w:sz w:val="24"/>
          <w:szCs w:val="24"/>
          <w:lang w:val="en-GB"/>
        </w:rPr>
        <w:t xml:space="preserve">  (Accessed: 28th April 2020)</w:t>
      </w:r>
    </w:p>
    <w:p w:rsidR="00CD44F9" w:rsidRPr="00CD44F9" w:rsidRDefault="00CD44F9" w:rsidP="00CD44F9">
      <w:pPr>
        <w:spacing w:line="259" w:lineRule="auto"/>
        <w:rPr>
          <w:rFonts w:eastAsiaTheme="minorHAnsi" w:cs="Arial"/>
          <w:color w:val="auto"/>
          <w:sz w:val="24"/>
          <w:szCs w:val="24"/>
          <w:lang w:val="en-GB"/>
        </w:rPr>
      </w:pPr>
    </w:p>
    <w:p w:rsidR="00CD44F9" w:rsidRPr="00CD44F9" w:rsidRDefault="00CD44F9" w:rsidP="00CD44F9">
      <w:pPr>
        <w:spacing w:line="259" w:lineRule="auto"/>
        <w:rPr>
          <w:rFonts w:eastAsiaTheme="minorHAnsi" w:cs="Arial"/>
          <w:i/>
          <w:color w:val="auto"/>
          <w:sz w:val="24"/>
          <w:szCs w:val="24"/>
          <w:lang w:val="en-GB"/>
        </w:rPr>
      </w:pPr>
      <w:r w:rsidRPr="00CD44F9">
        <w:rPr>
          <w:rFonts w:eastAsiaTheme="minorHAnsi" w:cs="Arial"/>
          <w:color w:val="auto"/>
          <w:sz w:val="24"/>
          <w:szCs w:val="24"/>
          <w:lang w:val="en-GB"/>
        </w:rPr>
        <w:t>People Management CIPD (2019) ‘Oldest</w:t>
      </w:r>
      <w:r w:rsidRPr="00CD44F9">
        <w:rPr>
          <w:rFonts w:eastAsiaTheme="minorHAnsi" w:cs="Arial"/>
          <w:i/>
          <w:color w:val="auto"/>
          <w:sz w:val="24"/>
          <w:szCs w:val="24"/>
          <w:lang w:val="en-GB"/>
        </w:rPr>
        <w:t xml:space="preserve"> person wins age discrimination case’</w:t>
      </w:r>
    </w:p>
    <w:p w:rsidR="00CD44F9" w:rsidRPr="00CD44F9" w:rsidRDefault="00CD44F9" w:rsidP="00CD44F9">
      <w:pPr>
        <w:spacing w:line="259" w:lineRule="auto"/>
        <w:rPr>
          <w:rFonts w:eastAsiaTheme="minorHAnsi" w:cs="Arial"/>
          <w:color w:val="auto"/>
          <w:sz w:val="24"/>
          <w:szCs w:val="24"/>
          <w:u w:val="single"/>
          <w:lang w:val="en-GB"/>
        </w:rPr>
      </w:pPr>
      <w:r w:rsidRPr="00CD44F9">
        <w:rPr>
          <w:rFonts w:eastAsiaTheme="minorHAnsi" w:cs="Arial"/>
          <w:color w:val="auto"/>
          <w:sz w:val="24"/>
          <w:szCs w:val="24"/>
          <w:lang w:val="en-GB"/>
        </w:rPr>
        <w:t xml:space="preserve">Available at: </w:t>
      </w:r>
      <w:hyperlink r:id="rId10" w:history="1">
        <w:r w:rsidRPr="00CD44F9">
          <w:rPr>
            <w:rFonts w:eastAsiaTheme="minorHAnsi" w:cs="Arial"/>
            <w:color w:val="auto"/>
            <w:sz w:val="24"/>
            <w:szCs w:val="24"/>
            <w:u w:val="single"/>
            <w:lang w:val="en-GB"/>
          </w:rPr>
          <w:t>https://www.peoplemanagement.co.uk/news/articles/secretary-oldest-person-win-age-discrimination-case</w:t>
        </w:r>
      </w:hyperlink>
    </w:p>
    <w:p w:rsidR="00CD44F9" w:rsidRPr="00CD44F9" w:rsidRDefault="00CD44F9" w:rsidP="00CD44F9">
      <w:pPr>
        <w:spacing w:line="259" w:lineRule="auto"/>
        <w:rPr>
          <w:rFonts w:eastAsiaTheme="minorHAnsi" w:cs="Arial"/>
          <w:color w:val="auto"/>
          <w:sz w:val="24"/>
          <w:szCs w:val="24"/>
          <w:lang w:val="en-GB"/>
        </w:rPr>
      </w:pPr>
    </w:p>
    <w:p w:rsidR="00CD44F9" w:rsidRPr="00CD44F9" w:rsidRDefault="00CD44F9" w:rsidP="00CD44F9">
      <w:pPr>
        <w:spacing w:after="160" w:line="259" w:lineRule="auto"/>
        <w:rPr>
          <w:rFonts w:eastAsiaTheme="minorHAnsi" w:cs="Arial"/>
          <w:color w:val="auto"/>
          <w:sz w:val="24"/>
          <w:szCs w:val="24"/>
          <w:lang w:val="en-GB"/>
        </w:rPr>
      </w:pPr>
      <w:proofErr w:type="spellStart"/>
      <w:r w:rsidRPr="00CD44F9">
        <w:rPr>
          <w:rFonts w:eastAsiaTheme="minorHAnsi" w:cs="Arial"/>
          <w:color w:val="auto"/>
          <w:sz w:val="24"/>
          <w:szCs w:val="24"/>
          <w:lang w:val="en-GB"/>
        </w:rPr>
        <w:t>Worksmart</w:t>
      </w:r>
      <w:proofErr w:type="spellEnd"/>
      <w:r w:rsidRPr="00CD44F9">
        <w:rPr>
          <w:rFonts w:eastAsiaTheme="minorHAnsi" w:cs="Arial"/>
          <w:color w:val="auto"/>
          <w:sz w:val="24"/>
          <w:szCs w:val="24"/>
          <w:lang w:val="en-GB"/>
        </w:rPr>
        <w:t xml:space="preserve"> 2020. Available at: </w:t>
      </w:r>
      <w:hyperlink r:id="rId11" w:history="1">
        <w:r w:rsidRPr="00CD44F9">
          <w:rPr>
            <w:rFonts w:cs="Arial"/>
            <w:color w:val="auto"/>
            <w:sz w:val="24"/>
            <w:szCs w:val="24"/>
            <w:u w:val="single"/>
          </w:rPr>
          <w:t>https://worksmart.org.uk/work-</w:t>
        </w:r>
        <w:r w:rsidRPr="00CD44F9">
          <w:rPr>
            <w:rFonts w:cs="Arial"/>
            <w:color w:val="auto"/>
            <w:sz w:val="24"/>
            <w:szCs w:val="24"/>
            <w:u w:val="single"/>
          </w:rPr>
          <w:t>rights</w:t>
        </w:r>
        <w:r w:rsidRPr="00CD44F9">
          <w:rPr>
            <w:rFonts w:cs="Arial"/>
            <w:color w:val="auto"/>
            <w:sz w:val="24"/>
            <w:szCs w:val="24"/>
            <w:u w:val="single"/>
          </w:rPr>
          <w:t>/pay-and-contracts/contract-terminology/what-difference-between-implied-and-express-terms</w:t>
        </w:r>
      </w:hyperlink>
      <w:r w:rsidRPr="00CD44F9">
        <w:rPr>
          <w:rFonts w:cs="Arial"/>
          <w:color w:val="auto"/>
          <w:sz w:val="24"/>
          <w:szCs w:val="24"/>
          <w:u w:val="single"/>
        </w:rPr>
        <w:t xml:space="preserve"> </w:t>
      </w:r>
      <w:r w:rsidRPr="00CD44F9">
        <w:rPr>
          <w:rFonts w:cs="Arial"/>
          <w:color w:val="auto"/>
          <w:sz w:val="24"/>
          <w:szCs w:val="24"/>
        </w:rPr>
        <w:t>(Accessed 28th April 2020)</w:t>
      </w:r>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DB </w:t>
      </w:r>
      <w:proofErr w:type="spellStart"/>
      <w:r w:rsidRPr="00CD44F9">
        <w:rPr>
          <w:rFonts w:eastAsiaTheme="minorHAnsi" w:cs="Arial"/>
          <w:color w:val="auto"/>
          <w:sz w:val="24"/>
          <w:szCs w:val="24"/>
          <w:lang w:val="en-GB"/>
        </w:rPr>
        <w:t>Schenker</w:t>
      </w:r>
      <w:proofErr w:type="spellEnd"/>
      <w:r w:rsidRPr="00CD44F9">
        <w:rPr>
          <w:rFonts w:eastAsiaTheme="minorHAnsi" w:cs="Arial"/>
          <w:color w:val="auto"/>
          <w:sz w:val="24"/>
          <w:szCs w:val="24"/>
          <w:lang w:val="en-GB"/>
        </w:rPr>
        <w:t xml:space="preserve"> Rail (UK) ltd v </w:t>
      </w:r>
      <w:proofErr w:type="spellStart"/>
      <w:proofErr w:type="gramStart"/>
      <w:r w:rsidRPr="00CD44F9">
        <w:rPr>
          <w:rFonts w:eastAsiaTheme="minorHAnsi" w:cs="Arial"/>
          <w:color w:val="auto"/>
          <w:sz w:val="24"/>
          <w:szCs w:val="24"/>
          <w:lang w:val="en-GB"/>
        </w:rPr>
        <w:t>Doolan</w:t>
      </w:r>
      <w:proofErr w:type="spellEnd"/>
      <w:r w:rsidRPr="00CD44F9">
        <w:rPr>
          <w:rFonts w:eastAsiaTheme="minorHAnsi" w:cs="Arial"/>
          <w:color w:val="auto"/>
          <w:sz w:val="24"/>
          <w:szCs w:val="24"/>
          <w:lang w:val="en-GB"/>
        </w:rPr>
        <w:t>(</w:t>
      </w:r>
      <w:proofErr w:type="gramEnd"/>
      <w:r w:rsidRPr="00CD44F9">
        <w:rPr>
          <w:rFonts w:eastAsiaTheme="minorHAnsi" w:cs="Arial"/>
          <w:color w:val="auto"/>
          <w:sz w:val="24"/>
          <w:szCs w:val="24"/>
          <w:lang w:val="en-GB"/>
        </w:rPr>
        <w:t xml:space="preserve"> 2011) UK EAT/0053/09</w:t>
      </w:r>
    </w:p>
    <w:p w:rsidR="00CD44F9" w:rsidRPr="00CD44F9" w:rsidRDefault="00CD44F9" w:rsidP="00CD44F9">
      <w:pPr>
        <w:spacing w:after="160" w:line="259" w:lineRule="auto"/>
        <w:rPr>
          <w:rFonts w:asciiTheme="minorHAnsi" w:eastAsiaTheme="minorHAnsi" w:hAnsiTheme="minorHAnsi" w:cs="Arial"/>
          <w:color w:val="auto"/>
          <w:sz w:val="24"/>
          <w:szCs w:val="24"/>
          <w:lang w:val="en-GB"/>
        </w:rPr>
      </w:pPr>
      <w:r w:rsidRPr="00CD44F9">
        <w:rPr>
          <w:rFonts w:eastAsiaTheme="minorHAnsi" w:cs="Arial"/>
          <w:color w:val="auto"/>
          <w:sz w:val="24"/>
          <w:szCs w:val="24"/>
          <w:lang w:val="en-GB"/>
        </w:rPr>
        <w:t xml:space="preserve">British Home Stores LTD v </w:t>
      </w:r>
      <w:proofErr w:type="spellStart"/>
      <w:r w:rsidRPr="00CD44F9">
        <w:rPr>
          <w:rFonts w:eastAsiaTheme="minorHAnsi" w:cs="Arial"/>
          <w:color w:val="auto"/>
          <w:sz w:val="24"/>
          <w:szCs w:val="24"/>
          <w:lang w:val="en-GB"/>
        </w:rPr>
        <w:t>Burchell</w:t>
      </w:r>
      <w:proofErr w:type="spellEnd"/>
      <w:r w:rsidRPr="00CD44F9">
        <w:rPr>
          <w:rFonts w:eastAsiaTheme="minorHAnsi" w:cs="Arial"/>
          <w:color w:val="auto"/>
          <w:sz w:val="24"/>
          <w:szCs w:val="24"/>
          <w:lang w:val="en-GB"/>
        </w:rPr>
        <w:t xml:space="preserve"> (1978) IRLR379</w:t>
      </w:r>
      <w:r w:rsidRPr="00CD44F9">
        <w:rPr>
          <w:rFonts w:asciiTheme="minorHAnsi" w:eastAsiaTheme="minorHAnsi" w:hAnsiTheme="minorHAnsi" w:cs="Arial"/>
          <w:color w:val="auto"/>
          <w:sz w:val="24"/>
          <w:szCs w:val="24"/>
          <w:lang w:val="en-GB"/>
        </w:rPr>
        <w:t>.</w:t>
      </w:r>
    </w:p>
    <w:p w:rsidR="00CD44F9" w:rsidRPr="00CD44F9" w:rsidRDefault="00CD44F9" w:rsidP="00CD44F9">
      <w:pPr>
        <w:spacing w:after="160" w:line="259" w:lineRule="auto"/>
        <w:rPr>
          <w:rFonts w:cs="Arial"/>
          <w:color w:val="auto"/>
          <w:sz w:val="24"/>
          <w:szCs w:val="24"/>
        </w:rPr>
      </w:pPr>
      <w:r w:rsidRPr="00CD44F9">
        <w:rPr>
          <w:rFonts w:eastAsiaTheme="minorHAnsi" w:cs="Arial"/>
          <w:color w:val="auto"/>
          <w:sz w:val="24"/>
          <w:szCs w:val="24"/>
          <w:lang w:val="en-GB"/>
        </w:rPr>
        <w:t xml:space="preserve">Tribunal Claim .com (2016). Available </w:t>
      </w:r>
      <w:proofErr w:type="gramStart"/>
      <w:r w:rsidRPr="00CD44F9">
        <w:rPr>
          <w:rFonts w:eastAsiaTheme="minorHAnsi" w:cs="Arial"/>
          <w:color w:val="auto"/>
          <w:sz w:val="24"/>
          <w:szCs w:val="24"/>
          <w:lang w:val="en-GB"/>
        </w:rPr>
        <w:t>at :</w:t>
      </w:r>
      <w:proofErr w:type="gramEnd"/>
      <w:r w:rsidRPr="00CD44F9">
        <w:rPr>
          <w:rFonts w:eastAsiaTheme="minorHAnsi" w:cs="Arial"/>
          <w:color w:val="auto"/>
          <w:sz w:val="24"/>
          <w:szCs w:val="24"/>
          <w:lang w:val="en-GB"/>
        </w:rPr>
        <w:t xml:space="preserve"> </w:t>
      </w:r>
      <w:hyperlink r:id="rId12" w:history="1">
        <w:r w:rsidRPr="00CD44F9">
          <w:rPr>
            <w:rFonts w:cs="Arial"/>
            <w:color w:val="auto"/>
            <w:sz w:val="24"/>
            <w:szCs w:val="24"/>
            <w:u w:val="single"/>
          </w:rPr>
          <w:t>https://www.tribunalclaim.com/gross-misconduct-burchell-test/</w:t>
        </w:r>
      </w:hyperlink>
      <w:r w:rsidRPr="00CD44F9">
        <w:rPr>
          <w:rFonts w:cs="Arial"/>
          <w:color w:val="auto"/>
          <w:sz w:val="24"/>
          <w:szCs w:val="24"/>
        </w:rPr>
        <w:t xml:space="preserve"> (Accessed 28</w:t>
      </w:r>
      <w:r w:rsidRPr="00CD44F9">
        <w:rPr>
          <w:rFonts w:cs="Arial"/>
          <w:color w:val="auto"/>
          <w:sz w:val="24"/>
          <w:szCs w:val="24"/>
          <w:vertAlign w:val="superscript"/>
        </w:rPr>
        <w:t>th</w:t>
      </w:r>
      <w:r w:rsidRPr="00CD44F9">
        <w:rPr>
          <w:rFonts w:cs="Arial"/>
          <w:color w:val="auto"/>
          <w:sz w:val="24"/>
          <w:szCs w:val="24"/>
        </w:rPr>
        <w:t xml:space="preserve"> April 2020)</w:t>
      </w:r>
    </w:p>
    <w:p w:rsidR="00CD44F9" w:rsidRPr="00CD44F9" w:rsidRDefault="00CD44F9" w:rsidP="00CD44F9">
      <w:pPr>
        <w:rPr>
          <w:color w:val="auto"/>
          <w:sz w:val="24"/>
          <w:szCs w:val="24"/>
          <w:u w:val="single"/>
        </w:rPr>
      </w:pPr>
      <w:r w:rsidRPr="00CD44F9">
        <w:rPr>
          <w:rFonts w:cs="Arial"/>
          <w:color w:val="auto"/>
          <w:sz w:val="24"/>
          <w:szCs w:val="24"/>
        </w:rPr>
        <w:t>CIPD (2020</w:t>
      </w:r>
      <w:proofErr w:type="gramStart"/>
      <w:r w:rsidRPr="00CD44F9">
        <w:rPr>
          <w:rFonts w:cs="Arial"/>
          <w:color w:val="auto"/>
          <w:sz w:val="24"/>
          <w:szCs w:val="24"/>
        </w:rPr>
        <w:t>)Blackburn</w:t>
      </w:r>
      <w:proofErr w:type="gramEnd"/>
      <w:r w:rsidRPr="00CD44F9">
        <w:rPr>
          <w:rFonts w:cs="Arial"/>
          <w:color w:val="auto"/>
          <w:sz w:val="24"/>
          <w:szCs w:val="24"/>
        </w:rPr>
        <w:t xml:space="preserve"> v Aldi Stores Ltd 29 July 2013. Available at: </w:t>
      </w:r>
      <w:hyperlink r:id="rId13" w:history="1">
        <w:r w:rsidRPr="00CD44F9">
          <w:rPr>
            <w:color w:val="auto"/>
            <w:sz w:val="24"/>
            <w:szCs w:val="24"/>
            <w:u w:val="single"/>
          </w:rPr>
          <w:t>https://www.cipd.co.uk/knowledge/fundamentals/emp-law/discipline/cases</w:t>
        </w:r>
      </w:hyperlink>
    </w:p>
    <w:p w:rsidR="00CD44F9" w:rsidRPr="00CD44F9" w:rsidRDefault="00CD44F9" w:rsidP="00CD44F9">
      <w:pPr>
        <w:rPr>
          <w:color w:val="auto"/>
          <w:sz w:val="24"/>
          <w:szCs w:val="24"/>
        </w:rPr>
      </w:pPr>
      <w:r w:rsidRPr="00CD44F9">
        <w:rPr>
          <w:color w:val="auto"/>
          <w:sz w:val="24"/>
          <w:szCs w:val="24"/>
        </w:rPr>
        <w:t>(Accessed 28</w:t>
      </w:r>
      <w:r w:rsidRPr="00CD44F9">
        <w:rPr>
          <w:color w:val="auto"/>
          <w:sz w:val="24"/>
          <w:szCs w:val="24"/>
          <w:vertAlign w:val="superscript"/>
        </w:rPr>
        <w:t>th</w:t>
      </w:r>
      <w:r w:rsidRPr="00CD44F9">
        <w:rPr>
          <w:color w:val="auto"/>
          <w:sz w:val="24"/>
          <w:szCs w:val="24"/>
        </w:rPr>
        <w:t xml:space="preserve"> April 2020)</w:t>
      </w:r>
    </w:p>
    <w:p w:rsidR="00CD44F9" w:rsidRPr="00CD44F9" w:rsidRDefault="00CD44F9" w:rsidP="00CD44F9">
      <w:pPr>
        <w:spacing w:after="160" w:line="259" w:lineRule="auto"/>
      </w:pPr>
    </w:p>
    <w:p w:rsidR="00CD44F9" w:rsidRPr="00CD44F9" w:rsidRDefault="00CD44F9" w:rsidP="00CD44F9">
      <w:pPr>
        <w:spacing w:after="160" w:line="259" w:lineRule="auto"/>
        <w:rPr>
          <w:rFonts w:eastAsiaTheme="minorHAnsi" w:cs="Arial"/>
          <w:i/>
          <w:color w:val="auto"/>
          <w:sz w:val="24"/>
          <w:szCs w:val="24"/>
          <w:lang w:val="en-GB"/>
        </w:rPr>
      </w:pPr>
      <w:r w:rsidRPr="00CD44F9">
        <w:rPr>
          <w:rFonts w:eastAsiaTheme="minorHAnsi" w:cs="Arial"/>
          <w:i/>
          <w:color w:val="auto"/>
          <w:sz w:val="24"/>
          <w:szCs w:val="24"/>
          <w:lang w:val="en-GB"/>
        </w:rPr>
        <w:t xml:space="preserve">The Equality Act of 2010 </w:t>
      </w:r>
    </w:p>
    <w:p w:rsidR="00CD44F9" w:rsidRPr="00CD44F9" w:rsidRDefault="00CD44F9" w:rsidP="00CD44F9">
      <w:pPr>
        <w:spacing w:after="160" w:line="259" w:lineRule="auto"/>
        <w:rPr>
          <w:rFonts w:eastAsiaTheme="minorHAnsi" w:cs="Arial"/>
          <w:i/>
          <w:color w:val="auto"/>
          <w:sz w:val="24"/>
          <w:szCs w:val="24"/>
          <w:lang w:val="en-GB"/>
        </w:rPr>
      </w:pPr>
      <w:r w:rsidRPr="00CD44F9">
        <w:rPr>
          <w:rFonts w:eastAsiaTheme="minorHAnsi" w:cs="Arial"/>
          <w:i/>
          <w:color w:val="auto"/>
          <w:sz w:val="24"/>
          <w:szCs w:val="24"/>
          <w:lang w:val="en-GB"/>
        </w:rPr>
        <w:t>The National Minimum Wage Act 1998</w:t>
      </w:r>
    </w:p>
    <w:p w:rsidR="00CD44F9" w:rsidRPr="00CD44F9" w:rsidRDefault="00CD44F9" w:rsidP="00CD44F9">
      <w:pPr>
        <w:spacing w:after="160" w:line="259" w:lineRule="auto"/>
        <w:rPr>
          <w:rFonts w:eastAsiaTheme="minorHAnsi" w:cs="Arial"/>
          <w:i/>
          <w:color w:val="auto"/>
          <w:sz w:val="24"/>
          <w:szCs w:val="24"/>
          <w:lang w:val="en-GB"/>
        </w:rPr>
      </w:pPr>
      <w:r w:rsidRPr="00CD44F9">
        <w:rPr>
          <w:rFonts w:eastAsiaTheme="minorHAnsi" w:cs="Arial"/>
          <w:i/>
          <w:color w:val="auto"/>
          <w:sz w:val="24"/>
          <w:szCs w:val="24"/>
          <w:lang w:val="en-GB"/>
        </w:rPr>
        <w:t>The Employment Act 2002</w:t>
      </w:r>
    </w:p>
    <w:p w:rsidR="00CD44F9" w:rsidRPr="00CD44F9" w:rsidRDefault="00CD44F9" w:rsidP="00CD44F9">
      <w:pPr>
        <w:spacing w:after="160" w:line="259" w:lineRule="auto"/>
        <w:rPr>
          <w:rFonts w:eastAsiaTheme="minorHAnsi" w:cs="Arial"/>
          <w:i/>
          <w:color w:val="auto"/>
          <w:sz w:val="24"/>
          <w:szCs w:val="24"/>
          <w:lang w:val="en-GB"/>
        </w:rPr>
      </w:pPr>
      <w:r w:rsidRPr="00CD44F9">
        <w:rPr>
          <w:rFonts w:eastAsiaTheme="minorHAnsi" w:cs="Arial"/>
          <w:i/>
          <w:color w:val="auto"/>
          <w:sz w:val="24"/>
          <w:szCs w:val="24"/>
          <w:lang w:val="en-GB"/>
        </w:rPr>
        <w:t>The Health and Safety at Work Act 1974</w:t>
      </w:r>
    </w:p>
    <w:p w:rsidR="00CD44F9" w:rsidRPr="00CD44F9" w:rsidRDefault="00CD44F9" w:rsidP="00CD44F9">
      <w:pPr>
        <w:spacing w:after="160" w:line="259" w:lineRule="auto"/>
        <w:rPr>
          <w:rFonts w:eastAsiaTheme="minorHAnsi" w:cs="Arial"/>
          <w:i/>
          <w:color w:val="auto"/>
          <w:sz w:val="24"/>
          <w:szCs w:val="24"/>
          <w:lang w:val="en-GB"/>
        </w:rPr>
      </w:pPr>
      <w:r w:rsidRPr="00CD44F9">
        <w:rPr>
          <w:rFonts w:eastAsiaTheme="minorHAnsi" w:cs="Arial"/>
          <w:i/>
          <w:color w:val="auto"/>
          <w:sz w:val="24"/>
          <w:szCs w:val="24"/>
          <w:lang w:val="en-GB"/>
        </w:rPr>
        <w:t>The Employment Rights Act 1996</w:t>
      </w:r>
    </w:p>
    <w:p w:rsidR="00CD44F9" w:rsidRPr="00CD44F9" w:rsidRDefault="00CD44F9" w:rsidP="00CD44F9">
      <w:pPr>
        <w:spacing w:after="160" w:line="259" w:lineRule="auto"/>
        <w:rPr>
          <w:rFonts w:eastAsiaTheme="minorHAnsi" w:cs="Arial"/>
          <w:color w:val="auto"/>
          <w:sz w:val="24"/>
          <w:szCs w:val="24"/>
          <w:lang w:val="en-GB"/>
        </w:rPr>
      </w:pPr>
      <w:r w:rsidRPr="00CD44F9">
        <w:rPr>
          <w:rFonts w:eastAsiaTheme="minorHAnsi" w:cs="Arial"/>
          <w:color w:val="auto"/>
          <w:sz w:val="24"/>
          <w:szCs w:val="24"/>
          <w:lang w:val="en-GB"/>
        </w:rPr>
        <w:t xml:space="preserve">Available at: </w:t>
      </w:r>
      <w:hyperlink r:id="rId14" w:history="1">
        <w:r w:rsidRPr="00CD44F9">
          <w:rPr>
            <w:rFonts w:eastAsiaTheme="minorHAnsi" w:cs="Arial"/>
            <w:color w:val="0000FF"/>
            <w:sz w:val="24"/>
            <w:szCs w:val="24"/>
            <w:u w:val="single"/>
            <w:lang w:val="en-GB"/>
          </w:rPr>
          <w:t>http://www.legislation.gov.uk/</w:t>
        </w:r>
      </w:hyperlink>
      <w:r w:rsidRPr="00CD44F9">
        <w:rPr>
          <w:rFonts w:eastAsiaTheme="minorHAnsi" w:cs="Arial"/>
          <w:color w:val="auto"/>
          <w:sz w:val="24"/>
          <w:szCs w:val="24"/>
          <w:lang w:val="en-GB"/>
        </w:rPr>
        <w:t xml:space="preserve"> (Accessed: 28th April 2020)</w:t>
      </w:r>
    </w:p>
    <w:p w:rsidR="00CD44F9" w:rsidRPr="00CD44F9" w:rsidRDefault="00CD44F9" w:rsidP="00CD44F9">
      <w:pPr>
        <w:spacing w:line="259" w:lineRule="auto"/>
        <w:rPr>
          <w:rFonts w:eastAsiaTheme="minorHAnsi" w:cs="Arial"/>
          <w:color w:val="auto"/>
          <w:sz w:val="24"/>
          <w:szCs w:val="24"/>
          <w:lang w:val="en-GB"/>
        </w:rPr>
      </w:pPr>
      <w:r w:rsidRPr="00CD44F9">
        <w:rPr>
          <w:rFonts w:eastAsiaTheme="minorHAnsi" w:cs="Arial"/>
          <w:color w:val="auto"/>
          <w:sz w:val="24"/>
          <w:szCs w:val="24"/>
          <w:lang w:val="en-GB"/>
        </w:rPr>
        <w:t>Transfer of Undertakings Regulations 1981 (TUPE)</w:t>
      </w:r>
    </w:p>
    <w:p w:rsidR="00CD44F9" w:rsidRPr="00CD44F9" w:rsidRDefault="00CD44F9" w:rsidP="00CD44F9">
      <w:pPr>
        <w:spacing w:line="259" w:lineRule="auto"/>
        <w:rPr>
          <w:rFonts w:eastAsiaTheme="minorHAnsi" w:cs="Arial"/>
          <w:i/>
          <w:color w:val="auto"/>
          <w:sz w:val="24"/>
          <w:szCs w:val="24"/>
          <w:lang w:val="en-GB"/>
        </w:rPr>
      </w:pPr>
      <w:proofErr w:type="gramStart"/>
      <w:r w:rsidRPr="00CD44F9">
        <w:rPr>
          <w:rFonts w:eastAsiaTheme="minorHAnsi" w:cs="Arial"/>
          <w:color w:val="auto"/>
          <w:sz w:val="24"/>
          <w:szCs w:val="24"/>
          <w:lang w:val="en-GB"/>
        </w:rPr>
        <w:t>Available at :</w:t>
      </w:r>
      <w:proofErr w:type="gramEnd"/>
      <w:hyperlink r:id="rId15" w:history="1">
        <w:r w:rsidRPr="00CD44F9">
          <w:rPr>
            <w:rFonts w:eastAsiaTheme="minorHAnsi" w:cs="Arial"/>
            <w:color w:val="0000FF"/>
            <w:sz w:val="24"/>
            <w:szCs w:val="24"/>
            <w:u w:val="single"/>
            <w:lang w:val="en-GB"/>
          </w:rPr>
          <w:t>https://www.hse.gov.uk/legislation/statinstruments.htm</w:t>
        </w:r>
      </w:hyperlink>
      <w:r w:rsidRPr="00CD44F9">
        <w:rPr>
          <w:rFonts w:eastAsiaTheme="minorHAnsi" w:cs="Arial"/>
          <w:color w:val="auto"/>
          <w:sz w:val="24"/>
          <w:szCs w:val="24"/>
          <w:lang w:val="en-GB"/>
        </w:rPr>
        <w:t xml:space="preserve"> (Accessed:28</w:t>
      </w:r>
      <w:r w:rsidRPr="00CD44F9">
        <w:rPr>
          <w:rFonts w:eastAsiaTheme="minorHAnsi" w:cs="Arial"/>
          <w:color w:val="auto"/>
          <w:sz w:val="24"/>
          <w:szCs w:val="24"/>
          <w:vertAlign w:val="superscript"/>
          <w:lang w:val="en-GB"/>
        </w:rPr>
        <w:t>th</w:t>
      </w:r>
      <w:r w:rsidRPr="00CD44F9">
        <w:rPr>
          <w:rFonts w:eastAsiaTheme="minorHAnsi" w:cs="Arial"/>
          <w:color w:val="auto"/>
          <w:sz w:val="24"/>
          <w:szCs w:val="24"/>
          <w:lang w:val="en-GB"/>
        </w:rPr>
        <w:t xml:space="preserve"> April 2020)</w:t>
      </w:r>
    </w:p>
    <w:p w:rsidR="00CD44F9" w:rsidRPr="00CD44F9" w:rsidRDefault="00CD44F9" w:rsidP="00CD44F9">
      <w:pPr>
        <w:spacing w:line="259" w:lineRule="auto"/>
        <w:rPr>
          <w:rFonts w:eastAsiaTheme="minorHAnsi" w:cs="Arial"/>
          <w:color w:val="auto"/>
          <w:sz w:val="24"/>
          <w:szCs w:val="24"/>
          <w:lang w:val="en-GB"/>
        </w:rPr>
      </w:pPr>
      <w:r w:rsidRPr="00CD44F9">
        <w:rPr>
          <w:rFonts w:eastAsiaTheme="minorHAnsi" w:cs="Arial"/>
          <w:i/>
          <w:color w:val="auto"/>
          <w:sz w:val="24"/>
          <w:szCs w:val="24"/>
          <w:lang w:val="en-GB"/>
        </w:rPr>
        <w:t>Advisory, Conciliation and Arbitration Service</w:t>
      </w:r>
      <w:r w:rsidRPr="00CD44F9">
        <w:rPr>
          <w:rFonts w:eastAsiaTheme="minorHAnsi" w:cs="Arial"/>
          <w:color w:val="auto"/>
          <w:sz w:val="24"/>
          <w:szCs w:val="24"/>
          <w:lang w:val="en-GB"/>
        </w:rPr>
        <w:t xml:space="preserve"> (</w:t>
      </w:r>
      <w:r w:rsidRPr="00CD44F9">
        <w:rPr>
          <w:rFonts w:cs="Arial"/>
          <w:sz w:val="24"/>
          <w:szCs w:val="24"/>
        </w:rPr>
        <w:t>ACAS)</w:t>
      </w:r>
      <w:r w:rsidRPr="00CD44F9">
        <w:rPr>
          <w:rFonts w:eastAsiaTheme="minorHAnsi" w:cs="Arial"/>
          <w:color w:val="auto"/>
          <w:sz w:val="24"/>
          <w:szCs w:val="24"/>
          <w:lang w:val="en-GB"/>
        </w:rPr>
        <w:t xml:space="preserve"> </w:t>
      </w:r>
      <w:hyperlink r:id="rId16" w:history="1">
        <w:r w:rsidRPr="00CD44F9">
          <w:rPr>
            <w:rFonts w:eastAsiaTheme="minorHAnsi" w:cs="Arial"/>
            <w:color w:val="0000FF"/>
            <w:sz w:val="24"/>
            <w:szCs w:val="24"/>
            <w:u w:val="single"/>
            <w:lang w:val="en-GB"/>
          </w:rPr>
          <w:t>https://www.acas.org.uk/</w:t>
        </w:r>
      </w:hyperlink>
      <w:r w:rsidRPr="00CD44F9">
        <w:rPr>
          <w:rFonts w:eastAsiaTheme="minorHAnsi" w:cs="Arial"/>
          <w:color w:val="auto"/>
          <w:sz w:val="24"/>
          <w:szCs w:val="24"/>
          <w:lang w:val="en-GB"/>
        </w:rPr>
        <w:t xml:space="preserve"> (Accessed 28</w:t>
      </w:r>
      <w:r w:rsidRPr="00CD44F9">
        <w:rPr>
          <w:rFonts w:eastAsiaTheme="minorHAnsi" w:cs="Arial"/>
          <w:color w:val="auto"/>
          <w:sz w:val="24"/>
          <w:szCs w:val="24"/>
          <w:vertAlign w:val="superscript"/>
          <w:lang w:val="en-GB"/>
        </w:rPr>
        <w:t>th</w:t>
      </w:r>
      <w:r w:rsidRPr="00CD44F9">
        <w:rPr>
          <w:rFonts w:eastAsiaTheme="minorHAnsi" w:cs="Arial"/>
          <w:color w:val="auto"/>
          <w:sz w:val="24"/>
          <w:szCs w:val="24"/>
          <w:lang w:val="en-GB"/>
        </w:rPr>
        <w:t xml:space="preserve"> April 2020)</w:t>
      </w:r>
    </w:p>
    <w:p w:rsidR="00CD44F9" w:rsidRPr="00CD44F9" w:rsidRDefault="00CD44F9" w:rsidP="00CD44F9">
      <w:pPr>
        <w:spacing w:after="160" w:line="259" w:lineRule="auto"/>
      </w:pPr>
    </w:p>
    <w:p w:rsidR="00CD44F9" w:rsidRPr="00CD44F9" w:rsidRDefault="00CD44F9" w:rsidP="00CD44F9">
      <w:pPr>
        <w:spacing w:after="160" w:line="259" w:lineRule="auto"/>
        <w:rPr>
          <w:rFonts w:eastAsiaTheme="minorHAnsi" w:cs="Arial"/>
          <w:color w:val="1F4E79" w:themeColor="accent1" w:themeShade="80"/>
          <w:sz w:val="24"/>
          <w:szCs w:val="24"/>
          <w:lang w:val="en-GB"/>
        </w:rPr>
      </w:pPr>
    </w:p>
    <w:p w:rsidR="00CD44F9" w:rsidRPr="00D67C46" w:rsidRDefault="00CD44F9" w:rsidP="000849DF">
      <w:pPr>
        <w:rPr>
          <w:rFonts w:cs="Arial"/>
          <w:i/>
          <w:color w:val="1F4E79" w:themeColor="accent1" w:themeShade="80"/>
          <w:sz w:val="24"/>
          <w:szCs w:val="24"/>
        </w:rPr>
      </w:pPr>
    </w:p>
    <w:sectPr w:rsidR="00CD44F9" w:rsidRPr="00D67C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D604C"/>
    <w:multiLevelType w:val="hybridMultilevel"/>
    <w:tmpl w:val="2CE221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00E3E27"/>
    <w:multiLevelType w:val="hybridMultilevel"/>
    <w:tmpl w:val="6BB44C04"/>
    <w:lvl w:ilvl="0" w:tplc="17B83EE0">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5D8E6B9A"/>
    <w:multiLevelType w:val="multilevel"/>
    <w:tmpl w:val="A7BC5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737F8F"/>
    <w:multiLevelType w:val="hybridMultilevel"/>
    <w:tmpl w:val="EF6EE3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F3"/>
    <w:rsid w:val="00010F77"/>
    <w:rsid w:val="00021665"/>
    <w:rsid w:val="00023630"/>
    <w:rsid w:val="000609F3"/>
    <w:rsid w:val="000849DF"/>
    <w:rsid w:val="0008554F"/>
    <w:rsid w:val="0021153E"/>
    <w:rsid w:val="002B754E"/>
    <w:rsid w:val="00372A27"/>
    <w:rsid w:val="003C5650"/>
    <w:rsid w:val="004678BB"/>
    <w:rsid w:val="00481F08"/>
    <w:rsid w:val="004A203F"/>
    <w:rsid w:val="004D544A"/>
    <w:rsid w:val="0050375E"/>
    <w:rsid w:val="00514C8B"/>
    <w:rsid w:val="0066617D"/>
    <w:rsid w:val="006A300A"/>
    <w:rsid w:val="00724C05"/>
    <w:rsid w:val="00775911"/>
    <w:rsid w:val="00793BB5"/>
    <w:rsid w:val="007B0F16"/>
    <w:rsid w:val="007E1BC4"/>
    <w:rsid w:val="00804F7B"/>
    <w:rsid w:val="008A38DF"/>
    <w:rsid w:val="008C5533"/>
    <w:rsid w:val="009C0CCF"/>
    <w:rsid w:val="009F75DC"/>
    <w:rsid w:val="00A157AE"/>
    <w:rsid w:val="00A73E44"/>
    <w:rsid w:val="00A813F3"/>
    <w:rsid w:val="00BB088F"/>
    <w:rsid w:val="00BC27CB"/>
    <w:rsid w:val="00C0370D"/>
    <w:rsid w:val="00C26A9C"/>
    <w:rsid w:val="00C56AFE"/>
    <w:rsid w:val="00C65ADF"/>
    <w:rsid w:val="00C83D6B"/>
    <w:rsid w:val="00CD44F9"/>
    <w:rsid w:val="00D571BE"/>
    <w:rsid w:val="00D67C46"/>
    <w:rsid w:val="00DC61D6"/>
    <w:rsid w:val="00DD326A"/>
    <w:rsid w:val="00DE0EF3"/>
    <w:rsid w:val="00E2278C"/>
    <w:rsid w:val="00EF0FD4"/>
    <w:rsid w:val="00FD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F41C"/>
  <w15:chartTrackingRefBased/>
  <w15:docId w15:val="{AE6C7592-B3DB-43E4-B3F0-FA5CD3CCC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9DF"/>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9DF"/>
    <w:pPr>
      <w:ind w:left="720"/>
      <w:contextualSpacing/>
    </w:pPr>
  </w:style>
  <w:style w:type="character" w:styleId="Hyperlink">
    <w:name w:val="Hyperlink"/>
    <w:basedOn w:val="DefaultParagraphFont"/>
    <w:uiPriority w:val="99"/>
    <w:semiHidden/>
    <w:unhideWhenUsed/>
    <w:rsid w:val="007B0F16"/>
    <w:rPr>
      <w:color w:val="0000FF"/>
      <w:u w:val="single"/>
    </w:rPr>
  </w:style>
  <w:style w:type="character" w:customStyle="1" w:styleId="posted-on">
    <w:name w:val="posted-on"/>
    <w:basedOn w:val="DefaultParagraphFont"/>
    <w:rsid w:val="00C65ADF"/>
  </w:style>
  <w:style w:type="character" w:customStyle="1" w:styleId="byline">
    <w:name w:val="byline"/>
    <w:basedOn w:val="DefaultParagraphFont"/>
    <w:rsid w:val="00C65ADF"/>
  </w:style>
  <w:style w:type="character" w:customStyle="1" w:styleId="author">
    <w:name w:val="author"/>
    <w:basedOn w:val="DefaultParagraphFont"/>
    <w:rsid w:val="00C65ADF"/>
  </w:style>
  <w:style w:type="character" w:customStyle="1" w:styleId="author-name">
    <w:name w:val="author-name"/>
    <w:basedOn w:val="DefaultParagraphFont"/>
    <w:rsid w:val="00C65ADF"/>
  </w:style>
  <w:style w:type="paragraph" w:styleId="NormalWeb">
    <w:name w:val="Normal (Web)"/>
    <w:basedOn w:val="Normal"/>
    <w:uiPriority w:val="99"/>
    <w:semiHidden/>
    <w:unhideWhenUsed/>
    <w:rsid w:val="00EF0FD4"/>
    <w:pPr>
      <w:spacing w:before="100" w:beforeAutospacing="1" w:after="100" w:afterAutospacing="1"/>
    </w:pPr>
    <w:rPr>
      <w:rFonts w:ascii="Times New Roman" w:eastAsia="Times New Roman" w:hAnsi="Times New Roman"/>
      <w:color w:val="auto"/>
      <w:sz w:val="24"/>
      <w:szCs w:val="24"/>
      <w:lang w:val="en-GB" w:eastAsia="en-GB"/>
    </w:rPr>
  </w:style>
  <w:style w:type="character" w:styleId="FollowedHyperlink">
    <w:name w:val="FollowedHyperlink"/>
    <w:basedOn w:val="DefaultParagraphFont"/>
    <w:uiPriority w:val="99"/>
    <w:semiHidden/>
    <w:unhideWhenUsed/>
    <w:rsid w:val="00D67C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090960">
      <w:bodyDiv w:val="1"/>
      <w:marLeft w:val="0"/>
      <w:marRight w:val="0"/>
      <w:marTop w:val="0"/>
      <w:marBottom w:val="0"/>
      <w:divBdr>
        <w:top w:val="none" w:sz="0" w:space="0" w:color="auto"/>
        <w:left w:val="none" w:sz="0" w:space="0" w:color="auto"/>
        <w:bottom w:val="none" w:sz="0" w:space="0" w:color="auto"/>
        <w:right w:val="none" w:sz="0" w:space="0" w:color="auto"/>
      </w:divBdr>
    </w:div>
    <w:div w:id="170428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rges-salmon.com/news-and-insight/legal-updates/supreme-court-confirms-that-self-employed-plumber-was-a-worker/" TargetMode="External"/><Relationship Id="rId13" Type="http://schemas.openxmlformats.org/officeDocument/2006/relationships/hyperlink" Target="https://www.cipd.co.uk/knowledge/fundamentals/emp-law/discipline/cas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esterntelegraph.co.uk/news/4432950.pembrokeshire-county-council-slammed-for-teachers-unfair-dismissal/" TargetMode="External"/><Relationship Id="rId12" Type="http://schemas.openxmlformats.org/officeDocument/2006/relationships/hyperlink" Target="https://www.tribunalclaim.com/gross-misconduct-burchell-tes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s.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orksmart.org.uk/work-rights/pay-and-contracts/contract-terminology/what-difference-between-implied-and-express-terms" TargetMode="External"/><Relationship Id="rId5" Type="http://schemas.openxmlformats.org/officeDocument/2006/relationships/image" Target="media/image1.png"/><Relationship Id="rId15" Type="http://schemas.openxmlformats.org/officeDocument/2006/relationships/hyperlink" Target="https://www.hse.gov.uk/legislation/statinstruments.htm" TargetMode="External"/><Relationship Id="rId10" Type="http://schemas.openxmlformats.org/officeDocument/2006/relationships/hyperlink" Target="https://www.peoplemanagement.co.uk/news/articles/secretary-oldest-person-win-age-discrimination-case" TargetMode="External"/><Relationship Id="rId4" Type="http://schemas.openxmlformats.org/officeDocument/2006/relationships/webSettings" Target="webSettings.xml"/><Relationship Id="rId9" Type="http://schemas.openxmlformats.org/officeDocument/2006/relationships/hyperlink" Target="https://www.personneltoday.com/hr/sash-windows-decision-leaves-employers-open-holiday-pay-claims/" TargetMode="External"/><Relationship Id="rId14" Type="http://schemas.openxmlformats.org/officeDocument/2006/relationships/hyperlink" Target="http://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13</Pages>
  <Words>4665</Words>
  <Characters>26595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11</cp:revision>
  <dcterms:created xsi:type="dcterms:W3CDTF">2020-04-29T13:34:00Z</dcterms:created>
  <dcterms:modified xsi:type="dcterms:W3CDTF">2020-05-01T13:32:00Z</dcterms:modified>
</cp:coreProperties>
</file>