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9B41A85" w14:textId="77777777" w:rsidR="00B44DEF" w:rsidRPr="001B79F9" w:rsidRDefault="00B44DEF" w:rsidP="00B44DEF">
      <w:pPr>
        <w:pStyle w:val="MkGentiumNormalUnicode"/>
        <w:jc w:val="center"/>
        <w:rPr>
          <w:rFonts w:ascii="Times New Roman" w:hAnsi="Times New Roman" w:cs="Times New Roman"/>
        </w:rPr>
      </w:pPr>
      <w:r>
        <w:rPr>
          <w:rFonts w:ascii="Times New Roman" w:hAnsi="Times New Roman" w:cs="Times New Roman"/>
          <w:b/>
        </w:rPr>
        <w:t xml:space="preserve">    </w:t>
      </w:r>
      <w:r w:rsidRPr="001B79F9">
        <w:rPr>
          <w:rFonts w:ascii="Times New Roman" w:hAnsi="Times New Roman" w:cs="Times New Roman"/>
        </w:rPr>
        <w:t>Paul Within Judaism:</w:t>
      </w:r>
    </w:p>
    <w:p w14:paraId="4D6A3296" w14:textId="77777777" w:rsidR="00B44DEF" w:rsidRPr="001B79F9" w:rsidRDefault="00B44DEF" w:rsidP="00B44DEF">
      <w:pPr>
        <w:pStyle w:val="MkGentiumNormalUnicode"/>
        <w:jc w:val="center"/>
        <w:rPr>
          <w:rFonts w:ascii="Times New Roman" w:hAnsi="Times New Roman" w:cs="Times New Roman"/>
        </w:rPr>
      </w:pPr>
      <w:r w:rsidRPr="001B79F9">
        <w:rPr>
          <w:rFonts w:ascii="Times New Roman" w:hAnsi="Times New Roman" w:cs="Times New Roman"/>
        </w:rPr>
        <w:t>A Post</w:t>
      </w:r>
      <w:r w:rsidRPr="001B79F9">
        <w:rPr>
          <w:rFonts w:ascii="New Athena Unicode" w:hAnsi="New Athena Unicode" w:cs="New Athena Unicode"/>
        </w:rPr>
        <w:t>‐</w:t>
      </w:r>
      <w:r w:rsidRPr="001B79F9">
        <w:rPr>
          <w:rFonts w:ascii="Times New Roman" w:hAnsi="Times New Roman" w:cs="Times New Roman"/>
        </w:rPr>
        <w:t xml:space="preserve"> “New Perspective” Approach to the Apostle</w:t>
      </w:r>
    </w:p>
    <w:p w14:paraId="7E238F43" w14:textId="77777777" w:rsidR="00B44DEF" w:rsidRPr="008A292B" w:rsidRDefault="00B44DEF" w:rsidP="00B44DEF">
      <w:pPr>
        <w:widowControl w:val="0"/>
        <w:autoSpaceDE w:val="0"/>
        <w:autoSpaceDN w:val="0"/>
        <w:adjustRightInd w:val="0"/>
        <w:spacing w:line="360" w:lineRule="auto"/>
        <w:rPr>
          <w:rFonts w:cs="Times New Roman"/>
        </w:rPr>
      </w:pPr>
    </w:p>
    <w:p w14:paraId="353BF753" w14:textId="77777777" w:rsidR="00B44DEF" w:rsidRPr="001B79F9" w:rsidRDefault="00B44DEF" w:rsidP="00B44DEF">
      <w:pPr>
        <w:widowControl w:val="0"/>
        <w:autoSpaceDE w:val="0"/>
        <w:autoSpaceDN w:val="0"/>
        <w:adjustRightInd w:val="0"/>
        <w:spacing w:line="360" w:lineRule="auto"/>
        <w:rPr>
          <w:rFonts w:cs="Times New Roman"/>
          <w:u w:val="single"/>
        </w:rPr>
      </w:pPr>
    </w:p>
    <w:p w14:paraId="588BF9E7" w14:textId="77777777" w:rsidR="00B44DEF" w:rsidRPr="001B79F9" w:rsidRDefault="00B44DEF" w:rsidP="00B44DEF">
      <w:pPr>
        <w:widowControl w:val="0"/>
        <w:autoSpaceDE w:val="0"/>
        <w:autoSpaceDN w:val="0"/>
        <w:adjustRightInd w:val="0"/>
        <w:spacing w:line="360" w:lineRule="auto"/>
        <w:rPr>
          <w:rFonts w:cs="Times New Roman"/>
          <w:u w:val="single"/>
        </w:rPr>
      </w:pPr>
      <w:r w:rsidRPr="001B79F9">
        <w:rPr>
          <w:rFonts w:cs="Times New Roman"/>
          <w:u w:val="single"/>
        </w:rPr>
        <w:t>The Question of Gender: Relocating Paul in Relation to Judaism</w:t>
      </w:r>
    </w:p>
    <w:p w14:paraId="0CFEE917" w14:textId="77777777" w:rsidR="00B44DEF" w:rsidRDefault="00B44DEF" w:rsidP="00B44DEF">
      <w:pPr>
        <w:widowControl w:val="0"/>
        <w:autoSpaceDE w:val="0"/>
        <w:autoSpaceDN w:val="0"/>
        <w:adjustRightInd w:val="0"/>
        <w:spacing w:line="360" w:lineRule="auto"/>
        <w:rPr>
          <w:rFonts w:cs="Times New Roman"/>
        </w:rPr>
      </w:pPr>
    </w:p>
    <w:p w14:paraId="2A40C67D" w14:textId="77777777" w:rsidR="00B44DEF" w:rsidRPr="00FF2D76" w:rsidRDefault="00B44DEF" w:rsidP="00B44DEF">
      <w:pPr>
        <w:widowControl w:val="0"/>
        <w:autoSpaceDE w:val="0"/>
        <w:autoSpaceDN w:val="0"/>
        <w:adjustRightInd w:val="0"/>
        <w:spacing w:line="360" w:lineRule="auto"/>
        <w:rPr>
          <w:rFonts w:cs="Times New Roman"/>
        </w:rPr>
      </w:pPr>
      <w:r>
        <w:rPr>
          <w:rFonts w:cs="Times New Roman"/>
        </w:rPr>
        <w:t>Kathy Ehrensperger, University of Wales, Trinity Saint David, UK</w:t>
      </w:r>
    </w:p>
    <w:p w14:paraId="120B668E" w14:textId="77777777" w:rsidR="00B44DEF" w:rsidRPr="00FF2D76" w:rsidRDefault="00B44DEF" w:rsidP="00B44DEF">
      <w:pPr>
        <w:widowControl w:val="0"/>
        <w:autoSpaceDE w:val="0"/>
        <w:autoSpaceDN w:val="0"/>
        <w:adjustRightInd w:val="0"/>
        <w:spacing w:line="360" w:lineRule="auto"/>
        <w:rPr>
          <w:rFonts w:cs="Times New Roman"/>
        </w:rPr>
      </w:pPr>
    </w:p>
    <w:p w14:paraId="5A6A1174" w14:textId="0ACB6328" w:rsidR="00B44DEF" w:rsidRDefault="00B44DEF" w:rsidP="00B44DEF">
      <w:pPr>
        <w:pStyle w:val="Listenabsatz"/>
        <w:widowControl w:val="0"/>
        <w:numPr>
          <w:ilvl w:val="0"/>
          <w:numId w:val="1"/>
        </w:numPr>
        <w:autoSpaceDE w:val="0"/>
        <w:autoSpaceDN w:val="0"/>
        <w:adjustRightInd w:val="0"/>
        <w:spacing w:line="360" w:lineRule="auto"/>
        <w:rPr>
          <w:rFonts w:cs="Times New Roman"/>
        </w:rPr>
      </w:pPr>
      <w:r>
        <w:rPr>
          <w:rFonts w:cs="Times New Roman"/>
        </w:rPr>
        <w:t xml:space="preserve">Introduction – Paul, </w:t>
      </w:r>
      <w:r w:rsidRPr="00FF2D76">
        <w:rPr>
          <w:rFonts w:cs="Times New Roman"/>
        </w:rPr>
        <w:t>Gender</w:t>
      </w:r>
      <w:r>
        <w:rPr>
          <w:rFonts w:cs="Times New Roman"/>
        </w:rPr>
        <w:t xml:space="preserve"> and Judaism </w:t>
      </w:r>
    </w:p>
    <w:p w14:paraId="322C6E00" w14:textId="77777777" w:rsidR="00B44DEF" w:rsidRPr="00FF2D76" w:rsidRDefault="00B44DEF" w:rsidP="00B44DEF">
      <w:pPr>
        <w:widowControl w:val="0"/>
        <w:autoSpaceDE w:val="0"/>
        <w:autoSpaceDN w:val="0"/>
        <w:adjustRightInd w:val="0"/>
        <w:spacing w:line="360" w:lineRule="auto"/>
        <w:rPr>
          <w:rFonts w:cs="Times New Roman"/>
        </w:rPr>
      </w:pPr>
    </w:p>
    <w:p w14:paraId="22AAB04E" w14:textId="02C4001A" w:rsidR="00E32707" w:rsidRDefault="00B44DEF" w:rsidP="00B44DEF">
      <w:pPr>
        <w:widowControl w:val="0"/>
        <w:autoSpaceDE w:val="0"/>
        <w:autoSpaceDN w:val="0"/>
        <w:adjustRightInd w:val="0"/>
        <w:spacing w:line="360" w:lineRule="auto"/>
        <w:rPr>
          <w:rFonts w:cs="Times New Roman"/>
        </w:rPr>
      </w:pPr>
      <w:r>
        <w:rPr>
          <w:rFonts w:cs="Times New Roman"/>
        </w:rPr>
        <w:t>Paul and g</w:t>
      </w:r>
      <w:r w:rsidRPr="00FF2D76">
        <w:rPr>
          <w:rFonts w:cs="Times New Roman"/>
        </w:rPr>
        <w:t>ender</w:t>
      </w:r>
      <w:r w:rsidR="00E32707">
        <w:rPr>
          <w:rStyle w:val="Endnotenzeichen"/>
          <w:rFonts w:cs="Times New Roman"/>
        </w:rPr>
        <w:endnoteReference w:id="1"/>
      </w:r>
      <w:r w:rsidR="00E32707" w:rsidRPr="00FF2D76">
        <w:rPr>
          <w:rFonts w:cs="Times New Roman"/>
        </w:rPr>
        <w:t xml:space="preserve"> are an uneasy pair. </w:t>
      </w:r>
      <w:r w:rsidR="00E32707">
        <w:rPr>
          <w:rFonts w:cs="Times New Roman"/>
        </w:rPr>
        <w:t xml:space="preserve">When Paul’s Judaism is included in the combination it is considered often even more problematic. </w:t>
      </w:r>
      <w:r w:rsidR="00E32707" w:rsidRPr="00FF2D76">
        <w:rPr>
          <w:rFonts w:cs="Times New Roman"/>
        </w:rPr>
        <w:t xml:space="preserve">No doubt, Paul lived in a context of </w:t>
      </w:r>
      <w:r w:rsidR="00E32707">
        <w:rPr>
          <w:rFonts w:cs="Times New Roman"/>
        </w:rPr>
        <w:t xml:space="preserve">elite </w:t>
      </w:r>
      <w:r w:rsidR="00E32707" w:rsidRPr="00FF2D76">
        <w:rPr>
          <w:rFonts w:cs="Times New Roman"/>
        </w:rPr>
        <w:t>male domination at structural lev</w:t>
      </w:r>
      <w:r w:rsidR="00E32707">
        <w:rPr>
          <w:rFonts w:cs="Times New Roman"/>
        </w:rPr>
        <w:t xml:space="preserve">el, the level of perception, as </w:t>
      </w:r>
      <w:r w:rsidR="00E32707" w:rsidRPr="00FF2D76">
        <w:rPr>
          <w:rFonts w:cs="Times New Roman"/>
        </w:rPr>
        <w:t>well as in social practice. The views about women he explicitly formulates reflect</w:t>
      </w:r>
      <w:r w:rsidR="00E32707">
        <w:rPr>
          <w:rFonts w:cs="Times New Roman"/>
        </w:rPr>
        <w:t xml:space="preserve"> to some extent </w:t>
      </w:r>
      <w:r w:rsidR="00E32707" w:rsidRPr="00FF2D76">
        <w:rPr>
          <w:rFonts w:cs="Times New Roman"/>
        </w:rPr>
        <w:t xml:space="preserve">this general perception, although his </w:t>
      </w:r>
      <w:r w:rsidR="00E32707">
        <w:rPr>
          <w:rFonts w:cs="Times New Roman"/>
        </w:rPr>
        <w:t xml:space="preserve">actual </w:t>
      </w:r>
      <w:r w:rsidR="00E32707" w:rsidRPr="00FF2D76">
        <w:rPr>
          <w:rFonts w:cs="Times New Roman"/>
        </w:rPr>
        <w:t>practice seems to indicate a different stance</w:t>
      </w:r>
      <w:r w:rsidR="00E32707">
        <w:rPr>
          <w:rFonts w:cs="Times New Roman"/>
        </w:rPr>
        <w:t xml:space="preserve"> in that women are among those whom Paul explicitly </w:t>
      </w:r>
      <w:r w:rsidR="00E32707" w:rsidRPr="00FF2D76">
        <w:rPr>
          <w:rFonts w:cs="Times New Roman"/>
        </w:rPr>
        <w:t>considers as playing a decisive and leading role in the work of the gospel.</w:t>
      </w:r>
      <w:r w:rsidR="00E32707">
        <w:rPr>
          <w:rStyle w:val="Endnotenzeichen"/>
          <w:rFonts w:cs="Times New Roman"/>
        </w:rPr>
        <w:t xml:space="preserve"> </w:t>
      </w:r>
      <w:r w:rsidR="00E32707" w:rsidRPr="00FF2D76">
        <w:rPr>
          <w:rFonts w:cs="Times New Roman"/>
        </w:rPr>
        <w:t>Concerning his role as a leading man in the mo</w:t>
      </w:r>
      <w:r w:rsidR="00E32707">
        <w:rPr>
          <w:rFonts w:cs="Times New Roman"/>
        </w:rPr>
        <w:t>vement Paul</w:t>
      </w:r>
      <w:r w:rsidR="00E32707" w:rsidRPr="00FF2D76">
        <w:rPr>
          <w:rFonts w:cs="Times New Roman"/>
        </w:rPr>
        <w:t xml:space="preserve"> clearly establishes his claim to authority in asymmetrical relationships </w:t>
      </w:r>
      <w:r w:rsidR="00E32707">
        <w:rPr>
          <w:rFonts w:cs="Times New Roman"/>
        </w:rPr>
        <w:t>and thus he seems to cohere at a structural level with patterns of elite male leadership as prevalent in Mediterranean societies of the first century CE.</w:t>
      </w:r>
      <w:r w:rsidR="00E32707">
        <w:rPr>
          <w:rStyle w:val="Endnotenzeichen"/>
          <w:rFonts w:cs="Times New Roman"/>
        </w:rPr>
        <w:endnoteReference w:id="2"/>
      </w:r>
      <w:r w:rsidR="00E32707">
        <w:rPr>
          <w:rFonts w:cs="Times New Roman"/>
        </w:rPr>
        <w:t xml:space="preserve"> However, when the practice and perception of Paul’s role (and that of other ‘workers’ in Christ) are perceived in the context of dominating political power and ideological discourse of the Roman Empire a substantially different image emerges, one in which the apostle is seen as a ‘feminized’</w:t>
      </w:r>
      <w:r w:rsidR="00E32707">
        <w:rPr>
          <w:rStyle w:val="Endnotenzeichen"/>
          <w:rFonts w:cs="Times New Roman"/>
        </w:rPr>
        <w:endnoteReference w:id="3"/>
      </w:r>
      <w:r w:rsidR="00E32707">
        <w:rPr>
          <w:rFonts w:cs="Times New Roman"/>
        </w:rPr>
        <w:t>, vulnerable, beaten,</w:t>
      </w:r>
      <w:r w:rsidR="00E32707">
        <w:rPr>
          <w:rStyle w:val="Endnotenzeichen"/>
          <w:rFonts w:cs="Times New Roman"/>
        </w:rPr>
        <w:t xml:space="preserve"> </w:t>
      </w:r>
      <w:r w:rsidR="00E32707">
        <w:rPr>
          <w:rStyle w:val="Endnotenzeichen"/>
          <w:rFonts w:cs="Times New Roman"/>
        </w:rPr>
        <w:endnoteReference w:id="4"/>
      </w:r>
      <w:r w:rsidR="00E32707">
        <w:rPr>
          <w:rFonts w:cs="Times New Roman"/>
        </w:rPr>
        <w:t xml:space="preserve"> suffering apostle, member of a conquered nation, who in no ways coheres with the image of the elitist ideal of masculinity in Greek and Roman perception.</w:t>
      </w:r>
      <w:r w:rsidR="00E32707">
        <w:rPr>
          <w:rStyle w:val="Endnotenzeichen"/>
          <w:rFonts w:cs="Times New Roman"/>
        </w:rPr>
        <w:endnoteReference w:id="5"/>
      </w:r>
      <w:r w:rsidR="00E32707">
        <w:rPr>
          <w:rFonts w:cs="Times New Roman"/>
        </w:rPr>
        <w:t xml:space="preserve">  </w:t>
      </w:r>
    </w:p>
    <w:p w14:paraId="17304427" w14:textId="3AEF500F" w:rsidR="00E32707" w:rsidRDefault="00E32707" w:rsidP="00B44DEF">
      <w:pPr>
        <w:widowControl w:val="0"/>
        <w:autoSpaceDE w:val="0"/>
        <w:autoSpaceDN w:val="0"/>
        <w:adjustRightInd w:val="0"/>
        <w:spacing w:line="360" w:lineRule="auto"/>
        <w:rPr>
          <w:rFonts w:cs="Times New Roman"/>
        </w:rPr>
      </w:pPr>
      <w:r>
        <w:rPr>
          <w:rFonts w:cs="Times New Roman"/>
        </w:rPr>
        <w:t>The tension between these images of Paul and the Pauline discourse with regard to the question of gender are mainly due to hermeneutical presuppositions in reading his letters, including the presupposed contexts within which they are rooted. Although gender-critical and feminist approaches to Paul present serious attempts not to replicate anti-Jewish patterns of interpretation, in-depth considerations of Paul’s Judaism remain exceptions.</w:t>
      </w:r>
    </w:p>
    <w:p w14:paraId="241ABCF8" w14:textId="53195DF9" w:rsidR="00E32707" w:rsidRDefault="00E32707" w:rsidP="00B44DEF">
      <w:pPr>
        <w:widowControl w:val="0"/>
        <w:autoSpaceDE w:val="0"/>
        <w:autoSpaceDN w:val="0"/>
        <w:adjustRightInd w:val="0"/>
        <w:spacing w:line="360" w:lineRule="auto"/>
        <w:rPr>
          <w:rFonts w:cs="Times New Roman"/>
        </w:rPr>
      </w:pPr>
      <w:r>
        <w:rPr>
          <w:rFonts w:cs="Times New Roman"/>
        </w:rPr>
        <w:t>Some earlier feminist approaches perceived Paul as having introduced hierarchical patterns of leadership and patriarchal or kyriarchal practices into a previously egalitarian movement, and in some instances attributed these to his Jewish tradition, but this is a perception which is hardly found anymore explicitly formulated in recent gender-critical studies.</w:t>
      </w:r>
      <w:r>
        <w:rPr>
          <w:rStyle w:val="Endnotenzeichen"/>
          <w:rFonts w:cs="Times New Roman"/>
        </w:rPr>
        <w:endnoteReference w:id="6"/>
      </w:r>
      <w:r>
        <w:rPr>
          <w:rFonts w:cs="Times New Roman"/>
        </w:rPr>
        <w:t xml:space="preserve"> However, Paul though may be acknowledged in his Jewishness in general terms, and the risk of re-introducing anti-Judaism into the interpretation may be noted, but mostly no further analysis of the implications of such an acknowledgement is presented.</w:t>
      </w:r>
      <w:r>
        <w:rPr>
          <w:rStyle w:val="Endnotenzeichen"/>
          <w:rFonts w:cs="Times New Roman"/>
        </w:rPr>
        <w:endnoteReference w:id="7"/>
      </w:r>
      <w:r>
        <w:rPr>
          <w:rFonts w:cs="Times New Roman"/>
        </w:rPr>
        <w:t xml:space="preserve"> Notions of different kinds of Judaism, some with positive and some with negative implications for Paul’s attitude to women are still prevalent, with so-called ‘Hellenistic’ Judaism considered to be the decisive context for Paul. It is maintained that he could have drawn on his Pharisaic tradition but he chose not to do so.</w:t>
      </w:r>
      <w:r>
        <w:rPr>
          <w:rStyle w:val="Endnotenzeichen"/>
          <w:rFonts w:cs="Times New Roman"/>
        </w:rPr>
        <w:endnoteReference w:id="8"/>
      </w:r>
      <w:r>
        <w:rPr>
          <w:rFonts w:cs="Times New Roman"/>
        </w:rPr>
        <w:t xml:space="preserve"> Paul is depicted as distancing himself from a ‘wrong’, narrow kind of Judaism, that is, Pharisaism, and located in a good, more open, ie ‘Hellenistic’,Judaism.</w:t>
      </w:r>
      <w:r>
        <w:rPr>
          <w:rStyle w:val="Endnotenzeichen"/>
          <w:rFonts w:cs="Times New Roman"/>
        </w:rPr>
        <w:endnoteReference w:id="9"/>
      </w:r>
      <w:r>
        <w:rPr>
          <w:rFonts w:cs="Times New Roman"/>
        </w:rPr>
        <w:t xml:space="preserve"> This perception resonates with New Perspective approaches, which consider an ethnocentric version of Judaism to be the problem that Paul overcomes in Christ.</w:t>
      </w:r>
      <w:r>
        <w:rPr>
          <w:rStyle w:val="Endnotenzeichen"/>
          <w:rFonts w:cs="Times New Roman"/>
        </w:rPr>
        <w:endnoteReference w:id="10"/>
      </w:r>
      <w:r>
        <w:rPr>
          <w:rFonts w:cs="Times New Roman"/>
        </w:rPr>
        <w:t xml:space="preserve"> In both cases an evaluation of a ‘good’ or ‘bad’ Judaism is the basis for acknowledging some positive value to the Jewishness of Paul. The Christ-event is that which liberates either gentiles or women from the constraints of the ‘bad’, narrow Judaism. </w:t>
      </w:r>
    </w:p>
    <w:p w14:paraId="6D84CE30" w14:textId="0F36EAC2" w:rsidR="00E32707" w:rsidRPr="00524D27" w:rsidRDefault="00E32707" w:rsidP="00B44DEF">
      <w:pPr>
        <w:widowControl w:val="0"/>
        <w:autoSpaceDE w:val="0"/>
        <w:autoSpaceDN w:val="0"/>
        <w:adjustRightInd w:val="0"/>
        <w:spacing w:line="360" w:lineRule="auto"/>
        <w:rPr>
          <w:rFonts w:cs="Times New Roman"/>
        </w:rPr>
      </w:pPr>
      <w:r>
        <w:rPr>
          <w:rFonts w:cs="Times New Roman"/>
        </w:rPr>
        <w:t>Thus the relevance of Paul’s Judaism in relation to gender has only been considered by very few recent studies, mainly in general terms,</w:t>
      </w:r>
      <w:r>
        <w:rPr>
          <w:rStyle w:val="Endnotenzeichen"/>
          <w:rFonts w:cs="Times New Roman"/>
        </w:rPr>
        <w:endnoteReference w:id="11"/>
      </w:r>
      <w:r>
        <w:rPr>
          <w:rFonts w:cs="Times New Roman"/>
        </w:rPr>
        <w:t xml:space="preserve"> and t</w:t>
      </w:r>
      <w:r>
        <w:rPr>
          <w:rFonts w:cs="Times New Roman"/>
          <w:color w:val="000000"/>
        </w:rPr>
        <w:t>here is a significant gap in gender-critical approaches to Paul in this respect. This is so despite the fact that there are inherent links between these two strands of interpretation, at structural level, that is, Paul’s way of arguing and theologizing as well as in terms of content, that is, Paul’s explicit statements and activities in relation to women.</w:t>
      </w:r>
      <w:r>
        <w:rPr>
          <w:rStyle w:val="Endnotenzeichen"/>
          <w:rFonts w:cs="Times New Roman"/>
          <w:color w:val="000000"/>
        </w:rPr>
        <w:endnoteReference w:id="12"/>
      </w:r>
    </w:p>
    <w:p w14:paraId="1AE6FFA0" w14:textId="0758C684" w:rsidR="00E32707" w:rsidRDefault="00E32707" w:rsidP="00D32D5B">
      <w:pPr>
        <w:widowControl w:val="0"/>
        <w:autoSpaceDE w:val="0"/>
        <w:autoSpaceDN w:val="0"/>
        <w:adjustRightInd w:val="0"/>
        <w:spacing w:line="360" w:lineRule="auto"/>
        <w:rPr>
          <w:rFonts w:cs="Times New Roman"/>
        </w:rPr>
      </w:pPr>
      <w:r>
        <w:rPr>
          <w:rFonts w:cs="Times New Roman"/>
        </w:rPr>
        <w:t xml:space="preserve">Although questions concerning gender are not at the forefront in Paul’s letters, there are some texts which address such concerns arising out of particular problems in an </w:t>
      </w:r>
      <w:r w:rsidRPr="00E37EB5">
        <w:rPr>
          <w:rFonts w:cs="Times New Roman"/>
          <w:i/>
        </w:rPr>
        <w:t>ekklesia</w:t>
      </w:r>
      <w:r>
        <w:rPr>
          <w:rFonts w:cs="Times New Roman"/>
        </w:rPr>
        <w:t xml:space="preserve">. Together with the women addressed, commended or greeted in Paul’s letters this indicates some interest in the question of gender in the </w:t>
      </w:r>
      <w:r w:rsidRPr="00E37EB5">
        <w:rPr>
          <w:rFonts w:cs="Times New Roman"/>
          <w:i/>
        </w:rPr>
        <w:t>ekklesiai</w:t>
      </w:r>
      <w:r>
        <w:rPr>
          <w:rFonts w:cs="Times New Roman"/>
        </w:rPr>
        <w:t>. Thus the statement that Paul was part of an inherently androcentric and kyriarchal social context requires further detailed assessment in light of relocating Paul in Judaism. Literary, epigraphic, and socio-historical evidence concerning the perception and role of women in first century Judaism are decisive for understanding the Pauline discourse. Some of Paul’s explicit statements about women (for example 1 Cor. 7:1-16, 11. 3-16, and 14:34-35) and his actual stance when it comes to co-workers for the gospel (Rom. 16;1-16) will be considered in the first part of this contribution.  The question of gender and Paul’s Judaism, however, is not confined to Paul’s views and interaction with women. There are discourses like the feminization of conquered peoples in Roman imperial propaganda that have rightly been considered in their importance; and there are analogies between post-New Perspective approaches to Paul as located in Judaism and contemporary gender discourses. With regard to the latter the emphasis on difference and particularity in identity formation are of specific importance and will be the focus of the second part of this contribution, followed by my conclusions.</w:t>
      </w:r>
    </w:p>
    <w:p w14:paraId="2AE95E17" w14:textId="77777777" w:rsidR="00E32707" w:rsidRDefault="00E32707" w:rsidP="00D32D5B">
      <w:pPr>
        <w:widowControl w:val="0"/>
        <w:autoSpaceDE w:val="0"/>
        <w:autoSpaceDN w:val="0"/>
        <w:adjustRightInd w:val="0"/>
        <w:spacing w:line="360" w:lineRule="auto"/>
        <w:rPr>
          <w:rFonts w:cs="Times New Roman"/>
        </w:rPr>
      </w:pPr>
    </w:p>
    <w:p w14:paraId="55CB5E56" w14:textId="5EFDF8DE" w:rsidR="00E32707" w:rsidRPr="00E954DE" w:rsidRDefault="00E32707" w:rsidP="00E954DE">
      <w:pPr>
        <w:pStyle w:val="Listenabsatz"/>
        <w:widowControl w:val="0"/>
        <w:numPr>
          <w:ilvl w:val="0"/>
          <w:numId w:val="1"/>
        </w:numPr>
        <w:autoSpaceDE w:val="0"/>
        <w:autoSpaceDN w:val="0"/>
        <w:adjustRightInd w:val="0"/>
        <w:spacing w:line="360" w:lineRule="auto"/>
        <w:rPr>
          <w:rFonts w:cs="Times New Roman"/>
        </w:rPr>
      </w:pPr>
      <w:r>
        <w:rPr>
          <w:rFonts w:cs="Times New Roman"/>
        </w:rPr>
        <w:t xml:space="preserve">‘When you come together’ - Women in the </w:t>
      </w:r>
      <w:r w:rsidRPr="006F2BC8">
        <w:rPr>
          <w:rFonts w:cs="Times New Roman"/>
          <w:i/>
        </w:rPr>
        <w:t>Ekklesia</w:t>
      </w:r>
      <w:r>
        <w:rPr>
          <w:rFonts w:cs="Times New Roman"/>
          <w:i/>
        </w:rPr>
        <w:t xml:space="preserve"> </w:t>
      </w:r>
      <w:r>
        <w:rPr>
          <w:rFonts w:cs="Times New Roman"/>
        </w:rPr>
        <w:t>in Corinth</w:t>
      </w:r>
    </w:p>
    <w:p w14:paraId="5A1ECCD8" w14:textId="77777777" w:rsidR="00E32707" w:rsidRDefault="00E32707" w:rsidP="00E954DE">
      <w:pPr>
        <w:widowControl w:val="0"/>
        <w:autoSpaceDE w:val="0"/>
        <w:autoSpaceDN w:val="0"/>
        <w:adjustRightInd w:val="0"/>
        <w:spacing w:line="360" w:lineRule="auto"/>
        <w:rPr>
          <w:rFonts w:cs="Times New Roman"/>
        </w:rPr>
      </w:pPr>
    </w:p>
    <w:p w14:paraId="4A2C384C" w14:textId="1611902C" w:rsidR="00E32707" w:rsidRDefault="00E32707" w:rsidP="00D32D5B">
      <w:pPr>
        <w:widowControl w:val="0"/>
        <w:autoSpaceDE w:val="0"/>
        <w:autoSpaceDN w:val="0"/>
        <w:adjustRightInd w:val="0"/>
        <w:spacing w:line="360" w:lineRule="auto"/>
        <w:rPr>
          <w:rFonts w:cs="Times New Roman"/>
        </w:rPr>
      </w:pPr>
      <w:r>
        <w:rPr>
          <w:rFonts w:cs="Times New Roman"/>
        </w:rPr>
        <w:t xml:space="preserve">The ambivalence of Paul’s statement concerning women has been frequently noted. It is most explicitly evident in 1 Corinthians. Whether one follows Antoinette Clark Wire’s analysis and considers women prophets to be the problem Paul addresses or not, a passage like 1 Cor. 11:12-16 demonstrates clearly that Paul was wavering between presupposing the unquestioned participation and active role of women in the gatherings of the </w:t>
      </w:r>
      <w:r w:rsidRPr="007219E0">
        <w:rPr>
          <w:rFonts w:cs="Times New Roman"/>
          <w:i/>
        </w:rPr>
        <w:t>ekklesia</w:t>
      </w:r>
      <w:r>
        <w:rPr>
          <w:rFonts w:cs="Times New Roman"/>
        </w:rPr>
        <w:t>, but at the same time adheres in principle to a subordination paradigm which governs the relationship between men and women. The reasons provided for the necessity of women to have their head covered whilst prophesising, and for men not to cover their heads during the same activity are based on a perceived hierarchical order of creation, with women clearly being seen as subordinate to men.</w:t>
      </w:r>
      <w:r>
        <w:rPr>
          <w:rStyle w:val="Endnotenzeichen"/>
          <w:rFonts w:cs="Times New Roman"/>
        </w:rPr>
        <w:endnoteReference w:id="13"/>
      </w:r>
      <w:r>
        <w:rPr>
          <w:rFonts w:cs="Times New Roman"/>
        </w:rPr>
        <w:t xml:space="preserve"> But the situation which requires such a regulation also demonstrates that Paul considered it as ‘normal’ that women were unquestioned part of the assemblies of God, and played an active role in these, rather than being merely passive observers. The issue is complicated by the ‘rule’ of 1 Cor. 14:33-36 through which Paul seems to silence women in the assembly gatherings. </w:t>
      </w:r>
    </w:p>
    <w:p w14:paraId="6943CC40" w14:textId="1D3A7A13" w:rsidR="00E32707" w:rsidRDefault="00E32707" w:rsidP="00D32D5B">
      <w:pPr>
        <w:widowControl w:val="0"/>
        <w:autoSpaceDE w:val="0"/>
        <w:autoSpaceDN w:val="0"/>
        <w:adjustRightInd w:val="0"/>
        <w:spacing w:line="360" w:lineRule="auto"/>
        <w:rPr>
          <w:rFonts w:cs="Times New Roman"/>
        </w:rPr>
      </w:pPr>
      <w:r>
        <w:rPr>
          <w:rFonts w:cs="Times New Roman"/>
        </w:rPr>
        <w:t xml:space="preserve">It has hardly ever been noted that the fact that Paul discusses issues concerning the active role of women in the assemblies is actually remarkable. It is clear evidence that women were not only members of this messianic movement, but they were self-evidently part of the ‘assemblies’, the actual gatherings of this movement, and they played an active role in these gatherings! The mere fact that Paul considers it necessary to provide guidance to men </w:t>
      </w:r>
      <w:r w:rsidRPr="001C738A">
        <w:rPr>
          <w:rFonts w:cs="Times New Roman"/>
          <w:u w:val="single"/>
        </w:rPr>
        <w:t>and</w:t>
      </w:r>
      <w:r>
        <w:rPr>
          <w:rFonts w:cs="Times New Roman"/>
        </w:rPr>
        <w:t xml:space="preserve"> women concerning the ‘orderly’ way in which these ‘assembly meetings’ should be conducted demonstrates that these were mixed gatherings of men and women. In the context of Greek and Roman societies, in which gender segregation was the norm rather than the exception (certainly at the theoretical level), this is rather noteworthy, and the active role of women in such a mixed assembly even more so.</w:t>
      </w:r>
      <w:r>
        <w:rPr>
          <w:rStyle w:val="Endnotenzeichen"/>
          <w:rFonts w:cs="Times New Roman"/>
        </w:rPr>
        <w:endnoteReference w:id="14"/>
      </w:r>
      <w:r>
        <w:rPr>
          <w:rFonts w:cs="Times New Roman"/>
        </w:rPr>
        <w:t xml:space="preserve"> Paul never challenges the participation of women in the actual gatherings of the </w:t>
      </w:r>
      <w:r w:rsidRPr="00A07A5B">
        <w:rPr>
          <w:rFonts w:cs="Times New Roman"/>
          <w:i/>
        </w:rPr>
        <w:t>ekklesiai</w:t>
      </w:r>
      <w:r>
        <w:rPr>
          <w:rFonts w:cs="Times New Roman"/>
        </w:rPr>
        <w:t xml:space="preserve"> per se in any way. What he does address is the conduct of both, men and women, on these occasions. Concerning this, as well as concerning the course of action when ‘married to an unbeliever’ (1 Cor. 7:12-13), the Corinthians have sought Paul’s advice and guidance (1 Cor. 7:1). They were concerned about these aspects, which could be an indication that such joint gatherings may not have been something they were familiar with from within their mainly non-Jewish contexts.</w:t>
      </w:r>
      <w:r>
        <w:rPr>
          <w:rStyle w:val="Endnotenzeichen"/>
          <w:rFonts w:cs="Times New Roman"/>
        </w:rPr>
        <w:endnoteReference w:id="15"/>
      </w:r>
      <w:r>
        <w:rPr>
          <w:rFonts w:cs="Times New Roman"/>
        </w:rPr>
        <w:t xml:space="preserve"> They could have had some knowledge from synagogue gatherings, but even though the gentile Christ-followers most likely also participated in these, and the </w:t>
      </w:r>
      <w:r>
        <w:rPr>
          <w:rFonts w:cs="Times New Roman"/>
          <w:i/>
        </w:rPr>
        <w:t xml:space="preserve">ekklesiai tou theou </w:t>
      </w:r>
      <w:r>
        <w:rPr>
          <w:rFonts w:cs="Times New Roman"/>
        </w:rPr>
        <w:t>were closely associated with synagogue communities,</w:t>
      </w:r>
      <w:r>
        <w:rPr>
          <w:rStyle w:val="Endnotenzeichen"/>
          <w:rFonts w:cs="Times New Roman"/>
        </w:rPr>
        <w:endnoteReference w:id="16"/>
      </w:r>
      <w:r>
        <w:rPr>
          <w:rFonts w:cs="Times New Roman"/>
        </w:rPr>
        <w:t xml:space="preserve"> when they gathered as </w:t>
      </w:r>
      <w:r>
        <w:rPr>
          <w:rFonts w:cs="Times New Roman"/>
          <w:i/>
        </w:rPr>
        <w:t>ekklesiai tou theou</w:t>
      </w:r>
      <w:r>
        <w:rPr>
          <w:rFonts w:cs="Times New Roman"/>
        </w:rPr>
        <w:t xml:space="preserve"> the appropriate conduct in these may have required clarification. </w:t>
      </w:r>
    </w:p>
    <w:p w14:paraId="42D7779C" w14:textId="11FA8463" w:rsidR="00E32707" w:rsidRDefault="00E32707" w:rsidP="00D32D5B">
      <w:pPr>
        <w:widowControl w:val="0"/>
        <w:autoSpaceDE w:val="0"/>
        <w:autoSpaceDN w:val="0"/>
        <w:adjustRightInd w:val="0"/>
        <w:spacing w:line="360" w:lineRule="auto"/>
        <w:rPr>
          <w:rFonts w:cs="Times New Roman"/>
        </w:rPr>
      </w:pPr>
      <w:r>
        <w:rPr>
          <w:rFonts w:cs="Times New Roman"/>
        </w:rPr>
        <w:t>The communication between Paul and the Corinthians is thus an example of the cultural translation process obviously required in order for these gentiles to understand what ‘turning to the true and living God’ meant in practice. Paul was familiar with more than one culture and tradition, he was a bi-cultural/bi-lingual person, but his primary embeddedness in Judaism was in no ways diminished by his ability to relate meaningfully also to the world of Greeks , Galatians, and possibly Romans.</w:t>
      </w:r>
      <w:r>
        <w:rPr>
          <w:rStyle w:val="Endnotenzeichen"/>
          <w:rFonts w:cs="Times New Roman"/>
        </w:rPr>
        <w:endnoteReference w:id="17"/>
      </w:r>
      <w:r>
        <w:rPr>
          <w:rFonts w:cs="Times New Roman"/>
        </w:rPr>
        <w:t xml:space="preserve"> Thus in light of Jewish tradition and practice, such mixed gatherings of people who worshipped the God of Israel would be considered normal by him as it was common practice in synagogues throughout the empire. The fact that women were part of these gatherings is mentioned frequently, and there is no reason to doubt the respective literary sources. The presence of women (and children), as part of ‘all Israel’, when the law is being read is attested frequently in biblical texts (Dtn. 29:10-11; 31:11-12; Josh. 8:35; Neh. 8:2-3; 10:28; also1 Esdras 9:40-41). That this is communal practice also in the synagogues of the first century is affirmed by Josephus, who in his report about the decree of Halicarnassus explicitly mentions men and women together as those who are granted the right to build a synagogue, assemble, and celebrate Sabbath (</w:t>
      </w:r>
      <w:r w:rsidRPr="00435D30">
        <w:rPr>
          <w:rFonts w:cs="Times New Roman"/>
          <w:i/>
        </w:rPr>
        <w:t>Ant.</w:t>
      </w:r>
      <w:r>
        <w:rPr>
          <w:rFonts w:cs="Times New Roman"/>
        </w:rPr>
        <w:t xml:space="preserve">14.258), and in the decree of the Sardians their right to assemble according to their ancient legal tradition is affirmed by assigning the Jews a place to hold their assemblies which included women and children ( </w:t>
      </w:r>
      <w:r>
        <w:rPr>
          <w:rFonts w:cs="Times New Roman"/>
          <w:i/>
        </w:rPr>
        <w:t>Ant.</w:t>
      </w:r>
      <w:r>
        <w:rPr>
          <w:rFonts w:cs="Times New Roman"/>
        </w:rPr>
        <w:t>14 260). Philo too has women included in the assembly as a matter of fact (</w:t>
      </w:r>
      <w:r>
        <w:rPr>
          <w:rFonts w:cs="Times New Roman"/>
          <w:i/>
        </w:rPr>
        <w:t>Dec</w:t>
      </w:r>
      <w:r>
        <w:rPr>
          <w:rFonts w:cs="Times New Roman"/>
        </w:rPr>
        <w:t xml:space="preserve"> 32). The implications of this clear evidence of synagogue assemblies as mixed groups of men and women in the first century are significant. Given that the activities during these assemblies included the reading of the scriptures and teaching as well as prayer,</w:t>
      </w:r>
      <w:r>
        <w:rPr>
          <w:rStyle w:val="Endnotenzeichen"/>
          <w:rFonts w:cs="Times New Roman"/>
        </w:rPr>
        <w:endnoteReference w:id="18"/>
      </w:r>
      <w:r>
        <w:rPr>
          <w:rFonts w:cs="Times New Roman"/>
        </w:rPr>
        <w:t xml:space="preserve"> this means that women were taught and participated in prayer as men did. No reference to an exclusion of women when it comes to learning the scriptures is made by Philo or by Josephus.</w:t>
      </w:r>
      <w:r>
        <w:rPr>
          <w:rStyle w:val="Endnotenzeichen"/>
          <w:rFonts w:cs="Times New Roman"/>
        </w:rPr>
        <w:endnoteReference w:id="19"/>
      </w:r>
      <w:r>
        <w:rPr>
          <w:rFonts w:cs="Times New Roman"/>
        </w:rPr>
        <w:t xml:space="preserve">  </w:t>
      </w:r>
    </w:p>
    <w:p w14:paraId="3DA1C309" w14:textId="7C05022C" w:rsidR="00E32707" w:rsidRPr="001169F1" w:rsidRDefault="00E32707" w:rsidP="00D32D5B">
      <w:pPr>
        <w:widowControl w:val="0"/>
        <w:autoSpaceDE w:val="0"/>
        <w:autoSpaceDN w:val="0"/>
        <w:adjustRightInd w:val="0"/>
        <w:spacing w:line="360" w:lineRule="auto"/>
        <w:rPr>
          <w:rFonts w:cs="Times New Roman"/>
        </w:rPr>
      </w:pPr>
      <w:r>
        <w:rPr>
          <w:rFonts w:cs="Times New Roman"/>
        </w:rPr>
        <w:t xml:space="preserve">Paul’s stated Pharisaism may shed further light on the inclusion of women not just as members of the movement but as participants in the actual gatherings of the </w:t>
      </w:r>
      <w:r>
        <w:rPr>
          <w:rFonts w:cs="Times New Roman"/>
          <w:i/>
        </w:rPr>
        <w:t>ekklesiai.</w:t>
      </w:r>
      <w:r>
        <w:rPr>
          <w:rFonts w:cs="Times New Roman"/>
        </w:rPr>
        <w:t xml:space="preserve"> Tal Ilan has presented convincing arguments that women were part of the Pharisaic movement as members in their own right.</w:t>
      </w:r>
      <w:r>
        <w:rPr>
          <w:rStyle w:val="Endnotenzeichen"/>
          <w:rFonts w:cs="Times New Roman"/>
        </w:rPr>
        <w:endnoteReference w:id="20"/>
      </w:r>
      <w:r>
        <w:rPr>
          <w:rFonts w:cs="Times New Roman"/>
        </w:rPr>
        <w:t xml:space="preserve"> She interprets </w:t>
      </w:r>
      <w:r w:rsidRPr="001E5464">
        <w:rPr>
          <w:rFonts w:cs="Times New Roman"/>
          <w:i/>
        </w:rPr>
        <w:t>tDemai</w:t>
      </w:r>
      <w:r>
        <w:rPr>
          <w:rFonts w:cs="Times New Roman"/>
        </w:rPr>
        <w:t xml:space="preserve"> 2.16 as a clear references to Pharisees. The verse stating that ‘A daughter of an </w:t>
      </w:r>
      <w:r>
        <w:rPr>
          <w:rFonts w:cs="Times New Roman"/>
          <w:i/>
        </w:rPr>
        <w:t>am-haaretz</w:t>
      </w:r>
      <w:r>
        <w:rPr>
          <w:rFonts w:cs="Times New Roman"/>
        </w:rPr>
        <w:t xml:space="preserve"> married to a </w:t>
      </w:r>
      <w:r>
        <w:rPr>
          <w:rFonts w:cs="Times New Roman"/>
          <w:i/>
        </w:rPr>
        <w:t xml:space="preserve">haver, </w:t>
      </w:r>
      <w:r>
        <w:rPr>
          <w:rFonts w:cs="Times New Roman"/>
        </w:rPr>
        <w:t xml:space="preserve">a woman </w:t>
      </w:r>
      <w:r>
        <w:rPr>
          <w:rFonts w:cs="Times New Roman"/>
          <w:i/>
        </w:rPr>
        <w:t>am-haaretz</w:t>
      </w:r>
      <w:r>
        <w:rPr>
          <w:rFonts w:cs="Times New Roman"/>
        </w:rPr>
        <w:t xml:space="preserve"> married to a </w:t>
      </w:r>
      <w:r>
        <w:rPr>
          <w:rFonts w:cs="Times New Roman"/>
          <w:i/>
        </w:rPr>
        <w:t>haver</w:t>
      </w:r>
      <w:r>
        <w:rPr>
          <w:rFonts w:cs="Times New Roman"/>
        </w:rPr>
        <w:t>….should undergo initiation (in order to be trustworthy)’</w:t>
      </w:r>
      <w:r>
        <w:rPr>
          <w:rStyle w:val="Endnotenzeichen"/>
          <w:rFonts w:cs="Times New Roman"/>
        </w:rPr>
        <w:endnoteReference w:id="21"/>
      </w:r>
      <w:r>
        <w:rPr>
          <w:rFonts w:cs="Times New Roman"/>
        </w:rPr>
        <w:t xml:space="preserve"> demonstrates that women were initiated into the movement as members in their own right. Based on this interpretation Ilan argues that women evidently were members of the Pharisaic movement, and participated also in their communal meals.</w:t>
      </w:r>
      <w:r>
        <w:rPr>
          <w:rStyle w:val="Endnotenzeichen"/>
          <w:rFonts w:cs="Times New Roman"/>
        </w:rPr>
        <w:endnoteReference w:id="22"/>
      </w:r>
      <w:r>
        <w:rPr>
          <w:rFonts w:cs="Times New Roman"/>
        </w:rPr>
        <w:t xml:space="preserve"> If we follow her interpretation, this provides further evidence that Paul would have been familiar with, and would have taken it for granted that women were active members and participants in their own right in a sub-group of Judaism, and it should thus not come as a surprise that Paul would have considered the participation of women in the assemblies of the Christ-movement as nothing but to be expected and normal. </w:t>
      </w:r>
    </w:p>
    <w:p w14:paraId="343BF325" w14:textId="5244FCE8" w:rsidR="00E32707" w:rsidRDefault="00E32707" w:rsidP="00D32D5B">
      <w:pPr>
        <w:widowControl w:val="0"/>
        <w:autoSpaceDE w:val="0"/>
        <w:autoSpaceDN w:val="0"/>
        <w:adjustRightInd w:val="0"/>
        <w:spacing w:line="360" w:lineRule="auto"/>
        <w:rPr>
          <w:rFonts w:cs="Times New Roman"/>
        </w:rPr>
      </w:pPr>
      <w:r>
        <w:rPr>
          <w:rFonts w:cs="Times New Roman"/>
        </w:rPr>
        <w:t>Active participation in synagogue activities is presupposed also by Philo, who mentions male and female choirs in a tradition which depicts Miriam and Moses as choir leaders (</w:t>
      </w:r>
      <w:r>
        <w:rPr>
          <w:rFonts w:cs="Times New Roman"/>
          <w:i/>
        </w:rPr>
        <w:t>Mos.</w:t>
      </w:r>
      <w:r>
        <w:rPr>
          <w:rFonts w:cs="Times New Roman"/>
        </w:rPr>
        <w:t xml:space="preserve"> 1.180; 2.256) most likely not merely for historical purposes. In his detailed report on the </w:t>
      </w:r>
      <w:r w:rsidRPr="00983C70">
        <w:rPr>
          <w:rFonts w:cs="Times New Roman"/>
          <w:i/>
        </w:rPr>
        <w:t>Therapeutae</w:t>
      </w:r>
      <w:r>
        <w:rPr>
          <w:rFonts w:cs="Times New Roman"/>
          <w:i/>
        </w:rPr>
        <w:t>,</w:t>
      </w:r>
      <w:r w:rsidRPr="00983C70">
        <w:rPr>
          <w:rFonts w:cs="Times New Roman"/>
          <w:i/>
        </w:rPr>
        <w:t xml:space="preserve"> </w:t>
      </w:r>
      <w:r>
        <w:rPr>
          <w:rFonts w:cs="Times New Roman"/>
        </w:rPr>
        <w:t>the hymn singing of the male and female members in separate choirs figures prominently and leads to the question whether this activity should really have been confined to this particular group or was a more general communal activity.</w:t>
      </w:r>
      <w:r>
        <w:rPr>
          <w:rStyle w:val="Endnotenzeichen"/>
          <w:rFonts w:cs="Times New Roman"/>
        </w:rPr>
        <w:endnoteReference w:id="23"/>
      </w:r>
      <w:r>
        <w:rPr>
          <w:rFonts w:cs="Times New Roman"/>
        </w:rPr>
        <w:t xml:space="preserve"> Certainly the literary traditions refer to such male and female choirs (Ezra 2:65; Neh. 7:67, Ps. 148:12), or dancing and singing by women and men respectively (Jdt. 15:12-13). In addition literature of the Second Temple period also envisages women as prophetesses (Judith in Jdt.  11:17-18; the daughters of Job </w:t>
      </w:r>
      <w:r>
        <w:rPr>
          <w:rFonts w:cs="Times New Roman"/>
          <w:i/>
        </w:rPr>
        <w:t xml:space="preserve">Test.Job </w:t>
      </w:r>
      <w:r>
        <w:rPr>
          <w:rFonts w:cs="Times New Roman"/>
        </w:rPr>
        <w:t xml:space="preserve">47-53) and as leading the people in prayer (Jdt. 15:14-16.17). Esther and Judith are heroines who liberate their people or prevent their extinction, and in Pseudo-Philo’s </w:t>
      </w:r>
      <w:r>
        <w:rPr>
          <w:rFonts w:cs="Times New Roman"/>
          <w:i/>
        </w:rPr>
        <w:t xml:space="preserve">Biblical Antiquities </w:t>
      </w:r>
      <w:r>
        <w:rPr>
          <w:rFonts w:cs="Times New Roman"/>
        </w:rPr>
        <w:t xml:space="preserve"> Deborah, Jephtha’s daughter and Hannah are portrayed as major characters in Israel’s history. Deborah here is a prophetess, but also a ruler over Israel and a teacher who enlightens all Israel (33.1). In light of this literary evidence, the active </w:t>
      </w:r>
      <w:r w:rsidRPr="009D778B">
        <w:rPr>
          <w:rFonts w:cs="Times New Roman"/>
        </w:rPr>
        <w:t>participation of women in the Jewish assemblies can hardly be doubted and the emergence of</w:t>
      </w:r>
      <w:r>
        <w:rPr>
          <w:rFonts w:cs="Times New Roman"/>
        </w:rPr>
        <w:t xml:space="preserve"> heroine stories and the emphasis on the significance of biblical female characters as e.g. in </w:t>
      </w:r>
      <w:r>
        <w:rPr>
          <w:rFonts w:cs="Times New Roman"/>
          <w:i/>
        </w:rPr>
        <w:t xml:space="preserve">Biblical Antiquities </w:t>
      </w:r>
      <w:r>
        <w:rPr>
          <w:rFonts w:cs="Times New Roman"/>
        </w:rPr>
        <w:t xml:space="preserve">are clear indications that the presence of women in the </w:t>
      </w:r>
      <w:r>
        <w:rPr>
          <w:rFonts w:cs="Times New Roman"/>
          <w:i/>
        </w:rPr>
        <w:t>ekklesiai tou theou</w:t>
      </w:r>
      <w:r>
        <w:rPr>
          <w:rFonts w:cs="Times New Roman"/>
        </w:rPr>
        <w:t xml:space="preserve"> would most likely be assumed to be normal and expected by Paul, rather than being an innovative or liberating move on the part of the Christ-movement.</w:t>
      </w:r>
      <w:r>
        <w:rPr>
          <w:rStyle w:val="Endnotenzeichen"/>
          <w:rFonts w:cs="Times New Roman"/>
        </w:rPr>
        <w:endnoteReference w:id="24"/>
      </w:r>
      <w:r>
        <w:rPr>
          <w:rFonts w:cs="Times New Roman"/>
        </w:rPr>
        <w:t xml:space="preserve"> </w:t>
      </w:r>
    </w:p>
    <w:p w14:paraId="36543F84" w14:textId="14121FEF" w:rsidR="00E32707" w:rsidRPr="00983C70" w:rsidRDefault="00E32707" w:rsidP="00D32D5B">
      <w:pPr>
        <w:widowControl w:val="0"/>
        <w:autoSpaceDE w:val="0"/>
        <w:autoSpaceDN w:val="0"/>
        <w:adjustRightInd w:val="0"/>
        <w:spacing w:line="360" w:lineRule="auto"/>
        <w:rPr>
          <w:rFonts w:cs="Times New Roman"/>
        </w:rPr>
      </w:pPr>
      <w:r>
        <w:rPr>
          <w:rFonts w:cs="Times New Roman"/>
        </w:rPr>
        <w:t>The clear evidence of mixed assemblies in synagogue communities, the participation of women in prayer, and singing, and the high value attributed to prophets as well as prophetesses indicate that the practice and guidance of Paul in 1 Cor. 11:2-16 reflect his Judaism. He presupposes the joint participation of men and women, he presupposes that they both pray and prophecy, and he is concerned that this is being done in an orderly manner. This does not of course exclude the perception of the relationship between men and women to be hierarchical. Such a perception was shared in variations between the different traditions around the Mediterranean. I cannot discuss this aspect in any detail here but the perception of the subordination of women was not a particularly Jewish tradition, which Paul would have re-introduced to the Christ-movement, nor do the issues around head-coverings inherently bear the mark of hierarchy, although Paul presents them in that vein. The emphasis could also be understood as a mark of gender difference, and the request for the man not to pray with his head covered could actually be a mark of differentiation from Roman practice.</w:t>
      </w:r>
      <w:r>
        <w:rPr>
          <w:rStyle w:val="Endnotenzeichen"/>
          <w:rFonts w:cs="Times New Roman"/>
        </w:rPr>
        <w:endnoteReference w:id="25"/>
      </w:r>
      <w:r>
        <w:rPr>
          <w:rFonts w:cs="Times New Roman"/>
        </w:rPr>
        <w:t xml:space="preserve"> What is significant is that Paul, coherent with Jewish practice assumes without question that women pray and prophecy in the meetings of the </w:t>
      </w:r>
      <w:r>
        <w:rPr>
          <w:rFonts w:cs="Times New Roman"/>
          <w:i/>
        </w:rPr>
        <w:t>ekklesia tou theou.</w:t>
      </w:r>
      <w:r>
        <w:rPr>
          <w:rFonts w:cs="Times New Roman"/>
        </w:rPr>
        <w:t xml:space="preserve"> The Corinthians are even commended by Paul in this respect (11:2) and it seems his emphasis in 11:3-16 is on a deepened understanding why women should pray and prophesy with their hair covered whilst men should not, rather than any dispute whether women should have an active role during their meetings at all. </w:t>
      </w:r>
    </w:p>
    <w:p w14:paraId="2D4E2233" w14:textId="4A301C32" w:rsidR="00E32707" w:rsidRDefault="00E32707" w:rsidP="00D32D5B">
      <w:pPr>
        <w:widowControl w:val="0"/>
        <w:autoSpaceDE w:val="0"/>
        <w:autoSpaceDN w:val="0"/>
        <w:adjustRightInd w:val="0"/>
        <w:spacing w:line="360" w:lineRule="auto"/>
        <w:rPr>
          <w:rFonts w:cs="Times New Roman"/>
        </w:rPr>
      </w:pPr>
      <w:r>
        <w:rPr>
          <w:rFonts w:cs="Times New Roman"/>
        </w:rPr>
        <w:t>As noted above, this unquestioned assumption of  1 Cor. 11:2-16 stands in tension with   14.33-35. If this is not an interpolation,</w:t>
      </w:r>
      <w:r>
        <w:rPr>
          <w:rStyle w:val="Endnotenzeichen"/>
          <w:rFonts w:cs="Times New Roman"/>
        </w:rPr>
        <w:endnoteReference w:id="26"/>
      </w:r>
      <w:r>
        <w:rPr>
          <w:rFonts w:cs="Times New Roman"/>
        </w:rPr>
        <w:t xml:space="preserve"> some explanation may again be found in Paul’s Jewish tradition. If we trust Josephus and Philo in particular then a distinction seems to have been made between women participating in the assemblies, and being active in prayer, singing and possibly prophesying, and the reading and interpretation the scriptures. Whilst information concerning the reading of the scriptures is unclear and possibly may be done by any member of the assembly (which might include women), Philo insists that interpretation and teaching is done by a man of special knowledge, a leader, teacher or ‘ruler’ of the community. </w:t>
      </w:r>
      <w:r>
        <w:rPr>
          <w:rStyle w:val="Endnotenzeichen"/>
          <w:rFonts w:cs="Times New Roman"/>
        </w:rPr>
        <w:endnoteReference w:id="27"/>
      </w:r>
      <w:r>
        <w:rPr>
          <w:rFonts w:cs="Times New Roman"/>
        </w:rPr>
        <w:t xml:space="preserve"> During such expositions the assembly members listen in silence (</w:t>
      </w:r>
      <w:r>
        <w:rPr>
          <w:rFonts w:cs="Times New Roman"/>
          <w:i/>
        </w:rPr>
        <w:t>Mos.</w:t>
      </w:r>
      <w:r>
        <w:rPr>
          <w:rFonts w:cs="Times New Roman"/>
        </w:rPr>
        <w:t xml:space="preserve">2.215; </w:t>
      </w:r>
      <w:r>
        <w:rPr>
          <w:rFonts w:cs="Times New Roman"/>
          <w:i/>
        </w:rPr>
        <w:t xml:space="preserve">Spec. Leg. </w:t>
      </w:r>
      <w:r>
        <w:rPr>
          <w:rFonts w:cs="Times New Roman"/>
        </w:rPr>
        <w:t>2.62). It is evident that not everybody is considered to be qualified to explain the scriptures, but only those ‘who are very learned explain to them what is of great importance and use. Lessons by which the whole of their lives may be improved’ (</w:t>
      </w:r>
      <w:r>
        <w:rPr>
          <w:rFonts w:cs="Times New Roman"/>
          <w:i/>
        </w:rPr>
        <w:t>Spec.Leg.</w:t>
      </w:r>
      <w:r>
        <w:rPr>
          <w:rFonts w:cs="Times New Roman"/>
        </w:rPr>
        <w:t xml:space="preserve">2.62). Silence is also the rule among the </w:t>
      </w:r>
      <w:r w:rsidRPr="002A5683">
        <w:rPr>
          <w:rFonts w:cs="Times New Roman"/>
          <w:i/>
        </w:rPr>
        <w:t>Therapeutae</w:t>
      </w:r>
      <w:r>
        <w:rPr>
          <w:rFonts w:cs="Times New Roman"/>
        </w:rPr>
        <w:t xml:space="preserve"> when the scriptures are read and explained (</w:t>
      </w:r>
      <w:r>
        <w:rPr>
          <w:rFonts w:cs="Times New Roman"/>
          <w:i/>
        </w:rPr>
        <w:t>Cont.</w:t>
      </w:r>
      <w:r>
        <w:rPr>
          <w:rFonts w:cs="Times New Roman"/>
        </w:rPr>
        <w:t>75), and the assembly is conducted in a clear and orderly manner (</w:t>
      </w:r>
      <w:r>
        <w:rPr>
          <w:rFonts w:cs="Times New Roman"/>
          <w:i/>
        </w:rPr>
        <w:t>Cont.</w:t>
      </w:r>
      <w:r>
        <w:rPr>
          <w:rFonts w:cs="Times New Roman"/>
        </w:rPr>
        <w:t xml:space="preserve">80). 1 Corinthians 14 is concerned with the order during assembly meetings. Paul seems to be concerned that this is done appropriately. The mutual up-building in the </w:t>
      </w:r>
      <w:r>
        <w:rPr>
          <w:rFonts w:cs="Times New Roman"/>
          <w:i/>
        </w:rPr>
        <w:t>ekklesia</w:t>
      </w:r>
      <w:r>
        <w:rPr>
          <w:rFonts w:cs="Times New Roman"/>
        </w:rPr>
        <w:t xml:space="preserve"> is at the centre of his concern, but in order for this to be possible the members have to take turns in speaking (14:30-31). In some instances Paul advises that silence is better than speaking, as e.g. when there is nobody present who can interpret what is said ‘in tongue’ (v.29), or when ‘a revelation is made to someone sitting nearby’ the first one should be silent (v.30). The issue of women talking is raised in this context, that is, not in a general vein. I think, given the context women are not exclusively and generally told to be silent during the assembly meetings, but in relation to a particular aspect.</w:t>
      </w:r>
      <w:r>
        <w:rPr>
          <w:rStyle w:val="Endnotenzeichen"/>
          <w:rFonts w:cs="Times New Roman"/>
        </w:rPr>
        <w:endnoteReference w:id="28"/>
      </w:r>
      <w:r>
        <w:rPr>
          <w:rFonts w:cs="Times New Roman"/>
        </w:rPr>
        <w:t xml:space="preserve"> It seems that Paul does not refer to just any kind of talking but one that is specifically geared towards learning in relation to the scriptures as the verb </w:t>
      </w:r>
      <w:r>
        <w:rPr>
          <w:rFonts w:cs="Times New Roman"/>
          <w:i/>
        </w:rPr>
        <w:t>mathein</w:t>
      </w:r>
      <w:r>
        <w:rPr>
          <w:rFonts w:cs="Times New Roman"/>
        </w:rPr>
        <w:t xml:space="preserve"> (v. 35), and the reference to ‘the word of God’ (v.36) possibly indicate. Although I do not think that the reading and interpretation of the scriptures was part of the </w:t>
      </w:r>
      <w:r>
        <w:rPr>
          <w:rFonts w:cs="Times New Roman"/>
          <w:i/>
        </w:rPr>
        <w:t>ekklesia</w:t>
      </w:r>
      <w:r>
        <w:rPr>
          <w:rFonts w:cs="Times New Roman"/>
        </w:rPr>
        <w:t xml:space="preserve"> meetings as yet</w:t>
      </w:r>
      <w:r>
        <w:rPr>
          <w:rStyle w:val="Endnotenzeichen"/>
          <w:rFonts w:cs="Times New Roman"/>
        </w:rPr>
        <w:endnoteReference w:id="29"/>
      </w:r>
      <w:r>
        <w:rPr>
          <w:rFonts w:cs="Times New Roman"/>
        </w:rPr>
        <w:t xml:space="preserve"> and teaching may refer to some oral traditions, Christ-centred or other, it could be that in tune with some Jewish understanding teaching was understood as the domain of leading men, and thus anything related to it should not be raised by women during the assembly. If listening in silence generally was part of the practice of teaching, then the two aspects could have been combined by Paul here. Again, based on this evidence, this should not be seen as a re-introduction of a restrictive practice into a previously more liberating </w:t>
      </w:r>
      <w:r>
        <w:rPr>
          <w:rFonts w:cs="Times New Roman"/>
          <w:i/>
        </w:rPr>
        <w:t>ekklesia</w:t>
      </w:r>
      <w:r>
        <w:rPr>
          <w:rFonts w:cs="Times New Roman"/>
        </w:rPr>
        <w:t>, but most likely is part of the existing Jewish ethos of mixed assemblies with both, men and women, actively participating but in an ‘orderly manner’ in analogy to synagogue or possibly other assemblies.</w:t>
      </w:r>
      <w:r>
        <w:rPr>
          <w:rStyle w:val="Endnotenzeichen"/>
          <w:rFonts w:cs="Times New Roman"/>
        </w:rPr>
        <w:endnoteReference w:id="30"/>
      </w:r>
      <w:r>
        <w:rPr>
          <w:rFonts w:cs="Times New Roman"/>
        </w:rPr>
        <w:t xml:space="preserve"> The mixed character of the </w:t>
      </w:r>
      <w:r>
        <w:rPr>
          <w:rFonts w:cs="Times New Roman"/>
          <w:i/>
        </w:rPr>
        <w:t>ekklesiai</w:t>
      </w:r>
      <w:r>
        <w:rPr>
          <w:rFonts w:cs="Times New Roman"/>
        </w:rPr>
        <w:t xml:space="preserve"> as well as the joint participation in worshipping, including the guidance about its proper order, are all based on, and developed in analogy to Jewish traditions and practice in which Paul was embedded. Although some aspects of these assemblies and the guidance for proper conduct may have had analogies in the traditions with which those Christ-followers from the nations were familiar, Paul’s perceptions and guidance are very much rooted in Jewish tradition. This is what should be expected since these </w:t>
      </w:r>
      <w:r>
        <w:rPr>
          <w:rFonts w:cs="Times New Roman"/>
          <w:i/>
        </w:rPr>
        <w:t xml:space="preserve">ekklesiai </w:t>
      </w:r>
      <w:r>
        <w:rPr>
          <w:rFonts w:cs="Times New Roman"/>
        </w:rPr>
        <w:t xml:space="preserve">were called to turn to ‘the true and living God’ through Christ. This is the God who had established his special bond with his people Israel, they are thus the ones who had received guidance for ways to live according to his will, and for ways to worship him. Paul may have had significant knowledge and understanding of other traditions (Greek, Roman, Galatian etc), but the core of his message and the practice of life following from it was part of the Jewish social and symbolic universe. The uniqueness of what he was trying to was to ‘translate’ this message and practice so it could be applied to those from the nations without them becoming Jews. </w:t>
      </w:r>
    </w:p>
    <w:p w14:paraId="1F3D8A5B" w14:textId="19D405F8" w:rsidR="00E32707" w:rsidRDefault="00E32707" w:rsidP="00D32D5B">
      <w:pPr>
        <w:widowControl w:val="0"/>
        <w:autoSpaceDE w:val="0"/>
        <w:autoSpaceDN w:val="0"/>
        <w:adjustRightInd w:val="0"/>
        <w:spacing w:line="360" w:lineRule="auto"/>
        <w:rPr>
          <w:rFonts w:cs="Times New Roman"/>
        </w:rPr>
      </w:pPr>
      <w:r>
        <w:rPr>
          <w:rFonts w:cs="Times New Roman"/>
        </w:rPr>
        <w:t>Paul’s Judaism, and more specifically his Pharisaism may also have been decisive for his advice concerning the question what Christ-followers should do ‘when married to an unbeliever’ (1 Cor. 7:12-16). Tal Ilan has argued that as a Pharisee, Paul may well have been familiar with similar guidance which she has identified as referring to Pharisees.</w:t>
      </w:r>
      <w:r>
        <w:rPr>
          <w:rStyle w:val="Endnotenzeichen"/>
          <w:rFonts w:cs="Times New Roman"/>
        </w:rPr>
        <w:endnoteReference w:id="31"/>
      </w:r>
      <w:r>
        <w:rPr>
          <w:rFonts w:cs="Times New Roman"/>
        </w:rPr>
        <w:t xml:space="preserve">  In </w:t>
      </w:r>
      <w:r w:rsidRPr="004B2C71">
        <w:rPr>
          <w:rFonts w:cs="Times New Roman"/>
          <w:i/>
        </w:rPr>
        <w:t xml:space="preserve">tDemai </w:t>
      </w:r>
      <w:r>
        <w:rPr>
          <w:rFonts w:cs="Times New Roman"/>
        </w:rPr>
        <w:t xml:space="preserve">2.17 referred to above, it is also asserted that ‘A daughter of a </w:t>
      </w:r>
      <w:r>
        <w:rPr>
          <w:rFonts w:cs="Times New Roman"/>
          <w:i/>
        </w:rPr>
        <w:t>haver</w:t>
      </w:r>
      <w:r>
        <w:rPr>
          <w:rFonts w:cs="Times New Roman"/>
        </w:rPr>
        <w:t xml:space="preserve"> married to an </w:t>
      </w:r>
      <w:r>
        <w:rPr>
          <w:rFonts w:cs="Times New Roman"/>
          <w:i/>
        </w:rPr>
        <w:t xml:space="preserve">am-haaretz, </w:t>
      </w:r>
      <w:r>
        <w:rPr>
          <w:rFonts w:cs="Times New Roman"/>
        </w:rPr>
        <w:t xml:space="preserve">the wife of a </w:t>
      </w:r>
      <w:r>
        <w:rPr>
          <w:rFonts w:cs="Times New Roman"/>
          <w:i/>
        </w:rPr>
        <w:t>haver</w:t>
      </w:r>
      <w:r>
        <w:rPr>
          <w:rFonts w:cs="Times New Roman"/>
        </w:rPr>
        <w:t xml:space="preserve"> married to an </w:t>
      </w:r>
      <w:r>
        <w:rPr>
          <w:rFonts w:cs="Times New Roman"/>
          <w:i/>
        </w:rPr>
        <w:t>am-haaretz</w:t>
      </w:r>
      <w:r>
        <w:rPr>
          <w:rFonts w:cs="Times New Roman"/>
        </w:rPr>
        <w:t>…they remain trustworthy unless they become suspect.’ Ilan here sees a parallel to Paul’s advice to those members of the Christ-movement who are married to an unbeliever. The status of the non-member does not affect the status of the member of the movement, Pharisaic or messianic respectively, as long as the member him/herself retains their own life according to the way of life of the Pharisaic or messianic community. Paul’s guidance is thus seen as based on his experience as a Pharisee.</w:t>
      </w:r>
      <w:r>
        <w:rPr>
          <w:rStyle w:val="Endnotenzeichen"/>
          <w:rFonts w:cs="Times New Roman"/>
        </w:rPr>
        <w:endnoteReference w:id="32"/>
      </w:r>
      <w:r>
        <w:rPr>
          <w:rFonts w:cs="Times New Roman"/>
        </w:rPr>
        <w:t xml:space="preserve"> </w:t>
      </w:r>
    </w:p>
    <w:p w14:paraId="7BEB6130" w14:textId="1F2073B7" w:rsidR="00E32707" w:rsidRDefault="00E32707" w:rsidP="001E5319">
      <w:pPr>
        <w:widowControl w:val="0"/>
        <w:autoSpaceDE w:val="0"/>
        <w:autoSpaceDN w:val="0"/>
        <w:adjustRightInd w:val="0"/>
        <w:spacing w:line="360" w:lineRule="auto"/>
        <w:ind w:firstLine="708"/>
        <w:rPr>
          <w:rFonts w:cs="Times New Roman"/>
        </w:rPr>
      </w:pPr>
      <w:r>
        <w:rPr>
          <w:rFonts w:cs="Times New Roman"/>
        </w:rPr>
        <w:t xml:space="preserve">These examples from 1 Corinthians demonstrate that Paul’s guidance which specifically addresses issues concerning women in the </w:t>
      </w:r>
      <w:r>
        <w:rPr>
          <w:rFonts w:cs="Times New Roman"/>
          <w:i/>
        </w:rPr>
        <w:t>ekklesiai tou theou</w:t>
      </w:r>
      <w:r>
        <w:rPr>
          <w:rFonts w:cs="Times New Roman"/>
        </w:rPr>
        <w:t xml:space="preserve"> is consistent with and rooted in the Judaism of the Second Temple period. No differentiation between some narrow Jewish tradition and some liberating Jewish tradition, nor between any Jewish tradition and  the Christ-movement could be discerned. Paul’s guidance and way of arguing in relation to women is Jewish, although now applied to women from the nations who are in Christ. Paul is concerned with inducting these people from the nations into a way of life in relation to the God of Israel. Most naturally, such guidance would primarily orient itself on the way of life known by the Jewish people through their ancestral traditions, scriptural and oral. </w:t>
      </w:r>
    </w:p>
    <w:p w14:paraId="54A68DCA" w14:textId="66B65437" w:rsidR="00E32707" w:rsidRDefault="00E32707" w:rsidP="00D32D5B">
      <w:pPr>
        <w:widowControl w:val="0"/>
        <w:autoSpaceDE w:val="0"/>
        <w:autoSpaceDN w:val="0"/>
        <w:adjustRightInd w:val="0"/>
        <w:spacing w:line="360" w:lineRule="auto"/>
        <w:rPr>
          <w:rFonts w:cs="Times New Roman"/>
        </w:rPr>
      </w:pPr>
      <w:r>
        <w:rPr>
          <w:rFonts w:cs="Times New Roman"/>
        </w:rPr>
        <w:t>The leadership role of women in the early Christ-movement reveals similarly the Jewish imprint of Paul’s practice rather than some new and thus liberating dimension in the Christ-movement, as Bernadette Brooten’s analysis of epigraphic evidence demonstrates.</w:t>
      </w:r>
      <w:r>
        <w:rPr>
          <w:rStyle w:val="Endnotenzeichen"/>
          <w:rFonts w:cs="Times New Roman"/>
        </w:rPr>
        <w:endnoteReference w:id="33"/>
      </w:r>
      <w:r>
        <w:rPr>
          <w:rFonts w:cs="Times New Roman"/>
        </w:rPr>
        <w:t xml:space="preserve"> Female leadership was possible in Jewish tradition, as it was in Greek and particularly Roman tradition of the period. </w:t>
      </w:r>
      <w:r>
        <w:rPr>
          <w:rStyle w:val="Endnotenzeichen"/>
          <w:rFonts w:cs="Times New Roman"/>
        </w:rPr>
        <w:endnoteReference w:id="34"/>
      </w:r>
      <w:r>
        <w:rPr>
          <w:rFonts w:cs="Times New Roman"/>
        </w:rPr>
        <w:t xml:space="preserve"> It is beyond the scope of this contribution to present a detailed analysis of Paul’s perception of female leadership, but the evidence from Brooten’s research demonstrates that such roles cohere with our analysis of Paul’s statements and guidance concerning women in 1 Corinthians 11 and 14, as thoroughly Jewish. Paul’s explicit references to women neither indicate his reactionary attitude nor his liberating stance, they cannot be attributed to some narrow or conservative Judaism or a liberating ‘in Christ’ stance respectively. They are merely practical guidance and understanding from within Jewish tradition and practice now applied to non-Jews who join Israel in worshipping God as theirs also.</w:t>
      </w:r>
    </w:p>
    <w:p w14:paraId="1F8B9DEA" w14:textId="6F1CB2DA" w:rsidR="00E32707" w:rsidRDefault="00E32707" w:rsidP="00D32D5B">
      <w:pPr>
        <w:widowControl w:val="0"/>
        <w:autoSpaceDE w:val="0"/>
        <w:autoSpaceDN w:val="0"/>
        <w:adjustRightInd w:val="0"/>
        <w:spacing w:line="360" w:lineRule="auto"/>
        <w:rPr>
          <w:rFonts w:cs="Times New Roman"/>
        </w:rPr>
      </w:pPr>
      <w:r>
        <w:rPr>
          <w:rFonts w:cs="Times New Roman"/>
        </w:rPr>
        <w:t xml:space="preserve"> </w:t>
      </w:r>
    </w:p>
    <w:p w14:paraId="3003AFE0" w14:textId="2B8F8C08" w:rsidR="00E32707" w:rsidRDefault="00E32707" w:rsidP="002E0916">
      <w:pPr>
        <w:pStyle w:val="Listenabsatz"/>
        <w:widowControl w:val="0"/>
        <w:numPr>
          <w:ilvl w:val="0"/>
          <w:numId w:val="1"/>
        </w:numPr>
        <w:autoSpaceDE w:val="0"/>
        <w:autoSpaceDN w:val="0"/>
        <w:adjustRightInd w:val="0"/>
        <w:spacing w:line="360" w:lineRule="auto"/>
        <w:rPr>
          <w:rFonts w:cs="Times New Roman"/>
        </w:rPr>
      </w:pPr>
      <w:r w:rsidRPr="002E0916">
        <w:rPr>
          <w:rFonts w:cs="Times New Roman"/>
        </w:rPr>
        <w:t xml:space="preserve">Particularity and Difference </w:t>
      </w:r>
      <w:r>
        <w:rPr>
          <w:rFonts w:cs="Times New Roman"/>
        </w:rPr>
        <w:t>in Paul’s Discourse</w:t>
      </w:r>
    </w:p>
    <w:p w14:paraId="3CFBD976" w14:textId="77777777" w:rsidR="00E32707" w:rsidRDefault="00E32707" w:rsidP="00DA30C7">
      <w:pPr>
        <w:pStyle w:val="Listenabsatz"/>
        <w:widowControl w:val="0"/>
        <w:autoSpaceDE w:val="0"/>
        <w:autoSpaceDN w:val="0"/>
        <w:adjustRightInd w:val="0"/>
        <w:spacing w:line="360" w:lineRule="auto"/>
        <w:rPr>
          <w:rFonts w:cs="Times New Roman"/>
        </w:rPr>
      </w:pPr>
    </w:p>
    <w:p w14:paraId="24D25371" w14:textId="7C1586A9" w:rsidR="00E32707" w:rsidRDefault="00E32707" w:rsidP="00DA30C7">
      <w:pPr>
        <w:pStyle w:val="Listenabsatz"/>
        <w:widowControl w:val="0"/>
        <w:autoSpaceDE w:val="0"/>
        <w:autoSpaceDN w:val="0"/>
        <w:adjustRightInd w:val="0"/>
        <w:spacing w:line="360" w:lineRule="auto"/>
        <w:rPr>
          <w:rFonts w:cs="Times New Roman"/>
        </w:rPr>
      </w:pPr>
      <w:r>
        <w:rPr>
          <w:rFonts w:cs="Times New Roman"/>
        </w:rPr>
        <w:t>3.1. The Problem of Universalization</w:t>
      </w:r>
    </w:p>
    <w:p w14:paraId="77819777" w14:textId="77777777" w:rsidR="00E32707" w:rsidRDefault="00E32707" w:rsidP="002E0916">
      <w:pPr>
        <w:widowControl w:val="0"/>
        <w:autoSpaceDE w:val="0"/>
        <w:autoSpaceDN w:val="0"/>
        <w:adjustRightInd w:val="0"/>
        <w:spacing w:line="360" w:lineRule="auto"/>
        <w:rPr>
          <w:rFonts w:cs="Times New Roman"/>
        </w:rPr>
      </w:pPr>
    </w:p>
    <w:p w14:paraId="6888A1AC" w14:textId="59A2464D" w:rsidR="00E32707" w:rsidRPr="002E0916" w:rsidRDefault="00E32707" w:rsidP="002E0916">
      <w:pPr>
        <w:widowControl w:val="0"/>
        <w:autoSpaceDE w:val="0"/>
        <w:autoSpaceDN w:val="0"/>
        <w:adjustRightInd w:val="0"/>
        <w:spacing w:line="360" w:lineRule="auto"/>
        <w:rPr>
          <w:rFonts w:cs="Times New Roman"/>
        </w:rPr>
      </w:pPr>
      <w:r>
        <w:rPr>
          <w:rFonts w:cs="Times New Roman"/>
        </w:rPr>
        <w:t xml:space="preserve">As noted above, re-locating Paul in Judaism in relation to questions of gender is not only relevant when women or issues specifically related to women are mentioned in his letters. Paul’s own Jewish identity, and his insistence of the necessity to retain the particularity of identity in Christ have decisive implications in relation to gender sensitive approaches as well. </w:t>
      </w:r>
    </w:p>
    <w:p w14:paraId="636772CB" w14:textId="588CBE5F" w:rsidR="00E32707" w:rsidRDefault="00E32707" w:rsidP="00D32D5B">
      <w:pPr>
        <w:widowControl w:val="0"/>
        <w:autoSpaceDE w:val="0"/>
        <w:autoSpaceDN w:val="0"/>
        <w:adjustRightInd w:val="0"/>
        <w:spacing w:line="360" w:lineRule="auto"/>
        <w:rPr>
          <w:rFonts w:cs="Times New Roman"/>
        </w:rPr>
      </w:pPr>
      <w:r>
        <w:rPr>
          <w:rFonts w:cs="Times New Roman"/>
        </w:rPr>
        <w:t xml:space="preserve"> </w:t>
      </w:r>
    </w:p>
    <w:p w14:paraId="18A8154E" w14:textId="1D802F46" w:rsidR="00E32707" w:rsidRDefault="00E32707" w:rsidP="00B44DEF">
      <w:pPr>
        <w:widowControl w:val="0"/>
        <w:autoSpaceDE w:val="0"/>
        <w:autoSpaceDN w:val="0"/>
        <w:adjustRightInd w:val="0"/>
        <w:spacing w:line="360" w:lineRule="auto"/>
        <w:rPr>
          <w:rFonts w:cs="Times New Roman"/>
        </w:rPr>
      </w:pPr>
      <w:r>
        <w:rPr>
          <w:rFonts w:cs="Times New Roman"/>
        </w:rPr>
        <w:t>Universalising interpretations of Paul, whether they are of the view that Paul has separated from Judaism wholesale, or differentiate as problematic one aspect of Judaism,</w:t>
      </w:r>
      <w:r>
        <w:rPr>
          <w:rStyle w:val="Endnotenzeichen"/>
          <w:rFonts w:cs="Times New Roman"/>
        </w:rPr>
        <w:endnoteReference w:id="35"/>
      </w:r>
      <w:r>
        <w:rPr>
          <w:rFonts w:cs="Times New Roman"/>
        </w:rPr>
        <w:t xml:space="preserve"> or whether they claim the identity of Israel for Christ-followers, all share the notion that there is something wrong with particular identities, or rather, to be precise, that there is something wrong with Jewish identity, including Paul’s Jewish identity. These approaches, albeit not identical with each other, share at a structural level the conflation/confusion of the universal scope of the message Paul proclaims with assimilation and sameness in terms of identity and practice.  </w:t>
      </w:r>
    </w:p>
    <w:p w14:paraId="473312E9" w14:textId="232775EC" w:rsidR="00E32707" w:rsidRDefault="00E32707" w:rsidP="00B44DEF">
      <w:pPr>
        <w:widowControl w:val="0"/>
        <w:autoSpaceDE w:val="0"/>
        <w:autoSpaceDN w:val="0"/>
        <w:adjustRightInd w:val="0"/>
        <w:spacing w:line="360" w:lineRule="auto"/>
        <w:rPr>
          <w:rFonts w:cs="Times New Roman"/>
        </w:rPr>
      </w:pPr>
      <w:r>
        <w:rPr>
          <w:rFonts w:cs="Times New Roman"/>
        </w:rPr>
        <w:t>Such perceptions are problematic also in light of gender perspectives. The ignoring, silencing or use of women in a derogatory way as the other (and of men who did not conform to dominating notions of masculinity) in androcentric theologies, over centuries resonates, certainly at a structural level, with the universalising notions of overcoming difference in some significant strands of Pauline interpretation. Although contemporary interpretation may be some distance away from advocating that in order for women to be saved they would have to become male</w:t>
      </w:r>
      <w:r>
        <w:rPr>
          <w:rStyle w:val="Endnotenzeichen"/>
          <w:rFonts w:cs="Times New Roman"/>
        </w:rPr>
        <w:endnoteReference w:id="36"/>
      </w:r>
      <w:r>
        <w:rPr>
          <w:rFonts w:cs="Times New Roman"/>
        </w:rPr>
        <w:t xml:space="preserve">, the general notion that in Christ all differences are overcome negates ethnic diversity as well as gender and other diversities among human beings. If boundaries between ‘Jew and Greek’ are supposed to be eradicated and their ethnic difference, including their respective traditions are </w:t>
      </w:r>
      <w:r w:rsidRPr="005C6110">
        <w:rPr>
          <w:rFonts w:cs="Times New Roman"/>
          <w:i/>
        </w:rPr>
        <w:t>adiaphora</w:t>
      </w:r>
      <w:r>
        <w:rPr>
          <w:rFonts w:cs="Times New Roman"/>
        </w:rPr>
        <w:t>, the same must apply to gender difference. If the analogy is considered carefully this means that the particular identity of men and of women needs to be overcome in that only the ‘third dimension’, their humanity, is actually relevant in Christ. In parallel to the perception that in Christ the difference between Jews and Greeks is overcome since they are all ‘one’ or ‘new’ in Christ, the difference between men and women would need to be seen as overcome in Christ too, since they are all ‘one new man’.</w:t>
      </w:r>
      <w:r>
        <w:rPr>
          <w:rStyle w:val="Endnotenzeichen"/>
          <w:rFonts w:cs="Times New Roman"/>
        </w:rPr>
        <w:endnoteReference w:id="37"/>
      </w:r>
      <w:r>
        <w:rPr>
          <w:rFonts w:cs="Times New Roman"/>
        </w:rPr>
        <w:t xml:space="preserve"> However, such a stance is hardly ever argued in New Testament interpretation and Paul does not seem to draw such a conclusion in Gal. 3:28 but clearly argues for the continued relevance of gender difference as his arguments in e.g. 1 Corinthians 11 demonstrate.  </w:t>
      </w:r>
    </w:p>
    <w:p w14:paraId="670ED438" w14:textId="77777777" w:rsidR="00E32707" w:rsidRDefault="00E32707" w:rsidP="00B44DEF">
      <w:pPr>
        <w:widowControl w:val="0"/>
        <w:autoSpaceDE w:val="0"/>
        <w:autoSpaceDN w:val="0"/>
        <w:adjustRightInd w:val="0"/>
        <w:spacing w:line="360" w:lineRule="auto"/>
        <w:rPr>
          <w:rFonts w:cs="Times New Roman"/>
        </w:rPr>
      </w:pPr>
      <w:r>
        <w:rPr>
          <w:rFonts w:cs="Times New Roman"/>
        </w:rPr>
        <w:t>Subsequent Christian tradition, however, continued to define the nature and function of women in Christ in the vein of the dominating androcentric discourses. In this perspective women were defined as the ‘other’, that which the ideal ‘man’ was not. Whoever did not cohere with this ideological perception was less than fully human, whether man or woman.</w:t>
      </w:r>
      <w:r>
        <w:rPr>
          <w:rStyle w:val="Endnotenzeichen"/>
          <w:rFonts w:cs="Times New Roman"/>
        </w:rPr>
        <w:endnoteReference w:id="38"/>
      </w:r>
      <w:r>
        <w:rPr>
          <w:rFonts w:cs="Times New Roman"/>
        </w:rPr>
        <w:t xml:space="preserve"> The supposed common humanity was the ideal of masculinity of the male dominating elite which declared this ideal to be actually universal.</w:t>
      </w:r>
      <w:r>
        <w:rPr>
          <w:rStyle w:val="Endnotenzeichen"/>
          <w:rFonts w:cs="Times New Roman"/>
        </w:rPr>
        <w:endnoteReference w:id="39"/>
      </w:r>
      <w:r>
        <w:rPr>
          <w:rFonts w:cs="Times New Roman"/>
        </w:rPr>
        <w:t xml:space="preserve"> </w:t>
      </w:r>
    </w:p>
    <w:p w14:paraId="30644F09" w14:textId="78E05551" w:rsidR="00E32707" w:rsidRDefault="00E32707" w:rsidP="00B44DEF">
      <w:pPr>
        <w:widowControl w:val="0"/>
        <w:autoSpaceDE w:val="0"/>
        <w:autoSpaceDN w:val="0"/>
        <w:adjustRightInd w:val="0"/>
        <w:spacing w:line="360" w:lineRule="auto"/>
        <w:rPr>
          <w:rFonts w:cs="Times New Roman"/>
        </w:rPr>
      </w:pPr>
      <w:r>
        <w:rPr>
          <w:rFonts w:cs="Times New Roman"/>
        </w:rPr>
        <w:t xml:space="preserve">In a structurally similar vein, the perception that in Christ ethnic differences are overcome, is a perception of those who eventually became the dominating force in the Christ-movement, that is, non-Jews. The true human being is not female, where as the true Christian is not Jewish. With regard to the latter, however, an exclusivist claim to the heritage of Israel is made. A universalising interpretation of Paul which advocates the overcoming of difference, and of Jewish difference in particular, as core to his gospel, results in parallel outcomes concerning the issue of ‘Jews and Greeks’ in Christ as well as concerning women and men in Christ.  </w:t>
      </w:r>
    </w:p>
    <w:p w14:paraId="1338EC55" w14:textId="44FFAF5D" w:rsidR="00E32707" w:rsidRDefault="00E32707" w:rsidP="00B44DEF">
      <w:pPr>
        <w:widowControl w:val="0"/>
        <w:autoSpaceDE w:val="0"/>
        <w:autoSpaceDN w:val="0"/>
        <w:adjustRightInd w:val="0"/>
        <w:spacing w:line="360" w:lineRule="auto"/>
        <w:rPr>
          <w:rFonts w:cs="Times New Roman"/>
        </w:rPr>
      </w:pPr>
      <w:r>
        <w:rPr>
          <w:rFonts w:cs="Times New Roman"/>
        </w:rPr>
        <w:t xml:space="preserve">  </w:t>
      </w:r>
    </w:p>
    <w:p w14:paraId="6E8EB214" w14:textId="113F4853" w:rsidR="00E32707" w:rsidRPr="003B301F" w:rsidRDefault="00E32707" w:rsidP="00DA30C7">
      <w:pPr>
        <w:widowControl w:val="0"/>
        <w:autoSpaceDE w:val="0"/>
        <w:autoSpaceDN w:val="0"/>
        <w:adjustRightInd w:val="0"/>
        <w:spacing w:line="360" w:lineRule="auto"/>
        <w:ind w:firstLine="708"/>
        <w:rPr>
          <w:rFonts w:cs="Times New Roman"/>
        </w:rPr>
      </w:pPr>
      <w:r>
        <w:rPr>
          <w:rFonts w:cs="Times New Roman"/>
        </w:rPr>
        <w:t>3.2. Israel and the Nations – Unity with a Difference</w:t>
      </w:r>
    </w:p>
    <w:p w14:paraId="73529768" w14:textId="77777777" w:rsidR="00E32707" w:rsidRDefault="00E32707" w:rsidP="00B44DEF">
      <w:pPr>
        <w:pStyle w:val="Listenabsatz"/>
        <w:widowControl w:val="0"/>
        <w:autoSpaceDE w:val="0"/>
        <w:autoSpaceDN w:val="0"/>
        <w:adjustRightInd w:val="0"/>
        <w:spacing w:line="360" w:lineRule="auto"/>
        <w:rPr>
          <w:rFonts w:cs="Times New Roman"/>
        </w:rPr>
      </w:pPr>
    </w:p>
    <w:p w14:paraId="4CA74EB7" w14:textId="1F419487" w:rsidR="00E32707" w:rsidRDefault="00E32707" w:rsidP="00B44DEF">
      <w:pPr>
        <w:spacing w:line="360" w:lineRule="auto"/>
        <w:rPr>
          <w:rFonts w:cs="Times New Roman"/>
        </w:rPr>
      </w:pPr>
      <w:r>
        <w:rPr>
          <w:rFonts w:cs="Times New Roman"/>
        </w:rPr>
        <w:t>Reading the Pauline letters as documents of first century Judaism and Paul’s theologizing as part of an intra-Jewish discourse</w:t>
      </w:r>
      <w:r>
        <w:rPr>
          <w:rStyle w:val="Endnotenzeichen"/>
          <w:rFonts w:cs="Times New Roman"/>
        </w:rPr>
        <w:endnoteReference w:id="40"/>
      </w:r>
      <w:r>
        <w:rPr>
          <w:rFonts w:cs="Times New Roman"/>
        </w:rPr>
        <w:t xml:space="preserve"> rather than as the documents of a former Jew</w:t>
      </w:r>
      <w:r>
        <w:rPr>
          <w:rStyle w:val="Endnotenzeichen"/>
          <w:rFonts w:cs="Times New Roman"/>
        </w:rPr>
        <w:endnoteReference w:id="41"/>
      </w:r>
      <w:r>
        <w:rPr>
          <w:rFonts w:cs="Times New Roman"/>
        </w:rPr>
        <w:t>, a marginal Jew</w:t>
      </w:r>
      <w:r>
        <w:rPr>
          <w:rStyle w:val="Endnotenzeichen"/>
          <w:rFonts w:cs="Times New Roman"/>
        </w:rPr>
        <w:t xml:space="preserve"> </w:t>
      </w:r>
      <w:r>
        <w:rPr>
          <w:rFonts w:cs="Times New Roman"/>
        </w:rPr>
        <w:t>or a Jewish apostate</w:t>
      </w:r>
      <w:r>
        <w:rPr>
          <w:rStyle w:val="Endnotenzeichen"/>
          <w:rFonts w:cs="Times New Roman"/>
        </w:rPr>
        <w:t xml:space="preserve"> </w:t>
      </w:r>
      <w:r>
        <w:rPr>
          <w:rFonts w:cs="Times New Roman"/>
        </w:rPr>
        <w:t xml:space="preserve">has wide-ranging implications.   It means that the contextuality and embodiment of human life are taken seriously. Paul is recognized as located in a particular context and tradition, imprinted with a habitus, which although mutable, is nevertheless durable. His perception of the world of his time as well as his life are seen as decisively shaped by Jewish tradition, that is, the particular tradition of a particular people at a particular time. </w:t>
      </w:r>
    </w:p>
    <w:p w14:paraId="0DB1DC61" w14:textId="038D453F" w:rsidR="00E32707" w:rsidRDefault="00E32707" w:rsidP="00B44DEF">
      <w:pPr>
        <w:spacing w:line="360" w:lineRule="auto"/>
      </w:pPr>
      <w:r>
        <w:rPr>
          <w:rFonts w:cs="Times New Roman"/>
        </w:rPr>
        <w:t>This is a tradition for which the recognition of the particular identity of peoples, that is differentiation within diversity, is core to their understanding of God’s good creation.</w:t>
      </w:r>
      <w:r>
        <w:rPr>
          <w:rStyle w:val="Endnotenzeichen"/>
          <w:rFonts w:cs="Times New Roman"/>
        </w:rPr>
        <w:endnoteReference w:id="42"/>
      </w:r>
      <w:r>
        <w:rPr>
          <w:rFonts w:cs="Times New Roman"/>
        </w:rPr>
        <w:t xml:space="preserve"> Paul’s insistence on the diversity of peoples to be maintained within the movement, that is, the retention of the difference between ‘circumcision and uncircumcision’ (1 Cor. 7:17-20) is rooted in the Jewish scriptural perception that Israel and the nations are different (e.g. Lev. 18:3-5) . Israel’s call to serve God establishes a specific bond between God and his people through the covenant. However, this does not isolate Israel in the world of other peoples. The genealogical narratives (Genesis 10) for instance indicate that in and with the particular bond between Israel and her God, there are inherent relations to other peoples, depicted in the form of kinship narratives (fictive or factual).</w:t>
      </w:r>
      <w:r>
        <w:rPr>
          <w:rStyle w:val="Endnotenzeichen"/>
          <w:rFonts w:cs="Times New Roman"/>
        </w:rPr>
        <w:endnoteReference w:id="43"/>
      </w:r>
      <w:r>
        <w:rPr>
          <w:rFonts w:cs="Times New Roman"/>
        </w:rPr>
        <w:t xml:space="preserve"> Difference and relatedness are not seen as being in contradiction with each other in Jewish tradition. This perception of the relationship between Israel and the nations is not always a happy one despite these inherent kinship ties, but visions of peaceful community between those who are and remain different are found in prophetic and other literature.  </w:t>
      </w:r>
      <w:r>
        <w:t xml:space="preserve">The particular relationship of God with this people, through election, covenant, and guidance through the Torah, and the perception of ‘the other’ as nevertheless part of God’s creation and divine economy, are not seen as being in contradiction with each other in significant trajectories of this tradition. Terry Donaldson has affirmed ‘Jews could not tell their own national story without reference to the other nations, and if perhaps it was possible to narrate the story in such a way that the nations functioned simply as a foil for Israel, the story itself contained at least latent questions about the relationship between these other nations and the God who created them.’ </w:t>
      </w:r>
      <w:r>
        <w:rPr>
          <w:rStyle w:val="Endnotenzeichen"/>
        </w:rPr>
        <w:endnoteReference w:id="44"/>
      </w:r>
      <w:r>
        <w:t xml:space="preserve"> </w:t>
      </w:r>
    </w:p>
    <w:p w14:paraId="611D4442" w14:textId="70885D1B" w:rsidR="00E32707" w:rsidRPr="00337E58" w:rsidRDefault="00E32707" w:rsidP="00B44DEF">
      <w:pPr>
        <w:spacing w:line="360" w:lineRule="auto"/>
      </w:pPr>
      <w:r>
        <w:t>There are numerous trajectories which envision non-Jews, rather than joining Israel, that is, a socio-ethnic group, through conversion, as joining themselves to the Lord as ‘others’. This differentiation is retained in visions of the future salvation.</w:t>
      </w:r>
      <w:r>
        <w:rPr>
          <w:rFonts w:cs="Times New Roman"/>
        </w:rPr>
        <w:t xml:space="preserve"> </w:t>
      </w:r>
      <w:r>
        <w:t xml:space="preserve">Thus e.g. in Zech. 2:11-12 </w:t>
      </w:r>
      <w:r w:rsidRPr="0001358B">
        <w:rPr>
          <w:rFonts w:ascii="Helvetica Neue Light" w:hAnsi="Helvetica Neue Light"/>
          <w:color w:val="4D4D4D"/>
        </w:rPr>
        <w:t xml:space="preserve"> </w:t>
      </w:r>
      <w:r>
        <w:rPr>
          <w:rFonts w:ascii="Helvetica Neue Light" w:hAnsi="Helvetica Neue Light"/>
          <w:color w:val="4D4D4D"/>
        </w:rPr>
        <w:t>‘</w:t>
      </w:r>
      <w:r w:rsidRPr="00950379">
        <w:t>Many nations (</w:t>
      </w:r>
      <w:r>
        <w:rPr>
          <w:i/>
          <w:lang w:bidi="he-IL"/>
        </w:rPr>
        <w:t>gojim</w:t>
      </w:r>
      <w:r w:rsidRPr="00950379">
        <w:rPr>
          <w:lang w:val="de-DE" w:bidi="he-IL"/>
        </w:rPr>
        <w:t xml:space="preserve"> - </w:t>
      </w:r>
      <w:r>
        <w:rPr>
          <w:rFonts w:cs="Times New Roman"/>
          <w:i/>
          <w:lang w:val="el-GR" w:bidi="he-IL"/>
        </w:rPr>
        <w:t>ethne</w:t>
      </w:r>
      <w:r w:rsidRPr="00950379">
        <w:rPr>
          <w:rFonts w:ascii="SBL Greek" w:hAnsi="SBL Greek"/>
          <w:lang w:val="de-DE" w:bidi="he-IL"/>
        </w:rPr>
        <w:t xml:space="preserve">) </w:t>
      </w:r>
      <w:r w:rsidRPr="00950379">
        <w:t>shall join themselves to the LORD on that day, and shall be my people; and I will dwell in your midst. And you shall know that the LORD of hosts has sent me to you. The LORD will inherit Judah as his portion in the holy land, and will again choose Jerusalem</w:t>
      </w:r>
      <w:r w:rsidRPr="00950379">
        <w:rPr>
          <w:rFonts w:ascii="Helvetica Neue Light" w:hAnsi="Helvetica Neue Light"/>
          <w:color w:val="4D4D4D"/>
        </w:rPr>
        <w:t>’</w:t>
      </w:r>
      <w:r w:rsidRPr="0001358B">
        <w:rPr>
          <w:rFonts w:ascii="Helvetica Neue Light" w:hAnsi="Helvetica Neue Light"/>
          <w:color w:val="4D4D4D"/>
        </w:rPr>
        <w:t xml:space="preserve"> </w:t>
      </w:r>
      <w:r>
        <w:t xml:space="preserve"> (similar traditions of a clear distinction between Israel and the nations can be found in Isa. 56:6; 2:3, Mica 4:2, Ezra 6:21).  </w:t>
      </w:r>
    </w:p>
    <w:p w14:paraId="19C72012" w14:textId="5149016E" w:rsidR="00E32707" w:rsidRDefault="00E32707" w:rsidP="0040787E">
      <w:pPr>
        <w:spacing w:line="360" w:lineRule="auto"/>
      </w:pPr>
      <w:r>
        <w:t>These people are not seen as becoming part of Israel, but they worship God as foreigners because God’s house is now a house of prayer for all peoples (Isa. 56:7).</w:t>
      </w:r>
      <w:r>
        <w:rPr>
          <w:rStyle w:val="Endnotenzeichen"/>
        </w:rPr>
        <w:endnoteReference w:id="45"/>
      </w:r>
      <w:r>
        <w:t xml:space="preserve"> There are traditions in these narratives which envision non-Jewish peoples joining in the </w:t>
      </w:r>
      <w:r>
        <w:rPr>
          <w:lang w:val="de-DE"/>
        </w:rPr>
        <w:t>praise</w:t>
      </w:r>
      <w:r>
        <w:t xml:space="preserve"> of the God of Israel without becoming members of the people Israel, that is, without becoming like them. Their alterity is preserved.</w:t>
      </w:r>
      <w:r>
        <w:rPr>
          <w:rStyle w:val="Endnotenzeichen"/>
        </w:rPr>
        <w:endnoteReference w:id="46"/>
      </w:r>
      <w:r>
        <w:t xml:space="preserve"> Trajectories of this scriptural tradition can be found in Second Temple literature as well. Whilst it is not always clear whether the distinction between Israel and the nations is envisaged as being retained in such eschatological visions, some texts clearly presuppose such a distinction, as e.g. </w:t>
      </w:r>
      <w:r w:rsidRPr="005C0317">
        <w:rPr>
          <w:i/>
        </w:rPr>
        <w:t>Test.Jud</w:t>
      </w:r>
      <w:r>
        <w:rPr>
          <w:i/>
        </w:rPr>
        <w:t>.</w:t>
      </w:r>
      <w:r>
        <w:t xml:space="preserve"> 25.5 ‘and the deer of Jacob shall run with gladness; the eagles of Israel shall fly with joy; the impious shall mourn and sinners shall weep, but all peoples (</w:t>
      </w:r>
      <w:r w:rsidRPr="00434B48">
        <w:rPr>
          <w:i/>
        </w:rPr>
        <w:t>ethne</w:t>
      </w:r>
      <w:r>
        <w:t xml:space="preserve">) shall glorify God forever.’ ( similar also </w:t>
      </w:r>
      <w:r w:rsidRPr="00725FE6">
        <w:rPr>
          <w:i/>
        </w:rPr>
        <w:t>Enoch</w:t>
      </w:r>
      <w:r>
        <w:t xml:space="preserve"> 90.30-38, </w:t>
      </w:r>
      <w:r w:rsidRPr="00725FE6">
        <w:rPr>
          <w:i/>
        </w:rPr>
        <w:t>PsS</w:t>
      </w:r>
      <w:r>
        <w:t xml:space="preserve"> 17.28;34; </w:t>
      </w:r>
      <w:r w:rsidRPr="00725FE6">
        <w:rPr>
          <w:i/>
        </w:rPr>
        <w:t>2 Bar.</w:t>
      </w:r>
      <w:r>
        <w:t>72.2-6,).  The distinctions between, and diversity of, nations/</w:t>
      </w:r>
      <w:r w:rsidRPr="00C65CBD">
        <w:rPr>
          <w:lang w:val="el-GR"/>
        </w:rPr>
        <w:t xml:space="preserve"> </w:t>
      </w:r>
      <w:r>
        <w:rPr>
          <w:i/>
          <w:lang w:val="el-GR"/>
        </w:rPr>
        <w:t>ethne</w:t>
      </w:r>
      <w:r>
        <w:t xml:space="preserve"> is maintained and so is their specific way of life, possibly including their way of relating to God. Whilst other traditions envisaged that the nations would abandon their traditions and ‘turn to honouring our laws alone’ (Philo, </w:t>
      </w:r>
      <w:r>
        <w:rPr>
          <w:i/>
        </w:rPr>
        <w:t>Mos.</w:t>
      </w:r>
      <w:r>
        <w:t>2.43-44), the Pauline insistence on the retention of  the particular identities of Israel and the nations is part of one of the diverse continuous trajectories of Jewish tradition from the scriptures to Second Temple literature which envisage the unity of Israel and the nations in their diversity.</w:t>
      </w:r>
      <w:r>
        <w:rPr>
          <w:rStyle w:val="Endnotenzeichen"/>
        </w:rPr>
        <w:endnoteReference w:id="47"/>
      </w:r>
      <w:r>
        <w:t xml:space="preserve"> It cannot be discerned precisely which specific traditions of this narrative were influential for Paul’s understanding of his call to the nations.  But it can hardly be envisaged that such traditions were not of some importance for his understanding of his call to bring about the obedience of faith among all the nations (Rom 1.5).</w:t>
      </w:r>
    </w:p>
    <w:p w14:paraId="44D85176" w14:textId="141CF258" w:rsidR="00E32707" w:rsidRPr="00A13C27" w:rsidRDefault="00E32707" w:rsidP="0040787E">
      <w:pPr>
        <w:spacing w:line="360" w:lineRule="auto"/>
      </w:pPr>
      <w:r>
        <w:t>Thus</w:t>
      </w:r>
      <w:r>
        <w:rPr>
          <w:rFonts w:cs="Times New Roman"/>
        </w:rPr>
        <w:t xml:space="preserve"> particularity is not considered a problem by Paul, something which needs to be overcome. The identity, values, and commitment of particular people, Jews, Greeks and barbarians, are not considered to be an obstacle for peace and reconciliation between people who are different, except that those from the nations have to ‘turn away from idols’ (1 Thess 1.9). Although the latter certainly had major implications at everyday level for those from the nations</w:t>
      </w:r>
      <w:r>
        <w:rPr>
          <w:rStyle w:val="Endnotenzeichen"/>
          <w:rFonts w:cs="Times New Roman"/>
        </w:rPr>
        <w:endnoteReference w:id="48"/>
      </w:r>
      <w:r>
        <w:rPr>
          <w:rFonts w:cs="Times New Roman"/>
        </w:rPr>
        <w:t>, Paul consistently and repeatedly insists that Jews and ‘gentiles’ retain their identity in Christ that they remain in the calling in which they were called (1 Cor 7.17).</w:t>
      </w:r>
      <w:r>
        <w:rPr>
          <w:rStyle w:val="Endnotenzeichen"/>
          <w:rFonts w:cs="Times New Roman"/>
        </w:rPr>
        <w:endnoteReference w:id="49"/>
      </w:r>
      <w:r>
        <w:rPr>
          <w:rFonts w:cs="Times New Roman"/>
        </w:rPr>
        <w:t xml:space="preserve"> </w:t>
      </w:r>
    </w:p>
    <w:p w14:paraId="6B743C08" w14:textId="4D08BF6D" w:rsidR="00E32707" w:rsidRPr="0040787E" w:rsidRDefault="00E32707" w:rsidP="0040787E">
      <w:pPr>
        <w:spacing w:line="360" w:lineRule="auto"/>
      </w:pPr>
      <w:r>
        <w:rPr>
          <w:rFonts w:cs="Times New Roman"/>
        </w:rPr>
        <w:t>It is a perception of unity with differs clearly from the prevalent perception of unity as enforced by imperial ideology, where acceptance and some respect by Rome for those who were different came at the price of assimilation to the way of life of the Roman (or Greek) elite.</w:t>
      </w:r>
      <w:r>
        <w:rPr>
          <w:rStyle w:val="Endnotenzeichen"/>
          <w:rFonts w:cs="Times New Roman"/>
        </w:rPr>
        <w:endnoteReference w:id="50"/>
      </w:r>
      <w:r>
        <w:rPr>
          <w:rFonts w:cs="Times New Roman"/>
        </w:rPr>
        <w:t xml:space="preserve">  Inherent to the recognition that Paul and the message he conveys are embedded in Judaism is the recognition of, and respect for, diversity and the different identities of Jews and non-Jews in Christ.</w:t>
      </w:r>
    </w:p>
    <w:p w14:paraId="652FFB96" w14:textId="2273D8D4" w:rsidR="00E32707" w:rsidRDefault="00E32707" w:rsidP="00B44DEF">
      <w:pPr>
        <w:widowControl w:val="0"/>
        <w:autoSpaceDE w:val="0"/>
        <w:autoSpaceDN w:val="0"/>
        <w:adjustRightInd w:val="0"/>
        <w:spacing w:line="360" w:lineRule="auto"/>
        <w:rPr>
          <w:rFonts w:cs="Times New Roman"/>
        </w:rPr>
      </w:pPr>
      <w:r>
        <w:rPr>
          <w:rFonts w:cs="Times New Roman"/>
        </w:rPr>
        <w:t>At the heart of the earliest Christ-movement, as in some traditions of Second Temple Judaism, there is thus not a hegemonic claim to sameness, but a recognition of unity and equality in difference. Neither Jew nor Greek have to assimilate to the identity of the other in order for unity and reconciliation to be possible in Christ. ‘Never to put a stumbling block or hindrance in the way of another’ (Rom.14:13) , not to injure one another (Rom.14:15) , but to accommodate to one another (Rom.15:2), and to welcome one another (Rom.15:7) are certainly not calls to assimilate to the identity of the other, and to become the same. The recognition and respect for the others in their difference is a pre-requisite for understanding, reconciliation and unity. Communication and community presuppose difference and plurality rather than sameness or uniformity.</w:t>
      </w:r>
      <w:r>
        <w:rPr>
          <w:rStyle w:val="Endnotenzeichen"/>
          <w:rFonts w:cs="Times New Roman"/>
        </w:rPr>
        <w:endnoteReference w:id="51"/>
      </w:r>
      <w:r>
        <w:rPr>
          <w:rFonts w:cs="Times New Roman"/>
        </w:rPr>
        <w:t xml:space="preserve"> Paul is trying to negotiate the recognition of ‘alterity’ in relation to non-Jews in Christ not at the expense of Jewish identity, but the opposite. Rather the particular identities of both are being affirmed positively. It is these that are the building blocks of the unity in Christ rather than their eradication.  </w:t>
      </w:r>
    </w:p>
    <w:p w14:paraId="7CD38CEB" w14:textId="206166A4" w:rsidR="00E32707" w:rsidRDefault="00E32707" w:rsidP="00B44DEF">
      <w:pPr>
        <w:widowControl w:val="0"/>
        <w:autoSpaceDE w:val="0"/>
        <w:autoSpaceDN w:val="0"/>
        <w:adjustRightInd w:val="0"/>
        <w:spacing w:line="360" w:lineRule="auto"/>
        <w:rPr>
          <w:rFonts w:cs="Times New Roman"/>
        </w:rPr>
      </w:pPr>
      <w:r>
        <w:rPr>
          <w:rFonts w:cs="Times New Roman"/>
        </w:rPr>
        <w:t xml:space="preserve">Such a recognition cannot be merely claimed for the Christ-followers from the nations, since they are not required to become Jews, and remain the ‘uncircumcision’, but must also apply to the Jews who are not to become non-Jews, but remain the ‘circumcision’. The recognition of Paul’s Jewishness is the recognition of particularity. It means to recognise that there is no such phenomenon as a universal human being in this earthly existence, there are only particular human beings in particular places at specific moments in time. Such particularity is claimed and positively asserted within Jewish tradition. As such the recognition of Paul’s Jewishness should be a decisive aspect in any approaches which try to overcome universalising hegemonic tendencies in contemporary interpretation, including in gender-critical approaches. </w:t>
      </w:r>
    </w:p>
    <w:p w14:paraId="487C5DC4" w14:textId="0D139264" w:rsidR="00E32707" w:rsidRDefault="00E32707" w:rsidP="00B44DEF">
      <w:pPr>
        <w:widowControl w:val="0"/>
        <w:autoSpaceDE w:val="0"/>
        <w:autoSpaceDN w:val="0"/>
        <w:adjustRightInd w:val="0"/>
        <w:spacing w:line="360" w:lineRule="auto"/>
        <w:rPr>
          <w:rFonts w:cs="Times New Roman"/>
        </w:rPr>
      </w:pPr>
      <w:r>
        <w:rPr>
          <w:rFonts w:cs="Times New Roman"/>
        </w:rPr>
        <w:t>As I have argued above, the universalising tendencies in interpretation not only denied recognition to Jewish identity but also continued to legitimize androcentric gender perceptions in that the ideal generic human being was conceptualized according to a dominating elitist template of masculinity.</w:t>
      </w:r>
      <w:r>
        <w:rPr>
          <w:rStyle w:val="Endnotenzeichen"/>
          <w:rFonts w:cs="Times New Roman"/>
        </w:rPr>
        <w:endnoteReference w:id="52"/>
      </w:r>
      <w:r>
        <w:rPr>
          <w:rFonts w:cs="Times New Roman"/>
        </w:rPr>
        <w:t xml:space="preserve"> Those who did not conform to this image, whether men or women, would not be granted equal respect, as their difference was considered a hindrance to full humanity. This universalization of a particular male ideal had detrimental effects for women, and for peoples who eventually became subject to European colonisation, as well as for men who did not conform to this image of masculinity. The universalization of a particular image of men as representing humanity as such imposed assimilation on those who were different or exposed them to contempt and humiliation. </w:t>
      </w:r>
    </w:p>
    <w:p w14:paraId="6E91B5C0" w14:textId="77777777" w:rsidR="00E32707" w:rsidRDefault="00E32707" w:rsidP="00B44DEF">
      <w:pPr>
        <w:widowControl w:val="0"/>
        <w:autoSpaceDE w:val="0"/>
        <w:autoSpaceDN w:val="0"/>
        <w:adjustRightInd w:val="0"/>
        <w:spacing w:line="360" w:lineRule="auto"/>
        <w:rPr>
          <w:rFonts w:cs="Times New Roman"/>
        </w:rPr>
      </w:pPr>
      <w:r>
        <w:rPr>
          <w:rFonts w:cs="Times New Roman"/>
        </w:rPr>
        <w:t xml:space="preserve">The recognition of particularity as being at the centre of the Christ-movement is thus an important step in light of a gender-critical perspective. </w:t>
      </w:r>
    </w:p>
    <w:p w14:paraId="5CF23D1B" w14:textId="521706CB" w:rsidR="00E32707" w:rsidRDefault="00E32707" w:rsidP="00B44DEF">
      <w:pPr>
        <w:widowControl w:val="0"/>
        <w:autoSpaceDE w:val="0"/>
        <w:autoSpaceDN w:val="0"/>
        <w:adjustRightInd w:val="0"/>
        <w:spacing w:line="360" w:lineRule="auto"/>
        <w:rPr>
          <w:rFonts w:cs="Times New Roman"/>
        </w:rPr>
      </w:pPr>
      <w:r>
        <w:rPr>
          <w:rFonts w:cs="Times New Roman"/>
        </w:rPr>
        <w:t xml:space="preserve"> </w:t>
      </w:r>
    </w:p>
    <w:p w14:paraId="45FAAE0E" w14:textId="6D4F9666" w:rsidR="00E32707" w:rsidRPr="0040787E" w:rsidRDefault="00E32707" w:rsidP="0018671D">
      <w:pPr>
        <w:widowControl w:val="0"/>
        <w:autoSpaceDE w:val="0"/>
        <w:autoSpaceDN w:val="0"/>
        <w:adjustRightInd w:val="0"/>
        <w:spacing w:line="360" w:lineRule="auto"/>
        <w:ind w:firstLine="708"/>
        <w:rPr>
          <w:rFonts w:cs="Times New Roman"/>
        </w:rPr>
      </w:pPr>
      <w:r>
        <w:rPr>
          <w:rFonts w:cs="Times New Roman"/>
        </w:rPr>
        <w:t xml:space="preserve">3.3 </w:t>
      </w:r>
      <w:r w:rsidRPr="0040787E">
        <w:rPr>
          <w:rFonts w:cs="Times New Roman"/>
        </w:rPr>
        <w:t>The Recognition of Particularity – Insights from Gender Studies</w:t>
      </w:r>
    </w:p>
    <w:p w14:paraId="3CF42A59" w14:textId="77777777" w:rsidR="00E32707" w:rsidRPr="009B1492" w:rsidRDefault="00E32707" w:rsidP="00B44DEF">
      <w:pPr>
        <w:pStyle w:val="Listenabsatz"/>
        <w:widowControl w:val="0"/>
        <w:autoSpaceDE w:val="0"/>
        <w:autoSpaceDN w:val="0"/>
        <w:adjustRightInd w:val="0"/>
        <w:spacing w:line="360" w:lineRule="auto"/>
        <w:rPr>
          <w:rFonts w:cs="Times New Roman"/>
        </w:rPr>
      </w:pPr>
    </w:p>
    <w:p w14:paraId="7E097B4F" w14:textId="4FC8E057" w:rsidR="00E32707" w:rsidRDefault="00E32707" w:rsidP="00B44DEF">
      <w:pPr>
        <w:widowControl w:val="0"/>
        <w:autoSpaceDE w:val="0"/>
        <w:autoSpaceDN w:val="0"/>
        <w:adjustRightInd w:val="0"/>
        <w:spacing w:line="360" w:lineRule="auto"/>
        <w:rPr>
          <w:rFonts w:cs="Times New Roman"/>
        </w:rPr>
      </w:pPr>
      <w:r>
        <w:rPr>
          <w:rFonts w:cs="Times New Roman"/>
        </w:rPr>
        <w:t>In contemporary contexts the implications drawn from the recognition of Paul’s Jewishness including the recognition of particularity and diversity at the heart of his theologizing can in my view be extended to issues concerning gender questions. It includes the recognition of the particularity of human beings per se, in the vein Hannah Arendt has formulated ‘Plurality is the condition of human action because we are all the same, that is, human, in such a way that nobody is ever the same as anyone else who ever lived, lives, or will live.’</w:t>
      </w:r>
      <w:r>
        <w:rPr>
          <w:rStyle w:val="Endnotenzeichen"/>
          <w:rFonts w:cs="Times New Roman"/>
        </w:rPr>
        <w:endnoteReference w:id="53"/>
      </w:r>
      <w:r>
        <w:rPr>
          <w:rFonts w:cs="Times New Roman"/>
        </w:rPr>
        <w:t xml:space="preserve"> The social, historical, cultural, linguistic imprints of our contexts are durable dimensions of what it means to be human, and they include gender as well as other dimensions of our identity. I am not arguing an essentialist or individualistic stance here. I consider culture and social location as constructed not in an individualistic sense but in a corporate sense, which means that individuals are born into existing cultures and societies, nurtured and corporately formed in a relational web which contributes to the formation of the ‘habitus’. </w:t>
      </w:r>
      <w:r>
        <w:rPr>
          <w:rStyle w:val="Endnotenzeichen"/>
          <w:rFonts w:cs="Times New Roman"/>
        </w:rPr>
        <w:endnoteReference w:id="54"/>
      </w:r>
      <w:r>
        <w:rPr>
          <w:rFonts w:cs="Times New Roman"/>
        </w:rPr>
        <w:t xml:space="preserve"> Thus, men and women are socially conditioned in particular ways in action, reaction, and interaction in and with their contexts and continue to be so in their respective walks of life. </w:t>
      </w:r>
      <w:r>
        <w:rPr>
          <w:rStyle w:val="Endnotenzeichen"/>
          <w:rFonts w:cs="Times New Roman"/>
        </w:rPr>
        <w:endnoteReference w:id="55"/>
      </w:r>
      <w:r>
        <w:rPr>
          <w:rFonts w:cs="Times New Roman"/>
        </w:rPr>
        <w:t xml:space="preserve">  </w:t>
      </w:r>
    </w:p>
    <w:p w14:paraId="3AF8CB1D" w14:textId="5BE5DCE0" w:rsidR="00E32707" w:rsidRDefault="00E32707" w:rsidP="00B44DEF">
      <w:pPr>
        <w:widowControl w:val="0"/>
        <w:autoSpaceDE w:val="0"/>
        <w:autoSpaceDN w:val="0"/>
        <w:adjustRightInd w:val="0"/>
        <w:spacing w:line="360" w:lineRule="auto"/>
        <w:rPr>
          <w:rFonts w:cs="Times New Roman"/>
        </w:rPr>
      </w:pPr>
      <w:r>
        <w:rPr>
          <w:rFonts w:cs="Times New Roman"/>
        </w:rPr>
        <w:t>Largely through the influence of gender studies the recognition of the embodied dimension of human beings has moved into the focus of attention in the social sciences and humanities.</w:t>
      </w:r>
      <w:r>
        <w:rPr>
          <w:rStyle w:val="Endnotenzeichen"/>
          <w:rFonts w:cs="Times New Roman"/>
        </w:rPr>
        <w:endnoteReference w:id="56"/>
      </w:r>
      <w:r>
        <w:rPr>
          <w:rFonts w:cs="Times New Roman"/>
        </w:rPr>
        <w:t xml:space="preserve"> Krais is of the view that Bourdieu’s concept of habitus provides the tool for ‘a systematic, analytical approach to the fundamental </w:t>
      </w:r>
      <w:r>
        <w:rPr>
          <w:rFonts w:cs="Times New Roman"/>
          <w:i/>
        </w:rPr>
        <w:t>bodiliness</w:t>
      </w:r>
      <w:r>
        <w:rPr>
          <w:rFonts w:cs="Times New Roman"/>
        </w:rPr>
        <w:t xml:space="preserve"> of human action.’</w:t>
      </w:r>
      <w:r>
        <w:rPr>
          <w:rStyle w:val="Endnotenzeichen"/>
          <w:rFonts w:cs="Times New Roman"/>
        </w:rPr>
        <w:endnoteReference w:id="57"/>
      </w:r>
      <w:r>
        <w:rPr>
          <w:rFonts w:cs="Times New Roman"/>
        </w:rPr>
        <w:t xml:space="preserve"> The body is a repository for social experience, constituting an essential part of the ‘habitus’</w:t>
      </w:r>
      <w:r>
        <w:rPr>
          <w:rStyle w:val="Endnotenzeichen"/>
          <w:rFonts w:cs="Times New Roman"/>
        </w:rPr>
        <w:endnoteReference w:id="58"/>
      </w:r>
      <w:r>
        <w:rPr>
          <w:rFonts w:cs="Times New Roman"/>
        </w:rPr>
        <w:t xml:space="preserve"> and as such it enacts what has been learned, ‘bringing it back to life. What is “learned by the body” is not something one has, like knowledge…but something that one is.’</w:t>
      </w:r>
      <w:r>
        <w:rPr>
          <w:rStyle w:val="Endnotenzeichen"/>
          <w:rFonts w:cs="Times New Roman"/>
        </w:rPr>
        <w:endnoteReference w:id="59"/>
      </w:r>
      <w:r>
        <w:rPr>
          <w:rFonts w:cs="Times New Roman"/>
        </w:rPr>
        <w:t xml:space="preserve"> Such learning is mediated in particular social contexts, is being shaped by, and also contributing to shaping these. Bourdieu thus argues that ‘the subject is not the instantaneous </w:t>
      </w:r>
      <w:r>
        <w:rPr>
          <w:rFonts w:cs="Times New Roman"/>
          <w:i/>
        </w:rPr>
        <w:t xml:space="preserve">ego </w:t>
      </w:r>
      <w:r>
        <w:rPr>
          <w:rFonts w:cs="Times New Roman"/>
        </w:rPr>
        <w:t xml:space="preserve">of a sort of individual </w:t>
      </w:r>
      <w:r>
        <w:rPr>
          <w:rFonts w:cs="Times New Roman"/>
          <w:i/>
        </w:rPr>
        <w:t>cogito</w:t>
      </w:r>
      <w:r>
        <w:rPr>
          <w:rFonts w:cs="Times New Roman"/>
        </w:rPr>
        <w:t>, but the individual trace of an entire collective history.’</w:t>
      </w:r>
      <w:r>
        <w:rPr>
          <w:rStyle w:val="Endnotenzeichen"/>
          <w:rFonts w:cs="Times New Roman"/>
        </w:rPr>
        <w:endnoteReference w:id="60"/>
      </w:r>
      <w:r>
        <w:rPr>
          <w:rFonts w:cs="Times New Roman"/>
        </w:rPr>
        <w:t xml:space="preserve"> This collective contextuality is permeated by the omnipresence of gender in all social interactions and processes. In as much as there is no human existence apart from particular ethnic, linguistic and cultural context, there is no human existence in a non-gendered form. However, this does not mean the same for everyone but should rather be considered in the vein of ‘variations of a theme’.</w:t>
      </w:r>
      <w:r>
        <w:rPr>
          <w:rStyle w:val="Endnotenzeichen"/>
          <w:rFonts w:cs="Times New Roman"/>
        </w:rPr>
        <w:endnoteReference w:id="61"/>
      </w:r>
      <w:r>
        <w:rPr>
          <w:rFonts w:cs="Times New Roman"/>
        </w:rPr>
        <w:t xml:space="preserve"> Without resorting to essentialized or biological notions of gender in terms of characteristics, roles, or sexuality, the social and contextual dimension of human existence includes the embodiment of gender in various ways. Gender is not an abstraction but always concrete and thus particular, embodied or ‘inhabited’ by men and women in particular ways within the contexts of their societies, who creatively shape, and are shaped by, this embodiment in interaction with other ‘players’ in the multiple social fields of societies. Implicit to this recognition is the insight of the particularity of human existence. </w:t>
      </w:r>
    </w:p>
    <w:p w14:paraId="6A310F32" w14:textId="6EAC71E6" w:rsidR="00E32707" w:rsidRDefault="00E32707" w:rsidP="00B44DEF">
      <w:pPr>
        <w:widowControl w:val="0"/>
        <w:autoSpaceDE w:val="0"/>
        <w:autoSpaceDN w:val="0"/>
        <w:adjustRightInd w:val="0"/>
        <w:spacing w:line="360" w:lineRule="auto"/>
        <w:rPr>
          <w:rFonts w:cs="Times New Roman"/>
        </w:rPr>
      </w:pPr>
      <w:r>
        <w:rPr>
          <w:rFonts w:cs="Times New Roman"/>
        </w:rPr>
        <w:t xml:space="preserve"> An analogy can be drawn between the universalization of the image of the so-called ideal elite man as the template for being human, and the universalization of the non-Jewish way of life as the one and only way of life in Christ. Both are universalizations of particulars and thus are discourses of assimilating domination. To declare a particular embodiment or way of life universal means to ignore, eradicate or delegitimize any other form or way of life, not just at the level of linguistic discourse but in actual reality. The contempt and at times violent oppression of women, Jews, non-elite men, and gay and lesbians are expressions of similar efficacies of universalising notions and practices.  </w:t>
      </w:r>
    </w:p>
    <w:p w14:paraId="026A87A3" w14:textId="197E1CA2" w:rsidR="00E32707" w:rsidRDefault="00E32707" w:rsidP="008067CD">
      <w:pPr>
        <w:widowControl w:val="0"/>
        <w:autoSpaceDE w:val="0"/>
        <w:autoSpaceDN w:val="0"/>
        <w:adjustRightInd w:val="0"/>
        <w:spacing w:line="360" w:lineRule="auto"/>
        <w:rPr>
          <w:rFonts w:cs="Times New Roman"/>
        </w:rPr>
      </w:pPr>
      <w:r>
        <w:rPr>
          <w:rFonts w:cs="Times New Roman"/>
        </w:rPr>
        <w:t>The recognition of Paul, and his theologizing as Jewish has significant implications in light of gender-critical perspectives as it resonates with the latters’ emphasis on embodiment and the particularity of human experiences, practices and perceptions. Paul himself did not draw out implications of his emphasis on the retention of particular identities in Christ in relation to gender. This seemed to have been beyond his horizon. He was concerned about relationships between ethnically different peoples as constitutive of messianic communities. In order for particularity not to disintegrate into factionalism or superiority claims based on difference, the notion of equality is central in his theologizing. And although Paul does not apply his respective guidance explicitly to gender relations, there is no reason to not include these by analogy. Paul’s stance against boasting can be seen as a test case in this regard.</w:t>
      </w:r>
    </w:p>
    <w:p w14:paraId="13896897" w14:textId="77777777" w:rsidR="00E32707" w:rsidRPr="008067CD" w:rsidRDefault="00E32707" w:rsidP="008067CD">
      <w:pPr>
        <w:widowControl w:val="0"/>
        <w:autoSpaceDE w:val="0"/>
        <w:autoSpaceDN w:val="0"/>
        <w:adjustRightInd w:val="0"/>
        <w:spacing w:line="360" w:lineRule="auto"/>
        <w:rPr>
          <w:rFonts w:cs="Times New Roman"/>
        </w:rPr>
      </w:pPr>
    </w:p>
    <w:p w14:paraId="4BE2356E" w14:textId="77777777" w:rsidR="00E32707" w:rsidRDefault="00E32707" w:rsidP="00B44DEF">
      <w:pPr>
        <w:widowControl w:val="0"/>
        <w:autoSpaceDE w:val="0"/>
        <w:autoSpaceDN w:val="0"/>
        <w:adjustRightInd w:val="0"/>
        <w:spacing w:line="360" w:lineRule="auto"/>
        <w:rPr>
          <w:rFonts w:cs="Times New Roman"/>
        </w:rPr>
      </w:pPr>
    </w:p>
    <w:p w14:paraId="727B64A2" w14:textId="36BB3A30" w:rsidR="00E32707" w:rsidRDefault="00E32707" w:rsidP="00B44DEF">
      <w:pPr>
        <w:widowControl w:val="0"/>
        <w:autoSpaceDE w:val="0"/>
        <w:autoSpaceDN w:val="0"/>
        <w:adjustRightInd w:val="0"/>
        <w:spacing w:line="360" w:lineRule="auto"/>
        <w:rPr>
          <w:rFonts w:cs="Times New Roman"/>
        </w:rPr>
      </w:pPr>
      <w:r>
        <w:rPr>
          <w:rFonts w:cs="Times New Roman"/>
        </w:rPr>
        <w:t xml:space="preserve"> </w:t>
      </w:r>
    </w:p>
    <w:p w14:paraId="02D090B8" w14:textId="3C0D5555" w:rsidR="00E32707" w:rsidRDefault="00E32707" w:rsidP="00EF4792">
      <w:pPr>
        <w:pStyle w:val="Listenabsatz"/>
        <w:widowControl w:val="0"/>
        <w:numPr>
          <w:ilvl w:val="1"/>
          <w:numId w:val="2"/>
        </w:numPr>
        <w:autoSpaceDE w:val="0"/>
        <w:autoSpaceDN w:val="0"/>
        <w:adjustRightInd w:val="0"/>
        <w:spacing w:line="360" w:lineRule="auto"/>
        <w:rPr>
          <w:rFonts w:cs="Times New Roman"/>
        </w:rPr>
      </w:pPr>
      <w:r w:rsidRPr="00720838">
        <w:rPr>
          <w:rFonts w:cs="Times New Roman"/>
        </w:rPr>
        <w:t>Equality with a Difference</w:t>
      </w:r>
    </w:p>
    <w:p w14:paraId="164C8BAF" w14:textId="77777777" w:rsidR="00E32707" w:rsidRDefault="00E32707" w:rsidP="00B44DEF">
      <w:pPr>
        <w:pStyle w:val="Listenabsatz"/>
        <w:widowControl w:val="0"/>
        <w:autoSpaceDE w:val="0"/>
        <w:autoSpaceDN w:val="0"/>
        <w:adjustRightInd w:val="0"/>
        <w:spacing w:line="360" w:lineRule="auto"/>
        <w:rPr>
          <w:rFonts w:cs="Times New Roman"/>
        </w:rPr>
      </w:pPr>
    </w:p>
    <w:p w14:paraId="015B0192" w14:textId="0CEB992B" w:rsidR="00E32707" w:rsidRPr="001915CC" w:rsidRDefault="00E32707" w:rsidP="00B44DEF">
      <w:pPr>
        <w:widowControl w:val="0"/>
        <w:autoSpaceDE w:val="0"/>
        <w:autoSpaceDN w:val="0"/>
        <w:adjustRightInd w:val="0"/>
        <w:spacing w:line="360" w:lineRule="auto"/>
        <w:rPr>
          <w:rFonts w:cs="Times New Roman"/>
        </w:rPr>
      </w:pPr>
      <w:r>
        <w:rPr>
          <w:rFonts w:cs="Times New Roman"/>
          <w:lang w:val="el-GR"/>
        </w:rPr>
        <w:t>It is evident that Paul has a clear stance when it comes to expressions of superiority and humiliating behaviour within the Christ-following communities.</w:t>
      </w:r>
      <w:r>
        <w:rPr>
          <w:rStyle w:val="Endnotenzeichen"/>
          <w:rFonts w:cs="Times New Roman"/>
          <w:lang w:val="el-GR"/>
        </w:rPr>
        <w:endnoteReference w:id="62"/>
      </w:r>
      <w:r>
        <w:rPr>
          <w:rFonts w:cs="Times New Roman"/>
          <w:lang w:val="el-GR"/>
        </w:rPr>
        <w:t xml:space="preserve"> </w:t>
      </w:r>
      <w:r>
        <w:rPr>
          <w:rFonts w:cs="Times New Roman"/>
        </w:rPr>
        <w:t xml:space="preserve">Although </w:t>
      </w:r>
      <w:r w:rsidRPr="006C7021">
        <w:rPr>
          <w:rFonts w:cs="Times New Roman"/>
        </w:rPr>
        <w:t>Paul</w:t>
      </w:r>
      <w:r>
        <w:rPr>
          <w:rFonts w:cs="Times New Roman"/>
        </w:rPr>
        <w:t xml:space="preserve"> clearly</w:t>
      </w:r>
      <w:r w:rsidRPr="006C7021">
        <w:rPr>
          <w:rFonts w:cs="Times New Roman"/>
        </w:rPr>
        <w:t xml:space="preserve"> emphasis</w:t>
      </w:r>
      <w:r>
        <w:rPr>
          <w:rFonts w:cs="Times New Roman"/>
        </w:rPr>
        <w:t xml:space="preserve">es </w:t>
      </w:r>
      <w:r w:rsidRPr="006C7021">
        <w:rPr>
          <w:rFonts w:cs="Times New Roman"/>
        </w:rPr>
        <w:t>the retention of Jewish and ‘gentile’ identity in Christ</w:t>
      </w:r>
      <w:r>
        <w:rPr>
          <w:rFonts w:cs="Times New Roman"/>
        </w:rPr>
        <w:t xml:space="preserve">, this is not an argument for negative stereotyping or any superiority claim by either of them. The particularity of ‘Jew and Greek’ goes hand in hand with the emphasis on their equality in Christ. </w:t>
      </w:r>
      <w:r>
        <w:rPr>
          <w:rFonts w:cs="Times New Roman"/>
          <w:lang w:val="el-GR"/>
        </w:rPr>
        <w:t xml:space="preserve"> Neither Jews nor Christ-followers from the nations have any reason to boast over against each other (Rom. 2:   11,17) . The only acceptable boasting in this movement is ‘in the Lord’ (1 Cor. 1:31, Jer. 9:23). It could be argued that this is merely another way of expressing superiority claims, and that by boasting in the Lord Paul claims authority and domination over the communites he had founded. It is possible to read respective passages in that vein.</w:t>
      </w:r>
      <w:r>
        <w:rPr>
          <w:rStyle w:val="Endnotenzeichen"/>
          <w:rFonts w:cs="Times New Roman"/>
          <w:lang w:val="el-GR"/>
        </w:rPr>
        <w:endnoteReference w:id="63"/>
      </w:r>
      <w:r>
        <w:rPr>
          <w:rFonts w:cs="Times New Roman"/>
          <w:lang w:val="el-GR"/>
        </w:rPr>
        <w:t xml:space="preserve"> But the Lord Paul refers to here is not one of the heroes of Greek and Roman tradition but a God, who taught Israel to walk and who lifted them like an infant to his cheek (Hos. 11:1-11), who called Israel, and now through Christ also calls those from the nations into a relationship with him, and does not force them into a connection with him in a dominating way. This indicates that ‘boasting in the Lord’ can hardly have anything to do with superiority claims or an exercise of power in a dominating way. In order to teach a child to walk nothing but tender-loving care and encouragement will help the child to trust in a steadfast, supportive hand and eventually in his/her ability to walk. To respond to the call of this God means to live a way of life which corresponds to the One who called. It is a God who reminds his people that he freed them from slavery, which obliges them to care for those who are vulnerable in the community (Dtn. 24:17-18; Dtn. 10:18-19). Paul’s Jewish tradition presents alternative perceptions to Greek and Roman notions of the use of dominating power.</w:t>
      </w:r>
      <w:r>
        <w:rPr>
          <w:rStyle w:val="Endnotenzeichen"/>
          <w:rFonts w:cs="Times New Roman"/>
          <w:lang w:val="el-GR"/>
        </w:rPr>
        <w:endnoteReference w:id="64"/>
      </w:r>
      <w:r>
        <w:rPr>
          <w:rFonts w:cs="Times New Roman"/>
          <w:lang w:val="el-GR"/>
        </w:rPr>
        <w:t xml:space="preserve"> There is a discourse of empowerment at the heart of this tradition, a discourse of trust in a God who hears the cries of those in need (Ex. 2:23-25; 3:7-9; Pss. 3:4; 9:12;22:5;32:7;99:6;106:44;145:19; 1 Kgs. 8:51-53; Neh. 9:9; Isa. 19:20; 65:19 etc) ). This tradition was alive in Second Temple Judaism in various forms, as is evident e.g. in clear echoes of the Exodus passages in </w:t>
      </w:r>
      <w:r w:rsidRPr="00E32707">
        <w:rPr>
          <w:rFonts w:cs="Times New Roman"/>
          <w:i/>
          <w:lang w:val="el-GR"/>
        </w:rPr>
        <w:t>1 Enoch</w:t>
      </w:r>
      <w:r>
        <w:rPr>
          <w:rFonts w:cs="Times New Roman"/>
          <w:lang w:val="el-GR"/>
        </w:rPr>
        <w:t xml:space="preserve"> 86.16ff., or when Philo’s tells of Moses and Aaron that they </w:t>
      </w:r>
      <w:r>
        <w:rPr>
          <w:rFonts w:cs="Times New Roman"/>
        </w:rPr>
        <w:t>told the people</w:t>
      </w:r>
      <w:r w:rsidRPr="001915CC">
        <w:rPr>
          <w:rFonts w:cs="Times New Roman"/>
        </w:rPr>
        <w:t xml:space="preserve"> </w:t>
      </w:r>
      <w:r>
        <w:rPr>
          <w:rFonts w:cs="Times New Roman"/>
        </w:rPr>
        <w:t>‘</w:t>
      </w:r>
      <w:r w:rsidRPr="001915CC">
        <w:rPr>
          <w:rFonts w:cs="Times New Roman"/>
        </w:rPr>
        <w:t>how God had conceived pity and compassion for them, promised them freedom and a departure from thence to a better country, promising also that he himself would be their guide on their road</w:t>
      </w:r>
      <w:r w:rsidRPr="001915CC">
        <w:rPr>
          <w:rFonts w:ascii="Helvetica Neue Light" w:hAnsi="Helvetica Neue Light" w:cs="Helvetica Neue Light"/>
          <w:color w:val="848484"/>
          <w:sz w:val="26"/>
          <w:szCs w:val="26"/>
        </w:rPr>
        <w:t>.’ (</w:t>
      </w:r>
      <w:r w:rsidRPr="001915CC">
        <w:rPr>
          <w:rFonts w:cs="Times New Roman"/>
          <w:i/>
        </w:rPr>
        <w:t>Mos.</w:t>
      </w:r>
      <w:r w:rsidRPr="001915CC">
        <w:rPr>
          <w:rFonts w:cs="Times New Roman"/>
        </w:rPr>
        <w:t xml:space="preserve">1.86). Josephus has Moses admonished to travel back to Egypt without delay,  ‘but to make haste to </w:t>
      </w:r>
      <w:r w:rsidRPr="001915CC">
        <w:rPr>
          <w:rFonts w:cs="Times New Roman"/>
          <w:bCs/>
        </w:rPr>
        <w:t>Egypt</w:t>
      </w:r>
      <w:r w:rsidRPr="001915CC">
        <w:rPr>
          <w:rFonts w:cs="Times New Roman"/>
        </w:rPr>
        <w:t>, and to travel night and day, and not to draw out the time, and so make the slavery of the Hebrews and their sufferings to last the longer.’ (</w:t>
      </w:r>
      <w:r w:rsidRPr="001915CC">
        <w:rPr>
          <w:rFonts w:cs="Times New Roman"/>
          <w:i/>
        </w:rPr>
        <w:t>Ant.</w:t>
      </w:r>
      <w:r w:rsidRPr="001915CC">
        <w:rPr>
          <w:rFonts w:cs="Times New Roman"/>
        </w:rPr>
        <w:t>2.274).</w:t>
      </w:r>
      <w:r w:rsidRPr="001915CC">
        <w:rPr>
          <w:rFonts w:ascii="Helvetica Neue Light" w:hAnsi="Helvetica Neue Light" w:cs="Helvetica Neue Light"/>
          <w:color w:val="848484"/>
          <w:sz w:val="26"/>
          <w:szCs w:val="26"/>
        </w:rPr>
        <w:t xml:space="preserve"> </w:t>
      </w:r>
      <w:r w:rsidRPr="001915CC">
        <w:rPr>
          <w:rFonts w:cs="Times New Roman"/>
        </w:rPr>
        <w:t xml:space="preserve">And according to the book of Judith the prayers of the people in distress are heard ‘The Lord </w:t>
      </w:r>
      <w:r w:rsidRPr="001915CC">
        <w:rPr>
          <w:rFonts w:cs="Times New Roman"/>
          <w:bCs/>
        </w:rPr>
        <w:t>heard</w:t>
      </w:r>
      <w:r w:rsidRPr="001915CC">
        <w:rPr>
          <w:rFonts w:cs="Times New Roman"/>
          <w:b/>
          <w:bCs/>
        </w:rPr>
        <w:t xml:space="preserve"> </w:t>
      </w:r>
      <w:r w:rsidRPr="001915CC">
        <w:rPr>
          <w:rFonts w:cs="Times New Roman"/>
        </w:rPr>
        <w:t xml:space="preserve">their prayers and had regard for their distress; for the people fasted many days throughout Judea and in Jerusalem before the sanctuary of the Lord Almighty’ (Jdt </w:t>
      </w:r>
      <w:r>
        <w:rPr>
          <w:rFonts w:cs="Times New Roman"/>
        </w:rPr>
        <w:t>.4:</w:t>
      </w:r>
      <w:r w:rsidRPr="001915CC">
        <w:rPr>
          <w:rFonts w:cs="Times New Roman"/>
        </w:rPr>
        <w:t>13), and Judith’s own prayer expresses a strong trust that God will hear ‘For your strength does not depend on number nor your might on the powerful. But you are the God of the lowly, helper of the oppressed, upholder of the weak, protector of the forsaken, savi</w:t>
      </w:r>
      <w:r>
        <w:rPr>
          <w:rFonts w:cs="Times New Roman"/>
        </w:rPr>
        <w:t>or of those without hope.’ (Jdt.9:</w:t>
      </w:r>
      <w:r w:rsidRPr="001915CC">
        <w:rPr>
          <w:rFonts w:cs="Times New Roman"/>
        </w:rPr>
        <w:t xml:space="preserve">11). </w:t>
      </w:r>
      <w:r w:rsidRPr="001915CC">
        <w:rPr>
          <w:rStyle w:val="Endnotenzeichen"/>
          <w:rFonts w:cs="Times New Roman"/>
        </w:rPr>
        <w:endnoteReference w:id="65"/>
      </w:r>
      <w:r w:rsidRPr="001915CC">
        <w:rPr>
          <w:rFonts w:cs="Times New Roman"/>
        </w:rPr>
        <w:t xml:space="preserve">   </w:t>
      </w:r>
    </w:p>
    <w:p w14:paraId="4ED87188" w14:textId="7480E7E3" w:rsidR="00E32707" w:rsidRDefault="00E32707" w:rsidP="00B44DEF">
      <w:pPr>
        <w:widowControl w:val="0"/>
        <w:autoSpaceDE w:val="0"/>
        <w:autoSpaceDN w:val="0"/>
        <w:adjustRightInd w:val="0"/>
        <w:spacing w:line="360" w:lineRule="auto"/>
        <w:rPr>
          <w:rFonts w:cs="Times New Roman"/>
          <w:lang w:val="el-GR"/>
        </w:rPr>
      </w:pPr>
      <w:r>
        <w:rPr>
          <w:rFonts w:cs="Times New Roman"/>
          <w:lang w:val="el-GR"/>
        </w:rPr>
        <w:t>It is in this Lord in whom Christ-followers shall boast, if they boast at all.</w:t>
      </w:r>
      <w:r>
        <w:rPr>
          <w:rStyle w:val="Endnotenzeichen"/>
          <w:rFonts w:cs="Times New Roman"/>
          <w:lang w:val="el-GR"/>
        </w:rPr>
        <w:endnoteReference w:id="66"/>
      </w:r>
      <w:r>
        <w:rPr>
          <w:rFonts w:cs="Times New Roman"/>
          <w:lang w:val="el-GR"/>
        </w:rPr>
        <w:t xml:space="preserve"> These claims would need to orient themselves on the trust and faithfulness of God and the power exercised needs to be a power which respects and supports others in their particularity and difference. </w:t>
      </w:r>
    </w:p>
    <w:p w14:paraId="6811A181" w14:textId="7BF38818" w:rsidR="00E32707" w:rsidRDefault="00E32707" w:rsidP="00B44DEF">
      <w:pPr>
        <w:widowControl w:val="0"/>
        <w:autoSpaceDE w:val="0"/>
        <w:autoSpaceDN w:val="0"/>
        <w:adjustRightInd w:val="0"/>
        <w:spacing w:line="360" w:lineRule="auto"/>
        <w:rPr>
          <w:rFonts w:cs="Times New Roman"/>
        </w:rPr>
      </w:pPr>
      <w:r>
        <w:rPr>
          <w:rFonts w:cs="Times New Roman"/>
          <w:lang w:val="el-GR"/>
        </w:rPr>
        <w:t>Thus, this ‘anti-boasting’ stance is not based on a notion of sameness. Paul affirms that there is an advantage in being Jewish, when he asserts that they ‘were entrusted with the oracles of God’ (Rom. 3:2),  that to them ‘belong the adoption, the covenants, the giving of the law, the worship and the promises’ (Rom. 9:4). This clearly is an advantage, but it is not a reason for being superior to non-Jewish Christ-followers. To have an advantage and to be superior are not identical.</w:t>
      </w:r>
      <w:r>
        <w:rPr>
          <w:rStyle w:val="Endnotenzeichen"/>
          <w:rFonts w:cs="Times New Roman"/>
          <w:lang w:val="el-GR"/>
        </w:rPr>
        <w:endnoteReference w:id="67"/>
      </w:r>
      <w:r>
        <w:rPr>
          <w:rFonts w:cs="Times New Roman"/>
          <w:lang w:val="el-GR"/>
        </w:rPr>
        <w:t xml:space="preserve"> However, the advantage of the Jews provides also no reason for them to be treated more severely for their failure to remain faithful to the covenant, as e.g. an excellent theologian like Beker could maintain.</w:t>
      </w:r>
      <w:r>
        <w:rPr>
          <w:rStyle w:val="Endnotenzeichen"/>
          <w:rFonts w:cs="Times New Roman"/>
          <w:lang w:val="el-GR"/>
        </w:rPr>
        <w:endnoteReference w:id="68"/>
      </w:r>
      <w:r>
        <w:rPr>
          <w:rFonts w:cs="Times New Roman"/>
          <w:lang w:val="el-GR"/>
        </w:rPr>
        <w:t xml:space="preserve"> Jews are affected by sin as are non-Jews, and in that sense they are equal with non-Jews, but they remain God’s beloved </w:t>
      </w:r>
      <w:r>
        <w:rPr>
          <w:rFonts w:cs="Times New Roman"/>
          <w:i/>
          <w:lang w:val="el-GR"/>
        </w:rPr>
        <w:t>kata ten eklogen</w:t>
      </w:r>
      <w:r>
        <w:rPr>
          <w:rFonts w:cs="Times New Roman"/>
          <w:lang w:val="el-GR"/>
        </w:rPr>
        <w:t xml:space="preserve"> </w:t>
      </w:r>
      <w:r>
        <w:rPr>
          <w:rFonts w:cs="Times New Roman"/>
          <w:lang w:val="de-DE"/>
        </w:rPr>
        <w:t xml:space="preserve">(Rom. 11:28). </w:t>
      </w:r>
      <w:r w:rsidRPr="007C206F">
        <w:rPr>
          <w:rFonts w:cs="Times New Roman"/>
        </w:rPr>
        <w:t>Thus those from the nations who are now in Christ have no reason to boast over those Jews who are not convinced by the message of the gospel (Rom</w:t>
      </w:r>
      <w:r>
        <w:rPr>
          <w:rFonts w:cs="Times New Roman"/>
        </w:rPr>
        <w:t>. 11:</w:t>
      </w:r>
      <w:r w:rsidRPr="007C206F">
        <w:rPr>
          <w:rFonts w:cs="Times New Roman"/>
        </w:rPr>
        <w:t>18)</w:t>
      </w:r>
      <w:r w:rsidRPr="007C206F">
        <w:rPr>
          <w:rStyle w:val="Endnotenzeichen"/>
          <w:rFonts w:cs="Times New Roman"/>
        </w:rPr>
        <w:endnoteReference w:id="69"/>
      </w:r>
      <w:r w:rsidRPr="007C206F">
        <w:rPr>
          <w:rFonts w:cs="Times New Roman"/>
        </w:rPr>
        <w:t xml:space="preserve">, or to consider the way of life of Jews in Christ as something which needs to be patiently accepted for the time being but which would eventually be rendered obsolete. </w:t>
      </w:r>
      <w:r>
        <w:rPr>
          <w:rStyle w:val="Endnotenzeichen"/>
          <w:rFonts w:cs="Times New Roman"/>
        </w:rPr>
        <w:t xml:space="preserve"> </w:t>
      </w:r>
      <w:r w:rsidRPr="008A3F43">
        <w:rPr>
          <w:rFonts w:cs="Times New Roman"/>
        </w:rPr>
        <w:t xml:space="preserve">Israel is called into existence by God through </w:t>
      </w:r>
      <w:r>
        <w:rPr>
          <w:rFonts w:cs="Times New Roman"/>
        </w:rPr>
        <w:t>his co</w:t>
      </w:r>
      <w:r w:rsidRPr="008A3F43">
        <w:rPr>
          <w:rFonts w:cs="Times New Roman"/>
        </w:rPr>
        <w:t>venant</w:t>
      </w:r>
      <w:r>
        <w:rPr>
          <w:rFonts w:cs="Times New Roman"/>
        </w:rPr>
        <w:t xml:space="preserve"> with them</w:t>
      </w:r>
      <w:r w:rsidRPr="008A3F43">
        <w:rPr>
          <w:rFonts w:cs="Times New Roman"/>
        </w:rPr>
        <w:t>,</w:t>
      </w:r>
      <w:r>
        <w:rPr>
          <w:rFonts w:cs="Times New Roman"/>
        </w:rPr>
        <w:t xml:space="preserve"> the Torah is God’s guidance for them to be Israel in an inhospitable world,</w:t>
      </w:r>
      <w:r w:rsidRPr="008A3F43">
        <w:rPr>
          <w:rFonts w:cs="Times New Roman"/>
        </w:rPr>
        <w:t xml:space="preserve"> and ‘</w:t>
      </w:r>
      <w:r>
        <w:rPr>
          <w:rFonts w:cs="Times New Roman"/>
        </w:rPr>
        <w:t xml:space="preserve">the gifts and the </w:t>
      </w:r>
      <w:r w:rsidRPr="008A3F43">
        <w:rPr>
          <w:rFonts w:cs="Times New Roman"/>
        </w:rPr>
        <w:t>calling</w:t>
      </w:r>
      <w:r>
        <w:rPr>
          <w:rFonts w:cs="Times New Roman"/>
        </w:rPr>
        <w:t xml:space="preserve"> of God</w:t>
      </w:r>
      <w:r w:rsidRPr="008A3F43">
        <w:rPr>
          <w:rFonts w:cs="Times New Roman"/>
        </w:rPr>
        <w:t xml:space="preserve"> are irrevocable’</w:t>
      </w:r>
      <w:r>
        <w:rPr>
          <w:rFonts w:cs="Times New Roman"/>
        </w:rPr>
        <w:t xml:space="preserve"> (11:19).</w:t>
      </w:r>
      <w:r>
        <w:rPr>
          <w:rFonts w:cs="Times New Roman"/>
          <w:lang w:val="de-DE"/>
        </w:rPr>
        <w:t xml:space="preserve"> </w:t>
      </w:r>
      <w:r w:rsidRPr="00F727E6">
        <w:rPr>
          <w:rFonts w:cs="Times New Roman"/>
        </w:rPr>
        <w:t xml:space="preserve">This means that Israel’s existence and identity are inherently linked with God’s call and it is </w:t>
      </w:r>
      <w:r>
        <w:rPr>
          <w:rFonts w:cs="Times New Roman"/>
        </w:rPr>
        <w:t>theologically inconceivable</w:t>
      </w:r>
      <w:r w:rsidRPr="00F727E6">
        <w:rPr>
          <w:rFonts w:cs="Times New Roman"/>
        </w:rPr>
        <w:t xml:space="preserve"> to argue that</w:t>
      </w:r>
      <w:r>
        <w:rPr>
          <w:rFonts w:cs="Times New Roman"/>
        </w:rPr>
        <w:t>,</w:t>
      </w:r>
      <w:r w:rsidRPr="00F727E6">
        <w:rPr>
          <w:rFonts w:cs="Times New Roman"/>
        </w:rPr>
        <w:t xml:space="preserve"> if not immediately then eventually Israel’s way of life will be rendered obsolete</w:t>
      </w:r>
      <w:r>
        <w:rPr>
          <w:rFonts w:cs="Times New Roman"/>
        </w:rPr>
        <w:t xml:space="preserve"> in Christ</w:t>
      </w:r>
      <w:r w:rsidRPr="00F727E6">
        <w:rPr>
          <w:rFonts w:cs="Times New Roman"/>
        </w:rPr>
        <w:t>.</w:t>
      </w:r>
      <w:r>
        <w:rPr>
          <w:rFonts w:cs="Times New Roman"/>
        </w:rPr>
        <w:t xml:space="preserve"> </w:t>
      </w:r>
      <w:r>
        <w:rPr>
          <w:rStyle w:val="Endnotenzeichen"/>
          <w:rFonts w:cs="Times New Roman"/>
        </w:rPr>
        <w:endnoteReference w:id="70"/>
      </w:r>
      <w:r w:rsidRPr="00F727E6">
        <w:rPr>
          <w:rFonts w:cs="Times New Roman"/>
        </w:rPr>
        <w:t xml:space="preserve"> </w:t>
      </w:r>
      <w:r>
        <w:rPr>
          <w:rFonts w:cs="Times New Roman"/>
        </w:rPr>
        <w:t>This would mean that eventually Israel would actually cease to exist, rendering God’s call revocable! This is certainly not Paul’s conviction when he asserts that ‘all Israel will be saved’ (Rom. 11:26). Equality does not ‘</w:t>
      </w:r>
      <w:r w:rsidRPr="00DC3CA3">
        <w:rPr>
          <w:rFonts w:cs="Times New Roman"/>
        </w:rPr>
        <w:t xml:space="preserve">obliterate’ difference. What Paul sees as being enabled in Christ is </w:t>
      </w:r>
      <w:r>
        <w:rPr>
          <w:rFonts w:cs="Times New Roman"/>
        </w:rPr>
        <w:t xml:space="preserve">unity and </w:t>
      </w:r>
      <w:r w:rsidRPr="00DC3CA3">
        <w:rPr>
          <w:rFonts w:cs="Times New Roman"/>
        </w:rPr>
        <w:t>reconciliation between those who are and remain different</w:t>
      </w:r>
      <w:r>
        <w:rPr>
          <w:rFonts w:cs="Times New Roman"/>
        </w:rPr>
        <w:t xml:space="preserve">, Jews and Greeks, men and women, </w:t>
      </w:r>
      <w:r w:rsidRPr="00DC3CA3">
        <w:rPr>
          <w:rFonts w:cs="Times New Roman"/>
        </w:rPr>
        <w:t xml:space="preserve"> but who </w:t>
      </w:r>
      <w:r>
        <w:rPr>
          <w:rFonts w:cs="Times New Roman"/>
        </w:rPr>
        <w:t xml:space="preserve">now can </w:t>
      </w:r>
      <w:r w:rsidRPr="00DC3CA3">
        <w:rPr>
          <w:rFonts w:cs="Times New Roman"/>
        </w:rPr>
        <w:t xml:space="preserve">recognize each other as equals, that is, as brothers and sisters in Christ. </w:t>
      </w:r>
    </w:p>
    <w:p w14:paraId="090331E6" w14:textId="5A349D84" w:rsidR="00E32707" w:rsidRDefault="00E32707" w:rsidP="00B44DEF">
      <w:pPr>
        <w:widowControl w:val="0"/>
        <w:autoSpaceDE w:val="0"/>
        <w:autoSpaceDN w:val="0"/>
        <w:adjustRightInd w:val="0"/>
        <w:spacing w:line="360" w:lineRule="auto"/>
        <w:rPr>
          <w:rFonts w:cs="Times New Roman"/>
        </w:rPr>
      </w:pPr>
    </w:p>
    <w:p w14:paraId="5A9DECB7" w14:textId="6C0E6513" w:rsidR="00E32707" w:rsidRDefault="00E32707" w:rsidP="00B44DEF">
      <w:pPr>
        <w:widowControl w:val="0"/>
        <w:autoSpaceDE w:val="0"/>
        <w:autoSpaceDN w:val="0"/>
        <w:adjustRightInd w:val="0"/>
        <w:spacing w:line="360" w:lineRule="auto"/>
        <w:rPr>
          <w:rFonts w:cs="Times New Roman"/>
        </w:rPr>
      </w:pPr>
      <w:r>
        <w:rPr>
          <w:rFonts w:cs="Times New Roman"/>
        </w:rPr>
        <w:t xml:space="preserve"> 4.  Conclusion</w:t>
      </w:r>
    </w:p>
    <w:p w14:paraId="778F101A" w14:textId="77777777" w:rsidR="00E32707" w:rsidRDefault="00E32707" w:rsidP="00B44DEF">
      <w:pPr>
        <w:widowControl w:val="0"/>
        <w:autoSpaceDE w:val="0"/>
        <w:autoSpaceDN w:val="0"/>
        <w:adjustRightInd w:val="0"/>
        <w:spacing w:line="360" w:lineRule="auto"/>
        <w:rPr>
          <w:rFonts w:cs="Times New Roman"/>
        </w:rPr>
      </w:pPr>
    </w:p>
    <w:p w14:paraId="2A5065E5" w14:textId="44530B60" w:rsidR="00E32707" w:rsidRPr="00840AB9" w:rsidRDefault="00E32707" w:rsidP="00B44DEF">
      <w:pPr>
        <w:widowControl w:val="0"/>
        <w:autoSpaceDE w:val="0"/>
        <w:autoSpaceDN w:val="0"/>
        <w:adjustRightInd w:val="0"/>
        <w:spacing w:line="360" w:lineRule="auto"/>
        <w:rPr>
          <w:rFonts w:cs="Times New Roman"/>
          <w:i/>
        </w:rPr>
      </w:pPr>
      <w:r>
        <w:rPr>
          <w:rFonts w:cs="Times New Roman"/>
        </w:rPr>
        <w:t>It has been demonstrated that there are significant analogies between gender-sensitive approaches and post-New Perspective approaches which locate Paul firmly within Judaism. Taking Paul’s Judaism seriously sheds new light on Paul’s perception of women, on his actual guidance in relation to issues concerning women in particular, as well as on his recognition of them in their leadership roles. Rather than being an indication for a reactionary, innovative, or contradictory tendency, Paul’s attitudes and relations to women are part of the way of life considered appropriate in relation to the God of Israel in Second Temple Judaism, applied by him now to those called from the nations</w:t>
      </w:r>
      <w:r>
        <w:rPr>
          <w:rFonts w:cs="Times New Roman"/>
          <w:i/>
        </w:rPr>
        <w:t>.</w:t>
      </w:r>
    </w:p>
    <w:p w14:paraId="4669BDAA" w14:textId="40E831AD" w:rsidR="00E32707" w:rsidRDefault="00E32707" w:rsidP="00B44DEF">
      <w:pPr>
        <w:widowControl w:val="0"/>
        <w:autoSpaceDE w:val="0"/>
        <w:autoSpaceDN w:val="0"/>
        <w:adjustRightInd w:val="0"/>
        <w:spacing w:line="360" w:lineRule="auto"/>
        <w:rPr>
          <w:rFonts w:cs="Times New Roman"/>
        </w:rPr>
      </w:pPr>
      <w:r>
        <w:rPr>
          <w:rFonts w:cs="Times New Roman"/>
        </w:rPr>
        <w:t>Paul’s specific and continued embeddedness in Judaism has been seen also in his insistence on the value and retention of particularity and differences</w:t>
      </w:r>
      <w:r>
        <w:rPr>
          <w:rStyle w:val="Endnotenzeichen"/>
          <w:rFonts w:cs="Times New Roman"/>
        </w:rPr>
        <w:t xml:space="preserve"> </w:t>
      </w:r>
      <w:r>
        <w:rPr>
          <w:rFonts w:cs="Times New Roman"/>
        </w:rPr>
        <w:t>in Christ. It</w:t>
      </w:r>
      <w:r>
        <w:rPr>
          <w:rStyle w:val="Endnotenzeichen"/>
          <w:rFonts w:cs="Times New Roman"/>
        </w:rPr>
        <w:t>,</w:t>
      </w:r>
      <w:r>
        <w:rPr>
          <w:rFonts w:cs="Times New Roman"/>
        </w:rPr>
        <w:t xml:space="preserve"> leads him to practice a form of theologizing which is concrete and aware of the particularities and diversities of life. The overcoming of particularity and difference is not an option Paul could have advocated as it would have been inconsistent with the traditions of his ancestors also after the coming of Christ. </w:t>
      </w:r>
    </w:p>
    <w:p w14:paraId="619E0549" w14:textId="73E176CF" w:rsidR="00B44DEF" w:rsidRDefault="00E32707" w:rsidP="00B44DEF">
      <w:pPr>
        <w:widowControl w:val="0"/>
        <w:autoSpaceDE w:val="0"/>
        <w:autoSpaceDN w:val="0"/>
        <w:adjustRightInd w:val="0"/>
        <w:spacing w:line="360" w:lineRule="auto"/>
        <w:rPr>
          <w:rFonts w:cs="Times New Roman"/>
        </w:rPr>
      </w:pPr>
      <w:r>
        <w:rPr>
          <w:rFonts w:cs="Times New Roman"/>
        </w:rPr>
        <w:t>But difference cannot be a reason for superiority claims between those who are and remain different. Inherent to the advocacy for Jews and non-Jews to remain as called is the ruling out of any kind of boasting over one another. Any asymmetry between those called should lead to relationships of transformative power through which empowerment for life emerges.</w:t>
      </w:r>
      <w:r>
        <w:rPr>
          <w:rStyle w:val="Endnotenzeichen"/>
          <w:rFonts w:cs="Times New Roman"/>
        </w:rPr>
        <w:endnoteReference w:id="71"/>
      </w:r>
      <w:r>
        <w:rPr>
          <w:rFonts w:cs="Times New Roman"/>
        </w:rPr>
        <w:t xml:space="preserve"> Where such empowerment was blocked or hindered, whether in Rome or Galatia or at the Lord’s Table in Corinth, Paul intervened. The calling of God initiates relationships, aiming at freeing those called from the constraints and burdens of sin, rather than from their particular identities, as Jews or nations, men or women. As those who are and remain different those who are called are enabled to ‘shine forth the goodness of God……in and through…..beneficent relations with others.’</w:t>
      </w:r>
      <w:r>
        <w:rPr>
          <w:rStyle w:val="Endnotenzeichen"/>
          <w:rFonts w:cs="Times New Roman"/>
        </w:rPr>
        <w:endnoteReference w:id="72"/>
      </w:r>
      <w:r>
        <w:rPr>
          <w:rFonts w:cs="Times New Roman"/>
        </w:rPr>
        <w:t xml:space="preserve"> </w:t>
      </w:r>
      <w:r w:rsidR="00B44DEF">
        <w:rPr>
          <w:rFonts w:cs="Times New Roman"/>
        </w:rPr>
        <w:t>Relationality presupposes difference rather than overcoming it and recognition of, and respect for, those who are different is what actually enables community and understanding rather than a supposed notion of sameness</w:t>
      </w:r>
      <w:r w:rsidR="00EE6BEB">
        <w:rPr>
          <w:rFonts w:cs="Times New Roman"/>
        </w:rPr>
        <w:t xml:space="preserve"> </w:t>
      </w:r>
    </w:p>
    <w:p w14:paraId="063DBC42" w14:textId="26C67E7C" w:rsidR="00B44DEF" w:rsidRPr="00DC3CA3" w:rsidRDefault="00B44DEF" w:rsidP="00B44DEF">
      <w:pPr>
        <w:widowControl w:val="0"/>
        <w:autoSpaceDE w:val="0"/>
        <w:autoSpaceDN w:val="0"/>
        <w:adjustRightInd w:val="0"/>
        <w:spacing w:line="360" w:lineRule="auto"/>
        <w:rPr>
          <w:rFonts w:cs="Times New Roman"/>
        </w:rPr>
      </w:pPr>
      <w:r>
        <w:rPr>
          <w:rFonts w:cs="Times New Roman"/>
        </w:rPr>
        <w:t>Gender-critical approaches have raised awareness of the universalising notions of traditional male-stream theologies and interpretations, and they have pioneered the necessity of critical reflection on the hermeneutical presupposition</w:t>
      </w:r>
      <w:r w:rsidR="001D7A47">
        <w:rPr>
          <w:rFonts w:cs="Times New Roman"/>
        </w:rPr>
        <w:t>s</w:t>
      </w:r>
      <w:r>
        <w:rPr>
          <w:rFonts w:cs="Times New Roman"/>
        </w:rPr>
        <w:t xml:space="preserve"> in any approaches to biblical texts and theologies. This has transformative and at times radical implications for theologizing in a gender-critical vein. The recognition of Paul’s embeddedness in Judaism has similar although different transformative and radical implications for theologizing in a non-supersessionist vein. Thus the recognition of Paul and his theologizing in its concrete Jewish particularity should be a core dimension of gender-sensitive interpretative and theological approaches, in as much as gender-sensitive approaches should be included as a core aspect in post-New Pers</w:t>
      </w:r>
      <w:r w:rsidR="00840AB9">
        <w:rPr>
          <w:rFonts w:cs="Times New Roman"/>
        </w:rPr>
        <w:t>pective approaches to Paul. These approaches</w:t>
      </w:r>
      <w:r>
        <w:rPr>
          <w:rFonts w:cs="Times New Roman"/>
        </w:rPr>
        <w:t xml:space="preserve"> mutually resonate with each other i</w:t>
      </w:r>
      <w:r w:rsidR="00840AB9">
        <w:rPr>
          <w:rFonts w:cs="Times New Roman"/>
        </w:rPr>
        <w:t xml:space="preserve">n their difference in many ways with illuminating potential for both. </w:t>
      </w:r>
      <w:r>
        <w:rPr>
          <w:rFonts w:cs="Times New Roman"/>
        </w:rPr>
        <w:t xml:space="preserve"> </w:t>
      </w:r>
      <w:r w:rsidR="00840AB9">
        <w:rPr>
          <w:rFonts w:cs="Times New Roman"/>
        </w:rPr>
        <w:t xml:space="preserve"> </w:t>
      </w:r>
    </w:p>
    <w:p w14:paraId="096BD153" w14:textId="77777777" w:rsidR="00B44DEF" w:rsidRPr="00DC3CA3" w:rsidRDefault="00B44DEF" w:rsidP="00B44DEF">
      <w:pPr>
        <w:widowControl w:val="0"/>
        <w:autoSpaceDE w:val="0"/>
        <w:autoSpaceDN w:val="0"/>
        <w:adjustRightInd w:val="0"/>
        <w:spacing w:line="360" w:lineRule="auto"/>
        <w:rPr>
          <w:rFonts w:cs="Times New Roman"/>
        </w:rPr>
      </w:pPr>
    </w:p>
    <w:p w14:paraId="084A0A1D" w14:textId="77777777" w:rsidR="00B44DEF" w:rsidRPr="00DC3CA3" w:rsidRDefault="00B44DEF" w:rsidP="00B44DEF">
      <w:pPr>
        <w:widowControl w:val="0"/>
        <w:autoSpaceDE w:val="0"/>
        <w:autoSpaceDN w:val="0"/>
        <w:adjustRightInd w:val="0"/>
        <w:spacing w:line="360" w:lineRule="auto"/>
        <w:rPr>
          <w:rFonts w:cs="Times New Roman"/>
        </w:rPr>
      </w:pPr>
    </w:p>
    <w:p w14:paraId="1B72AD6A" w14:textId="77777777" w:rsidR="00B44DEF" w:rsidRPr="00DC3CA3" w:rsidRDefault="00B44DEF" w:rsidP="00B44DEF">
      <w:pPr>
        <w:widowControl w:val="0"/>
        <w:autoSpaceDE w:val="0"/>
        <w:autoSpaceDN w:val="0"/>
        <w:adjustRightInd w:val="0"/>
        <w:spacing w:line="360" w:lineRule="auto"/>
        <w:rPr>
          <w:rFonts w:cs="Times New Roman"/>
        </w:rPr>
      </w:pPr>
    </w:p>
    <w:p w14:paraId="19737BCD" w14:textId="77777777" w:rsidR="00B44DEF" w:rsidRPr="00DC3CA3" w:rsidRDefault="00B44DEF" w:rsidP="00B44DEF">
      <w:pPr>
        <w:widowControl w:val="0"/>
        <w:autoSpaceDE w:val="0"/>
        <w:autoSpaceDN w:val="0"/>
        <w:adjustRightInd w:val="0"/>
        <w:spacing w:line="360" w:lineRule="auto"/>
        <w:rPr>
          <w:rFonts w:cs="Times New Roman"/>
        </w:rPr>
      </w:pPr>
      <w:r w:rsidRPr="00DC3CA3">
        <w:rPr>
          <w:rFonts w:cs="Times New Roman"/>
        </w:rPr>
        <w:t xml:space="preserve"> </w:t>
      </w:r>
    </w:p>
    <w:p w14:paraId="7E61151A" w14:textId="77777777" w:rsidR="00B44DEF" w:rsidRPr="00DC3CA3" w:rsidRDefault="00B44DEF" w:rsidP="00B44DEF">
      <w:pPr>
        <w:widowControl w:val="0"/>
        <w:autoSpaceDE w:val="0"/>
        <w:autoSpaceDN w:val="0"/>
        <w:adjustRightInd w:val="0"/>
        <w:rPr>
          <w:rFonts w:ascii="Helvetica" w:hAnsi="Helvetica" w:cs="Helvetica"/>
        </w:rPr>
      </w:pPr>
    </w:p>
    <w:p w14:paraId="6D737809" w14:textId="77777777" w:rsidR="00B44DEF" w:rsidRPr="00DC3CA3" w:rsidRDefault="00B44DEF" w:rsidP="00B44DEF">
      <w:pPr>
        <w:widowControl w:val="0"/>
        <w:autoSpaceDE w:val="0"/>
        <w:autoSpaceDN w:val="0"/>
        <w:adjustRightInd w:val="0"/>
        <w:rPr>
          <w:rFonts w:ascii="Helvetica" w:hAnsi="Helvetica" w:cs="Helvetica"/>
        </w:rPr>
      </w:pPr>
    </w:p>
    <w:p w14:paraId="01D0D933" w14:textId="77777777" w:rsidR="00B44DEF" w:rsidRPr="00DC3CA3" w:rsidRDefault="00B44DEF" w:rsidP="00B44DEF">
      <w:pPr>
        <w:widowControl w:val="0"/>
        <w:autoSpaceDE w:val="0"/>
        <w:autoSpaceDN w:val="0"/>
        <w:adjustRightInd w:val="0"/>
        <w:rPr>
          <w:rFonts w:ascii="Helvetica" w:hAnsi="Helvetica" w:cs="Helvetica"/>
        </w:rPr>
      </w:pPr>
      <w:r w:rsidRPr="00DC3CA3">
        <w:rPr>
          <w:rFonts w:ascii="Helvetica" w:hAnsi="Helvetica" w:cs="Helvetica"/>
        </w:rPr>
        <w:t xml:space="preserve"> </w:t>
      </w:r>
    </w:p>
    <w:p w14:paraId="44292A9B" w14:textId="77777777" w:rsidR="00B44DEF" w:rsidRPr="00DC3CA3" w:rsidRDefault="00B44DEF" w:rsidP="00B44DEF">
      <w:pPr>
        <w:widowControl w:val="0"/>
        <w:autoSpaceDE w:val="0"/>
        <w:autoSpaceDN w:val="0"/>
        <w:adjustRightInd w:val="0"/>
        <w:rPr>
          <w:rFonts w:ascii="Helvetica" w:hAnsi="Helvetica" w:cs="Helvetica"/>
        </w:rPr>
      </w:pPr>
    </w:p>
    <w:p w14:paraId="7A54552C" w14:textId="77777777" w:rsidR="00B44DEF" w:rsidRPr="00DC3CA3" w:rsidRDefault="00B44DEF" w:rsidP="00B44DEF">
      <w:pPr>
        <w:widowControl w:val="0"/>
        <w:autoSpaceDE w:val="0"/>
        <w:autoSpaceDN w:val="0"/>
        <w:adjustRightInd w:val="0"/>
        <w:rPr>
          <w:rFonts w:ascii="Helvetica" w:hAnsi="Helvetica" w:cs="Helvetica"/>
        </w:rPr>
      </w:pPr>
      <w:r w:rsidRPr="00DC3CA3">
        <w:rPr>
          <w:rFonts w:ascii="Helvetica" w:hAnsi="Helvetica" w:cs="Helvetica"/>
        </w:rPr>
        <w:t xml:space="preserve"> </w:t>
      </w:r>
    </w:p>
    <w:p w14:paraId="10547A2A" w14:textId="77777777" w:rsidR="00B44DEF" w:rsidRPr="00DC3CA3" w:rsidRDefault="00B44DEF" w:rsidP="00B44DEF">
      <w:pPr>
        <w:widowControl w:val="0"/>
        <w:autoSpaceDE w:val="0"/>
        <w:autoSpaceDN w:val="0"/>
        <w:adjustRightInd w:val="0"/>
        <w:rPr>
          <w:rFonts w:ascii="Helvetica" w:hAnsi="Helvetica" w:cs="Helvetica"/>
        </w:rPr>
      </w:pPr>
    </w:p>
    <w:p w14:paraId="13DF566E" w14:textId="77777777" w:rsidR="00B44DEF" w:rsidRPr="00DC3CA3" w:rsidRDefault="00B44DEF" w:rsidP="00B44DEF">
      <w:pPr>
        <w:widowControl w:val="0"/>
        <w:autoSpaceDE w:val="0"/>
        <w:autoSpaceDN w:val="0"/>
        <w:adjustRightInd w:val="0"/>
        <w:rPr>
          <w:rFonts w:ascii="Helvetica" w:hAnsi="Helvetica" w:cs="Helvetica"/>
        </w:rPr>
      </w:pPr>
      <w:r>
        <w:rPr>
          <w:rFonts w:ascii="Helvetica" w:hAnsi="Helvetica" w:cs="Helvetica"/>
        </w:rPr>
        <w:t xml:space="preserve"> </w:t>
      </w:r>
    </w:p>
    <w:p w14:paraId="7A038423" w14:textId="77777777" w:rsidR="00B44DEF" w:rsidRPr="00DC3CA3" w:rsidRDefault="00B44DEF" w:rsidP="00B44DEF">
      <w:r w:rsidRPr="00DC3CA3">
        <w:rPr>
          <w:rFonts w:ascii="Helvetica" w:hAnsi="Helvetica" w:cs="Helvetica"/>
        </w:rPr>
        <w:t xml:space="preserve"> </w:t>
      </w:r>
    </w:p>
    <w:p w14:paraId="73F12C2C" w14:textId="77777777" w:rsidR="00435B9E" w:rsidRDefault="00435B9E"/>
    <w:sectPr w:rsidR="00435B9E" w:rsidSect="000A7E31">
      <w:footerReference w:type="even" r:id="rId8"/>
      <w:footerReference w:type="default" r:id="rId9"/>
      <w:endnotePr>
        <w:numFmt w:val="decimal"/>
      </w:endnotePr>
      <w:pgSz w:w="11900" w:h="16840"/>
      <w:pgMar w:top="1418" w:right="1418" w:bottom="1134" w:left="1418" w:header="709" w:footer="709" w:gutter="0"/>
      <w:cols w:space="708"/>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1C04E8E" w14:textId="77777777" w:rsidR="00680D04" w:rsidRDefault="00680D04" w:rsidP="00B44DEF">
      <w:r>
        <w:separator/>
      </w:r>
    </w:p>
  </w:endnote>
  <w:endnote w:type="continuationSeparator" w:id="0">
    <w:p w14:paraId="43E817AA" w14:textId="77777777" w:rsidR="00680D04" w:rsidRDefault="00680D04" w:rsidP="00B44DEF">
      <w:r>
        <w:continuationSeparator/>
      </w:r>
    </w:p>
  </w:endnote>
  <w:endnote w:id="1">
    <w:p w14:paraId="75DF3A65" w14:textId="1982B77A" w:rsidR="00680D04" w:rsidRPr="00296D65" w:rsidRDefault="00680D04">
      <w:pPr>
        <w:pStyle w:val="Endnotentext"/>
      </w:pPr>
      <w:r>
        <w:rPr>
          <w:rStyle w:val="Endnotenzeichen"/>
        </w:rPr>
        <w:endnoteRef/>
      </w:r>
      <w:r>
        <w:t xml:space="preserve"> </w:t>
      </w:r>
      <w:r w:rsidRPr="00296D65">
        <w:t>The field of gender-critical studies has extended in the last decade from a focus on the role of women in feminist and womanist studies and encompasses masculinty and queer studies</w:t>
      </w:r>
      <w:r>
        <w:t>.</w:t>
      </w:r>
      <w:r w:rsidRPr="00296D65">
        <w:t xml:space="preserve"> I have to confine my contribution here mainly to women in feminist perspective, that is, a limited and contextual perception of the issues involved is presented here.</w:t>
      </w:r>
    </w:p>
  </w:endnote>
  <w:endnote w:id="2">
    <w:p w14:paraId="2BA382F5" w14:textId="50466CEB" w:rsidR="00680D04" w:rsidRPr="002345AC" w:rsidRDefault="00680D04" w:rsidP="00B44DEF">
      <w:pPr>
        <w:pStyle w:val="Endnotentext"/>
        <w:rPr>
          <w:lang w:val="de-DE"/>
        </w:rPr>
      </w:pPr>
      <w:r>
        <w:rPr>
          <w:rStyle w:val="Endnotenzeichen"/>
        </w:rPr>
        <w:endnoteRef/>
      </w:r>
      <w:r>
        <w:t xml:space="preserve"> </w:t>
      </w:r>
      <w:r>
        <w:rPr>
          <w:lang w:val="de-DE"/>
        </w:rPr>
        <w:t>Cf Schüssler Fiorenza, E.</w:t>
      </w:r>
      <w:r>
        <w:rPr>
          <w:i/>
        </w:rPr>
        <w:t>The Power of the Word: Scripture and the Rhetoric of Empire.</w:t>
      </w:r>
      <w:r>
        <w:t>(Minneapolis:Fortress Press 2007) 69-109</w:t>
      </w:r>
      <w:r>
        <w:rPr>
          <w:lang w:val="de-DE"/>
        </w:rPr>
        <w:t xml:space="preserve">  </w:t>
      </w:r>
    </w:p>
  </w:endnote>
  <w:endnote w:id="3">
    <w:p w14:paraId="3AE3A947" w14:textId="59C92068" w:rsidR="00680D04" w:rsidRPr="00C52CE1" w:rsidRDefault="00680D04" w:rsidP="00B44DEF">
      <w:pPr>
        <w:pStyle w:val="Endnotentext"/>
      </w:pPr>
      <w:r>
        <w:rPr>
          <w:rStyle w:val="Endnotenzeichen"/>
        </w:rPr>
        <w:endnoteRef/>
      </w:r>
      <w:r>
        <w:t xml:space="preserve"> </w:t>
      </w:r>
      <w:r w:rsidRPr="00C52CE1">
        <w:t xml:space="preserve">Lopez D. </w:t>
      </w:r>
      <w:r w:rsidRPr="008B1F69">
        <w:rPr>
          <w:i/>
        </w:rPr>
        <w:t>Apostle to the Conquered: Reimagining Paul’s Mission</w:t>
      </w:r>
      <w:r>
        <w:rPr>
          <w:i/>
        </w:rPr>
        <w:t>.</w:t>
      </w:r>
      <w:r w:rsidRPr="00C52CE1">
        <w:t xml:space="preserve"> </w:t>
      </w:r>
      <w:r>
        <w:t>(</w:t>
      </w:r>
      <w:r w:rsidRPr="00C52CE1">
        <w:t>Minneapolis: Fortress Press 2008</w:t>
      </w:r>
      <w:r>
        <w:t>)</w:t>
      </w:r>
    </w:p>
  </w:endnote>
  <w:endnote w:id="4">
    <w:p w14:paraId="2A787B47" w14:textId="78027CA5" w:rsidR="00680D04" w:rsidRPr="001B79F9" w:rsidRDefault="00680D04">
      <w:pPr>
        <w:pStyle w:val="Endnotentext"/>
      </w:pPr>
      <w:r>
        <w:rPr>
          <w:rStyle w:val="Endnotenzeichen"/>
        </w:rPr>
        <w:endnoteRef/>
      </w:r>
      <w:r>
        <w:t xml:space="preserve"> </w:t>
      </w:r>
      <w:r>
        <w:rPr>
          <w:lang w:val="de-DE"/>
        </w:rPr>
        <w:t xml:space="preserve">Glancy, J. </w:t>
      </w:r>
      <w:r>
        <w:t xml:space="preserve">‘Boasting of Beatings (2 Corinthians 11:23-25), </w:t>
      </w:r>
      <w:r>
        <w:rPr>
          <w:i/>
        </w:rPr>
        <w:t xml:space="preserve">JBL </w:t>
      </w:r>
      <w:r>
        <w:t>123.1,2004,  99-135.</w:t>
      </w:r>
    </w:p>
  </w:endnote>
  <w:endnote w:id="5">
    <w:p w14:paraId="4AE1CC14" w14:textId="31CC3FD4" w:rsidR="00680D04" w:rsidRPr="00C52CE1" w:rsidRDefault="00680D04" w:rsidP="00B44DEF">
      <w:pPr>
        <w:pStyle w:val="Endnotentext"/>
      </w:pPr>
      <w:r w:rsidRPr="00C52CE1">
        <w:rPr>
          <w:rStyle w:val="Endnotenzeichen"/>
        </w:rPr>
        <w:endnoteRef/>
      </w:r>
      <w:r w:rsidRPr="00C52CE1">
        <w:t xml:space="preserve"> </w:t>
      </w:r>
      <w:r w:rsidRPr="00C52CE1">
        <w:rPr>
          <w:i/>
        </w:rPr>
        <w:t xml:space="preserve"> </w:t>
      </w:r>
      <w:r w:rsidRPr="00C52CE1">
        <w:t xml:space="preserve">Cf </w:t>
      </w:r>
      <w:r>
        <w:t xml:space="preserve">e.g. Moore, S. Anderson J.C., </w:t>
      </w:r>
      <w:r>
        <w:rPr>
          <w:i/>
        </w:rPr>
        <w:t xml:space="preserve">New Testament Masculinities. </w:t>
      </w:r>
      <w:r>
        <w:t>(Atlanta: Society of Biblical Literature 2003), also my</w:t>
      </w:r>
      <w:r w:rsidRPr="00C52CE1">
        <w:t xml:space="preserve"> </w:t>
      </w:r>
      <w:r w:rsidRPr="00C52CE1">
        <w:rPr>
          <w:i/>
        </w:rPr>
        <w:t>Paul and the Dynamics of Power: Communication and Interaction in the Early Christ-Movement.</w:t>
      </w:r>
      <w:r>
        <w:rPr>
          <w:i/>
        </w:rPr>
        <w:t xml:space="preserve"> </w:t>
      </w:r>
      <w:r>
        <w:t>(</w:t>
      </w:r>
      <w:r w:rsidRPr="00C52CE1">
        <w:t>Londo</w:t>
      </w:r>
      <w:r>
        <w:t>n, New York: T&amp;T Clark 2007/09)</w:t>
      </w:r>
    </w:p>
  </w:endnote>
  <w:endnote w:id="6">
    <w:p w14:paraId="535EF973" w14:textId="348599D8" w:rsidR="00680D04" w:rsidRPr="003F3540" w:rsidRDefault="00680D04" w:rsidP="00B44DEF">
      <w:pPr>
        <w:pStyle w:val="Endnotentext"/>
      </w:pPr>
      <w:r w:rsidRPr="00C52CE1">
        <w:rPr>
          <w:rStyle w:val="Endnotenzeichen"/>
        </w:rPr>
        <w:endnoteRef/>
      </w:r>
      <w:r w:rsidRPr="00C52CE1">
        <w:t xml:space="preserve"> For an overview on recent gender-critical approaches to Paul see my ‘Paul and Feminism’, in the </w:t>
      </w:r>
      <w:r w:rsidRPr="00C52CE1">
        <w:rPr>
          <w:i/>
        </w:rPr>
        <w:t>Oxford Handbook of Pauline Studies,</w:t>
      </w:r>
      <w:r>
        <w:t xml:space="preserve"> Matlock, B. ed.</w:t>
      </w:r>
      <w:r w:rsidRPr="00C52CE1">
        <w:t xml:space="preserve">, </w:t>
      </w:r>
      <w:r>
        <w:t>(</w:t>
      </w:r>
      <w:r w:rsidRPr="00C52CE1">
        <w:t>Oxford: Oxford</w:t>
      </w:r>
      <w:r>
        <w:t xml:space="preserve"> University Press) forthcoming.</w:t>
      </w:r>
    </w:p>
  </w:endnote>
  <w:endnote w:id="7">
    <w:p w14:paraId="728F5F62" w14:textId="046BD089" w:rsidR="00680D04" w:rsidRPr="00296D65" w:rsidRDefault="00680D04">
      <w:pPr>
        <w:pStyle w:val="Endnotentext"/>
      </w:pPr>
      <w:r>
        <w:rPr>
          <w:rStyle w:val="Endnotenzeichen"/>
        </w:rPr>
        <w:endnoteRef/>
      </w:r>
      <w:r>
        <w:t xml:space="preserve"> </w:t>
      </w:r>
      <w:r w:rsidRPr="00296D65">
        <w:t>Thus Melanie Johnson-DeBau</w:t>
      </w:r>
      <w:r>
        <w:t>fre,Laura Nasrallah state that ‘</w:t>
      </w:r>
      <w:r w:rsidRPr="00296D65">
        <w:t>If we fail to see these complex negotiations of identity in the particular context of the Roman Empire, then Paul-the-Jew becomes a colonizer of the Gentiles (despite them being the dominant culture) and our interpretations replicate the anti-Judaism that has long character</w:t>
      </w:r>
      <w:r>
        <w:t>ized triumphalist Christianity.</w:t>
      </w:r>
      <w:r w:rsidRPr="00296D65">
        <w:t>’</w:t>
      </w:r>
      <w:r>
        <w:t xml:space="preserve"> ‘</w:t>
      </w:r>
      <w:r w:rsidRPr="00296D65">
        <w:t>Beyon</w:t>
      </w:r>
      <w:r>
        <w:t>d</w:t>
      </w:r>
      <w:r w:rsidRPr="00296D65">
        <w:t xml:space="preserve"> the Heroic Paul: Toward a Feminist and Decolonizing Approach to the Letters of Paul’, in </w:t>
      </w:r>
      <w:r w:rsidRPr="00296D65">
        <w:rPr>
          <w:i/>
        </w:rPr>
        <w:t>The Colonized Apostle:</w:t>
      </w:r>
      <w:r>
        <w:rPr>
          <w:i/>
        </w:rPr>
        <w:t xml:space="preserve"> </w:t>
      </w:r>
      <w:r w:rsidRPr="00296D65">
        <w:rPr>
          <w:i/>
        </w:rPr>
        <w:t>Paul Through Postcolonial Eyes.</w:t>
      </w:r>
      <w:r w:rsidRPr="00296D65">
        <w:t xml:space="preserve"> C.S. Stanley ed., </w:t>
      </w:r>
      <w:r>
        <w:t>()</w:t>
      </w:r>
      <w:r w:rsidRPr="00296D65">
        <w:t>Minneapolis: Fortress 2011, 161-74, 170. Whilst it is hi</w:t>
      </w:r>
      <w:r>
        <w:t>ghly significant to consider</w:t>
      </w:r>
      <w:r w:rsidRPr="00296D65">
        <w:t xml:space="preserve"> the socio-political and ideological contexts of Paul’s theologizing, and distinguish between the social locations of those in dominating power positions and dominated peoples, this does not engage with the Jewishness of Paul and his letters per se. </w:t>
      </w:r>
    </w:p>
  </w:endnote>
  <w:endnote w:id="8">
    <w:p w14:paraId="55E9CF1B" w14:textId="7255E20F" w:rsidR="00680D04" w:rsidRPr="00296D65" w:rsidRDefault="00680D04">
      <w:pPr>
        <w:pStyle w:val="Endnotentext"/>
      </w:pPr>
      <w:r w:rsidRPr="00296D65">
        <w:rPr>
          <w:rStyle w:val="Endnotenzeichen"/>
        </w:rPr>
        <w:endnoteRef/>
      </w:r>
      <w:r>
        <w:t xml:space="preserve"> See the discussion by Ilan, T.</w:t>
      </w:r>
      <w:r w:rsidRPr="00296D65">
        <w:t xml:space="preserve"> in her </w:t>
      </w:r>
      <w:r w:rsidRPr="00296D65">
        <w:rPr>
          <w:i/>
        </w:rPr>
        <w:t>Silencing the Queen:</w:t>
      </w:r>
      <w:r>
        <w:rPr>
          <w:i/>
        </w:rPr>
        <w:t xml:space="preserve"> </w:t>
      </w:r>
      <w:r w:rsidRPr="00296D65">
        <w:rPr>
          <w:i/>
        </w:rPr>
        <w:t>The Literary History of Shelomzion and Other Jewish Women.</w:t>
      </w:r>
      <w:r>
        <w:t>(</w:t>
      </w:r>
      <w:r w:rsidRPr="00296D65">
        <w:t xml:space="preserve">Tübingen: Mohr </w:t>
      </w:r>
      <w:r>
        <w:t>Siebeck 2006)</w:t>
      </w:r>
      <w:r w:rsidRPr="00296D65">
        <w:t>109.</w:t>
      </w:r>
    </w:p>
  </w:endnote>
  <w:endnote w:id="9">
    <w:p w14:paraId="1F754139" w14:textId="22698E4F" w:rsidR="00680D04" w:rsidRPr="00296D65" w:rsidRDefault="00680D04">
      <w:pPr>
        <w:pStyle w:val="Endnotentext"/>
      </w:pPr>
      <w:r w:rsidRPr="00296D65">
        <w:rPr>
          <w:rStyle w:val="Endnotenzeichen"/>
        </w:rPr>
        <w:endnoteRef/>
      </w:r>
      <w:r w:rsidRPr="00296D65">
        <w:t xml:space="preserve"> This distinction and characterisation of different kinds of Judaism is adopted uncritically and thus taken at face-value. It is based on the assumption that ‚Hellenism’ had liberating implications for Judaism, without questioning the concepts and hermeneutical presuppositions on which these are built. For a detailed critical discussion of the concept of Hellenism see my </w:t>
      </w:r>
      <w:r w:rsidRPr="00296D65">
        <w:rPr>
          <w:i/>
        </w:rPr>
        <w:t>Paul at the Crossroads of Cultures: Theologizing in the Space-Between.</w:t>
      </w:r>
      <w:r>
        <w:rPr>
          <w:i/>
        </w:rPr>
        <w:t xml:space="preserve"> </w:t>
      </w:r>
      <w:r>
        <w:t>(</w:t>
      </w:r>
      <w:r w:rsidRPr="00296D65">
        <w:t>Lond</w:t>
      </w:r>
      <w:r>
        <w:t>on, New York: T&amp;T Clark 2013) 22-29.</w:t>
      </w:r>
    </w:p>
  </w:endnote>
  <w:endnote w:id="10">
    <w:p w14:paraId="4EADC3D7" w14:textId="03031852" w:rsidR="00680D04" w:rsidRPr="00800621" w:rsidRDefault="00680D04">
      <w:pPr>
        <w:pStyle w:val="Endnotentext"/>
      </w:pPr>
      <w:r w:rsidRPr="00296D65">
        <w:rPr>
          <w:rStyle w:val="Endnotenzeichen"/>
        </w:rPr>
        <w:endnoteRef/>
      </w:r>
      <w:r w:rsidRPr="00296D65">
        <w:t xml:space="preserve"> E.g. Dunn, J.D.G.</w:t>
      </w:r>
      <w:r>
        <w:t xml:space="preserve"> </w:t>
      </w:r>
      <w:r>
        <w:rPr>
          <w:i/>
        </w:rPr>
        <w:t xml:space="preserve">The New Perspective on Paul: Collected Essays. </w:t>
      </w:r>
      <w:r>
        <w:t>(Tübingen: Mohr Siebeck 2005) 353.</w:t>
      </w:r>
    </w:p>
  </w:endnote>
  <w:endnote w:id="11">
    <w:p w14:paraId="7D9496FA" w14:textId="646A51D4" w:rsidR="00680D04" w:rsidRPr="001C738A" w:rsidRDefault="00680D04">
      <w:pPr>
        <w:pStyle w:val="Endnotentext"/>
        <w:rPr>
          <w:lang w:val="de-DE"/>
        </w:rPr>
      </w:pPr>
      <w:r w:rsidRPr="00296D65">
        <w:rPr>
          <w:rStyle w:val="Endnotenzeichen"/>
        </w:rPr>
        <w:endnoteRef/>
      </w:r>
      <w:r>
        <w:t xml:space="preserve"> A</w:t>
      </w:r>
      <w:r w:rsidRPr="00296D65">
        <w:t xml:space="preserve">s e.g. by Davina Lopez in her </w:t>
      </w:r>
      <w:r w:rsidRPr="00296D65">
        <w:rPr>
          <w:i/>
          <w:color w:val="000000"/>
        </w:rPr>
        <w:t>Apostle to</w:t>
      </w:r>
      <w:r>
        <w:rPr>
          <w:i/>
          <w:color w:val="000000"/>
        </w:rPr>
        <w:t xml:space="preserve"> the Conquered,</w:t>
      </w:r>
      <w:r>
        <w:rPr>
          <w:color w:val="000000"/>
        </w:rPr>
        <w:t>119-37.</w:t>
      </w:r>
    </w:p>
  </w:endnote>
  <w:endnote w:id="12">
    <w:p w14:paraId="4870EBBB" w14:textId="06FC58C7" w:rsidR="00680D04" w:rsidRPr="00524D27" w:rsidRDefault="00680D04" w:rsidP="00B44DEF">
      <w:pPr>
        <w:pStyle w:val="Endnotentext"/>
      </w:pPr>
      <w:r>
        <w:rPr>
          <w:rStyle w:val="Endnotenzeichen"/>
        </w:rPr>
        <w:endnoteRef/>
      </w:r>
      <w:r>
        <w:t xml:space="preserve"> Cf. </w:t>
      </w:r>
      <w:r w:rsidRPr="007219E0">
        <w:rPr>
          <w:i/>
        </w:rPr>
        <w:t>My That We May Be Mutually Encouraged: Feminism and the New Perspective in Pauline Studies</w:t>
      </w:r>
      <w:r>
        <w:t>. (London, New York: T&amp;T Clark 2004) 27-42.</w:t>
      </w:r>
    </w:p>
  </w:endnote>
  <w:endnote w:id="13">
    <w:p w14:paraId="7B4542E7" w14:textId="636D0769" w:rsidR="00680D04" w:rsidRPr="001C738A" w:rsidRDefault="00680D04">
      <w:pPr>
        <w:pStyle w:val="Endnotentext"/>
        <w:rPr>
          <w:lang w:val="de-DE"/>
        </w:rPr>
      </w:pPr>
      <w:r>
        <w:rPr>
          <w:rStyle w:val="Endnotenzeichen"/>
        </w:rPr>
        <w:endnoteRef/>
      </w:r>
      <w:r>
        <w:t xml:space="preserve"> </w:t>
      </w:r>
      <w:r>
        <w:rPr>
          <w:lang w:val="de-DE"/>
        </w:rPr>
        <w:t xml:space="preserve">Cf, Ilan, </w:t>
      </w:r>
      <w:r>
        <w:rPr>
          <w:i/>
          <w:lang w:val="de-DE"/>
        </w:rPr>
        <w:t>Silencing the Queen,</w:t>
      </w:r>
      <w:r>
        <w:rPr>
          <w:lang w:val="de-DE"/>
        </w:rPr>
        <w:t>4-19.</w:t>
      </w:r>
    </w:p>
  </w:endnote>
  <w:endnote w:id="14">
    <w:p w14:paraId="2A092E28" w14:textId="30EFB43D" w:rsidR="00680D04" w:rsidRPr="002972CA" w:rsidRDefault="00680D04">
      <w:pPr>
        <w:pStyle w:val="Endnotentext"/>
      </w:pPr>
      <w:r>
        <w:rPr>
          <w:rStyle w:val="Endnotenzeichen"/>
        </w:rPr>
        <w:endnoteRef/>
      </w:r>
      <w:r>
        <w:t xml:space="preserve"> </w:t>
      </w:r>
      <w:r w:rsidRPr="002972CA">
        <w:t xml:space="preserve">This is not to deny that women could not be in influential positions and that in everyday life things were less clear than in theory. The numerous analogies between </w:t>
      </w:r>
      <w:r w:rsidRPr="002972CA">
        <w:rPr>
          <w:i/>
        </w:rPr>
        <w:t xml:space="preserve">ekklesiai tou theou </w:t>
      </w:r>
      <w:r w:rsidRPr="002972CA">
        <w:t xml:space="preserve">and voluntary associations, cult groups, philosophical schools, and civic assemblies illuminate certain organisational aspects, but I am not aware that the fact </w:t>
      </w:r>
      <w:r>
        <w:t xml:space="preserve">that </w:t>
      </w:r>
      <w:r w:rsidRPr="002972CA">
        <w:t xml:space="preserve">these </w:t>
      </w:r>
      <w:r w:rsidRPr="002972CA">
        <w:rPr>
          <w:i/>
        </w:rPr>
        <w:t xml:space="preserve">ekklesiai </w:t>
      </w:r>
      <w:r w:rsidRPr="002972CA">
        <w:t xml:space="preserve">were mixed groups has been considered in any detail in recent studies. </w:t>
      </w:r>
      <w:r>
        <w:t xml:space="preserve">Kloppenborg notes that ‘Membership in professional guilds is likely to have been relatively homogenous not only with respect to the trade and the quarter of the city from which members were drawn, but also with respect to gender. Whereas domestic collegia clearly had women members, the evidence for the presence of women in the professional associations is ambiguous. There were of course, some collegia composed solely of women.’ Kloppenborg, J.S., ‘Collegia and </w:t>
      </w:r>
      <w:r w:rsidRPr="002972CA">
        <w:rPr>
          <w:i/>
        </w:rPr>
        <w:t>Thiasoi</w:t>
      </w:r>
      <w:r>
        <w:t xml:space="preserve">: Issues in Function, Taxonomy and Membership’, in </w:t>
      </w:r>
      <w:r>
        <w:rPr>
          <w:i/>
        </w:rPr>
        <w:t>Voluntary Associations in the Graeco-Roman World.</w:t>
      </w:r>
      <w:r>
        <w:t xml:space="preserve"> J.S. Kloppenborg, S.G. Wilson eds., (London: Routledeg 1996) 16-30, 25. </w:t>
      </w:r>
      <w:r w:rsidRPr="002972CA">
        <w:t xml:space="preserve">Considering this context, participation of men and women together in these assemblies seems rather exceptional and can best be explained by their analogy to Jewish synagogue communities.  </w:t>
      </w:r>
    </w:p>
  </w:endnote>
  <w:endnote w:id="15">
    <w:p w14:paraId="02098E26" w14:textId="4536CCD3" w:rsidR="00680D04" w:rsidRPr="002972CA" w:rsidRDefault="00680D04">
      <w:pPr>
        <w:pStyle w:val="Endnotentext"/>
      </w:pPr>
      <w:r w:rsidRPr="002972CA">
        <w:rPr>
          <w:rStyle w:val="Endnotenzeichen"/>
        </w:rPr>
        <w:endnoteRef/>
      </w:r>
      <w:r w:rsidRPr="002972CA">
        <w:t xml:space="preserve"> I assume that Paul, as apostle to the nations is addressing mainly members of the Christ-movement from the nations here, with Jewish members possibly present.</w:t>
      </w:r>
    </w:p>
  </w:endnote>
  <w:endnote w:id="16">
    <w:p w14:paraId="0BA85C7F" w14:textId="6E424219" w:rsidR="00680D04" w:rsidRPr="00766CB6" w:rsidRDefault="00680D04">
      <w:pPr>
        <w:pStyle w:val="Endnotentext"/>
      </w:pPr>
      <w:r>
        <w:rPr>
          <w:rStyle w:val="Endnotenzeichen"/>
        </w:rPr>
        <w:endnoteRef/>
      </w:r>
      <w:r>
        <w:t xml:space="preserve"> </w:t>
      </w:r>
      <w:r>
        <w:rPr>
          <w:lang w:val="de-DE"/>
        </w:rPr>
        <w:t>Cf. Nanos, M.D.</w:t>
      </w:r>
      <w:r>
        <w:t xml:space="preserve">’The Churches within the Synagogues of Rome’, in </w:t>
      </w:r>
      <w:r>
        <w:rPr>
          <w:i/>
        </w:rPr>
        <w:t>Reading Paul’s Letter to the Romans.</w:t>
      </w:r>
      <w:r>
        <w:t>J.L.Sumney ed. (Atlanta: SBL 2010) 11-28, and Campbell W.S., ‘The Addressees of Paul’s Letter to the Romans: Assemblies of God in House Churches or Synagogues ?’,</w:t>
      </w:r>
      <w:r>
        <w:rPr>
          <w:i/>
        </w:rPr>
        <w:t xml:space="preserve"> Between Gospel and Election: Explorations in the Interpretation of Romans 9-11.</w:t>
      </w:r>
      <w:r>
        <w:t xml:space="preserve"> J.R.Wagner, F. Wilk, eds.,(Tübingen: Mohr Siebeck 2010) 171-95.</w:t>
      </w:r>
    </w:p>
  </w:endnote>
  <w:endnote w:id="17">
    <w:p w14:paraId="25C378F8" w14:textId="0A2234FB" w:rsidR="00680D04" w:rsidRPr="00A2277F" w:rsidRDefault="00680D04" w:rsidP="00151CB6">
      <w:pPr>
        <w:pStyle w:val="Endnotentext"/>
      </w:pPr>
      <w:r w:rsidRPr="002972CA">
        <w:rPr>
          <w:rStyle w:val="Endnotenzeichen"/>
        </w:rPr>
        <w:endnoteRef/>
      </w:r>
      <w:r w:rsidRPr="002972CA">
        <w:t xml:space="preserve"> See my </w:t>
      </w:r>
      <w:r w:rsidRPr="002972CA">
        <w:rPr>
          <w:i/>
        </w:rPr>
        <w:t>Paul at the Crossroads of Cultures,</w:t>
      </w:r>
      <w:r>
        <w:t>113-21.</w:t>
      </w:r>
    </w:p>
  </w:endnote>
  <w:endnote w:id="18">
    <w:p w14:paraId="677906DD" w14:textId="52B594F8" w:rsidR="00680D04" w:rsidRPr="00A2277F" w:rsidRDefault="00680D04">
      <w:pPr>
        <w:pStyle w:val="Endnotentext"/>
      </w:pPr>
      <w:r w:rsidRPr="00A2277F">
        <w:rPr>
          <w:rStyle w:val="Endnotenzeichen"/>
        </w:rPr>
        <w:endnoteRef/>
      </w:r>
      <w:r w:rsidRPr="00A2277F">
        <w:t xml:space="preserve"> Josephus, </w:t>
      </w:r>
      <w:r w:rsidRPr="00A2277F">
        <w:rPr>
          <w:i/>
        </w:rPr>
        <w:t>Ap.</w:t>
      </w:r>
      <w:r w:rsidRPr="00A2277F">
        <w:t xml:space="preserve"> 2.175; </w:t>
      </w:r>
      <w:r w:rsidRPr="00A2277F">
        <w:rPr>
          <w:i/>
        </w:rPr>
        <w:t xml:space="preserve">Ant. </w:t>
      </w:r>
      <w:r w:rsidRPr="00A2277F">
        <w:t xml:space="preserve">16.43,  Philo, </w:t>
      </w:r>
      <w:r w:rsidRPr="00A2277F">
        <w:rPr>
          <w:i/>
        </w:rPr>
        <w:t>Legat.</w:t>
      </w:r>
      <w:r w:rsidRPr="00A2277F">
        <w:t xml:space="preserve">156 and 311-12; </w:t>
      </w:r>
      <w:r w:rsidRPr="00A2277F">
        <w:rPr>
          <w:i/>
        </w:rPr>
        <w:t>Hypoth.</w:t>
      </w:r>
      <w:r w:rsidRPr="00A2277F">
        <w:t xml:space="preserve">7.12, </w:t>
      </w:r>
      <w:r w:rsidRPr="00A2277F">
        <w:rPr>
          <w:i/>
        </w:rPr>
        <w:t xml:space="preserve"> Somn.</w:t>
      </w:r>
      <w:r w:rsidRPr="00A2277F">
        <w:t xml:space="preserve">2.127; </w:t>
      </w:r>
      <w:r w:rsidRPr="00A2277F">
        <w:rPr>
          <w:i/>
        </w:rPr>
        <w:t>Mos.</w:t>
      </w:r>
      <w:r w:rsidRPr="00A2277F">
        <w:t>2.215-16</w:t>
      </w:r>
    </w:p>
  </w:endnote>
  <w:endnote w:id="19">
    <w:p w14:paraId="5A3B166D" w14:textId="24E1416F" w:rsidR="00680D04" w:rsidRPr="00A2277F" w:rsidRDefault="00680D04">
      <w:pPr>
        <w:pStyle w:val="Endnotentext"/>
      </w:pPr>
      <w:r w:rsidRPr="00A2277F">
        <w:rPr>
          <w:rStyle w:val="Endnotenzeichen"/>
        </w:rPr>
        <w:endnoteRef/>
      </w:r>
      <w:r w:rsidRPr="00A2277F">
        <w:t xml:space="preserve"> This is not to say that there was no separating seating order during these assemblies, but the example of the </w:t>
      </w:r>
      <w:r>
        <w:rPr>
          <w:i/>
        </w:rPr>
        <w:t>Therapeutae</w:t>
      </w:r>
      <w:r w:rsidRPr="00A2277F">
        <w:t xml:space="preserve"> cannot serve as illustration of a general practice. However, although the arch</w:t>
      </w:r>
      <w:r>
        <w:t>a</w:t>
      </w:r>
      <w:r w:rsidRPr="00A2277F">
        <w:t xml:space="preserve">eological evidence does not provide any indication to that effect, it cannot be entirely excluded (cf. Brooten, B. </w:t>
      </w:r>
      <w:r w:rsidRPr="00A2277F">
        <w:rPr>
          <w:i/>
        </w:rPr>
        <w:t>Women Leaders in Ancient Synagogues: Inscriptional Evidence and Background Issues.</w:t>
      </w:r>
      <w:r>
        <w:t xml:space="preserve">(Chico: Scholars 1982) </w:t>
      </w:r>
      <w:r w:rsidRPr="00A2277F">
        <w:t xml:space="preserve">Mattila, S.L., ‘Where Women Sat in Ancient Synagogues: The Archeological Evidence in Context’, in </w:t>
      </w:r>
      <w:r w:rsidRPr="00A2277F">
        <w:rPr>
          <w:i/>
        </w:rPr>
        <w:t>Voluntary Associations in the Graeco-Roman World.</w:t>
      </w:r>
      <w:r>
        <w:rPr>
          <w:i/>
        </w:rPr>
        <w:t xml:space="preserve"> </w:t>
      </w:r>
      <w:r w:rsidRPr="00A2277F">
        <w:t>Klopp</w:t>
      </w:r>
      <w:r>
        <w:t>enborg, J.S., Wilson S. G. eds. 266-86</w:t>
      </w:r>
      <w:r w:rsidRPr="00A2277F">
        <w:t>. I am not excluding here the possibility that specific education of boys and men took place as well, but as far as the general synagogue meetings on the Sabbath are concerned no gender specific teaching is mentioned in the sources.</w:t>
      </w:r>
    </w:p>
  </w:endnote>
  <w:endnote w:id="20">
    <w:p w14:paraId="79832845" w14:textId="75419C98" w:rsidR="00680D04" w:rsidRPr="008C1B94" w:rsidRDefault="00680D04">
      <w:pPr>
        <w:pStyle w:val="Endnotentext"/>
        <w:rPr>
          <w:lang w:val="de-DE"/>
        </w:rPr>
      </w:pPr>
      <w:r>
        <w:rPr>
          <w:rStyle w:val="Endnotenzeichen"/>
        </w:rPr>
        <w:endnoteRef/>
      </w:r>
      <w:r>
        <w:t xml:space="preserve"> </w:t>
      </w:r>
      <w:r>
        <w:rPr>
          <w:lang w:val="de-DE"/>
        </w:rPr>
        <w:t xml:space="preserve">Ilan, Tal, </w:t>
      </w:r>
      <w:r>
        <w:rPr>
          <w:i/>
          <w:lang w:val="de-DE"/>
        </w:rPr>
        <w:t>Silencing the Queen</w:t>
      </w:r>
      <w:r>
        <w:rPr>
          <w:lang w:val="de-DE"/>
        </w:rPr>
        <w:t>‚73-110.</w:t>
      </w:r>
    </w:p>
  </w:endnote>
  <w:endnote w:id="21">
    <w:p w14:paraId="5E54613C" w14:textId="682508D7" w:rsidR="00680D04" w:rsidRPr="00A2277F" w:rsidRDefault="00680D04" w:rsidP="00A2277F">
      <w:pPr>
        <w:widowControl w:val="0"/>
        <w:autoSpaceDE w:val="0"/>
        <w:autoSpaceDN w:val="0"/>
        <w:adjustRightInd w:val="0"/>
        <w:rPr>
          <w:rFonts w:cs="Times New Roman"/>
          <w:sz w:val="20"/>
          <w:szCs w:val="20"/>
        </w:rPr>
      </w:pPr>
      <w:r>
        <w:rPr>
          <w:rStyle w:val="Endnotenzeichen"/>
        </w:rPr>
        <w:endnoteRef/>
      </w:r>
      <w:r>
        <w:t xml:space="preserve"> </w:t>
      </w:r>
      <w:r w:rsidRPr="00680D04">
        <w:rPr>
          <w:rFonts w:cs="Times New Roman"/>
          <w:i/>
        </w:rPr>
        <w:t>Haver</w:t>
      </w:r>
      <w:r w:rsidRPr="00680D04">
        <w:rPr>
          <w:rFonts w:cs="Times New Roman"/>
        </w:rPr>
        <w:t xml:space="preserve"> is understood as meaning a Pharisee, this being the self-designation of the group members preserved by the Tosefta, rather than the derogatory label ‘Pharisee’ which is only rarely found in rabbinic literature. Ilan, </w:t>
      </w:r>
      <w:r w:rsidRPr="00680D04">
        <w:rPr>
          <w:rFonts w:cs="Times New Roman"/>
          <w:i/>
        </w:rPr>
        <w:t>Silencing the Queen,</w:t>
      </w:r>
      <w:r w:rsidRPr="00680D04">
        <w:rPr>
          <w:rFonts w:cs="Times New Roman"/>
        </w:rPr>
        <w:t>98-105.</w:t>
      </w:r>
    </w:p>
  </w:endnote>
  <w:endnote w:id="22">
    <w:p w14:paraId="78B7A2A3" w14:textId="1F5D4BAC" w:rsidR="00680D04" w:rsidRPr="00A2277F" w:rsidRDefault="00680D04">
      <w:pPr>
        <w:pStyle w:val="Endnotentext"/>
        <w:rPr>
          <w:lang w:val="de-DE"/>
        </w:rPr>
      </w:pPr>
      <w:r>
        <w:rPr>
          <w:rStyle w:val="Endnotenzeichen"/>
        </w:rPr>
        <w:endnoteRef/>
      </w:r>
      <w:r>
        <w:t xml:space="preserve"> </w:t>
      </w:r>
      <w:r>
        <w:rPr>
          <w:lang w:val="de-DE"/>
        </w:rPr>
        <w:t xml:space="preserve">Ilan, </w:t>
      </w:r>
      <w:r w:rsidRPr="00A2277F">
        <w:rPr>
          <w:i/>
          <w:lang w:val="de-DE"/>
        </w:rPr>
        <w:t>Silencing the Queen</w:t>
      </w:r>
      <w:r>
        <w:rPr>
          <w:lang w:val="de-DE"/>
        </w:rPr>
        <w:t>, 105-07.</w:t>
      </w:r>
    </w:p>
  </w:endnote>
  <w:endnote w:id="23">
    <w:p w14:paraId="7A704D01" w14:textId="0452617C" w:rsidR="00680D04" w:rsidRPr="002C23C0" w:rsidRDefault="00680D04">
      <w:pPr>
        <w:pStyle w:val="Endnotentext"/>
        <w:rPr>
          <w:lang w:val="de-DE"/>
        </w:rPr>
      </w:pPr>
      <w:r>
        <w:rPr>
          <w:rStyle w:val="Endnotenzeichen"/>
        </w:rPr>
        <w:endnoteRef/>
      </w:r>
      <w:r>
        <w:t xml:space="preserve"> </w:t>
      </w:r>
      <w:r>
        <w:rPr>
          <w:lang w:val="de-DE"/>
        </w:rPr>
        <w:t xml:space="preserve">E.g.  Hengel is of the view that this indicates wider communal practice, cf. Hengel, M. </w:t>
      </w:r>
      <w:r>
        <w:t xml:space="preserve">‘Proseuche und Synagoge’, </w:t>
      </w:r>
      <w:r>
        <w:rPr>
          <w:i/>
          <w:lang w:val="de-DE"/>
        </w:rPr>
        <w:t>Judaica and Hellenisica: Kleine Schriften 1.</w:t>
      </w:r>
      <w:r>
        <w:rPr>
          <w:lang w:val="de-DE"/>
        </w:rPr>
        <w:t>(Tübingen: Mohr Siebeck 1996) 171-95.</w:t>
      </w:r>
    </w:p>
  </w:endnote>
  <w:endnote w:id="24">
    <w:p w14:paraId="39E22899" w14:textId="01FBCDE2" w:rsidR="00680D04" w:rsidRPr="009D778B" w:rsidRDefault="00680D04">
      <w:pPr>
        <w:pStyle w:val="Endnotentext"/>
      </w:pPr>
      <w:r>
        <w:rPr>
          <w:rStyle w:val="Endnotenzeichen"/>
        </w:rPr>
        <w:endnoteRef/>
      </w:r>
      <w:r>
        <w:t xml:space="preserve"> </w:t>
      </w:r>
      <w:r>
        <w:rPr>
          <w:lang w:val="de-DE"/>
        </w:rPr>
        <w:t xml:space="preserve">Contra W. Meeks, </w:t>
      </w:r>
      <w:r w:rsidRPr="009D778B">
        <w:rPr>
          <w:i/>
          <w:lang w:val="de-DE"/>
        </w:rPr>
        <w:t>The First Urban Christians:The Social World of the Apostle Paul.</w:t>
      </w:r>
      <w:r>
        <w:rPr>
          <w:i/>
          <w:lang w:val="de-DE"/>
        </w:rPr>
        <w:t xml:space="preserve"> </w:t>
      </w:r>
      <w:r>
        <w:rPr>
          <w:lang w:val="de-DE"/>
        </w:rPr>
        <w:t>(</w:t>
      </w:r>
      <w:r w:rsidRPr="009D778B">
        <w:rPr>
          <w:lang w:val="de-DE"/>
        </w:rPr>
        <w:t>New Haven: Yale University Press 19</w:t>
      </w:r>
      <w:r>
        <w:rPr>
          <w:lang w:val="de-DE"/>
        </w:rPr>
        <w:t>93)</w:t>
      </w:r>
      <w:r w:rsidRPr="009D778B">
        <w:rPr>
          <w:i/>
          <w:lang w:val="de-DE"/>
        </w:rPr>
        <w:t xml:space="preserve"> </w:t>
      </w:r>
      <w:r w:rsidRPr="009D778B">
        <w:rPr>
          <w:lang w:val="de-DE"/>
        </w:rPr>
        <w:t>81</w:t>
      </w:r>
      <w:r>
        <w:rPr>
          <w:lang w:val="de-DE"/>
        </w:rPr>
        <w:t xml:space="preserve">. There may well have been tendencies to downgrade and restrict the role of women during the first century CE (cf. e.g. Brayford, S.A., </w:t>
      </w:r>
      <w:r>
        <w:t xml:space="preserve">‘The Domestication of Sarah: From Jewish Matriarch to Hellenistic Matron’, </w:t>
      </w:r>
      <w:r>
        <w:rPr>
          <w:i/>
        </w:rPr>
        <w:t>Studies in Jewish Civilisation</w:t>
      </w:r>
      <w:r>
        <w:t xml:space="preserve"> 14. 2003, 1-21). This may be evidence for the presence and significance of women in realms where restriction was argued, rather than for the opposite.</w:t>
      </w:r>
    </w:p>
  </w:endnote>
  <w:endnote w:id="25">
    <w:p w14:paraId="4CCBBEC1" w14:textId="4DABF569" w:rsidR="00680D04" w:rsidRPr="00D1666E" w:rsidRDefault="00680D04">
      <w:pPr>
        <w:pStyle w:val="Endnotentext"/>
        <w:rPr>
          <w:lang w:val="de-DE"/>
        </w:rPr>
      </w:pPr>
      <w:r>
        <w:rPr>
          <w:rStyle w:val="Endnotenzeichen"/>
        </w:rPr>
        <w:endnoteRef/>
      </w:r>
      <w:r>
        <w:t xml:space="preserve"> </w:t>
      </w:r>
      <w:r>
        <w:rPr>
          <w:lang w:val="de-DE"/>
        </w:rPr>
        <w:t xml:space="preserve">Critical discussions concerning the veil are numerous and there is no consensus in sight concerning its rationale or function.  </w:t>
      </w:r>
    </w:p>
  </w:endnote>
  <w:endnote w:id="26">
    <w:p w14:paraId="52F67E42" w14:textId="27F3B747" w:rsidR="00680D04" w:rsidRPr="000D0D1F" w:rsidRDefault="00680D04">
      <w:pPr>
        <w:pStyle w:val="Endnotentext"/>
        <w:rPr>
          <w:lang w:val="de-DE"/>
        </w:rPr>
      </w:pPr>
      <w:r>
        <w:rPr>
          <w:rStyle w:val="Endnotenzeichen"/>
        </w:rPr>
        <w:endnoteRef/>
      </w:r>
      <w:r>
        <w:t xml:space="preserve"> </w:t>
      </w:r>
      <w:r>
        <w:rPr>
          <w:lang w:val="de-DE"/>
        </w:rPr>
        <w:t xml:space="preserve">A number of feminist interpretations consider this to be most likley to be the case, cf. Schottroff, </w:t>
      </w:r>
      <w:r>
        <w:rPr>
          <w:i/>
          <w:lang w:val="de-DE"/>
        </w:rPr>
        <w:t xml:space="preserve">Der Erste Brief an die Gemeinde in  Korinth, </w:t>
      </w:r>
      <w:r>
        <w:rPr>
          <w:lang w:val="de-DE"/>
        </w:rPr>
        <w:t>(Stuttgart: Kohlhammer 2013) 280-85.</w:t>
      </w:r>
    </w:p>
  </w:endnote>
  <w:endnote w:id="27">
    <w:p w14:paraId="673490AA" w14:textId="75299925" w:rsidR="00680D04" w:rsidRPr="00F47CC5" w:rsidRDefault="00680D04">
      <w:pPr>
        <w:pStyle w:val="Endnotentext"/>
        <w:rPr>
          <w:lang w:val="de-DE"/>
        </w:rPr>
      </w:pPr>
      <w:r>
        <w:rPr>
          <w:rStyle w:val="Endnotenzeichen"/>
        </w:rPr>
        <w:endnoteRef/>
      </w:r>
      <w:r>
        <w:t xml:space="preserve"> </w:t>
      </w:r>
      <w:r>
        <w:rPr>
          <w:lang w:val="de-DE"/>
        </w:rPr>
        <w:t>Thus also in the Essene communities, cf. 1QS 6.8-9, and</w:t>
      </w:r>
      <w:r w:rsidRPr="009D778B">
        <w:rPr>
          <w:lang w:val="de-DE"/>
        </w:rPr>
        <w:t xml:space="preserve"> </w:t>
      </w:r>
      <w:r>
        <w:rPr>
          <w:lang w:val="de-DE"/>
        </w:rPr>
        <w:t xml:space="preserve">Philo, </w:t>
      </w:r>
      <w:r>
        <w:rPr>
          <w:i/>
          <w:lang w:val="de-DE"/>
        </w:rPr>
        <w:t xml:space="preserve">Omn. Prop. Lib. </w:t>
      </w:r>
      <w:r>
        <w:rPr>
          <w:lang w:val="de-DE"/>
        </w:rPr>
        <w:t>81-82.</w:t>
      </w:r>
    </w:p>
  </w:endnote>
  <w:endnote w:id="28">
    <w:p w14:paraId="66155805" w14:textId="709D2F8F" w:rsidR="00680D04" w:rsidRPr="00DE32DF" w:rsidRDefault="00680D04">
      <w:pPr>
        <w:pStyle w:val="Endnotentext"/>
        <w:rPr>
          <w:lang w:val="de-DE"/>
        </w:rPr>
      </w:pPr>
      <w:r>
        <w:rPr>
          <w:rStyle w:val="Endnotenzeichen"/>
        </w:rPr>
        <w:endnoteRef/>
      </w:r>
      <w:r>
        <w:t xml:space="preserve"> </w:t>
      </w:r>
      <w:r>
        <w:rPr>
          <w:lang w:val="de-DE"/>
        </w:rPr>
        <w:t>Cf Ciampa, R., Rosner B.,</w:t>
      </w:r>
      <w:r>
        <w:rPr>
          <w:i/>
          <w:lang w:val="de-DE"/>
        </w:rPr>
        <w:t>The First Letter to the Corinthians</w:t>
      </w:r>
      <w:r>
        <w:rPr>
          <w:lang w:val="de-DE"/>
        </w:rPr>
        <w:t>. (Grand Rapids: Eerdmans 2010) 720-23.</w:t>
      </w:r>
    </w:p>
  </w:endnote>
  <w:endnote w:id="29">
    <w:p w14:paraId="6BED67B8" w14:textId="49AAF7DB" w:rsidR="00680D04" w:rsidRPr="00350D13" w:rsidRDefault="00680D04">
      <w:pPr>
        <w:pStyle w:val="Endnotentext"/>
        <w:rPr>
          <w:i/>
          <w:lang w:val="de-DE"/>
        </w:rPr>
      </w:pPr>
      <w:r>
        <w:rPr>
          <w:rStyle w:val="Endnotenzeichen"/>
        </w:rPr>
        <w:endnoteRef/>
      </w:r>
      <w:r>
        <w:t xml:space="preserve"> </w:t>
      </w:r>
      <w:r>
        <w:rPr>
          <w:lang w:val="de-DE"/>
        </w:rPr>
        <w:t>Such teaching most likley happend for them in synagogue assemblies. See note 16 above.</w:t>
      </w:r>
    </w:p>
  </w:endnote>
  <w:endnote w:id="30">
    <w:p w14:paraId="352308D8" w14:textId="0D93203E" w:rsidR="00680D04" w:rsidRPr="00F47CC5" w:rsidRDefault="00680D04">
      <w:pPr>
        <w:pStyle w:val="Endnotentext"/>
        <w:rPr>
          <w:lang w:val="de-DE"/>
        </w:rPr>
      </w:pPr>
      <w:r>
        <w:rPr>
          <w:rStyle w:val="Endnotenzeichen"/>
        </w:rPr>
        <w:endnoteRef/>
      </w:r>
      <w:r>
        <w:t xml:space="preserve"> </w:t>
      </w:r>
      <w:r>
        <w:rPr>
          <w:lang w:val="de-DE"/>
        </w:rPr>
        <w:t xml:space="preserve">As e.g. that of the </w:t>
      </w:r>
      <w:r w:rsidRPr="00B55D78">
        <w:rPr>
          <w:i/>
          <w:lang w:val="de-DE"/>
        </w:rPr>
        <w:t>Therapeutae</w:t>
      </w:r>
      <w:r>
        <w:rPr>
          <w:lang w:val="de-DE"/>
        </w:rPr>
        <w:t xml:space="preserve"> as noted in Philo, </w:t>
      </w:r>
      <w:r>
        <w:rPr>
          <w:i/>
          <w:lang w:val="de-DE"/>
        </w:rPr>
        <w:t xml:space="preserve">Cont. </w:t>
      </w:r>
      <w:r>
        <w:rPr>
          <w:lang w:val="de-DE"/>
        </w:rPr>
        <w:t>75-80.</w:t>
      </w:r>
    </w:p>
  </w:endnote>
  <w:endnote w:id="31">
    <w:p w14:paraId="24B518A4" w14:textId="0CBCFE4D" w:rsidR="00680D04" w:rsidRPr="00F31859" w:rsidRDefault="00680D04">
      <w:pPr>
        <w:pStyle w:val="Endnotentext"/>
      </w:pPr>
      <w:r w:rsidRPr="00F31859">
        <w:rPr>
          <w:rStyle w:val="Endnotenzeichen"/>
        </w:rPr>
        <w:endnoteRef/>
      </w:r>
      <w:r w:rsidRPr="00F31859">
        <w:t xml:space="preserve"> </w:t>
      </w:r>
      <w:r>
        <w:t>Cf note 19 above</w:t>
      </w:r>
    </w:p>
  </w:endnote>
  <w:endnote w:id="32">
    <w:p w14:paraId="126B80A7" w14:textId="75F5BB3B" w:rsidR="00680D04" w:rsidRPr="001E5319" w:rsidRDefault="00680D04">
      <w:pPr>
        <w:pStyle w:val="Endnotentext"/>
      </w:pPr>
      <w:r w:rsidRPr="00F31859">
        <w:rPr>
          <w:rStyle w:val="Endnotenzeichen"/>
        </w:rPr>
        <w:endnoteRef/>
      </w:r>
      <w:r w:rsidRPr="00F31859">
        <w:t xml:space="preserve"> Ilan, </w:t>
      </w:r>
      <w:r w:rsidRPr="00F31859">
        <w:rPr>
          <w:i/>
        </w:rPr>
        <w:t xml:space="preserve">Silencing the Queen, </w:t>
      </w:r>
      <w:r w:rsidRPr="00F31859">
        <w:t xml:space="preserve">107-10. Cf also Caroline Johnson Hodge’s article which focuses on the dimension of holiness in this passage </w:t>
      </w:r>
      <w:r>
        <w:t xml:space="preserve">‘Married to an Unbeliever: Households, Hierarchies, and Holiness in 1 Corinthians 7:12-16’, </w:t>
      </w:r>
      <w:r>
        <w:rPr>
          <w:i/>
        </w:rPr>
        <w:t>HTR</w:t>
      </w:r>
      <w:r>
        <w:t xml:space="preserve"> 103.2010, 1-25.</w:t>
      </w:r>
    </w:p>
  </w:endnote>
  <w:endnote w:id="33">
    <w:p w14:paraId="07AA40A5" w14:textId="1BCBDDEB" w:rsidR="00680D04" w:rsidRPr="00402049" w:rsidRDefault="00680D04">
      <w:pPr>
        <w:pStyle w:val="Endnotentext"/>
        <w:rPr>
          <w:lang w:val="de-DE"/>
        </w:rPr>
      </w:pPr>
      <w:r>
        <w:rPr>
          <w:rStyle w:val="Endnotenzeichen"/>
        </w:rPr>
        <w:endnoteRef/>
      </w:r>
      <w:r>
        <w:t xml:space="preserve"> </w:t>
      </w:r>
      <w:r>
        <w:rPr>
          <w:lang w:val="de-DE"/>
        </w:rPr>
        <w:t xml:space="preserve">B.Brooten, </w:t>
      </w:r>
      <w:r>
        <w:rPr>
          <w:i/>
          <w:lang w:val="de-DE"/>
        </w:rPr>
        <w:t>Women Leaders in the Ancient Synagogue: Inscriptional Evidence and Background Issues.</w:t>
      </w:r>
      <w:r>
        <w:rPr>
          <w:lang w:val="de-DE"/>
        </w:rPr>
        <w:t xml:space="preserve"> (Chico,: Scholars 1982).</w:t>
      </w:r>
    </w:p>
  </w:endnote>
  <w:endnote w:id="34">
    <w:p w14:paraId="764A7934" w14:textId="0D847D14" w:rsidR="00680D04" w:rsidRPr="00402049" w:rsidRDefault="00680D04">
      <w:pPr>
        <w:pStyle w:val="Endnotentext"/>
        <w:rPr>
          <w:lang w:val="de-DE"/>
        </w:rPr>
      </w:pPr>
      <w:r>
        <w:rPr>
          <w:rStyle w:val="Endnotenzeichen"/>
        </w:rPr>
        <w:endnoteRef/>
      </w:r>
      <w:r>
        <w:t xml:space="preserve"> </w:t>
      </w:r>
      <w:r>
        <w:rPr>
          <w:lang w:val="de-DE"/>
        </w:rPr>
        <w:t xml:space="preserve">For a discussion see S.Matthews, </w:t>
      </w:r>
      <w:r>
        <w:rPr>
          <w:i/>
          <w:lang w:val="de-DE"/>
        </w:rPr>
        <w:t>Women in the Greetings of Romans 16.1-16.</w:t>
      </w:r>
      <w:r>
        <w:rPr>
          <w:lang w:val="de-DE"/>
        </w:rPr>
        <w:t>(London, New York: T&amp;T Clark 2013) 54-64</w:t>
      </w:r>
    </w:p>
  </w:endnote>
  <w:endnote w:id="35">
    <w:p w14:paraId="32F84B31" w14:textId="0E49BA81" w:rsidR="00680D04" w:rsidRPr="00624AFB" w:rsidRDefault="00680D04" w:rsidP="00B44DEF">
      <w:pPr>
        <w:pStyle w:val="Endnotentext"/>
      </w:pPr>
      <w:r>
        <w:rPr>
          <w:rStyle w:val="Endnotenzeichen"/>
        </w:rPr>
        <w:endnoteRef/>
      </w:r>
      <w:r>
        <w:t xml:space="preserve"> </w:t>
      </w:r>
      <w:r>
        <w:rPr>
          <w:lang w:val="de-DE"/>
        </w:rPr>
        <w:t xml:space="preserve">Dunn, J.D.G., </w:t>
      </w:r>
      <w:r>
        <w:t>‘Paul’s Conversion: A Light to 20</w:t>
      </w:r>
      <w:r w:rsidRPr="00624AFB">
        <w:rPr>
          <w:vertAlign w:val="superscript"/>
        </w:rPr>
        <w:t>th</w:t>
      </w:r>
      <w:r>
        <w:t xml:space="preserve"> Century Disputes’, in id. </w:t>
      </w:r>
      <w:r>
        <w:rPr>
          <w:i/>
        </w:rPr>
        <w:t xml:space="preserve">The New Perspective on Paul. </w:t>
      </w:r>
      <w:r>
        <w:t>(Tübingen: Mohr Siebeck 2005) 341-59.</w:t>
      </w:r>
    </w:p>
  </w:endnote>
  <w:endnote w:id="36">
    <w:p w14:paraId="7A696373" w14:textId="77777777" w:rsidR="00680D04" w:rsidRPr="004E611F" w:rsidRDefault="00680D04" w:rsidP="00B44DEF">
      <w:pPr>
        <w:pStyle w:val="Endnotentext"/>
        <w:rPr>
          <w:lang w:val="de-DE"/>
        </w:rPr>
      </w:pPr>
      <w:r>
        <w:rPr>
          <w:rStyle w:val="Endnotenzeichen"/>
        </w:rPr>
        <w:endnoteRef/>
      </w:r>
      <w:r>
        <w:t xml:space="preserve"> As the Gospel of Thomas assumes </w:t>
      </w:r>
      <w:r>
        <w:rPr>
          <w:i/>
        </w:rPr>
        <w:t>Gosp.Thom.</w:t>
      </w:r>
      <w:r>
        <w:t xml:space="preserve"> 114.</w:t>
      </w:r>
    </w:p>
  </w:endnote>
  <w:endnote w:id="37">
    <w:p w14:paraId="38192C03" w14:textId="77777777" w:rsidR="00680D04" w:rsidRPr="000F62E5" w:rsidRDefault="00680D04" w:rsidP="00B44DEF">
      <w:pPr>
        <w:pStyle w:val="Endnotentext"/>
      </w:pPr>
      <w:r>
        <w:rPr>
          <w:rStyle w:val="Endnotenzeichen"/>
        </w:rPr>
        <w:endnoteRef/>
      </w:r>
      <w:r>
        <w:t xml:space="preserve"> </w:t>
      </w:r>
      <w:r w:rsidRPr="000F62E5">
        <w:t>The problem may be more accentuated in English as the term used for this common humanity is actually identical with the one used for the male human beings, thus expressing quite clearly that the template of humanity is male.</w:t>
      </w:r>
      <w:r>
        <w:t xml:space="preserve"> The German term ‘</w:t>
      </w:r>
      <w:r w:rsidRPr="000F62E5">
        <w:t>Mensch’ for human being appears to express something beyond ge</w:t>
      </w:r>
      <w:r>
        <w:t>nder difference; but in both cases the terminology obscures the fact</w:t>
      </w:r>
      <w:r w:rsidRPr="000F62E5">
        <w:t xml:space="preserve"> that human beings only exist in conc</w:t>
      </w:r>
      <w:r>
        <w:t>rete form</w:t>
      </w:r>
      <w:r w:rsidRPr="000F62E5">
        <w:t xml:space="preserve">.  </w:t>
      </w:r>
    </w:p>
  </w:endnote>
  <w:endnote w:id="38">
    <w:p w14:paraId="38BA4509" w14:textId="2936DA32" w:rsidR="00680D04" w:rsidRPr="000F62E5" w:rsidRDefault="00680D04" w:rsidP="00B44DEF">
      <w:pPr>
        <w:pStyle w:val="Endnotentext"/>
      </w:pPr>
      <w:r w:rsidRPr="000F62E5">
        <w:rPr>
          <w:rStyle w:val="Endnotenzeichen"/>
        </w:rPr>
        <w:endnoteRef/>
      </w:r>
      <w:r>
        <w:t xml:space="preserve"> See</w:t>
      </w:r>
      <w:r w:rsidRPr="000F62E5">
        <w:t xml:space="preserve"> e.g. Okland, J. </w:t>
      </w:r>
      <w:r w:rsidRPr="006C1DCD">
        <w:rPr>
          <w:i/>
        </w:rPr>
        <w:t>Women in their Place: Paul and the Corinthian Discourse of Space and Sanctuary Space</w:t>
      </w:r>
      <w:r w:rsidRPr="000F62E5">
        <w:t xml:space="preserve">. </w:t>
      </w:r>
      <w:r>
        <w:t>(</w:t>
      </w:r>
      <w:r w:rsidRPr="000F62E5">
        <w:t>L</w:t>
      </w:r>
      <w:r>
        <w:t>ondon, New York: T&amp;T Clark 2004)</w:t>
      </w:r>
      <w:r w:rsidRPr="000F62E5">
        <w:t xml:space="preserve"> 15-20.</w:t>
      </w:r>
    </w:p>
  </w:endnote>
  <w:endnote w:id="39">
    <w:p w14:paraId="5CF72ADB" w14:textId="21CA9B4B" w:rsidR="00680D04" w:rsidRPr="000F62E5" w:rsidRDefault="00680D04" w:rsidP="00B44DEF">
      <w:pPr>
        <w:pStyle w:val="Endnotentext"/>
      </w:pPr>
      <w:r w:rsidRPr="000F62E5">
        <w:rPr>
          <w:rStyle w:val="Endnotenzeichen"/>
        </w:rPr>
        <w:endnoteRef/>
      </w:r>
      <w:r w:rsidRPr="000F62E5">
        <w:t xml:space="preserve"> See my disc</w:t>
      </w:r>
      <w:r>
        <w:t>ussion of the Roman concept of ‘</w:t>
      </w:r>
      <w:r w:rsidRPr="000F62E5">
        <w:t xml:space="preserve">humanitas’ in </w:t>
      </w:r>
      <w:r w:rsidRPr="000F62E5">
        <w:rPr>
          <w:i/>
        </w:rPr>
        <w:t>Paul at the Crossroads of Cultur</w:t>
      </w:r>
      <w:r>
        <w:rPr>
          <w:i/>
        </w:rPr>
        <w:t>es,</w:t>
      </w:r>
      <w:r w:rsidRPr="000F62E5">
        <w:t xml:space="preserve"> 89-90 and 97-101.</w:t>
      </w:r>
    </w:p>
  </w:endnote>
  <w:endnote w:id="40">
    <w:p w14:paraId="1134036E" w14:textId="2C992039" w:rsidR="00680D04" w:rsidRPr="002245B5" w:rsidRDefault="00680D04" w:rsidP="00B44DEF">
      <w:pPr>
        <w:pStyle w:val="Endnotentext"/>
        <w:rPr>
          <w:lang w:val="de-DE"/>
        </w:rPr>
      </w:pPr>
      <w:r>
        <w:rPr>
          <w:rStyle w:val="Endnotenzeichen"/>
        </w:rPr>
        <w:endnoteRef/>
      </w:r>
      <w:r>
        <w:t xml:space="preserve"> See e.g. </w:t>
      </w:r>
      <w:r>
        <w:rPr>
          <w:lang w:val="de-DE"/>
        </w:rPr>
        <w:t xml:space="preserve">Nanos, M.D. </w:t>
      </w:r>
      <w:r>
        <w:t xml:space="preserve">‘Paul and Judaism: Why Not Paul’s Judaism ?’,  in </w:t>
      </w:r>
      <w:r>
        <w:rPr>
          <w:i/>
        </w:rPr>
        <w:t xml:space="preserve">Paul Unbound. </w:t>
      </w:r>
      <w:r>
        <w:t>Given, M. ed. (Peabody: Hendrickson 2010) 117-60.</w:t>
      </w:r>
      <w:r>
        <w:rPr>
          <w:lang w:val="de-DE"/>
        </w:rPr>
        <w:t xml:space="preserve">Eisenbaum,P. </w:t>
      </w:r>
      <w:r>
        <w:rPr>
          <w:i/>
          <w:lang w:val="de-DE"/>
        </w:rPr>
        <w:t xml:space="preserve">Paul was not a Christian: The Original Message of a Misunderstood Jew. </w:t>
      </w:r>
      <w:r>
        <w:rPr>
          <w:lang w:val="de-DE"/>
        </w:rPr>
        <w:t xml:space="preserve">(New York: Harper/Collins 2009)  Campbell, W.S., </w:t>
      </w:r>
      <w:r>
        <w:rPr>
          <w:i/>
          <w:lang w:val="de-DE"/>
        </w:rPr>
        <w:t>Paul and the Creation of Christian Identity.</w:t>
      </w:r>
      <w:r>
        <w:rPr>
          <w:lang w:val="de-DE"/>
        </w:rPr>
        <w:t xml:space="preserve"> (London, New York: T&amp;T Clark 2006/08), Zetterholm, M. </w:t>
      </w:r>
      <w:r>
        <w:t xml:space="preserve">‘The Missing Messiah’, in </w:t>
      </w:r>
      <w:r>
        <w:rPr>
          <w:i/>
        </w:rPr>
        <w:t>The Messiah in Early Judaism and Christianity.</w:t>
      </w:r>
      <w:r>
        <w:t xml:space="preserve"> Kindle edition. (Minneapolis:Fortress 2007).</w:t>
      </w:r>
    </w:p>
  </w:endnote>
  <w:endnote w:id="41">
    <w:p w14:paraId="13744DB5" w14:textId="3A2A4B21" w:rsidR="00680D04" w:rsidRPr="006644D2" w:rsidRDefault="00680D04" w:rsidP="00B44DEF">
      <w:pPr>
        <w:pStyle w:val="Endnotentext"/>
      </w:pPr>
      <w:r>
        <w:rPr>
          <w:rStyle w:val="Endnotenzeichen"/>
        </w:rPr>
        <w:endnoteRef/>
      </w:r>
      <w:r>
        <w:t xml:space="preserve"> Sechrest. L. L., </w:t>
      </w:r>
      <w:r>
        <w:rPr>
          <w:i/>
        </w:rPr>
        <w:t xml:space="preserve">A Former Jew: Paul and the Dialectics of Race. </w:t>
      </w:r>
      <w:r>
        <w:t>(London, New York: T&amp;T Clark 2009).</w:t>
      </w:r>
    </w:p>
  </w:endnote>
  <w:endnote w:id="42">
    <w:p w14:paraId="07CA2ED6" w14:textId="30F32078" w:rsidR="00680D04" w:rsidRPr="00EB3C09" w:rsidRDefault="00680D04">
      <w:pPr>
        <w:pStyle w:val="Endnotentext"/>
        <w:rPr>
          <w:lang w:val="de-DE"/>
        </w:rPr>
      </w:pPr>
      <w:r>
        <w:rPr>
          <w:rStyle w:val="Endnotenzeichen"/>
        </w:rPr>
        <w:endnoteRef/>
      </w:r>
      <w:r>
        <w:t xml:space="preserve"> </w:t>
      </w:r>
      <w:r>
        <w:rPr>
          <w:lang w:val="de-DE"/>
        </w:rPr>
        <w:t xml:space="preserve">See Berkowitz, B.A., </w:t>
      </w:r>
      <w:r>
        <w:rPr>
          <w:i/>
          <w:lang w:val="de-DE"/>
        </w:rPr>
        <w:t xml:space="preserve">Defining Jewish Difference: From Antiquity to the Present. </w:t>
      </w:r>
      <w:r>
        <w:rPr>
          <w:lang w:val="de-DE"/>
        </w:rPr>
        <w:t>(Cambridge: Cambridge University Press 2012) 24-59.</w:t>
      </w:r>
    </w:p>
  </w:endnote>
  <w:endnote w:id="43">
    <w:p w14:paraId="119B812B" w14:textId="70753699" w:rsidR="00680D04" w:rsidRPr="00337E58" w:rsidRDefault="00680D04">
      <w:pPr>
        <w:pStyle w:val="Endnotentext"/>
        <w:rPr>
          <w:lang w:val="de-DE"/>
        </w:rPr>
      </w:pPr>
      <w:r>
        <w:rPr>
          <w:rStyle w:val="Endnotenzeichen"/>
        </w:rPr>
        <w:endnoteRef/>
      </w:r>
      <w:r>
        <w:t xml:space="preserve"> </w:t>
      </w:r>
      <w:r>
        <w:rPr>
          <w:lang w:val="de-DE"/>
        </w:rPr>
        <w:t xml:space="preserve">Gruen, E. S. </w:t>
      </w:r>
      <w:r>
        <w:rPr>
          <w:i/>
          <w:lang w:val="de-DE"/>
        </w:rPr>
        <w:t>Rethinking the Other in Antiquity.</w:t>
      </w:r>
      <w:r>
        <w:rPr>
          <w:lang w:val="de-DE"/>
        </w:rPr>
        <w:t>(Princeton: Princeton University Press 2011) 297-07.</w:t>
      </w:r>
    </w:p>
  </w:endnote>
  <w:endnote w:id="44">
    <w:p w14:paraId="1A4D4817" w14:textId="1B762937" w:rsidR="00680D04" w:rsidRPr="00A86BCE" w:rsidRDefault="00680D04" w:rsidP="00B44DEF">
      <w:pPr>
        <w:pStyle w:val="Endnotentext"/>
        <w:rPr>
          <w:szCs w:val="20"/>
        </w:rPr>
      </w:pPr>
      <w:r w:rsidRPr="00A86BCE">
        <w:rPr>
          <w:rStyle w:val="Endnotenzeichen"/>
          <w:szCs w:val="20"/>
        </w:rPr>
        <w:endnoteRef/>
      </w:r>
      <w:r w:rsidRPr="00A86BCE">
        <w:rPr>
          <w:szCs w:val="20"/>
        </w:rPr>
        <w:t xml:space="preserve"> Donaldson</w:t>
      </w:r>
      <w:r>
        <w:rPr>
          <w:szCs w:val="20"/>
        </w:rPr>
        <w:t>, T.L.</w:t>
      </w:r>
      <w:r>
        <w:rPr>
          <w:i/>
          <w:szCs w:val="20"/>
        </w:rPr>
        <w:t>Judaism and the Gentiles: Jewish Patterns of Universalism (to 135CE).</w:t>
      </w:r>
      <w:r>
        <w:rPr>
          <w:szCs w:val="20"/>
        </w:rPr>
        <w:t xml:space="preserve"> (Waco, TX: Baylor University Press 2007) </w:t>
      </w:r>
      <w:r w:rsidRPr="00A86BCE">
        <w:rPr>
          <w:szCs w:val="20"/>
        </w:rPr>
        <w:t>2.</w:t>
      </w:r>
    </w:p>
  </w:endnote>
  <w:endnote w:id="45">
    <w:p w14:paraId="44773DDE" w14:textId="3D6017C2" w:rsidR="00680D04" w:rsidRPr="00A86BCE" w:rsidRDefault="00680D04" w:rsidP="00B44DEF">
      <w:pPr>
        <w:pStyle w:val="Endnotentext"/>
        <w:rPr>
          <w:szCs w:val="20"/>
        </w:rPr>
      </w:pPr>
      <w:r w:rsidRPr="00A86BCE">
        <w:rPr>
          <w:rStyle w:val="Endnotenzeichen"/>
          <w:szCs w:val="20"/>
        </w:rPr>
        <w:endnoteRef/>
      </w:r>
      <w:r w:rsidRPr="00A86BCE">
        <w:rPr>
          <w:szCs w:val="20"/>
        </w:rPr>
        <w:t xml:space="preserve"> Cf. Kaminsky is of the view that even a text like Lev 24.22 which refers to ‘one law for natives and resident aliens’ implies ‘that the group boundaries remain intact.’ (</w:t>
      </w:r>
      <w:r>
        <w:rPr>
          <w:szCs w:val="20"/>
        </w:rPr>
        <w:t xml:space="preserve">Kaminsky, J. ‘Israel’s Election and the Other in Biblical, Second Temple and Rabbinic Thought’, in Harlow, D.C. et.al., (eds.), </w:t>
      </w:r>
      <w:r>
        <w:rPr>
          <w:i/>
          <w:szCs w:val="20"/>
        </w:rPr>
        <w:t>The ‘Other’ in Second Temple Judaism: Essays in Honor of John J. Collins.</w:t>
      </w:r>
      <w:r>
        <w:rPr>
          <w:szCs w:val="20"/>
        </w:rPr>
        <w:t xml:space="preserve"> (Grand Rapids: Eerdmans </w:t>
      </w:r>
      <w:r w:rsidRPr="00A86BCE">
        <w:rPr>
          <w:szCs w:val="20"/>
        </w:rPr>
        <w:t>2011</w:t>
      </w:r>
      <w:r>
        <w:rPr>
          <w:szCs w:val="20"/>
        </w:rPr>
        <w:t>) 17-30 (</w:t>
      </w:r>
      <w:r w:rsidRPr="00A86BCE">
        <w:rPr>
          <w:szCs w:val="20"/>
        </w:rPr>
        <w:t xml:space="preserve">20). </w:t>
      </w:r>
    </w:p>
  </w:endnote>
  <w:endnote w:id="46">
    <w:p w14:paraId="2D8D43AB" w14:textId="5F6C8459" w:rsidR="00680D04" w:rsidRPr="00A86BCE" w:rsidRDefault="00680D04" w:rsidP="00B44DEF">
      <w:pPr>
        <w:pStyle w:val="Endnotentext"/>
        <w:rPr>
          <w:szCs w:val="20"/>
        </w:rPr>
      </w:pPr>
      <w:r w:rsidRPr="00A86BCE">
        <w:rPr>
          <w:rStyle w:val="Endnotenzeichen"/>
          <w:szCs w:val="20"/>
        </w:rPr>
        <w:endnoteRef/>
      </w:r>
      <w:r w:rsidRPr="00A86BCE">
        <w:rPr>
          <w:szCs w:val="20"/>
        </w:rPr>
        <w:t xml:space="preserve"> On alterity see Levinas</w:t>
      </w:r>
      <w:r>
        <w:rPr>
          <w:szCs w:val="20"/>
        </w:rPr>
        <w:t xml:space="preserve">, E., </w:t>
      </w:r>
      <w:r>
        <w:rPr>
          <w:i/>
          <w:szCs w:val="20"/>
        </w:rPr>
        <w:t xml:space="preserve">Totality and Infinity: An Essay on Exteriority. </w:t>
      </w:r>
      <w:r>
        <w:rPr>
          <w:szCs w:val="20"/>
        </w:rPr>
        <w:t xml:space="preserve">(Pittsburgh, PA: Duquesne University Press 1969) </w:t>
      </w:r>
      <w:r w:rsidRPr="00A86BCE">
        <w:rPr>
          <w:szCs w:val="20"/>
        </w:rPr>
        <w:t xml:space="preserve">194-219, 1995:24-55, also my discussion of Levinas and Paul in </w:t>
      </w:r>
      <w:r>
        <w:rPr>
          <w:szCs w:val="20"/>
        </w:rPr>
        <w:t xml:space="preserve"> ‘Levinas, the Jewish Philosopher meets Paul, the Jewish Apostle: Reading Romans in the Face of the Other’, in </w:t>
      </w:r>
      <w:r>
        <w:rPr>
          <w:i/>
          <w:szCs w:val="20"/>
        </w:rPr>
        <w:t>Reading Romans with Contemporary Philosophers and Theologians</w:t>
      </w:r>
      <w:r w:rsidRPr="00A86BCE">
        <w:rPr>
          <w:szCs w:val="20"/>
        </w:rPr>
        <w:t>.</w:t>
      </w:r>
      <w:r>
        <w:rPr>
          <w:szCs w:val="20"/>
        </w:rPr>
        <w:t xml:space="preserve"> Odell-Scott, D.ed., (London, New York: T&amp;T Clark 2007) 115-54.</w:t>
      </w:r>
    </w:p>
  </w:endnote>
  <w:endnote w:id="47">
    <w:p w14:paraId="25D78CC1" w14:textId="6C6605A1" w:rsidR="00680D04" w:rsidRPr="00104700" w:rsidRDefault="00680D04">
      <w:pPr>
        <w:pStyle w:val="Endnotentext"/>
        <w:rPr>
          <w:i/>
          <w:lang w:val="de-DE"/>
        </w:rPr>
      </w:pPr>
      <w:r>
        <w:rPr>
          <w:rStyle w:val="Endnotenzeichen"/>
        </w:rPr>
        <w:endnoteRef/>
      </w:r>
      <w:r>
        <w:t xml:space="preserve"> </w:t>
      </w:r>
      <w:r>
        <w:rPr>
          <w:lang w:val="de-DE"/>
        </w:rPr>
        <w:t xml:space="preserve">For more details see the discussion by Donaldson, </w:t>
      </w:r>
      <w:r>
        <w:rPr>
          <w:i/>
          <w:lang w:val="de-DE"/>
        </w:rPr>
        <w:t>Judaism and the Gentiles,</w:t>
      </w:r>
      <w:r>
        <w:rPr>
          <w:lang w:val="de-DE"/>
        </w:rPr>
        <w:t>499-505, also my</w:t>
      </w:r>
      <w:r>
        <w:rPr>
          <w:i/>
          <w:lang w:val="de-DE"/>
        </w:rPr>
        <w:t xml:space="preserve"> Paul at the Crossroads of Cultures,</w:t>
      </w:r>
      <w:r>
        <w:rPr>
          <w:lang w:val="de-DE"/>
        </w:rPr>
        <w:t xml:space="preserve"> 154-60.</w:t>
      </w:r>
      <w:r>
        <w:rPr>
          <w:i/>
          <w:lang w:val="de-DE"/>
        </w:rPr>
        <w:t xml:space="preserve"> </w:t>
      </w:r>
    </w:p>
  </w:endnote>
  <w:endnote w:id="48">
    <w:p w14:paraId="7A5EAA34" w14:textId="269A3ED4" w:rsidR="00680D04" w:rsidRPr="00E938F1" w:rsidRDefault="00680D04" w:rsidP="00B44DEF">
      <w:pPr>
        <w:pStyle w:val="Endnotentext"/>
        <w:rPr>
          <w:lang w:val="de-DE"/>
        </w:rPr>
      </w:pPr>
      <w:r w:rsidRPr="00E938F1">
        <w:rPr>
          <w:rStyle w:val="Endnotenzeichen"/>
        </w:rPr>
        <w:endnoteRef/>
      </w:r>
      <w:r w:rsidRPr="00E938F1">
        <w:t xml:space="preserve"> </w:t>
      </w:r>
      <w:r w:rsidRPr="00E938F1">
        <w:rPr>
          <w:lang w:val="de-DE"/>
        </w:rPr>
        <w:t xml:space="preserve">See my </w:t>
      </w:r>
      <w:r w:rsidRPr="00E938F1">
        <w:rPr>
          <w:rFonts w:eastAsiaTheme="minorHAnsi"/>
        </w:rPr>
        <w:t>‘</w:t>
      </w:r>
      <w:r w:rsidRPr="00E938F1">
        <w:t>The Ministry to Jerusalem (Rom 15.31): Paul's Hopes and Fears’</w:t>
      </w:r>
      <w:r w:rsidRPr="00E938F1">
        <w:rPr>
          <w:b/>
        </w:rPr>
        <w:t xml:space="preserve">, </w:t>
      </w:r>
      <w:r w:rsidRPr="00E938F1">
        <w:rPr>
          <w:rFonts w:eastAsiaTheme="minorHAnsi"/>
        </w:rPr>
        <w:t xml:space="preserve">in </w:t>
      </w:r>
      <w:r w:rsidRPr="00E938F1">
        <w:rPr>
          <w:rFonts w:eastAsiaTheme="minorHAnsi"/>
          <w:i/>
        </w:rPr>
        <w:t>‘Jerusalem’, Festschrift für Ekkehard W.Stegemann</w:t>
      </w:r>
      <w:r w:rsidRPr="00E938F1">
        <w:rPr>
          <w:rFonts w:eastAsiaTheme="minorHAnsi"/>
        </w:rPr>
        <w:t xml:space="preserve">. L. Kundert,  Ch. Tuor, eds., </w:t>
      </w:r>
      <w:r>
        <w:rPr>
          <w:rFonts w:eastAsiaTheme="minorHAnsi"/>
        </w:rPr>
        <w:t>(Zurich: Theologischer Verlag)</w:t>
      </w:r>
      <w:r w:rsidRPr="00E938F1">
        <w:rPr>
          <w:rFonts w:eastAsiaTheme="minorHAnsi"/>
        </w:rPr>
        <w:t xml:space="preserve"> forthcoming</w:t>
      </w:r>
    </w:p>
  </w:endnote>
  <w:endnote w:id="49">
    <w:p w14:paraId="1CB47F9C" w14:textId="09EF5A5F" w:rsidR="00680D04" w:rsidRPr="00C92C6B" w:rsidRDefault="00680D04" w:rsidP="00B44DEF">
      <w:pPr>
        <w:pStyle w:val="Endnotentext"/>
        <w:rPr>
          <w:lang w:val="de-DE"/>
        </w:rPr>
      </w:pPr>
      <w:r>
        <w:rPr>
          <w:rStyle w:val="Endnotenzeichen"/>
        </w:rPr>
        <w:endnoteRef/>
      </w:r>
      <w:r>
        <w:t xml:space="preserve"> Campbell, </w:t>
      </w:r>
      <w:r w:rsidRPr="006C1DCD">
        <w:rPr>
          <w:i/>
        </w:rPr>
        <w:t>Unity and Diversity in Christ</w:t>
      </w:r>
      <w:r>
        <w:t>:</w:t>
      </w:r>
      <w:r>
        <w:rPr>
          <w:i/>
        </w:rPr>
        <w:t xml:space="preserve">Interpreting Paul in Context. </w:t>
      </w:r>
      <w:r>
        <w:t>(Eugene,OR: Cascade 2013) 205-23; Tucker, J.B.</w:t>
      </w:r>
      <w:r>
        <w:rPr>
          <w:i/>
        </w:rPr>
        <w:t>Remain in your</w:t>
      </w:r>
      <w:r w:rsidRPr="006C1DCD">
        <w:rPr>
          <w:i/>
        </w:rPr>
        <w:t xml:space="preserve"> Calling : Paul and t</w:t>
      </w:r>
      <w:r>
        <w:rPr>
          <w:i/>
        </w:rPr>
        <w:t>he Continuation of Social Identi</w:t>
      </w:r>
      <w:r w:rsidRPr="006C1DCD">
        <w:rPr>
          <w:i/>
        </w:rPr>
        <w:t>ty in 1 Corinthians 1-4</w:t>
      </w:r>
      <w:r>
        <w:t>.(Eugene, OR: Pickwick 2011).</w:t>
      </w:r>
    </w:p>
  </w:endnote>
  <w:endnote w:id="50">
    <w:p w14:paraId="53903ABE" w14:textId="226E4DA4" w:rsidR="00680D04" w:rsidRPr="001E19F4" w:rsidRDefault="00680D04" w:rsidP="00B44DEF">
      <w:pPr>
        <w:pStyle w:val="Endnotentext"/>
      </w:pPr>
      <w:r>
        <w:rPr>
          <w:rStyle w:val="Endnotenzeichen"/>
        </w:rPr>
        <w:endnoteRef/>
      </w:r>
      <w:r>
        <w:t xml:space="preserve"> See my </w:t>
      </w:r>
      <w:r w:rsidRPr="006C1DCD">
        <w:rPr>
          <w:i/>
        </w:rPr>
        <w:t>Paul at the Crossroads of Cultures</w:t>
      </w:r>
      <w:r>
        <w:t>, 156-58.</w:t>
      </w:r>
    </w:p>
  </w:endnote>
  <w:endnote w:id="51">
    <w:p w14:paraId="7B54C275" w14:textId="5BA7C3E7" w:rsidR="00680D04" w:rsidRPr="00613EB7" w:rsidRDefault="00680D04" w:rsidP="00B44DEF">
      <w:pPr>
        <w:pStyle w:val="Endnotentext"/>
      </w:pPr>
      <w:r w:rsidRPr="00613EB7">
        <w:rPr>
          <w:rStyle w:val="Endnotenzeichen"/>
        </w:rPr>
        <w:endnoteRef/>
      </w:r>
      <w:r w:rsidRPr="00613EB7">
        <w:t xml:space="preserve"> Levinas, E. </w:t>
      </w:r>
      <w:r w:rsidRPr="00613EB7">
        <w:rPr>
          <w:i/>
        </w:rPr>
        <w:t>Totality and Infinity.</w:t>
      </w:r>
      <w:r w:rsidRPr="00613EB7">
        <w:t xml:space="preserve"> 8th ed.</w:t>
      </w:r>
      <w:r>
        <w:t>(</w:t>
      </w:r>
      <w:r w:rsidRPr="00613EB7">
        <w:t>Pittsburgh,PA: Duquesne University Press 1992</w:t>
      </w:r>
      <w:r>
        <w:t>), 73, cf also my discussion in ‘</w:t>
      </w:r>
      <w:r w:rsidRPr="00613EB7">
        <w:t xml:space="preserve">Reading Romans </w:t>
      </w:r>
      <w:r>
        <w:t>“i</w:t>
      </w:r>
      <w:r w:rsidRPr="00613EB7">
        <w:t>n the Face of the Other“: Levinas, the Jewish Philosopher meets Paul, the Jewish Apostle’, in D.Odell-Scott, (ed.)</w:t>
      </w:r>
      <w:r>
        <w:t xml:space="preserve"> </w:t>
      </w:r>
      <w:r w:rsidRPr="00613EB7">
        <w:rPr>
          <w:i/>
        </w:rPr>
        <w:t>Reading Roman</w:t>
      </w:r>
      <w:r>
        <w:rPr>
          <w:i/>
        </w:rPr>
        <w:t>s.</w:t>
      </w:r>
    </w:p>
  </w:endnote>
  <w:endnote w:id="52">
    <w:p w14:paraId="42E3C74B" w14:textId="068D4BE1" w:rsidR="00680D04" w:rsidRPr="00453724" w:rsidRDefault="00680D04">
      <w:pPr>
        <w:pStyle w:val="Endnotentext"/>
        <w:rPr>
          <w:lang w:val="de-DE"/>
        </w:rPr>
      </w:pPr>
      <w:r>
        <w:rPr>
          <w:rStyle w:val="Endnotenzeichen"/>
        </w:rPr>
        <w:endnoteRef/>
      </w:r>
      <w:r>
        <w:t xml:space="preserve"> </w:t>
      </w:r>
      <w:r>
        <w:rPr>
          <w:lang w:val="de-DE"/>
        </w:rPr>
        <w:t xml:space="preserve">For a detailed discussion see my </w:t>
      </w:r>
      <w:r>
        <w:rPr>
          <w:i/>
          <w:lang w:val="de-DE"/>
        </w:rPr>
        <w:t>That We May Be Mutually Encouraged,</w:t>
      </w:r>
      <w:r>
        <w:rPr>
          <w:lang w:val="de-DE"/>
        </w:rPr>
        <w:t xml:space="preserve"> 97-110.</w:t>
      </w:r>
    </w:p>
  </w:endnote>
  <w:endnote w:id="53">
    <w:p w14:paraId="2545C590" w14:textId="00751508" w:rsidR="00680D04" w:rsidRPr="00A348FF" w:rsidRDefault="00680D04">
      <w:pPr>
        <w:pStyle w:val="Endnotentext"/>
        <w:rPr>
          <w:lang w:val="de-DE"/>
        </w:rPr>
      </w:pPr>
      <w:r>
        <w:rPr>
          <w:rStyle w:val="Endnotenzeichen"/>
        </w:rPr>
        <w:endnoteRef/>
      </w:r>
      <w:r>
        <w:t xml:space="preserve"> </w:t>
      </w:r>
      <w:r>
        <w:rPr>
          <w:lang w:val="de-DE"/>
        </w:rPr>
        <w:t xml:space="preserve">Arendt, H. </w:t>
      </w:r>
      <w:r>
        <w:rPr>
          <w:i/>
          <w:lang w:val="de-DE"/>
        </w:rPr>
        <w:t>The Human Condition.</w:t>
      </w:r>
      <w:r>
        <w:rPr>
          <w:lang w:val="de-DE"/>
        </w:rPr>
        <w:t xml:space="preserve"> (Chicago: Chicago University Press 1958) 8. </w:t>
      </w:r>
    </w:p>
  </w:endnote>
  <w:endnote w:id="54">
    <w:p w14:paraId="19342008" w14:textId="7475E665" w:rsidR="00680D04" w:rsidRPr="00B32493" w:rsidRDefault="00680D04">
      <w:pPr>
        <w:pStyle w:val="Endnotentext"/>
        <w:rPr>
          <w:lang w:val="de-DE"/>
        </w:rPr>
      </w:pPr>
      <w:r>
        <w:rPr>
          <w:rStyle w:val="Endnotenzeichen"/>
        </w:rPr>
        <w:endnoteRef/>
      </w:r>
      <w:r>
        <w:t xml:space="preserve"> </w:t>
      </w:r>
      <w:r>
        <w:rPr>
          <w:lang w:val="de-DE"/>
        </w:rPr>
        <w:t xml:space="preserve">Bourdieu </w:t>
      </w:r>
      <w:r>
        <w:t>has argued that this habitus, understood as dispositions, is imprinted durably in us and decisively shapes our on-going interactions and reactions as we walk through life. It is thereby further formed and transformed by new contexts and experiences, based on, and in relation to, the existing imprint.</w:t>
      </w:r>
    </w:p>
  </w:endnote>
  <w:endnote w:id="55">
    <w:p w14:paraId="1287146F" w14:textId="7EADFCFA" w:rsidR="00680D04" w:rsidRPr="00B32493" w:rsidRDefault="00680D04">
      <w:pPr>
        <w:pStyle w:val="Endnotentext"/>
        <w:rPr>
          <w:lang w:val="de-DE"/>
        </w:rPr>
      </w:pPr>
      <w:r>
        <w:rPr>
          <w:rStyle w:val="Endnotenzeichen"/>
        </w:rPr>
        <w:endnoteRef/>
      </w:r>
      <w:r>
        <w:t xml:space="preserve"> Some feminist theorists have argued that this amounts to a deterministic inscription of gender leaving no room for agency and change.</w:t>
      </w:r>
      <w:r>
        <w:rPr>
          <w:rStyle w:val="Endnotenzeichen"/>
        </w:rPr>
        <w:t xml:space="preserve"> </w:t>
      </w:r>
      <w:r>
        <w:t xml:space="preserve"> (See discussions</w:t>
      </w:r>
      <w:r w:rsidR="00BF0DC2">
        <w:t xml:space="preserve"> in Adkins, L. Skeggs, B. eds.</w:t>
      </w:r>
      <w:r>
        <w:t xml:space="preserve">, </w:t>
      </w:r>
      <w:r>
        <w:rPr>
          <w:i/>
        </w:rPr>
        <w:t>Feminism after Bourdieu.</w:t>
      </w:r>
      <w:r>
        <w:t xml:space="preserve">(Oxford: Blackwell Publishing 2004) .Over against this, feminists from a poststructuralist perspective have argued for a radical constructivist stance in that gender is a performative discourse at the symbolic level of language attributing the potential and power of agency to this level. However, this has been considered as a conflation of social reality with linguistic reality, and as dealing with issues of gender and other inequalities at an abstract level. In response to such theories, Bourdieu formulated that ‘While it never does harm to point out that gender, nation, or ethnicity or race are social constructs, it is naïve, even dangerous, to suppose and suggest that one only has to ‘deconstruct’ these social artefacts, in a purely performative celebration of “resistance”, in order to </w:t>
      </w:r>
      <w:r>
        <w:rPr>
          <w:i/>
        </w:rPr>
        <w:t xml:space="preserve">destroy </w:t>
      </w:r>
      <w:r>
        <w:t xml:space="preserve">them.’ (Bourdieu, P. </w:t>
      </w:r>
      <w:r>
        <w:rPr>
          <w:i/>
        </w:rPr>
        <w:t>Pascalian Meditations.</w:t>
      </w:r>
      <w:r>
        <w:t xml:space="preserve"> </w:t>
      </w:r>
      <w:r w:rsidR="00BF0DC2">
        <w:t>.[Oxford: Polity Press 2000]</w:t>
      </w:r>
      <w:r>
        <w:t xml:space="preserve"> 108).</w:t>
      </w:r>
      <w:r>
        <w:rPr>
          <w:rStyle w:val="Endnotenzeichen"/>
        </w:rPr>
        <w:t xml:space="preserve"> </w:t>
      </w:r>
      <w:r>
        <w:t xml:space="preserve">I cannot discuss this debate here, but it is worth noting that feminist political theorist Lois McNay comments concerning post-structuralist feminism that ‘The imperialism of the universal that is implied in the over-extension of a linguistic model of identity formation is, in the final analysis, a form </w:t>
      </w:r>
      <w:r>
        <w:rPr>
          <w:i/>
        </w:rPr>
        <w:t xml:space="preserve">par excellence </w:t>
      </w:r>
      <w:r>
        <w:t xml:space="preserve">of symbolic violence perpetuated by “enlightened” élites upon the practical activities of social actors.’ (MacNay, L. ‘Agency and Experience: Gender as Lived Relation’, in Adkins, Skeggs, </w:t>
      </w:r>
      <w:r>
        <w:rPr>
          <w:i/>
        </w:rPr>
        <w:t xml:space="preserve">Feminism after Bourdieu, </w:t>
      </w:r>
      <w:r>
        <w:t>175-190, 181).</w:t>
      </w:r>
      <w:r>
        <w:rPr>
          <w:rStyle w:val="Endnotenzeichen"/>
        </w:rPr>
        <w:t xml:space="preserve"> </w:t>
      </w:r>
      <w:r>
        <w:t>She and other feminist theorists engage critically with Bourdieu’s work and consider it relevant, albeit within limitations, for gender-critical approaches.</w:t>
      </w:r>
    </w:p>
  </w:endnote>
  <w:endnote w:id="56">
    <w:p w14:paraId="0D41006C" w14:textId="68C202C5" w:rsidR="00680D04" w:rsidRPr="00D43EE1" w:rsidRDefault="00680D04" w:rsidP="00B44DEF">
      <w:pPr>
        <w:pStyle w:val="Endnotentext"/>
      </w:pPr>
      <w:r>
        <w:rPr>
          <w:rStyle w:val="Endnotenzeichen"/>
        </w:rPr>
        <w:endnoteRef/>
      </w:r>
      <w:r>
        <w:t xml:space="preserve"> Including Biblical Studies, as e.g. J.Glancy’s </w:t>
      </w:r>
      <w:r>
        <w:rPr>
          <w:i/>
        </w:rPr>
        <w:t xml:space="preserve">Corporeal Knowledge: Early Christian Bodies. </w:t>
      </w:r>
      <w:r w:rsidR="00BF0DC2">
        <w:t>(</w:t>
      </w:r>
      <w:r>
        <w:t>New York: Oxford University Press 2010</w:t>
      </w:r>
      <w:r w:rsidR="00BF0DC2">
        <w:t>)</w:t>
      </w:r>
      <w:r>
        <w:t xml:space="preserve"> demonstrates.</w:t>
      </w:r>
    </w:p>
  </w:endnote>
  <w:endnote w:id="57">
    <w:p w14:paraId="11B9EEA0" w14:textId="77777777" w:rsidR="00680D04" w:rsidRPr="00D43EE1" w:rsidRDefault="00680D04" w:rsidP="00B44DEF">
      <w:pPr>
        <w:pStyle w:val="Endnotentext"/>
      </w:pPr>
      <w:r>
        <w:rPr>
          <w:rStyle w:val="Endnotenzeichen"/>
        </w:rPr>
        <w:endnoteRef/>
      </w:r>
      <w:r>
        <w:t xml:space="preserve"> </w:t>
      </w:r>
      <w:r>
        <w:rPr>
          <w:lang w:val="de-DE"/>
        </w:rPr>
        <w:t xml:space="preserve">Krais, B., </w:t>
      </w:r>
      <w:r>
        <w:t xml:space="preserve">‘Gender, Sociological Theory and Bourdieu’s Sociology of Practice’, </w:t>
      </w:r>
      <w:r>
        <w:rPr>
          <w:i/>
        </w:rPr>
        <w:t xml:space="preserve">Theory, Culture, Society </w:t>
      </w:r>
      <w:r>
        <w:t>2006/23, 119-134, (129).</w:t>
      </w:r>
    </w:p>
  </w:endnote>
  <w:endnote w:id="58">
    <w:p w14:paraId="25043D3A" w14:textId="77777777" w:rsidR="00680D04" w:rsidRPr="00CF0E9D" w:rsidRDefault="00680D04" w:rsidP="00B44DEF">
      <w:pPr>
        <w:pStyle w:val="Endnotentext"/>
      </w:pPr>
      <w:r>
        <w:rPr>
          <w:rStyle w:val="Endnotenzeichen"/>
        </w:rPr>
        <w:endnoteRef/>
      </w:r>
      <w:r>
        <w:t xml:space="preserve"> </w:t>
      </w:r>
      <w:r>
        <w:rPr>
          <w:lang w:val="de-DE"/>
        </w:rPr>
        <w:t xml:space="preserve">Krais, </w:t>
      </w:r>
      <w:r>
        <w:t>‘Gender, Sociological Theory’, 127.</w:t>
      </w:r>
    </w:p>
  </w:endnote>
  <w:endnote w:id="59">
    <w:p w14:paraId="2EADB064" w14:textId="3DD5B78A" w:rsidR="00680D04" w:rsidRPr="006C04E7" w:rsidRDefault="00680D04" w:rsidP="00B44DEF">
      <w:pPr>
        <w:pStyle w:val="Endnotentext"/>
      </w:pPr>
      <w:r>
        <w:rPr>
          <w:rStyle w:val="Endnotenzeichen"/>
        </w:rPr>
        <w:endnoteRef/>
      </w:r>
      <w:r>
        <w:t xml:space="preserve"> Bourdieu, P. </w:t>
      </w:r>
      <w:r>
        <w:rPr>
          <w:i/>
        </w:rPr>
        <w:t>The Logic of Practice.</w:t>
      </w:r>
      <w:r>
        <w:t xml:space="preserve"> </w:t>
      </w:r>
      <w:r w:rsidR="00BF0DC2">
        <w:t>(</w:t>
      </w:r>
      <w:r>
        <w:t>Cambridge: Polity  1990</w:t>
      </w:r>
      <w:r w:rsidR="00BF0DC2">
        <w:t>)</w:t>
      </w:r>
      <w:r>
        <w:t>, 73.</w:t>
      </w:r>
    </w:p>
  </w:endnote>
  <w:endnote w:id="60">
    <w:p w14:paraId="5854A965" w14:textId="77777777" w:rsidR="00680D04" w:rsidRPr="006B6B1B" w:rsidRDefault="00680D04" w:rsidP="00B44DEF">
      <w:pPr>
        <w:pStyle w:val="Endnotentext"/>
      </w:pPr>
      <w:r>
        <w:rPr>
          <w:rStyle w:val="Endnotenzeichen"/>
        </w:rPr>
        <w:endnoteRef/>
      </w:r>
      <w:r>
        <w:t xml:space="preserve"> Bourdieu, Logic of Practice, 91.</w:t>
      </w:r>
    </w:p>
  </w:endnote>
  <w:endnote w:id="61">
    <w:p w14:paraId="0E280DA0" w14:textId="77777777" w:rsidR="00680D04" w:rsidRPr="002B7C72" w:rsidRDefault="00680D04" w:rsidP="00B44DEF">
      <w:pPr>
        <w:pStyle w:val="Endnotentext"/>
      </w:pPr>
      <w:r>
        <w:rPr>
          <w:rStyle w:val="Endnotenzeichen"/>
        </w:rPr>
        <w:endnoteRef/>
      </w:r>
      <w:r>
        <w:t xml:space="preserve"> </w:t>
      </w:r>
      <w:r>
        <w:rPr>
          <w:lang w:val="de-DE"/>
        </w:rPr>
        <w:t xml:space="preserve">See Krais, </w:t>
      </w:r>
      <w:r>
        <w:t>‘Gender, Sociological Theory’, 128.</w:t>
      </w:r>
    </w:p>
  </w:endnote>
  <w:endnote w:id="62">
    <w:p w14:paraId="1129FB1B" w14:textId="4DC7E256" w:rsidR="00680D04" w:rsidRPr="00B927C0" w:rsidRDefault="00680D04" w:rsidP="00B44DEF">
      <w:pPr>
        <w:pStyle w:val="Endnotentext"/>
      </w:pPr>
      <w:r>
        <w:rPr>
          <w:rStyle w:val="Endnotenzeichen"/>
        </w:rPr>
        <w:endnoteRef/>
      </w:r>
      <w:r>
        <w:t xml:space="preserve"> </w:t>
      </w:r>
      <w:r w:rsidRPr="00CC7853">
        <w:t xml:space="preserve">cf also my </w:t>
      </w:r>
      <w:r>
        <w:t xml:space="preserve">‘”Called to be Saints’ – the Identity-Shaping Dimension of Paul’s Priestly Discourse in Romans’, </w:t>
      </w:r>
      <w:r w:rsidRPr="00B927C0">
        <w:t xml:space="preserve">in </w:t>
      </w:r>
      <w:r w:rsidRPr="00B927C0">
        <w:rPr>
          <w:i/>
          <w:iCs/>
        </w:rPr>
        <w:t>Reading Paul in Context: Explorations in Identity Formation, Essays in Honour of William S. Campbell.</w:t>
      </w:r>
      <w:r w:rsidRPr="00B927C0">
        <w:t xml:space="preserve"> J.Brian Tucker, Kathy Ehrensperger, eds.,</w:t>
      </w:r>
      <w:r w:rsidR="00BF0DC2">
        <w:t>(</w:t>
      </w:r>
      <w:r w:rsidRPr="00B927C0">
        <w:t>London, New York: T&amp;T Clark</w:t>
      </w:r>
      <w:r w:rsidR="00BF0DC2">
        <w:t xml:space="preserve"> 2010)</w:t>
      </w:r>
      <w:r>
        <w:t>, 90-109.</w:t>
      </w:r>
      <w:r w:rsidRPr="00B927C0">
        <w:t xml:space="preserve"> </w:t>
      </w:r>
    </w:p>
  </w:endnote>
  <w:endnote w:id="63">
    <w:p w14:paraId="1292E91E" w14:textId="22319667" w:rsidR="00680D04" w:rsidRPr="00CC7853" w:rsidRDefault="00680D04" w:rsidP="00B44DEF">
      <w:pPr>
        <w:pStyle w:val="Endnotentext"/>
      </w:pPr>
      <w:r w:rsidRPr="00CC7853">
        <w:rPr>
          <w:rStyle w:val="Endnotenzeichen"/>
        </w:rPr>
        <w:endnoteRef/>
      </w:r>
      <w:r w:rsidRPr="00CC7853">
        <w:t xml:space="preserve"> Such readings are mainly rooted in male-stream theological perceptions of God as the absolute sovereign to whom humans owe submissive obedience. Such images of God have been challenged by feminist theologians as replications of patriarchal/kyriarchal paradigms of domination into the realm of the divine. Read through such frameworks Paul then is seen as replicating such paradigms and contributes to their stabilization. Feminist theologians such </w:t>
      </w:r>
      <w:r>
        <w:t>as Serene Jones</w:t>
      </w:r>
      <w:r w:rsidRPr="00CC7853">
        <w:t xml:space="preserve"> and Joy Ann McDougall (‘Sin – No More? A Feminist Re-Visioning of a Christian Theology of Sin’, </w:t>
      </w:r>
      <w:r w:rsidRPr="00CC7853">
        <w:rPr>
          <w:i/>
        </w:rPr>
        <w:t xml:space="preserve">Anglican Theological Review </w:t>
      </w:r>
      <w:r w:rsidRPr="00CC7853">
        <w:t xml:space="preserve">88.2, 2006, 215-35),have presented feminist approaches to the image of God and divine – human relation which emphasize interdependence and re-sponsiveness as characteristics in this respect. </w:t>
      </w:r>
      <w:r>
        <w:t xml:space="preserve">However, they do not refer to Jewish tradition as actually the basis and root for such a perception of the divine-human relation. </w:t>
      </w:r>
      <w:r w:rsidRPr="00CC7853">
        <w:t xml:space="preserve">Based on feminist theories </w:t>
      </w:r>
      <w:r>
        <w:t>of power I have argued</w:t>
      </w:r>
      <w:r w:rsidRPr="00CC7853">
        <w:t xml:space="preserve"> for a reading of the Pauline discourse of ὑπακοὴ πίστεως as a discourse of res</w:t>
      </w:r>
      <w:r>
        <w:t>p</w:t>
      </w:r>
      <w:r w:rsidRPr="00CC7853">
        <w:t>onse-ability</w:t>
      </w:r>
      <w:r>
        <w:t xml:space="preserve"> rooted in Judaism</w:t>
      </w:r>
      <w:r w:rsidRPr="00CC7853">
        <w:t>. (</w:t>
      </w:r>
      <w:r>
        <w:rPr>
          <w:i/>
        </w:rPr>
        <w:t xml:space="preserve">Paul and the Dynamics of Power, </w:t>
      </w:r>
      <w:r>
        <w:t>160-72</w:t>
      </w:r>
      <w:r w:rsidRPr="00CC7853">
        <w:t>)</w:t>
      </w:r>
    </w:p>
  </w:endnote>
  <w:endnote w:id="64">
    <w:p w14:paraId="20458138" w14:textId="6D1F8945" w:rsidR="00680D04" w:rsidRPr="00F663D5" w:rsidRDefault="00680D04">
      <w:pPr>
        <w:pStyle w:val="Endnotentext"/>
        <w:rPr>
          <w:lang w:val="de-DE"/>
        </w:rPr>
      </w:pPr>
      <w:r>
        <w:rPr>
          <w:rStyle w:val="Endnotenzeichen"/>
        </w:rPr>
        <w:endnoteRef/>
      </w:r>
      <w:r>
        <w:t xml:space="preserve"> Cf Augustus report about the conquest of the Dacians ‘an army of Dacians which crossed to the south of that river was, under my auspices, defeated and crushed, and afterwards my own army was led across the Danube and compelled the nations of the Dacians to submit to the rule of the Roman people.’</w:t>
      </w:r>
      <w:r w:rsidRPr="00627FE5">
        <w:rPr>
          <w:i/>
        </w:rPr>
        <w:t xml:space="preserve"> </w:t>
      </w:r>
      <w:r>
        <w:rPr>
          <w:i/>
        </w:rPr>
        <w:t xml:space="preserve">Res gestae </w:t>
      </w:r>
      <w:r>
        <w:t>30, or Pliny’s report about Pompey’s ‘success ‘Gnaeus Pompeius Magnus, Imperatur, having completed a war of thirty years, routed, exiled, murdered, or accepted surrender of 12’183’000 people, sunk or captures 846 ships, received 1538 towns and forts in faith, subjugated lands from the Maetoinians to the Red Sea, rightly vows to Minerva.’ (</w:t>
      </w:r>
      <w:r>
        <w:rPr>
          <w:i/>
        </w:rPr>
        <w:t>Nat.</w:t>
      </w:r>
      <w:r>
        <w:t xml:space="preserve">7.26.97. Numerous further examples of the Roman ideology of conquest which justified violence could be added here. Cf Also discussion in Mattingly D.J., </w:t>
      </w:r>
      <w:r>
        <w:rPr>
          <w:i/>
        </w:rPr>
        <w:t>Imperialism, Power, and Identity: Experiencing the Roman Empire.</w:t>
      </w:r>
      <w:r w:rsidR="00BF0DC2">
        <w:rPr>
          <w:i/>
        </w:rPr>
        <w:t xml:space="preserve"> </w:t>
      </w:r>
      <w:r w:rsidR="00BF0DC2">
        <w:t>(</w:t>
      </w:r>
      <w:r>
        <w:t>Princeton: Princeton University Press 2011</w:t>
      </w:r>
      <w:r w:rsidR="00BF0DC2">
        <w:t>)</w:t>
      </w:r>
      <w:r>
        <w:t xml:space="preserve">, 125-45.  </w:t>
      </w:r>
    </w:p>
  </w:endnote>
  <w:endnote w:id="65">
    <w:p w14:paraId="01A28C9D" w14:textId="130D9B4D" w:rsidR="00680D04" w:rsidRPr="001915CC" w:rsidRDefault="00680D04">
      <w:pPr>
        <w:pStyle w:val="Endnotentext"/>
        <w:rPr>
          <w:lang w:val="de-DE"/>
        </w:rPr>
      </w:pPr>
      <w:r>
        <w:rPr>
          <w:rStyle w:val="Endnotenzeichen"/>
        </w:rPr>
        <w:endnoteRef/>
      </w:r>
      <w:r>
        <w:t xml:space="preserve"> </w:t>
      </w:r>
      <w:r>
        <w:rPr>
          <w:lang w:val="de-DE"/>
        </w:rPr>
        <w:t xml:space="preserve">Cf also Anathea Portier-Young who sees analogies tot he Exodus narrative in the Enochic Book of Dreams. </w:t>
      </w:r>
      <w:r>
        <w:rPr>
          <w:i/>
          <w:lang w:val="de-DE"/>
        </w:rPr>
        <w:t>Apocalypse Against Empire:Theologies of Resistanc in Early Judaism.</w:t>
      </w:r>
      <w:r w:rsidR="00BF0DC2">
        <w:rPr>
          <w:lang w:val="de-DE"/>
        </w:rPr>
        <w:t>(</w:t>
      </w:r>
      <w:r>
        <w:rPr>
          <w:lang w:val="de-DE"/>
        </w:rPr>
        <w:t>Grand Rapids: Eerdmans 2011</w:t>
      </w:r>
      <w:r w:rsidR="00BF0DC2">
        <w:rPr>
          <w:lang w:val="de-DE"/>
        </w:rPr>
        <w:t>)</w:t>
      </w:r>
      <w:r>
        <w:rPr>
          <w:lang w:val="de-DE"/>
        </w:rPr>
        <w:t>,354-55.</w:t>
      </w:r>
    </w:p>
  </w:endnote>
  <w:endnote w:id="66">
    <w:p w14:paraId="2905E11E" w14:textId="77777777" w:rsidR="00680D04" w:rsidRPr="00D472A7" w:rsidRDefault="00680D04" w:rsidP="00B44DEF">
      <w:pPr>
        <w:pStyle w:val="Endnotentext"/>
      </w:pPr>
      <w:r>
        <w:rPr>
          <w:rStyle w:val="Endnotenzeichen"/>
        </w:rPr>
        <w:endnoteRef/>
      </w:r>
      <w:r>
        <w:t xml:space="preserve"> For a more detailed discussion see my </w:t>
      </w:r>
      <w:r>
        <w:rPr>
          <w:i/>
        </w:rPr>
        <w:t>Paul and the Dynamics of Power,</w:t>
      </w:r>
      <w:r>
        <w:t>162-66.</w:t>
      </w:r>
    </w:p>
  </w:endnote>
  <w:endnote w:id="67">
    <w:p w14:paraId="6199FEBC" w14:textId="16134A4B" w:rsidR="00680D04" w:rsidRPr="00964541" w:rsidRDefault="00680D04" w:rsidP="00B44DEF">
      <w:pPr>
        <w:pStyle w:val="Endnotentext"/>
        <w:rPr>
          <w:lang w:val="de-DE"/>
        </w:rPr>
      </w:pPr>
      <w:r>
        <w:rPr>
          <w:rStyle w:val="Endnotenzeichen"/>
        </w:rPr>
        <w:endnoteRef/>
      </w:r>
      <w:r>
        <w:t xml:space="preserve"> Cf. See Campbell, </w:t>
      </w:r>
      <w:r>
        <w:rPr>
          <w:i/>
        </w:rPr>
        <w:t>Unity and Diversity,</w:t>
      </w:r>
      <w:r>
        <w:t>16 following Hultgren,A.,</w:t>
      </w:r>
      <w:r>
        <w:rPr>
          <w:i/>
        </w:rPr>
        <w:t>Paul’s Letter to the Romans.</w:t>
      </w:r>
      <w:r w:rsidR="00BF0DC2">
        <w:rPr>
          <w:i/>
        </w:rPr>
        <w:t xml:space="preserve"> </w:t>
      </w:r>
      <w:r w:rsidR="00BF0DC2">
        <w:t>(Grand Rapids</w:t>
      </w:r>
      <w:r>
        <w:t>: Eerdmans 2011</w:t>
      </w:r>
      <w:r w:rsidR="00BF0DC2">
        <w:t>)</w:t>
      </w:r>
      <w:r>
        <w:t xml:space="preserve">, 133-139.         </w:t>
      </w:r>
    </w:p>
  </w:endnote>
  <w:endnote w:id="68">
    <w:p w14:paraId="6BCE4D08" w14:textId="2E15C3BB" w:rsidR="00680D04" w:rsidRPr="0033180C" w:rsidRDefault="00680D04" w:rsidP="00B44DEF">
      <w:pPr>
        <w:pStyle w:val="Endnotentext"/>
        <w:rPr>
          <w:lang w:val="de-DE"/>
        </w:rPr>
      </w:pPr>
      <w:r>
        <w:rPr>
          <w:rStyle w:val="Endnotenzeichen"/>
        </w:rPr>
        <w:endnoteRef/>
      </w:r>
      <w:r>
        <w:t xml:space="preserve"> Beker allows statements such as ‘Paul wants to destroy the preeminently Jewish sin of boasting’, ‘The Jew highlights sin in its most demonic aspect.’ Beker, J.C., </w:t>
      </w:r>
      <w:r>
        <w:rPr>
          <w:i/>
        </w:rPr>
        <w:t xml:space="preserve">Paul, the Apostle: The Triumph of God in Life and Thought. </w:t>
      </w:r>
      <w:r w:rsidR="00BF0DC2">
        <w:t>(Edinburgh: T&amp;T Clark 1980)</w:t>
      </w:r>
      <w:r>
        <w:t xml:space="preserve"> 81-82.</w:t>
      </w:r>
    </w:p>
  </w:endnote>
  <w:endnote w:id="69">
    <w:p w14:paraId="646E2AD5" w14:textId="4BEFFE41" w:rsidR="00680D04" w:rsidRPr="00BF0DC2" w:rsidRDefault="00680D04" w:rsidP="00B44DEF">
      <w:pPr>
        <w:widowControl w:val="0"/>
        <w:autoSpaceDE w:val="0"/>
        <w:autoSpaceDN w:val="0"/>
        <w:adjustRightInd w:val="0"/>
        <w:rPr>
          <w:rFonts w:ascii="Times" w:hAnsi="Times" w:cs="Times"/>
          <w:color w:val="262626"/>
          <w:lang w:val="de-DE"/>
        </w:rPr>
      </w:pPr>
      <w:r w:rsidRPr="00BF0DC2">
        <w:rPr>
          <w:rStyle w:val="Endnotenzeichen"/>
        </w:rPr>
        <w:endnoteRef/>
      </w:r>
      <w:r w:rsidRPr="00BF0DC2">
        <w:t xml:space="preserve"> Nanos, M.D. ‘”</w:t>
      </w:r>
      <w:r w:rsidRPr="00BF0DC2">
        <w:rPr>
          <w:rFonts w:cs="Times New Roman"/>
          <w:bCs/>
          <w:color w:val="262626"/>
          <w:lang w:val="de-DE"/>
        </w:rPr>
        <w:t>Broken Branches</w:t>
      </w:r>
      <w:r w:rsidRPr="00BF0DC2">
        <w:rPr>
          <w:rFonts w:cs="Times New Roman"/>
          <w:bCs/>
          <w:color w:val="262626"/>
        </w:rPr>
        <w:t>”</w:t>
      </w:r>
      <w:r w:rsidRPr="00BF0DC2">
        <w:rPr>
          <w:rFonts w:cs="Times New Roman"/>
          <w:bCs/>
          <w:color w:val="262626"/>
          <w:lang w:val="de-DE"/>
        </w:rPr>
        <w:t xml:space="preserve">: A Pauline Metaphor Gone Awry? (Romans 11:11-24)’ in </w:t>
      </w:r>
      <w:r w:rsidRPr="00BF0DC2">
        <w:rPr>
          <w:rFonts w:cs="Times New Roman"/>
          <w:bCs/>
          <w:i/>
          <w:iCs/>
          <w:color w:val="262626"/>
          <w:lang w:val="de-DE"/>
        </w:rPr>
        <w:t>Between Gospel and Election: Explorations in the Interpretation of Romans 9—11</w:t>
      </w:r>
      <w:r w:rsidRPr="00BF0DC2">
        <w:rPr>
          <w:rFonts w:cs="Times New Roman"/>
          <w:bCs/>
          <w:color w:val="262626"/>
          <w:lang w:val="de-DE"/>
        </w:rPr>
        <w:t>.  Wilk,F.</w:t>
      </w:r>
      <w:r w:rsidR="00BF0DC2">
        <w:rPr>
          <w:rFonts w:cs="Times New Roman"/>
          <w:bCs/>
          <w:color w:val="262626"/>
          <w:lang w:val="de-DE"/>
        </w:rPr>
        <w:t xml:space="preserve"> and J. Ross Wagner eds. (</w:t>
      </w:r>
      <w:r w:rsidRPr="00BF0DC2">
        <w:rPr>
          <w:rFonts w:cs="Times New Roman"/>
          <w:bCs/>
          <w:color w:val="262626"/>
          <w:lang w:val="de-DE"/>
        </w:rPr>
        <w:t>Tübingen: Mohr Siebeck, 2010</w:t>
      </w:r>
      <w:r w:rsidR="00BF0DC2">
        <w:rPr>
          <w:rFonts w:cs="Times New Roman"/>
          <w:bCs/>
          <w:color w:val="262626"/>
          <w:lang w:val="de-DE"/>
        </w:rPr>
        <w:t>)</w:t>
      </w:r>
      <w:r w:rsidRPr="00BF0DC2">
        <w:rPr>
          <w:rFonts w:cs="Times New Roman"/>
          <w:bCs/>
          <w:color w:val="262626"/>
          <w:lang w:val="de-DE"/>
        </w:rPr>
        <w:t>, 339-376.</w:t>
      </w:r>
    </w:p>
  </w:endnote>
  <w:endnote w:id="70">
    <w:p w14:paraId="716E2230" w14:textId="746C25D8" w:rsidR="00680D04" w:rsidRPr="0033180C" w:rsidRDefault="00680D04" w:rsidP="00B44DEF">
      <w:pPr>
        <w:pStyle w:val="Endnotentext"/>
      </w:pPr>
      <w:r>
        <w:rPr>
          <w:rStyle w:val="Endnotenzeichen"/>
        </w:rPr>
        <w:endnoteRef/>
      </w:r>
      <w:r>
        <w:t xml:space="preserve"> </w:t>
      </w:r>
      <w:r>
        <w:rPr>
          <w:lang w:val="de-DE"/>
        </w:rPr>
        <w:t xml:space="preserve">As Engberg-Petersen T. maintains in his article </w:t>
      </w:r>
      <w:r>
        <w:t xml:space="preserve">‘”Everything is Clean” and “Everything that is not of Faith is Sin”: The Logic of Pauline Casuistry in Romans 14.1-15.13’, in </w:t>
      </w:r>
      <w:r w:rsidRPr="0033180C">
        <w:rPr>
          <w:i/>
        </w:rPr>
        <w:t>Paul, Grace, and Freedom: Essays in Honour of John K.Riches</w:t>
      </w:r>
      <w:r w:rsidR="00BF0DC2">
        <w:t xml:space="preserve"> Middleton, P. et.al. eds.</w:t>
      </w:r>
      <w:r>
        <w:t xml:space="preserve">, </w:t>
      </w:r>
      <w:r w:rsidR="00BF0DC2">
        <w:t>(</w:t>
      </w:r>
      <w:r>
        <w:t>London, New York: T&amp;T Clark 2008</w:t>
      </w:r>
      <w:r w:rsidR="00BF0DC2">
        <w:t>)</w:t>
      </w:r>
      <w:r>
        <w:t>, 22-38.</w:t>
      </w:r>
    </w:p>
  </w:endnote>
  <w:endnote w:id="71">
    <w:p w14:paraId="1D99362C" w14:textId="77777777" w:rsidR="00680D04" w:rsidRPr="00E60712" w:rsidRDefault="00680D04" w:rsidP="00B44DEF">
      <w:pPr>
        <w:pStyle w:val="Endnotentext"/>
      </w:pPr>
      <w:r>
        <w:rPr>
          <w:rStyle w:val="Endnotenzeichen"/>
        </w:rPr>
        <w:endnoteRef/>
      </w:r>
      <w:r>
        <w:t xml:space="preserve"> For a discussion of power in feminist perspective and its relevance for Pauline Studies see my </w:t>
      </w:r>
      <w:r>
        <w:rPr>
          <w:i/>
        </w:rPr>
        <w:t xml:space="preserve">Paul and the Dynamics of Power, </w:t>
      </w:r>
      <w:r>
        <w:t>24-34.</w:t>
      </w:r>
    </w:p>
  </w:endnote>
  <w:endnote w:id="72">
    <w:p w14:paraId="19C00004" w14:textId="26D6FF79" w:rsidR="00680D04" w:rsidRPr="00EE6C15" w:rsidRDefault="00680D04" w:rsidP="00B44DEF">
      <w:pPr>
        <w:pStyle w:val="Endnotentext"/>
      </w:pPr>
      <w:r>
        <w:rPr>
          <w:rStyle w:val="Endnotenzeichen"/>
        </w:rPr>
        <w:endnoteRef/>
      </w:r>
      <w:r>
        <w:t xml:space="preserve"> Tanner, K., </w:t>
      </w:r>
      <w:r w:rsidRPr="00BF0DC2">
        <w:rPr>
          <w:i/>
        </w:rPr>
        <w:t>Jesus, Humanity and the Trinity: A Brief Systematic Theology</w:t>
      </w:r>
      <w:r>
        <w:t xml:space="preserve">. </w:t>
      </w:r>
      <w:r w:rsidR="00BF0DC2">
        <w:t>(</w:t>
      </w:r>
      <w:r>
        <w:t xml:space="preserve">Minneapolis: Fortress </w:t>
      </w:r>
      <w:r w:rsidR="00BF0DC2">
        <w:t xml:space="preserve">Press </w:t>
      </w:r>
      <w:r>
        <w:t>2001</w:t>
      </w:r>
      <w:r w:rsidR="00BF0DC2">
        <w:t>)</w:t>
      </w:r>
      <w:bookmarkStart w:id="0" w:name="_GoBack"/>
      <w:bookmarkEnd w:id="0"/>
      <w:r>
        <w:t>, 69-70.</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Gentium">
    <w:altName w:val="Andale Mono"/>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New Athena Unicode">
    <w:panose1 w:val="02000503000000020003"/>
    <w:charset w:val="00"/>
    <w:family w:val="auto"/>
    <w:pitch w:val="variable"/>
    <w:sig w:usb0="E00022FF" w:usb1="5000E8FB" w:usb2="00000000" w:usb3="00000000" w:csb0="0000008F" w:csb1="00000000"/>
  </w:font>
  <w:font w:name="Helvetica Neue Light">
    <w:panose1 w:val="02000403000000020004"/>
    <w:charset w:val="00"/>
    <w:family w:val="auto"/>
    <w:pitch w:val="variable"/>
    <w:sig w:usb0="8000007F" w:usb1="0000000A" w:usb2="00000000" w:usb3="00000000" w:csb0="00000007" w:csb1="00000000"/>
  </w:font>
  <w:font w:name="SBL Greek">
    <w:panose1 w:val="02000000000000000000"/>
    <w:charset w:val="00"/>
    <w:family w:val="auto"/>
    <w:pitch w:val="variable"/>
    <w:sig w:usb0="C00000EF" w:usb1="0001A0CB" w:usb2="00000000" w:usb3="00000000" w:csb0="00000009" w:csb1="00000000"/>
  </w:font>
  <w:font w:name="Times">
    <w:panose1 w:val="02000500000000000000"/>
    <w:charset w:val="00"/>
    <w:family w:val="auto"/>
    <w:pitch w:val="variable"/>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C9F695A" w14:textId="77777777" w:rsidR="00680D04" w:rsidRDefault="00680D04" w:rsidP="00B44DEF">
    <w:pPr>
      <w:pStyle w:val="Fuzeile"/>
      <w:framePr w:wrap="around" w:vAnchor="text" w:hAnchor="margin" w:xAlign="right" w:y="1"/>
      <w:rPr>
        <w:rStyle w:val="Seitenzahl"/>
      </w:rPr>
    </w:pPr>
    <w:r>
      <w:rPr>
        <w:rStyle w:val="Seitenzahl"/>
      </w:rPr>
      <w:fldChar w:fldCharType="begin"/>
    </w:r>
    <w:r>
      <w:rPr>
        <w:rStyle w:val="Seitenzahl"/>
      </w:rPr>
      <w:instrText xml:space="preserve">PAGE  </w:instrText>
    </w:r>
    <w:r>
      <w:rPr>
        <w:rStyle w:val="Seitenzahl"/>
      </w:rPr>
      <w:fldChar w:fldCharType="end"/>
    </w:r>
  </w:p>
  <w:p w14:paraId="0A99A5F3" w14:textId="77777777" w:rsidR="00680D04" w:rsidRDefault="00680D04" w:rsidP="00B44DEF">
    <w:pPr>
      <w:pStyle w:val="Fuzeile"/>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072AE6E" w14:textId="77777777" w:rsidR="00680D04" w:rsidRDefault="00680D04" w:rsidP="00B44DEF">
    <w:pPr>
      <w:pStyle w:val="Fuzeile"/>
      <w:framePr w:wrap="around" w:vAnchor="text" w:hAnchor="margin" w:xAlign="right" w:y="1"/>
      <w:rPr>
        <w:rStyle w:val="Seitenzahl"/>
      </w:rPr>
    </w:pPr>
    <w:r>
      <w:rPr>
        <w:rStyle w:val="Seitenzahl"/>
      </w:rPr>
      <w:fldChar w:fldCharType="begin"/>
    </w:r>
    <w:r>
      <w:rPr>
        <w:rStyle w:val="Seitenzahl"/>
      </w:rPr>
      <w:instrText xml:space="preserve">PAGE  </w:instrText>
    </w:r>
    <w:r>
      <w:rPr>
        <w:rStyle w:val="Seitenzahl"/>
      </w:rPr>
      <w:fldChar w:fldCharType="separate"/>
    </w:r>
    <w:r w:rsidR="00BF0DC2">
      <w:rPr>
        <w:rStyle w:val="Seitenzahl"/>
        <w:noProof/>
      </w:rPr>
      <w:t>1</w:t>
    </w:r>
    <w:r>
      <w:rPr>
        <w:rStyle w:val="Seitenzahl"/>
      </w:rPr>
      <w:fldChar w:fldCharType="end"/>
    </w:r>
  </w:p>
  <w:p w14:paraId="6A9A69EE" w14:textId="77777777" w:rsidR="00680D04" w:rsidRDefault="00680D04" w:rsidP="00B44DEF">
    <w:pPr>
      <w:pStyle w:val="Fuzeile"/>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6387EC3" w14:textId="77777777" w:rsidR="00680D04" w:rsidRDefault="00680D04" w:rsidP="00B44DEF">
      <w:r>
        <w:separator/>
      </w:r>
    </w:p>
  </w:footnote>
  <w:footnote w:type="continuationSeparator" w:id="0">
    <w:p w14:paraId="4AD0E9B4" w14:textId="77777777" w:rsidR="00680D04" w:rsidRDefault="00680D04" w:rsidP="00B44DEF">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68E26F0"/>
    <w:multiLevelType w:val="multilevel"/>
    <w:tmpl w:val="0A5CDC32"/>
    <w:lvl w:ilvl="0">
      <w:start w:val="3"/>
      <w:numFmt w:val="decimal"/>
      <w:lvlText w:val="%1"/>
      <w:lvlJc w:val="left"/>
      <w:pPr>
        <w:ind w:left="360" w:hanging="360"/>
      </w:pPr>
      <w:rPr>
        <w:rFonts w:hint="default"/>
      </w:rPr>
    </w:lvl>
    <w:lvl w:ilvl="1">
      <w:start w:val="4"/>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nsid w:val="7CB74FD4"/>
    <w:multiLevelType w:val="multilevel"/>
    <w:tmpl w:val="2BA24EA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embedSystemFonts/>
  <w:defaultTabStop w:val="708"/>
  <w:hyphenationZone w:val="425"/>
  <w:drawingGridHorizontalSpacing w:val="360"/>
  <w:drawingGridVerticalSpacing w:val="360"/>
  <w:displayHorizontalDrawingGridEvery w:val="0"/>
  <w:displayVerticalDrawingGridEvery w:val="0"/>
  <w:characterSpacingControl w:val="doNotCompress"/>
  <w:savePreviewPicture/>
  <w:footnotePr>
    <w:footnote w:id="-1"/>
    <w:footnote w:id="0"/>
  </w:footnotePr>
  <w:endnotePr>
    <w:numFmt w:val="decimal"/>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4DEF"/>
    <w:rsid w:val="00064F61"/>
    <w:rsid w:val="00067FDB"/>
    <w:rsid w:val="00093B2C"/>
    <w:rsid w:val="000A7E31"/>
    <w:rsid w:val="000B4463"/>
    <w:rsid w:val="000B4F8F"/>
    <w:rsid w:val="000D0D1F"/>
    <w:rsid w:val="00104700"/>
    <w:rsid w:val="00112CD1"/>
    <w:rsid w:val="001169F1"/>
    <w:rsid w:val="00151CB6"/>
    <w:rsid w:val="0018037F"/>
    <w:rsid w:val="0018671D"/>
    <w:rsid w:val="001915CC"/>
    <w:rsid w:val="001B79F9"/>
    <w:rsid w:val="001C738A"/>
    <w:rsid w:val="001D383A"/>
    <w:rsid w:val="001D7A47"/>
    <w:rsid w:val="001E5319"/>
    <w:rsid w:val="001E5464"/>
    <w:rsid w:val="002014E1"/>
    <w:rsid w:val="00243001"/>
    <w:rsid w:val="002928BA"/>
    <w:rsid w:val="00296D65"/>
    <w:rsid w:val="002972CA"/>
    <w:rsid w:val="002972F8"/>
    <w:rsid w:val="002A13AF"/>
    <w:rsid w:val="002A2AE6"/>
    <w:rsid w:val="002A5683"/>
    <w:rsid w:val="002A759E"/>
    <w:rsid w:val="002C23C0"/>
    <w:rsid w:val="002D4A98"/>
    <w:rsid w:val="002D54ED"/>
    <w:rsid w:val="002E0916"/>
    <w:rsid w:val="003041EA"/>
    <w:rsid w:val="003125F2"/>
    <w:rsid w:val="0031316F"/>
    <w:rsid w:val="00320A10"/>
    <w:rsid w:val="0033612C"/>
    <w:rsid w:val="00337E58"/>
    <w:rsid w:val="00350D13"/>
    <w:rsid w:val="00390ABE"/>
    <w:rsid w:val="00391D85"/>
    <w:rsid w:val="003A37BA"/>
    <w:rsid w:val="003B301F"/>
    <w:rsid w:val="003F034A"/>
    <w:rsid w:val="00402049"/>
    <w:rsid w:val="0040787E"/>
    <w:rsid w:val="00423DDD"/>
    <w:rsid w:val="0042431C"/>
    <w:rsid w:val="00433767"/>
    <w:rsid w:val="00434B48"/>
    <w:rsid w:val="00435B9E"/>
    <w:rsid w:val="00435D30"/>
    <w:rsid w:val="00445322"/>
    <w:rsid w:val="00453724"/>
    <w:rsid w:val="004609D0"/>
    <w:rsid w:val="00466C00"/>
    <w:rsid w:val="00477933"/>
    <w:rsid w:val="00491A74"/>
    <w:rsid w:val="004922CA"/>
    <w:rsid w:val="00495D9F"/>
    <w:rsid w:val="004A030F"/>
    <w:rsid w:val="004A3120"/>
    <w:rsid w:val="004B26F4"/>
    <w:rsid w:val="004B2C71"/>
    <w:rsid w:val="004B3854"/>
    <w:rsid w:val="004C43E9"/>
    <w:rsid w:val="00544B30"/>
    <w:rsid w:val="005623CB"/>
    <w:rsid w:val="00565B17"/>
    <w:rsid w:val="0056799B"/>
    <w:rsid w:val="00590F55"/>
    <w:rsid w:val="005A693D"/>
    <w:rsid w:val="005C0317"/>
    <w:rsid w:val="005C3A06"/>
    <w:rsid w:val="005C4911"/>
    <w:rsid w:val="00623F9F"/>
    <w:rsid w:val="006278B7"/>
    <w:rsid w:val="00627FE5"/>
    <w:rsid w:val="00643DE7"/>
    <w:rsid w:val="0068036C"/>
    <w:rsid w:val="00680D04"/>
    <w:rsid w:val="00682BD9"/>
    <w:rsid w:val="00685358"/>
    <w:rsid w:val="00687E93"/>
    <w:rsid w:val="006B548F"/>
    <w:rsid w:val="006B7E39"/>
    <w:rsid w:val="006D4D28"/>
    <w:rsid w:val="006F2BC8"/>
    <w:rsid w:val="007219E0"/>
    <w:rsid w:val="00725FE6"/>
    <w:rsid w:val="00752A51"/>
    <w:rsid w:val="00766CB6"/>
    <w:rsid w:val="00773FBD"/>
    <w:rsid w:val="00775AF5"/>
    <w:rsid w:val="007B4CC0"/>
    <w:rsid w:val="007D6B39"/>
    <w:rsid w:val="00800621"/>
    <w:rsid w:val="008067CD"/>
    <w:rsid w:val="00814C2F"/>
    <w:rsid w:val="00835832"/>
    <w:rsid w:val="00840AB9"/>
    <w:rsid w:val="00844D5A"/>
    <w:rsid w:val="00852DA4"/>
    <w:rsid w:val="008537B3"/>
    <w:rsid w:val="00873ED0"/>
    <w:rsid w:val="008B1F69"/>
    <w:rsid w:val="008C1B94"/>
    <w:rsid w:val="008D1171"/>
    <w:rsid w:val="008D294F"/>
    <w:rsid w:val="008F2522"/>
    <w:rsid w:val="0093107D"/>
    <w:rsid w:val="009406A4"/>
    <w:rsid w:val="00983C70"/>
    <w:rsid w:val="009A56B7"/>
    <w:rsid w:val="009A5E6B"/>
    <w:rsid w:val="009B1140"/>
    <w:rsid w:val="009C5044"/>
    <w:rsid w:val="009D778B"/>
    <w:rsid w:val="00A07A5B"/>
    <w:rsid w:val="00A13C27"/>
    <w:rsid w:val="00A2277F"/>
    <w:rsid w:val="00A2391C"/>
    <w:rsid w:val="00A3352D"/>
    <w:rsid w:val="00A348FF"/>
    <w:rsid w:val="00A536EC"/>
    <w:rsid w:val="00A83D4A"/>
    <w:rsid w:val="00AD59A6"/>
    <w:rsid w:val="00AF2D92"/>
    <w:rsid w:val="00B14919"/>
    <w:rsid w:val="00B25D67"/>
    <w:rsid w:val="00B32493"/>
    <w:rsid w:val="00B35FE2"/>
    <w:rsid w:val="00B44DEF"/>
    <w:rsid w:val="00B45039"/>
    <w:rsid w:val="00B511D7"/>
    <w:rsid w:val="00B55D78"/>
    <w:rsid w:val="00B5685A"/>
    <w:rsid w:val="00B65581"/>
    <w:rsid w:val="00B903F2"/>
    <w:rsid w:val="00BC365F"/>
    <w:rsid w:val="00BD03C0"/>
    <w:rsid w:val="00BF0DC2"/>
    <w:rsid w:val="00C106ED"/>
    <w:rsid w:val="00C6688D"/>
    <w:rsid w:val="00C91D7F"/>
    <w:rsid w:val="00C93BD3"/>
    <w:rsid w:val="00C966F2"/>
    <w:rsid w:val="00CD5A4E"/>
    <w:rsid w:val="00CD7406"/>
    <w:rsid w:val="00CF281E"/>
    <w:rsid w:val="00D1666E"/>
    <w:rsid w:val="00D32D5B"/>
    <w:rsid w:val="00D51524"/>
    <w:rsid w:val="00D52554"/>
    <w:rsid w:val="00D578B0"/>
    <w:rsid w:val="00DA30C7"/>
    <w:rsid w:val="00DA67CF"/>
    <w:rsid w:val="00DA6EC5"/>
    <w:rsid w:val="00DC144F"/>
    <w:rsid w:val="00DE32DF"/>
    <w:rsid w:val="00E235F5"/>
    <w:rsid w:val="00E32707"/>
    <w:rsid w:val="00E33668"/>
    <w:rsid w:val="00E37EB5"/>
    <w:rsid w:val="00E40C59"/>
    <w:rsid w:val="00E954DE"/>
    <w:rsid w:val="00EB3C09"/>
    <w:rsid w:val="00EC6F91"/>
    <w:rsid w:val="00EE6BEB"/>
    <w:rsid w:val="00EF4792"/>
    <w:rsid w:val="00EF6D05"/>
    <w:rsid w:val="00F02ACA"/>
    <w:rsid w:val="00F31859"/>
    <w:rsid w:val="00F36FF7"/>
    <w:rsid w:val="00F44060"/>
    <w:rsid w:val="00F45289"/>
    <w:rsid w:val="00F47CC5"/>
    <w:rsid w:val="00F63712"/>
    <w:rsid w:val="00F663D5"/>
    <w:rsid w:val="00F72271"/>
    <w:rsid w:val="00FA0AAB"/>
    <w:rsid w:val="00FB7CD7"/>
    <w:rsid w:val="00FF7D15"/>
  </w:rsids>
  <m:mathPr>
    <m:mathFont m:val="Cambria Math"/>
    <m:brkBin m:val="before"/>
    <m:brkBinSub m:val="--"/>
    <m:smallFrac m:val="0"/>
    <m:dispDef m:val="0"/>
    <m:lMargin m:val="0"/>
    <m:rMargin m:val="0"/>
    <m:defJc m:val="centerGroup"/>
    <m:wrapRight/>
    <m:intLim m:val="subSup"/>
    <m:naryLim m:val="subSup"/>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399C4E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Standard">
    <w:name w:val="Normal"/>
    <w:qFormat/>
    <w:rsid w:val="00B44DEF"/>
    <w:rPr>
      <w:rFonts w:ascii="Times New Roman" w:hAnsi="Times New Roman"/>
      <w:lang w:val="en-GB"/>
    </w:rPr>
  </w:style>
  <w:style w:type="character" w:default="1" w:styleId="Absatzstandardschriftart">
    <w:name w:val="Default Paragraph Font"/>
    <w:uiPriority w:val="1"/>
    <w:semiHidden/>
    <w:unhideWhenUsed/>
  </w:style>
  <w:style w:type="table" w:default="1" w:styleId="NormaleTabelle">
    <w:name w:val="Normal Table"/>
    <w:uiPriority w:val="99"/>
    <w:semiHidden/>
    <w:unhideWhenUsed/>
    <w:tblPr>
      <w:tblInd w:w="0" w:type="dxa"/>
      <w:tblCellMar>
        <w:top w:w="0" w:type="dxa"/>
        <w:left w:w="108" w:type="dxa"/>
        <w:bottom w:w="0" w:type="dxa"/>
        <w:right w:w="108" w:type="dxa"/>
      </w:tblCellMar>
    </w:tblPr>
  </w:style>
  <w:style w:type="numbering" w:default="1" w:styleId="KeineListe">
    <w:name w:val="No List"/>
    <w:uiPriority w:val="99"/>
    <w:semiHidden/>
    <w:unhideWhenUsed/>
  </w:style>
  <w:style w:type="paragraph" w:styleId="Funotentext">
    <w:name w:val="footnote text"/>
    <w:basedOn w:val="Standard"/>
    <w:link w:val="FunotentextZeichen"/>
    <w:autoRedefine/>
    <w:uiPriority w:val="99"/>
    <w:unhideWhenUsed/>
    <w:rsid w:val="006D4D28"/>
    <w:rPr>
      <w:rFonts w:eastAsia="Times New Roman" w:cs="Times New Roman"/>
      <w:sz w:val="20"/>
      <w:lang w:val="en-US"/>
    </w:rPr>
  </w:style>
  <w:style w:type="character" w:customStyle="1" w:styleId="FunotentextZeichen">
    <w:name w:val="Fußnotentext Zeichen"/>
    <w:basedOn w:val="Absatzstandardschriftart"/>
    <w:link w:val="Funotentext"/>
    <w:uiPriority w:val="99"/>
    <w:rsid w:val="006D4D28"/>
    <w:rPr>
      <w:rFonts w:ascii="Times New Roman" w:eastAsia="Times New Roman" w:hAnsi="Times New Roman" w:cs="Times New Roman"/>
      <w:sz w:val="20"/>
    </w:rPr>
  </w:style>
  <w:style w:type="paragraph" w:styleId="Listenabsatz">
    <w:name w:val="List Paragraph"/>
    <w:basedOn w:val="Standard"/>
    <w:uiPriority w:val="34"/>
    <w:qFormat/>
    <w:rsid w:val="00B44DEF"/>
    <w:pPr>
      <w:ind w:left="720"/>
      <w:contextualSpacing/>
    </w:pPr>
  </w:style>
  <w:style w:type="character" w:styleId="Funotenzeichen">
    <w:name w:val="footnote reference"/>
    <w:basedOn w:val="Absatzstandardschriftart"/>
    <w:uiPriority w:val="99"/>
    <w:unhideWhenUsed/>
    <w:rsid w:val="00B44DEF"/>
    <w:rPr>
      <w:vertAlign w:val="superscript"/>
    </w:rPr>
  </w:style>
  <w:style w:type="paragraph" w:styleId="Fuzeile">
    <w:name w:val="footer"/>
    <w:basedOn w:val="Standard"/>
    <w:link w:val="FuzeileZeichen"/>
    <w:uiPriority w:val="99"/>
    <w:unhideWhenUsed/>
    <w:rsid w:val="00B44DEF"/>
    <w:pPr>
      <w:tabs>
        <w:tab w:val="center" w:pos="4703"/>
        <w:tab w:val="right" w:pos="9406"/>
      </w:tabs>
    </w:pPr>
  </w:style>
  <w:style w:type="character" w:customStyle="1" w:styleId="FuzeileZeichen">
    <w:name w:val="Fußzeile Zeichen"/>
    <w:basedOn w:val="Absatzstandardschriftart"/>
    <w:link w:val="Fuzeile"/>
    <w:uiPriority w:val="99"/>
    <w:rsid w:val="00B44DEF"/>
    <w:rPr>
      <w:rFonts w:ascii="Times New Roman" w:hAnsi="Times New Roman"/>
      <w:lang w:val="en-GB"/>
    </w:rPr>
  </w:style>
  <w:style w:type="character" w:styleId="Seitenzahl">
    <w:name w:val="page number"/>
    <w:basedOn w:val="Absatzstandardschriftart"/>
    <w:uiPriority w:val="99"/>
    <w:semiHidden/>
    <w:unhideWhenUsed/>
    <w:rsid w:val="00B44DEF"/>
  </w:style>
  <w:style w:type="paragraph" w:customStyle="1" w:styleId="MkGentiumNormalUnicode">
    <w:name w:val="Mk Gentium Normal Unicode"/>
    <w:basedOn w:val="Standard"/>
    <w:rsid w:val="00B44DEF"/>
    <w:pPr>
      <w:spacing w:line="360" w:lineRule="auto"/>
    </w:pPr>
    <w:rPr>
      <w:rFonts w:ascii="Gentium" w:eastAsiaTheme="minorHAnsi" w:hAnsi="Gentium"/>
      <w:lang w:val="en-US" w:eastAsia="en-US"/>
    </w:rPr>
  </w:style>
  <w:style w:type="paragraph" w:styleId="Endnotentext">
    <w:name w:val="endnote text"/>
    <w:basedOn w:val="Standard"/>
    <w:link w:val="EndnotentextZeichen"/>
    <w:uiPriority w:val="99"/>
    <w:unhideWhenUsed/>
    <w:rsid w:val="00B44DEF"/>
  </w:style>
  <w:style w:type="character" w:customStyle="1" w:styleId="EndnotentextZeichen">
    <w:name w:val="Endnotentext Zeichen"/>
    <w:basedOn w:val="Absatzstandardschriftart"/>
    <w:link w:val="Endnotentext"/>
    <w:uiPriority w:val="99"/>
    <w:rsid w:val="00B44DEF"/>
    <w:rPr>
      <w:rFonts w:ascii="Times New Roman" w:hAnsi="Times New Roman"/>
      <w:lang w:val="en-GB"/>
    </w:rPr>
  </w:style>
  <w:style w:type="character" w:styleId="Endnotenzeichen">
    <w:name w:val="endnote reference"/>
    <w:basedOn w:val="Absatzstandardschriftart"/>
    <w:uiPriority w:val="99"/>
    <w:unhideWhenUsed/>
    <w:rsid w:val="00B44DEF"/>
    <w:rPr>
      <w:vertAlign w:val="superscript"/>
    </w:rPr>
  </w:style>
  <w:style w:type="paragraph" w:styleId="Kopfzeile">
    <w:name w:val="header"/>
    <w:basedOn w:val="Standard"/>
    <w:link w:val="KopfzeileZeichen"/>
    <w:uiPriority w:val="99"/>
    <w:unhideWhenUsed/>
    <w:rsid w:val="007219E0"/>
    <w:pPr>
      <w:tabs>
        <w:tab w:val="center" w:pos="4703"/>
        <w:tab w:val="right" w:pos="9406"/>
      </w:tabs>
    </w:pPr>
  </w:style>
  <w:style w:type="character" w:customStyle="1" w:styleId="KopfzeileZeichen">
    <w:name w:val="Kopfzeile Zeichen"/>
    <w:basedOn w:val="Absatzstandardschriftart"/>
    <w:link w:val="Kopfzeile"/>
    <w:uiPriority w:val="99"/>
    <w:rsid w:val="007219E0"/>
    <w:rPr>
      <w:rFonts w:ascii="Times New Roman" w:hAnsi="Times New Roman"/>
      <w:lang w:val="en-GB"/>
    </w:rPr>
  </w:style>
  <w:style w:type="paragraph" w:styleId="Sprechblasentext">
    <w:name w:val="Balloon Text"/>
    <w:basedOn w:val="Standard"/>
    <w:link w:val="SprechblasentextZeichen"/>
    <w:uiPriority w:val="99"/>
    <w:semiHidden/>
    <w:unhideWhenUsed/>
    <w:rsid w:val="00BC365F"/>
    <w:rPr>
      <w:rFonts w:ascii="Lucida Grande" w:hAnsi="Lucida Grande" w:cs="Lucida Grande"/>
      <w:sz w:val="18"/>
      <w:szCs w:val="18"/>
    </w:rPr>
  </w:style>
  <w:style w:type="character" w:customStyle="1" w:styleId="SprechblasentextZeichen">
    <w:name w:val="Sprechblasentext Zeichen"/>
    <w:basedOn w:val="Absatzstandardschriftart"/>
    <w:link w:val="Sprechblasentext"/>
    <w:uiPriority w:val="99"/>
    <w:semiHidden/>
    <w:rsid w:val="00BC365F"/>
    <w:rPr>
      <w:rFonts w:ascii="Lucida Grande" w:hAnsi="Lucida Grande" w:cs="Lucida Grande"/>
      <w:sz w:val="18"/>
      <w:szCs w:val="18"/>
      <w:lang w:val="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Standard">
    <w:name w:val="Normal"/>
    <w:qFormat/>
    <w:rsid w:val="00B44DEF"/>
    <w:rPr>
      <w:rFonts w:ascii="Times New Roman" w:hAnsi="Times New Roman"/>
      <w:lang w:val="en-GB"/>
    </w:rPr>
  </w:style>
  <w:style w:type="character" w:default="1" w:styleId="Absatzstandardschriftart">
    <w:name w:val="Default Paragraph Font"/>
    <w:uiPriority w:val="1"/>
    <w:semiHidden/>
    <w:unhideWhenUsed/>
  </w:style>
  <w:style w:type="table" w:default="1" w:styleId="NormaleTabelle">
    <w:name w:val="Normal Table"/>
    <w:uiPriority w:val="99"/>
    <w:semiHidden/>
    <w:unhideWhenUsed/>
    <w:tblPr>
      <w:tblInd w:w="0" w:type="dxa"/>
      <w:tblCellMar>
        <w:top w:w="0" w:type="dxa"/>
        <w:left w:w="108" w:type="dxa"/>
        <w:bottom w:w="0" w:type="dxa"/>
        <w:right w:w="108" w:type="dxa"/>
      </w:tblCellMar>
    </w:tblPr>
  </w:style>
  <w:style w:type="numbering" w:default="1" w:styleId="KeineListe">
    <w:name w:val="No List"/>
    <w:uiPriority w:val="99"/>
    <w:semiHidden/>
    <w:unhideWhenUsed/>
  </w:style>
  <w:style w:type="paragraph" w:styleId="Funotentext">
    <w:name w:val="footnote text"/>
    <w:basedOn w:val="Standard"/>
    <w:link w:val="FunotentextZeichen"/>
    <w:autoRedefine/>
    <w:uiPriority w:val="99"/>
    <w:unhideWhenUsed/>
    <w:rsid w:val="006D4D28"/>
    <w:rPr>
      <w:rFonts w:eastAsia="Times New Roman" w:cs="Times New Roman"/>
      <w:sz w:val="20"/>
      <w:lang w:val="en-US"/>
    </w:rPr>
  </w:style>
  <w:style w:type="character" w:customStyle="1" w:styleId="FunotentextZeichen">
    <w:name w:val="Fußnotentext Zeichen"/>
    <w:basedOn w:val="Absatzstandardschriftart"/>
    <w:link w:val="Funotentext"/>
    <w:uiPriority w:val="99"/>
    <w:rsid w:val="006D4D28"/>
    <w:rPr>
      <w:rFonts w:ascii="Times New Roman" w:eastAsia="Times New Roman" w:hAnsi="Times New Roman" w:cs="Times New Roman"/>
      <w:sz w:val="20"/>
    </w:rPr>
  </w:style>
  <w:style w:type="paragraph" w:styleId="Listenabsatz">
    <w:name w:val="List Paragraph"/>
    <w:basedOn w:val="Standard"/>
    <w:uiPriority w:val="34"/>
    <w:qFormat/>
    <w:rsid w:val="00B44DEF"/>
    <w:pPr>
      <w:ind w:left="720"/>
      <w:contextualSpacing/>
    </w:pPr>
  </w:style>
  <w:style w:type="character" w:styleId="Funotenzeichen">
    <w:name w:val="footnote reference"/>
    <w:basedOn w:val="Absatzstandardschriftart"/>
    <w:uiPriority w:val="99"/>
    <w:unhideWhenUsed/>
    <w:rsid w:val="00B44DEF"/>
    <w:rPr>
      <w:vertAlign w:val="superscript"/>
    </w:rPr>
  </w:style>
  <w:style w:type="paragraph" w:styleId="Fuzeile">
    <w:name w:val="footer"/>
    <w:basedOn w:val="Standard"/>
    <w:link w:val="FuzeileZeichen"/>
    <w:uiPriority w:val="99"/>
    <w:unhideWhenUsed/>
    <w:rsid w:val="00B44DEF"/>
    <w:pPr>
      <w:tabs>
        <w:tab w:val="center" w:pos="4703"/>
        <w:tab w:val="right" w:pos="9406"/>
      </w:tabs>
    </w:pPr>
  </w:style>
  <w:style w:type="character" w:customStyle="1" w:styleId="FuzeileZeichen">
    <w:name w:val="Fußzeile Zeichen"/>
    <w:basedOn w:val="Absatzstandardschriftart"/>
    <w:link w:val="Fuzeile"/>
    <w:uiPriority w:val="99"/>
    <w:rsid w:val="00B44DEF"/>
    <w:rPr>
      <w:rFonts w:ascii="Times New Roman" w:hAnsi="Times New Roman"/>
      <w:lang w:val="en-GB"/>
    </w:rPr>
  </w:style>
  <w:style w:type="character" w:styleId="Seitenzahl">
    <w:name w:val="page number"/>
    <w:basedOn w:val="Absatzstandardschriftart"/>
    <w:uiPriority w:val="99"/>
    <w:semiHidden/>
    <w:unhideWhenUsed/>
    <w:rsid w:val="00B44DEF"/>
  </w:style>
  <w:style w:type="paragraph" w:customStyle="1" w:styleId="MkGentiumNormalUnicode">
    <w:name w:val="Mk Gentium Normal Unicode"/>
    <w:basedOn w:val="Standard"/>
    <w:rsid w:val="00B44DEF"/>
    <w:pPr>
      <w:spacing w:line="360" w:lineRule="auto"/>
    </w:pPr>
    <w:rPr>
      <w:rFonts w:ascii="Gentium" w:eastAsiaTheme="minorHAnsi" w:hAnsi="Gentium"/>
      <w:lang w:val="en-US" w:eastAsia="en-US"/>
    </w:rPr>
  </w:style>
  <w:style w:type="paragraph" w:styleId="Endnotentext">
    <w:name w:val="endnote text"/>
    <w:basedOn w:val="Standard"/>
    <w:link w:val="EndnotentextZeichen"/>
    <w:uiPriority w:val="99"/>
    <w:unhideWhenUsed/>
    <w:rsid w:val="00B44DEF"/>
  </w:style>
  <w:style w:type="character" w:customStyle="1" w:styleId="EndnotentextZeichen">
    <w:name w:val="Endnotentext Zeichen"/>
    <w:basedOn w:val="Absatzstandardschriftart"/>
    <w:link w:val="Endnotentext"/>
    <w:uiPriority w:val="99"/>
    <w:rsid w:val="00B44DEF"/>
    <w:rPr>
      <w:rFonts w:ascii="Times New Roman" w:hAnsi="Times New Roman"/>
      <w:lang w:val="en-GB"/>
    </w:rPr>
  </w:style>
  <w:style w:type="character" w:styleId="Endnotenzeichen">
    <w:name w:val="endnote reference"/>
    <w:basedOn w:val="Absatzstandardschriftart"/>
    <w:uiPriority w:val="99"/>
    <w:unhideWhenUsed/>
    <w:rsid w:val="00B44DEF"/>
    <w:rPr>
      <w:vertAlign w:val="superscript"/>
    </w:rPr>
  </w:style>
  <w:style w:type="paragraph" w:styleId="Kopfzeile">
    <w:name w:val="header"/>
    <w:basedOn w:val="Standard"/>
    <w:link w:val="KopfzeileZeichen"/>
    <w:uiPriority w:val="99"/>
    <w:unhideWhenUsed/>
    <w:rsid w:val="007219E0"/>
    <w:pPr>
      <w:tabs>
        <w:tab w:val="center" w:pos="4703"/>
        <w:tab w:val="right" w:pos="9406"/>
      </w:tabs>
    </w:pPr>
  </w:style>
  <w:style w:type="character" w:customStyle="1" w:styleId="KopfzeileZeichen">
    <w:name w:val="Kopfzeile Zeichen"/>
    <w:basedOn w:val="Absatzstandardschriftart"/>
    <w:link w:val="Kopfzeile"/>
    <w:uiPriority w:val="99"/>
    <w:rsid w:val="007219E0"/>
    <w:rPr>
      <w:rFonts w:ascii="Times New Roman" w:hAnsi="Times New Roman"/>
      <w:lang w:val="en-GB"/>
    </w:rPr>
  </w:style>
  <w:style w:type="paragraph" w:styleId="Sprechblasentext">
    <w:name w:val="Balloon Text"/>
    <w:basedOn w:val="Standard"/>
    <w:link w:val="SprechblasentextZeichen"/>
    <w:uiPriority w:val="99"/>
    <w:semiHidden/>
    <w:unhideWhenUsed/>
    <w:rsid w:val="00BC365F"/>
    <w:rPr>
      <w:rFonts w:ascii="Lucida Grande" w:hAnsi="Lucida Grande" w:cs="Lucida Grande"/>
      <w:sz w:val="18"/>
      <w:szCs w:val="18"/>
    </w:rPr>
  </w:style>
  <w:style w:type="character" w:customStyle="1" w:styleId="SprechblasentextZeichen">
    <w:name w:val="Sprechblasentext Zeichen"/>
    <w:basedOn w:val="Absatzstandardschriftart"/>
    <w:link w:val="Sprechblasentext"/>
    <w:uiPriority w:val="99"/>
    <w:semiHidden/>
    <w:rsid w:val="00BC365F"/>
    <w:rPr>
      <w:rFonts w:ascii="Lucida Grande" w:hAnsi="Lucida Grande" w:cs="Lucida Grande"/>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Design">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23</Pages>
  <Words>8018</Words>
  <Characters>41775</Characters>
  <Application>Microsoft Macintosh Word</Application>
  <DocSecurity>0</DocSecurity>
  <Lines>605</Lines>
  <Paragraphs>63</Paragraphs>
  <ScaleCrop>false</ScaleCrop>
  <Company>University of Wales Trinity Saint David</Company>
  <LinksUpToDate>false</LinksUpToDate>
  <CharactersWithSpaces>49730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Kathy Ehrensperger</dc:creator>
  <cp:keywords/>
  <dc:description/>
  <cp:lastModifiedBy>Kathy Ehrensperger</cp:lastModifiedBy>
  <cp:revision>17</cp:revision>
  <dcterms:created xsi:type="dcterms:W3CDTF">2013-10-31T17:32:00Z</dcterms:created>
  <dcterms:modified xsi:type="dcterms:W3CDTF">2013-11-06T10:58:00Z</dcterms:modified>
</cp:coreProperties>
</file>