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F6D01B" w14:textId="19DDA50B" w:rsidR="00BF6417" w:rsidRPr="00083DF9" w:rsidRDefault="009A08C0">
      <w:pPr>
        <w:rPr>
          <w:b/>
          <w:u w:val="single"/>
        </w:rPr>
      </w:pPr>
      <w:r w:rsidRPr="00083DF9">
        <w:rPr>
          <w:b/>
          <w:u w:val="single"/>
        </w:rPr>
        <w:t xml:space="preserve">What features of medieval </w:t>
      </w:r>
      <w:r w:rsidR="00083DF9">
        <w:rPr>
          <w:b/>
          <w:u w:val="single"/>
        </w:rPr>
        <w:t>B</w:t>
      </w:r>
      <w:r w:rsidRPr="00083DF9">
        <w:rPr>
          <w:b/>
          <w:u w:val="single"/>
        </w:rPr>
        <w:t xml:space="preserve">ooks of </w:t>
      </w:r>
      <w:r w:rsidR="00083DF9">
        <w:rPr>
          <w:b/>
          <w:u w:val="single"/>
        </w:rPr>
        <w:t>H</w:t>
      </w:r>
      <w:r w:rsidRPr="00083DF9">
        <w:rPr>
          <w:b/>
          <w:u w:val="single"/>
        </w:rPr>
        <w:t>ours might explain their popularity in the Middle Ages?</w:t>
      </w:r>
    </w:p>
    <w:p w14:paraId="4D641530" w14:textId="4F2D5ECB" w:rsidR="008865A5" w:rsidRDefault="00083DF9">
      <w:r>
        <w:t xml:space="preserve">The medieval Book of Hours was </w:t>
      </w:r>
      <w:r w:rsidR="00F84623">
        <w:t>a phenomenon that rose to popularity among the richer medieval people throughout the thirteenth to sixteenth centuries.</w:t>
      </w:r>
      <w:r w:rsidR="00F84623">
        <w:rPr>
          <w:rStyle w:val="FootnoteReference"/>
        </w:rPr>
        <w:footnoteReference w:id="1"/>
      </w:r>
      <w:r w:rsidR="00F84623">
        <w:t xml:space="preserve"> The</w:t>
      </w:r>
      <w:r w:rsidR="00F24BEC">
        <w:t xml:space="preserve"> production of these masterpieces ended with the reformation in the sixteenth century,</w:t>
      </w:r>
      <w:r w:rsidR="00F24BEC">
        <w:rPr>
          <w:rStyle w:val="FootnoteReference"/>
        </w:rPr>
        <w:footnoteReference w:id="2"/>
      </w:r>
      <w:r w:rsidR="00F24BEC">
        <w:t xml:space="preserve"> however many copies still survive today. Taking into consideration how many copies are still in survival, it is easy to imagine the sheer</w:t>
      </w:r>
      <w:r w:rsidR="00D43AAA">
        <w:t xml:space="preserve"> quantity of Books of Hours produced throughout the few centuries they were popular, their popularity was such that they are notable as being the largest surviving single category of manuscript.</w:t>
      </w:r>
      <w:r w:rsidR="00D43AAA">
        <w:rPr>
          <w:rStyle w:val="FootnoteReference"/>
        </w:rPr>
        <w:footnoteReference w:id="3"/>
      </w:r>
      <w:r w:rsidR="00811A26">
        <w:t xml:space="preserve"> Books of Hours contained many things, including calendar pages, the layout of the hours and offices and </w:t>
      </w:r>
      <w:r w:rsidR="00674E00">
        <w:t>illustrations of religious scenes.</w:t>
      </w:r>
      <w:r w:rsidR="00674E00">
        <w:rPr>
          <w:rStyle w:val="FootnoteReference"/>
        </w:rPr>
        <w:footnoteReference w:id="4"/>
      </w:r>
      <w:r w:rsidR="00674E00">
        <w:t xml:space="preserve"> There are many contributing factors to </w:t>
      </w:r>
      <w:r w:rsidR="008C3476">
        <w:t xml:space="preserve">the popularity of the Book of Hours, including the ability to personalise and keep a copy per household, the </w:t>
      </w:r>
      <w:r w:rsidR="00EE64DA">
        <w:t xml:space="preserve">ease and accessibility that comes with the different sizing of Books of Hours and the </w:t>
      </w:r>
      <w:r w:rsidR="00A97E84">
        <w:t xml:space="preserve">structure they bought to religious prayer, and to the day. </w:t>
      </w:r>
    </w:p>
    <w:p w14:paraId="3C348CD2" w14:textId="2E9AFD67" w:rsidR="009A08C0" w:rsidRDefault="008865A5">
      <w:r>
        <w:t>One of the main aspects of Books of Hours was that they could be personalised,</w:t>
      </w:r>
      <w:r w:rsidR="000B29C4">
        <w:rPr>
          <w:rStyle w:val="FootnoteReference"/>
        </w:rPr>
        <w:footnoteReference w:id="5"/>
      </w:r>
      <w:r>
        <w:t xml:space="preserve"> this meant that many copies contain family crests and seals in the decoration</w:t>
      </w:r>
      <w:r w:rsidR="000B29C4">
        <w:t xml:space="preserve"> that link the manuscript to the family it served. An example of this is the Hours of Engelbert of Nassau, the Flemish family used peacock feathers as an identifying characteristic for themselves, a motif they have running throughout the Book of Hours. </w:t>
      </w:r>
      <w:r>
        <w:t xml:space="preserve"> </w:t>
      </w:r>
      <w:r w:rsidR="000B29C4">
        <w:t>The personalised Books of Hours usually belonged to richer families, who commissioned their handwritten Book of Hours for their private familiar devotion,</w:t>
      </w:r>
      <w:r w:rsidR="000B29C4">
        <w:rPr>
          <w:rStyle w:val="FootnoteReference"/>
        </w:rPr>
        <w:footnoteReference w:id="6"/>
      </w:r>
      <w:r w:rsidR="000B29C4">
        <w:t xml:space="preserve"> the adornment of the manuscript would be to the “taste, status and wealth”</w:t>
      </w:r>
      <w:r w:rsidR="000B29C4">
        <w:rPr>
          <w:rStyle w:val="FootnoteReference"/>
        </w:rPr>
        <w:footnoteReference w:id="7"/>
      </w:r>
      <w:r w:rsidR="000B29C4">
        <w:t xml:space="preserve"> of the commissioning family, so that the Book of Hours perfectly matched the family. This was a feature of the manuscript that would have led to its increase in popularity </w:t>
      </w:r>
      <w:r w:rsidR="00640612">
        <w:t>as it allowed for a level of status to be associated with the item, the women of the house could use their Book of Hours to brag and proudly display their status to others. Some Books of Hours were “beautifully illustrated”</w:t>
      </w:r>
      <w:r w:rsidR="00640612">
        <w:rPr>
          <w:rStyle w:val="FootnoteReference"/>
        </w:rPr>
        <w:footnoteReference w:id="8"/>
      </w:r>
      <w:r w:rsidR="00640612">
        <w:t xml:space="preserve"> with covers that were bejewelled or embroidered, and sometimes also with a beautifully decorated bag to keep the manuscript in, this made them highly noticeable items and a good symbol of wealth for the medieval people. The personalisation of the Book of Hours also meant that families could have their version tailored to contain their family seal or crest, or like the Hours of Engelbert of Nassau, designed with a certain animal in mind, and so they could then be passed on from one generation to the next, as a family heirloom. </w:t>
      </w:r>
    </w:p>
    <w:p w14:paraId="0AF81231" w14:textId="5A2D066D" w:rsidR="00640612" w:rsidRDefault="00640612">
      <w:r>
        <w:t xml:space="preserve">The medieval people could also personalise the contents of their Book of Hours, not just the cover. They could add in certain prayers, have the standard contents in a specific order and could include any religious images or scenes they particularly liked. </w:t>
      </w:r>
      <w:r w:rsidR="00A25195">
        <w:t>Again,</w:t>
      </w:r>
      <w:r>
        <w:t xml:space="preserve"> in the example of the Hours of Engelbert of Nassau, the manuscripts contain extra scenes such as ‘Mary and Joseph at the Inn’ and ‘Mary’s journey’ as part of the visitation. </w:t>
      </w:r>
      <w:r w:rsidR="00A25195">
        <w:t xml:space="preserve">The Boddam Hours also contains an extra scene, this time of the raising of Lazarus. The personalisation of the contents of the Book of Hours would be a </w:t>
      </w:r>
      <w:r w:rsidR="00A25195">
        <w:lastRenderedPageBreak/>
        <w:t xml:space="preserve">popular trait of the manuscript as since the average contents regulate scheduled prayer with a relatively strict schedule, this feature loosens the process slightly and allows for the small differences in the way each family prays and worships, as well as what religious scenes they chose to strengthen their faith. </w:t>
      </w:r>
    </w:p>
    <w:p w14:paraId="7A4203FC" w14:textId="51BDF731" w:rsidR="00A25195" w:rsidRDefault="00A25195">
      <w:r>
        <w:t>Similar to the personalisation of the Book of Hours, the status surrounding them would have been an important feature that led to their popularity. The status that came with owning a Book of Hours, especially a copy that was either personalised or extremely beautiful and decorated would have led to a trend among the richer medieval people,</w:t>
      </w:r>
      <w:r>
        <w:rPr>
          <w:rStyle w:val="FootnoteReference"/>
        </w:rPr>
        <w:footnoteReference w:id="9"/>
      </w:r>
      <w:r>
        <w:t xml:space="preserve"> and as we can see in trends throughout history and even nowadays, once and item becomes coveted, everybody wants one. </w:t>
      </w:r>
    </w:p>
    <w:p w14:paraId="212CFAEB" w14:textId="65705A35" w:rsidR="0092534E" w:rsidRDefault="0032605C">
      <w:r>
        <w:t>A Book of Hours was incredibly expensive to be made and therefore was of high value to its owner.</w:t>
      </w:r>
      <w:r>
        <w:rPr>
          <w:rStyle w:val="FootnoteReference"/>
        </w:rPr>
        <w:footnoteReference w:id="10"/>
      </w:r>
      <w:r>
        <w:t xml:space="preserve"> </w:t>
      </w:r>
      <w:r w:rsidR="00DC39A4">
        <w:t xml:space="preserve">Due to the high price to own such a luxurious copy of this popular manuscript, they were often given as </w:t>
      </w:r>
      <w:r w:rsidR="007E13FD">
        <w:t>“esteemed gifts”,</w:t>
      </w:r>
      <w:r w:rsidR="007E13FD">
        <w:rPr>
          <w:rStyle w:val="FootnoteReference"/>
        </w:rPr>
        <w:footnoteReference w:id="11"/>
      </w:r>
      <w:r w:rsidR="007E13FD">
        <w:t xml:space="preserve"> notably in the case of a noble wedding</w:t>
      </w:r>
      <w:r w:rsidR="00321191">
        <w:t>.</w:t>
      </w:r>
      <w:r w:rsidR="00321191">
        <w:rPr>
          <w:rStyle w:val="FootnoteReference"/>
        </w:rPr>
        <w:footnoteReference w:id="12"/>
      </w:r>
      <w:r w:rsidR="00321191">
        <w:t xml:space="preserve">  Though each copy of the Book of Hours is decorated to the </w:t>
      </w:r>
      <w:r w:rsidR="007D1C46">
        <w:t>desires of its owner,</w:t>
      </w:r>
      <w:r w:rsidR="007D1C46">
        <w:rPr>
          <w:rStyle w:val="FootnoteReference"/>
        </w:rPr>
        <w:footnoteReference w:id="13"/>
      </w:r>
      <w:r w:rsidR="007D1C46">
        <w:t xml:space="preserve"> </w:t>
      </w:r>
      <w:r w:rsidR="000528ED">
        <w:t>there were notable similarities between manuscripts, especially in the case of the use of specific colours.</w:t>
      </w:r>
      <w:r w:rsidR="000528ED">
        <w:rPr>
          <w:rStyle w:val="FootnoteReference"/>
        </w:rPr>
        <w:footnoteReference w:id="14"/>
      </w:r>
      <w:r w:rsidR="000528ED">
        <w:t xml:space="preserve"> </w:t>
      </w:r>
      <w:r w:rsidR="0005573E">
        <w:t xml:space="preserve">Certain colours and shades that were particularly rare or expensive to make were often the focal point of the medieval Book of Hours, </w:t>
      </w:r>
      <w:r w:rsidR="00534C52">
        <w:t xml:space="preserve">popular shades included </w:t>
      </w:r>
      <w:r w:rsidR="00391AB7">
        <w:t>ultramarine, a dark blue which was made from lap</w:t>
      </w:r>
      <w:r w:rsidR="00670837">
        <w:t>is lazuli which is found in Persia; gum</w:t>
      </w:r>
      <w:r w:rsidR="00CC2383">
        <w:t xml:space="preserve"> colours which originated from Arabia and indigo, which was made with </w:t>
      </w:r>
      <w:r w:rsidR="007B1965">
        <w:t>ingredients from B</w:t>
      </w:r>
      <w:r w:rsidR="00461BD0">
        <w:t>engal.</w:t>
      </w:r>
      <w:r w:rsidR="00461BD0">
        <w:rPr>
          <w:rStyle w:val="FootnoteReference"/>
        </w:rPr>
        <w:footnoteReference w:id="15"/>
      </w:r>
      <w:r w:rsidR="007D7C17">
        <w:t xml:space="preserve"> Gold was another material </w:t>
      </w:r>
      <w:r w:rsidR="00845981">
        <w:t>used for decoration that aided t</w:t>
      </w:r>
      <w:r w:rsidR="00432E91">
        <w:t xml:space="preserve">he Book of Hours in gaining such an elite following and </w:t>
      </w:r>
      <w:r w:rsidR="000B7559">
        <w:t xml:space="preserve">rising to its notable popularity in the thirteenth to </w:t>
      </w:r>
      <w:r w:rsidR="00A02491">
        <w:t>sixteenth</w:t>
      </w:r>
      <w:r w:rsidR="000B7559">
        <w:t xml:space="preserve"> centuries</w:t>
      </w:r>
      <w:r w:rsidR="00A02491">
        <w:t>,</w:t>
      </w:r>
      <w:r w:rsidR="000B7559">
        <w:rPr>
          <w:rStyle w:val="FootnoteReference"/>
        </w:rPr>
        <w:footnoteReference w:id="16"/>
      </w:r>
      <w:r w:rsidR="000B7559">
        <w:t xml:space="preserve"> </w:t>
      </w:r>
      <w:r w:rsidR="00A02491">
        <w:t xml:space="preserve">where after the start of the sixteenth century, the Book of Hours was </w:t>
      </w:r>
      <w:r w:rsidR="00AE47B9">
        <w:t>mostly done by hand.</w:t>
      </w:r>
      <w:r w:rsidR="00AE47B9">
        <w:rPr>
          <w:rStyle w:val="FootnoteReference"/>
        </w:rPr>
        <w:footnoteReference w:id="17"/>
      </w:r>
      <w:r w:rsidR="002D4EAD">
        <w:t xml:space="preserve"> </w:t>
      </w:r>
      <w:r w:rsidR="00FF54B9">
        <w:t>The Hours of Lorenzo di Medici, the Magnificent</w:t>
      </w:r>
      <w:r w:rsidR="00E80369">
        <w:t>, which is currently being kept in the Biblioteca Mediceo-Laurenziana in Florence, Italy,</w:t>
      </w:r>
      <w:r w:rsidR="00BE591D">
        <w:rPr>
          <w:rStyle w:val="FootnoteReference"/>
        </w:rPr>
        <w:footnoteReference w:id="18"/>
      </w:r>
      <w:r w:rsidR="00E80369">
        <w:t xml:space="preserve"> </w:t>
      </w:r>
      <w:r w:rsidR="006712A7">
        <w:t xml:space="preserve">is a perfect example of the use of </w:t>
      </w:r>
      <w:r w:rsidR="00BE591D">
        <w:t xml:space="preserve">ultramarine in a Book of Hours. </w:t>
      </w:r>
      <w:r w:rsidR="00BC5AA8">
        <w:t xml:space="preserve">Every page of this manuscript is covered </w:t>
      </w:r>
      <w:r w:rsidR="00460BCE">
        <w:t>in ultramarine coloured flowers and lettering, as well as using it in pattern backgrounds and frames around the depictions of different scenes</w:t>
      </w:r>
      <w:r w:rsidR="00B66355">
        <w:t xml:space="preserve">, presenting the sheer expense and grandeur associated with this copy of the Book of Hours. </w:t>
      </w:r>
      <w:r w:rsidR="00E7104D">
        <w:t xml:space="preserve">The Grandes Heures </w:t>
      </w:r>
      <w:r w:rsidR="007B0427">
        <w:t>of Anne of Brittany, Queen of France</w:t>
      </w:r>
      <w:r w:rsidR="005B4886">
        <w:t>, found in the Biblioth</w:t>
      </w:r>
      <w:r w:rsidR="005B4886">
        <w:rPr>
          <w:rFonts w:cstheme="minorHAnsi"/>
        </w:rPr>
        <w:t>èque Nationale in Paris</w:t>
      </w:r>
      <w:r w:rsidR="005B4886">
        <w:rPr>
          <w:rStyle w:val="FootnoteReference"/>
          <w:rFonts w:cstheme="minorHAnsi"/>
        </w:rPr>
        <w:footnoteReference w:id="19"/>
      </w:r>
      <w:r w:rsidR="005B4886">
        <w:rPr>
          <w:rFonts w:cstheme="minorHAnsi"/>
        </w:rPr>
        <w:t xml:space="preserve"> is also a </w:t>
      </w:r>
      <w:r w:rsidR="006250F3">
        <w:rPr>
          <w:rFonts w:cstheme="minorHAnsi"/>
        </w:rPr>
        <w:t>good example of the “magnificence”</w:t>
      </w:r>
      <w:r w:rsidR="006250F3">
        <w:rPr>
          <w:rStyle w:val="FootnoteReference"/>
          <w:rFonts w:cstheme="minorHAnsi"/>
        </w:rPr>
        <w:footnoteReference w:id="20"/>
      </w:r>
      <w:r w:rsidR="006250F3">
        <w:rPr>
          <w:rFonts w:cstheme="minorHAnsi"/>
        </w:rPr>
        <w:t xml:space="preserve"> associated with the Book of Hours. In the Book of Hours belonging to the French Queen, the </w:t>
      </w:r>
      <w:r w:rsidR="004A3406">
        <w:rPr>
          <w:rFonts w:cstheme="minorHAnsi"/>
        </w:rPr>
        <w:t>entire background consists of pure gold colouring on many of the pages and on others a religious scene is depicted in a frame of columns</w:t>
      </w:r>
      <w:r w:rsidR="005B6C80">
        <w:rPr>
          <w:rFonts w:cstheme="minorHAnsi"/>
        </w:rPr>
        <w:t xml:space="preserve">, also pictured in gold. This Book of Hours also contains the reoccurring motif of the family crest on many of the pages, further presenting the level of personalisation and grandeur associated with these </w:t>
      </w:r>
      <w:r w:rsidR="00B50B60">
        <w:rPr>
          <w:rFonts w:cstheme="minorHAnsi"/>
        </w:rPr>
        <w:t xml:space="preserve">manuscripts. </w:t>
      </w:r>
    </w:p>
    <w:p w14:paraId="0B00E4B1" w14:textId="71D98C4A" w:rsidR="008F0E88" w:rsidRDefault="008F0E88">
      <w:r>
        <w:t xml:space="preserve">The Book of Hours also provides a structure to the day and to worship which can be appreciated by not only the housewife, but by everyone in the family. According to historian Storey, the Book of </w:t>
      </w:r>
      <w:r>
        <w:lastRenderedPageBreak/>
        <w:t>Hours shows us how to pray “correctly, in tune with the tradition</w:t>
      </w:r>
      <w:r w:rsidR="00665C3D">
        <w:t>”</w:t>
      </w:r>
      <w:r>
        <w:rPr>
          <w:rStyle w:val="FootnoteReference"/>
        </w:rPr>
        <w:footnoteReference w:id="21"/>
      </w:r>
      <w:r w:rsidR="00665C3D">
        <w:t xml:space="preserve"> and so ensures the correct worshipping at the appropriate times of day. </w:t>
      </w:r>
      <w:r w:rsidR="00DE325B">
        <w:t xml:space="preserve">Theoretically, the Book of Hours divides the day into eight equal parts, </w:t>
      </w:r>
      <w:r w:rsidR="00D73D82">
        <w:t>each part named an ‘hour’ of the day</w:t>
      </w:r>
      <w:r w:rsidR="004F1272">
        <w:t>.</w:t>
      </w:r>
      <w:r w:rsidR="004F1272">
        <w:rPr>
          <w:rStyle w:val="FootnoteReference"/>
        </w:rPr>
        <w:footnoteReference w:id="22"/>
      </w:r>
      <w:r w:rsidR="008B66BA">
        <w:t xml:space="preserve"> </w:t>
      </w:r>
      <w:r w:rsidR="00372C25">
        <w:t xml:space="preserve">Private services within each hour </w:t>
      </w:r>
      <w:r w:rsidR="00F67C3D">
        <w:t>were called ‘</w:t>
      </w:r>
      <w:r w:rsidR="00533C9E">
        <w:t>offices’</w:t>
      </w:r>
      <w:r w:rsidR="00066D44">
        <w:t xml:space="preserve"> </w:t>
      </w:r>
      <w:r w:rsidR="00F25A2A">
        <w:t>whi</w:t>
      </w:r>
      <w:r w:rsidR="00FC187A">
        <w:t>ch were given classical Roman names</w:t>
      </w:r>
      <w:r w:rsidR="00F01A25">
        <w:t>,</w:t>
      </w:r>
      <w:r w:rsidR="00FC187A">
        <w:rPr>
          <w:rStyle w:val="FootnoteReference"/>
        </w:rPr>
        <w:footnoteReference w:id="23"/>
      </w:r>
      <w:r w:rsidR="00F01A25">
        <w:t xml:space="preserve"> </w:t>
      </w:r>
      <w:r w:rsidR="00555500">
        <w:t xml:space="preserve">such as </w:t>
      </w:r>
      <w:r w:rsidR="000E3296">
        <w:t xml:space="preserve">‘prime’ </w:t>
      </w:r>
      <w:r w:rsidR="00391BE8">
        <w:t>for the first hour and ‘</w:t>
      </w:r>
      <w:proofErr w:type="spellStart"/>
      <w:r w:rsidR="00391BE8">
        <w:t>terce</w:t>
      </w:r>
      <w:proofErr w:type="spellEnd"/>
      <w:r w:rsidR="00391BE8">
        <w:t>’ for the third.</w:t>
      </w:r>
      <w:r w:rsidR="00391BE8">
        <w:rPr>
          <w:rStyle w:val="FootnoteReference"/>
        </w:rPr>
        <w:footnoteReference w:id="24"/>
      </w:r>
      <w:r w:rsidR="00391BE8">
        <w:t xml:space="preserve"> </w:t>
      </w:r>
      <w:r w:rsidR="00BF457E">
        <w:t xml:space="preserve">Each hour was associated with a certain </w:t>
      </w:r>
      <w:r w:rsidR="0098147C">
        <w:t>scene in Virgin Mary’s life, fit with an image to depict the episode.</w:t>
      </w:r>
      <w:r w:rsidR="0098147C">
        <w:rPr>
          <w:rStyle w:val="FootnoteReference"/>
        </w:rPr>
        <w:footnoteReference w:id="25"/>
      </w:r>
      <w:r w:rsidR="0098147C">
        <w:t xml:space="preserve"> </w:t>
      </w:r>
      <w:r w:rsidR="00EB35D0">
        <w:t xml:space="preserve">The </w:t>
      </w:r>
      <w:r w:rsidR="006226C1">
        <w:t xml:space="preserve">Book </w:t>
      </w:r>
      <w:r w:rsidR="00533631">
        <w:t>of Hours</w:t>
      </w:r>
      <w:r w:rsidR="007F6D7F">
        <w:t xml:space="preserve"> through this structure allows for the level of </w:t>
      </w:r>
      <w:r w:rsidR="0011113E">
        <w:t xml:space="preserve">Christian </w:t>
      </w:r>
      <w:r w:rsidR="007F6D7F">
        <w:t xml:space="preserve">worship deemed appropriate </w:t>
      </w:r>
      <w:r w:rsidR="0011113E">
        <w:t xml:space="preserve">for the time and ensures that this level is met through the </w:t>
      </w:r>
      <w:r w:rsidR="0097172B">
        <w:t xml:space="preserve">multiple offices of the day. </w:t>
      </w:r>
    </w:p>
    <w:p w14:paraId="41E7E30D" w14:textId="1A9A62BF" w:rsidR="0097172B" w:rsidRDefault="0097172B">
      <w:r>
        <w:t xml:space="preserve">As well as ensuring prayers are conducted at appropriate times, the Book of Hours also </w:t>
      </w:r>
      <w:r w:rsidR="009845EB">
        <w:t xml:space="preserve">guarantees the correct form of worship. </w:t>
      </w:r>
      <w:r w:rsidR="006C50BF">
        <w:t>Books of Hours were the staple of “popular devotion”</w:t>
      </w:r>
      <w:r w:rsidR="006C50BF">
        <w:rPr>
          <w:rStyle w:val="FootnoteReference"/>
        </w:rPr>
        <w:footnoteReference w:id="26"/>
      </w:r>
      <w:r w:rsidR="006C50BF">
        <w:t xml:space="preserve"> </w:t>
      </w:r>
      <w:r w:rsidR="00CC0341">
        <w:t xml:space="preserve">for centuries and contained the framework for devotion by groups or individuals, </w:t>
      </w:r>
      <w:r w:rsidR="002B4331">
        <w:t>allowing an outline for prayer that could be followed by anyone and everyone</w:t>
      </w:r>
      <w:r w:rsidR="00130377">
        <w:t>.</w:t>
      </w:r>
      <w:r w:rsidR="00130377">
        <w:rPr>
          <w:rStyle w:val="FootnoteReference"/>
        </w:rPr>
        <w:footnoteReference w:id="27"/>
      </w:r>
      <w:r w:rsidR="00130377">
        <w:t xml:space="preserve"> </w:t>
      </w:r>
      <w:r w:rsidR="00B4335F">
        <w:t xml:space="preserve">According to historian Storey, </w:t>
      </w:r>
      <w:r w:rsidR="00C51646">
        <w:t xml:space="preserve">the Book of Hours </w:t>
      </w:r>
      <w:r w:rsidR="00B92C8B">
        <w:t>follow the orthodox Christian tradition</w:t>
      </w:r>
      <w:r w:rsidR="00237ACC">
        <w:t xml:space="preserve">, hence why they </w:t>
      </w:r>
      <w:r w:rsidR="004D0AB2">
        <w:t>are said to contain the “correct praise”</w:t>
      </w:r>
      <w:r w:rsidR="004D0AB2">
        <w:rPr>
          <w:rStyle w:val="FootnoteReference"/>
        </w:rPr>
        <w:footnoteReference w:id="28"/>
      </w:r>
      <w:r w:rsidR="004D0AB2">
        <w:t xml:space="preserve"> </w:t>
      </w:r>
      <w:r w:rsidR="00A02C4F">
        <w:t xml:space="preserve">for Christian </w:t>
      </w:r>
      <w:r w:rsidR="005C4A0A">
        <w:t xml:space="preserve">worship. For people of the medieval era, the safe knowledge that they are conducting the correct praise </w:t>
      </w:r>
      <w:r w:rsidR="00E85CB5">
        <w:t xml:space="preserve">would </w:t>
      </w:r>
      <w:r w:rsidR="007A7AD5">
        <w:t xml:space="preserve">have been an important factor in the </w:t>
      </w:r>
      <w:r w:rsidR="00775233">
        <w:t xml:space="preserve">labelling of </w:t>
      </w:r>
      <w:r w:rsidR="00461F87">
        <w:t xml:space="preserve">the Book of Hours as a vital </w:t>
      </w:r>
      <w:r w:rsidR="009B2916">
        <w:t xml:space="preserve">belonging for the average medieval </w:t>
      </w:r>
      <w:r w:rsidR="00B1406A">
        <w:t>family, allowing the label of “bestseller”</w:t>
      </w:r>
      <w:r w:rsidR="00B1406A">
        <w:rPr>
          <w:rStyle w:val="FootnoteReference"/>
        </w:rPr>
        <w:footnoteReference w:id="29"/>
      </w:r>
      <w:r w:rsidR="00994D73">
        <w:t xml:space="preserve"> </w:t>
      </w:r>
      <w:r w:rsidR="00AF7D2A">
        <w:t xml:space="preserve">often attributed to </w:t>
      </w:r>
      <w:r w:rsidR="00C95EF8">
        <w:t xml:space="preserve">the Book of Hours by historians. </w:t>
      </w:r>
    </w:p>
    <w:p w14:paraId="2FCAFA6D" w14:textId="15DE53AA" w:rsidR="00A97E84" w:rsidRDefault="00A62B96">
      <w:pPr>
        <w:rPr>
          <w:rFonts w:cstheme="minorHAnsi"/>
        </w:rPr>
      </w:pPr>
      <w:r>
        <w:t xml:space="preserve">Alongside the Book of Hours </w:t>
      </w:r>
      <w:r w:rsidR="005338DC">
        <w:t xml:space="preserve">providing a structure to the day, the calendar pages often within the Book of Hours also provides a structure to the year. Calendar pages </w:t>
      </w:r>
      <w:r w:rsidR="003467E3">
        <w:t xml:space="preserve">provide information on the occupation of the month, </w:t>
      </w:r>
      <w:r w:rsidR="007948EA">
        <w:t xml:space="preserve">each month decoratively occupying two leaves, </w:t>
      </w:r>
      <w:r w:rsidR="00F93896">
        <w:t>beginning on the recto,</w:t>
      </w:r>
      <w:r w:rsidR="00F93896">
        <w:rPr>
          <w:rStyle w:val="FootnoteReference"/>
        </w:rPr>
        <w:footnoteReference w:id="30"/>
      </w:r>
      <w:r w:rsidR="002F740C">
        <w:t xml:space="preserve"> however some </w:t>
      </w:r>
      <w:r w:rsidR="0068540D">
        <w:t>c</w:t>
      </w:r>
      <w:r w:rsidR="002F740C">
        <w:t>alendar pages can be found to cover one leaf only.</w:t>
      </w:r>
      <w:r w:rsidR="002F740C">
        <w:rPr>
          <w:rStyle w:val="FootnoteReference"/>
        </w:rPr>
        <w:footnoteReference w:id="31"/>
      </w:r>
      <w:r w:rsidR="002F740C">
        <w:t xml:space="preserve"> </w:t>
      </w:r>
      <w:r w:rsidR="0068540D">
        <w:t xml:space="preserve">The occupations on the aforementioned calendar pages </w:t>
      </w:r>
      <w:r w:rsidR="00442AFA">
        <w:t xml:space="preserve">follow the seasonal </w:t>
      </w:r>
      <w:r w:rsidR="00C13907">
        <w:t>l</w:t>
      </w:r>
      <w:r w:rsidR="000B7AE8">
        <w:t xml:space="preserve">abours of each month, once again providing a structure to medieval life. The standardised </w:t>
      </w:r>
      <w:r w:rsidR="000025D2">
        <w:t xml:space="preserve">occupations include feasting for January, </w:t>
      </w:r>
      <w:r w:rsidR="0030304A">
        <w:t>pruning for March, reaping the corn for July and ploughing and sowing for October.</w:t>
      </w:r>
      <w:r w:rsidR="0030304A">
        <w:rPr>
          <w:rStyle w:val="FootnoteReference"/>
        </w:rPr>
        <w:footnoteReference w:id="32"/>
      </w:r>
      <w:r w:rsidR="00580DF0">
        <w:t xml:space="preserve"> </w:t>
      </w:r>
      <w:r w:rsidR="00916BD4">
        <w:t xml:space="preserve">Though calendar pages are practical and add stability and structure to not only the order of the Book of Hours but also to medieval life, they are also highly decorative and can again be personalised. </w:t>
      </w:r>
      <w:r w:rsidR="009A2485">
        <w:t xml:space="preserve">The Playfair Hours, a fifteenth century Book of Hours from northern France, which is now held in the </w:t>
      </w:r>
      <w:r w:rsidR="002E26EB">
        <w:t xml:space="preserve">Victoria and Albert Museum in London, </w:t>
      </w:r>
      <w:r w:rsidR="0087286E">
        <w:t xml:space="preserve">contains highly decorative </w:t>
      </w:r>
      <w:r w:rsidR="00D11BC9">
        <w:t>calendar pages, with images depicting some of the labours mentioned within the months as well as a floral design as a border around the text.</w:t>
      </w:r>
      <w:r w:rsidR="00D11BC9">
        <w:rPr>
          <w:rStyle w:val="FootnoteReference"/>
        </w:rPr>
        <w:footnoteReference w:id="33"/>
      </w:r>
      <w:r w:rsidR="00D11BC9">
        <w:t xml:space="preserve"> Another </w:t>
      </w:r>
      <w:r w:rsidR="00974D74">
        <w:t xml:space="preserve">property of some Book of Hours calendar pages is the presence of the zodiac. In the </w:t>
      </w:r>
      <w:r w:rsidR="00B20A03">
        <w:t>Les Tr</w:t>
      </w:r>
      <w:r w:rsidR="00FD6B87">
        <w:rPr>
          <w:rFonts w:cstheme="minorHAnsi"/>
        </w:rPr>
        <w:t>è</w:t>
      </w:r>
      <w:r w:rsidR="00B20A03">
        <w:t xml:space="preserve">s Riches Heures du Duc de Berry, </w:t>
      </w:r>
      <w:r w:rsidR="00DE38D5">
        <w:t xml:space="preserve">a well preserved, surviving Book of Hours </w:t>
      </w:r>
      <w:r w:rsidR="008A6237">
        <w:t>created circa 1412</w:t>
      </w:r>
      <w:r w:rsidR="005B6902">
        <w:t xml:space="preserve"> - 1416</w:t>
      </w:r>
      <w:r w:rsidR="008A6237">
        <w:t xml:space="preserve"> for John, the Duke of Berry by the Dutch international gothic painters, the Limbourg brothers</w:t>
      </w:r>
      <w:r w:rsidR="00573D2B">
        <w:t>,</w:t>
      </w:r>
      <w:r w:rsidR="008A6237">
        <w:rPr>
          <w:rStyle w:val="FootnoteReference"/>
        </w:rPr>
        <w:footnoteReference w:id="34"/>
      </w:r>
      <w:r w:rsidR="008A6237">
        <w:t xml:space="preserve"> </w:t>
      </w:r>
      <w:r w:rsidR="00573D2B">
        <w:t xml:space="preserve">contains calendar pages beautifully decorated in ultramarine with </w:t>
      </w:r>
      <w:r w:rsidR="00FD6B87">
        <w:t>zodiacs. The depiction of the zodiacs in the Tr</w:t>
      </w:r>
      <w:r w:rsidR="00FD6B87">
        <w:rPr>
          <w:rFonts w:cstheme="minorHAnsi"/>
        </w:rPr>
        <w:t xml:space="preserve">ès Riches Heures </w:t>
      </w:r>
      <w:r w:rsidR="003C0E11">
        <w:rPr>
          <w:rFonts w:cstheme="minorHAnsi"/>
        </w:rPr>
        <w:t xml:space="preserve">is more intriguing than many other zodiac manuscript depictions as </w:t>
      </w:r>
      <w:r w:rsidR="003C0E11">
        <w:rPr>
          <w:rFonts w:cstheme="minorHAnsi"/>
        </w:rPr>
        <w:lastRenderedPageBreak/>
        <w:t xml:space="preserve">it presents the crossover from one sign to another, presenting the dates in which each zodiac crosses over to the next. </w:t>
      </w:r>
      <w:r w:rsidR="009F71EB">
        <w:rPr>
          <w:rFonts w:cstheme="minorHAnsi"/>
        </w:rPr>
        <w:t xml:space="preserve">This design and informative feature of the Book of Hours can be said to attribute to the overall success of the </w:t>
      </w:r>
      <w:r w:rsidR="000962F2">
        <w:rPr>
          <w:rFonts w:cstheme="minorHAnsi"/>
        </w:rPr>
        <w:t xml:space="preserve">manuscripts as it is another decorative and informative feature of many Books of Hours. </w:t>
      </w:r>
    </w:p>
    <w:p w14:paraId="0D3C4D32" w14:textId="4635B8A2" w:rsidR="005A5CE4" w:rsidRDefault="005A5CE4">
      <w:pPr>
        <w:rPr>
          <w:rFonts w:cstheme="minorHAnsi"/>
        </w:rPr>
      </w:pPr>
      <w:r>
        <w:rPr>
          <w:rFonts w:cstheme="minorHAnsi"/>
        </w:rPr>
        <w:t xml:space="preserve">However, </w:t>
      </w:r>
      <w:r w:rsidR="009B47C3">
        <w:rPr>
          <w:rFonts w:cstheme="minorHAnsi"/>
        </w:rPr>
        <w:t xml:space="preserve">though there are many factors of the Book of Hours that </w:t>
      </w:r>
      <w:r w:rsidR="0072064B">
        <w:rPr>
          <w:rFonts w:cstheme="minorHAnsi"/>
        </w:rPr>
        <w:t xml:space="preserve">contribute to its success, there are also a few </w:t>
      </w:r>
      <w:r w:rsidR="00A64A5D">
        <w:rPr>
          <w:rFonts w:cstheme="minorHAnsi"/>
        </w:rPr>
        <w:t>factors that fall into a grey area</w:t>
      </w:r>
      <w:r w:rsidR="00FC6FBA">
        <w:rPr>
          <w:rFonts w:cstheme="minorHAnsi"/>
        </w:rPr>
        <w:t>. Historian Duffy recounts the devotional isolation that the Book of Hours brings</w:t>
      </w:r>
      <w:r w:rsidR="00D071E8">
        <w:rPr>
          <w:rFonts w:cstheme="minorHAnsi"/>
        </w:rPr>
        <w:t xml:space="preserve"> and although </w:t>
      </w:r>
      <w:r w:rsidR="009E000D">
        <w:rPr>
          <w:rFonts w:cstheme="minorHAnsi"/>
        </w:rPr>
        <w:t xml:space="preserve">they </w:t>
      </w:r>
      <w:r w:rsidR="008722D4">
        <w:rPr>
          <w:rFonts w:cstheme="minorHAnsi"/>
        </w:rPr>
        <w:t xml:space="preserve">narrate this to be a negative </w:t>
      </w:r>
      <w:r w:rsidR="000A659E">
        <w:rPr>
          <w:rFonts w:cstheme="minorHAnsi"/>
        </w:rPr>
        <w:t xml:space="preserve">effect of the Book of Hours, </w:t>
      </w:r>
      <w:r w:rsidR="00EB5180">
        <w:rPr>
          <w:rFonts w:cstheme="minorHAnsi"/>
        </w:rPr>
        <w:t xml:space="preserve">it can be interpreted in multiple ways. Devotional isolation is evident in the Hours of Mary of Burgundy, </w:t>
      </w:r>
      <w:r w:rsidR="00D227D6">
        <w:rPr>
          <w:rFonts w:cstheme="minorHAnsi"/>
        </w:rPr>
        <w:t xml:space="preserve">where Mary is depicted in her own manuscript </w:t>
      </w:r>
      <w:r w:rsidR="000A0DF3">
        <w:rPr>
          <w:rFonts w:cstheme="minorHAnsi"/>
        </w:rPr>
        <w:t>at prayer, in this scene she appears to be in her own “closet”</w:t>
      </w:r>
      <w:r w:rsidR="000A0DF3">
        <w:rPr>
          <w:rStyle w:val="FootnoteReference"/>
          <w:rFonts w:cstheme="minorHAnsi"/>
        </w:rPr>
        <w:footnoteReference w:id="35"/>
      </w:r>
      <w:r w:rsidR="008E3639">
        <w:rPr>
          <w:rFonts w:cstheme="minorHAnsi"/>
        </w:rPr>
        <w:t xml:space="preserve"> or </w:t>
      </w:r>
      <w:r w:rsidR="003E64E5">
        <w:rPr>
          <w:rFonts w:cstheme="minorHAnsi"/>
        </w:rPr>
        <w:t>private room</w:t>
      </w:r>
      <w:r w:rsidR="00E96F2F">
        <w:rPr>
          <w:rFonts w:cstheme="minorHAnsi"/>
        </w:rPr>
        <w:t xml:space="preserve"> praying joy to the Virgin Mary.</w:t>
      </w:r>
      <w:r w:rsidR="00E96F2F">
        <w:rPr>
          <w:rStyle w:val="FootnoteReference"/>
          <w:rFonts w:cstheme="minorHAnsi"/>
        </w:rPr>
        <w:footnoteReference w:id="36"/>
      </w:r>
      <w:r w:rsidR="00E96F2F">
        <w:rPr>
          <w:rFonts w:cstheme="minorHAnsi"/>
        </w:rPr>
        <w:t xml:space="preserve"> </w:t>
      </w:r>
      <w:r w:rsidR="00D17E5D">
        <w:rPr>
          <w:rFonts w:cstheme="minorHAnsi"/>
        </w:rPr>
        <w:t xml:space="preserve">Duffy presents this as a negative effect of Books of Hours as they seemingly lead to </w:t>
      </w:r>
      <w:r w:rsidR="00CF1E93">
        <w:rPr>
          <w:rFonts w:cstheme="minorHAnsi"/>
        </w:rPr>
        <w:t>the “</w:t>
      </w:r>
      <w:r w:rsidR="00B10A9A">
        <w:rPr>
          <w:rFonts w:cstheme="minorHAnsi"/>
        </w:rPr>
        <w:t>growth of individualism”</w:t>
      </w:r>
      <w:r w:rsidR="00B10A9A">
        <w:rPr>
          <w:rStyle w:val="FootnoteReference"/>
          <w:rFonts w:cstheme="minorHAnsi"/>
        </w:rPr>
        <w:footnoteReference w:id="37"/>
      </w:r>
      <w:r w:rsidR="00B10A9A">
        <w:rPr>
          <w:rFonts w:cstheme="minorHAnsi"/>
        </w:rPr>
        <w:t xml:space="preserve"> and </w:t>
      </w:r>
      <w:r w:rsidR="004E4726">
        <w:rPr>
          <w:rFonts w:cstheme="minorHAnsi"/>
        </w:rPr>
        <w:t>the “privatisation of religion”</w:t>
      </w:r>
      <w:r w:rsidR="00D05500">
        <w:rPr>
          <w:rFonts w:cstheme="minorHAnsi"/>
        </w:rPr>
        <w:t>.</w:t>
      </w:r>
      <w:r w:rsidR="004E4726">
        <w:rPr>
          <w:rStyle w:val="FootnoteReference"/>
          <w:rFonts w:cstheme="minorHAnsi"/>
        </w:rPr>
        <w:footnoteReference w:id="38"/>
      </w:r>
      <w:r w:rsidR="00DD0222">
        <w:rPr>
          <w:rFonts w:cstheme="minorHAnsi"/>
        </w:rPr>
        <w:t xml:space="preserve"> </w:t>
      </w:r>
      <w:r w:rsidR="00D05500">
        <w:rPr>
          <w:rFonts w:cstheme="minorHAnsi"/>
        </w:rPr>
        <w:t>H</w:t>
      </w:r>
      <w:r w:rsidR="007B0983">
        <w:rPr>
          <w:rFonts w:cstheme="minorHAnsi"/>
        </w:rPr>
        <w:t>owever</w:t>
      </w:r>
      <w:r w:rsidR="00D05500">
        <w:rPr>
          <w:rFonts w:cstheme="minorHAnsi"/>
        </w:rPr>
        <w:t>,</w:t>
      </w:r>
      <w:r w:rsidR="007B0983">
        <w:rPr>
          <w:rFonts w:cstheme="minorHAnsi"/>
        </w:rPr>
        <w:t xml:space="preserve"> </w:t>
      </w:r>
      <w:r w:rsidR="002F43B2">
        <w:rPr>
          <w:rFonts w:cstheme="minorHAnsi"/>
        </w:rPr>
        <w:t xml:space="preserve">it can be said that individualisation was already </w:t>
      </w:r>
      <w:r w:rsidR="00D05500">
        <w:rPr>
          <w:rFonts w:cstheme="minorHAnsi"/>
        </w:rPr>
        <w:t xml:space="preserve">widespread </w:t>
      </w:r>
      <w:r w:rsidR="004734E8">
        <w:rPr>
          <w:rFonts w:cstheme="minorHAnsi"/>
        </w:rPr>
        <w:t>in the middle ages</w:t>
      </w:r>
      <w:r w:rsidR="00D86D4A">
        <w:rPr>
          <w:rFonts w:cstheme="minorHAnsi"/>
        </w:rPr>
        <w:t xml:space="preserve"> and the Book of Hours</w:t>
      </w:r>
      <w:r w:rsidR="00D40897">
        <w:rPr>
          <w:rFonts w:cstheme="minorHAnsi"/>
        </w:rPr>
        <w:t xml:space="preserve">, though </w:t>
      </w:r>
      <w:r w:rsidR="00362E4E">
        <w:rPr>
          <w:rFonts w:cstheme="minorHAnsi"/>
        </w:rPr>
        <w:t xml:space="preserve">did lead to the separation of </w:t>
      </w:r>
      <w:r w:rsidR="0059557D">
        <w:rPr>
          <w:rFonts w:cstheme="minorHAnsi"/>
        </w:rPr>
        <w:t>Christians from more sociable worship such as the local parish,</w:t>
      </w:r>
      <w:r w:rsidR="005449C0">
        <w:rPr>
          <w:rStyle w:val="FootnoteReference"/>
          <w:rFonts w:cstheme="minorHAnsi"/>
        </w:rPr>
        <w:footnoteReference w:id="39"/>
      </w:r>
      <w:r w:rsidR="0059557D">
        <w:rPr>
          <w:rFonts w:cstheme="minorHAnsi"/>
        </w:rPr>
        <w:t xml:space="preserve"> </w:t>
      </w:r>
      <w:r w:rsidR="00773E4B">
        <w:rPr>
          <w:rFonts w:cstheme="minorHAnsi"/>
        </w:rPr>
        <w:t xml:space="preserve">did also lead to </w:t>
      </w:r>
      <w:r w:rsidR="005449C0">
        <w:rPr>
          <w:rFonts w:cstheme="minorHAnsi"/>
        </w:rPr>
        <w:t xml:space="preserve">more secure and intimate bonds between friends, family and households. With the </w:t>
      </w:r>
      <w:r w:rsidR="000047ED">
        <w:rPr>
          <w:rFonts w:cstheme="minorHAnsi"/>
        </w:rPr>
        <w:t>privatisation of worship to the house, over the local church or cathedral, smaller groups would partake in more intimate prayers and worship,</w:t>
      </w:r>
      <w:r w:rsidR="000047ED">
        <w:rPr>
          <w:rStyle w:val="FootnoteReference"/>
          <w:rFonts w:cstheme="minorHAnsi"/>
        </w:rPr>
        <w:footnoteReference w:id="40"/>
      </w:r>
      <w:r w:rsidR="000047ED">
        <w:rPr>
          <w:rFonts w:cstheme="minorHAnsi"/>
        </w:rPr>
        <w:t xml:space="preserve"> therefore leading to stronger, more secure bonds between those who worshipped together. </w:t>
      </w:r>
      <w:r w:rsidR="0049184B">
        <w:rPr>
          <w:rFonts w:cstheme="minorHAnsi"/>
        </w:rPr>
        <w:t xml:space="preserve">The personalisation of adding or removing certain prayers, psalms and religious images in a bespoke Book of Hours </w:t>
      </w:r>
      <w:r w:rsidR="00347205">
        <w:rPr>
          <w:rFonts w:cstheme="minorHAnsi"/>
        </w:rPr>
        <w:t>al</w:t>
      </w:r>
      <w:r w:rsidR="00C82DF1">
        <w:rPr>
          <w:rFonts w:cstheme="minorHAnsi"/>
        </w:rPr>
        <w:t xml:space="preserve">so allows for more intimate worship, as different families and people would connect and enjoy different aspects of religion. </w:t>
      </w:r>
      <w:r w:rsidR="00F60D80">
        <w:rPr>
          <w:rFonts w:cstheme="minorHAnsi"/>
        </w:rPr>
        <w:t>C</w:t>
      </w:r>
      <w:r w:rsidR="00E05410">
        <w:rPr>
          <w:rFonts w:cstheme="minorHAnsi"/>
        </w:rPr>
        <w:t xml:space="preserve">onforming to your own tailored </w:t>
      </w:r>
      <w:r w:rsidR="00C24C94">
        <w:rPr>
          <w:rFonts w:cstheme="minorHAnsi"/>
        </w:rPr>
        <w:t xml:space="preserve">plan of prayers and other religious aspects, rather than </w:t>
      </w:r>
      <w:r w:rsidR="005562FB">
        <w:rPr>
          <w:rFonts w:cstheme="minorHAnsi"/>
        </w:rPr>
        <w:t xml:space="preserve">having to be compliant to what has been predetermined at the local service is </w:t>
      </w:r>
      <w:r w:rsidR="00F60D80">
        <w:rPr>
          <w:rFonts w:cstheme="minorHAnsi"/>
        </w:rPr>
        <w:t xml:space="preserve">appealing as it allows for a more personal connection to be made while worshipping, allowing for </w:t>
      </w:r>
      <w:r w:rsidR="00F65471">
        <w:rPr>
          <w:rFonts w:cstheme="minorHAnsi"/>
        </w:rPr>
        <w:t xml:space="preserve">a closer connection in the eyes of the medieval person. This also contributes to bringing families together with prayer, as </w:t>
      </w:r>
      <w:r w:rsidR="0066264E">
        <w:rPr>
          <w:rFonts w:cstheme="minorHAnsi"/>
        </w:rPr>
        <w:t xml:space="preserve">worshipping can be more involving of </w:t>
      </w:r>
      <w:proofErr w:type="gramStart"/>
      <w:r w:rsidR="0066264E">
        <w:rPr>
          <w:rFonts w:cstheme="minorHAnsi"/>
        </w:rPr>
        <w:t>each individual</w:t>
      </w:r>
      <w:proofErr w:type="gramEnd"/>
      <w:r w:rsidR="0066264E">
        <w:rPr>
          <w:rFonts w:cstheme="minorHAnsi"/>
        </w:rPr>
        <w:t xml:space="preserve"> in this way, over the harsher </w:t>
      </w:r>
      <w:r w:rsidR="001C3DCA">
        <w:rPr>
          <w:rFonts w:cstheme="minorHAnsi"/>
        </w:rPr>
        <w:t xml:space="preserve">planned worship of a church. </w:t>
      </w:r>
    </w:p>
    <w:p w14:paraId="2BF7776B" w14:textId="4605FE33" w:rsidR="000047ED" w:rsidRDefault="000047ED">
      <w:pPr>
        <w:rPr>
          <w:rFonts w:cstheme="minorHAnsi"/>
        </w:rPr>
      </w:pPr>
      <w:r>
        <w:rPr>
          <w:rFonts w:cstheme="minorHAnsi"/>
        </w:rPr>
        <w:t xml:space="preserve">To conclude, the Books of Hours were highly influential in the lives of </w:t>
      </w:r>
      <w:r w:rsidR="00796C5A">
        <w:rPr>
          <w:rFonts w:cstheme="minorHAnsi"/>
        </w:rPr>
        <w:t>those who could afford a copy in the middle ages. Due to the huge amount of personalisation of the</w:t>
      </w:r>
      <w:r w:rsidR="00A22171">
        <w:rPr>
          <w:rFonts w:cstheme="minorHAnsi"/>
        </w:rPr>
        <w:t xml:space="preserve"> Book of Hours and the cost that came with such lavish decorations, they were a phenomenon that effected mostly the upper classes.</w:t>
      </w:r>
      <w:r w:rsidR="00A22171">
        <w:rPr>
          <w:rStyle w:val="FootnoteReference"/>
          <w:rFonts w:cstheme="minorHAnsi"/>
        </w:rPr>
        <w:footnoteReference w:id="41"/>
      </w:r>
      <w:r w:rsidR="00A22171">
        <w:rPr>
          <w:rFonts w:cstheme="minorHAnsi"/>
        </w:rPr>
        <w:t xml:space="preserve"> However, </w:t>
      </w:r>
      <w:r w:rsidR="00286C2B">
        <w:rPr>
          <w:rFonts w:cstheme="minorHAnsi"/>
        </w:rPr>
        <w:t xml:space="preserve">the popularity of the Book of Hours is undeniable and </w:t>
      </w:r>
      <w:r w:rsidR="00B04B87">
        <w:rPr>
          <w:rFonts w:cstheme="minorHAnsi"/>
        </w:rPr>
        <w:t xml:space="preserve">brought about by the large factor that they allowed for the personalisation in religion in many ways, as well as being a beautiful statement item to present the </w:t>
      </w:r>
      <w:r w:rsidR="0049184B">
        <w:rPr>
          <w:rFonts w:cstheme="minorHAnsi"/>
        </w:rPr>
        <w:t xml:space="preserve">importance of Christianity in the household. </w:t>
      </w:r>
    </w:p>
    <w:p w14:paraId="0B662742" w14:textId="49B2A9BD" w:rsidR="001C3DCA" w:rsidRDefault="001C3DCA">
      <w:pPr>
        <w:rPr>
          <w:sz w:val="32"/>
        </w:rPr>
      </w:pPr>
    </w:p>
    <w:p w14:paraId="6626A49B" w14:textId="7385AC31" w:rsidR="007913F1" w:rsidRDefault="007913F1">
      <w:pPr>
        <w:rPr>
          <w:sz w:val="32"/>
        </w:rPr>
      </w:pPr>
    </w:p>
    <w:p w14:paraId="2CFAA522" w14:textId="17D5697E" w:rsidR="007913F1" w:rsidRDefault="007913F1">
      <w:pPr>
        <w:rPr>
          <w:sz w:val="32"/>
        </w:rPr>
      </w:pPr>
    </w:p>
    <w:p w14:paraId="713CC4BD" w14:textId="77777777" w:rsidR="00AF21A4" w:rsidRDefault="00AF21A4"/>
    <w:p w14:paraId="7F374D33" w14:textId="77777777" w:rsidR="00D73062" w:rsidRPr="001748FD" w:rsidRDefault="007913F1">
      <w:pPr>
        <w:rPr>
          <w:b/>
          <w:u w:val="single"/>
        </w:rPr>
      </w:pPr>
      <w:r w:rsidRPr="001748FD">
        <w:rPr>
          <w:b/>
          <w:u w:val="single"/>
        </w:rPr>
        <w:lastRenderedPageBreak/>
        <w:t>Bibliography:</w:t>
      </w:r>
      <w:bookmarkStart w:id="0" w:name="_GoBack"/>
      <w:bookmarkEnd w:id="0"/>
    </w:p>
    <w:p w14:paraId="0C8DBF3F" w14:textId="77777777" w:rsidR="005A438E" w:rsidRDefault="005A438E" w:rsidP="005A438E">
      <w:r>
        <w:t>Duffy, E. Marking the Hours: English People and Their Prayers 1240 - 1570 (Connecticut: Yale University Press, 2006)</w:t>
      </w:r>
    </w:p>
    <w:p w14:paraId="0B88FF69" w14:textId="77777777" w:rsidR="00D92296" w:rsidRDefault="00D92296" w:rsidP="00D92296">
      <w:proofErr w:type="spellStart"/>
      <w:r>
        <w:t>Harthan</w:t>
      </w:r>
      <w:proofErr w:type="spellEnd"/>
      <w:r>
        <w:t xml:space="preserve">, J. </w:t>
      </w:r>
      <w:r w:rsidRPr="00306000">
        <w:rPr>
          <w:i/>
        </w:rPr>
        <w:t xml:space="preserve">Books of Hours and </w:t>
      </w:r>
      <w:r>
        <w:rPr>
          <w:i/>
        </w:rPr>
        <w:t>T</w:t>
      </w:r>
      <w:r w:rsidRPr="00306000">
        <w:rPr>
          <w:i/>
        </w:rPr>
        <w:t>heir Owners,</w:t>
      </w:r>
      <w:r>
        <w:t xml:space="preserve"> (Lancashire: Thames and Hudson, 1977) </w:t>
      </w:r>
    </w:p>
    <w:p w14:paraId="2BB742D7" w14:textId="77777777" w:rsidR="001748FD" w:rsidRDefault="001748FD" w:rsidP="001748FD">
      <w:r>
        <w:t xml:space="preserve">R. A. K, ‘A Rouen Book of Hours’, </w:t>
      </w:r>
      <w:r w:rsidRPr="002968E4">
        <w:rPr>
          <w:i/>
        </w:rPr>
        <w:t xml:space="preserve">Record of the Art Museum </w:t>
      </w:r>
      <w:r>
        <w:t xml:space="preserve">Vol. 11 No. 1 (JSTOR: Princeton University, 1952) Available: </w:t>
      </w:r>
      <w:hyperlink r:id="rId7" w:history="1">
        <w:r w:rsidRPr="00DA334E">
          <w:rPr>
            <w:rStyle w:val="Hyperlink"/>
          </w:rPr>
          <w:t>http://www.jstor.org.ezproxy.uwtsd.ac.uk/stable/pdf/3774276.pdf?refreqid=search:fb24e66a97acb864bae5a6d6a2b092cc</w:t>
        </w:r>
      </w:hyperlink>
      <w:r>
        <w:t xml:space="preserve"> Accessed: 06-05-2018 </w:t>
      </w:r>
    </w:p>
    <w:p w14:paraId="4C8A67C6" w14:textId="77777777" w:rsidR="001748FD" w:rsidRDefault="001748FD" w:rsidP="001748FD">
      <w:r>
        <w:t xml:space="preserve">Scott-Stokes, C. </w:t>
      </w:r>
      <w:r w:rsidRPr="009F2934">
        <w:rPr>
          <w:i/>
        </w:rPr>
        <w:t>Women’s Books of Hours in Medieval England: Selected Texts</w:t>
      </w:r>
      <w:r>
        <w:t>, (Cambridge: University Press Cambridge, 2006)</w:t>
      </w:r>
    </w:p>
    <w:p w14:paraId="509F89F0" w14:textId="77777777" w:rsidR="001748FD" w:rsidRDefault="001748FD" w:rsidP="001748FD">
      <w:r>
        <w:t xml:space="preserve">Storey, W. G. </w:t>
      </w:r>
      <w:r w:rsidRPr="008F6E49">
        <w:rPr>
          <w:i/>
        </w:rPr>
        <w:t>A Catholic Book of Hours and Other Devotions,</w:t>
      </w:r>
      <w:r>
        <w:t xml:space="preserve"> (Chicago: Loyola Press, 2007)</w:t>
      </w:r>
    </w:p>
    <w:p w14:paraId="2F5BCE07" w14:textId="33D4FB5D" w:rsidR="007913F1" w:rsidRDefault="00D73062">
      <w:r>
        <w:t>Thorpe,</w:t>
      </w:r>
      <w:r>
        <w:t xml:space="preserve"> J.</w:t>
      </w:r>
      <w:r w:rsidRPr="00C90D01">
        <w:rPr>
          <w:i/>
        </w:rPr>
        <w:t xml:space="preserve"> Book of Hours</w:t>
      </w:r>
      <w:r>
        <w:t>, (San Marino: The Huntington Library, 2007)</w:t>
      </w:r>
    </w:p>
    <w:p w14:paraId="399B1295" w14:textId="77777777" w:rsidR="00AF21A4" w:rsidRPr="007913F1" w:rsidRDefault="00AF21A4"/>
    <w:sectPr w:rsidR="00AF21A4" w:rsidRPr="007913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CE1094" w14:textId="77777777" w:rsidR="006A790F" w:rsidRDefault="006A790F" w:rsidP="008865A5">
      <w:pPr>
        <w:spacing w:after="0" w:line="240" w:lineRule="auto"/>
      </w:pPr>
      <w:r>
        <w:separator/>
      </w:r>
    </w:p>
  </w:endnote>
  <w:endnote w:type="continuationSeparator" w:id="0">
    <w:p w14:paraId="0C1E0E0A" w14:textId="77777777" w:rsidR="006A790F" w:rsidRDefault="006A790F" w:rsidP="008865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E3986B" w14:textId="77777777" w:rsidR="006A790F" w:rsidRDefault="006A790F" w:rsidP="008865A5">
      <w:pPr>
        <w:spacing w:after="0" w:line="240" w:lineRule="auto"/>
      </w:pPr>
      <w:r>
        <w:separator/>
      </w:r>
    </w:p>
  </w:footnote>
  <w:footnote w:type="continuationSeparator" w:id="0">
    <w:p w14:paraId="1A1367B9" w14:textId="77777777" w:rsidR="006A790F" w:rsidRDefault="006A790F" w:rsidP="008865A5">
      <w:pPr>
        <w:spacing w:after="0" w:line="240" w:lineRule="auto"/>
      </w:pPr>
      <w:r>
        <w:continuationSeparator/>
      </w:r>
    </w:p>
  </w:footnote>
  <w:footnote w:id="1">
    <w:p w14:paraId="00E90BDE" w14:textId="7768986B" w:rsidR="00F84623" w:rsidRDefault="00F84623">
      <w:pPr>
        <w:pStyle w:val="FootnoteText"/>
      </w:pPr>
      <w:r>
        <w:rPr>
          <w:rStyle w:val="FootnoteReference"/>
        </w:rPr>
        <w:footnoteRef/>
      </w:r>
      <w:r>
        <w:t xml:space="preserve"> </w:t>
      </w:r>
      <w:r w:rsidR="00677C90">
        <w:t xml:space="preserve">J. </w:t>
      </w:r>
      <w:r>
        <w:t>Thorpe</w:t>
      </w:r>
      <w:r w:rsidR="00677C90">
        <w:t>,</w:t>
      </w:r>
      <w:r w:rsidR="00677C90" w:rsidRPr="00C90D01">
        <w:rPr>
          <w:i/>
        </w:rPr>
        <w:t xml:space="preserve"> </w:t>
      </w:r>
      <w:r w:rsidR="00DC3EE6" w:rsidRPr="00C90D01">
        <w:rPr>
          <w:i/>
        </w:rPr>
        <w:t>Book of Hours</w:t>
      </w:r>
      <w:r w:rsidR="00A40924">
        <w:t xml:space="preserve">, (San Marino: The Huntington Library, </w:t>
      </w:r>
      <w:r w:rsidR="00C90D01">
        <w:t>2007)</w:t>
      </w:r>
      <w:r>
        <w:t xml:space="preserve"> p.2</w:t>
      </w:r>
    </w:p>
  </w:footnote>
  <w:footnote w:id="2">
    <w:p w14:paraId="0ABBD9A9" w14:textId="5BF6ABAF" w:rsidR="00F24BEC" w:rsidRDefault="00F24BEC">
      <w:pPr>
        <w:pStyle w:val="FootnoteText"/>
      </w:pPr>
      <w:r>
        <w:rPr>
          <w:rStyle w:val="FootnoteReference"/>
        </w:rPr>
        <w:footnoteRef/>
      </w:r>
      <w:r>
        <w:t xml:space="preserve"> Ibid., p.3</w:t>
      </w:r>
    </w:p>
  </w:footnote>
  <w:footnote w:id="3">
    <w:p w14:paraId="05A5F3B4" w14:textId="0E4F5FCB" w:rsidR="00D43AAA" w:rsidRDefault="00D43AAA">
      <w:pPr>
        <w:pStyle w:val="FootnoteText"/>
      </w:pPr>
      <w:r>
        <w:rPr>
          <w:rStyle w:val="FootnoteReference"/>
        </w:rPr>
        <w:footnoteRef/>
      </w:r>
      <w:r>
        <w:t xml:space="preserve"> </w:t>
      </w:r>
      <w:r w:rsidR="00C90D01">
        <w:t xml:space="preserve">J. </w:t>
      </w:r>
      <w:proofErr w:type="spellStart"/>
      <w:r w:rsidR="00CE7669">
        <w:t>Harthan</w:t>
      </w:r>
      <w:proofErr w:type="spellEnd"/>
      <w:r w:rsidR="00C90D01">
        <w:t xml:space="preserve">, </w:t>
      </w:r>
      <w:r w:rsidR="009D02EF" w:rsidRPr="00306000">
        <w:rPr>
          <w:i/>
        </w:rPr>
        <w:t xml:space="preserve">Books of Hours and </w:t>
      </w:r>
      <w:r w:rsidR="00ED320A">
        <w:rPr>
          <w:i/>
        </w:rPr>
        <w:t>T</w:t>
      </w:r>
      <w:r w:rsidR="009D02EF" w:rsidRPr="00306000">
        <w:rPr>
          <w:i/>
        </w:rPr>
        <w:t>heir Owners,</w:t>
      </w:r>
      <w:r w:rsidR="009D02EF">
        <w:t xml:space="preserve"> (Lancashire: Thames and Hudson, </w:t>
      </w:r>
      <w:r w:rsidR="00306000">
        <w:t>1977)</w:t>
      </w:r>
      <w:r w:rsidR="00CE7669">
        <w:t xml:space="preserve"> p.11</w:t>
      </w:r>
    </w:p>
  </w:footnote>
  <w:footnote w:id="4">
    <w:p w14:paraId="7B279375" w14:textId="2FC7DBA3" w:rsidR="00674E00" w:rsidRDefault="00674E00">
      <w:pPr>
        <w:pStyle w:val="FootnoteText"/>
      </w:pPr>
      <w:r>
        <w:rPr>
          <w:rStyle w:val="FootnoteReference"/>
        </w:rPr>
        <w:footnoteRef/>
      </w:r>
      <w:r>
        <w:t xml:space="preserve"> </w:t>
      </w:r>
      <w:r w:rsidR="00FB0006">
        <w:t xml:space="preserve">R. A. K, ‘A Rouen Book of Hours’, </w:t>
      </w:r>
      <w:r w:rsidR="00FB0006" w:rsidRPr="002968E4">
        <w:rPr>
          <w:i/>
        </w:rPr>
        <w:t xml:space="preserve">Record of the Art Museum </w:t>
      </w:r>
      <w:r w:rsidR="00FB0006">
        <w:t xml:space="preserve">Vol. 11 No. 1 (JSTOR: Princeton University, 1952) Available: </w:t>
      </w:r>
      <w:hyperlink r:id="rId1" w:history="1">
        <w:r w:rsidR="00FB0006" w:rsidRPr="00DA334E">
          <w:rPr>
            <w:rStyle w:val="Hyperlink"/>
          </w:rPr>
          <w:t>http://www.jstor.org.ezproxy.uwtsd.ac.uk/stable/pdf/3774276.pdf?refreqid=search:fb24e66a97acb864bae5a6d6a2b092cc</w:t>
        </w:r>
      </w:hyperlink>
      <w:r w:rsidR="00FB0006">
        <w:t xml:space="preserve"> Accessed: 06-05-2018 p.10</w:t>
      </w:r>
    </w:p>
  </w:footnote>
  <w:footnote w:id="5">
    <w:p w14:paraId="0624E778" w14:textId="19A0A1F4" w:rsidR="000B29C4" w:rsidRDefault="000B29C4">
      <w:pPr>
        <w:pStyle w:val="FootnoteText"/>
      </w:pPr>
      <w:r>
        <w:rPr>
          <w:rStyle w:val="FootnoteReference"/>
        </w:rPr>
        <w:footnoteRef/>
      </w:r>
      <w:r>
        <w:t xml:space="preserve"> </w:t>
      </w:r>
      <w:r w:rsidR="00C912BC">
        <w:t xml:space="preserve">J. </w:t>
      </w:r>
      <w:r>
        <w:t>Thorpe</w:t>
      </w:r>
      <w:r w:rsidR="00C912BC">
        <w:t xml:space="preserve">, </w:t>
      </w:r>
      <w:r w:rsidR="00524F1B" w:rsidRPr="00524F1B">
        <w:rPr>
          <w:i/>
        </w:rPr>
        <w:t>Book of Hours</w:t>
      </w:r>
      <w:r w:rsidR="00524F1B">
        <w:t>,</w:t>
      </w:r>
      <w:r w:rsidR="00640612">
        <w:t xml:space="preserve"> p.1</w:t>
      </w:r>
    </w:p>
  </w:footnote>
  <w:footnote w:id="6">
    <w:p w14:paraId="71D5EC76" w14:textId="09FD1E78" w:rsidR="000B29C4" w:rsidRDefault="000B29C4">
      <w:pPr>
        <w:pStyle w:val="FootnoteText"/>
      </w:pPr>
      <w:r>
        <w:rPr>
          <w:rStyle w:val="FootnoteReference"/>
        </w:rPr>
        <w:footnoteRef/>
      </w:r>
      <w:r>
        <w:t xml:space="preserve"> </w:t>
      </w:r>
      <w:r w:rsidR="00640612">
        <w:t>Ibid.</w:t>
      </w:r>
    </w:p>
  </w:footnote>
  <w:footnote w:id="7">
    <w:p w14:paraId="7153828D" w14:textId="7BE5B955" w:rsidR="000B29C4" w:rsidRDefault="000B29C4">
      <w:pPr>
        <w:pStyle w:val="FootnoteText"/>
      </w:pPr>
      <w:r>
        <w:rPr>
          <w:rStyle w:val="FootnoteReference"/>
        </w:rPr>
        <w:footnoteRef/>
      </w:r>
      <w:r>
        <w:t xml:space="preserve"> </w:t>
      </w:r>
      <w:r w:rsidR="00524F1B">
        <w:t>C. Scott-</w:t>
      </w:r>
      <w:r>
        <w:t>Stokes</w:t>
      </w:r>
      <w:r w:rsidR="00524F1B">
        <w:t xml:space="preserve">, </w:t>
      </w:r>
      <w:r w:rsidR="00524F1B" w:rsidRPr="009F2934">
        <w:rPr>
          <w:i/>
        </w:rPr>
        <w:t>Women’s Books of Hours in Medieval England: Selected Texts</w:t>
      </w:r>
      <w:r w:rsidR="00524F1B">
        <w:t>, (</w:t>
      </w:r>
      <w:r w:rsidR="009F2934">
        <w:t>Cambridge: University Press Cambridge, 2006)</w:t>
      </w:r>
      <w:r w:rsidR="00640612">
        <w:t xml:space="preserve"> p.1</w:t>
      </w:r>
    </w:p>
  </w:footnote>
  <w:footnote w:id="8">
    <w:p w14:paraId="2BA1459D" w14:textId="546998BD" w:rsidR="00640612" w:rsidRDefault="00640612">
      <w:pPr>
        <w:pStyle w:val="FootnoteText"/>
      </w:pPr>
      <w:r>
        <w:rPr>
          <w:rStyle w:val="FootnoteReference"/>
        </w:rPr>
        <w:footnoteRef/>
      </w:r>
      <w:r>
        <w:t xml:space="preserve"> Ibid. </w:t>
      </w:r>
    </w:p>
  </w:footnote>
  <w:footnote w:id="9">
    <w:p w14:paraId="09B025A2" w14:textId="396395FC" w:rsidR="00A25195" w:rsidRDefault="00A25195">
      <w:pPr>
        <w:pStyle w:val="FootnoteText"/>
      </w:pPr>
      <w:r>
        <w:rPr>
          <w:rStyle w:val="FootnoteReference"/>
        </w:rPr>
        <w:footnoteRef/>
      </w:r>
      <w:r>
        <w:t xml:space="preserve"> </w:t>
      </w:r>
      <w:r w:rsidR="00D22DC9">
        <w:t xml:space="preserve">J. </w:t>
      </w:r>
      <w:r>
        <w:t>Thorpe</w:t>
      </w:r>
      <w:r w:rsidR="00D22DC9">
        <w:t xml:space="preserve">, </w:t>
      </w:r>
      <w:r w:rsidR="00D22DC9" w:rsidRPr="00D22DC9">
        <w:rPr>
          <w:i/>
        </w:rPr>
        <w:t>Book of Hours,</w:t>
      </w:r>
      <w:r w:rsidRPr="00D22DC9">
        <w:rPr>
          <w:i/>
        </w:rPr>
        <w:t xml:space="preserve"> </w:t>
      </w:r>
      <w:r>
        <w:t>p.1</w:t>
      </w:r>
    </w:p>
  </w:footnote>
  <w:footnote w:id="10">
    <w:p w14:paraId="705B6E4E" w14:textId="40CF71E1" w:rsidR="0032605C" w:rsidRDefault="0032605C">
      <w:pPr>
        <w:pStyle w:val="FootnoteText"/>
      </w:pPr>
      <w:r>
        <w:rPr>
          <w:rStyle w:val="FootnoteReference"/>
        </w:rPr>
        <w:footnoteRef/>
      </w:r>
      <w:r w:rsidR="00ED5BCF">
        <w:t xml:space="preserve"> Ibid., p.3</w:t>
      </w:r>
    </w:p>
  </w:footnote>
  <w:footnote w:id="11">
    <w:p w14:paraId="7C1CBC02" w14:textId="331CE7A1" w:rsidR="007E13FD" w:rsidRDefault="007E13FD">
      <w:pPr>
        <w:pStyle w:val="FootnoteText"/>
      </w:pPr>
      <w:r>
        <w:rPr>
          <w:rStyle w:val="FootnoteReference"/>
        </w:rPr>
        <w:footnoteRef/>
      </w:r>
      <w:r>
        <w:t xml:space="preserve"> Ibid. </w:t>
      </w:r>
    </w:p>
  </w:footnote>
  <w:footnote w:id="12">
    <w:p w14:paraId="02980CBE" w14:textId="4DA4B5E5" w:rsidR="00321191" w:rsidRDefault="00321191">
      <w:pPr>
        <w:pStyle w:val="FootnoteText"/>
      </w:pPr>
      <w:r>
        <w:rPr>
          <w:rStyle w:val="FootnoteReference"/>
        </w:rPr>
        <w:footnoteRef/>
      </w:r>
      <w:r>
        <w:t xml:space="preserve"> Ibid. </w:t>
      </w:r>
    </w:p>
  </w:footnote>
  <w:footnote w:id="13">
    <w:p w14:paraId="10E45661" w14:textId="697A16EE" w:rsidR="007D1C46" w:rsidRDefault="007D1C46">
      <w:pPr>
        <w:pStyle w:val="FootnoteText"/>
      </w:pPr>
      <w:r>
        <w:rPr>
          <w:rStyle w:val="FootnoteReference"/>
        </w:rPr>
        <w:footnoteRef/>
      </w:r>
      <w:r>
        <w:t xml:space="preserve"> </w:t>
      </w:r>
      <w:r w:rsidR="00D22DC9">
        <w:t xml:space="preserve">J. </w:t>
      </w:r>
      <w:proofErr w:type="spellStart"/>
      <w:r w:rsidR="00CE7669">
        <w:t>Harthan</w:t>
      </w:r>
      <w:proofErr w:type="spellEnd"/>
      <w:r w:rsidR="00D22DC9">
        <w:t xml:space="preserve">, </w:t>
      </w:r>
      <w:r w:rsidR="00D22DC9" w:rsidRPr="00ED320A">
        <w:rPr>
          <w:i/>
        </w:rPr>
        <w:t>Books of Hours and Their Owners</w:t>
      </w:r>
      <w:r w:rsidR="00ED320A" w:rsidRPr="00ED320A">
        <w:rPr>
          <w:i/>
        </w:rPr>
        <w:t>,</w:t>
      </w:r>
      <w:r w:rsidRPr="00ED320A">
        <w:rPr>
          <w:i/>
        </w:rPr>
        <w:t xml:space="preserve"> </w:t>
      </w:r>
      <w:r>
        <w:t>p.12</w:t>
      </w:r>
    </w:p>
  </w:footnote>
  <w:footnote w:id="14">
    <w:p w14:paraId="177DD06F" w14:textId="59E022F4" w:rsidR="000528ED" w:rsidRDefault="000528ED">
      <w:pPr>
        <w:pStyle w:val="FootnoteText"/>
      </w:pPr>
      <w:r>
        <w:rPr>
          <w:rStyle w:val="FootnoteReference"/>
        </w:rPr>
        <w:footnoteRef/>
      </w:r>
      <w:r>
        <w:t xml:space="preserve"> Ibid., p.11</w:t>
      </w:r>
    </w:p>
  </w:footnote>
  <w:footnote w:id="15">
    <w:p w14:paraId="46BAC3BD" w14:textId="767BE77C" w:rsidR="00461BD0" w:rsidRDefault="00461BD0">
      <w:pPr>
        <w:pStyle w:val="FootnoteText"/>
      </w:pPr>
      <w:r>
        <w:rPr>
          <w:rStyle w:val="FootnoteReference"/>
        </w:rPr>
        <w:footnoteRef/>
      </w:r>
      <w:r>
        <w:t xml:space="preserve"> </w:t>
      </w:r>
      <w:r w:rsidR="00ED320A">
        <w:t xml:space="preserve">J. </w:t>
      </w:r>
      <w:r w:rsidR="007D7C17">
        <w:t>Thorpe</w:t>
      </w:r>
      <w:r w:rsidR="00ED320A">
        <w:t xml:space="preserve">, </w:t>
      </w:r>
      <w:r w:rsidR="00ED320A" w:rsidRPr="00ED320A">
        <w:rPr>
          <w:i/>
        </w:rPr>
        <w:t>Book of Hours,</w:t>
      </w:r>
      <w:r w:rsidR="007D7C17" w:rsidRPr="00ED320A">
        <w:rPr>
          <w:i/>
        </w:rPr>
        <w:t xml:space="preserve"> </w:t>
      </w:r>
      <w:r w:rsidR="007D7C17">
        <w:t>p.3</w:t>
      </w:r>
    </w:p>
  </w:footnote>
  <w:footnote w:id="16">
    <w:p w14:paraId="78BB442A" w14:textId="1BF9BDB1" w:rsidR="000B7559" w:rsidRDefault="000B7559">
      <w:pPr>
        <w:pStyle w:val="FootnoteText"/>
      </w:pPr>
      <w:r>
        <w:rPr>
          <w:rStyle w:val="FootnoteReference"/>
        </w:rPr>
        <w:footnoteRef/>
      </w:r>
      <w:r>
        <w:t xml:space="preserve"> Ibid., p.2</w:t>
      </w:r>
    </w:p>
  </w:footnote>
  <w:footnote w:id="17">
    <w:p w14:paraId="52B7704D" w14:textId="38E5A40B" w:rsidR="00AE47B9" w:rsidRDefault="00AE47B9">
      <w:pPr>
        <w:pStyle w:val="FootnoteText"/>
      </w:pPr>
      <w:r>
        <w:rPr>
          <w:rStyle w:val="FootnoteReference"/>
        </w:rPr>
        <w:footnoteRef/>
      </w:r>
      <w:r>
        <w:t xml:space="preserve"> Ibid., p.3</w:t>
      </w:r>
    </w:p>
  </w:footnote>
  <w:footnote w:id="18">
    <w:p w14:paraId="2870CF65" w14:textId="1214EE0E" w:rsidR="00BE591D" w:rsidRDefault="00BE591D">
      <w:pPr>
        <w:pStyle w:val="FootnoteText"/>
      </w:pPr>
      <w:r>
        <w:rPr>
          <w:rStyle w:val="FootnoteReference"/>
        </w:rPr>
        <w:footnoteRef/>
      </w:r>
      <w:r>
        <w:t xml:space="preserve"> </w:t>
      </w:r>
      <w:r w:rsidR="00ED320A">
        <w:t xml:space="preserve">J. </w:t>
      </w:r>
      <w:proofErr w:type="spellStart"/>
      <w:r w:rsidR="00BC5AA8">
        <w:t>Harthan</w:t>
      </w:r>
      <w:proofErr w:type="spellEnd"/>
      <w:r w:rsidR="00ED320A">
        <w:t xml:space="preserve">, </w:t>
      </w:r>
      <w:r w:rsidR="00ED320A" w:rsidRPr="00ED320A">
        <w:rPr>
          <w:i/>
        </w:rPr>
        <w:t>Books of Hours and Their Owners,</w:t>
      </w:r>
      <w:r w:rsidR="00BC5AA8" w:rsidRPr="00ED320A">
        <w:rPr>
          <w:i/>
        </w:rPr>
        <w:t xml:space="preserve"> </w:t>
      </w:r>
      <w:r w:rsidR="00BC5AA8">
        <w:t>p.139</w:t>
      </w:r>
    </w:p>
  </w:footnote>
  <w:footnote w:id="19">
    <w:p w14:paraId="60B7EF27" w14:textId="31CC7221" w:rsidR="005B4886" w:rsidRDefault="005B4886">
      <w:pPr>
        <w:pStyle w:val="FootnoteText"/>
      </w:pPr>
      <w:r>
        <w:rPr>
          <w:rStyle w:val="FootnoteReference"/>
        </w:rPr>
        <w:footnoteRef/>
      </w:r>
      <w:r>
        <w:t xml:space="preserve"> Ibid., p. 1</w:t>
      </w:r>
      <w:r w:rsidR="00557C6A">
        <w:t>30 - 135</w:t>
      </w:r>
    </w:p>
  </w:footnote>
  <w:footnote w:id="20">
    <w:p w14:paraId="70E54348" w14:textId="2582FCCB" w:rsidR="006250F3" w:rsidRDefault="006250F3">
      <w:pPr>
        <w:pStyle w:val="FootnoteText"/>
      </w:pPr>
      <w:r>
        <w:rPr>
          <w:rStyle w:val="FootnoteReference"/>
        </w:rPr>
        <w:footnoteRef/>
      </w:r>
      <w:r>
        <w:t xml:space="preserve"> </w:t>
      </w:r>
      <w:r w:rsidR="00ED320A">
        <w:t xml:space="preserve">J. </w:t>
      </w:r>
      <w:r>
        <w:t>Thorpe</w:t>
      </w:r>
      <w:r w:rsidR="00ED320A">
        <w:t xml:space="preserve">, </w:t>
      </w:r>
      <w:r w:rsidR="00ED320A" w:rsidRPr="00ED320A">
        <w:rPr>
          <w:i/>
        </w:rPr>
        <w:t>Book of Hours,</w:t>
      </w:r>
      <w:r>
        <w:t xml:space="preserve"> p.2</w:t>
      </w:r>
    </w:p>
  </w:footnote>
  <w:footnote w:id="21">
    <w:p w14:paraId="7313D429" w14:textId="0DC80D1D" w:rsidR="008F0E88" w:rsidRDefault="008F0E88">
      <w:pPr>
        <w:pStyle w:val="FootnoteText"/>
      </w:pPr>
      <w:r>
        <w:rPr>
          <w:rStyle w:val="FootnoteReference"/>
        </w:rPr>
        <w:footnoteRef/>
      </w:r>
      <w:r>
        <w:t xml:space="preserve"> </w:t>
      </w:r>
      <w:r w:rsidR="008F6E49">
        <w:t xml:space="preserve">W. G. </w:t>
      </w:r>
      <w:r>
        <w:t>Storey</w:t>
      </w:r>
      <w:r w:rsidR="0027020F">
        <w:t xml:space="preserve">, </w:t>
      </w:r>
      <w:r w:rsidR="0027020F" w:rsidRPr="008F6E49">
        <w:rPr>
          <w:i/>
        </w:rPr>
        <w:t>A Catholic Book of Hours and Other Devotions,</w:t>
      </w:r>
      <w:r w:rsidR="008F6E49">
        <w:t xml:space="preserve"> (Chicago: Loyola Press, 2007)</w:t>
      </w:r>
      <w:r>
        <w:t xml:space="preserve"> p. viii</w:t>
      </w:r>
    </w:p>
  </w:footnote>
  <w:footnote w:id="22">
    <w:p w14:paraId="798EFB75" w14:textId="250DE0A6" w:rsidR="004F1272" w:rsidRDefault="004F1272">
      <w:pPr>
        <w:pStyle w:val="FootnoteText"/>
      </w:pPr>
      <w:r>
        <w:rPr>
          <w:rStyle w:val="FootnoteReference"/>
        </w:rPr>
        <w:footnoteRef/>
      </w:r>
      <w:r>
        <w:t xml:space="preserve"> </w:t>
      </w:r>
      <w:r w:rsidR="007936B3">
        <w:t xml:space="preserve">J. </w:t>
      </w:r>
      <w:r w:rsidR="00391BE8">
        <w:t>Thorpe</w:t>
      </w:r>
      <w:r w:rsidR="007936B3">
        <w:t xml:space="preserve">, </w:t>
      </w:r>
      <w:r w:rsidR="007936B3" w:rsidRPr="007936B3">
        <w:rPr>
          <w:i/>
        </w:rPr>
        <w:t>Book of Hours,</w:t>
      </w:r>
      <w:r w:rsidR="00391BE8">
        <w:t xml:space="preserve"> p.1</w:t>
      </w:r>
    </w:p>
  </w:footnote>
  <w:footnote w:id="23">
    <w:p w14:paraId="483496AF" w14:textId="2D6501CD" w:rsidR="00FC187A" w:rsidRDefault="00FC187A">
      <w:pPr>
        <w:pStyle w:val="FootnoteText"/>
      </w:pPr>
      <w:r>
        <w:rPr>
          <w:rStyle w:val="FootnoteReference"/>
        </w:rPr>
        <w:footnoteRef/>
      </w:r>
      <w:r>
        <w:t xml:space="preserve"> Ibid. </w:t>
      </w:r>
    </w:p>
  </w:footnote>
  <w:footnote w:id="24">
    <w:p w14:paraId="24649F29" w14:textId="7A7AD182" w:rsidR="00391BE8" w:rsidRDefault="00391BE8">
      <w:pPr>
        <w:pStyle w:val="FootnoteText"/>
      </w:pPr>
      <w:r>
        <w:rPr>
          <w:rStyle w:val="FootnoteReference"/>
        </w:rPr>
        <w:footnoteRef/>
      </w:r>
      <w:r>
        <w:t xml:space="preserve"> Ibid. </w:t>
      </w:r>
    </w:p>
  </w:footnote>
  <w:footnote w:id="25">
    <w:p w14:paraId="4F537B23" w14:textId="2D63C98A" w:rsidR="0098147C" w:rsidRDefault="0098147C">
      <w:pPr>
        <w:pStyle w:val="FootnoteText"/>
      </w:pPr>
      <w:r>
        <w:rPr>
          <w:rStyle w:val="FootnoteReference"/>
        </w:rPr>
        <w:footnoteRef/>
      </w:r>
      <w:r>
        <w:t xml:space="preserve"> Ibid. </w:t>
      </w:r>
    </w:p>
  </w:footnote>
  <w:footnote w:id="26">
    <w:p w14:paraId="78DFB1E8" w14:textId="1A4BAD78" w:rsidR="006C50BF" w:rsidRDefault="006C50BF">
      <w:pPr>
        <w:pStyle w:val="FootnoteText"/>
      </w:pPr>
      <w:r>
        <w:rPr>
          <w:rStyle w:val="FootnoteReference"/>
        </w:rPr>
        <w:footnoteRef/>
      </w:r>
      <w:r>
        <w:t xml:space="preserve"> </w:t>
      </w:r>
      <w:r w:rsidR="007936B3">
        <w:t xml:space="preserve">W. G. </w:t>
      </w:r>
      <w:r>
        <w:t>Storey</w:t>
      </w:r>
      <w:r w:rsidR="007936B3">
        <w:t xml:space="preserve">, </w:t>
      </w:r>
      <w:r w:rsidR="007936B3" w:rsidRPr="007936B3">
        <w:rPr>
          <w:i/>
        </w:rPr>
        <w:t>A Catholic Book of Hours and Other Devotions,</w:t>
      </w:r>
      <w:r>
        <w:t xml:space="preserve"> p.</w:t>
      </w:r>
      <w:r w:rsidR="004D0AB2">
        <w:t xml:space="preserve"> </w:t>
      </w:r>
      <w:r>
        <w:t>vii</w:t>
      </w:r>
    </w:p>
  </w:footnote>
  <w:footnote w:id="27">
    <w:p w14:paraId="4219C35A" w14:textId="60B3A42B" w:rsidR="00130377" w:rsidRDefault="00130377">
      <w:pPr>
        <w:pStyle w:val="FootnoteText"/>
      </w:pPr>
      <w:r>
        <w:rPr>
          <w:rStyle w:val="FootnoteReference"/>
        </w:rPr>
        <w:footnoteRef/>
      </w:r>
      <w:r>
        <w:t xml:space="preserve"> Ibid. </w:t>
      </w:r>
    </w:p>
  </w:footnote>
  <w:footnote w:id="28">
    <w:p w14:paraId="185A541F" w14:textId="7CE1405B" w:rsidR="004D0AB2" w:rsidRDefault="004D0AB2">
      <w:pPr>
        <w:pStyle w:val="FootnoteText"/>
      </w:pPr>
      <w:r>
        <w:rPr>
          <w:rStyle w:val="FootnoteReference"/>
        </w:rPr>
        <w:footnoteRef/>
      </w:r>
      <w:r>
        <w:t xml:space="preserve"> Ibid., p. viii</w:t>
      </w:r>
    </w:p>
  </w:footnote>
  <w:footnote w:id="29">
    <w:p w14:paraId="0F5195F3" w14:textId="083E2E15" w:rsidR="00B1406A" w:rsidRDefault="00B1406A">
      <w:pPr>
        <w:pStyle w:val="FootnoteText"/>
      </w:pPr>
      <w:r>
        <w:rPr>
          <w:rStyle w:val="FootnoteReference"/>
        </w:rPr>
        <w:footnoteRef/>
      </w:r>
      <w:r>
        <w:t xml:space="preserve"> </w:t>
      </w:r>
      <w:r w:rsidR="00FB0006">
        <w:t xml:space="preserve">R. A. K, ‘A Rouen Book of Hours’, </w:t>
      </w:r>
      <w:r w:rsidR="00FB0006" w:rsidRPr="002968E4">
        <w:rPr>
          <w:i/>
        </w:rPr>
        <w:t xml:space="preserve">Record of the Art Museum </w:t>
      </w:r>
      <w:r w:rsidR="00FB0006">
        <w:t>Vol. 11 No. 1</w:t>
      </w:r>
    </w:p>
  </w:footnote>
  <w:footnote w:id="30">
    <w:p w14:paraId="17C85148" w14:textId="7ABEA31A" w:rsidR="00F93896" w:rsidRDefault="00F93896">
      <w:pPr>
        <w:pStyle w:val="FootnoteText"/>
      </w:pPr>
      <w:r>
        <w:rPr>
          <w:rStyle w:val="FootnoteReference"/>
        </w:rPr>
        <w:footnoteRef/>
      </w:r>
      <w:r>
        <w:t xml:space="preserve"> </w:t>
      </w:r>
      <w:r w:rsidR="007936B3">
        <w:t xml:space="preserve">J. </w:t>
      </w:r>
      <w:proofErr w:type="spellStart"/>
      <w:r w:rsidR="002F740C">
        <w:t>Harthan</w:t>
      </w:r>
      <w:proofErr w:type="spellEnd"/>
      <w:r w:rsidR="007936B3">
        <w:t xml:space="preserve">, </w:t>
      </w:r>
      <w:r w:rsidR="007936B3" w:rsidRPr="007936B3">
        <w:rPr>
          <w:i/>
        </w:rPr>
        <w:t>Books of Hours and Their Owners</w:t>
      </w:r>
      <w:r w:rsidR="007936B3">
        <w:t>,</w:t>
      </w:r>
      <w:r w:rsidR="002F740C">
        <w:t xml:space="preserve"> p.24</w:t>
      </w:r>
    </w:p>
  </w:footnote>
  <w:footnote w:id="31">
    <w:p w14:paraId="4F5B8F12" w14:textId="379577FB" w:rsidR="002F740C" w:rsidRDefault="002F740C">
      <w:pPr>
        <w:pStyle w:val="FootnoteText"/>
      </w:pPr>
      <w:r>
        <w:rPr>
          <w:rStyle w:val="FootnoteReference"/>
        </w:rPr>
        <w:footnoteRef/>
      </w:r>
      <w:r>
        <w:t xml:space="preserve"> Ibid.</w:t>
      </w:r>
    </w:p>
  </w:footnote>
  <w:footnote w:id="32">
    <w:p w14:paraId="05094B50" w14:textId="31E23614" w:rsidR="0030304A" w:rsidRDefault="0030304A">
      <w:pPr>
        <w:pStyle w:val="FootnoteText"/>
      </w:pPr>
      <w:r>
        <w:rPr>
          <w:rStyle w:val="FootnoteReference"/>
        </w:rPr>
        <w:footnoteRef/>
      </w:r>
      <w:r>
        <w:t xml:space="preserve"> Ibid. </w:t>
      </w:r>
    </w:p>
  </w:footnote>
  <w:footnote w:id="33">
    <w:p w14:paraId="1E12548B" w14:textId="57523C2C" w:rsidR="00D11BC9" w:rsidRDefault="00D11BC9">
      <w:pPr>
        <w:pStyle w:val="FootnoteText"/>
      </w:pPr>
      <w:r>
        <w:rPr>
          <w:rStyle w:val="FootnoteReference"/>
        </w:rPr>
        <w:footnoteRef/>
      </w:r>
      <w:r>
        <w:t xml:space="preserve"> Ibid., p.25</w:t>
      </w:r>
    </w:p>
  </w:footnote>
  <w:footnote w:id="34">
    <w:p w14:paraId="7F335664" w14:textId="6AEC6167" w:rsidR="008A6237" w:rsidRDefault="008A6237">
      <w:pPr>
        <w:pStyle w:val="FootnoteText"/>
      </w:pPr>
      <w:r>
        <w:rPr>
          <w:rStyle w:val="FootnoteReference"/>
        </w:rPr>
        <w:footnoteRef/>
      </w:r>
      <w:r>
        <w:t xml:space="preserve"> Ibid., p.2</w:t>
      </w:r>
      <w:r w:rsidR="00573D2B">
        <w:t>6</w:t>
      </w:r>
    </w:p>
  </w:footnote>
  <w:footnote w:id="35">
    <w:p w14:paraId="560287D2" w14:textId="631D908F" w:rsidR="000A0DF3" w:rsidRDefault="000A0DF3">
      <w:pPr>
        <w:pStyle w:val="FootnoteText"/>
      </w:pPr>
      <w:r>
        <w:rPr>
          <w:rStyle w:val="FootnoteReference"/>
        </w:rPr>
        <w:footnoteRef/>
      </w:r>
      <w:r>
        <w:t xml:space="preserve"> </w:t>
      </w:r>
      <w:r w:rsidR="00C568CE">
        <w:t xml:space="preserve">E. </w:t>
      </w:r>
      <w:r w:rsidR="00C449F7">
        <w:t>Duffy</w:t>
      </w:r>
      <w:r w:rsidR="00C568CE">
        <w:t xml:space="preserve">, </w:t>
      </w:r>
      <w:r w:rsidR="00554E4D">
        <w:t xml:space="preserve">Marking the Hours: </w:t>
      </w:r>
      <w:r w:rsidR="002B0492">
        <w:t>English People and Their Prayers</w:t>
      </w:r>
      <w:r w:rsidR="00BA1F7D">
        <w:t xml:space="preserve"> 1240 - 1570</w:t>
      </w:r>
      <w:r w:rsidR="009B2EC5">
        <w:t xml:space="preserve"> (Connecticut:</w:t>
      </w:r>
      <w:r w:rsidR="00C568CE">
        <w:t xml:space="preserve"> Yale University Press, 2006)</w:t>
      </w:r>
      <w:r w:rsidR="00C449F7">
        <w:t xml:space="preserve"> p.53</w:t>
      </w:r>
    </w:p>
  </w:footnote>
  <w:footnote w:id="36">
    <w:p w14:paraId="20331245" w14:textId="6C5C2896" w:rsidR="00E96F2F" w:rsidRDefault="00E96F2F">
      <w:pPr>
        <w:pStyle w:val="FootnoteText"/>
      </w:pPr>
      <w:r>
        <w:rPr>
          <w:rStyle w:val="FootnoteReference"/>
        </w:rPr>
        <w:footnoteRef/>
      </w:r>
      <w:r>
        <w:t xml:space="preserve"> Ibid. </w:t>
      </w:r>
    </w:p>
  </w:footnote>
  <w:footnote w:id="37">
    <w:p w14:paraId="12E7C930" w14:textId="24A7F80C" w:rsidR="00B10A9A" w:rsidRDefault="00B10A9A">
      <w:pPr>
        <w:pStyle w:val="FootnoteText"/>
      </w:pPr>
      <w:r>
        <w:rPr>
          <w:rStyle w:val="FootnoteReference"/>
        </w:rPr>
        <w:footnoteRef/>
      </w:r>
      <w:r>
        <w:t xml:space="preserve"> Ibid., </w:t>
      </w:r>
      <w:r w:rsidR="005449C0">
        <w:t>p.</w:t>
      </w:r>
      <w:r>
        <w:t>55</w:t>
      </w:r>
    </w:p>
  </w:footnote>
  <w:footnote w:id="38">
    <w:p w14:paraId="265DC7B7" w14:textId="5534A9B8" w:rsidR="004E4726" w:rsidRDefault="004E4726">
      <w:pPr>
        <w:pStyle w:val="FootnoteText"/>
      </w:pPr>
      <w:r>
        <w:rPr>
          <w:rStyle w:val="FootnoteReference"/>
        </w:rPr>
        <w:footnoteRef/>
      </w:r>
      <w:r>
        <w:t xml:space="preserve"> Ibid. </w:t>
      </w:r>
    </w:p>
  </w:footnote>
  <w:footnote w:id="39">
    <w:p w14:paraId="1C48A21B" w14:textId="2AB30BF0" w:rsidR="005449C0" w:rsidRDefault="005449C0">
      <w:pPr>
        <w:pStyle w:val="FootnoteText"/>
      </w:pPr>
      <w:r>
        <w:rPr>
          <w:rStyle w:val="FootnoteReference"/>
        </w:rPr>
        <w:footnoteRef/>
      </w:r>
      <w:r>
        <w:t xml:space="preserve"> Ibid., p.60</w:t>
      </w:r>
    </w:p>
  </w:footnote>
  <w:footnote w:id="40">
    <w:p w14:paraId="6CFF4BCD" w14:textId="3E8055BB" w:rsidR="000047ED" w:rsidRDefault="000047ED">
      <w:pPr>
        <w:pStyle w:val="FootnoteText"/>
      </w:pPr>
      <w:r>
        <w:rPr>
          <w:rStyle w:val="FootnoteReference"/>
        </w:rPr>
        <w:footnoteRef/>
      </w:r>
      <w:r>
        <w:t xml:space="preserve"> Ibid., p.55</w:t>
      </w:r>
    </w:p>
  </w:footnote>
  <w:footnote w:id="41">
    <w:p w14:paraId="71A5DE59" w14:textId="1FA7A56F" w:rsidR="00A22171" w:rsidRDefault="00A22171">
      <w:pPr>
        <w:pStyle w:val="FootnoteText"/>
      </w:pPr>
      <w:r>
        <w:rPr>
          <w:rStyle w:val="FootnoteReference"/>
        </w:rPr>
        <w:footnoteRef/>
      </w:r>
      <w:r>
        <w:t xml:space="preserve"> </w:t>
      </w:r>
      <w:r w:rsidR="001875F6">
        <w:t xml:space="preserve">J. </w:t>
      </w:r>
      <w:r w:rsidR="003A7287">
        <w:t>Thorpe</w:t>
      </w:r>
      <w:r w:rsidR="001875F6">
        <w:t xml:space="preserve">, </w:t>
      </w:r>
      <w:r w:rsidR="001875F6" w:rsidRPr="001875F6">
        <w:rPr>
          <w:i/>
        </w:rPr>
        <w:t>Books of Hours,</w:t>
      </w:r>
      <w:r w:rsidR="003A7287">
        <w:t xml:space="preserve"> p.4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8C0"/>
    <w:rsid w:val="000025D2"/>
    <w:rsid w:val="000047ED"/>
    <w:rsid w:val="000528ED"/>
    <w:rsid w:val="0005573E"/>
    <w:rsid w:val="00066D44"/>
    <w:rsid w:val="00083DF9"/>
    <w:rsid w:val="000962F2"/>
    <w:rsid w:val="000A0DF3"/>
    <w:rsid w:val="000A659E"/>
    <w:rsid w:val="000B29C4"/>
    <w:rsid w:val="000B7559"/>
    <w:rsid w:val="000B7AE8"/>
    <w:rsid w:val="000E3296"/>
    <w:rsid w:val="0011113E"/>
    <w:rsid w:val="00130377"/>
    <w:rsid w:val="001748FD"/>
    <w:rsid w:val="001875F6"/>
    <w:rsid w:val="00191843"/>
    <w:rsid w:val="001C3DCA"/>
    <w:rsid w:val="00237ACC"/>
    <w:rsid w:val="0027020F"/>
    <w:rsid w:val="00286C2B"/>
    <w:rsid w:val="002968E4"/>
    <w:rsid w:val="002B0492"/>
    <w:rsid w:val="002B4331"/>
    <w:rsid w:val="002D4EAD"/>
    <w:rsid w:val="002E26EB"/>
    <w:rsid w:val="002F43B2"/>
    <w:rsid w:val="002F740C"/>
    <w:rsid w:val="0030304A"/>
    <w:rsid w:val="00306000"/>
    <w:rsid w:val="00321191"/>
    <w:rsid w:val="0032605C"/>
    <w:rsid w:val="003467E3"/>
    <w:rsid w:val="00347205"/>
    <w:rsid w:val="00362E4E"/>
    <w:rsid w:val="00372C25"/>
    <w:rsid w:val="00391AB7"/>
    <w:rsid w:val="00391BE8"/>
    <w:rsid w:val="003A7287"/>
    <w:rsid w:val="003C0E11"/>
    <w:rsid w:val="003E64E5"/>
    <w:rsid w:val="00432E91"/>
    <w:rsid w:val="00442AFA"/>
    <w:rsid w:val="00460BCE"/>
    <w:rsid w:val="00461BD0"/>
    <w:rsid w:val="00461F87"/>
    <w:rsid w:val="004734E8"/>
    <w:rsid w:val="0049184B"/>
    <w:rsid w:val="004A3406"/>
    <w:rsid w:val="004D0AB2"/>
    <w:rsid w:val="004D43C2"/>
    <w:rsid w:val="004E4726"/>
    <w:rsid w:val="004F1272"/>
    <w:rsid w:val="00524F1B"/>
    <w:rsid w:val="00533631"/>
    <w:rsid w:val="005338DC"/>
    <w:rsid w:val="00533C9E"/>
    <w:rsid w:val="00534C52"/>
    <w:rsid w:val="005449C0"/>
    <w:rsid w:val="00554E4D"/>
    <w:rsid w:val="00555500"/>
    <w:rsid w:val="005562FB"/>
    <w:rsid w:val="00557C6A"/>
    <w:rsid w:val="00573D2B"/>
    <w:rsid w:val="00580DF0"/>
    <w:rsid w:val="0059557D"/>
    <w:rsid w:val="005A438E"/>
    <w:rsid w:val="005A5CE4"/>
    <w:rsid w:val="005B4886"/>
    <w:rsid w:val="005B6902"/>
    <w:rsid w:val="005B6C80"/>
    <w:rsid w:val="005C4A0A"/>
    <w:rsid w:val="005E2D96"/>
    <w:rsid w:val="006226C1"/>
    <w:rsid w:val="006250F3"/>
    <w:rsid w:val="00640612"/>
    <w:rsid w:val="0066264E"/>
    <w:rsid w:val="00664A6E"/>
    <w:rsid w:val="00665C3D"/>
    <w:rsid w:val="00670837"/>
    <w:rsid w:val="006712A7"/>
    <w:rsid w:val="00674E00"/>
    <w:rsid w:val="00677C90"/>
    <w:rsid w:val="0068540D"/>
    <w:rsid w:val="006A5A15"/>
    <w:rsid w:val="006A790F"/>
    <w:rsid w:val="006C50BF"/>
    <w:rsid w:val="0072064B"/>
    <w:rsid w:val="00773E4B"/>
    <w:rsid w:val="00775233"/>
    <w:rsid w:val="007913F1"/>
    <w:rsid w:val="007936B3"/>
    <w:rsid w:val="007948EA"/>
    <w:rsid w:val="00796C5A"/>
    <w:rsid w:val="007A7AD5"/>
    <w:rsid w:val="007B0427"/>
    <w:rsid w:val="007B0983"/>
    <w:rsid w:val="007B1965"/>
    <w:rsid w:val="007D1C46"/>
    <w:rsid w:val="007D7C17"/>
    <w:rsid w:val="007E13FD"/>
    <w:rsid w:val="007F6D7F"/>
    <w:rsid w:val="00811A26"/>
    <w:rsid w:val="00845981"/>
    <w:rsid w:val="00861970"/>
    <w:rsid w:val="008722D4"/>
    <w:rsid w:val="0087286E"/>
    <w:rsid w:val="008819E3"/>
    <w:rsid w:val="008865A5"/>
    <w:rsid w:val="008A6237"/>
    <w:rsid w:val="008B66BA"/>
    <w:rsid w:val="008C3476"/>
    <w:rsid w:val="008D1EC8"/>
    <w:rsid w:val="008E3639"/>
    <w:rsid w:val="008F0E88"/>
    <w:rsid w:val="008F6E49"/>
    <w:rsid w:val="00916BD4"/>
    <w:rsid w:val="0092534E"/>
    <w:rsid w:val="0097172B"/>
    <w:rsid w:val="00974D74"/>
    <w:rsid w:val="0098147C"/>
    <w:rsid w:val="009845EB"/>
    <w:rsid w:val="00994D73"/>
    <w:rsid w:val="009A08C0"/>
    <w:rsid w:val="009A2485"/>
    <w:rsid w:val="009B2916"/>
    <w:rsid w:val="009B2EC5"/>
    <w:rsid w:val="009B47C3"/>
    <w:rsid w:val="009D02EF"/>
    <w:rsid w:val="009E000D"/>
    <w:rsid w:val="009F2934"/>
    <w:rsid w:val="009F71EB"/>
    <w:rsid w:val="00A02491"/>
    <w:rsid w:val="00A02C4F"/>
    <w:rsid w:val="00A12CB3"/>
    <w:rsid w:val="00A22171"/>
    <w:rsid w:val="00A25195"/>
    <w:rsid w:val="00A40924"/>
    <w:rsid w:val="00A62B96"/>
    <w:rsid w:val="00A64A5D"/>
    <w:rsid w:val="00A97E84"/>
    <w:rsid w:val="00AE13BF"/>
    <w:rsid w:val="00AE47B9"/>
    <w:rsid w:val="00AF21A4"/>
    <w:rsid w:val="00AF7D2A"/>
    <w:rsid w:val="00B04B87"/>
    <w:rsid w:val="00B10A9A"/>
    <w:rsid w:val="00B1406A"/>
    <w:rsid w:val="00B20A03"/>
    <w:rsid w:val="00B4335F"/>
    <w:rsid w:val="00B50B60"/>
    <w:rsid w:val="00B561B7"/>
    <w:rsid w:val="00B66355"/>
    <w:rsid w:val="00B92C8B"/>
    <w:rsid w:val="00BA1F7D"/>
    <w:rsid w:val="00BC12AD"/>
    <w:rsid w:val="00BC5AA8"/>
    <w:rsid w:val="00BE591D"/>
    <w:rsid w:val="00BF457E"/>
    <w:rsid w:val="00BF6417"/>
    <w:rsid w:val="00C13907"/>
    <w:rsid w:val="00C24C94"/>
    <w:rsid w:val="00C449F7"/>
    <w:rsid w:val="00C51646"/>
    <w:rsid w:val="00C568CE"/>
    <w:rsid w:val="00C70053"/>
    <w:rsid w:val="00C82DF1"/>
    <w:rsid w:val="00C90D01"/>
    <w:rsid w:val="00C912BC"/>
    <w:rsid w:val="00C95EF8"/>
    <w:rsid w:val="00CC0341"/>
    <w:rsid w:val="00CC2383"/>
    <w:rsid w:val="00CE7669"/>
    <w:rsid w:val="00CF1E93"/>
    <w:rsid w:val="00D05500"/>
    <w:rsid w:val="00D071E8"/>
    <w:rsid w:val="00D11BC9"/>
    <w:rsid w:val="00D17E5D"/>
    <w:rsid w:val="00D227D6"/>
    <w:rsid w:val="00D22DC9"/>
    <w:rsid w:val="00D40897"/>
    <w:rsid w:val="00D43AAA"/>
    <w:rsid w:val="00D46433"/>
    <w:rsid w:val="00D73062"/>
    <w:rsid w:val="00D73D82"/>
    <w:rsid w:val="00D86D4A"/>
    <w:rsid w:val="00D92296"/>
    <w:rsid w:val="00DC39A4"/>
    <w:rsid w:val="00DC3EE6"/>
    <w:rsid w:val="00DD0222"/>
    <w:rsid w:val="00DE325B"/>
    <w:rsid w:val="00DE38D5"/>
    <w:rsid w:val="00E05410"/>
    <w:rsid w:val="00E340E2"/>
    <w:rsid w:val="00E40EE5"/>
    <w:rsid w:val="00E7104D"/>
    <w:rsid w:val="00E80369"/>
    <w:rsid w:val="00E85CB5"/>
    <w:rsid w:val="00E96F2F"/>
    <w:rsid w:val="00EB35D0"/>
    <w:rsid w:val="00EB5180"/>
    <w:rsid w:val="00ED320A"/>
    <w:rsid w:val="00ED5BCF"/>
    <w:rsid w:val="00EE64DA"/>
    <w:rsid w:val="00F01A25"/>
    <w:rsid w:val="00F05BC0"/>
    <w:rsid w:val="00F24BEC"/>
    <w:rsid w:val="00F25A2A"/>
    <w:rsid w:val="00F60D80"/>
    <w:rsid w:val="00F65471"/>
    <w:rsid w:val="00F67C3D"/>
    <w:rsid w:val="00F84623"/>
    <w:rsid w:val="00F93896"/>
    <w:rsid w:val="00FB0006"/>
    <w:rsid w:val="00FC187A"/>
    <w:rsid w:val="00FC6FBA"/>
    <w:rsid w:val="00FD6B87"/>
    <w:rsid w:val="00FF54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86B04"/>
  <w15:chartTrackingRefBased/>
  <w15:docId w15:val="{4E82926A-12AA-4769-AB02-A9282F5D0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865A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865A5"/>
    <w:rPr>
      <w:sz w:val="20"/>
      <w:szCs w:val="20"/>
    </w:rPr>
  </w:style>
  <w:style w:type="character" w:styleId="FootnoteReference">
    <w:name w:val="footnote reference"/>
    <w:basedOn w:val="DefaultParagraphFont"/>
    <w:uiPriority w:val="99"/>
    <w:semiHidden/>
    <w:unhideWhenUsed/>
    <w:rsid w:val="008865A5"/>
    <w:rPr>
      <w:vertAlign w:val="superscript"/>
    </w:rPr>
  </w:style>
  <w:style w:type="character" w:styleId="Hyperlink">
    <w:name w:val="Hyperlink"/>
    <w:basedOn w:val="DefaultParagraphFont"/>
    <w:uiPriority w:val="99"/>
    <w:unhideWhenUsed/>
    <w:rsid w:val="002968E4"/>
    <w:rPr>
      <w:color w:val="0563C1" w:themeColor="hyperlink"/>
      <w:u w:val="single"/>
    </w:rPr>
  </w:style>
  <w:style w:type="character" w:styleId="UnresolvedMention">
    <w:name w:val="Unresolved Mention"/>
    <w:basedOn w:val="DefaultParagraphFont"/>
    <w:uiPriority w:val="99"/>
    <w:semiHidden/>
    <w:unhideWhenUsed/>
    <w:rsid w:val="002968E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jstor.org.ezproxy.uwtsd.ac.uk/stable/pdf/3774276.pdf?refreqid=search:fb24e66a97acb864bae5a6d6a2b092cc"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www.jstor.org.ezproxy.uwtsd.ac.uk/stable/pdf/3774276.pdf?refreqid=search:fb24e66a97acb864bae5a6d6a2b092c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849CD9-4063-4D79-BE00-DFEA141CD7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639</TotalTime>
  <Pages>5</Pages>
  <Words>1994</Words>
  <Characters>11371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Jane Collins</dc:creator>
  <cp:keywords/>
  <dc:description/>
  <cp:lastModifiedBy>Bethany Jane Collins</cp:lastModifiedBy>
  <cp:revision>208</cp:revision>
  <dcterms:created xsi:type="dcterms:W3CDTF">2018-05-07T13:30:00Z</dcterms:created>
  <dcterms:modified xsi:type="dcterms:W3CDTF">2018-05-11T11:52:00Z</dcterms:modified>
</cp:coreProperties>
</file>