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819C7" w14:textId="77777777" w:rsidR="00096E88" w:rsidRDefault="00C71BB0">
      <w:r>
        <w:t>Critically evaluate the impact of crime and antisocial behaviour upon local communities. Examine the strategies used by the police service to address these issues.</w:t>
      </w:r>
    </w:p>
    <w:p w14:paraId="7F51ABC6" w14:textId="77777777" w:rsidR="00C71BB0" w:rsidRDefault="00C71BB0"/>
    <w:p w14:paraId="7B37CBE1" w14:textId="77777777" w:rsidR="00581B9D" w:rsidRDefault="00C71BB0" w:rsidP="00581B9D">
      <w:pPr>
        <w:rPr>
          <w:rFonts w:cstheme="minorHAnsi"/>
        </w:rPr>
      </w:pPr>
      <w:r w:rsidRPr="00556990">
        <w:t>After extensive research into the meaning of the term, ‘antisocial behaviour’, a quote composed by Alan Michael (2005) was discovered and it states, “one knows that it is not a cow or pig, but defining an elephant in precise terms is a little more difficult, at least in legal language”</w:t>
      </w:r>
      <w:r w:rsidR="00556990">
        <w:t xml:space="preserve"> (Millie, 2008). </w:t>
      </w:r>
      <w:r w:rsidR="00556990" w:rsidRPr="00556990">
        <w:t xml:space="preserve">                                                                  In terms of its definition, antisocial behaviour </w:t>
      </w:r>
      <w:r w:rsidR="00556990">
        <w:t>is rather broad.</w:t>
      </w:r>
      <w:r w:rsidR="00556990" w:rsidRPr="00556990">
        <w:rPr>
          <w:rFonts w:eastAsia="Calibri" w:cstheme="minorHAnsi"/>
          <w:bCs/>
        </w:rPr>
        <w:t xml:space="preserve"> Millie recognises that defining the term is a rather wasteful exercise, similar</w:t>
      </w:r>
      <w:r w:rsidR="00F85316">
        <w:rPr>
          <w:rFonts w:eastAsia="Calibri" w:cstheme="minorHAnsi"/>
          <w:bCs/>
        </w:rPr>
        <w:t>ly</w:t>
      </w:r>
      <w:r w:rsidR="00556990" w:rsidRPr="00556990">
        <w:rPr>
          <w:rFonts w:eastAsia="Calibri" w:cstheme="minorHAnsi"/>
          <w:bCs/>
        </w:rPr>
        <w:t xml:space="preserve"> to the elephant quote above; one is aware of it, when one sees it. </w:t>
      </w:r>
      <w:r w:rsidR="00556990">
        <w:rPr>
          <w:rFonts w:eastAsia="Calibri" w:cstheme="minorHAnsi"/>
          <w:bCs/>
        </w:rPr>
        <w:t xml:space="preserve">                                                                                                                                                                 </w:t>
      </w:r>
      <w:r w:rsidR="00556990" w:rsidRPr="00556990">
        <w:rPr>
          <w:rFonts w:eastAsia="Calibri" w:cstheme="minorHAnsi"/>
          <w:bCs/>
        </w:rPr>
        <w:t xml:space="preserve">Within this assignment, one must explore </w:t>
      </w:r>
      <w:r w:rsidR="00556990" w:rsidRPr="00556990">
        <w:rPr>
          <w:rFonts w:cstheme="minorHAnsi"/>
        </w:rPr>
        <w:t>investigations accomplished by police officers in regards to antisocial behaviour within local communities, and add</w:t>
      </w:r>
      <w:r w:rsidR="00581B9D">
        <w:rPr>
          <w:rFonts w:cstheme="minorHAnsi"/>
        </w:rPr>
        <w:t xml:space="preserve">ress its impact upon the public. </w:t>
      </w:r>
    </w:p>
    <w:p w14:paraId="269567CF" w14:textId="77777777" w:rsidR="00581B9D" w:rsidRPr="00581B9D" w:rsidRDefault="00581B9D" w:rsidP="00581B9D">
      <w:pPr>
        <w:rPr>
          <w:rFonts w:cstheme="minorHAnsi"/>
          <w:szCs w:val="18"/>
        </w:rPr>
      </w:pPr>
      <w:r w:rsidRPr="00581B9D">
        <w:rPr>
          <w:rFonts w:cstheme="minorHAnsi"/>
          <w:szCs w:val="18"/>
        </w:rPr>
        <w:t xml:space="preserve">The Antisocial Behaviour, Crime and Policing Act was introduced in the year of 2014; adding six additional authorities to the nineteen pre-existing measures in tackling antisocial activity (Bachu, 2021). </w:t>
      </w:r>
      <w:r>
        <w:rPr>
          <w:rFonts w:cstheme="minorHAnsi"/>
          <w:sz w:val="28"/>
        </w:rPr>
        <w:t xml:space="preserve"> </w:t>
      </w:r>
      <w:r w:rsidRPr="00581B9D">
        <w:rPr>
          <w:rFonts w:cstheme="minorHAnsi"/>
          <w:szCs w:val="18"/>
        </w:rPr>
        <w:t>A term, often used generically, antisocial behaviour represents a variety of criminal activities, including vandalism, verbal abuse and nuisances such as</w:t>
      </w:r>
      <w:r>
        <w:rPr>
          <w:rFonts w:cstheme="minorHAnsi"/>
          <w:szCs w:val="18"/>
        </w:rPr>
        <w:t xml:space="preserve"> noise, littering and graffiti (Fairchild, 2013). When dealing with </w:t>
      </w:r>
      <w:r w:rsidRPr="00581B9D">
        <w:rPr>
          <w:rFonts w:cstheme="minorHAnsi"/>
          <w:szCs w:val="18"/>
        </w:rPr>
        <w:t xml:space="preserve">offenders, police officers frequently cite the Antisocial Behaviour, Crime and Policing Act (2014). </w:t>
      </w:r>
      <w:r>
        <w:rPr>
          <w:rFonts w:cstheme="minorHAnsi"/>
          <w:szCs w:val="18"/>
        </w:rPr>
        <w:t xml:space="preserve"> </w:t>
      </w:r>
      <w:r w:rsidRPr="00581B9D">
        <w:rPr>
          <w:rFonts w:cstheme="minorHAnsi"/>
          <w:szCs w:val="18"/>
        </w:rPr>
        <w:t>Three components are necessary for this to be understood; antisocial behaviour is commonly defined as behaviour that has caused, or is likely to cause, harassment, alarm, or distress to any person. Moreover, antisocial behaviour can also be defined as causing annoyance or nuisance to a person in connection with their habitation of residential properties, or causing annoyance or nuisance to any people with regards</w:t>
      </w:r>
      <w:r>
        <w:rPr>
          <w:rFonts w:cstheme="minorHAnsi"/>
          <w:szCs w:val="18"/>
        </w:rPr>
        <w:t xml:space="preserve"> to housing.                                                                        People frequently hold different views of</w:t>
      </w:r>
      <w:r w:rsidRPr="00581B9D">
        <w:rPr>
          <w:rFonts w:cstheme="minorHAnsi"/>
          <w:szCs w:val="18"/>
        </w:rPr>
        <w:t xml:space="preserve"> antisocial activity and how important it is to them, depending on a variety of criteria such as location, time, and quality of life (Andrews et al, 2014).</w:t>
      </w:r>
      <w:r>
        <w:rPr>
          <w:rFonts w:cstheme="minorHAnsi"/>
          <w:szCs w:val="18"/>
        </w:rPr>
        <w:t xml:space="preserve"> </w:t>
      </w:r>
      <w:r w:rsidRPr="00581B9D">
        <w:rPr>
          <w:rFonts w:eastAsia="Arial" w:cstheme="minorHAnsi"/>
          <w:spacing w:val="1"/>
          <w:szCs w:val="18"/>
        </w:rPr>
        <w:t>It is obvious that the quality of life, safety and wellbeing of local communities are often significantly impacted by crime and antisocial behaviour; causing potential erosion of faith within institutions, create fear and weaken community cohesion (Burney, 2013).</w:t>
      </w:r>
    </w:p>
    <w:p w14:paraId="4CBC276C" w14:textId="77777777" w:rsidR="00DB7C33" w:rsidRPr="00DB7C33" w:rsidRDefault="00DB7C33" w:rsidP="00DB7C33">
      <w:pPr>
        <w:jc w:val="both"/>
        <w:rPr>
          <w:rFonts w:cstheme="minorHAnsi"/>
          <w:color w:val="222222"/>
          <w:szCs w:val="18"/>
          <w:shd w:val="clear" w:color="auto" w:fill="FFFFFF"/>
        </w:rPr>
      </w:pPr>
      <w:r w:rsidRPr="00DB7C33">
        <w:rPr>
          <w:rFonts w:eastAsia="Arial" w:cstheme="minorHAnsi"/>
          <w:spacing w:val="1"/>
          <w:szCs w:val="18"/>
        </w:rPr>
        <w:t xml:space="preserve">Analysing the tactics utilised by the police service reveals a complex strategy that frequently incorporates evidence-based policing. </w:t>
      </w:r>
      <w:r w:rsidRPr="00DB7C33">
        <w:rPr>
          <w:rFonts w:eastAsia="Calibri" w:cstheme="minorHAnsi"/>
          <w:bCs/>
          <w:szCs w:val="18"/>
        </w:rPr>
        <w:t>The breakdown of social cohesiveness and trust within communities in one of the major impacts of crime and antisocial behaviour. As a result, individuals may withdraw from community engagement after feeling a sense of threat or victimisation, causing isolation and a decrease in collective efficacy (</w:t>
      </w:r>
      <w:r w:rsidRPr="00DB7C33">
        <w:rPr>
          <w:rFonts w:cstheme="minorHAnsi"/>
          <w:color w:val="222222"/>
          <w:szCs w:val="18"/>
          <w:shd w:val="clear" w:color="auto" w:fill="FFFFFF"/>
        </w:rPr>
        <w:t xml:space="preserve">Vermeiren et al, 2002). Furthermore, persistent criminality can discourage investment and economic growth, which feeds into social inequality. </w:t>
      </w:r>
    </w:p>
    <w:p w14:paraId="69412F0D" w14:textId="77777777" w:rsidR="00DB7C33" w:rsidRPr="00DB7C33" w:rsidRDefault="00DB7C33" w:rsidP="00DB7C33">
      <w:pPr>
        <w:jc w:val="both"/>
        <w:rPr>
          <w:rFonts w:cstheme="minorHAnsi"/>
          <w:color w:val="222222"/>
          <w:szCs w:val="18"/>
          <w:shd w:val="clear" w:color="auto" w:fill="FFFFFF"/>
        </w:rPr>
      </w:pPr>
      <w:r w:rsidRPr="00DB7C33">
        <w:rPr>
          <w:rFonts w:cstheme="minorHAnsi"/>
          <w:color w:val="222222"/>
          <w:szCs w:val="18"/>
          <w:shd w:val="clear" w:color="auto" w:fill="FFFFFF"/>
        </w:rPr>
        <w:t xml:space="preserve">To address these issues, the police service often utilise a variety of strategies; frequently relying on problem-solving models such as the SARA (scanning, analysis, response and assessment) model (College of Policing, 2022). This particular framework is a decision-making method that uses four diverse elements, as mentioned above, and supports the detection of recurrent issues by delving into their underlying causes, crafting customised solutions, and assessing the efficacy of said solutions. </w:t>
      </w:r>
    </w:p>
    <w:p w14:paraId="04B6F73E" w14:textId="77777777" w:rsidR="00DB7C33" w:rsidRPr="00DB7C33" w:rsidRDefault="00DB7C33" w:rsidP="00DB7C33">
      <w:pPr>
        <w:jc w:val="both"/>
        <w:rPr>
          <w:rFonts w:cstheme="minorHAnsi"/>
          <w:color w:val="222222"/>
          <w:szCs w:val="18"/>
          <w:shd w:val="clear" w:color="auto" w:fill="FFFFFF"/>
        </w:rPr>
      </w:pPr>
      <w:r w:rsidRPr="00DB7C33">
        <w:rPr>
          <w:rFonts w:cstheme="minorHAnsi"/>
          <w:color w:val="222222"/>
          <w:szCs w:val="18"/>
          <w:shd w:val="clear" w:color="auto" w:fill="FFFFFF"/>
        </w:rPr>
        <w:t xml:space="preserve">By addressing root causes, rather than merely reacting to incidents, police are able to build stronger community ties in order to produce more sustainable outcomes.  </w:t>
      </w:r>
    </w:p>
    <w:p w14:paraId="7A37C01D" w14:textId="77777777" w:rsidR="00DB7C33" w:rsidRDefault="00DB7C33" w:rsidP="00DB7C33">
      <w:pPr>
        <w:rPr>
          <w:rFonts w:eastAsia="Calibri" w:cstheme="minorHAnsi"/>
          <w:bCs/>
          <w:szCs w:val="18"/>
        </w:rPr>
      </w:pPr>
      <w:r w:rsidRPr="00DB7C33">
        <w:rPr>
          <w:rFonts w:eastAsia="Calibri" w:cstheme="minorHAnsi"/>
          <w:bCs/>
          <w:szCs w:val="18"/>
        </w:rPr>
        <w:t xml:space="preserve">Addressing criminal activity in terms of antisocial behaviour also requires an aspect of evidence based policing. Empirical research is often undertaken to prioritise effective interventions, and to inform decision-making (Lum et al, 2017). Through rigorous analysis of programs and initiatives, police officers are able to optimise resource allocation and maximise impact. For instance, it has </w:t>
      </w:r>
      <w:r w:rsidRPr="00DB7C33">
        <w:rPr>
          <w:rFonts w:eastAsia="Calibri" w:cstheme="minorHAnsi"/>
          <w:bCs/>
          <w:szCs w:val="18"/>
        </w:rPr>
        <w:lastRenderedPageBreak/>
        <w:t>been demonstrated that targeted patrols within high-crime areas, which are based on statistical analysis of crime patterns, are an effective way to minimise criminal behaviour.</w:t>
      </w:r>
    </w:p>
    <w:p w14:paraId="47D21A63" w14:textId="77777777" w:rsidR="00CC3772" w:rsidRDefault="00CC3772" w:rsidP="00DB7C33">
      <w:pPr>
        <w:rPr>
          <w:rFonts w:eastAsia="Calibri" w:cstheme="minorHAnsi"/>
          <w:bCs/>
          <w:szCs w:val="18"/>
        </w:rPr>
      </w:pPr>
      <w:r>
        <w:rPr>
          <w:rFonts w:eastAsia="Calibri" w:cstheme="minorHAnsi"/>
          <w:bCs/>
          <w:szCs w:val="18"/>
        </w:rPr>
        <w:t xml:space="preserve">Initiatives for community policing, which promote cooperation between local communities and the police, are also essential in resolving said issues. </w:t>
      </w:r>
      <w:r w:rsidR="00596041">
        <w:rPr>
          <w:rFonts w:eastAsia="Calibri" w:cstheme="minorHAnsi"/>
          <w:bCs/>
          <w:szCs w:val="18"/>
        </w:rPr>
        <w:t xml:space="preserve">Through involving communities in efforts to solve problems and obtaining their feedback, the police service can make use of local expertise and establish confidence. Community policing forums and neighbourhood watch programmes, for example, encourage a sense of ownership over community safety (College of Policing, 2015). </w:t>
      </w:r>
    </w:p>
    <w:p w14:paraId="624B198F" w14:textId="77777777" w:rsidR="00596041" w:rsidRDefault="00596041" w:rsidP="00DB7C33">
      <w:pPr>
        <w:rPr>
          <w:rFonts w:eastAsia="Calibri" w:cstheme="minorHAnsi"/>
          <w:bCs/>
          <w:szCs w:val="18"/>
        </w:rPr>
      </w:pPr>
      <w:r>
        <w:rPr>
          <w:rFonts w:eastAsia="Calibri" w:cstheme="minorHAnsi"/>
          <w:bCs/>
          <w:szCs w:val="18"/>
        </w:rPr>
        <w:t xml:space="preserve">It is vital to recognise the limitations and difficulties associated with </w:t>
      </w:r>
      <w:r w:rsidR="00E5648E">
        <w:rPr>
          <w:rFonts w:eastAsia="Calibri" w:cstheme="minorHAnsi"/>
          <w:bCs/>
          <w:szCs w:val="18"/>
        </w:rPr>
        <w:t xml:space="preserve">contextual circumstances and community dynamics. The implementation of complete solutions may be impeded by competing goals and budget constraints.                                                                                                                                                Furthermore, addressing underlying social variables is also necessary to achieve long-term decreases in crime and antisocial behaviour (Lum et al, 2015). </w:t>
      </w:r>
    </w:p>
    <w:p w14:paraId="76207BBB" w14:textId="77777777" w:rsidR="00E53918" w:rsidRPr="00E53918" w:rsidRDefault="00D6265C" w:rsidP="00E53918">
      <w:pPr>
        <w:jc w:val="both"/>
        <w:rPr>
          <w:rFonts w:eastAsia="Arial" w:cstheme="minorHAnsi"/>
          <w:spacing w:val="1"/>
          <w:szCs w:val="18"/>
        </w:rPr>
      </w:pPr>
      <w:r>
        <w:rPr>
          <w:rFonts w:eastAsia="Calibri" w:cstheme="minorHAnsi"/>
          <w:bCs/>
          <w:szCs w:val="18"/>
        </w:rPr>
        <w:t>A particular instance that caused a major shift not only in local communities, but also across the nation, is the case of Stephen Lawrence, a young, black male who was brutally murdered by a group of adult, white males in April 1993 (Stephen’s Story, 2023). Both he and his killers were strangers to one another.                                                                                                                                                                              Five individuals were detained during the initial police inquiry, and were later found not guilty.</w:t>
      </w:r>
      <w:r w:rsidR="00F85316">
        <w:rPr>
          <w:rFonts w:eastAsia="Calibri" w:cstheme="minorHAnsi"/>
          <w:bCs/>
          <w:szCs w:val="18"/>
        </w:rPr>
        <w:t xml:space="preserve"> Stephen’s Story also suggests that following a public investigation, the handling of Stephen’s case</w:t>
      </w:r>
      <w:r w:rsidR="00E53918">
        <w:rPr>
          <w:rFonts w:eastAsia="Calibri" w:cstheme="minorHAnsi"/>
          <w:bCs/>
          <w:szCs w:val="18"/>
        </w:rPr>
        <w:t xml:space="preserve"> is</w:t>
      </w:r>
      <w:r w:rsidR="00F85316">
        <w:rPr>
          <w:rFonts w:eastAsia="Calibri" w:cstheme="minorHAnsi"/>
          <w:bCs/>
          <w:szCs w:val="18"/>
        </w:rPr>
        <w:t xml:space="preserve"> viewed as </w:t>
      </w:r>
      <w:r w:rsidR="00F85316" w:rsidRPr="00F85316">
        <w:rPr>
          <w:rFonts w:eastAsia="Calibri" w:cstheme="minorHAnsi"/>
          <w:bCs/>
          <w:szCs w:val="18"/>
        </w:rPr>
        <w:t xml:space="preserve">‘one of the most important moments in the modern history </w:t>
      </w:r>
      <w:r w:rsidR="00F85316">
        <w:rPr>
          <w:rFonts w:eastAsia="Calibri" w:cstheme="minorHAnsi"/>
          <w:bCs/>
          <w:szCs w:val="18"/>
        </w:rPr>
        <w:t xml:space="preserve">of criminal justice in Britain’, as stated in the Macpherson Report </w:t>
      </w:r>
      <w:r w:rsidR="00E53918">
        <w:rPr>
          <w:rFonts w:eastAsia="Calibri" w:cstheme="minorHAnsi"/>
          <w:bCs/>
          <w:szCs w:val="18"/>
        </w:rPr>
        <w:t>(</w:t>
      </w:r>
      <w:r w:rsidR="00F85316">
        <w:rPr>
          <w:rFonts w:eastAsia="Calibri" w:cstheme="minorHAnsi"/>
          <w:bCs/>
          <w:szCs w:val="18"/>
        </w:rPr>
        <w:t>1998</w:t>
      </w:r>
      <w:r w:rsidR="00E53918">
        <w:rPr>
          <w:rFonts w:eastAsia="Calibri" w:cstheme="minorHAnsi"/>
          <w:bCs/>
          <w:szCs w:val="18"/>
        </w:rPr>
        <w:t>)</w:t>
      </w:r>
      <w:r w:rsidR="00F85316">
        <w:rPr>
          <w:rFonts w:eastAsia="Calibri" w:cstheme="minorHAnsi"/>
          <w:bCs/>
          <w:szCs w:val="18"/>
        </w:rPr>
        <w:t xml:space="preserve">. </w:t>
      </w:r>
      <w:r>
        <w:rPr>
          <w:rFonts w:eastAsia="Calibri" w:cstheme="minorHAnsi"/>
          <w:bCs/>
          <w:szCs w:val="18"/>
        </w:rPr>
        <w:t xml:space="preserve">        </w:t>
      </w:r>
      <w:r w:rsidR="00E53918">
        <w:rPr>
          <w:rFonts w:eastAsia="Calibri" w:cstheme="minorHAnsi"/>
          <w:bCs/>
          <w:szCs w:val="18"/>
        </w:rPr>
        <w:t xml:space="preserve">                                                                                                                   Significant societal shifts in perceptions of racism, the law, and police tactics resulted from the murder of Stephen Lawrence. The case cleared a pathway for new laws, including equality, as well as a deeper comprehension of discrimination in all of its forms.                                                                                                           </w:t>
      </w:r>
      <w:r w:rsidR="00E53918" w:rsidRPr="00E53918">
        <w:rPr>
          <w:rFonts w:eastAsia="Arial" w:cstheme="minorHAnsi"/>
          <w:spacing w:val="1"/>
          <w:szCs w:val="18"/>
        </w:rPr>
        <w:t xml:space="preserve">Lawrence’s name has deservedly remained an integral part within policing and communities for multiple years following the incident, mainly due to two reasons; the act was racially motivated, and the criminal justice system let both Stephen and his family down. </w:t>
      </w:r>
      <w:r w:rsidR="00E53918">
        <w:rPr>
          <w:rFonts w:eastAsia="Arial" w:cstheme="minorHAnsi"/>
          <w:spacing w:val="1"/>
          <w:szCs w:val="18"/>
        </w:rPr>
        <w:t xml:space="preserve">                                                                             7              </w:t>
      </w:r>
      <w:r w:rsidR="00E53918" w:rsidRPr="00E53918">
        <w:rPr>
          <w:rFonts w:eastAsia="Arial" w:cstheme="minorHAnsi"/>
          <w:spacing w:val="1"/>
          <w:szCs w:val="18"/>
        </w:rPr>
        <w:t xml:space="preserve">The enquiries facts were unambiguous; Lawrence and a friend were waiting for a bus when he was attacked, repeatedly stabbed, and abandoned to perish on the pavement. </w:t>
      </w:r>
      <w:r w:rsidR="00E53918">
        <w:rPr>
          <w:rFonts w:eastAsia="Arial" w:cstheme="minorHAnsi"/>
          <w:spacing w:val="1"/>
          <w:szCs w:val="18"/>
        </w:rPr>
        <w:t xml:space="preserve">                                                                     </w:t>
      </w:r>
      <w:r w:rsidR="00E53918" w:rsidRPr="00E53918">
        <w:rPr>
          <w:rFonts w:eastAsia="Arial" w:cstheme="minorHAnsi"/>
          <w:spacing w:val="1"/>
          <w:szCs w:val="18"/>
        </w:rPr>
        <w:t>The family and supporters of Stephen had to fight for more than eighteen years before two of the accused were found guilty of his murder in 2012.</w:t>
      </w:r>
    </w:p>
    <w:p w14:paraId="5737ADA4" w14:textId="77777777" w:rsidR="002B6748" w:rsidRDefault="002B6748" w:rsidP="00E53918">
      <w:pPr>
        <w:jc w:val="both"/>
        <w:rPr>
          <w:rFonts w:eastAsia="Arial" w:cstheme="minorHAnsi"/>
          <w:spacing w:val="1"/>
          <w:szCs w:val="18"/>
        </w:rPr>
      </w:pPr>
      <w:r>
        <w:rPr>
          <w:rFonts w:eastAsia="Arial" w:cstheme="minorHAnsi"/>
          <w:spacing w:val="1"/>
          <w:szCs w:val="18"/>
        </w:rPr>
        <w:t xml:space="preserve">The most serious cases of police misconduct are investigated by the Independent Office for Police Conduct (Meade et al, 2023). </w:t>
      </w:r>
      <w:r w:rsidR="007B6521">
        <w:rPr>
          <w:rFonts w:eastAsia="Arial" w:cstheme="minorHAnsi"/>
          <w:spacing w:val="1"/>
          <w:szCs w:val="18"/>
        </w:rPr>
        <w:t>In an effort to determine whether corruption had influenced how the case was handled, in 2014, the Independent Office for Police Misconduct (IOPC) began locating police officers who played a vital role within the original investigation into Stephen’s death. Under the guidance and supervision of the IOPC, the National Crime Agency conducted a six-year investigation. In November 2020, the IOPC reported four former officers to the Crime Prosecution Service for consideration of potential criminal charges for misconduct in public office, following the inquiry (Mead et al, 2023). Meade et al mentioned that on June 6</w:t>
      </w:r>
      <w:r w:rsidR="007B6521" w:rsidRPr="007B6521">
        <w:rPr>
          <w:rFonts w:eastAsia="Arial" w:cstheme="minorHAnsi"/>
          <w:spacing w:val="1"/>
          <w:szCs w:val="18"/>
          <w:vertAlign w:val="superscript"/>
        </w:rPr>
        <w:t>th</w:t>
      </w:r>
      <w:r w:rsidR="007B6521">
        <w:rPr>
          <w:rFonts w:eastAsia="Arial" w:cstheme="minorHAnsi"/>
          <w:spacing w:val="1"/>
          <w:szCs w:val="18"/>
        </w:rPr>
        <w:t xml:space="preserve"> 2023, the CPS declared that there was insufficient evidence to bring charges against the former officers. </w:t>
      </w:r>
    </w:p>
    <w:p w14:paraId="0E0D5E66" w14:textId="77777777" w:rsidR="006C4E74" w:rsidRDefault="006C4E74" w:rsidP="00E53918">
      <w:pPr>
        <w:jc w:val="both"/>
        <w:rPr>
          <w:rFonts w:eastAsia="Arial" w:cstheme="minorHAnsi"/>
          <w:spacing w:val="1"/>
          <w:szCs w:val="18"/>
        </w:rPr>
      </w:pPr>
      <w:r>
        <w:rPr>
          <w:rFonts w:eastAsia="Arial" w:cstheme="minorHAnsi"/>
          <w:spacing w:val="1"/>
          <w:szCs w:val="18"/>
        </w:rPr>
        <w:t xml:space="preserve">Police investigations altered significantly as a result of the murder and its aftermath, most notably in the area of family liaison (Brookman, 2023). As mentioned previously, the 1999 Macpherson Report was the result of public investigation that followed. This revealed serious shortcomings in both the police investigation and the handling of Stephen’s friends and family.                                                                                        Brookman suggests that new guidelines regarding police relations with murder victim’s families were provided. </w:t>
      </w:r>
    </w:p>
    <w:p w14:paraId="31EB1F29" w14:textId="77777777" w:rsidR="00CC3772" w:rsidRDefault="00CC3772" w:rsidP="00E53918">
      <w:pPr>
        <w:jc w:val="both"/>
        <w:rPr>
          <w:rFonts w:eastAsia="Arial" w:cstheme="minorHAnsi"/>
          <w:spacing w:val="1"/>
          <w:szCs w:val="18"/>
        </w:rPr>
      </w:pPr>
    </w:p>
    <w:p w14:paraId="241732E6" w14:textId="77777777" w:rsidR="00CC3772" w:rsidRDefault="00CC3772" w:rsidP="00E53918">
      <w:pPr>
        <w:jc w:val="both"/>
        <w:rPr>
          <w:rFonts w:eastAsia="Arial" w:cstheme="minorHAnsi"/>
          <w:spacing w:val="1"/>
          <w:szCs w:val="18"/>
        </w:rPr>
      </w:pPr>
    </w:p>
    <w:p w14:paraId="29087494" w14:textId="77777777" w:rsidR="002B6748" w:rsidRPr="00E53918" w:rsidRDefault="002B6748" w:rsidP="00E53918">
      <w:pPr>
        <w:jc w:val="both"/>
        <w:rPr>
          <w:rFonts w:eastAsia="Arial" w:cstheme="minorHAnsi"/>
          <w:spacing w:val="1"/>
          <w:szCs w:val="18"/>
        </w:rPr>
      </w:pPr>
    </w:p>
    <w:p w14:paraId="446D0F22" w14:textId="77777777" w:rsidR="00E53918" w:rsidRPr="00144747" w:rsidRDefault="00E53918" w:rsidP="00E53918">
      <w:pPr>
        <w:jc w:val="both"/>
        <w:rPr>
          <w:rFonts w:ascii="Arial" w:eastAsia="Arial" w:hAnsi="Arial" w:cs="Arial"/>
          <w:spacing w:val="1"/>
          <w:sz w:val="18"/>
          <w:szCs w:val="18"/>
        </w:rPr>
      </w:pPr>
    </w:p>
    <w:p w14:paraId="26EA5C20" w14:textId="77777777" w:rsidR="00D6265C" w:rsidRPr="00DB7C33" w:rsidRDefault="00D6265C" w:rsidP="00DB7C33">
      <w:pPr>
        <w:rPr>
          <w:rFonts w:eastAsia="Calibri" w:cstheme="minorHAnsi"/>
          <w:bCs/>
          <w:szCs w:val="18"/>
        </w:rPr>
      </w:pPr>
      <w:r>
        <w:rPr>
          <w:rFonts w:eastAsia="Calibri" w:cstheme="minorHAnsi"/>
          <w:bCs/>
          <w:szCs w:val="18"/>
        </w:rPr>
        <w:t xml:space="preserve">                                                                              </w:t>
      </w:r>
    </w:p>
    <w:p w14:paraId="07DD0A20" w14:textId="77777777" w:rsidR="00556990" w:rsidRPr="00581B9D" w:rsidRDefault="00581B9D" w:rsidP="00581B9D">
      <w:pPr>
        <w:rPr>
          <w:rFonts w:cstheme="minorHAnsi"/>
          <w:szCs w:val="18"/>
        </w:rPr>
      </w:pPr>
      <w:r>
        <w:rPr>
          <w:rFonts w:cstheme="minorHAnsi"/>
          <w:szCs w:val="18"/>
        </w:rPr>
        <w:t xml:space="preserve">                                                                                                                 </w:t>
      </w:r>
      <w:r w:rsidRPr="00581B9D">
        <w:rPr>
          <w:rFonts w:cstheme="minorHAnsi"/>
          <w:szCs w:val="18"/>
        </w:rPr>
        <w:t xml:space="preserve">                                                                                                                                                                                                </w:t>
      </w:r>
    </w:p>
    <w:p w14:paraId="45DA2094" w14:textId="77777777" w:rsidR="00556990" w:rsidRPr="00556990" w:rsidRDefault="00556990" w:rsidP="00556990">
      <w:pPr>
        <w:rPr>
          <w:rFonts w:cstheme="minorHAnsi"/>
        </w:rPr>
      </w:pPr>
    </w:p>
    <w:p w14:paraId="5C209505" w14:textId="77777777" w:rsidR="00556990" w:rsidRPr="00556990" w:rsidRDefault="00C71BB0">
      <w:r w:rsidRPr="00556990">
        <w:t xml:space="preserve">                                          </w:t>
      </w:r>
    </w:p>
    <w:p w14:paraId="6901D70D" w14:textId="77777777" w:rsidR="00556990" w:rsidRDefault="00556990"/>
    <w:p w14:paraId="06A3FFB1" w14:textId="77777777" w:rsidR="00556990" w:rsidRDefault="00556990"/>
    <w:p w14:paraId="5C94E757" w14:textId="77777777" w:rsidR="00581B9D" w:rsidRDefault="00581B9D"/>
    <w:p w14:paraId="577BDDBB" w14:textId="77777777" w:rsidR="00581B9D" w:rsidRDefault="00581B9D"/>
    <w:p w14:paraId="45F622B4" w14:textId="77777777" w:rsidR="00581B9D" w:rsidRDefault="00581B9D"/>
    <w:p w14:paraId="0E9E3015" w14:textId="77777777" w:rsidR="00581B9D" w:rsidRDefault="00581B9D"/>
    <w:p w14:paraId="65A73D30" w14:textId="77777777" w:rsidR="00581B9D" w:rsidRDefault="00581B9D"/>
    <w:p w14:paraId="5BE3570B" w14:textId="77777777" w:rsidR="00581B9D" w:rsidRDefault="00581B9D"/>
    <w:p w14:paraId="3B8F1D75" w14:textId="77777777" w:rsidR="00581B9D" w:rsidRDefault="00581B9D"/>
    <w:p w14:paraId="7C69F0E2" w14:textId="77777777" w:rsidR="00581B9D" w:rsidRDefault="00581B9D"/>
    <w:p w14:paraId="074B1713" w14:textId="77777777" w:rsidR="00581B9D" w:rsidRDefault="00581B9D"/>
    <w:p w14:paraId="66C0E8E0" w14:textId="77777777" w:rsidR="00581B9D" w:rsidRDefault="00581B9D"/>
    <w:p w14:paraId="11B2C354" w14:textId="77777777" w:rsidR="00581B9D" w:rsidRDefault="00581B9D"/>
    <w:p w14:paraId="11FC1ADA" w14:textId="77777777" w:rsidR="00581B9D" w:rsidRDefault="00581B9D"/>
    <w:p w14:paraId="0F9ECC8E" w14:textId="77777777" w:rsidR="00581B9D" w:rsidRDefault="00581B9D"/>
    <w:p w14:paraId="5A1A0F45" w14:textId="77777777" w:rsidR="00581B9D" w:rsidRDefault="00581B9D"/>
    <w:p w14:paraId="34C89FEF" w14:textId="77777777" w:rsidR="00581B9D" w:rsidRDefault="00581B9D"/>
    <w:p w14:paraId="0FAC73D0" w14:textId="77777777" w:rsidR="00581B9D" w:rsidRDefault="00581B9D"/>
    <w:p w14:paraId="65E399D3" w14:textId="77777777" w:rsidR="00CC3772" w:rsidRDefault="00CC3772"/>
    <w:p w14:paraId="67911462" w14:textId="77777777" w:rsidR="00CC3772" w:rsidRDefault="00CC3772"/>
    <w:p w14:paraId="43C7E08C" w14:textId="77777777" w:rsidR="00CC3772" w:rsidRDefault="00CC3772"/>
    <w:p w14:paraId="65FE38BE" w14:textId="77777777" w:rsidR="00CC3772" w:rsidRDefault="00CC3772"/>
    <w:p w14:paraId="64D3C1B7" w14:textId="77777777" w:rsidR="00CC3772" w:rsidRDefault="00CC3772"/>
    <w:p w14:paraId="2ABB6A84" w14:textId="77777777" w:rsidR="00CC3772" w:rsidRDefault="00CC3772"/>
    <w:p w14:paraId="72F2060B" w14:textId="77777777" w:rsidR="00CC3772" w:rsidRDefault="00CC3772"/>
    <w:p w14:paraId="49DEC7C3" w14:textId="77777777" w:rsidR="00CC3772" w:rsidRDefault="00CC3772"/>
    <w:p w14:paraId="02A24FBF" w14:textId="77777777" w:rsidR="00CC3772" w:rsidRDefault="00CC3772"/>
    <w:p w14:paraId="27DA05F0" w14:textId="77777777" w:rsidR="00CC3772" w:rsidRDefault="00CC3772"/>
    <w:p w14:paraId="7222A0D4" w14:textId="77777777" w:rsidR="00CC3772" w:rsidRDefault="00CC3772"/>
    <w:p w14:paraId="3580D14A" w14:textId="77777777" w:rsidR="00CC3772" w:rsidRDefault="00CC3772"/>
    <w:p w14:paraId="29E9C97E" w14:textId="77777777" w:rsidR="00581B9D" w:rsidRDefault="00581B9D"/>
    <w:p w14:paraId="08E3B6CD" w14:textId="77777777" w:rsidR="00CC3772" w:rsidRDefault="00CC3772" w:rsidP="00CC3772">
      <w:pPr>
        <w:pStyle w:val="NormalWeb"/>
        <w:ind w:left="567" w:hanging="567"/>
        <w:rPr>
          <w:rFonts w:asciiTheme="minorHAnsi" w:hAnsiTheme="minorHAnsi" w:cstheme="minorHAnsi"/>
          <w:iCs/>
        </w:rPr>
      </w:pPr>
    </w:p>
    <w:p w14:paraId="22E889A7" w14:textId="77777777" w:rsidR="00CC3772" w:rsidRDefault="00CC3772" w:rsidP="00CC3772">
      <w:pPr>
        <w:pStyle w:val="NormalWeb"/>
        <w:ind w:left="567" w:hanging="567"/>
        <w:rPr>
          <w:rFonts w:asciiTheme="minorHAnsi" w:hAnsiTheme="minorHAnsi" w:cstheme="minorHAnsi"/>
          <w:i/>
          <w:iCs/>
        </w:rPr>
      </w:pPr>
      <w:r w:rsidRPr="00CC3772">
        <w:rPr>
          <w:rFonts w:asciiTheme="minorHAnsi" w:hAnsiTheme="minorHAnsi" w:cstheme="minorHAnsi"/>
          <w:i/>
          <w:iCs/>
        </w:rPr>
        <w:t xml:space="preserve">Reference List </w:t>
      </w:r>
    </w:p>
    <w:p w14:paraId="4DF58177" w14:textId="77777777" w:rsidR="00CC3772" w:rsidRPr="007A46EA" w:rsidRDefault="00CC3772" w:rsidP="00CC3772">
      <w:pPr>
        <w:pStyle w:val="NormalWeb"/>
        <w:shd w:val="clear" w:color="auto" w:fill="FFFFFF"/>
        <w:spacing w:before="0" w:beforeAutospacing="0" w:after="0" w:afterAutospacing="0" w:line="360" w:lineRule="atLeast"/>
        <w:rPr>
          <w:rFonts w:ascii="Calibri Light" w:hAnsi="Calibri Light" w:cs="Calibri Light"/>
          <w:color w:val="000000"/>
        </w:rPr>
      </w:pPr>
      <w:r w:rsidRPr="007A46EA">
        <w:rPr>
          <w:rFonts w:ascii="Calibri Light" w:hAnsi="Calibri Light" w:cs="Calibri Light"/>
          <w:color w:val="000000"/>
        </w:rPr>
        <w:t>Andrews et al (2014) ‘Cognitive-behavioral treatment for antisocial behavior in youth in residential treatment’,</w:t>
      </w:r>
      <w:r w:rsidRPr="007A46EA">
        <w:rPr>
          <w:rStyle w:val="apple-converted-space"/>
          <w:rFonts w:ascii="Calibri Light" w:hAnsi="Calibri Light" w:cs="Calibri Light"/>
          <w:color w:val="000000"/>
        </w:rPr>
        <w:t> </w:t>
      </w:r>
      <w:r w:rsidRPr="007A46EA">
        <w:rPr>
          <w:rFonts w:ascii="Calibri Light" w:hAnsi="Calibri Light" w:cs="Calibri Light"/>
          <w:i/>
          <w:iCs/>
          <w:color w:val="000000"/>
        </w:rPr>
        <w:t>Cochrane Database of Systematic Reviews</w:t>
      </w:r>
      <w:r w:rsidRPr="007A46EA">
        <w:rPr>
          <w:rStyle w:val="apple-converted-space"/>
          <w:rFonts w:ascii="Calibri Light" w:hAnsi="Calibri Light" w:cs="Calibri Light"/>
          <w:color w:val="000000"/>
        </w:rPr>
        <w:t> </w:t>
      </w:r>
      <w:r w:rsidRPr="007A46EA">
        <w:rPr>
          <w:rFonts w:ascii="Calibri Light" w:hAnsi="Calibri Light" w:cs="Calibri Light"/>
          <w:color w:val="000000"/>
        </w:rPr>
        <w:t xml:space="preserve">[Preprint]. Available at: </w:t>
      </w:r>
      <w:hyperlink r:id="rId4" w:history="1">
        <w:r w:rsidRPr="007A46EA">
          <w:rPr>
            <w:rStyle w:val="Hyperlink"/>
            <w:rFonts w:ascii="Calibri Light" w:hAnsi="Calibri Light" w:cs="Calibri Light"/>
          </w:rPr>
          <w:t>https://doi.org/10.1002/14651858.cd005650.pub2.3</w:t>
        </w:r>
      </w:hyperlink>
      <w:r w:rsidRPr="007A46EA">
        <w:rPr>
          <w:rFonts w:ascii="Calibri Light" w:hAnsi="Calibri Light" w:cs="Calibri Light"/>
        </w:rPr>
        <w:t xml:space="preserve"> </w:t>
      </w:r>
    </w:p>
    <w:p w14:paraId="5E749C1A" w14:textId="77777777" w:rsidR="00CC3772" w:rsidRPr="00CC3772" w:rsidRDefault="00CC3772" w:rsidP="00CC3772">
      <w:pPr>
        <w:pStyle w:val="NormalWeb"/>
        <w:rPr>
          <w:rFonts w:asciiTheme="minorHAnsi" w:hAnsiTheme="minorHAnsi" w:cstheme="minorHAnsi"/>
        </w:rPr>
      </w:pPr>
      <w:r w:rsidRPr="00CC3772">
        <w:rPr>
          <w:rFonts w:asciiTheme="minorHAnsi" w:hAnsiTheme="minorHAnsi" w:cstheme="minorHAnsi"/>
          <w:iCs/>
        </w:rPr>
        <w:t>Brookman, F (2023) Stephen Lawrence: How family liaison officers became an integral part of policing in the wake of his murder</w:t>
      </w:r>
      <w:r w:rsidRPr="00CC3772">
        <w:rPr>
          <w:rFonts w:asciiTheme="minorHAnsi" w:hAnsiTheme="minorHAnsi" w:cstheme="minorHAnsi"/>
        </w:rPr>
        <w:t xml:space="preserve"> (2023) </w:t>
      </w:r>
      <w:r w:rsidRPr="00CC3772">
        <w:rPr>
          <w:rFonts w:asciiTheme="minorHAnsi" w:hAnsiTheme="minorHAnsi" w:cstheme="minorHAnsi"/>
          <w:iCs/>
        </w:rPr>
        <w:t>Policing Insight</w:t>
      </w:r>
      <w:r w:rsidRPr="00CC3772">
        <w:rPr>
          <w:rFonts w:asciiTheme="minorHAnsi" w:hAnsiTheme="minorHAnsi" w:cstheme="minorHAnsi"/>
        </w:rPr>
        <w:t xml:space="preserve">. Available at: </w:t>
      </w:r>
      <w:hyperlink r:id="rId5" w:history="1">
        <w:r w:rsidRPr="00CC3772">
          <w:rPr>
            <w:rStyle w:val="Hyperlink"/>
            <w:rFonts w:asciiTheme="minorHAnsi" w:hAnsiTheme="minorHAnsi" w:cstheme="minorHAnsi"/>
          </w:rPr>
          <w:t>https://policinginsight.com/feature/opinion/stephen-lawrence-how-family-liaison-officers-became-an-integral-part-of-policing-in-the-wake-of-his-murder/</w:t>
        </w:r>
      </w:hyperlink>
      <w:r w:rsidRPr="00CC3772">
        <w:rPr>
          <w:rFonts w:asciiTheme="minorHAnsi" w:hAnsiTheme="minorHAnsi" w:cstheme="minorHAnsi"/>
        </w:rPr>
        <w:t xml:space="preserve"> (Accessed: 19 April 2024).  </w:t>
      </w:r>
    </w:p>
    <w:p w14:paraId="3A958489" w14:textId="77777777" w:rsidR="00581B9D" w:rsidRDefault="00CC3772" w:rsidP="00CC3772">
      <w:pPr>
        <w:pStyle w:val="NormalWeb"/>
        <w:rPr>
          <w:rFonts w:asciiTheme="minorHAnsi" w:hAnsiTheme="minorHAnsi" w:cstheme="minorHAnsi"/>
          <w:color w:val="222222"/>
          <w:shd w:val="clear" w:color="auto" w:fill="FFFFFF"/>
        </w:rPr>
      </w:pPr>
      <w:r w:rsidRPr="00CC3772">
        <w:rPr>
          <w:rFonts w:asciiTheme="minorHAnsi" w:hAnsiTheme="minorHAnsi" w:cstheme="minorHAnsi"/>
          <w:color w:val="222222"/>
          <w:shd w:val="clear" w:color="auto" w:fill="FFFFFF"/>
        </w:rPr>
        <w:t>Burney, E (</w:t>
      </w:r>
      <w:r w:rsidR="00581B9D" w:rsidRPr="00CC3772">
        <w:rPr>
          <w:rFonts w:asciiTheme="minorHAnsi" w:hAnsiTheme="minorHAnsi" w:cstheme="minorHAnsi"/>
          <w:color w:val="222222"/>
          <w:shd w:val="clear" w:color="auto" w:fill="FFFFFF"/>
        </w:rPr>
        <w:t>2013</w:t>
      </w:r>
      <w:r w:rsidRPr="00CC3772">
        <w:rPr>
          <w:rFonts w:asciiTheme="minorHAnsi" w:hAnsiTheme="minorHAnsi" w:cstheme="minorHAnsi"/>
          <w:color w:val="222222"/>
          <w:shd w:val="clear" w:color="auto" w:fill="FFFFFF"/>
        </w:rPr>
        <w:t>)</w:t>
      </w:r>
      <w:r w:rsidR="00581B9D" w:rsidRPr="00CC3772">
        <w:rPr>
          <w:rFonts w:asciiTheme="minorHAnsi" w:hAnsiTheme="minorHAnsi" w:cstheme="minorHAnsi"/>
          <w:color w:val="222222"/>
          <w:shd w:val="clear" w:color="auto" w:fill="FFFFFF"/>
        </w:rPr>
        <w:t>. </w:t>
      </w:r>
      <w:r w:rsidR="00581B9D" w:rsidRPr="00CC3772">
        <w:rPr>
          <w:rFonts w:asciiTheme="minorHAnsi" w:hAnsiTheme="minorHAnsi" w:cstheme="minorHAnsi"/>
          <w:iCs/>
          <w:color w:val="222222"/>
          <w:shd w:val="clear" w:color="auto" w:fill="FFFFFF"/>
        </w:rPr>
        <w:t>Making people behave: Anti-social behaviour, politics and policy</w:t>
      </w:r>
      <w:r w:rsidR="00581B9D" w:rsidRPr="00CC3772">
        <w:rPr>
          <w:rFonts w:asciiTheme="minorHAnsi" w:hAnsiTheme="minorHAnsi" w:cstheme="minorHAnsi"/>
          <w:color w:val="222222"/>
          <w:shd w:val="clear" w:color="auto" w:fill="FFFFFF"/>
        </w:rPr>
        <w:t xml:space="preserve">. </w:t>
      </w:r>
      <w:r w:rsidRPr="00CC3772">
        <w:rPr>
          <w:rFonts w:asciiTheme="minorHAnsi" w:hAnsiTheme="minorHAnsi" w:cstheme="minorHAnsi"/>
          <w:color w:val="222222"/>
          <w:shd w:val="clear" w:color="auto" w:fill="FFFFFF"/>
        </w:rPr>
        <w:t>(Accessed: 19</w:t>
      </w:r>
      <w:r w:rsidRPr="00CC3772">
        <w:rPr>
          <w:rFonts w:asciiTheme="minorHAnsi" w:hAnsiTheme="minorHAnsi" w:cstheme="minorHAnsi"/>
          <w:color w:val="222222"/>
          <w:shd w:val="clear" w:color="auto" w:fill="FFFFFF"/>
          <w:vertAlign w:val="superscript"/>
        </w:rPr>
        <w:t>th</w:t>
      </w:r>
      <w:r w:rsidRPr="00CC3772">
        <w:rPr>
          <w:rFonts w:asciiTheme="minorHAnsi" w:hAnsiTheme="minorHAnsi" w:cstheme="minorHAnsi"/>
          <w:color w:val="222222"/>
          <w:shd w:val="clear" w:color="auto" w:fill="FFFFFF"/>
        </w:rPr>
        <w:t xml:space="preserve"> April 2024)</w:t>
      </w:r>
      <w:r w:rsidR="00596041">
        <w:rPr>
          <w:rFonts w:asciiTheme="minorHAnsi" w:hAnsiTheme="minorHAnsi" w:cstheme="minorHAnsi"/>
          <w:color w:val="222222"/>
          <w:shd w:val="clear" w:color="auto" w:fill="FFFFFF"/>
        </w:rPr>
        <w:t>.</w:t>
      </w:r>
    </w:p>
    <w:p w14:paraId="150A559D" w14:textId="77777777" w:rsidR="00596041" w:rsidRPr="00596041" w:rsidRDefault="00596041" w:rsidP="00596041">
      <w:pPr>
        <w:pStyle w:val="NormalWeb"/>
        <w:rPr>
          <w:rFonts w:asciiTheme="minorHAnsi" w:hAnsiTheme="minorHAnsi" w:cstheme="minorHAnsi"/>
          <w:sz w:val="22"/>
        </w:rPr>
      </w:pPr>
      <w:r w:rsidRPr="00596041">
        <w:rPr>
          <w:rFonts w:asciiTheme="minorHAnsi" w:hAnsiTheme="minorHAnsi" w:cstheme="minorHAnsi"/>
          <w:iCs/>
          <w:sz w:val="22"/>
        </w:rPr>
        <w:t>College of Policing (2015) Neighbourhood watch</w:t>
      </w:r>
      <w:r w:rsidRPr="00596041">
        <w:rPr>
          <w:rFonts w:asciiTheme="minorHAnsi" w:hAnsiTheme="minorHAnsi" w:cstheme="minorHAnsi"/>
          <w:sz w:val="22"/>
        </w:rPr>
        <w:t xml:space="preserve"> (no date) </w:t>
      </w:r>
      <w:r w:rsidRPr="00596041">
        <w:rPr>
          <w:rFonts w:asciiTheme="minorHAnsi" w:hAnsiTheme="minorHAnsi" w:cstheme="minorHAnsi"/>
          <w:iCs/>
          <w:sz w:val="22"/>
        </w:rPr>
        <w:t>College of Policing</w:t>
      </w:r>
      <w:r w:rsidRPr="00596041">
        <w:rPr>
          <w:rFonts w:asciiTheme="minorHAnsi" w:hAnsiTheme="minorHAnsi" w:cstheme="minorHAnsi"/>
          <w:sz w:val="22"/>
        </w:rPr>
        <w:t xml:space="preserve">. Available at: https://www.college.police.uk/research/crime-reduction-toolkit/neighbourhood-watch (Accessed: 19 April 2024). </w:t>
      </w:r>
    </w:p>
    <w:p w14:paraId="48831358" w14:textId="77777777" w:rsidR="00581B9D" w:rsidRPr="00CC3772" w:rsidRDefault="00581B9D">
      <w:pPr>
        <w:rPr>
          <w:rFonts w:cstheme="minorHAnsi"/>
          <w:sz w:val="24"/>
          <w:szCs w:val="24"/>
        </w:rPr>
      </w:pPr>
      <w:r w:rsidRPr="00CC3772">
        <w:rPr>
          <w:rFonts w:cstheme="minorHAnsi"/>
          <w:color w:val="222222"/>
          <w:sz w:val="24"/>
          <w:szCs w:val="24"/>
          <w:shd w:val="clear" w:color="auto" w:fill="FFFFFF"/>
        </w:rPr>
        <w:t>Fairchild, G., Van Goozen, S.H., Calder, A.J. and Goodyer, I.M., 2013. Research review: evaluating and reformulating the developmental taxonomic theory of antisocial behaviour. </w:t>
      </w:r>
      <w:r w:rsidRPr="00CC3772">
        <w:rPr>
          <w:rFonts w:cstheme="minorHAnsi"/>
          <w:i/>
          <w:iCs/>
          <w:color w:val="222222"/>
          <w:sz w:val="24"/>
          <w:szCs w:val="24"/>
          <w:shd w:val="clear" w:color="auto" w:fill="FFFFFF"/>
        </w:rPr>
        <w:t>Journal of Child Psychology and Psychiatry</w:t>
      </w:r>
      <w:r w:rsidRPr="00CC3772">
        <w:rPr>
          <w:rFonts w:cstheme="minorHAnsi"/>
          <w:color w:val="222222"/>
          <w:sz w:val="24"/>
          <w:szCs w:val="24"/>
          <w:shd w:val="clear" w:color="auto" w:fill="FFFFFF"/>
        </w:rPr>
        <w:t>, </w:t>
      </w:r>
      <w:r w:rsidRPr="00CC3772">
        <w:rPr>
          <w:rFonts w:cstheme="minorHAnsi"/>
          <w:i/>
          <w:iCs/>
          <w:color w:val="222222"/>
          <w:sz w:val="24"/>
          <w:szCs w:val="24"/>
          <w:shd w:val="clear" w:color="auto" w:fill="FFFFFF"/>
        </w:rPr>
        <w:t>54</w:t>
      </w:r>
      <w:r w:rsidRPr="00CC3772">
        <w:rPr>
          <w:rFonts w:cstheme="minorHAnsi"/>
          <w:color w:val="222222"/>
          <w:sz w:val="24"/>
          <w:szCs w:val="24"/>
          <w:shd w:val="clear" w:color="auto" w:fill="FFFFFF"/>
        </w:rPr>
        <w:t>(9), pp.924-940.</w:t>
      </w:r>
    </w:p>
    <w:p w14:paraId="6789F05B" w14:textId="77777777" w:rsidR="00E5648E" w:rsidRDefault="00E5648E" w:rsidP="00CC3772">
      <w:pPr>
        <w:pStyle w:val="NormalWeb"/>
        <w:rPr>
          <w:rFonts w:asciiTheme="minorHAnsi" w:hAnsiTheme="minorHAnsi" w:cstheme="minorHAnsi"/>
        </w:rPr>
      </w:pPr>
      <w:r>
        <w:rPr>
          <w:rFonts w:ascii="Arial" w:hAnsi="Arial" w:cs="Arial"/>
          <w:color w:val="222222"/>
          <w:sz w:val="20"/>
          <w:szCs w:val="20"/>
          <w:shd w:val="clear" w:color="auto" w:fill="FFFFFF"/>
        </w:rPr>
        <w:t>Lum, C. and Koper, C.S., 2015. Evidence-based policing. </w:t>
      </w:r>
      <w:r>
        <w:rPr>
          <w:rFonts w:ascii="Arial" w:hAnsi="Arial" w:cs="Arial"/>
          <w:i/>
          <w:iCs/>
          <w:color w:val="222222"/>
          <w:sz w:val="20"/>
          <w:szCs w:val="20"/>
          <w:shd w:val="clear" w:color="auto" w:fill="FFFFFF"/>
        </w:rPr>
        <w:t>Critical issues in policing: Contemporary readings</w:t>
      </w:r>
      <w:r>
        <w:rPr>
          <w:rFonts w:ascii="Arial" w:hAnsi="Arial" w:cs="Arial"/>
          <w:color w:val="222222"/>
          <w:sz w:val="20"/>
          <w:szCs w:val="20"/>
          <w:shd w:val="clear" w:color="auto" w:fill="FFFFFF"/>
        </w:rPr>
        <w:t>, pp.260-274.</w:t>
      </w:r>
    </w:p>
    <w:p w14:paraId="31D6C7A6" w14:textId="77777777" w:rsidR="00CC3772" w:rsidRPr="00CC3772" w:rsidRDefault="002B6748" w:rsidP="00CC3772">
      <w:pPr>
        <w:pStyle w:val="NormalWeb"/>
        <w:rPr>
          <w:rFonts w:asciiTheme="minorHAnsi" w:hAnsiTheme="minorHAnsi" w:cstheme="minorHAnsi"/>
        </w:rPr>
      </w:pPr>
      <w:r w:rsidRPr="00CC3772">
        <w:rPr>
          <w:rFonts w:asciiTheme="minorHAnsi" w:hAnsiTheme="minorHAnsi" w:cstheme="minorHAnsi"/>
        </w:rPr>
        <w:t xml:space="preserve">Meade </w:t>
      </w:r>
      <w:r w:rsidR="00CC3772" w:rsidRPr="00CC3772">
        <w:rPr>
          <w:rFonts w:asciiTheme="minorHAnsi" w:hAnsiTheme="minorHAnsi" w:cstheme="minorHAnsi"/>
        </w:rPr>
        <w:t>(2023</w:t>
      </w:r>
      <w:r w:rsidRPr="00CC3772">
        <w:rPr>
          <w:rFonts w:asciiTheme="minorHAnsi" w:hAnsiTheme="minorHAnsi" w:cstheme="minorHAnsi"/>
        </w:rPr>
        <w:t xml:space="preserve">) </w:t>
      </w:r>
      <w:r w:rsidRPr="00CC3772">
        <w:rPr>
          <w:rFonts w:asciiTheme="minorHAnsi" w:hAnsiTheme="minorHAnsi" w:cstheme="minorHAnsi"/>
          <w:i/>
          <w:iCs/>
        </w:rPr>
        <w:t>Metropolitan police investigation into the murder of Stephen Lawrence - House of Commons Library</w:t>
      </w:r>
      <w:r w:rsidRPr="00CC3772">
        <w:rPr>
          <w:rFonts w:asciiTheme="minorHAnsi" w:hAnsiTheme="minorHAnsi" w:cstheme="minorHAnsi"/>
        </w:rPr>
        <w:t xml:space="preserve">. Available at: https://commonslibrary.parliament.uk/research-briefings/cdp-2023-0160/ (Accessed: 19 April 2024). </w:t>
      </w:r>
    </w:p>
    <w:p w14:paraId="17B5F70F" w14:textId="77777777" w:rsidR="00CC3772" w:rsidRPr="00CC3772" w:rsidRDefault="00CC3772" w:rsidP="00CC3772">
      <w:pPr>
        <w:pStyle w:val="NormalWeb"/>
        <w:ind w:left="567" w:hanging="567"/>
        <w:rPr>
          <w:rFonts w:asciiTheme="minorHAnsi" w:hAnsiTheme="minorHAnsi" w:cstheme="minorHAnsi"/>
        </w:rPr>
      </w:pPr>
      <w:r w:rsidRPr="00CC3772">
        <w:rPr>
          <w:rFonts w:asciiTheme="minorHAnsi" w:hAnsiTheme="minorHAnsi" w:cstheme="minorHAnsi"/>
          <w:color w:val="222222"/>
          <w:shd w:val="clear" w:color="auto" w:fill="FFFFFF"/>
        </w:rPr>
        <w:t>Millie, A., 2008. </w:t>
      </w:r>
      <w:r w:rsidRPr="00CC3772">
        <w:rPr>
          <w:rFonts w:asciiTheme="minorHAnsi" w:hAnsiTheme="minorHAnsi" w:cstheme="minorHAnsi"/>
          <w:i/>
          <w:iCs/>
          <w:color w:val="222222"/>
          <w:shd w:val="clear" w:color="auto" w:fill="FFFFFF"/>
        </w:rPr>
        <w:t>Anti-social behaviour</w:t>
      </w:r>
      <w:r w:rsidRPr="00CC3772">
        <w:rPr>
          <w:rFonts w:asciiTheme="minorHAnsi" w:hAnsiTheme="minorHAnsi" w:cstheme="minorHAnsi"/>
          <w:color w:val="222222"/>
          <w:shd w:val="clear" w:color="auto" w:fill="FFFFFF"/>
        </w:rPr>
        <w:t>. McGraw-Hill Education (UK).</w:t>
      </w:r>
    </w:p>
    <w:p w14:paraId="3AD3C66D" w14:textId="77777777" w:rsidR="00D6265C" w:rsidRDefault="00D6265C" w:rsidP="00CC3772">
      <w:pPr>
        <w:pStyle w:val="NormalWeb"/>
        <w:rPr>
          <w:rFonts w:asciiTheme="minorHAnsi" w:hAnsiTheme="minorHAnsi" w:cstheme="minorHAnsi"/>
        </w:rPr>
      </w:pPr>
      <w:r w:rsidRPr="00CC3772">
        <w:rPr>
          <w:rFonts w:asciiTheme="minorHAnsi" w:hAnsiTheme="minorHAnsi" w:cstheme="minorHAnsi"/>
          <w:i/>
          <w:iCs/>
        </w:rPr>
        <w:t>Stephen’s story</w:t>
      </w:r>
      <w:r w:rsidRPr="00CC3772">
        <w:rPr>
          <w:rFonts w:asciiTheme="minorHAnsi" w:hAnsiTheme="minorHAnsi" w:cstheme="minorHAnsi"/>
        </w:rPr>
        <w:t xml:space="preserve"> (2023) </w:t>
      </w:r>
      <w:r w:rsidRPr="00CC3772">
        <w:rPr>
          <w:rFonts w:asciiTheme="minorHAnsi" w:hAnsiTheme="minorHAnsi" w:cstheme="minorHAnsi"/>
          <w:i/>
          <w:iCs/>
        </w:rPr>
        <w:t>Stephen Lawrence Day Foundation</w:t>
      </w:r>
      <w:r w:rsidRPr="00CC3772">
        <w:rPr>
          <w:rFonts w:asciiTheme="minorHAnsi" w:hAnsiTheme="minorHAnsi" w:cstheme="minorHAnsi"/>
        </w:rPr>
        <w:t xml:space="preserve">. Available at: </w:t>
      </w:r>
      <w:hyperlink r:id="rId6" w:history="1">
        <w:r w:rsidR="00CC3772" w:rsidRPr="00CC3772">
          <w:rPr>
            <w:rStyle w:val="Hyperlink"/>
            <w:rFonts w:asciiTheme="minorHAnsi" w:hAnsiTheme="minorHAnsi" w:cstheme="minorHAnsi"/>
          </w:rPr>
          <w:t>https://stephenlawrenceday.org/stephens-story/</w:t>
        </w:r>
      </w:hyperlink>
      <w:r w:rsidR="00CC3772" w:rsidRPr="00CC3772">
        <w:rPr>
          <w:rFonts w:asciiTheme="minorHAnsi" w:hAnsiTheme="minorHAnsi" w:cstheme="minorHAnsi"/>
        </w:rPr>
        <w:t xml:space="preserve"> </w:t>
      </w:r>
      <w:r w:rsidRPr="00CC3772">
        <w:rPr>
          <w:rFonts w:asciiTheme="minorHAnsi" w:hAnsiTheme="minorHAnsi" w:cstheme="minorHAnsi"/>
        </w:rPr>
        <w:t xml:space="preserve">(Accessed: 19 April 2024). </w:t>
      </w:r>
    </w:p>
    <w:p w14:paraId="6970247A" w14:textId="77777777" w:rsidR="00CC3772" w:rsidRPr="00CC3772" w:rsidRDefault="00CC3772" w:rsidP="00CC3772">
      <w:pPr>
        <w:rPr>
          <w:rFonts w:eastAsia="Calibri" w:cstheme="minorHAnsi"/>
          <w:bCs/>
          <w:sz w:val="24"/>
          <w:szCs w:val="24"/>
        </w:rPr>
      </w:pPr>
      <w:r w:rsidRPr="00CC3772">
        <w:rPr>
          <w:rFonts w:cstheme="minorHAnsi"/>
          <w:color w:val="222222"/>
          <w:sz w:val="24"/>
          <w:szCs w:val="24"/>
          <w:shd w:val="clear" w:color="auto" w:fill="FFFFFF"/>
        </w:rPr>
        <w:lastRenderedPageBreak/>
        <w:t>Vermeiren, R., Deboutte, D., Ruchkin, V. and Schwab-Stone, M., 2002. Antisocial behaviour and mental health: findings from three communities. </w:t>
      </w:r>
      <w:r w:rsidRPr="00CC3772">
        <w:rPr>
          <w:rFonts w:cstheme="minorHAnsi"/>
          <w:i/>
          <w:iCs/>
          <w:color w:val="222222"/>
          <w:sz w:val="24"/>
          <w:szCs w:val="24"/>
          <w:shd w:val="clear" w:color="auto" w:fill="FFFFFF"/>
        </w:rPr>
        <w:t>European child &amp; adolescent psychiatry</w:t>
      </w:r>
      <w:r w:rsidRPr="00CC3772">
        <w:rPr>
          <w:rFonts w:cstheme="minorHAnsi"/>
          <w:color w:val="222222"/>
          <w:sz w:val="24"/>
          <w:szCs w:val="24"/>
          <w:shd w:val="clear" w:color="auto" w:fill="FFFFFF"/>
        </w:rPr>
        <w:t>, </w:t>
      </w:r>
      <w:r w:rsidRPr="00CC3772">
        <w:rPr>
          <w:rFonts w:cstheme="minorHAnsi"/>
          <w:i/>
          <w:iCs/>
          <w:color w:val="222222"/>
          <w:sz w:val="24"/>
          <w:szCs w:val="24"/>
          <w:shd w:val="clear" w:color="auto" w:fill="FFFFFF"/>
        </w:rPr>
        <w:t>11</w:t>
      </w:r>
      <w:r w:rsidRPr="00CC3772">
        <w:rPr>
          <w:rFonts w:cstheme="minorHAnsi"/>
          <w:color w:val="222222"/>
          <w:sz w:val="24"/>
          <w:szCs w:val="24"/>
          <w:shd w:val="clear" w:color="auto" w:fill="FFFFFF"/>
        </w:rPr>
        <w:t>, pp.168-175.</w:t>
      </w:r>
    </w:p>
    <w:p w14:paraId="0E345735" w14:textId="77777777" w:rsidR="00CC3772" w:rsidRPr="00CC3772" w:rsidRDefault="00CC3772" w:rsidP="00CC3772">
      <w:pPr>
        <w:pStyle w:val="NormalWeb"/>
        <w:rPr>
          <w:rFonts w:asciiTheme="minorHAnsi" w:hAnsiTheme="minorHAnsi" w:cstheme="minorHAnsi"/>
        </w:rPr>
      </w:pPr>
    </w:p>
    <w:p w14:paraId="09023B8A" w14:textId="77777777" w:rsidR="00D6265C" w:rsidRDefault="00D6265C"/>
    <w:sectPr w:rsidR="00D626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9EF"/>
    <w:rsid w:val="00096E88"/>
    <w:rsid w:val="002B6748"/>
    <w:rsid w:val="00332A10"/>
    <w:rsid w:val="00556990"/>
    <w:rsid w:val="00581B9D"/>
    <w:rsid w:val="00596041"/>
    <w:rsid w:val="005F59EF"/>
    <w:rsid w:val="006C4E74"/>
    <w:rsid w:val="007B6521"/>
    <w:rsid w:val="00C71BB0"/>
    <w:rsid w:val="00CC3772"/>
    <w:rsid w:val="00D6265C"/>
    <w:rsid w:val="00DB7C33"/>
    <w:rsid w:val="00E53918"/>
    <w:rsid w:val="00E5648E"/>
    <w:rsid w:val="00F85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37BD3"/>
  <w15:chartTrackingRefBased/>
  <w15:docId w15:val="{67892022-BEB8-4655-A862-2DB6CA563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626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C4E74"/>
    <w:rPr>
      <w:color w:val="0563C1" w:themeColor="hyperlink"/>
      <w:u w:val="single"/>
    </w:rPr>
  </w:style>
  <w:style w:type="character" w:customStyle="1" w:styleId="apple-converted-space">
    <w:name w:val="apple-converted-space"/>
    <w:basedOn w:val="DefaultParagraphFont"/>
    <w:rsid w:val="00CC37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622954">
      <w:bodyDiv w:val="1"/>
      <w:marLeft w:val="0"/>
      <w:marRight w:val="0"/>
      <w:marTop w:val="0"/>
      <w:marBottom w:val="0"/>
      <w:divBdr>
        <w:top w:val="none" w:sz="0" w:space="0" w:color="auto"/>
        <w:left w:val="none" w:sz="0" w:space="0" w:color="auto"/>
        <w:bottom w:val="none" w:sz="0" w:space="0" w:color="auto"/>
        <w:right w:val="none" w:sz="0" w:space="0" w:color="auto"/>
      </w:divBdr>
    </w:div>
    <w:div w:id="1320573299">
      <w:bodyDiv w:val="1"/>
      <w:marLeft w:val="0"/>
      <w:marRight w:val="0"/>
      <w:marTop w:val="0"/>
      <w:marBottom w:val="0"/>
      <w:divBdr>
        <w:top w:val="none" w:sz="0" w:space="0" w:color="auto"/>
        <w:left w:val="none" w:sz="0" w:space="0" w:color="auto"/>
        <w:bottom w:val="none" w:sz="0" w:space="0" w:color="auto"/>
        <w:right w:val="none" w:sz="0" w:space="0" w:color="auto"/>
      </w:divBdr>
    </w:div>
    <w:div w:id="1330013270">
      <w:bodyDiv w:val="1"/>
      <w:marLeft w:val="0"/>
      <w:marRight w:val="0"/>
      <w:marTop w:val="0"/>
      <w:marBottom w:val="0"/>
      <w:divBdr>
        <w:top w:val="none" w:sz="0" w:space="0" w:color="auto"/>
        <w:left w:val="none" w:sz="0" w:space="0" w:color="auto"/>
        <w:bottom w:val="none" w:sz="0" w:space="0" w:color="auto"/>
        <w:right w:val="none" w:sz="0" w:space="0" w:color="auto"/>
      </w:divBdr>
    </w:div>
    <w:div w:id="2063942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tephenlawrenceday.org/stephens-story/" TargetMode="External"/><Relationship Id="rId5" Type="http://schemas.openxmlformats.org/officeDocument/2006/relationships/hyperlink" Target="https://policinginsight.com/feature/opinion/stephen-lawrence-how-family-liaison-officers-became-an-integral-part-of-policing-in-the-wake-of-his-murder/" TargetMode="External"/><Relationship Id="rId4" Type="http://schemas.openxmlformats.org/officeDocument/2006/relationships/hyperlink" Target="https://doi.org/10.1002/14651858.cd005650.pub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1759</Words>
  <Characters>9784</Characters>
  <Application>Microsoft Office Word</Application>
  <DocSecurity>0</DocSecurity>
  <Lines>575</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Emily Prothero</cp:lastModifiedBy>
  <cp:revision>2</cp:revision>
  <dcterms:created xsi:type="dcterms:W3CDTF">2024-04-19T21:22:00Z</dcterms:created>
  <dcterms:modified xsi:type="dcterms:W3CDTF">2024-04-19T21:22:00Z</dcterms:modified>
</cp:coreProperties>
</file>