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ind w:left="0" w:firstLine="0"/>
        <w:rPr>
          <w:sz w:val="24"/>
          <w:szCs w:val="24"/>
        </w:rPr>
      </w:pPr>
      <w:r w:rsidDel="00000000" w:rsidR="00000000" w:rsidRPr="00000000">
        <w:rPr>
          <w:b w:val="1"/>
          <w:bCs w:val="1"/>
          <w:sz w:val="24"/>
          <w:szCs w:val="24"/>
          <w:u w:val="single"/>
          <w:rtl w:val="0"/>
        </w:rPr>
        <w:t xml:space="preserve">ADDICTION: </w:t>
      </w:r>
      <w:r w:rsidDel="00000000" w:rsidR="00000000" w:rsidRPr="00000000">
        <w:rPr>
          <w:sz w:val="24"/>
          <w:szCs w:val="24"/>
          <w:rtl w:val="0"/>
        </w:rPr>
        <w:br w:type="textWrapping"/>
        <w:br w:type="textWrapping"/>
        <w:t xml:space="preserve">This essay is an overview of addiction as a whole, looking at the different factors that contribute towards addiction. The factors discussed will encompass both biological and sociological aspects to provide a comprehensive overview. Addiction is defined as a chronic condition in which there is repeated powerful motivation to engage in rewarding behaviour according to Davis, P. et al., 2018.</w:t>
      </w:r>
    </w:p>
    <w:p w:rsidR="00000000" w:rsidDel="00000000" w:rsidP="00000000" w:rsidRDefault="00000000" w:rsidRPr="00000000" w14:paraId="00000002">
      <w:pPr>
        <w:spacing w:after="120" w:before="120" w:lineRule="auto"/>
        <w:rPr>
          <w:sz w:val="24"/>
          <w:szCs w:val="24"/>
        </w:rPr>
      </w:pPr>
      <w:r w:rsidDel="00000000" w:rsidR="00000000" w:rsidRPr="00000000">
        <w:rPr>
          <w:sz w:val="24"/>
          <w:szCs w:val="24"/>
          <w:rtl w:val="0"/>
        </w:rPr>
        <w:t xml:space="preserve">Addiction is also composed of two main types of behaviours, as the Cleveland Clinic, 2023 explains: substance addiction and non-substance addictions. Substance addiction can be anything from alcohol to prescription and non-prescription drugs, whereas non-substance addictions are often behaviours like gambling, shopping or pornography.</w:t>
      </w:r>
    </w:p>
    <w:p w:rsidR="00000000" w:rsidDel="00000000" w:rsidP="00000000" w:rsidRDefault="00000000" w:rsidRPr="00000000" w14:paraId="00000003">
      <w:pPr>
        <w:spacing w:after="120" w:before="120" w:lineRule="auto"/>
        <w:rPr>
          <w:sz w:val="24"/>
          <w:szCs w:val="24"/>
        </w:rPr>
      </w:pPr>
      <w:r w:rsidDel="00000000" w:rsidR="00000000" w:rsidRPr="00000000">
        <w:rPr>
          <w:sz w:val="24"/>
          <w:szCs w:val="24"/>
          <w:rtl w:val="0"/>
        </w:rPr>
        <w:t xml:space="preserve">Additionally, this paper will explore how these factors interact and influence one another, as well as the importance of understanding addiction. By acknowledging these factors, physicians can apply more beneficial and personalised care. According to DeJong, S.M. </w:t>
      </w:r>
      <w:r w:rsidDel="00000000" w:rsidR="00000000" w:rsidRPr="00000000">
        <w:rPr>
          <w:i w:val="1"/>
          <w:iCs w:val="1"/>
          <w:sz w:val="24"/>
          <w:szCs w:val="24"/>
          <w:rtl w:val="0"/>
        </w:rPr>
        <w:t xml:space="preserve">et al.</w:t>
      </w:r>
      <w:r w:rsidDel="00000000" w:rsidR="00000000" w:rsidRPr="00000000">
        <w:rPr>
          <w:sz w:val="24"/>
          <w:szCs w:val="24"/>
          <w:rtl w:val="0"/>
        </w:rPr>
        <w:t xml:space="preserve">, 2021 physicians who presented negative attitudes towards people with addiction also exhibited reduced empathy and engagement with patients.</w:t>
      </w:r>
    </w:p>
    <w:p w:rsidR="00000000" w:rsidDel="00000000" w:rsidP="00000000" w:rsidRDefault="00000000" w:rsidRPr="00000000" w14:paraId="00000004">
      <w:pPr>
        <w:spacing w:after="120" w:before="120" w:lineRule="auto"/>
        <w:rPr>
          <w:sz w:val="24"/>
          <w:szCs w:val="24"/>
        </w:rPr>
      </w:pPr>
      <w:r w:rsidDel="00000000" w:rsidR="00000000" w:rsidRPr="00000000">
        <w:rPr>
          <w:sz w:val="24"/>
          <w:szCs w:val="24"/>
          <w:rtl w:val="0"/>
        </w:rPr>
        <w:t xml:space="preserve">To understand addiction, it’s beneficial to start with the neurological factors that affect the brain. There are three main networks associated with substance abuse in the brain: the basal ganglia, the extended amygdala and the prefrontal cortex, as explained by Sinha, R., 2008.</w:t>
      </w:r>
    </w:p>
    <w:p w:rsidR="00000000" w:rsidDel="00000000" w:rsidP="00000000" w:rsidRDefault="00000000" w:rsidRPr="00000000" w14:paraId="00000005">
      <w:pPr>
        <w:spacing w:after="120" w:before="120" w:lineRule="auto"/>
        <w:rPr>
          <w:sz w:val="24"/>
          <w:szCs w:val="24"/>
        </w:rPr>
      </w:pPr>
      <w:r w:rsidDel="00000000" w:rsidR="00000000" w:rsidRPr="00000000">
        <w:rPr>
          <w:sz w:val="24"/>
          <w:szCs w:val="24"/>
          <w:rtl w:val="0"/>
        </w:rPr>
        <w:t xml:space="preserve">The basal ganglia are constructed of two sub regions, the nucleus accumbens and the dorsal striatum. This controls the pleasure effects of the brain and is responsible for how the brain forms habits. The extended amygdala is responsible for the brain's response to stress, controlling reactions like fight or flight and works closely with the hypothalamus, which controls hormone producing glands. Lastly, the prefrontal cortex is the last area associated with addiction and is responsible for cognitive functions like prioritising thoughts and time management, according to the US Department of Health and Human Services, 2016.</w:t>
      </w:r>
    </w:p>
    <w:p w:rsidR="00000000" w:rsidDel="00000000" w:rsidP="00000000" w:rsidRDefault="00000000" w:rsidRPr="00000000" w14:paraId="00000006">
      <w:pPr>
        <w:spacing w:after="120" w:before="120" w:lineRule="auto"/>
        <w:rPr>
          <w:sz w:val="24"/>
          <w:szCs w:val="24"/>
        </w:rPr>
      </w:pPr>
      <w:r w:rsidDel="00000000" w:rsidR="00000000" w:rsidRPr="00000000">
        <w:rPr>
          <w:sz w:val="24"/>
          <w:szCs w:val="24"/>
          <w:rtl w:val="0"/>
        </w:rPr>
        <w:t xml:space="preserve">There are physical dependencies and psychological dependencies that trigger addiction. Stress, our response to harmful stimuli, is one of the common motivators when discussing substance abuse, according to Absi, M. et al., 2007. Substances like alcohol, opiates, and even perceived behaviours like going to the gym are used as methods of self-medication to alleviate the symptoms that come with stress.</w:t>
      </w:r>
    </w:p>
    <w:p w:rsidR="00000000" w:rsidDel="00000000" w:rsidP="00000000" w:rsidRDefault="00000000" w:rsidRPr="00000000" w14:paraId="00000007">
      <w:pPr>
        <w:spacing w:after="120" w:before="120" w:lineRule="auto"/>
        <w:rPr>
          <w:sz w:val="24"/>
          <w:szCs w:val="24"/>
        </w:rPr>
      </w:pPr>
      <w:r w:rsidDel="00000000" w:rsidR="00000000" w:rsidRPr="00000000">
        <w:rPr>
          <w:sz w:val="24"/>
          <w:szCs w:val="24"/>
          <w:rtl w:val="0"/>
        </w:rPr>
        <w:t xml:space="preserve">Abused substances, combined with motivation from biological responses like stress, ultimately activate a neurological response, creating a pleasure-reward cycle. As the cycle is repeated through continued use, a reliance upon the increased dopamine levels can also create addiction to these substances, according to MacNicol, B., 2016.</w:t>
      </w:r>
    </w:p>
    <w:p w:rsidR="00000000" w:rsidDel="00000000" w:rsidP="00000000" w:rsidRDefault="00000000" w:rsidRPr="00000000" w14:paraId="00000008">
      <w:pPr>
        <w:spacing w:after="120" w:before="120" w:lineRule="auto"/>
        <w:rPr>
          <w:sz w:val="24"/>
          <w:szCs w:val="24"/>
        </w:rPr>
      </w:pPr>
      <w:r w:rsidDel="00000000" w:rsidR="00000000" w:rsidRPr="00000000">
        <w:rPr>
          <w:sz w:val="24"/>
          <w:szCs w:val="24"/>
          <w:rtl w:val="0"/>
        </w:rPr>
        <w:t xml:space="preserve">Genetics can be another biological contribution towards addiction. Twin studies make up the largest portion of studies, and according to Li, M.D. and Burmeister, M. 2009, the likelihood of inheritance of alcohol abuse and dependency ranges from 50 to 70%. That being said, it is important to recognise that genetics are probabilistic, not deterministic, when it comes to addiction. Just because a patient has a background of addiction does not mean that the patient will become an addict. However, as Heilig, M. </w:t>
      </w:r>
      <w:r w:rsidDel="00000000" w:rsidR="00000000" w:rsidRPr="00000000">
        <w:rPr>
          <w:i w:val="1"/>
          <w:iCs w:val="1"/>
          <w:sz w:val="24"/>
          <w:szCs w:val="24"/>
          <w:rtl w:val="0"/>
        </w:rPr>
        <w:t xml:space="preserve">et al., </w:t>
      </w:r>
      <w:r w:rsidDel="00000000" w:rsidR="00000000" w:rsidRPr="00000000">
        <w:rPr>
          <w:sz w:val="24"/>
          <w:szCs w:val="24"/>
          <w:rtl w:val="0"/>
        </w:rPr>
        <w:t xml:space="preserve">elaborates, genetic factors can contribute to large patterns of risk-taking behaviour, such as addiction.</w:t>
      </w:r>
      <w:r w:rsidDel="00000000" w:rsidR="00000000" w:rsidRPr="00000000">
        <w:rPr>
          <w:b w:val="1"/>
          <w:bCs w:val="1"/>
          <w:sz w:val="24"/>
          <w:szCs w:val="24"/>
          <w:rtl w:val="0"/>
        </w:rPr>
        <w:br w:type="textWrapping"/>
      </w:r>
      <w:r w:rsidDel="00000000" w:rsidR="00000000" w:rsidRPr="00000000">
        <w:rPr>
          <w:sz w:val="24"/>
          <w:szCs w:val="24"/>
          <w:rtl w:val="0"/>
        </w:rPr>
        <w:br w:type="textWrapping"/>
        <w:t xml:space="preserve">Looking outside of biological determinants, sociological determinants can also influence addiction. The environment plays a huge role in determining the likelihood of addiction. According to Manhica, H. </w:t>
      </w:r>
      <w:r w:rsidDel="00000000" w:rsidR="00000000" w:rsidRPr="00000000">
        <w:rPr>
          <w:i w:val="1"/>
          <w:iCs w:val="1"/>
          <w:sz w:val="24"/>
          <w:szCs w:val="24"/>
          <w:rtl w:val="0"/>
        </w:rPr>
        <w:t xml:space="preserve">et al.</w:t>
      </w:r>
      <w:r w:rsidDel="00000000" w:rsidR="00000000" w:rsidRPr="00000000">
        <w:rPr>
          <w:sz w:val="24"/>
          <w:szCs w:val="24"/>
          <w:rtl w:val="0"/>
        </w:rPr>
        <w:t xml:space="preserve">, 2021, environmental factors such as poor living conditions, limited access to education and employment, poor neighbourhoods and housing characteristics may ultimately influence drug‐related behaviours. Although prevalent amongst various social classes, the negative effects of drug and alcohol addiction are generally greater amongst disenfranchised people.</w:t>
      </w:r>
    </w:p>
    <w:p w:rsidR="00000000" w:rsidDel="00000000" w:rsidP="00000000" w:rsidRDefault="00000000" w:rsidRPr="00000000" w14:paraId="00000009">
      <w:pPr>
        <w:spacing w:after="120" w:before="120" w:lineRule="auto"/>
        <w:rPr>
          <w:sz w:val="24"/>
          <w:szCs w:val="24"/>
        </w:rPr>
      </w:pPr>
      <w:r w:rsidDel="00000000" w:rsidR="00000000" w:rsidRPr="00000000">
        <w:rPr>
          <w:sz w:val="24"/>
          <w:szCs w:val="24"/>
          <w:rtl w:val="0"/>
        </w:rPr>
        <w:t xml:space="preserve">Poverty has been proven to link to ill-health, and addiction can result as a coping mechanism because of increased stressors, according to Amaro, H. et al., 2021. This stress can also influence the development of using maladaptive behaviours to cope due to overwhelmed stress indicators. There is also evidence to show that this stress from poverty can lead to a higher risk of adverse mental health conditions, which can then, in turn, be treated via substance abuse. Ultimately, socioeconomic inequalities increase the likelihood of poor mental health, and with limited access to medication, therapy, and traditional methods of treatment, addiction can be a more convenient alternative to cope.</w:t>
      </w:r>
    </w:p>
    <w:p w:rsidR="00000000" w:rsidDel="00000000" w:rsidP="00000000" w:rsidRDefault="00000000" w:rsidRPr="00000000" w14:paraId="0000000A">
      <w:pPr>
        <w:spacing w:after="120" w:before="120" w:lineRule="auto"/>
        <w:rPr>
          <w:sz w:val="24"/>
          <w:szCs w:val="24"/>
        </w:rPr>
      </w:pPr>
      <w:r w:rsidDel="00000000" w:rsidR="00000000" w:rsidRPr="00000000">
        <w:rPr>
          <w:sz w:val="24"/>
          <w:szCs w:val="24"/>
          <w:rtl w:val="0"/>
        </w:rPr>
        <w:t xml:space="preserve">It is important to acknowledge that there are other factors beyond socioeconomic status that can contribute to maladaptive coping behaviours that can ultimately lead to addiction. Broader issues such as family dynamics, relationships between peers, trauma, and legislative policies can all play a significant role when it comes to addiction vulnerability. Communities that have higher substance abuse already established or those that have limited support systems in the area can also experience a higher likelihood of substance use Olfson, M, et al., 2021. In a social media-heavy society, exposure to substance-promoting content online creates additional pathways to maladaptive coping behaviours, according to Gansner, M. et al.,2024.  </w:t>
      </w:r>
    </w:p>
    <w:p w:rsidR="00000000" w:rsidDel="00000000" w:rsidP="00000000" w:rsidRDefault="00000000" w:rsidRPr="00000000" w14:paraId="0000000B">
      <w:pPr>
        <w:spacing w:after="120" w:before="120" w:lineRule="auto"/>
        <w:rPr>
          <w:sz w:val="24"/>
          <w:szCs w:val="24"/>
        </w:rPr>
      </w:pPr>
      <w:r w:rsidDel="00000000" w:rsidR="00000000" w:rsidRPr="00000000">
        <w:rPr>
          <w:sz w:val="24"/>
          <w:szCs w:val="24"/>
          <w:rtl w:val="0"/>
        </w:rPr>
        <w:t xml:space="preserve">As Heilig, M. </w:t>
      </w:r>
      <w:r w:rsidDel="00000000" w:rsidR="00000000" w:rsidRPr="00000000">
        <w:rPr>
          <w:i w:val="1"/>
          <w:iCs w:val="1"/>
          <w:sz w:val="24"/>
          <w:szCs w:val="24"/>
          <w:rtl w:val="0"/>
        </w:rPr>
        <w:t xml:space="preserve">et al.</w:t>
      </w:r>
      <w:r w:rsidDel="00000000" w:rsidR="00000000" w:rsidRPr="00000000">
        <w:rPr>
          <w:sz w:val="24"/>
          <w:szCs w:val="24"/>
          <w:rtl w:val="0"/>
        </w:rPr>
        <w:t xml:space="preserve">, 2021 highlights, it is important to acknowledge that this is not a deterministic finding. While people may grow up in a negative environment, that does not necessarily mean that addiction will occur, only that factors like stress and genetics may have a stronger influence in a maladaptive environment.</w:t>
      </w:r>
    </w:p>
    <w:p w:rsidR="00000000" w:rsidDel="00000000" w:rsidP="00000000" w:rsidRDefault="00000000" w:rsidRPr="00000000" w14:paraId="0000000C">
      <w:pPr>
        <w:spacing w:after="120" w:before="120" w:lineRule="auto"/>
        <w:rPr>
          <w:sz w:val="24"/>
          <w:szCs w:val="24"/>
        </w:rPr>
      </w:pPr>
      <w:r w:rsidDel="00000000" w:rsidR="00000000" w:rsidRPr="00000000">
        <w:rPr>
          <w:rtl w:val="0"/>
        </w:rPr>
      </w:r>
    </w:p>
    <w:p w:rsidR="00000000" w:rsidDel="00000000" w:rsidP="00000000" w:rsidRDefault="00000000" w:rsidRPr="00000000" w14:paraId="0000000D">
      <w:pPr>
        <w:spacing w:after="120" w:before="120" w:lineRule="auto"/>
        <w:rPr>
          <w:sz w:val="24"/>
          <w:szCs w:val="24"/>
        </w:rPr>
      </w:pPr>
      <w:r w:rsidDel="00000000" w:rsidR="00000000" w:rsidRPr="00000000">
        <w:rPr>
          <w:sz w:val="24"/>
          <w:szCs w:val="24"/>
          <w:rtl w:val="0"/>
        </w:rPr>
        <w:t xml:space="preserve">Addiction is not caused by one factor alone. Biological vulnerability and Sociological factors can influence and play off each other, which develops tighter pathways of addiction. This is how people who have genetic backgrounds of addiction may not necessarily become addicts themselves. Sociological factors are the how, when and why a person is exposed to addictive substances. According to Sinha, R., 2008, stress, family dynamics, and other societal factors like trauma increase the overall likelihood of drug-seeking behaviour and self-medication via drugs. </w:t>
      </w:r>
    </w:p>
    <w:p w:rsidR="00000000" w:rsidDel="00000000" w:rsidP="00000000" w:rsidRDefault="00000000" w:rsidRPr="00000000" w14:paraId="0000000E">
      <w:pPr>
        <w:spacing w:after="120" w:before="120" w:lineRule="auto"/>
        <w:rPr>
          <w:sz w:val="24"/>
          <w:szCs w:val="24"/>
        </w:rPr>
      </w:pPr>
      <w:r w:rsidDel="00000000" w:rsidR="00000000" w:rsidRPr="00000000">
        <w:rPr>
          <w:sz w:val="24"/>
          <w:szCs w:val="24"/>
          <w:rtl w:val="0"/>
        </w:rPr>
        <w:t xml:space="preserve">The adverse sociological factors experienced can create long-term stress. This stress creates changes in brain chemistry around dopamine, serotonin, and the motivation center of the brain. According to Gifford, E. and Humphreys, K., 2007, this further increases the appeal of drugs to provide more of the rewarding feeling created. Additional biological traits like impulsivity, high sensitivity, and genetic predisposition to addiction can drive individuals toward environments that can be high-risk. These people are more vulnerable due to their brains responding more intensely than others or experiencing higher levels of withdrawal than those without the genetic predisposition.</w:t>
      </w:r>
    </w:p>
    <w:p w:rsidR="00000000" w:rsidDel="00000000" w:rsidP="00000000" w:rsidRDefault="00000000" w:rsidRPr="00000000" w14:paraId="0000000F">
      <w:pPr>
        <w:spacing w:after="120" w:before="120" w:lineRule="auto"/>
        <w:rPr>
          <w:sz w:val="24"/>
          <w:szCs w:val="24"/>
        </w:rPr>
      </w:pPr>
      <w:r w:rsidDel="00000000" w:rsidR="00000000" w:rsidRPr="00000000">
        <w:rPr>
          <w:sz w:val="24"/>
          <w:szCs w:val="24"/>
          <w:rtl w:val="0"/>
        </w:rPr>
        <w:t xml:space="preserve">Addiction needs to be understood through a biological and sociological lens. Biological factors like stress create vulnerability, genetic predisposition, and the coping mechanisms someone may use. Society provides the environment where addiction can form or be prevented, and can expand upon the vulnerability already present through biology. Addiction thrives when established biological vulnerabilities meet social pressures or stresses resulting from them. In order to provide adequate treatment and practice empathy towards substance abuse and addiction, health care professionals must recognise how these factors interact. Through this, more effective prevention strategies and more compassionate treatment can be established, according to DeJong, S.M. </w:t>
      </w:r>
      <w:r w:rsidDel="00000000" w:rsidR="00000000" w:rsidRPr="00000000">
        <w:rPr>
          <w:i w:val="1"/>
          <w:iCs w:val="1"/>
          <w:sz w:val="24"/>
          <w:szCs w:val="24"/>
          <w:rtl w:val="0"/>
        </w:rPr>
        <w:t xml:space="preserve">et al.</w:t>
      </w:r>
      <w:r w:rsidDel="00000000" w:rsidR="00000000" w:rsidRPr="00000000">
        <w:rPr>
          <w:sz w:val="24"/>
          <w:szCs w:val="24"/>
          <w:rtl w:val="0"/>
        </w:rPr>
        <w:t xml:space="preserve">, 2021.</w:t>
      </w:r>
    </w:p>
    <w:p w:rsidR="00000000" w:rsidDel="00000000" w:rsidP="00000000" w:rsidRDefault="00000000" w:rsidRPr="00000000" w14:paraId="00000010">
      <w:pPr>
        <w:spacing w:after="120" w:before="120" w:lineRule="auto"/>
        <w:rPr>
          <w:sz w:val="24"/>
          <w:szCs w:val="24"/>
        </w:rPr>
      </w:pPr>
      <w:r w:rsidDel="00000000" w:rsidR="00000000" w:rsidRPr="00000000">
        <w:rPr>
          <w:sz w:val="24"/>
          <w:szCs w:val="24"/>
          <w:rtl w:val="0"/>
        </w:rPr>
        <w:t xml:space="preserve">Handling addiction and people with substance abuse empathetically and appropriately is key to delivering adequate person-centred care. As Wood, E. et al., 2013 discuss, there is a noticeable lack in training for treating addiction and this not only has led to lapses in patient care but a general lack of understanding for the factors surrounding addiction. Empathy is a fantastic tool used in the treatment of substance addiction. Bynum, W., 2024, illustrates that by using empathy, healthcare workers can develop a better and deeper understanding with their patients. For those presenting signs of addiction, this empathy can be further used to aid in treatment, suggest alternative medicines, and overall understand what can better help their patient.</w:t>
      </w:r>
    </w:p>
    <w:p w:rsidR="00000000" w:rsidDel="00000000" w:rsidP="00000000" w:rsidRDefault="00000000" w:rsidRPr="00000000" w14:paraId="00000011">
      <w:pPr>
        <w:spacing w:after="120" w:before="120" w:lineRule="auto"/>
        <w:rPr>
          <w:sz w:val="24"/>
          <w:szCs w:val="24"/>
        </w:rPr>
      </w:pPr>
      <w:r w:rsidDel="00000000" w:rsidR="00000000" w:rsidRPr="00000000">
        <w:rPr>
          <w:rtl w:val="0"/>
        </w:rPr>
      </w:r>
    </w:p>
    <w:p w:rsidR="00000000" w:rsidDel="00000000" w:rsidP="00000000" w:rsidRDefault="00000000" w:rsidRPr="00000000" w14:paraId="00000012">
      <w:pPr>
        <w:spacing w:after="120" w:before="120" w:lineRule="auto"/>
        <w:rPr>
          <w:sz w:val="24"/>
          <w:szCs w:val="24"/>
        </w:rPr>
      </w:pPr>
      <w:r w:rsidDel="00000000" w:rsidR="00000000" w:rsidRPr="00000000">
        <w:rPr>
          <w:sz w:val="24"/>
          <w:szCs w:val="24"/>
          <w:rtl w:val="0"/>
        </w:rPr>
        <w:t xml:space="preserve">For some, withdrawal and high tolerance can present challenges to treatment. Withdrawal is defined as the physical and mental symptoms that occur when a person stops or cuts back on an addictive substance, according to the National Cancer Institute. Withdrawal is incredibly personal, as Piper, M., 2015 explores, with different patients presenting different symptoms as well as the length of withdrawal overall. High tolerance to medication can also present a challenge to healthcare professionals, as it can make patients less susceptible or even ineligible to certain treatment methods. This plays perfectly into why empathy is needed as healthcare professionals need to be understanding around patients experiencing withdrawal symptoms and/or high tolerance to treatment and how to manage it efficiently.</w:t>
      </w:r>
    </w:p>
    <w:p w:rsidR="00000000" w:rsidDel="00000000" w:rsidP="00000000" w:rsidRDefault="00000000" w:rsidRPr="00000000" w14:paraId="00000013">
      <w:pPr>
        <w:spacing w:after="120" w:before="120" w:lineRule="auto"/>
        <w:rPr>
          <w:sz w:val="24"/>
          <w:szCs w:val="24"/>
        </w:rPr>
      </w:pPr>
      <w:r w:rsidDel="00000000" w:rsidR="00000000" w:rsidRPr="00000000">
        <w:rPr>
          <w:sz w:val="24"/>
          <w:szCs w:val="24"/>
          <w:rtl w:val="0"/>
        </w:rPr>
        <w:t xml:space="preserve">Arguably, most importantly, through understanding addiction, preventative measures can be put in place to decrease the likelihood of the sociological and biological factors that impact addiction. Understanding poverty, abuse, trauma, genetics, and how stress and mental illness are affected by these factors is key to helping prevent future addiction, as Manhica, H. </w:t>
      </w:r>
      <w:r w:rsidDel="00000000" w:rsidR="00000000" w:rsidRPr="00000000">
        <w:rPr>
          <w:i w:val="1"/>
          <w:iCs w:val="1"/>
          <w:sz w:val="24"/>
          <w:szCs w:val="24"/>
          <w:rtl w:val="0"/>
        </w:rPr>
        <w:t xml:space="preserve">et al.</w:t>
      </w:r>
      <w:r w:rsidDel="00000000" w:rsidR="00000000" w:rsidRPr="00000000">
        <w:rPr>
          <w:sz w:val="24"/>
          <w:szCs w:val="24"/>
          <w:rtl w:val="0"/>
        </w:rPr>
        <w:t xml:space="preserve">,  2021 discuss. Through preventative care and even legislation for more all-encompassing societal issues like poverty, the likelihood of addiction will naturally decrease as one of the main components is being addressed. For children, preventative care is one of the better methods of addressing the issue head-on before addiction likelihood can increase.</w:t>
      </w:r>
    </w:p>
    <w:p w:rsidR="00000000" w:rsidDel="00000000" w:rsidP="00000000" w:rsidRDefault="00000000" w:rsidRPr="00000000" w14:paraId="00000014">
      <w:pPr>
        <w:spacing w:after="120" w:before="120" w:lineRule="auto"/>
        <w:rPr>
          <w:sz w:val="24"/>
          <w:szCs w:val="24"/>
        </w:rPr>
      </w:pPr>
      <w:r w:rsidDel="00000000" w:rsidR="00000000" w:rsidRPr="00000000">
        <w:rPr>
          <w:rtl w:val="0"/>
        </w:rPr>
      </w:r>
    </w:p>
    <w:p w:rsidR="00000000" w:rsidDel="00000000" w:rsidP="00000000" w:rsidRDefault="00000000" w:rsidRPr="00000000" w14:paraId="00000015">
      <w:pPr>
        <w:spacing w:after="120" w:before="120" w:lineRule="auto"/>
        <w:rPr>
          <w:sz w:val="24"/>
          <w:szCs w:val="24"/>
        </w:rPr>
      </w:pPr>
      <w:r w:rsidDel="00000000" w:rsidR="00000000" w:rsidRPr="00000000">
        <w:rPr>
          <w:sz w:val="24"/>
          <w:szCs w:val="24"/>
          <w:rtl w:val="0"/>
        </w:rPr>
        <w:t xml:space="preserve">Overall, addiction is complex. There are biological factors and sociological factors that all need to be taken into consideration when treating and understanding addiction. Inside the brain, the basal ganglia, the extended amygdala, and the prefrontal cortex work together and create a pleasure-reward cycle that stress and mental illness can exacerbate. Genetics can also play a factor in increasing the likelihood of addiction. Additionally, sociological factors like environment and racism also present significant increases in the likelihood of developing addiction.</w:t>
      </w:r>
    </w:p>
    <w:p w:rsidR="00000000" w:rsidDel="00000000" w:rsidP="00000000" w:rsidRDefault="00000000" w:rsidRPr="00000000" w14:paraId="00000016">
      <w:pPr>
        <w:spacing w:after="120" w:before="120" w:lineRule="auto"/>
        <w:rPr>
          <w:sz w:val="24"/>
          <w:szCs w:val="24"/>
        </w:rPr>
      </w:pPr>
      <w:r w:rsidDel="00000000" w:rsidR="00000000" w:rsidRPr="00000000">
        <w:rPr>
          <w:sz w:val="24"/>
          <w:szCs w:val="24"/>
          <w:rtl w:val="0"/>
        </w:rPr>
        <w:t xml:space="preserve">Healthcare professionals need to be aware of all these factors so they can not only provide more empathetic and understanding treatment for those with addiction, but also identify what factors can prevent higher odds of addiction.</w:t>
      </w:r>
    </w:p>
    <w:p w:rsidR="00000000" w:rsidDel="00000000" w:rsidP="00000000" w:rsidRDefault="00000000" w:rsidRPr="00000000" w14:paraId="00000017">
      <w:pPr>
        <w:spacing w:after="240" w:before="240" w:lineRule="auto"/>
        <w:ind w:left="0" w:firstLine="0"/>
        <w:rPr>
          <w:sz w:val="24"/>
          <w:szCs w:val="24"/>
        </w:rPr>
      </w:pPr>
      <w:r w:rsidDel="00000000" w:rsidR="00000000" w:rsidRPr="00000000">
        <w:rPr>
          <w:rtl w:val="0"/>
        </w:rPr>
      </w:r>
    </w:p>
    <w:p w:rsidR="00000000" w:rsidDel="00000000" w:rsidP="00000000" w:rsidRDefault="00000000" w:rsidRPr="00000000" w14:paraId="00000018">
      <w:pPr>
        <w:spacing w:after="240" w:before="240" w:lineRule="auto"/>
        <w:ind w:left="0" w:firstLine="0"/>
        <w:rPr>
          <w:sz w:val="24"/>
          <w:szCs w:val="24"/>
        </w:rPr>
      </w:pPr>
      <w:r w:rsidDel="00000000" w:rsidR="00000000" w:rsidRPr="00000000">
        <w:rPr>
          <w:rtl w:val="0"/>
        </w:rPr>
      </w:r>
    </w:p>
    <w:p w:rsidR="00000000" w:rsidDel="00000000" w:rsidP="00000000" w:rsidRDefault="00000000" w:rsidRPr="00000000" w14:paraId="00000019">
      <w:pPr>
        <w:spacing w:after="240" w:before="240" w:lineRule="auto"/>
        <w:ind w:left="0" w:firstLine="0"/>
        <w:rPr>
          <w:sz w:val="24"/>
          <w:szCs w:val="24"/>
        </w:rPr>
      </w:pPr>
      <w:r w:rsidDel="00000000" w:rsidR="00000000" w:rsidRPr="00000000">
        <w:rPr>
          <w:rtl w:val="0"/>
        </w:rPr>
      </w:r>
    </w:p>
    <w:p w:rsidR="00000000" w:rsidDel="00000000" w:rsidP="00000000" w:rsidRDefault="00000000" w:rsidRPr="00000000" w14:paraId="0000001A">
      <w:pPr>
        <w:spacing w:after="240" w:before="240" w:lineRule="auto"/>
        <w:ind w:left="0" w:firstLine="0"/>
        <w:rPr>
          <w:sz w:val="24"/>
          <w:szCs w:val="24"/>
        </w:rPr>
      </w:pPr>
      <w:r w:rsidDel="00000000" w:rsidR="00000000" w:rsidRPr="00000000">
        <w:rPr>
          <w:rtl w:val="0"/>
        </w:rPr>
      </w:r>
    </w:p>
    <w:p w:rsidR="00000000" w:rsidDel="00000000" w:rsidP="00000000" w:rsidRDefault="00000000" w:rsidRPr="00000000" w14:paraId="0000001B">
      <w:pPr>
        <w:spacing w:after="240" w:before="240" w:lineRule="auto"/>
        <w:ind w:left="0" w:firstLine="0"/>
        <w:rPr>
          <w:sz w:val="24"/>
          <w:szCs w:val="24"/>
        </w:rPr>
      </w:pPr>
      <w:r w:rsidDel="00000000" w:rsidR="00000000" w:rsidRPr="00000000">
        <w:rPr>
          <w:rtl w:val="0"/>
        </w:rPr>
      </w:r>
    </w:p>
    <w:p w:rsidR="00000000" w:rsidDel="00000000" w:rsidP="00000000" w:rsidRDefault="00000000" w:rsidRPr="00000000" w14:paraId="0000001C">
      <w:pPr>
        <w:spacing w:after="240" w:before="240" w:lineRule="auto"/>
        <w:ind w:left="0" w:firstLine="0"/>
        <w:rPr>
          <w:sz w:val="24"/>
          <w:szCs w:val="24"/>
        </w:rPr>
      </w:pPr>
      <w:r w:rsidDel="00000000" w:rsidR="00000000" w:rsidRPr="00000000">
        <w:rPr>
          <w:rtl w:val="0"/>
        </w:rPr>
      </w:r>
    </w:p>
    <w:p w:rsidR="00000000" w:rsidDel="00000000" w:rsidP="00000000" w:rsidRDefault="00000000" w:rsidRPr="00000000" w14:paraId="0000001D">
      <w:pPr>
        <w:spacing w:after="240" w:before="240" w:lineRule="auto"/>
        <w:ind w:left="0" w:firstLine="0"/>
        <w:rPr>
          <w:sz w:val="24"/>
          <w:szCs w:val="24"/>
        </w:rPr>
      </w:pPr>
      <w:r w:rsidDel="00000000" w:rsidR="00000000" w:rsidRPr="00000000">
        <w:rPr>
          <w:rtl w:val="0"/>
        </w:rPr>
      </w:r>
    </w:p>
    <w:p w:rsidR="00000000" w:rsidDel="00000000" w:rsidP="00000000" w:rsidRDefault="00000000" w:rsidRPr="00000000" w14:paraId="0000001E">
      <w:pPr>
        <w:spacing w:after="240" w:before="240" w:lineRule="auto"/>
        <w:ind w:left="0" w:firstLine="0"/>
        <w:rPr>
          <w:sz w:val="24"/>
          <w:szCs w:val="24"/>
        </w:rPr>
      </w:pPr>
      <w:r w:rsidDel="00000000" w:rsidR="00000000" w:rsidRPr="00000000">
        <w:rPr>
          <w:rtl w:val="0"/>
        </w:rPr>
        <w:t xml:space="preserve">References: </w:t>
        <w:br w:type="textWrapping"/>
      </w:r>
      <w:r w:rsidDel="00000000" w:rsidR="00000000" w:rsidRPr="00000000">
        <w:rPr>
          <w:sz w:val="24"/>
          <w:szCs w:val="24"/>
          <w:rtl w:val="0"/>
        </w:rPr>
        <w:br w:type="textWrapping"/>
      </w:r>
      <w:r w:rsidDel="00000000" w:rsidR="00000000" w:rsidRPr="00000000">
        <w:rPr>
          <w:sz w:val="24"/>
          <w:szCs w:val="24"/>
          <w:rtl w:val="0"/>
        </w:rPr>
        <w:t xml:space="preserve">Absi, M.</w:t>
      </w:r>
      <w:r w:rsidDel="00000000" w:rsidR="00000000" w:rsidRPr="00000000">
        <w:rPr>
          <w:sz w:val="24"/>
          <w:szCs w:val="24"/>
          <w:rtl w:val="0"/>
        </w:rPr>
        <w:t xml:space="preserve"> (2007) </w:t>
      </w:r>
      <w:r w:rsidDel="00000000" w:rsidR="00000000" w:rsidRPr="00000000">
        <w:rPr>
          <w:i w:val="1"/>
          <w:iCs w:val="1"/>
          <w:sz w:val="24"/>
          <w:szCs w:val="24"/>
          <w:rtl w:val="0"/>
        </w:rPr>
        <w:t xml:space="preserve">Stress and addiction: Biological and psychological mechanisms</w:t>
      </w:r>
      <w:r w:rsidDel="00000000" w:rsidR="00000000" w:rsidRPr="00000000">
        <w:rPr>
          <w:sz w:val="24"/>
          <w:szCs w:val="24"/>
          <w:rtl w:val="0"/>
        </w:rPr>
        <w:t xml:space="preserve">. Amsterdam: Academic Press. </w:t>
        <w:br w:type="textWrapping"/>
        <w:br w:type="textWrapping"/>
        <w:t xml:space="preserve">Amaro, H., Sanchez, M., Bautista, T. and Cox, R. (2021). Social vulnerabilities for substance use: Stressors, socially toxic environments, and discrimination and racism. </w:t>
      </w:r>
      <w:r w:rsidDel="00000000" w:rsidR="00000000" w:rsidRPr="00000000">
        <w:rPr>
          <w:i w:val="1"/>
          <w:iCs w:val="1"/>
          <w:sz w:val="24"/>
          <w:szCs w:val="24"/>
          <w:rtl w:val="0"/>
        </w:rPr>
        <w:t xml:space="preserve">Neuropharmacology</w:t>
      </w:r>
      <w:r w:rsidDel="00000000" w:rsidR="00000000" w:rsidRPr="00000000">
        <w:rPr>
          <w:sz w:val="24"/>
          <w:szCs w:val="24"/>
          <w:rtl w:val="0"/>
        </w:rPr>
        <w:t xml:space="preserve">, 188. doi:</w:t>
      </w:r>
      <w:hyperlink r:id="rId6">
        <w:r w:rsidDel="00000000" w:rsidR="00000000" w:rsidRPr="00000000">
          <w:rPr>
            <w:color w:val="1155cc"/>
            <w:sz w:val="24"/>
            <w:szCs w:val="24"/>
            <w:u w:val="single"/>
            <w:rtl w:val="0"/>
          </w:rPr>
          <w:t xml:space="preserve">https://doi.org/10.1016/j.neuropharm.2021.108518</w:t>
        </w:r>
      </w:hyperlink>
      <w:r w:rsidDel="00000000" w:rsidR="00000000" w:rsidRPr="00000000">
        <w:rPr>
          <w:sz w:val="24"/>
          <w:szCs w:val="24"/>
          <w:rtl w:val="0"/>
        </w:rPr>
        <w:t xml:space="preserve">.</w:t>
        <w:br w:type="textWrapping"/>
        <w:br w:type="textWrapping"/>
        <w:t xml:space="preserve">Bynum, W. (2024). Lived Experiences of People with Substance Use Disorder as Healthcare Education to Develop Empathy for this Population. </w:t>
      </w:r>
      <w:r w:rsidDel="00000000" w:rsidR="00000000" w:rsidRPr="00000000">
        <w:rPr>
          <w:i w:val="1"/>
          <w:iCs w:val="1"/>
          <w:sz w:val="24"/>
          <w:szCs w:val="24"/>
          <w:rtl w:val="0"/>
        </w:rPr>
        <w:t xml:space="preserve">Nursing | Senior Theses</w:t>
      </w:r>
      <w:r w:rsidDel="00000000" w:rsidR="00000000" w:rsidRPr="00000000">
        <w:rPr>
          <w:sz w:val="24"/>
          <w:szCs w:val="24"/>
          <w:rtl w:val="0"/>
        </w:rPr>
        <w:t xml:space="preserve">, (117). doi:https://doi.org/10.33015/dominican.edu/2024.NURS.ST.04.</w:t>
        <w:br w:type="textWrapping"/>
        <w:br w:type="textWrapping"/>
        <w:t xml:space="preserve">Cleveland Clinic (2023). </w:t>
      </w:r>
      <w:r w:rsidDel="00000000" w:rsidR="00000000" w:rsidRPr="00000000">
        <w:rPr>
          <w:i w:val="1"/>
          <w:iCs w:val="1"/>
          <w:sz w:val="24"/>
          <w:szCs w:val="24"/>
          <w:rtl w:val="0"/>
        </w:rPr>
        <w:t xml:space="preserve">Addiction</w:t>
      </w:r>
      <w:r w:rsidDel="00000000" w:rsidR="00000000" w:rsidRPr="00000000">
        <w:rPr>
          <w:sz w:val="24"/>
          <w:szCs w:val="24"/>
          <w:rtl w:val="0"/>
        </w:rPr>
        <w:t xml:space="preserve">. [online] Cleveland Clinic. Available at: https://my.clevelandclinic.org/health/diseases/6407-addiction.</w:t>
        <w:br w:type="textWrapping"/>
        <w:br w:type="textWrapping"/>
        <w:t xml:space="preserve">Davis, P., Patton, R. and Jackson, S. (2018) </w:t>
      </w:r>
      <w:r w:rsidDel="00000000" w:rsidR="00000000" w:rsidRPr="00000000">
        <w:rPr>
          <w:i w:val="1"/>
          <w:iCs w:val="1"/>
          <w:sz w:val="24"/>
          <w:szCs w:val="24"/>
          <w:rtl w:val="0"/>
        </w:rPr>
        <w:t xml:space="preserve">Addiction: Psychology and treatment</w:t>
      </w:r>
      <w:r w:rsidDel="00000000" w:rsidR="00000000" w:rsidRPr="00000000">
        <w:rPr>
          <w:sz w:val="24"/>
          <w:szCs w:val="24"/>
          <w:rtl w:val="0"/>
        </w:rPr>
        <w:t xml:space="preserve">. Hoboken, NJ: John Wiley &amp; Sons, Inc. </w:t>
        <w:br w:type="textWrapping"/>
        <w:br w:type="textWrapping"/>
      </w:r>
      <w:r w:rsidDel="00000000" w:rsidR="00000000" w:rsidRPr="00000000">
        <w:rPr>
          <w:sz w:val="24"/>
          <w:szCs w:val="24"/>
          <w:rtl w:val="0"/>
        </w:rPr>
        <w:t xml:space="preserve">DeJong, S.M., Balasanova, A.A., Frank, A., Ruble, A.E., Frew, J.R., Hoefer, M., Rakocevic, D.B., Carey, T., Renner, J.A. and Schwartz, A.C. (2021)</w:t>
      </w:r>
      <w:r w:rsidDel="00000000" w:rsidR="00000000" w:rsidRPr="00000000">
        <w:rPr>
          <w:sz w:val="24"/>
          <w:szCs w:val="24"/>
          <w:rtl w:val="0"/>
        </w:rPr>
        <w:t xml:space="preserve"> (2021) ‘Addiction teaching and training in the General Psychiatry Setting’, </w:t>
      </w:r>
      <w:r w:rsidDel="00000000" w:rsidR="00000000" w:rsidRPr="00000000">
        <w:rPr>
          <w:i w:val="1"/>
          <w:iCs w:val="1"/>
          <w:sz w:val="24"/>
          <w:szCs w:val="24"/>
          <w:rtl w:val="0"/>
        </w:rPr>
        <w:t xml:space="preserve">Academic Psychiatry</w:t>
      </w:r>
      <w:r w:rsidDel="00000000" w:rsidR="00000000" w:rsidRPr="00000000">
        <w:rPr>
          <w:sz w:val="24"/>
          <w:szCs w:val="24"/>
          <w:rtl w:val="0"/>
        </w:rPr>
        <w:t xml:space="preserve">, 46(3), pp. 381–388. doi:10.1007/s40596-021-01431-0. </w:t>
        <w:br w:type="textWrapping"/>
        <w:br w:type="textWrapping"/>
        <w:t xml:space="preserve">Gansner, M., Anna Katharine Horton, Singh, R. and Zev Schuman-Olivier (2024). Exploring relationships between social media use, online exposure to drug-related content, and youth substance use in real time: a pilot ecological momentary assessment study in a clinical sample of adolescents and young adults. </w:t>
      </w:r>
      <w:r w:rsidDel="00000000" w:rsidR="00000000" w:rsidRPr="00000000">
        <w:rPr>
          <w:i w:val="1"/>
          <w:iCs w:val="1"/>
          <w:sz w:val="24"/>
          <w:szCs w:val="24"/>
          <w:rtl w:val="0"/>
        </w:rPr>
        <w:t xml:space="preserve">Frontiers in Child and Adolescent Psychiatry</w:t>
      </w:r>
      <w:r w:rsidDel="00000000" w:rsidR="00000000" w:rsidRPr="00000000">
        <w:rPr>
          <w:sz w:val="24"/>
          <w:szCs w:val="24"/>
          <w:rtl w:val="0"/>
        </w:rPr>
        <w:t xml:space="preserve">, 3. doi:https://doi.org/10.3389/frcha.2024.1369810.</w:t>
        <w:br w:type="textWrapping"/>
        <w:br w:type="textWrapping"/>
        <w:t xml:space="preserve">Gifford, E. and Humphreys, K. (2007) ‘The psychological science of addiction’, </w:t>
      </w:r>
      <w:r w:rsidDel="00000000" w:rsidR="00000000" w:rsidRPr="00000000">
        <w:rPr>
          <w:i w:val="1"/>
          <w:iCs w:val="1"/>
          <w:sz w:val="24"/>
          <w:szCs w:val="24"/>
          <w:rtl w:val="0"/>
        </w:rPr>
        <w:t xml:space="preserve">Addiction</w:t>
      </w:r>
      <w:r w:rsidDel="00000000" w:rsidR="00000000" w:rsidRPr="00000000">
        <w:rPr>
          <w:sz w:val="24"/>
          <w:szCs w:val="24"/>
          <w:rtl w:val="0"/>
        </w:rPr>
        <w:t xml:space="preserve">, 102(3), pp. 352–361. doi:10.1111/j.1360-0443.2006.01706.x. </w:t>
        <w:br w:type="textWrapping"/>
        <w:br w:type="textWrapping"/>
      </w:r>
      <w:r w:rsidDel="00000000" w:rsidR="00000000" w:rsidRPr="00000000">
        <w:rPr>
          <w:sz w:val="24"/>
          <w:szCs w:val="24"/>
          <w:rtl w:val="0"/>
        </w:rPr>
        <w:t xml:space="preserve">Heilig, M., MacKillop, J., Martinez, D., Rehm, J., Leggio, L. and Vanderschuren, L.J.,</w:t>
      </w:r>
      <w:r w:rsidDel="00000000" w:rsidR="00000000" w:rsidRPr="00000000">
        <w:rPr>
          <w:sz w:val="24"/>
          <w:szCs w:val="24"/>
          <w:rtl w:val="0"/>
        </w:rPr>
        <w:t xml:space="preserve"> (2021) </w:t>
      </w:r>
      <w:r w:rsidDel="00000000" w:rsidR="00000000" w:rsidRPr="00000000">
        <w:rPr>
          <w:i w:val="1"/>
          <w:iCs w:val="1"/>
          <w:sz w:val="24"/>
          <w:szCs w:val="24"/>
          <w:rtl w:val="0"/>
        </w:rPr>
        <w:t xml:space="preserve">Addiction as a brain disease revised: Why it still matters, and the need for consilience</w:t>
      </w:r>
      <w:r w:rsidDel="00000000" w:rsidR="00000000" w:rsidRPr="00000000">
        <w:rPr>
          <w:sz w:val="24"/>
          <w:szCs w:val="24"/>
          <w:rtl w:val="0"/>
        </w:rPr>
        <w:t xml:space="preserve">. </w:t>
      </w:r>
      <w:r w:rsidDel="00000000" w:rsidR="00000000" w:rsidRPr="00000000">
        <w:rPr>
          <w:sz w:val="24"/>
          <w:szCs w:val="24"/>
          <w:rtl w:val="0"/>
        </w:rPr>
        <w:t xml:space="preserve">Available at: https://pmc.ncbi.nlm.nih.gov/articles/PMC8357831/ (Accessed: 10 December 2025). </w:t>
        <w:br w:type="textWrapping"/>
        <w:br w:type="textWrapping"/>
        <w:t xml:space="preserve">Knifton, L. and Inglis, G. (2020). Poverty and Mental health: Policy, Practice and Research Implications. </w:t>
      </w:r>
      <w:r w:rsidDel="00000000" w:rsidR="00000000" w:rsidRPr="00000000">
        <w:rPr>
          <w:i w:val="1"/>
          <w:iCs w:val="1"/>
          <w:sz w:val="24"/>
          <w:szCs w:val="24"/>
          <w:rtl w:val="0"/>
        </w:rPr>
        <w:t xml:space="preserve">BJPsych Bulletin</w:t>
      </w:r>
      <w:r w:rsidDel="00000000" w:rsidR="00000000" w:rsidRPr="00000000">
        <w:rPr>
          <w:sz w:val="24"/>
          <w:szCs w:val="24"/>
          <w:rtl w:val="0"/>
        </w:rPr>
        <w:t xml:space="preserve">, [online] 44(5), pp.193–196. doi:https://doi.org/10.1192/bjb.2020.78.</w:t>
      </w:r>
    </w:p>
    <w:p w:rsidR="00000000" w:rsidDel="00000000" w:rsidP="00000000" w:rsidRDefault="00000000" w:rsidRPr="00000000" w14:paraId="0000001F">
      <w:pPr>
        <w:spacing w:after="240" w:before="240" w:lineRule="auto"/>
        <w:ind w:left="0" w:firstLine="0"/>
        <w:rPr>
          <w:sz w:val="24"/>
          <w:szCs w:val="24"/>
        </w:rPr>
      </w:pPr>
      <w:r w:rsidDel="00000000" w:rsidR="00000000" w:rsidRPr="00000000">
        <w:rPr>
          <w:sz w:val="24"/>
          <w:szCs w:val="24"/>
          <w:rtl w:val="0"/>
        </w:rPr>
        <w:t xml:space="preserve">Li, M.D. and Burmeister, M. (2009). New insights into the genetics of addiction. </w:t>
      </w:r>
      <w:r w:rsidDel="00000000" w:rsidR="00000000" w:rsidRPr="00000000">
        <w:rPr>
          <w:i w:val="1"/>
          <w:iCs w:val="1"/>
          <w:sz w:val="24"/>
          <w:szCs w:val="24"/>
          <w:rtl w:val="0"/>
        </w:rPr>
        <w:t xml:space="preserve">Nature Reviews Genetics</w:t>
      </w:r>
      <w:r w:rsidDel="00000000" w:rsidR="00000000" w:rsidRPr="00000000">
        <w:rPr>
          <w:sz w:val="24"/>
          <w:szCs w:val="24"/>
          <w:rtl w:val="0"/>
        </w:rPr>
        <w:t xml:space="preserve">, 10(4), pp.225–231. doi:https://doi.org/10.1038/nrg2536.</w:t>
      </w:r>
    </w:p>
    <w:p w:rsidR="00000000" w:rsidDel="00000000" w:rsidP="00000000" w:rsidRDefault="00000000" w:rsidRPr="00000000" w14:paraId="00000020">
      <w:pPr>
        <w:spacing w:after="240" w:before="240" w:lineRule="auto"/>
        <w:ind w:left="0" w:firstLine="0"/>
        <w:rPr>
          <w:sz w:val="24"/>
          <w:szCs w:val="24"/>
        </w:rPr>
      </w:pPr>
      <w:r w:rsidDel="00000000" w:rsidR="00000000" w:rsidRPr="00000000">
        <w:rPr>
          <w:sz w:val="24"/>
          <w:szCs w:val="24"/>
          <w:rtl w:val="0"/>
        </w:rPr>
        <w:t xml:space="preserve">MacNicol, B. (2016) ‘The Biology of Addiction’, </w:t>
      </w:r>
      <w:r w:rsidDel="00000000" w:rsidR="00000000" w:rsidRPr="00000000">
        <w:rPr>
          <w:i w:val="1"/>
          <w:iCs w:val="1"/>
          <w:sz w:val="24"/>
          <w:szCs w:val="24"/>
          <w:rtl w:val="0"/>
        </w:rPr>
        <w:t xml:space="preserve">Canadian Journal of Anesthesia/Journal canadien d’anesthésie</w:t>
      </w:r>
      <w:r w:rsidDel="00000000" w:rsidR="00000000" w:rsidRPr="00000000">
        <w:rPr>
          <w:sz w:val="24"/>
          <w:szCs w:val="24"/>
          <w:rtl w:val="0"/>
        </w:rPr>
        <w:t xml:space="preserve">, 64(2), pp. 141–148. doi:10.1007/s12630-016-0771-2. </w:t>
        <w:br w:type="textWrapping"/>
        <w:br w:type="textWrapping"/>
      </w:r>
      <w:r w:rsidDel="00000000" w:rsidR="00000000" w:rsidRPr="00000000">
        <w:rPr>
          <w:sz w:val="24"/>
          <w:szCs w:val="24"/>
          <w:rtl w:val="0"/>
        </w:rPr>
        <w:t xml:space="preserve">Manhica, H., Straatmann, V.S., Lundin, A., Agardh, E. and Danielsson, A. (2021). Association between poverty exposure during childhood and adolescence, and drug use disorders and drug‐related crimes later in life. </w:t>
      </w:r>
      <w:r w:rsidDel="00000000" w:rsidR="00000000" w:rsidRPr="00000000">
        <w:rPr>
          <w:i w:val="1"/>
          <w:iCs w:val="1"/>
          <w:sz w:val="24"/>
          <w:szCs w:val="24"/>
          <w:rtl w:val="0"/>
        </w:rPr>
        <w:t xml:space="preserve">Addiction</w:t>
      </w:r>
      <w:r w:rsidDel="00000000" w:rsidR="00000000" w:rsidRPr="00000000">
        <w:rPr>
          <w:sz w:val="24"/>
          <w:szCs w:val="24"/>
          <w:rtl w:val="0"/>
        </w:rPr>
        <w:t xml:space="preserve">, 116(7), pp.1747–1756. doi:</w:t>
      </w:r>
      <w:hyperlink r:id="rId7">
        <w:r w:rsidDel="00000000" w:rsidR="00000000" w:rsidRPr="00000000">
          <w:rPr>
            <w:color w:val="1155cc"/>
            <w:sz w:val="24"/>
            <w:szCs w:val="24"/>
            <w:u w:val="single"/>
            <w:rtl w:val="0"/>
          </w:rPr>
          <w:t xml:space="preserve">https://doi.org/10.1111/add.15336</w:t>
        </w:r>
      </w:hyperlink>
      <w:r w:rsidDel="00000000" w:rsidR="00000000" w:rsidRPr="00000000">
        <w:rPr>
          <w:sz w:val="24"/>
          <w:szCs w:val="24"/>
          <w:rtl w:val="0"/>
        </w:rPr>
        <w:t xml:space="preserve">.</w:t>
        <w:br w:type="textWrapping"/>
      </w:r>
      <w:r w:rsidDel="00000000" w:rsidR="00000000" w:rsidRPr="00000000">
        <w:rPr>
          <w:sz w:val="24"/>
          <w:szCs w:val="24"/>
          <w:rtl w:val="0"/>
        </w:rPr>
        <w:br w:type="textWrapping"/>
        <w:t xml:space="preserve">Olfson, M., Mauro, C., Wall, M.M., Choi, C.J., Barry, C.L. and Mojtabai, R. (2021). Healthcare coverage and service access for low-income adults with substance use disorders. </w:t>
      </w:r>
      <w:r w:rsidDel="00000000" w:rsidR="00000000" w:rsidRPr="00000000">
        <w:rPr>
          <w:i w:val="1"/>
          <w:iCs w:val="1"/>
          <w:sz w:val="24"/>
          <w:szCs w:val="24"/>
          <w:rtl w:val="0"/>
        </w:rPr>
        <w:t xml:space="preserve">Journal of Substance Abuse Treatment</w:t>
      </w:r>
      <w:r w:rsidDel="00000000" w:rsidR="00000000" w:rsidRPr="00000000">
        <w:rPr>
          <w:sz w:val="24"/>
          <w:szCs w:val="24"/>
          <w:rtl w:val="0"/>
        </w:rPr>
        <w:t xml:space="preserve">, 137, p.108710. doi:</w:t>
      </w:r>
      <w:hyperlink r:id="rId8">
        <w:r w:rsidDel="00000000" w:rsidR="00000000" w:rsidRPr="00000000">
          <w:rPr>
            <w:color w:val="1155cc"/>
            <w:sz w:val="24"/>
            <w:szCs w:val="24"/>
            <w:u w:val="single"/>
            <w:rtl w:val="0"/>
          </w:rPr>
          <w:t xml:space="preserve">https://doi.org/10.1016/j.jsat.2021.108710</w:t>
        </w:r>
      </w:hyperlink>
      <w:r w:rsidDel="00000000" w:rsidR="00000000" w:rsidRPr="00000000">
        <w:rPr>
          <w:sz w:val="24"/>
          <w:szCs w:val="24"/>
          <w:rtl w:val="0"/>
        </w:rPr>
        <w:t xml:space="preserve">.</w:t>
        <w:br w:type="textWrapping"/>
        <w:br w:type="textWrapping"/>
        <w:t xml:space="preserve">Piper, M.E. (2015). Withdrawal: Expanding a Key Addiction Construct. </w:t>
      </w:r>
      <w:r w:rsidDel="00000000" w:rsidR="00000000" w:rsidRPr="00000000">
        <w:rPr>
          <w:i w:val="1"/>
          <w:iCs w:val="1"/>
          <w:sz w:val="24"/>
          <w:szCs w:val="24"/>
          <w:rtl w:val="0"/>
        </w:rPr>
        <w:t xml:space="preserve">Nicotine &amp; Tobacco Research</w:t>
      </w:r>
      <w:r w:rsidDel="00000000" w:rsidR="00000000" w:rsidRPr="00000000">
        <w:rPr>
          <w:sz w:val="24"/>
          <w:szCs w:val="24"/>
          <w:rtl w:val="0"/>
        </w:rPr>
        <w:t xml:space="preserve">, [online] 17(12), pp.1405–1415. doi:https://doi.org/10.1093/ntr/ntv048.</w:t>
      </w:r>
    </w:p>
    <w:p w:rsidR="00000000" w:rsidDel="00000000" w:rsidP="00000000" w:rsidRDefault="00000000" w:rsidRPr="00000000" w14:paraId="00000021">
      <w:pPr>
        <w:spacing w:after="240" w:before="240" w:lineRule="auto"/>
        <w:ind w:left="0" w:firstLine="0"/>
        <w:rPr>
          <w:sz w:val="24"/>
          <w:szCs w:val="24"/>
        </w:rPr>
      </w:pPr>
      <w:r w:rsidDel="00000000" w:rsidR="00000000" w:rsidRPr="00000000">
        <w:rPr>
          <w:sz w:val="24"/>
          <w:szCs w:val="24"/>
          <w:rtl w:val="0"/>
        </w:rPr>
        <w:t xml:space="preserve">Sinha, R. (2008). Chronic Stress, Drug Use, and Vulnerability to Addiction. </w:t>
      </w:r>
      <w:r w:rsidDel="00000000" w:rsidR="00000000" w:rsidRPr="00000000">
        <w:rPr>
          <w:i w:val="1"/>
          <w:iCs w:val="1"/>
          <w:sz w:val="24"/>
          <w:szCs w:val="24"/>
          <w:rtl w:val="0"/>
        </w:rPr>
        <w:t xml:space="preserve">Annals of the New York Academy of Sciences</w:t>
      </w:r>
      <w:r w:rsidDel="00000000" w:rsidR="00000000" w:rsidRPr="00000000">
        <w:rPr>
          <w:sz w:val="24"/>
          <w:szCs w:val="24"/>
          <w:rtl w:val="0"/>
        </w:rPr>
        <w:t xml:space="preserve">, [online] 1141(1), pp.105–130. doi:</w:t>
      </w:r>
      <w:hyperlink r:id="rId9">
        <w:r w:rsidDel="00000000" w:rsidR="00000000" w:rsidRPr="00000000">
          <w:rPr>
            <w:color w:val="1155cc"/>
            <w:sz w:val="24"/>
            <w:szCs w:val="24"/>
            <w:u w:val="single"/>
            <w:rtl w:val="0"/>
          </w:rPr>
          <w:t xml:space="preserve">https://doi.org/10.1196/annals.1441.030</w:t>
        </w:r>
      </w:hyperlink>
      <w:r w:rsidDel="00000000" w:rsidR="00000000" w:rsidRPr="00000000">
        <w:rPr>
          <w:sz w:val="24"/>
          <w:szCs w:val="24"/>
          <w:rtl w:val="0"/>
        </w:rPr>
        <w:t xml:space="preserve">.</w:t>
      </w:r>
    </w:p>
    <w:p w:rsidR="00000000" w:rsidDel="00000000" w:rsidP="00000000" w:rsidRDefault="00000000" w:rsidRPr="00000000" w14:paraId="00000022">
      <w:pPr>
        <w:spacing w:after="240" w:before="240" w:lineRule="auto"/>
        <w:ind w:left="0" w:firstLine="0"/>
        <w:rPr>
          <w:sz w:val="24"/>
          <w:szCs w:val="24"/>
        </w:rPr>
      </w:pPr>
      <w:r w:rsidDel="00000000" w:rsidR="00000000" w:rsidRPr="00000000">
        <w:rPr>
          <w:sz w:val="24"/>
          <w:szCs w:val="24"/>
          <w:rtl w:val="0"/>
        </w:rPr>
        <w:t xml:space="preserve">US Department of Health and Human Services (2016). </w:t>
      </w:r>
      <w:r w:rsidDel="00000000" w:rsidR="00000000" w:rsidRPr="00000000">
        <w:rPr>
          <w:i w:val="1"/>
          <w:iCs w:val="1"/>
          <w:sz w:val="24"/>
          <w:szCs w:val="24"/>
          <w:rtl w:val="0"/>
        </w:rPr>
        <w:t xml:space="preserve">THE NEUROBIOLOGY OF SUBSTANCE USE, MISUSE, AND ADDICTION</w:t>
      </w:r>
      <w:r w:rsidDel="00000000" w:rsidR="00000000" w:rsidRPr="00000000">
        <w:rPr>
          <w:sz w:val="24"/>
          <w:szCs w:val="24"/>
          <w:rtl w:val="0"/>
        </w:rPr>
        <w:t xml:space="preserve">. Available at: </w:t>
      </w:r>
      <w:hyperlink r:id="rId10">
        <w:r w:rsidDel="00000000" w:rsidR="00000000" w:rsidRPr="00000000">
          <w:rPr>
            <w:color w:val="1155cc"/>
            <w:sz w:val="24"/>
            <w:szCs w:val="24"/>
            <w:u w:val="single"/>
            <w:rtl w:val="0"/>
          </w:rPr>
          <w:t xml:space="preserve">https://www.ncbi.nlm.nih.gov/books/NBK424849/</w:t>
        </w:r>
      </w:hyperlink>
      <w:r w:rsidDel="00000000" w:rsidR="00000000" w:rsidRPr="00000000">
        <w:rPr>
          <w:sz w:val="24"/>
          <w:szCs w:val="24"/>
          <w:rtl w:val="0"/>
        </w:rPr>
        <w:t xml:space="preserve">.</w:t>
      </w:r>
    </w:p>
    <w:p w:rsidR="00000000" w:rsidDel="00000000" w:rsidP="00000000" w:rsidRDefault="00000000" w:rsidRPr="00000000" w14:paraId="00000023">
      <w:pPr>
        <w:spacing w:after="240" w:before="240" w:lineRule="auto"/>
        <w:ind w:left="0" w:firstLine="0"/>
        <w:rPr>
          <w:sz w:val="24"/>
          <w:szCs w:val="24"/>
        </w:rPr>
      </w:pPr>
      <w:r w:rsidDel="00000000" w:rsidR="00000000" w:rsidRPr="00000000">
        <w:rPr>
          <w:sz w:val="24"/>
          <w:szCs w:val="24"/>
          <w:rtl w:val="0"/>
        </w:rPr>
        <w:t xml:space="preserve">Wood, E., Samet, J.H. and Volkow, N.D. (2013). Physician Education in Addiction Medicine. </w:t>
      </w:r>
      <w:r w:rsidDel="00000000" w:rsidR="00000000" w:rsidRPr="00000000">
        <w:rPr>
          <w:i w:val="1"/>
          <w:iCs w:val="1"/>
          <w:sz w:val="24"/>
          <w:szCs w:val="24"/>
          <w:rtl w:val="0"/>
        </w:rPr>
        <w:t xml:space="preserve">JAMA</w:t>
      </w:r>
      <w:r w:rsidDel="00000000" w:rsidR="00000000" w:rsidRPr="00000000">
        <w:rPr>
          <w:sz w:val="24"/>
          <w:szCs w:val="24"/>
          <w:rtl w:val="0"/>
        </w:rPr>
        <w:t xml:space="preserve">, 310(16), p.1673. doi:https://doi.org/10.1001/jama.2013.280377.</w:t>
      </w:r>
    </w:p>
    <w:p w:rsidR="00000000" w:rsidDel="00000000" w:rsidP="00000000" w:rsidRDefault="00000000" w:rsidRPr="00000000" w14:paraId="00000024">
      <w:pPr>
        <w:shd w:fill="ffffff" w:val="clear"/>
        <w:spacing w:after="240" w:before="240" w:lineRule="auto"/>
        <w:rPr/>
      </w:pPr>
      <w:r w:rsidDel="00000000" w:rsidR="00000000" w:rsidRPr="00000000">
        <w:rPr>
          <w:rtl w:val="0"/>
        </w:rPr>
        <w:t xml:space="preserve">‌</w:t>
      </w:r>
    </w:p>
    <w:p w:rsidR="00000000" w:rsidDel="00000000" w:rsidP="00000000" w:rsidRDefault="00000000" w:rsidRPr="00000000" w14:paraId="00000025">
      <w:pPr>
        <w:spacing w:after="240" w:before="240" w:lineRule="auto"/>
        <w:ind w:left="580" w:hanging="20"/>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www.ncbi.nlm.nih.gov/books/NBK424849/" TargetMode="External"/><Relationship Id="rId9" Type="http://schemas.openxmlformats.org/officeDocument/2006/relationships/hyperlink" Target="https://doi.org/10.1196/annals.1441.030" TargetMode="External"/><Relationship Id="rId5" Type="http://schemas.openxmlformats.org/officeDocument/2006/relationships/styles" Target="styles.xml"/><Relationship Id="rId6" Type="http://schemas.openxmlformats.org/officeDocument/2006/relationships/hyperlink" Target="https://doi.org/10.1016/j.neuropharm.2021.108518" TargetMode="External"/><Relationship Id="rId7" Type="http://schemas.openxmlformats.org/officeDocument/2006/relationships/hyperlink" Target="https://doi.org/10.1111/add.15336" TargetMode="External"/><Relationship Id="rId8" Type="http://schemas.openxmlformats.org/officeDocument/2006/relationships/hyperlink" Target="https://doi.org/10.1016/j.jsat.2021.1087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