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AB0C5" w14:textId="77777777" w:rsidR="00F47A03" w:rsidRDefault="00F47A03" w:rsidP="000E3C5F">
      <w:pPr>
        <w:spacing w:line="360" w:lineRule="auto"/>
        <w:jc w:val="center"/>
        <w:rPr>
          <w:rFonts w:ascii="Times New Roman" w:hAnsi="Times New Roman" w:cs="Times New Roman"/>
          <w:sz w:val="28"/>
          <w:szCs w:val="28"/>
        </w:rPr>
      </w:pPr>
    </w:p>
    <w:p w14:paraId="7B32B8EA" w14:textId="77777777" w:rsidR="00F47A03" w:rsidRDefault="00F47A03" w:rsidP="000E3C5F">
      <w:pPr>
        <w:spacing w:line="360" w:lineRule="auto"/>
        <w:jc w:val="center"/>
        <w:rPr>
          <w:rFonts w:ascii="Times New Roman" w:hAnsi="Times New Roman" w:cs="Times New Roman"/>
          <w:sz w:val="28"/>
          <w:szCs w:val="28"/>
        </w:rPr>
      </w:pPr>
    </w:p>
    <w:p w14:paraId="0BE38AF7" w14:textId="4D9C2B37" w:rsidR="00F47A03" w:rsidRPr="00A1290D" w:rsidRDefault="00F47A03" w:rsidP="000E3C5F">
      <w:pPr>
        <w:spacing w:line="360" w:lineRule="auto"/>
        <w:jc w:val="center"/>
        <w:rPr>
          <w:rFonts w:ascii="Times New Roman" w:hAnsi="Times New Roman" w:cs="Times New Roman"/>
          <w:sz w:val="28"/>
          <w:szCs w:val="28"/>
        </w:rPr>
      </w:pPr>
      <w:r w:rsidRPr="00A1290D">
        <w:rPr>
          <w:rFonts w:ascii="Times New Roman" w:hAnsi="Times New Roman" w:cs="Times New Roman"/>
          <w:sz w:val="28"/>
          <w:szCs w:val="28"/>
        </w:rPr>
        <w:t xml:space="preserve">ASSIGNMENT </w:t>
      </w:r>
      <w:r>
        <w:rPr>
          <w:rFonts w:ascii="Times New Roman" w:hAnsi="Times New Roman" w:cs="Times New Roman"/>
          <w:sz w:val="28"/>
          <w:szCs w:val="28"/>
        </w:rPr>
        <w:t xml:space="preserve">NO </w:t>
      </w:r>
      <w:r w:rsidRPr="00A1290D">
        <w:rPr>
          <w:rFonts w:ascii="Times New Roman" w:hAnsi="Times New Roman" w:cs="Times New Roman"/>
          <w:sz w:val="28"/>
          <w:szCs w:val="28"/>
        </w:rPr>
        <w:t xml:space="preserve">1 FOR </w:t>
      </w:r>
      <w:r>
        <w:rPr>
          <w:rFonts w:ascii="Times New Roman" w:hAnsi="Times New Roman" w:cs="Times New Roman"/>
          <w:sz w:val="28"/>
          <w:szCs w:val="28"/>
        </w:rPr>
        <w:t>ACCOUNTING FUNDAMENTALS</w:t>
      </w:r>
    </w:p>
    <w:p w14:paraId="3356CF8B" w14:textId="5D30901B" w:rsidR="00F47A03" w:rsidRDefault="00F47A03" w:rsidP="000E3C5F">
      <w:pPr>
        <w:spacing w:line="360" w:lineRule="auto"/>
        <w:jc w:val="center"/>
        <w:rPr>
          <w:rFonts w:ascii="Times New Roman" w:hAnsi="Times New Roman" w:cs="Times New Roman"/>
          <w:sz w:val="28"/>
          <w:szCs w:val="28"/>
        </w:rPr>
      </w:pPr>
      <w:r w:rsidRPr="00A1290D">
        <w:rPr>
          <w:rFonts w:ascii="Times New Roman" w:hAnsi="Times New Roman" w:cs="Times New Roman"/>
          <w:sz w:val="28"/>
          <w:szCs w:val="28"/>
        </w:rPr>
        <w:t xml:space="preserve"> LECTURER </w:t>
      </w:r>
      <w:r>
        <w:rPr>
          <w:rFonts w:ascii="Times New Roman" w:hAnsi="Times New Roman" w:cs="Times New Roman"/>
          <w:sz w:val="28"/>
          <w:szCs w:val="28"/>
        </w:rPr>
        <w:t>DR. JOHN MALAGILA</w:t>
      </w:r>
    </w:p>
    <w:p w14:paraId="2464C89C" w14:textId="73E8E2D0" w:rsidR="00F47A03" w:rsidRDefault="00F47A03" w:rsidP="000E3C5F">
      <w:pPr>
        <w:spacing w:line="360" w:lineRule="auto"/>
        <w:jc w:val="center"/>
        <w:rPr>
          <w:rFonts w:ascii="Times New Roman" w:hAnsi="Times New Roman" w:cs="Times New Roman"/>
          <w:sz w:val="28"/>
          <w:szCs w:val="28"/>
        </w:rPr>
      </w:pPr>
      <w:r>
        <w:rPr>
          <w:rFonts w:ascii="Times New Roman" w:hAnsi="Times New Roman" w:cs="Times New Roman"/>
          <w:sz w:val="28"/>
          <w:szCs w:val="28"/>
        </w:rPr>
        <w:t xml:space="preserve">UWTSD </w:t>
      </w:r>
      <w:r>
        <w:rPr>
          <w:rFonts w:ascii="Times New Roman" w:hAnsi="Times New Roman" w:cs="Times New Roman"/>
          <w:sz w:val="28"/>
          <w:szCs w:val="28"/>
        </w:rPr>
        <w:t>JULY</w:t>
      </w:r>
      <w:r>
        <w:rPr>
          <w:rFonts w:ascii="Times New Roman" w:hAnsi="Times New Roman" w:cs="Times New Roman"/>
          <w:sz w:val="28"/>
          <w:szCs w:val="28"/>
        </w:rPr>
        <w:t xml:space="preserve"> 2021 BUSINESS MANAGEMENT </w:t>
      </w:r>
    </w:p>
    <w:p w14:paraId="4970DC97" w14:textId="63ECE457" w:rsidR="00F47A03" w:rsidRDefault="00F47A03" w:rsidP="000E3C5F">
      <w:pPr>
        <w:spacing w:line="360" w:lineRule="auto"/>
        <w:jc w:val="center"/>
        <w:rPr>
          <w:rFonts w:ascii="Times New Roman" w:hAnsi="Times New Roman" w:cs="Times New Roman"/>
          <w:sz w:val="28"/>
          <w:szCs w:val="28"/>
        </w:rPr>
      </w:pPr>
      <w:r>
        <w:rPr>
          <w:rFonts w:ascii="Times New Roman" w:hAnsi="Times New Roman" w:cs="Times New Roman"/>
          <w:sz w:val="28"/>
          <w:szCs w:val="28"/>
        </w:rPr>
        <w:t>DANIEL ANTONESCU STUDENT NUMBER 1914798</w:t>
      </w:r>
    </w:p>
    <w:p w14:paraId="1200B6D9" w14:textId="4073631F" w:rsidR="00F47A03" w:rsidRDefault="00F47A03" w:rsidP="00F47A03">
      <w:pPr>
        <w:spacing w:line="360" w:lineRule="auto"/>
        <w:jc w:val="center"/>
        <w:rPr>
          <w:rFonts w:ascii="Times New Roman" w:hAnsi="Times New Roman" w:cs="Times New Roman"/>
          <w:sz w:val="28"/>
          <w:szCs w:val="28"/>
        </w:rPr>
      </w:pPr>
    </w:p>
    <w:p w14:paraId="25AE7042" w14:textId="30155F35" w:rsidR="00F47A03" w:rsidRDefault="00F47A03" w:rsidP="00F47A03">
      <w:pPr>
        <w:spacing w:line="360" w:lineRule="auto"/>
        <w:jc w:val="center"/>
        <w:rPr>
          <w:rFonts w:ascii="Times New Roman" w:hAnsi="Times New Roman" w:cs="Times New Roman"/>
          <w:sz w:val="28"/>
          <w:szCs w:val="28"/>
        </w:rPr>
      </w:pPr>
    </w:p>
    <w:p w14:paraId="3EF235D1" w14:textId="6D076A4A" w:rsidR="00F47A03" w:rsidRDefault="00F47A03" w:rsidP="00F47A03">
      <w:pPr>
        <w:spacing w:line="360" w:lineRule="auto"/>
        <w:jc w:val="center"/>
        <w:rPr>
          <w:rFonts w:ascii="Times New Roman" w:hAnsi="Times New Roman" w:cs="Times New Roman"/>
          <w:sz w:val="28"/>
          <w:szCs w:val="28"/>
        </w:rPr>
      </w:pPr>
    </w:p>
    <w:p w14:paraId="50859124" w14:textId="2F1E0073" w:rsidR="00F47A03" w:rsidRDefault="00F47A03" w:rsidP="00F47A03">
      <w:pPr>
        <w:spacing w:line="360" w:lineRule="auto"/>
        <w:jc w:val="center"/>
        <w:rPr>
          <w:rFonts w:ascii="Times New Roman" w:hAnsi="Times New Roman" w:cs="Times New Roman"/>
          <w:sz w:val="28"/>
          <w:szCs w:val="28"/>
        </w:rPr>
      </w:pPr>
    </w:p>
    <w:p w14:paraId="2D04049C" w14:textId="0E319D6E" w:rsidR="00F47A03" w:rsidRDefault="00F47A03" w:rsidP="00F47A03">
      <w:pPr>
        <w:spacing w:line="360" w:lineRule="auto"/>
        <w:jc w:val="center"/>
        <w:rPr>
          <w:rFonts w:ascii="Times New Roman" w:hAnsi="Times New Roman" w:cs="Times New Roman"/>
          <w:sz w:val="28"/>
          <w:szCs w:val="28"/>
        </w:rPr>
      </w:pPr>
    </w:p>
    <w:p w14:paraId="207146C0" w14:textId="34B3F9A9" w:rsidR="00F47A03" w:rsidRDefault="00F47A03" w:rsidP="00F47A03">
      <w:pPr>
        <w:spacing w:line="360" w:lineRule="auto"/>
        <w:jc w:val="center"/>
        <w:rPr>
          <w:rFonts w:ascii="Times New Roman" w:hAnsi="Times New Roman" w:cs="Times New Roman"/>
          <w:sz w:val="28"/>
          <w:szCs w:val="28"/>
        </w:rPr>
      </w:pPr>
    </w:p>
    <w:p w14:paraId="777D8DED" w14:textId="1D8849C8" w:rsidR="00F47A03" w:rsidRDefault="00F47A03" w:rsidP="00F47A03">
      <w:pPr>
        <w:spacing w:line="360" w:lineRule="auto"/>
        <w:jc w:val="center"/>
        <w:rPr>
          <w:rFonts w:ascii="Times New Roman" w:hAnsi="Times New Roman" w:cs="Times New Roman"/>
          <w:sz w:val="28"/>
          <w:szCs w:val="28"/>
        </w:rPr>
      </w:pPr>
      <w:r>
        <w:rPr>
          <w:rFonts w:ascii="Times New Roman" w:hAnsi="Times New Roman" w:cs="Times New Roman"/>
          <w:sz w:val="28"/>
          <w:szCs w:val="28"/>
        </w:rPr>
        <w:t>ASSIGNMENT NO 1</w:t>
      </w:r>
    </w:p>
    <w:p w14:paraId="1083467D" w14:textId="1733F22B" w:rsidR="00F47A03" w:rsidRDefault="00F47A03" w:rsidP="00F47A03">
      <w:pPr>
        <w:spacing w:line="360" w:lineRule="auto"/>
        <w:jc w:val="center"/>
        <w:rPr>
          <w:rFonts w:ascii="Times New Roman" w:hAnsi="Times New Roman" w:cs="Times New Roman"/>
          <w:sz w:val="28"/>
          <w:szCs w:val="28"/>
        </w:rPr>
      </w:pPr>
    </w:p>
    <w:p w14:paraId="3EDE1D69" w14:textId="6A1B0B0D" w:rsidR="00F47A03" w:rsidRDefault="00F47A03" w:rsidP="00F47A03">
      <w:pPr>
        <w:spacing w:line="360" w:lineRule="auto"/>
        <w:jc w:val="center"/>
        <w:rPr>
          <w:rFonts w:ascii="Times New Roman" w:hAnsi="Times New Roman" w:cs="Times New Roman"/>
          <w:sz w:val="28"/>
          <w:szCs w:val="28"/>
        </w:rPr>
      </w:pPr>
    </w:p>
    <w:p w14:paraId="2A83DD9F" w14:textId="1FD9E5D2" w:rsidR="00F47A03" w:rsidRDefault="00F47A03" w:rsidP="00F47A03">
      <w:pPr>
        <w:spacing w:line="360" w:lineRule="auto"/>
        <w:jc w:val="center"/>
        <w:rPr>
          <w:rFonts w:ascii="Times New Roman" w:hAnsi="Times New Roman" w:cs="Times New Roman"/>
          <w:sz w:val="28"/>
          <w:szCs w:val="28"/>
        </w:rPr>
      </w:pPr>
    </w:p>
    <w:p w14:paraId="05526097" w14:textId="44503648" w:rsidR="00F47A03" w:rsidRDefault="00F47A03" w:rsidP="00F47A03">
      <w:pPr>
        <w:spacing w:line="360" w:lineRule="auto"/>
        <w:jc w:val="center"/>
        <w:rPr>
          <w:rFonts w:ascii="Times New Roman" w:hAnsi="Times New Roman" w:cs="Times New Roman"/>
          <w:sz w:val="28"/>
          <w:szCs w:val="28"/>
        </w:rPr>
      </w:pPr>
    </w:p>
    <w:p w14:paraId="543F2F30" w14:textId="170225C6" w:rsidR="00F47A03" w:rsidRDefault="00F47A03" w:rsidP="00F47A03">
      <w:pPr>
        <w:spacing w:line="360" w:lineRule="auto"/>
        <w:jc w:val="center"/>
        <w:rPr>
          <w:rFonts w:ascii="Times New Roman" w:hAnsi="Times New Roman" w:cs="Times New Roman"/>
          <w:sz w:val="28"/>
          <w:szCs w:val="28"/>
        </w:rPr>
      </w:pPr>
    </w:p>
    <w:p w14:paraId="486FCE88" w14:textId="04531AB1" w:rsidR="00F47A03" w:rsidRDefault="00F47A03" w:rsidP="00F47A03">
      <w:pPr>
        <w:spacing w:line="360" w:lineRule="auto"/>
        <w:jc w:val="center"/>
        <w:rPr>
          <w:rFonts w:ascii="Times New Roman" w:hAnsi="Times New Roman" w:cs="Times New Roman"/>
          <w:sz w:val="28"/>
          <w:szCs w:val="28"/>
        </w:rPr>
      </w:pPr>
    </w:p>
    <w:p w14:paraId="03339F44" w14:textId="6E71B88F" w:rsidR="00F47A03" w:rsidRDefault="00F47A03" w:rsidP="00F47A03">
      <w:pPr>
        <w:spacing w:line="360" w:lineRule="auto"/>
        <w:jc w:val="center"/>
        <w:rPr>
          <w:rFonts w:ascii="Times New Roman" w:hAnsi="Times New Roman" w:cs="Times New Roman"/>
          <w:sz w:val="28"/>
          <w:szCs w:val="28"/>
        </w:rPr>
      </w:pPr>
    </w:p>
    <w:p w14:paraId="1BC24362" w14:textId="79EE19C5" w:rsidR="00F47A03" w:rsidRDefault="00F47A03" w:rsidP="00F47A03">
      <w:pPr>
        <w:spacing w:line="360" w:lineRule="auto"/>
        <w:jc w:val="center"/>
        <w:rPr>
          <w:rFonts w:ascii="Times New Roman" w:hAnsi="Times New Roman" w:cs="Times New Roman"/>
          <w:sz w:val="28"/>
          <w:szCs w:val="28"/>
        </w:rPr>
      </w:pPr>
      <w:r>
        <w:rPr>
          <w:rFonts w:ascii="Times New Roman" w:hAnsi="Times New Roman" w:cs="Times New Roman"/>
          <w:sz w:val="28"/>
          <w:szCs w:val="28"/>
        </w:rPr>
        <w:lastRenderedPageBreak/>
        <w:t>TABLE OF CONTENTS</w:t>
      </w:r>
    </w:p>
    <w:p w14:paraId="3E5F9560" w14:textId="73F2529F" w:rsidR="00F47A03" w:rsidRDefault="00F47A03" w:rsidP="00F47A03">
      <w:pPr>
        <w:spacing w:line="360" w:lineRule="auto"/>
        <w:jc w:val="center"/>
        <w:rPr>
          <w:rFonts w:ascii="Times New Roman" w:hAnsi="Times New Roman" w:cs="Times New Roman"/>
          <w:sz w:val="28"/>
          <w:szCs w:val="28"/>
        </w:rPr>
      </w:pPr>
    </w:p>
    <w:p w14:paraId="32589A4B" w14:textId="2B154037" w:rsidR="00F47A03" w:rsidRDefault="00F47A03" w:rsidP="00F47A03">
      <w:pPr>
        <w:spacing w:line="360" w:lineRule="auto"/>
        <w:jc w:val="both"/>
        <w:rPr>
          <w:rFonts w:ascii="Times New Roman" w:hAnsi="Times New Roman" w:cs="Times New Roman"/>
          <w:sz w:val="28"/>
          <w:szCs w:val="28"/>
        </w:rPr>
      </w:pPr>
    </w:p>
    <w:p w14:paraId="694D40BD" w14:textId="7C787894" w:rsidR="00F47A03" w:rsidRPr="00F47A03" w:rsidRDefault="00F47A03" w:rsidP="00F47A03">
      <w:pPr>
        <w:spacing w:line="360" w:lineRule="auto"/>
        <w:jc w:val="both"/>
        <w:rPr>
          <w:rFonts w:ascii="Times New Roman" w:hAnsi="Times New Roman" w:cs="Times New Roman"/>
          <w:sz w:val="24"/>
          <w:szCs w:val="24"/>
        </w:rPr>
      </w:pPr>
      <w:r w:rsidRPr="00F47A03">
        <w:rPr>
          <w:rFonts w:ascii="Times New Roman" w:hAnsi="Times New Roman" w:cs="Times New Roman"/>
          <w:sz w:val="24"/>
          <w:szCs w:val="24"/>
        </w:rPr>
        <w:t>QUESTION 1…………………………………………………</w:t>
      </w:r>
      <w:r>
        <w:rPr>
          <w:rFonts w:ascii="Times New Roman" w:hAnsi="Times New Roman" w:cs="Times New Roman"/>
          <w:sz w:val="24"/>
          <w:szCs w:val="24"/>
        </w:rPr>
        <w:t>…………</w:t>
      </w:r>
      <w:r w:rsidRPr="00F47A03">
        <w:rPr>
          <w:rFonts w:ascii="Times New Roman" w:hAnsi="Times New Roman" w:cs="Times New Roman"/>
          <w:sz w:val="24"/>
          <w:szCs w:val="24"/>
        </w:rPr>
        <w:t>…………………3</w:t>
      </w:r>
    </w:p>
    <w:p w14:paraId="0BBC89FA" w14:textId="69B260C4" w:rsidR="00F47A03" w:rsidRDefault="00F47A03" w:rsidP="00F47A03">
      <w:pPr>
        <w:spacing w:line="360" w:lineRule="auto"/>
        <w:jc w:val="both"/>
        <w:rPr>
          <w:rFonts w:ascii="Times New Roman" w:hAnsi="Times New Roman" w:cs="Times New Roman"/>
          <w:sz w:val="24"/>
          <w:szCs w:val="24"/>
        </w:rPr>
      </w:pPr>
      <w:r w:rsidRPr="00F47A03">
        <w:rPr>
          <w:rFonts w:ascii="Times New Roman" w:hAnsi="Times New Roman" w:cs="Times New Roman"/>
          <w:sz w:val="24"/>
          <w:szCs w:val="24"/>
        </w:rPr>
        <w:t>PROFIT AND LOSS STATEMENT………………………………</w:t>
      </w:r>
      <w:r>
        <w:rPr>
          <w:rFonts w:ascii="Times New Roman" w:hAnsi="Times New Roman" w:cs="Times New Roman"/>
          <w:sz w:val="24"/>
          <w:szCs w:val="24"/>
        </w:rPr>
        <w:t>…………</w:t>
      </w:r>
      <w:r w:rsidRPr="00F47A03">
        <w:rPr>
          <w:rFonts w:ascii="Times New Roman" w:hAnsi="Times New Roman" w:cs="Times New Roman"/>
          <w:sz w:val="24"/>
          <w:szCs w:val="24"/>
        </w:rPr>
        <w:t>……………3</w:t>
      </w:r>
    </w:p>
    <w:p w14:paraId="7B373344" w14:textId="0DE35D09" w:rsidR="00F47A03" w:rsidRDefault="00F47A03" w:rsidP="00F47A03">
      <w:pPr>
        <w:spacing w:line="360" w:lineRule="auto"/>
        <w:jc w:val="both"/>
        <w:rPr>
          <w:rFonts w:ascii="Times New Roman" w:hAnsi="Times New Roman" w:cs="Times New Roman"/>
          <w:sz w:val="24"/>
          <w:szCs w:val="24"/>
        </w:rPr>
      </w:pPr>
      <w:r>
        <w:rPr>
          <w:rFonts w:ascii="Times New Roman" w:hAnsi="Times New Roman" w:cs="Times New Roman"/>
          <w:sz w:val="24"/>
          <w:szCs w:val="24"/>
        </w:rPr>
        <w:t>STATEMENT OF FINANCIAL POSITION………………………………………………4</w:t>
      </w:r>
    </w:p>
    <w:p w14:paraId="6674DF42" w14:textId="4159E563" w:rsidR="00F47A03" w:rsidRDefault="00F47A03" w:rsidP="00F47A03">
      <w:pPr>
        <w:spacing w:line="360" w:lineRule="auto"/>
        <w:jc w:val="both"/>
        <w:rPr>
          <w:rFonts w:ascii="Times New Roman" w:hAnsi="Times New Roman" w:cs="Times New Roman"/>
          <w:sz w:val="24"/>
          <w:szCs w:val="24"/>
        </w:rPr>
      </w:pPr>
      <w:r>
        <w:rPr>
          <w:rFonts w:ascii="Times New Roman" w:hAnsi="Times New Roman" w:cs="Times New Roman"/>
          <w:sz w:val="24"/>
          <w:szCs w:val="24"/>
        </w:rPr>
        <w:t>QUESTION 2………………………………………………………………………………5</w:t>
      </w:r>
    </w:p>
    <w:p w14:paraId="30C1CDEC" w14:textId="25CD9EFC" w:rsidR="00F47A03" w:rsidRDefault="000E3C5F" w:rsidP="00F47A03">
      <w:pPr>
        <w:spacing w:line="360" w:lineRule="auto"/>
        <w:jc w:val="both"/>
        <w:rPr>
          <w:rFonts w:ascii="Times New Roman" w:hAnsi="Times New Roman" w:cs="Times New Roman"/>
          <w:sz w:val="24"/>
          <w:szCs w:val="24"/>
        </w:rPr>
      </w:pPr>
      <w:r>
        <w:rPr>
          <w:rFonts w:ascii="Times New Roman" w:hAnsi="Times New Roman" w:cs="Times New Roman"/>
          <w:sz w:val="24"/>
          <w:szCs w:val="24"/>
        </w:rPr>
        <w:t>RATIOS FOR CHOCCO PLC FOR 2020 AND 2019…………………………………….5</w:t>
      </w:r>
    </w:p>
    <w:p w14:paraId="5C5900D6" w14:textId="30EF027C" w:rsidR="000E3C5F" w:rsidRDefault="000E3C5F" w:rsidP="00F47A03">
      <w:pPr>
        <w:spacing w:line="360" w:lineRule="auto"/>
        <w:jc w:val="both"/>
        <w:rPr>
          <w:rFonts w:ascii="Times New Roman" w:hAnsi="Times New Roman" w:cs="Times New Roman"/>
          <w:sz w:val="24"/>
          <w:szCs w:val="24"/>
        </w:rPr>
      </w:pPr>
      <w:r>
        <w:rPr>
          <w:rFonts w:ascii="Times New Roman" w:hAnsi="Times New Roman" w:cs="Times New Roman"/>
          <w:sz w:val="24"/>
          <w:szCs w:val="24"/>
        </w:rPr>
        <w:t>FINANCIAL PERFORMANCE AND POSITION OF CHOCCO PLC…………………..7</w:t>
      </w:r>
    </w:p>
    <w:p w14:paraId="0B57E498" w14:textId="089CC711" w:rsidR="000E3C5F" w:rsidRDefault="000E3C5F" w:rsidP="00F47A03">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REFERENCES……………………………………………………………………………..8</w:t>
      </w:r>
    </w:p>
    <w:p w14:paraId="50AB77A2" w14:textId="5D196714" w:rsidR="000E3C5F" w:rsidRDefault="000E3C5F" w:rsidP="00F47A03">
      <w:pPr>
        <w:spacing w:line="360" w:lineRule="auto"/>
        <w:jc w:val="both"/>
        <w:rPr>
          <w:rFonts w:ascii="Times New Roman" w:hAnsi="Times New Roman" w:cs="Times New Roman"/>
          <w:sz w:val="24"/>
          <w:szCs w:val="24"/>
        </w:rPr>
      </w:pPr>
    </w:p>
    <w:p w14:paraId="32945351" w14:textId="7F4D1739" w:rsidR="000E3C5F" w:rsidRDefault="000E3C5F" w:rsidP="00F47A03">
      <w:pPr>
        <w:spacing w:line="360" w:lineRule="auto"/>
        <w:jc w:val="both"/>
        <w:rPr>
          <w:rFonts w:ascii="Times New Roman" w:hAnsi="Times New Roman" w:cs="Times New Roman"/>
          <w:sz w:val="24"/>
          <w:szCs w:val="24"/>
        </w:rPr>
      </w:pPr>
    </w:p>
    <w:p w14:paraId="4B80ECE1" w14:textId="2C0C414A" w:rsidR="000E3C5F" w:rsidRDefault="000E3C5F" w:rsidP="00F47A03">
      <w:pPr>
        <w:spacing w:line="360" w:lineRule="auto"/>
        <w:jc w:val="both"/>
        <w:rPr>
          <w:rFonts w:ascii="Times New Roman" w:hAnsi="Times New Roman" w:cs="Times New Roman"/>
          <w:sz w:val="24"/>
          <w:szCs w:val="24"/>
        </w:rPr>
      </w:pPr>
    </w:p>
    <w:p w14:paraId="6D318DA5" w14:textId="2113E403" w:rsidR="000E3C5F" w:rsidRDefault="000E3C5F" w:rsidP="00F47A03">
      <w:pPr>
        <w:spacing w:line="360" w:lineRule="auto"/>
        <w:jc w:val="both"/>
        <w:rPr>
          <w:rFonts w:ascii="Times New Roman" w:hAnsi="Times New Roman" w:cs="Times New Roman"/>
          <w:sz w:val="24"/>
          <w:szCs w:val="24"/>
        </w:rPr>
      </w:pPr>
    </w:p>
    <w:p w14:paraId="131EFE51" w14:textId="270F17E2" w:rsidR="000E3C5F" w:rsidRDefault="000E3C5F" w:rsidP="00F47A03">
      <w:pPr>
        <w:spacing w:line="360" w:lineRule="auto"/>
        <w:jc w:val="both"/>
        <w:rPr>
          <w:rFonts w:ascii="Times New Roman" w:hAnsi="Times New Roman" w:cs="Times New Roman"/>
          <w:sz w:val="24"/>
          <w:szCs w:val="24"/>
        </w:rPr>
      </w:pPr>
    </w:p>
    <w:p w14:paraId="09140442" w14:textId="5FF41292" w:rsidR="000E3C5F" w:rsidRDefault="000E3C5F" w:rsidP="00F47A03">
      <w:pPr>
        <w:spacing w:line="360" w:lineRule="auto"/>
        <w:jc w:val="both"/>
        <w:rPr>
          <w:rFonts w:ascii="Times New Roman" w:hAnsi="Times New Roman" w:cs="Times New Roman"/>
          <w:sz w:val="24"/>
          <w:szCs w:val="24"/>
        </w:rPr>
      </w:pPr>
    </w:p>
    <w:p w14:paraId="31794687" w14:textId="14937A91" w:rsidR="000E3C5F" w:rsidRDefault="000E3C5F" w:rsidP="00F47A03">
      <w:pPr>
        <w:spacing w:line="360" w:lineRule="auto"/>
        <w:jc w:val="both"/>
        <w:rPr>
          <w:rFonts w:ascii="Times New Roman" w:hAnsi="Times New Roman" w:cs="Times New Roman"/>
          <w:sz w:val="24"/>
          <w:szCs w:val="24"/>
        </w:rPr>
      </w:pPr>
    </w:p>
    <w:p w14:paraId="78D1D820" w14:textId="255D4075" w:rsidR="000E3C5F" w:rsidRDefault="000E3C5F" w:rsidP="00F47A03">
      <w:pPr>
        <w:spacing w:line="360" w:lineRule="auto"/>
        <w:jc w:val="both"/>
        <w:rPr>
          <w:rFonts w:ascii="Times New Roman" w:hAnsi="Times New Roman" w:cs="Times New Roman"/>
          <w:sz w:val="24"/>
          <w:szCs w:val="24"/>
        </w:rPr>
      </w:pPr>
    </w:p>
    <w:p w14:paraId="057E93A9" w14:textId="63F374FD" w:rsidR="000E3C5F" w:rsidRDefault="000E3C5F" w:rsidP="00F47A03">
      <w:pPr>
        <w:spacing w:line="360" w:lineRule="auto"/>
        <w:jc w:val="both"/>
        <w:rPr>
          <w:rFonts w:ascii="Times New Roman" w:hAnsi="Times New Roman" w:cs="Times New Roman"/>
          <w:sz w:val="24"/>
          <w:szCs w:val="24"/>
        </w:rPr>
      </w:pPr>
    </w:p>
    <w:p w14:paraId="041A5E75" w14:textId="77777777" w:rsidR="000E3C5F" w:rsidRDefault="000E3C5F" w:rsidP="000E3C5F">
      <w:pPr>
        <w:spacing w:line="480" w:lineRule="auto"/>
        <w:rPr>
          <w:rFonts w:ascii="Times New Roman" w:hAnsi="Times New Roman" w:cs="Times New Roman"/>
          <w:b/>
          <w:sz w:val="24"/>
          <w:szCs w:val="24"/>
        </w:rPr>
      </w:pPr>
    </w:p>
    <w:p w14:paraId="02A65638" w14:textId="77777777" w:rsidR="000E3C5F" w:rsidRDefault="000E3C5F" w:rsidP="000E3C5F">
      <w:pPr>
        <w:spacing w:line="480" w:lineRule="auto"/>
        <w:rPr>
          <w:rFonts w:ascii="Times New Roman" w:hAnsi="Times New Roman" w:cs="Times New Roman"/>
          <w:b/>
          <w:sz w:val="24"/>
          <w:szCs w:val="24"/>
        </w:rPr>
      </w:pPr>
    </w:p>
    <w:p w14:paraId="42466029" w14:textId="77777777" w:rsidR="000E3C5F" w:rsidRDefault="000E3C5F" w:rsidP="000E3C5F">
      <w:pPr>
        <w:spacing w:line="480" w:lineRule="auto"/>
        <w:jc w:val="center"/>
        <w:rPr>
          <w:rFonts w:ascii="Times New Roman" w:hAnsi="Times New Roman" w:cs="Times New Roman"/>
          <w:b/>
          <w:sz w:val="24"/>
          <w:szCs w:val="24"/>
        </w:rPr>
      </w:pPr>
    </w:p>
    <w:p w14:paraId="20E3D91E" w14:textId="2ED62445" w:rsidR="000E3C5F" w:rsidRPr="000E3C5F" w:rsidRDefault="000E3C5F" w:rsidP="000E3C5F">
      <w:pPr>
        <w:pStyle w:val="ListParagraph"/>
        <w:numPr>
          <w:ilvl w:val="0"/>
          <w:numId w:val="1"/>
        </w:numPr>
        <w:spacing w:line="480" w:lineRule="auto"/>
        <w:jc w:val="both"/>
        <w:rPr>
          <w:rFonts w:ascii="Times New Roman" w:hAnsi="Times New Roman" w:cs="Times New Roman"/>
          <w:b/>
          <w:sz w:val="24"/>
          <w:szCs w:val="24"/>
        </w:rPr>
      </w:pPr>
      <w:r w:rsidRPr="000E3C5F">
        <w:rPr>
          <w:rFonts w:ascii="Times New Roman" w:hAnsi="Times New Roman" w:cs="Times New Roman"/>
          <w:b/>
          <w:sz w:val="24"/>
          <w:szCs w:val="24"/>
        </w:rPr>
        <w:lastRenderedPageBreak/>
        <w:t>Question 1</w:t>
      </w:r>
    </w:p>
    <w:p w14:paraId="600D24AB" w14:textId="77777777" w:rsidR="000E3C5F" w:rsidRDefault="000E3C5F" w:rsidP="000E3C5F">
      <w:pPr>
        <w:spacing w:line="480" w:lineRule="auto"/>
        <w:rPr>
          <w:rFonts w:ascii="Times New Roman" w:hAnsi="Times New Roman" w:cs="Times New Roman"/>
          <w:i/>
          <w:sz w:val="24"/>
          <w:szCs w:val="24"/>
        </w:rPr>
      </w:pPr>
      <w:r>
        <w:rPr>
          <w:rFonts w:ascii="Times New Roman" w:hAnsi="Times New Roman" w:cs="Times New Roman"/>
          <w:i/>
          <w:sz w:val="24"/>
          <w:szCs w:val="24"/>
        </w:rPr>
        <w:t>Profit and Loss Statement</w:t>
      </w:r>
    </w:p>
    <w:tbl>
      <w:tblPr>
        <w:tblStyle w:val="TableGrid"/>
        <w:tblW w:w="0" w:type="auto"/>
        <w:tblInd w:w="0" w:type="dxa"/>
        <w:tblLook w:val="04A0" w:firstRow="1" w:lastRow="0" w:firstColumn="1" w:lastColumn="0" w:noHBand="0" w:noVBand="1"/>
      </w:tblPr>
      <w:tblGrid>
        <w:gridCol w:w="4508"/>
        <w:gridCol w:w="4508"/>
      </w:tblGrid>
      <w:tr w:rsidR="000E3C5F" w14:paraId="2CACF280" w14:textId="77777777" w:rsidTr="000E3C5F">
        <w:trPr>
          <w:trHeight w:val="833"/>
        </w:trPr>
        <w:tc>
          <w:tcPr>
            <w:tcW w:w="9016" w:type="dxa"/>
            <w:gridSpan w:val="2"/>
            <w:tcBorders>
              <w:top w:val="single" w:sz="4" w:space="0" w:color="auto"/>
              <w:left w:val="single" w:sz="4" w:space="0" w:color="auto"/>
              <w:bottom w:val="single" w:sz="4" w:space="0" w:color="auto"/>
              <w:right w:val="single" w:sz="4" w:space="0" w:color="auto"/>
            </w:tcBorders>
            <w:hideMark/>
          </w:tcPr>
          <w:p w14:paraId="7344ACFA" w14:textId="77777777" w:rsidR="000E3C5F" w:rsidRDefault="000E3C5F">
            <w:pPr>
              <w:spacing w:line="360" w:lineRule="auto"/>
              <w:jc w:val="center"/>
              <w:rPr>
                <w:rFonts w:ascii="Times New Roman" w:hAnsi="Times New Roman" w:cs="Times New Roman"/>
                <w:sz w:val="24"/>
                <w:szCs w:val="24"/>
              </w:rPr>
            </w:pPr>
            <w:r>
              <w:rPr>
                <w:rFonts w:ascii="Times New Roman" w:hAnsi="Times New Roman" w:cs="Times New Roman"/>
                <w:sz w:val="24"/>
                <w:szCs w:val="24"/>
              </w:rPr>
              <w:t>KEDISON PLC PROFIT AND LOSS STATEMENT FOR THE YEAR ENDED 31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2020</w:t>
            </w:r>
          </w:p>
        </w:tc>
      </w:tr>
      <w:tr w:rsidR="000E3C5F" w14:paraId="5246794D"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01DFDFC3"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ITEM</w:t>
            </w:r>
          </w:p>
        </w:tc>
        <w:tc>
          <w:tcPr>
            <w:tcW w:w="4508" w:type="dxa"/>
            <w:tcBorders>
              <w:top w:val="single" w:sz="4" w:space="0" w:color="auto"/>
              <w:left w:val="single" w:sz="4" w:space="0" w:color="auto"/>
              <w:bottom w:val="single" w:sz="4" w:space="0" w:color="auto"/>
              <w:right w:val="single" w:sz="4" w:space="0" w:color="auto"/>
            </w:tcBorders>
            <w:hideMark/>
          </w:tcPr>
          <w:p w14:paraId="0497E55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AMOUNT in £</w:t>
            </w:r>
          </w:p>
        </w:tc>
      </w:tr>
      <w:tr w:rsidR="000E3C5F" w14:paraId="6B5F7E25"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74A85401"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 xml:space="preserve">Revenue/ Sales </w:t>
            </w:r>
          </w:p>
        </w:tc>
        <w:tc>
          <w:tcPr>
            <w:tcW w:w="4508" w:type="dxa"/>
            <w:tcBorders>
              <w:top w:val="single" w:sz="4" w:space="0" w:color="auto"/>
              <w:left w:val="single" w:sz="4" w:space="0" w:color="auto"/>
              <w:bottom w:val="single" w:sz="4" w:space="0" w:color="auto"/>
              <w:right w:val="single" w:sz="4" w:space="0" w:color="auto"/>
            </w:tcBorders>
            <w:hideMark/>
          </w:tcPr>
          <w:p w14:paraId="78ABA17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826, 650</w:t>
            </w:r>
          </w:p>
        </w:tc>
      </w:tr>
      <w:tr w:rsidR="000E3C5F" w14:paraId="3B970499"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497738C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Trade Receivables (Due on 28</w:t>
            </w:r>
            <w:r>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2021)</w:t>
            </w:r>
          </w:p>
        </w:tc>
        <w:tc>
          <w:tcPr>
            <w:tcW w:w="4508" w:type="dxa"/>
            <w:tcBorders>
              <w:top w:val="single" w:sz="4" w:space="0" w:color="auto"/>
              <w:left w:val="single" w:sz="4" w:space="0" w:color="auto"/>
              <w:bottom w:val="single" w:sz="4" w:space="0" w:color="auto"/>
              <w:right w:val="single" w:sz="4" w:space="0" w:color="auto"/>
            </w:tcBorders>
            <w:hideMark/>
          </w:tcPr>
          <w:p w14:paraId="7DC9A39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980</w:t>
            </w:r>
          </w:p>
        </w:tc>
      </w:tr>
      <w:tr w:rsidR="000E3C5F" w14:paraId="627C9CF8"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2B98228C"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Total Sales </w:t>
            </w:r>
          </w:p>
        </w:tc>
        <w:tc>
          <w:tcPr>
            <w:tcW w:w="4508" w:type="dxa"/>
            <w:tcBorders>
              <w:top w:val="single" w:sz="4" w:space="0" w:color="auto"/>
              <w:left w:val="single" w:sz="4" w:space="0" w:color="auto"/>
              <w:bottom w:val="single" w:sz="4" w:space="0" w:color="auto"/>
              <w:right w:val="single" w:sz="4" w:space="0" w:color="auto"/>
            </w:tcBorders>
            <w:hideMark/>
          </w:tcPr>
          <w:p w14:paraId="06721AD9"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827,630</w:t>
            </w:r>
          </w:p>
        </w:tc>
      </w:tr>
      <w:tr w:rsidR="000E3C5F" w14:paraId="6FB7830C"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619EC16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 xml:space="preserve">Cost of Sales </w:t>
            </w:r>
          </w:p>
        </w:tc>
        <w:tc>
          <w:tcPr>
            <w:tcW w:w="4508" w:type="dxa"/>
            <w:tcBorders>
              <w:top w:val="single" w:sz="4" w:space="0" w:color="auto"/>
              <w:left w:val="single" w:sz="4" w:space="0" w:color="auto"/>
              <w:bottom w:val="single" w:sz="4" w:space="0" w:color="auto"/>
              <w:right w:val="single" w:sz="4" w:space="0" w:color="auto"/>
            </w:tcBorders>
            <w:hideMark/>
          </w:tcPr>
          <w:p w14:paraId="226DF75E"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(578,650)</w:t>
            </w:r>
          </w:p>
        </w:tc>
      </w:tr>
      <w:tr w:rsidR="000E3C5F" w14:paraId="6F001E69"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6E2B6283"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b/>
                <w:sz w:val="24"/>
                <w:szCs w:val="24"/>
              </w:rPr>
              <w:t>Gross Profit</w:t>
            </w:r>
            <w:r>
              <w:rPr>
                <w:rFonts w:ascii="Times New Roman" w:hAnsi="Times New Roman" w:cs="Times New Roman"/>
                <w:sz w:val="24"/>
                <w:szCs w:val="24"/>
              </w:rPr>
              <w:t xml:space="preserve"> (sales minus cost of sales)</w:t>
            </w:r>
          </w:p>
        </w:tc>
        <w:tc>
          <w:tcPr>
            <w:tcW w:w="4508" w:type="dxa"/>
            <w:tcBorders>
              <w:top w:val="single" w:sz="4" w:space="0" w:color="auto"/>
              <w:left w:val="single" w:sz="4" w:space="0" w:color="auto"/>
              <w:bottom w:val="single" w:sz="4" w:space="0" w:color="auto"/>
              <w:right w:val="single" w:sz="4" w:space="0" w:color="auto"/>
            </w:tcBorders>
            <w:hideMark/>
          </w:tcPr>
          <w:p w14:paraId="116F1EDF"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248,980</w:t>
            </w:r>
          </w:p>
        </w:tc>
      </w:tr>
      <w:tr w:rsidR="000E3C5F" w14:paraId="08DA6047"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729B9455"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Distribution Costs</w:t>
            </w:r>
          </w:p>
        </w:tc>
        <w:tc>
          <w:tcPr>
            <w:tcW w:w="4508" w:type="dxa"/>
            <w:tcBorders>
              <w:top w:val="single" w:sz="4" w:space="0" w:color="auto"/>
              <w:left w:val="single" w:sz="4" w:space="0" w:color="auto"/>
              <w:bottom w:val="single" w:sz="4" w:space="0" w:color="auto"/>
              <w:right w:val="single" w:sz="4" w:space="0" w:color="auto"/>
            </w:tcBorders>
            <w:hideMark/>
          </w:tcPr>
          <w:p w14:paraId="55967A30"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(28,000)</w:t>
            </w:r>
          </w:p>
        </w:tc>
      </w:tr>
      <w:tr w:rsidR="000E3C5F" w14:paraId="54C20E19"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3CAC394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Administrative Costs</w:t>
            </w:r>
          </w:p>
        </w:tc>
        <w:tc>
          <w:tcPr>
            <w:tcW w:w="4508" w:type="dxa"/>
            <w:tcBorders>
              <w:top w:val="single" w:sz="4" w:space="0" w:color="auto"/>
              <w:left w:val="single" w:sz="4" w:space="0" w:color="auto"/>
              <w:bottom w:val="single" w:sz="4" w:space="0" w:color="auto"/>
              <w:right w:val="single" w:sz="4" w:space="0" w:color="auto"/>
            </w:tcBorders>
            <w:hideMark/>
          </w:tcPr>
          <w:p w14:paraId="361EC03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(30,000)</w:t>
            </w:r>
          </w:p>
        </w:tc>
      </w:tr>
      <w:tr w:rsidR="000E3C5F" w14:paraId="3A10DA5C" w14:textId="77777777" w:rsidTr="000E3C5F">
        <w:tc>
          <w:tcPr>
            <w:tcW w:w="4508" w:type="dxa"/>
            <w:tcBorders>
              <w:top w:val="single" w:sz="4" w:space="0" w:color="auto"/>
              <w:left w:val="single" w:sz="4" w:space="0" w:color="auto"/>
              <w:bottom w:val="single" w:sz="4" w:space="0" w:color="auto"/>
              <w:right w:val="single" w:sz="4" w:space="0" w:color="auto"/>
            </w:tcBorders>
            <w:hideMark/>
          </w:tcPr>
          <w:p w14:paraId="33A3AD6C"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Directors’ Remunerations</w:t>
            </w:r>
          </w:p>
        </w:tc>
        <w:tc>
          <w:tcPr>
            <w:tcW w:w="4508" w:type="dxa"/>
            <w:tcBorders>
              <w:top w:val="single" w:sz="4" w:space="0" w:color="auto"/>
              <w:left w:val="single" w:sz="4" w:space="0" w:color="auto"/>
              <w:bottom w:val="single" w:sz="4" w:space="0" w:color="auto"/>
              <w:right w:val="single" w:sz="4" w:space="0" w:color="auto"/>
            </w:tcBorders>
            <w:hideMark/>
          </w:tcPr>
          <w:p w14:paraId="2940E7F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(5,000)</w:t>
            </w:r>
          </w:p>
        </w:tc>
      </w:tr>
      <w:tr w:rsidR="000E3C5F" w14:paraId="08C4FB5D" w14:textId="77777777" w:rsidTr="000E3C5F">
        <w:trPr>
          <w:trHeight w:val="225"/>
        </w:trPr>
        <w:tc>
          <w:tcPr>
            <w:tcW w:w="4508" w:type="dxa"/>
            <w:tcBorders>
              <w:top w:val="single" w:sz="4" w:space="0" w:color="auto"/>
              <w:left w:val="single" w:sz="4" w:space="0" w:color="auto"/>
              <w:bottom w:val="single" w:sz="4" w:space="0" w:color="auto"/>
              <w:right w:val="single" w:sz="4" w:space="0" w:color="auto"/>
            </w:tcBorders>
            <w:hideMark/>
          </w:tcPr>
          <w:p w14:paraId="3395C228"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b/>
                <w:sz w:val="24"/>
                <w:szCs w:val="24"/>
              </w:rPr>
              <w:t>Operating Profit</w:t>
            </w:r>
            <w:r>
              <w:rPr>
                <w:rFonts w:ascii="Times New Roman" w:hAnsi="Times New Roman" w:cs="Times New Roman"/>
                <w:sz w:val="24"/>
                <w:szCs w:val="24"/>
              </w:rPr>
              <w:t xml:space="preserve"> (Minus the costs)</w:t>
            </w:r>
          </w:p>
        </w:tc>
        <w:tc>
          <w:tcPr>
            <w:tcW w:w="4508" w:type="dxa"/>
            <w:tcBorders>
              <w:top w:val="single" w:sz="4" w:space="0" w:color="auto"/>
              <w:left w:val="single" w:sz="4" w:space="0" w:color="auto"/>
              <w:bottom w:val="single" w:sz="4" w:space="0" w:color="auto"/>
              <w:right w:val="single" w:sz="4" w:space="0" w:color="auto"/>
            </w:tcBorders>
            <w:hideMark/>
          </w:tcPr>
          <w:p w14:paraId="13463DFE"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185,980</w:t>
            </w:r>
          </w:p>
        </w:tc>
      </w:tr>
      <w:tr w:rsidR="000E3C5F" w14:paraId="005CF2E5" w14:textId="77777777" w:rsidTr="000E3C5F">
        <w:trPr>
          <w:trHeight w:val="180"/>
        </w:trPr>
        <w:tc>
          <w:tcPr>
            <w:tcW w:w="4508" w:type="dxa"/>
            <w:tcBorders>
              <w:top w:val="single" w:sz="4" w:space="0" w:color="auto"/>
              <w:left w:val="single" w:sz="4" w:space="0" w:color="auto"/>
              <w:bottom w:val="single" w:sz="4" w:space="0" w:color="auto"/>
              <w:right w:val="single" w:sz="4" w:space="0" w:color="auto"/>
            </w:tcBorders>
            <w:hideMark/>
          </w:tcPr>
          <w:p w14:paraId="07EBDA35"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Interest Paid</w:t>
            </w:r>
          </w:p>
        </w:tc>
        <w:tc>
          <w:tcPr>
            <w:tcW w:w="4508" w:type="dxa"/>
            <w:tcBorders>
              <w:top w:val="single" w:sz="4" w:space="0" w:color="auto"/>
              <w:left w:val="single" w:sz="4" w:space="0" w:color="auto"/>
              <w:bottom w:val="single" w:sz="4" w:space="0" w:color="auto"/>
              <w:right w:val="single" w:sz="4" w:space="0" w:color="auto"/>
            </w:tcBorders>
            <w:hideMark/>
          </w:tcPr>
          <w:p w14:paraId="7E1ED84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(2,000)</w:t>
            </w:r>
          </w:p>
        </w:tc>
      </w:tr>
      <w:tr w:rsidR="000E3C5F" w14:paraId="363EFD62" w14:textId="77777777" w:rsidTr="000E3C5F">
        <w:trPr>
          <w:trHeight w:val="180"/>
        </w:trPr>
        <w:tc>
          <w:tcPr>
            <w:tcW w:w="4508" w:type="dxa"/>
            <w:tcBorders>
              <w:top w:val="single" w:sz="4" w:space="0" w:color="auto"/>
              <w:left w:val="single" w:sz="4" w:space="0" w:color="auto"/>
              <w:bottom w:val="single" w:sz="4" w:space="0" w:color="auto"/>
              <w:right w:val="single" w:sz="4" w:space="0" w:color="auto"/>
            </w:tcBorders>
            <w:hideMark/>
          </w:tcPr>
          <w:p w14:paraId="08DEE47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Corporation Expenses</w:t>
            </w:r>
          </w:p>
        </w:tc>
        <w:tc>
          <w:tcPr>
            <w:tcW w:w="4508" w:type="dxa"/>
            <w:tcBorders>
              <w:top w:val="single" w:sz="4" w:space="0" w:color="auto"/>
              <w:left w:val="single" w:sz="4" w:space="0" w:color="auto"/>
              <w:bottom w:val="single" w:sz="4" w:space="0" w:color="auto"/>
              <w:right w:val="single" w:sz="4" w:space="0" w:color="auto"/>
            </w:tcBorders>
            <w:hideMark/>
          </w:tcPr>
          <w:p w14:paraId="69EFF961"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(68,000)</w:t>
            </w:r>
          </w:p>
        </w:tc>
      </w:tr>
      <w:tr w:rsidR="000E3C5F" w14:paraId="7763273B" w14:textId="77777777" w:rsidTr="000E3C5F">
        <w:trPr>
          <w:trHeight w:val="165"/>
        </w:trPr>
        <w:tc>
          <w:tcPr>
            <w:tcW w:w="4508" w:type="dxa"/>
            <w:tcBorders>
              <w:top w:val="single" w:sz="4" w:space="0" w:color="auto"/>
              <w:left w:val="single" w:sz="4" w:space="0" w:color="auto"/>
              <w:bottom w:val="single" w:sz="4" w:space="0" w:color="auto"/>
              <w:right w:val="single" w:sz="4" w:space="0" w:color="auto"/>
            </w:tcBorders>
            <w:hideMark/>
          </w:tcPr>
          <w:p w14:paraId="298B6C86"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Total (Profit)</w:t>
            </w:r>
          </w:p>
        </w:tc>
        <w:tc>
          <w:tcPr>
            <w:tcW w:w="4508" w:type="dxa"/>
            <w:tcBorders>
              <w:top w:val="single" w:sz="4" w:space="0" w:color="auto"/>
              <w:left w:val="single" w:sz="4" w:space="0" w:color="auto"/>
              <w:bottom w:val="single" w:sz="4" w:space="0" w:color="auto"/>
              <w:right w:val="single" w:sz="4" w:space="0" w:color="auto"/>
            </w:tcBorders>
            <w:hideMark/>
          </w:tcPr>
          <w:p w14:paraId="64CF14F0"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115,980</w:t>
            </w:r>
          </w:p>
        </w:tc>
      </w:tr>
    </w:tbl>
    <w:p w14:paraId="31E4FFCA" w14:textId="41ED39AA" w:rsidR="000E3C5F" w:rsidRDefault="000E3C5F" w:rsidP="000E3C5F">
      <w:pPr>
        <w:spacing w:line="360" w:lineRule="auto"/>
        <w:rPr>
          <w:rFonts w:ascii="Times New Roman" w:hAnsi="Times New Roman" w:cs="Times New Roman"/>
          <w:sz w:val="24"/>
          <w:szCs w:val="24"/>
          <w:lang w:val="en-GB"/>
        </w:rPr>
      </w:pPr>
    </w:p>
    <w:p w14:paraId="44CA1842" w14:textId="77777777" w:rsidR="000E3C5F" w:rsidRDefault="000E3C5F" w:rsidP="000E3C5F">
      <w:pPr>
        <w:spacing w:line="360" w:lineRule="auto"/>
        <w:rPr>
          <w:rFonts w:ascii="Times New Roman" w:hAnsi="Times New Roman" w:cs="Times New Roman"/>
          <w:sz w:val="24"/>
          <w:szCs w:val="24"/>
          <w:lang w:val="en-GB"/>
        </w:rPr>
      </w:pPr>
    </w:p>
    <w:p w14:paraId="3935BDE0" w14:textId="5B88D4DE" w:rsidR="000E3C5F" w:rsidRDefault="000E3C5F" w:rsidP="000E3C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profit and loss statement above, the expenses are expressed in brackets () and are subtracted from the profits. The statement above indicates how much Profit the firm made over the stipulated period. Based on the statement, Kedison PLC made a profit of £ 115,980 after removing all the expenses. The firm could therefore be said to be profitable. </w:t>
      </w:r>
    </w:p>
    <w:p w14:paraId="2B5B38F8" w14:textId="65A54048" w:rsidR="000E3C5F" w:rsidRDefault="000E3C5F" w:rsidP="000E3C5F">
      <w:pPr>
        <w:spacing w:line="360" w:lineRule="auto"/>
        <w:jc w:val="both"/>
        <w:rPr>
          <w:rFonts w:ascii="Times New Roman" w:hAnsi="Times New Roman" w:cs="Times New Roman"/>
          <w:sz w:val="24"/>
          <w:szCs w:val="24"/>
        </w:rPr>
      </w:pPr>
    </w:p>
    <w:p w14:paraId="0FA00138" w14:textId="085B8CE0" w:rsidR="000E3C5F" w:rsidRDefault="000E3C5F" w:rsidP="000E3C5F">
      <w:pPr>
        <w:spacing w:line="360" w:lineRule="auto"/>
        <w:jc w:val="both"/>
        <w:rPr>
          <w:rFonts w:ascii="Times New Roman" w:hAnsi="Times New Roman" w:cs="Times New Roman"/>
          <w:sz w:val="24"/>
          <w:szCs w:val="24"/>
        </w:rPr>
      </w:pPr>
    </w:p>
    <w:p w14:paraId="370124CA" w14:textId="77777777" w:rsidR="000E3C5F" w:rsidRDefault="000E3C5F" w:rsidP="000E3C5F">
      <w:pPr>
        <w:spacing w:line="360" w:lineRule="auto"/>
        <w:jc w:val="both"/>
        <w:rPr>
          <w:rFonts w:ascii="Times New Roman" w:hAnsi="Times New Roman" w:cs="Times New Roman"/>
          <w:sz w:val="24"/>
          <w:szCs w:val="24"/>
        </w:rPr>
      </w:pPr>
    </w:p>
    <w:p w14:paraId="5DC21DE1" w14:textId="18116C3A" w:rsidR="000E3C5F" w:rsidRDefault="000E3C5F" w:rsidP="000E3C5F">
      <w:pPr>
        <w:spacing w:line="360" w:lineRule="auto"/>
        <w:rPr>
          <w:rFonts w:ascii="Times New Roman" w:hAnsi="Times New Roman" w:cs="Times New Roman"/>
          <w:i/>
          <w:sz w:val="24"/>
          <w:szCs w:val="24"/>
        </w:rPr>
      </w:pPr>
      <w:r>
        <w:rPr>
          <w:rFonts w:ascii="Times New Roman" w:hAnsi="Times New Roman" w:cs="Times New Roman"/>
          <w:i/>
          <w:sz w:val="24"/>
          <w:szCs w:val="24"/>
        </w:rPr>
        <w:lastRenderedPageBreak/>
        <w:t>Statement of Financial Position</w:t>
      </w:r>
    </w:p>
    <w:p w14:paraId="6F71B526" w14:textId="77777777" w:rsidR="000E3C5F" w:rsidRDefault="000E3C5F" w:rsidP="000E3C5F">
      <w:pPr>
        <w:spacing w:line="360" w:lineRule="auto"/>
        <w:rPr>
          <w:rFonts w:ascii="Times New Roman" w:hAnsi="Times New Roman" w:cs="Times New Roman"/>
          <w:i/>
          <w:sz w:val="24"/>
          <w:szCs w:val="24"/>
        </w:rPr>
      </w:pPr>
    </w:p>
    <w:tbl>
      <w:tblPr>
        <w:tblStyle w:val="TableGrid"/>
        <w:tblW w:w="0" w:type="auto"/>
        <w:tblInd w:w="0" w:type="dxa"/>
        <w:tblLook w:val="04A0" w:firstRow="1" w:lastRow="0" w:firstColumn="1" w:lastColumn="0" w:noHBand="0" w:noVBand="1"/>
      </w:tblPr>
      <w:tblGrid>
        <w:gridCol w:w="2254"/>
        <w:gridCol w:w="2254"/>
        <w:gridCol w:w="2254"/>
        <w:gridCol w:w="2254"/>
      </w:tblGrid>
      <w:tr w:rsidR="000E3C5F" w14:paraId="75A762F3" w14:textId="77777777" w:rsidTr="000E3C5F">
        <w:trPr>
          <w:trHeight w:val="722"/>
        </w:trPr>
        <w:tc>
          <w:tcPr>
            <w:tcW w:w="9016" w:type="dxa"/>
            <w:gridSpan w:val="4"/>
            <w:tcBorders>
              <w:top w:val="single" w:sz="4" w:space="0" w:color="auto"/>
              <w:left w:val="single" w:sz="4" w:space="0" w:color="auto"/>
              <w:bottom w:val="single" w:sz="4" w:space="0" w:color="auto"/>
              <w:right w:val="single" w:sz="4" w:space="0" w:color="auto"/>
            </w:tcBorders>
            <w:hideMark/>
          </w:tcPr>
          <w:p w14:paraId="7B0122F7" w14:textId="77777777" w:rsidR="000E3C5F" w:rsidRDefault="000E3C5F">
            <w:pPr>
              <w:spacing w:line="360" w:lineRule="auto"/>
              <w:jc w:val="center"/>
              <w:rPr>
                <w:rFonts w:ascii="Times New Roman" w:hAnsi="Times New Roman" w:cs="Times New Roman"/>
                <w:sz w:val="24"/>
                <w:szCs w:val="24"/>
              </w:rPr>
            </w:pPr>
            <w:r>
              <w:rPr>
                <w:rFonts w:ascii="Times New Roman" w:hAnsi="Times New Roman" w:cs="Times New Roman"/>
                <w:sz w:val="24"/>
                <w:szCs w:val="24"/>
              </w:rPr>
              <w:t>KEDISON PLC Statement of Financial Position for the Year Ended 31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2020</w:t>
            </w:r>
          </w:p>
        </w:tc>
      </w:tr>
      <w:tr w:rsidR="000E3C5F" w14:paraId="3D0CF0F0"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318C02F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ASSETS</w:t>
            </w:r>
          </w:p>
        </w:tc>
        <w:tc>
          <w:tcPr>
            <w:tcW w:w="2254" w:type="dxa"/>
            <w:tcBorders>
              <w:top w:val="single" w:sz="4" w:space="0" w:color="auto"/>
              <w:left w:val="single" w:sz="4" w:space="0" w:color="auto"/>
              <w:bottom w:val="single" w:sz="4" w:space="0" w:color="auto"/>
              <w:right w:val="single" w:sz="4" w:space="0" w:color="auto"/>
            </w:tcBorders>
            <w:hideMark/>
          </w:tcPr>
          <w:p w14:paraId="635B370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AMOUNTS in £</w:t>
            </w:r>
          </w:p>
        </w:tc>
        <w:tc>
          <w:tcPr>
            <w:tcW w:w="2254" w:type="dxa"/>
            <w:tcBorders>
              <w:top w:val="single" w:sz="4" w:space="0" w:color="auto"/>
              <w:left w:val="single" w:sz="4" w:space="0" w:color="auto"/>
              <w:bottom w:val="single" w:sz="4" w:space="0" w:color="auto"/>
              <w:right w:val="single" w:sz="4" w:space="0" w:color="auto"/>
            </w:tcBorders>
            <w:hideMark/>
          </w:tcPr>
          <w:p w14:paraId="3D5A7A82"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LIABILITIES</w:t>
            </w:r>
          </w:p>
        </w:tc>
        <w:tc>
          <w:tcPr>
            <w:tcW w:w="2254" w:type="dxa"/>
            <w:tcBorders>
              <w:top w:val="single" w:sz="4" w:space="0" w:color="auto"/>
              <w:left w:val="single" w:sz="4" w:space="0" w:color="auto"/>
              <w:bottom w:val="single" w:sz="4" w:space="0" w:color="auto"/>
              <w:right w:val="single" w:sz="4" w:space="0" w:color="auto"/>
            </w:tcBorders>
            <w:hideMark/>
          </w:tcPr>
          <w:p w14:paraId="531A8FD6"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AMOUNTS in £</w:t>
            </w:r>
          </w:p>
        </w:tc>
      </w:tr>
      <w:tr w:rsidR="000E3C5F" w14:paraId="3DDF7906"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34840C1E"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Current Assets</w:t>
            </w:r>
          </w:p>
        </w:tc>
        <w:tc>
          <w:tcPr>
            <w:tcW w:w="2254" w:type="dxa"/>
            <w:tcBorders>
              <w:top w:val="single" w:sz="4" w:space="0" w:color="auto"/>
              <w:left w:val="single" w:sz="4" w:space="0" w:color="auto"/>
              <w:bottom w:val="single" w:sz="4" w:space="0" w:color="auto"/>
              <w:right w:val="single" w:sz="4" w:space="0" w:color="auto"/>
            </w:tcBorders>
          </w:tcPr>
          <w:p w14:paraId="48D1A813"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2E29BE31"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Current Liabilities</w:t>
            </w:r>
          </w:p>
        </w:tc>
        <w:tc>
          <w:tcPr>
            <w:tcW w:w="2254" w:type="dxa"/>
            <w:tcBorders>
              <w:top w:val="single" w:sz="4" w:space="0" w:color="auto"/>
              <w:left w:val="single" w:sz="4" w:space="0" w:color="auto"/>
              <w:bottom w:val="single" w:sz="4" w:space="0" w:color="auto"/>
              <w:right w:val="single" w:sz="4" w:space="0" w:color="auto"/>
            </w:tcBorders>
          </w:tcPr>
          <w:p w14:paraId="127216C0" w14:textId="77777777" w:rsidR="000E3C5F" w:rsidRDefault="000E3C5F">
            <w:pPr>
              <w:spacing w:line="360" w:lineRule="auto"/>
              <w:rPr>
                <w:rFonts w:ascii="Times New Roman" w:hAnsi="Times New Roman" w:cs="Times New Roman"/>
                <w:sz w:val="24"/>
                <w:szCs w:val="24"/>
              </w:rPr>
            </w:pPr>
          </w:p>
        </w:tc>
      </w:tr>
      <w:tr w:rsidR="000E3C5F" w14:paraId="4DCE3387"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4132BAA3"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Inventory</w:t>
            </w:r>
          </w:p>
        </w:tc>
        <w:tc>
          <w:tcPr>
            <w:tcW w:w="2254" w:type="dxa"/>
            <w:tcBorders>
              <w:top w:val="single" w:sz="4" w:space="0" w:color="auto"/>
              <w:left w:val="single" w:sz="4" w:space="0" w:color="auto"/>
              <w:bottom w:val="single" w:sz="4" w:space="0" w:color="auto"/>
              <w:right w:val="single" w:sz="4" w:space="0" w:color="auto"/>
            </w:tcBorders>
            <w:hideMark/>
          </w:tcPr>
          <w:p w14:paraId="522EE8CA"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330,600</w:t>
            </w:r>
          </w:p>
        </w:tc>
        <w:tc>
          <w:tcPr>
            <w:tcW w:w="2254" w:type="dxa"/>
            <w:tcBorders>
              <w:top w:val="single" w:sz="4" w:space="0" w:color="auto"/>
              <w:left w:val="single" w:sz="4" w:space="0" w:color="auto"/>
              <w:bottom w:val="single" w:sz="4" w:space="0" w:color="auto"/>
              <w:right w:val="single" w:sz="4" w:space="0" w:color="auto"/>
            </w:tcBorders>
            <w:hideMark/>
          </w:tcPr>
          <w:p w14:paraId="6CA56499"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Trade Payables</w:t>
            </w:r>
          </w:p>
        </w:tc>
        <w:tc>
          <w:tcPr>
            <w:tcW w:w="2254" w:type="dxa"/>
            <w:tcBorders>
              <w:top w:val="single" w:sz="4" w:space="0" w:color="auto"/>
              <w:left w:val="single" w:sz="4" w:space="0" w:color="auto"/>
              <w:bottom w:val="single" w:sz="4" w:space="0" w:color="auto"/>
              <w:right w:val="single" w:sz="4" w:space="0" w:color="auto"/>
            </w:tcBorders>
            <w:hideMark/>
          </w:tcPr>
          <w:p w14:paraId="20112BE8"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3,000</w:t>
            </w:r>
          </w:p>
        </w:tc>
      </w:tr>
      <w:tr w:rsidR="000E3C5F" w14:paraId="7F644491"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7A9BB07C"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Trade Receivables</w:t>
            </w:r>
          </w:p>
        </w:tc>
        <w:tc>
          <w:tcPr>
            <w:tcW w:w="2254" w:type="dxa"/>
            <w:tcBorders>
              <w:top w:val="single" w:sz="4" w:space="0" w:color="auto"/>
              <w:left w:val="single" w:sz="4" w:space="0" w:color="auto"/>
              <w:bottom w:val="single" w:sz="4" w:space="0" w:color="auto"/>
              <w:right w:val="single" w:sz="4" w:space="0" w:color="auto"/>
            </w:tcBorders>
            <w:hideMark/>
          </w:tcPr>
          <w:p w14:paraId="41CE7B36"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980</w:t>
            </w:r>
          </w:p>
        </w:tc>
        <w:tc>
          <w:tcPr>
            <w:tcW w:w="2254" w:type="dxa"/>
            <w:tcBorders>
              <w:top w:val="single" w:sz="4" w:space="0" w:color="auto"/>
              <w:left w:val="single" w:sz="4" w:space="0" w:color="auto"/>
              <w:bottom w:val="single" w:sz="4" w:space="0" w:color="auto"/>
              <w:right w:val="single" w:sz="4" w:space="0" w:color="auto"/>
            </w:tcBorders>
            <w:hideMark/>
          </w:tcPr>
          <w:p w14:paraId="29598B5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Tax Payables</w:t>
            </w:r>
          </w:p>
        </w:tc>
        <w:tc>
          <w:tcPr>
            <w:tcW w:w="2254" w:type="dxa"/>
            <w:tcBorders>
              <w:top w:val="single" w:sz="4" w:space="0" w:color="auto"/>
              <w:left w:val="single" w:sz="4" w:space="0" w:color="auto"/>
              <w:bottom w:val="single" w:sz="4" w:space="0" w:color="auto"/>
              <w:right w:val="single" w:sz="4" w:space="0" w:color="auto"/>
            </w:tcBorders>
            <w:hideMark/>
          </w:tcPr>
          <w:p w14:paraId="6B42DEA5"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68,000</w:t>
            </w:r>
          </w:p>
        </w:tc>
      </w:tr>
      <w:tr w:rsidR="000E3C5F" w14:paraId="38F71D43"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44A76CC8"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Cash and Bank</w:t>
            </w:r>
          </w:p>
        </w:tc>
        <w:tc>
          <w:tcPr>
            <w:tcW w:w="2254" w:type="dxa"/>
            <w:tcBorders>
              <w:top w:val="single" w:sz="4" w:space="0" w:color="auto"/>
              <w:left w:val="single" w:sz="4" w:space="0" w:color="auto"/>
              <w:bottom w:val="single" w:sz="4" w:space="0" w:color="auto"/>
              <w:right w:val="single" w:sz="4" w:space="0" w:color="auto"/>
            </w:tcBorders>
            <w:hideMark/>
          </w:tcPr>
          <w:p w14:paraId="6605031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12,900</w:t>
            </w:r>
          </w:p>
        </w:tc>
        <w:tc>
          <w:tcPr>
            <w:tcW w:w="2254" w:type="dxa"/>
            <w:tcBorders>
              <w:top w:val="single" w:sz="4" w:space="0" w:color="auto"/>
              <w:left w:val="single" w:sz="4" w:space="0" w:color="auto"/>
              <w:bottom w:val="single" w:sz="4" w:space="0" w:color="auto"/>
              <w:right w:val="single" w:sz="4" w:space="0" w:color="auto"/>
            </w:tcBorders>
            <w:hideMark/>
          </w:tcPr>
          <w:p w14:paraId="69550377"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Trade Creditors</w:t>
            </w:r>
          </w:p>
        </w:tc>
        <w:tc>
          <w:tcPr>
            <w:tcW w:w="2254" w:type="dxa"/>
            <w:tcBorders>
              <w:top w:val="single" w:sz="4" w:space="0" w:color="auto"/>
              <w:left w:val="single" w:sz="4" w:space="0" w:color="auto"/>
              <w:bottom w:val="single" w:sz="4" w:space="0" w:color="auto"/>
              <w:right w:val="single" w:sz="4" w:space="0" w:color="auto"/>
            </w:tcBorders>
            <w:hideMark/>
          </w:tcPr>
          <w:p w14:paraId="7D72D23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171,335</w:t>
            </w:r>
          </w:p>
        </w:tc>
      </w:tr>
      <w:tr w:rsidR="000E3C5F" w14:paraId="2BFF6CCF"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7B2A5D4A"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Debtors</w:t>
            </w:r>
          </w:p>
        </w:tc>
        <w:tc>
          <w:tcPr>
            <w:tcW w:w="2254" w:type="dxa"/>
            <w:tcBorders>
              <w:top w:val="single" w:sz="4" w:space="0" w:color="auto"/>
              <w:left w:val="single" w:sz="4" w:space="0" w:color="auto"/>
              <w:bottom w:val="single" w:sz="4" w:space="0" w:color="auto"/>
              <w:right w:val="single" w:sz="4" w:space="0" w:color="auto"/>
            </w:tcBorders>
            <w:hideMark/>
          </w:tcPr>
          <w:p w14:paraId="2349EAC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170,125</w:t>
            </w:r>
          </w:p>
        </w:tc>
        <w:tc>
          <w:tcPr>
            <w:tcW w:w="2254" w:type="dxa"/>
            <w:tcBorders>
              <w:top w:val="single" w:sz="4" w:space="0" w:color="auto"/>
              <w:left w:val="single" w:sz="4" w:space="0" w:color="auto"/>
              <w:bottom w:val="single" w:sz="4" w:space="0" w:color="auto"/>
              <w:right w:val="single" w:sz="4" w:space="0" w:color="auto"/>
            </w:tcBorders>
            <w:hideMark/>
          </w:tcPr>
          <w:p w14:paraId="65C18B51"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Total Current Liabilities</w:t>
            </w:r>
          </w:p>
        </w:tc>
        <w:tc>
          <w:tcPr>
            <w:tcW w:w="2254" w:type="dxa"/>
            <w:tcBorders>
              <w:top w:val="single" w:sz="4" w:space="0" w:color="auto"/>
              <w:left w:val="single" w:sz="4" w:space="0" w:color="auto"/>
              <w:bottom w:val="single" w:sz="4" w:space="0" w:color="auto"/>
              <w:right w:val="single" w:sz="4" w:space="0" w:color="auto"/>
            </w:tcBorders>
            <w:hideMark/>
          </w:tcPr>
          <w:p w14:paraId="4D0AA241"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242,335</w:t>
            </w:r>
          </w:p>
        </w:tc>
      </w:tr>
      <w:tr w:rsidR="000E3C5F" w14:paraId="39F63562"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00FE08D6"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 Shares</w:t>
            </w:r>
          </w:p>
        </w:tc>
        <w:tc>
          <w:tcPr>
            <w:tcW w:w="2254" w:type="dxa"/>
            <w:tcBorders>
              <w:top w:val="single" w:sz="4" w:space="0" w:color="auto"/>
              <w:left w:val="single" w:sz="4" w:space="0" w:color="auto"/>
              <w:bottom w:val="single" w:sz="4" w:space="0" w:color="auto"/>
              <w:right w:val="single" w:sz="4" w:space="0" w:color="auto"/>
            </w:tcBorders>
            <w:hideMark/>
          </w:tcPr>
          <w:p w14:paraId="2CA59FBB"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30,000</w:t>
            </w:r>
          </w:p>
        </w:tc>
        <w:tc>
          <w:tcPr>
            <w:tcW w:w="2254" w:type="dxa"/>
            <w:tcBorders>
              <w:top w:val="single" w:sz="4" w:space="0" w:color="auto"/>
              <w:left w:val="single" w:sz="4" w:space="0" w:color="auto"/>
              <w:bottom w:val="single" w:sz="4" w:space="0" w:color="auto"/>
              <w:right w:val="single" w:sz="4" w:space="0" w:color="auto"/>
            </w:tcBorders>
          </w:tcPr>
          <w:p w14:paraId="68EDA64B"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00117D07" w14:textId="77777777" w:rsidR="000E3C5F" w:rsidRDefault="000E3C5F">
            <w:pPr>
              <w:spacing w:line="360" w:lineRule="auto"/>
              <w:rPr>
                <w:rFonts w:ascii="Times New Roman" w:hAnsi="Times New Roman" w:cs="Times New Roman"/>
                <w:sz w:val="24"/>
                <w:szCs w:val="24"/>
              </w:rPr>
            </w:pPr>
          </w:p>
        </w:tc>
      </w:tr>
      <w:tr w:rsidR="000E3C5F" w14:paraId="74EFBF3F"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356AC127"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Total Current Assets</w:t>
            </w:r>
          </w:p>
        </w:tc>
        <w:tc>
          <w:tcPr>
            <w:tcW w:w="2254" w:type="dxa"/>
            <w:tcBorders>
              <w:top w:val="single" w:sz="4" w:space="0" w:color="auto"/>
              <w:left w:val="single" w:sz="4" w:space="0" w:color="auto"/>
              <w:bottom w:val="single" w:sz="4" w:space="0" w:color="auto"/>
              <w:right w:val="single" w:sz="4" w:space="0" w:color="auto"/>
            </w:tcBorders>
            <w:hideMark/>
          </w:tcPr>
          <w:p w14:paraId="5B80C065"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544,605</w:t>
            </w:r>
          </w:p>
        </w:tc>
        <w:tc>
          <w:tcPr>
            <w:tcW w:w="2254" w:type="dxa"/>
            <w:tcBorders>
              <w:top w:val="single" w:sz="4" w:space="0" w:color="auto"/>
              <w:left w:val="single" w:sz="4" w:space="0" w:color="auto"/>
              <w:bottom w:val="single" w:sz="4" w:space="0" w:color="auto"/>
              <w:right w:val="single" w:sz="4" w:space="0" w:color="auto"/>
            </w:tcBorders>
            <w:hideMark/>
          </w:tcPr>
          <w:p w14:paraId="7561CA9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Equity</w:t>
            </w:r>
          </w:p>
        </w:tc>
        <w:tc>
          <w:tcPr>
            <w:tcW w:w="2254" w:type="dxa"/>
            <w:tcBorders>
              <w:top w:val="single" w:sz="4" w:space="0" w:color="auto"/>
              <w:left w:val="single" w:sz="4" w:space="0" w:color="auto"/>
              <w:bottom w:val="single" w:sz="4" w:space="0" w:color="auto"/>
              <w:right w:val="single" w:sz="4" w:space="0" w:color="auto"/>
            </w:tcBorders>
          </w:tcPr>
          <w:p w14:paraId="43A6E6C4" w14:textId="77777777" w:rsidR="000E3C5F" w:rsidRDefault="000E3C5F">
            <w:pPr>
              <w:spacing w:line="360" w:lineRule="auto"/>
              <w:rPr>
                <w:rFonts w:ascii="Times New Roman" w:hAnsi="Times New Roman" w:cs="Times New Roman"/>
                <w:sz w:val="24"/>
                <w:szCs w:val="24"/>
              </w:rPr>
            </w:pPr>
          </w:p>
        </w:tc>
      </w:tr>
      <w:tr w:rsidR="000E3C5F" w14:paraId="670AC052" w14:textId="77777777" w:rsidTr="000E3C5F">
        <w:tc>
          <w:tcPr>
            <w:tcW w:w="2254" w:type="dxa"/>
            <w:tcBorders>
              <w:top w:val="single" w:sz="4" w:space="0" w:color="auto"/>
              <w:left w:val="single" w:sz="4" w:space="0" w:color="auto"/>
              <w:bottom w:val="single" w:sz="4" w:space="0" w:color="auto"/>
              <w:right w:val="single" w:sz="4" w:space="0" w:color="auto"/>
            </w:tcBorders>
          </w:tcPr>
          <w:p w14:paraId="2C88D01F"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17A4EF09"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2D72E178"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Ordinary Shares</w:t>
            </w:r>
          </w:p>
        </w:tc>
        <w:tc>
          <w:tcPr>
            <w:tcW w:w="2254" w:type="dxa"/>
            <w:tcBorders>
              <w:top w:val="single" w:sz="4" w:space="0" w:color="auto"/>
              <w:left w:val="single" w:sz="4" w:space="0" w:color="auto"/>
              <w:bottom w:val="single" w:sz="4" w:space="0" w:color="auto"/>
              <w:right w:val="single" w:sz="4" w:space="0" w:color="auto"/>
            </w:tcBorders>
            <w:hideMark/>
          </w:tcPr>
          <w:p w14:paraId="2B409116"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310,000</w:t>
            </w:r>
          </w:p>
        </w:tc>
      </w:tr>
      <w:tr w:rsidR="000E3C5F" w14:paraId="3C51024E"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228106F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Non-Current Assets</w:t>
            </w:r>
          </w:p>
        </w:tc>
        <w:tc>
          <w:tcPr>
            <w:tcW w:w="2254" w:type="dxa"/>
            <w:tcBorders>
              <w:top w:val="single" w:sz="4" w:space="0" w:color="auto"/>
              <w:left w:val="single" w:sz="4" w:space="0" w:color="auto"/>
              <w:bottom w:val="single" w:sz="4" w:space="0" w:color="auto"/>
              <w:right w:val="single" w:sz="4" w:space="0" w:color="auto"/>
            </w:tcBorders>
          </w:tcPr>
          <w:p w14:paraId="4AF62C1E"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61075FA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Preference Shares</w:t>
            </w:r>
          </w:p>
        </w:tc>
        <w:tc>
          <w:tcPr>
            <w:tcW w:w="2254" w:type="dxa"/>
            <w:tcBorders>
              <w:top w:val="single" w:sz="4" w:space="0" w:color="auto"/>
              <w:left w:val="single" w:sz="4" w:space="0" w:color="auto"/>
              <w:bottom w:val="single" w:sz="4" w:space="0" w:color="auto"/>
              <w:right w:val="single" w:sz="4" w:space="0" w:color="auto"/>
            </w:tcBorders>
            <w:hideMark/>
          </w:tcPr>
          <w:p w14:paraId="72EE5573"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300,000</w:t>
            </w:r>
          </w:p>
        </w:tc>
      </w:tr>
      <w:tr w:rsidR="000E3C5F" w14:paraId="0BC1EA0E"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0AD248F9"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Plant &amp; Equipment</w:t>
            </w:r>
          </w:p>
        </w:tc>
        <w:tc>
          <w:tcPr>
            <w:tcW w:w="2254" w:type="dxa"/>
            <w:tcBorders>
              <w:top w:val="single" w:sz="4" w:space="0" w:color="auto"/>
              <w:left w:val="single" w:sz="4" w:space="0" w:color="auto"/>
              <w:bottom w:val="single" w:sz="4" w:space="0" w:color="auto"/>
              <w:right w:val="single" w:sz="4" w:space="0" w:color="auto"/>
            </w:tcBorders>
            <w:hideMark/>
          </w:tcPr>
          <w:p w14:paraId="40463BBE"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632,730</w:t>
            </w:r>
          </w:p>
        </w:tc>
        <w:tc>
          <w:tcPr>
            <w:tcW w:w="2254" w:type="dxa"/>
            <w:tcBorders>
              <w:top w:val="single" w:sz="4" w:space="0" w:color="auto"/>
              <w:left w:val="single" w:sz="4" w:space="0" w:color="auto"/>
              <w:bottom w:val="single" w:sz="4" w:space="0" w:color="auto"/>
              <w:right w:val="single" w:sz="4" w:space="0" w:color="auto"/>
            </w:tcBorders>
            <w:hideMark/>
          </w:tcPr>
          <w:p w14:paraId="616EC635"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Debentures</w:t>
            </w:r>
          </w:p>
        </w:tc>
        <w:tc>
          <w:tcPr>
            <w:tcW w:w="2254" w:type="dxa"/>
            <w:tcBorders>
              <w:top w:val="single" w:sz="4" w:space="0" w:color="auto"/>
              <w:left w:val="single" w:sz="4" w:space="0" w:color="auto"/>
              <w:bottom w:val="single" w:sz="4" w:space="0" w:color="auto"/>
              <w:right w:val="single" w:sz="4" w:space="0" w:color="auto"/>
            </w:tcBorders>
            <w:hideMark/>
          </w:tcPr>
          <w:p w14:paraId="71B6C57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100,000</w:t>
            </w:r>
          </w:p>
        </w:tc>
      </w:tr>
      <w:tr w:rsidR="000E3C5F" w14:paraId="61874C71" w14:textId="77777777" w:rsidTr="000E3C5F">
        <w:tc>
          <w:tcPr>
            <w:tcW w:w="2254" w:type="dxa"/>
            <w:tcBorders>
              <w:top w:val="single" w:sz="4" w:space="0" w:color="auto"/>
              <w:left w:val="single" w:sz="4" w:space="0" w:color="auto"/>
              <w:bottom w:val="single" w:sz="4" w:space="0" w:color="auto"/>
              <w:right w:val="single" w:sz="4" w:space="0" w:color="auto"/>
            </w:tcBorders>
          </w:tcPr>
          <w:p w14:paraId="293CD8C1"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1E542A66"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1DEB4D12"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Retained Profits</w:t>
            </w:r>
          </w:p>
        </w:tc>
        <w:tc>
          <w:tcPr>
            <w:tcW w:w="2254" w:type="dxa"/>
            <w:tcBorders>
              <w:top w:val="single" w:sz="4" w:space="0" w:color="auto"/>
              <w:left w:val="single" w:sz="4" w:space="0" w:color="auto"/>
              <w:bottom w:val="single" w:sz="4" w:space="0" w:color="auto"/>
              <w:right w:val="single" w:sz="4" w:space="0" w:color="auto"/>
            </w:tcBorders>
            <w:hideMark/>
          </w:tcPr>
          <w:p w14:paraId="66F85FF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132,000</w:t>
            </w:r>
          </w:p>
        </w:tc>
      </w:tr>
      <w:tr w:rsidR="000E3C5F" w14:paraId="546951A5" w14:textId="77777777" w:rsidTr="000E3C5F">
        <w:tc>
          <w:tcPr>
            <w:tcW w:w="2254" w:type="dxa"/>
            <w:tcBorders>
              <w:top w:val="single" w:sz="4" w:space="0" w:color="auto"/>
              <w:left w:val="single" w:sz="4" w:space="0" w:color="auto"/>
              <w:bottom w:val="single" w:sz="4" w:space="0" w:color="auto"/>
              <w:right w:val="single" w:sz="4" w:space="0" w:color="auto"/>
            </w:tcBorders>
          </w:tcPr>
          <w:p w14:paraId="1E8C7B98"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0E6E4951"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37FF6CC3"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Dividends</w:t>
            </w:r>
          </w:p>
        </w:tc>
        <w:tc>
          <w:tcPr>
            <w:tcW w:w="2254" w:type="dxa"/>
            <w:tcBorders>
              <w:top w:val="single" w:sz="4" w:space="0" w:color="auto"/>
              <w:left w:val="single" w:sz="4" w:space="0" w:color="auto"/>
              <w:bottom w:val="single" w:sz="4" w:space="0" w:color="auto"/>
              <w:right w:val="single" w:sz="4" w:space="0" w:color="auto"/>
            </w:tcBorders>
            <w:hideMark/>
          </w:tcPr>
          <w:p w14:paraId="5CFC417D"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20,000</w:t>
            </w:r>
          </w:p>
        </w:tc>
      </w:tr>
      <w:tr w:rsidR="000E3C5F" w14:paraId="2A860798" w14:textId="77777777" w:rsidTr="000E3C5F">
        <w:tc>
          <w:tcPr>
            <w:tcW w:w="2254" w:type="dxa"/>
            <w:tcBorders>
              <w:top w:val="single" w:sz="4" w:space="0" w:color="auto"/>
              <w:left w:val="single" w:sz="4" w:space="0" w:color="auto"/>
              <w:bottom w:val="single" w:sz="4" w:space="0" w:color="auto"/>
              <w:right w:val="single" w:sz="4" w:space="0" w:color="auto"/>
            </w:tcBorders>
          </w:tcPr>
          <w:p w14:paraId="676DFCBB"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01859151"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7C247BCE"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Remunerations</w:t>
            </w:r>
          </w:p>
        </w:tc>
        <w:tc>
          <w:tcPr>
            <w:tcW w:w="2254" w:type="dxa"/>
            <w:tcBorders>
              <w:top w:val="single" w:sz="4" w:space="0" w:color="auto"/>
              <w:left w:val="single" w:sz="4" w:space="0" w:color="auto"/>
              <w:bottom w:val="single" w:sz="4" w:space="0" w:color="auto"/>
              <w:right w:val="single" w:sz="4" w:space="0" w:color="auto"/>
            </w:tcBorders>
            <w:hideMark/>
          </w:tcPr>
          <w:p w14:paraId="1EAE948F"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5,000</w:t>
            </w:r>
          </w:p>
        </w:tc>
      </w:tr>
      <w:tr w:rsidR="000E3C5F" w14:paraId="1150FE25" w14:textId="77777777" w:rsidTr="000E3C5F">
        <w:tc>
          <w:tcPr>
            <w:tcW w:w="2254" w:type="dxa"/>
            <w:tcBorders>
              <w:top w:val="single" w:sz="4" w:space="0" w:color="auto"/>
              <w:left w:val="single" w:sz="4" w:space="0" w:color="auto"/>
              <w:bottom w:val="single" w:sz="4" w:space="0" w:color="auto"/>
              <w:right w:val="single" w:sz="4" w:space="0" w:color="auto"/>
            </w:tcBorders>
          </w:tcPr>
          <w:p w14:paraId="72DE1D4B"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tcPr>
          <w:p w14:paraId="4E16C699" w14:textId="77777777" w:rsidR="000E3C5F" w:rsidRDefault="000E3C5F">
            <w:pPr>
              <w:spacing w:line="360" w:lineRule="auto"/>
              <w:rPr>
                <w:rFonts w:ascii="Times New Roman" w:hAnsi="Times New Roman" w:cs="Times New Roman"/>
                <w:sz w:val="24"/>
                <w:szCs w:val="24"/>
              </w:rPr>
            </w:pPr>
          </w:p>
        </w:tc>
        <w:tc>
          <w:tcPr>
            <w:tcW w:w="2254" w:type="dxa"/>
            <w:tcBorders>
              <w:top w:val="single" w:sz="4" w:space="0" w:color="auto"/>
              <w:left w:val="single" w:sz="4" w:space="0" w:color="auto"/>
              <w:bottom w:val="single" w:sz="4" w:space="0" w:color="auto"/>
              <w:right w:val="single" w:sz="4" w:space="0" w:color="auto"/>
            </w:tcBorders>
            <w:hideMark/>
          </w:tcPr>
          <w:p w14:paraId="5ACDBB44"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Corporate Tax</w:t>
            </w:r>
          </w:p>
        </w:tc>
        <w:tc>
          <w:tcPr>
            <w:tcW w:w="2254" w:type="dxa"/>
            <w:tcBorders>
              <w:top w:val="single" w:sz="4" w:space="0" w:color="auto"/>
              <w:left w:val="single" w:sz="4" w:space="0" w:color="auto"/>
              <w:bottom w:val="single" w:sz="4" w:space="0" w:color="auto"/>
              <w:right w:val="single" w:sz="4" w:space="0" w:color="auto"/>
            </w:tcBorders>
            <w:hideMark/>
          </w:tcPr>
          <w:p w14:paraId="2195F7D2" w14:textId="77777777" w:rsidR="000E3C5F" w:rsidRDefault="000E3C5F">
            <w:pPr>
              <w:spacing w:line="360" w:lineRule="auto"/>
              <w:rPr>
                <w:rFonts w:ascii="Times New Roman" w:hAnsi="Times New Roman" w:cs="Times New Roman"/>
                <w:sz w:val="24"/>
                <w:szCs w:val="24"/>
              </w:rPr>
            </w:pPr>
            <w:r>
              <w:rPr>
                <w:rFonts w:ascii="Times New Roman" w:hAnsi="Times New Roman" w:cs="Times New Roman"/>
                <w:sz w:val="24"/>
                <w:szCs w:val="24"/>
              </w:rPr>
              <w:t>68,000</w:t>
            </w:r>
          </w:p>
        </w:tc>
      </w:tr>
      <w:tr w:rsidR="000E3C5F" w14:paraId="16D97D29" w14:textId="77777777" w:rsidTr="000E3C5F">
        <w:tc>
          <w:tcPr>
            <w:tcW w:w="2254" w:type="dxa"/>
            <w:tcBorders>
              <w:top w:val="single" w:sz="4" w:space="0" w:color="auto"/>
              <w:left w:val="single" w:sz="4" w:space="0" w:color="auto"/>
              <w:bottom w:val="single" w:sz="4" w:space="0" w:color="auto"/>
              <w:right w:val="single" w:sz="4" w:space="0" w:color="auto"/>
            </w:tcBorders>
            <w:hideMark/>
          </w:tcPr>
          <w:p w14:paraId="6B329686"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Total Assets</w:t>
            </w:r>
          </w:p>
        </w:tc>
        <w:tc>
          <w:tcPr>
            <w:tcW w:w="2254" w:type="dxa"/>
            <w:tcBorders>
              <w:top w:val="single" w:sz="4" w:space="0" w:color="auto"/>
              <w:left w:val="single" w:sz="4" w:space="0" w:color="auto"/>
              <w:bottom w:val="single" w:sz="4" w:space="0" w:color="auto"/>
              <w:right w:val="single" w:sz="4" w:space="0" w:color="auto"/>
            </w:tcBorders>
            <w:hideMark/>
          </w:tcPr>
          <w:p w14:paraId="0EC57EA8"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1,177,335</w:t>
            </w:r>
          </w:p>
        </w:tc>
        <w:tc>
          <w:tcPr>
            <w:tcW w:w="2254" w:type="dxa"/>
            <w:tcBorders>
              <w:top w:val="single" w:sz="4" w:space="0" w:color="auto"/>
              <w:left w:val="single" w:sz="4" w:space="0" w:color="auto"/>
              <w:bottom w:val="single" w:sz="4" w:space="0" w:color="auto"/>
              <w:right w:val="single" w:sz="4" w:space="0" w:color="auto"/>
            </w:tcBorders>
            <w:hideMark/>
          </w:tcPr>
          <w:p w14:paraId="49989CC4"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Total Equity and Liabilities</w:t>
            </w:r>
          </w:p>
        </w:tc>
        <w:tc>
          <w:tcPr>
            <w:tcW w:w="2254" w:type="dxa"/>
            <w:tcBorders>
              <w:top w:val="single" w:sz="4" w:space="0" w:color="auto"/>
              <w:left w:val="single" w:sz="4" w:space="0" w:color="auto"/>
              <w:bottom w:val="single" w:sz="4" w:space="0" w:color="auto"/>
              <w:right w:val="single" w:sz="4" w:space="0" w:color="auto"/>
            </w:tcBorders>
            <w:hideMark/>
          </w:tcPr>
          <w:p w14:paraId="7EC2EBB5" w14:textId="77777777" w:rsidR="000E3C5F" w:rsidRDefault="000E3C5F">
            <w:pPr>
              <w:spacing w:line="360" w:lineRule="auto"/>
              <w:rPr>
                <w:rFonts w:ascii="Times New Roman" w:hAnsi="Times New Roman" w:cs="Times New Roman"/>
                <w:b/>
                <w:sz w:val="24"/>
                <w:szCs w:val="24"/>
              </w:rPr>
            </w:pPr>
            <w:r>
              <w:rPr>
                <w:rFonts w:ascii="Times New Roman" w:hAnsi="Times New Roman" w:cs="Times New Roman"/>
                <w:b/>
                <w:sz w:val="24"/>
                <w:szCs w:val="24"/>
              </w:rPr>
              <w:t>1,175,335</w:t>
            </w:r>
          </w:p>
        </w:tc>
      </w:tr>
    </w:tbl>
    <w:p w14:paraId="30A351DB" w14:textId="77777777" w:rsidR="000E3C5F" w:rsidRDefault="000E3C5F" w:rsidP="000E3C5F">
      <w:pPr>
        <w:spacing w:line="480" w:lineRule="auto"/>
        <w:rPr>
          <w:rFonts w:ascii="Times New Roman" w:hAnsi="Times New Roman" w:cs="Times New Roman"/>
          <w:sz w:val="24"/>
          <w:szCs w:val="24"/>
          <w:lang w:val="en-GB"/>
        </w:rPr>
      </w:pPr>
    </w:p>
    <w:p w14:paraId="04880EBC" w14:textId="31AB6905" w:rsidR="000E3C5F" w:rsidRDefault="000E3C5F" w:rsidP="000E3C5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The statement of the financial position represents the exact financial status of an entity at a particular period in time (</w:t>
      </w:r>
      <w:r>
        <w:rPr>
          <w:rFonts w:ascii="Times New Roman" w:hAnsi="Times New Roman" w:cs="Times New Roman"/>
          <w:color w:val="222222"/>
          <w:sz w:val="24"/>
          <w:szCs w:val="24"/>
          <w:shd w:val="clear" w:color="auto" w:fill="FFFFFF"/>
        </w:rPr>
        <w:t>Williams &amp; Dobelman, 2017)</w:t>
      </w:r>
      <w:r>
        <w:rPr>
          <w:rFonts w:ascii="Times New Roman" w:hAnsi="Times New Roman" w:cs="Times New Roman"/>
          <w:sz w:val="24"/>
          <w:szCs w:val="24"/>
        </w:rPr>
        <w:t xml:space="preserve">. According to Oliver (2014), the statement shows what a company owns or is likely to receive in the future. As shown in the case of Kedison PLC above, the statement will always balance. This means that at any given time, assets equal liabilities. Bucci (2014) links this situation to the concept of double-entry. This means </w:t>
      </w:r>
      <w:r>
        <w:rPr>
          <w:rFonts w:ascii="Times New Roman" w:hAnsi="Times New Roman" w:cs="Times New Roman"/>
          <w:sz w:val="24"/>
          <w:szCs w:val="24"/>
        </w:rPr>
        <w:lastRenderedPageBreak/>
        <w:t>that every entry or transaction will have an equal and opposite effect that is recorded in at least two different accounts (Ives, 2020; Robinson, 2020). Based on the above reason, the statement of financial position will always be at equilibrium. The rationale here is that the assets invested by business owners will always equal the sum of equity and liabilities (</w:t>
      </w:r>
      <w:r>
        <w:rPr>
          <w:rFonts w:ascii="Times New Roman" w:hAnsi="Times New Roman" w:cs="Times New Roman"/>
          <w:color w:val="222222"/>
          <w:sz w:val="24"/>
          <w:szCs w:val="24"/>
          <w:shd w:val="clear" w:color="auto" w:fill="FFFFFF"/>
        </w:rPr>
        <w:t>Wahlen, Baginski &amp; Bradshaw, 2014; Griffin &amp; Mahajan, 2019)</w:t>
      </w:r>
      <w:r>
        <w:rPr>
          <w:rFonts w:ascii="Times New Roman" w:hAnsi="Times New Roman" w:cs="Times New Roman"/>
          <w:sz w:val="24"/>
          <w:szCs w:val="24"/>
        </w:rPr>
        <w:t xml:space="preserve">. The statement is particularly helpful in determining the state of the firm’s financial risk as well as possible areas that require improvement. </w:t>
      </w:r>
    </w:p>
    <w:p w14:paraId="17E8B9F0" w14:textId="77777777" w:rsidR="000E3C5F" w:rsidRDefault="000E3C5F" w:rsidP="000E3C5F">
      <w:pPr>
        <w:spacing w:line="360" w:lineRule="auto"/>
        <w:ind w:firstLine="720"/>
        <w:jc w:val="both"/>
        <w:rPr>
          <w:rFonts w:ascii="Times New Roman" w:hAnsi="Times New Roman" w:cs="Times New Roman"/>
          <w:sz w:val="24"/>
          <w:szCs w:val="24"/>
        </w:rPr>
      </w:pPr>
    </w:p>
    <w:p w14:paraId="72AA0368" w14:textId="11788D9C" w:rsidR="000E3C5F" w:rsidRPr="000E3C5F" w:rsidRDefault="000E3C5F" w:rsidP="000E3C5F">
      <w:pPr>
        <w:pStyle w:val="ListParagraph"/>
        <w:numPr>
          <w:ilvl w:val="0"/>
          <w:numId w:val="1"/>
        </w:numPr>
        <w:spacing w:line="480" w:lineRule="auto"/>
        <w:jc w:val="both"/>
        <w:rPr>
          <w:rFonts w:ascii="Times New Roman" w:hAnsi="Times New Roman" w:cs="Times New Roman"/>
          <w:b/>
          <w:sz w:val="24"/>
          <w:szCs w:val="24"/>
        </w:rPr>
      </w:pPr>
      <w:r w:rsidRPr="000E3C5F">
        <w:rPr>
          <w:rFonts w:ascii="Times New Roman" w:hAnsi="Times New Roman" w:cs="Times New Roman"/>
          <w:b/>
          <w:sz w:val="24"/>
          <w:szCs w:val="24"/>
        </w:rPr>
        <w:t>Question 2</w:t>
      </w:r>
    </w:p>
    <w:p w14:paraId="7F51A710" w14:textId="3E300E6E" w:rsidR="000E3C5F" w:rsidRDefault="000E3C5F" w:rsidP="000E3C5F">
      <w:pPr>
        <w:rPr>
          <w:rFonts w:ascii="Times New Roman" w:hAnsi="Times New Roman" w:cs="Times New Roman"/>
          <w:i/>
          <w:iCs/>
          <w:sz w:val="24"/>
          <w:szCs w:val="24"/>
        </w:rPr>
      </w:pPr>
      <w:r w:rsidRPr="000E3C5F">
        <w:rPr>
          <w:rFonts w:ascii="Times New Roman" w:hAnsi="Times New Roman" w:cs="Times New Roman"/>
          <w:i/>
          <w:iCs/>
          <w:sz w:val="24"/>
          <w:szCs w:val="24"/>
        </w:rPr>
        <w:t>Ratios for Chocco</w:t>
      </w:r>
    </w:p>
    <w:p w14:paraId="54A67684" w14:textId="77777777" w:rsidR="000E3C5F" w:rsidRPr="000E3C5F" w:rsidRDefault="000E3C5F" w:rsidP="000E3C5F">
      <w:pPr>
        <w:rPr>
          <w:rFonts w:ascii="Times New Roman" w:hAnsi="Times New Roman" w:cs="Times New Roman"/>
          <w:i/>
          <w:iCs/>
          <w:sz w:val="24"/>
          <w:szCs w:val="24"/>
        </w:rPr>
      </w:pPr>
    </w:p>
    <w:p w14:paraId="7A82FB6F"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ROCE   = Profit before interest and tax ÷ Capital Employed </w:t>
      </w:r>
    </w:p>
    <w:p w14:paraId="0DF4BD73"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ROCE 2019 = £699 ÷ Capital employed</w:t>
      </w:r>
    </w:p>
    <w:p w14:paraId="01149C74"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Capital employed = Total Assets – Current Liabilities</w:t>
      </w:r>
    </w:p>
    <w:p w14:paraId="0EC2C00C"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Capital employed 2019 =  £10087 - £3046  = £7041</w:t>
      </w:r>
    </w:p>
    <w:p w14:paraId="604E3EC9"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Capital employed 2020 = £9736 - £2511 = £7225</w:t>
      </w:r>
    </w:p>
    <w:p w14:paraId="34CB93BA"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ROCE 2019 = £699 ÷ £7041</w:t>
      </w:r>
    </w:p>
    <w:p w14:paraId="00EF1B8B"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0.09927   = 9.93%</w:t>
      </w:r>
    </w:p>
    <w:p w14:paraId="70005638"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ROCE 2020 = £805 ÷ £7225</w:t>
      </w:r>
    </w:p>
    <w:p w14:paraId="57F8A16C"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0.11141  = 11.14%</w:t>
      </w:r>
    </w:p>
    <w:p w14:paraId="78559402" w14:textId="77777777" w:rsidR="000E3C5F" w:rsidRDefault="000E3C5F" w:rsidP="000E3C5F">
      <w:pPr>
        <w:rPr>
          <w:rFonts w:ascii="Times New Roman" w:hAnsi="Times New Roman" w:cs="Times New Roman"/>
          <w:sz w:val="24"/>
          <w:szCs w:val="24"/>
        </w:rPr>
      </w:pPr>
    </w:p>
    <w:p w14:paraId="061C0086"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ROE  = Net Income ÷ Shareholder’s equity</w:t>
      </w:r>
    </w:p>
    <w:p w14:paraId="7B4CC874"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ROE 2019 = £366 ÷ £2912</w:t>
      </w:r>
    </w:p>
    <w:p w14:paraId="4BB2F7AF"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0.12568 = 12.57%</w:t>
      </w:r>
    </w:p>
    <w:p w14:paraId="2BD4E3FF"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ROE 2020 = £431 ÷ £3088</w:t>
      </w:r>
    </w:p>
    <w:p w14:paraId="213B64F0"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0.13957 =13.96%</w:t>
      </w:r>
    </w:p>
    <w:p w14:paraId="7E9C009C" w14:textId="77777777" w:rsidR="000E3C5F" w:rsidRDefault="000E3C5F" w:rsidP="000E3C5F">
      <w:pPr>
        <w:rPr>
          <w:rFonts w:ascii="Times New Roman" w:hAnsi="Times New Roman" w:cs="Times New Roman"/>
          <w:sz w:val="24"/>
          <w:szCs w:val="24"/>
        </w:rPr>
      </w:pPr>
    </w:p>
    <w:p w14:paraId="41D04E11"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Net Profit Margin = Net Profits ÷ Revenue</w:t>
      </w:r>
    </w:p>
    <w:p w14:paraId="6F4FC381"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Net Profit Margin 2019  =   £366 ÷ £6441</w:t>
      </w:r>
    </w:p>
    <w:p w14:paraId="620C2A31"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lastRenderedPageBreak/>
        <w:t xml:space="preserve">                                        = 0.0568    = 5.68%</w:t>
      </w:r>
    </w:p>
    <w:p w14:paraId="07BB7D3C"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Net Profit Margin 2020 = £431 ÷ £6738 </w:t>
      </w:r>
    </w:p>
    <w:p w14:paraId="3EC01BB2"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0.0639     = 6.39%</w:t>
      </w:r>
    </w:p>
    <w:p w14:paraId="6AF35EA4"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Assets Turnover = Net Sales ÷ Average Total Assets</w:t>
      </w:r>
    </w:p>
    <w:p w14:paraId="1582B7C3"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Assets Turnover 2019 = £6441 ÷ (£10087/2)</w:t>
      </w:r>
    </w:p>
    <w:p w14:paraId="52D062D2"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1.277</w:t>
      </w:r>
    </w:p>
    <w:p w14:paraId="1F6BE7DC"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Assets Turnover 2020 = £6738 ÷ (£9736/2)</w:t>
      </w:r>
    </w:p>
    <w:p w14:paraId="09AAA709"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1.384</w:t>
      </w:r>
    </w:p>
    <w:p w14:paraId="72D6BC03"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Stock Holding Days = (Average Inventory ÷ Cost of Goods Sold) * 365</w:t>
      </w:r>
    </w:p>
    <w:p w14:paraId="32F7C4B0"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Stock Holding Days 2019 = (£659 ÷ £3096) * 365</w:t>
      </w:r>
    </w:p>
    <w:p w14:paraId="664168AE"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77.69 days </w:t>
      </w:r>
    </w:p>
    <w:p w14:paraId="7659C5C2"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Stock Holding Days 2020 = (£708 ÷ £3235) *365</w:t>
      </w:r>
    </w:p>
    <w:p w14:paraId="6D04888D"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79.88 days</w:t>
      </w:r>
    </w:p>
    <w:p w14:paraId="61F78AC6"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Debtor’s Collection Period = (Trade Receivables ÷ Total Net Sales) *365</w:t>
      </w:r>
    </w:p>
    <w:p w14:paraId="7093AA04"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Debtor’s Collection Period 2019 = (£1287 ÷ £6441) * 365</w:t>
      </w:r>
    </w:p>
    <w:p w14:paraId="6BEE3E5B"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72.93 days</w:t>
      </w:r>
    </w:p>
    <w:p w14:paraId="2DDB2045"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Debtor’s Collection Period 2020 = (£1249 ÷ £6738) *365</w:t>
      </w:r>
    </w:p>
    <w:p w14:paraId="4A71D09B"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67.66 days</w:t>
      </w:r>
    </w:p>
    <w:p w14:paraId="0B5CA679"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Current Ratio = Current Assets ÷ Current Liabilities</w:t>
      </w:r>
    </w:p>
    <w:p w14:paraId="7C6B3377"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Current Ratio 2019 = £2355 ÷ £3046</w:t>
      </w:r>
    </w:p>
    <w:p w14:paraId="37A24F52"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0.7731</w:t>
      </w:r>
    </w:p>
    <w:p w14:paraId="68C9D6A0"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Current Ratio 2020 = £2303 ÷ £2511</w:t>
      </w:r>
    </w:p>
    <w:p w14:paraId="223BB02A"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0.9171</w:t>
      </w:r>
    </w:p>
    <w:p w14:paraId="66E1EE48"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Gearing Ratio = Total Non-Current Liabilities ÷ Total Shareholder’s Equity</w:t>
      </w:r>
    </w:p>
    <w:p w14:paraId="047F34C0"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Gearing Ratio 2019 = £4129 ÷ £2912</w:t>
      </w:r>
    </w:p>
    <w:p w14:paraId="1F174F24"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1.417</w:t>
      </w:r>
    </w:p>
    <w:p w14:paraId="5C43E40E"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Gearing Ratio 2020 = £4137 ÷ £3088</w:t>
      </w:r>
    </w:p>
    <w:p w14:paraId="3390CDF8"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1.339</w:t>
      </w:r>
    </w:p>
    <w:p w14:paraId="553A779D"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Coverage Ratio = Operating income ÷ Interest Expense</w:t>
      </w:r>
    </w:p>
    <w:p w14:paraId="3F0B97AE"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lastRenderedPageBreak/>
        <w:t>Coverage Ratio 2019 = £539 ÷ £181</w:t>
      </w:r>
    </w:p>
    <w:p w14:paraId="3AC6B94A"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2.97</w:t>
      </w:r>
    </w:p>
    <w:p w14:paraId="74BF25DE"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Coverage Ratio 2020 = £620 ÷ £226</w:t>
      </w:r>
    </w:p>
    <w:p w14:paraId="641CBB9E" w14:textId="77777777" w:rsidR="000E3C5F" w:rsidRDefault="000E3C5F" w:rsidP="000E3C5F">
      <w:pPr>
        <w:rPr>
          <w:rFonts w:ascii="Times New Roman" w:hAnsi="Times New Roman" w:cs="Times New Roman"/>
          <w:sz w:val="24"/>
          <w:szCs w:val="24"/>
        </w:rPr>
      </w:pPr>
      <w:r>
        <w:rPr>
          <w:rFonts w:ascii="Times New Roman" w:hAnsi="Times New Roman" w:cs="Times New Roman"/>
          <w:sz w:val="24"/>
          <w:szCs w:val="24"/>
        </w:rPr>
        <w:t xml:space="preserve">                                    = 2.74</w:t>
      </w:r>
    </w:p>
    <w:p w14:paraId="3D5693E9" w14:textId="739BD964" w:rsidR="000E3C5F" w:rsidRDefault="000E3C5F" w:rsidP="000E3C5F">
      <w:pPr>
        <w:rPr>
          <w:rFonts w:ascii="Times New Roman" w:hAnsi="Times New Roman" w:cs="Times New Roman"/>
          <w:sz w:val="24"/>
          <w:szCs w:val="24"/>
        </w:rPr>
      </w:pPr>
    </w:p>
    <w:p w14:paraId="3CEFBD00" w14:textId="77777777" w:rsidR="000E3C5F" w:rsidRDefault="000E3C5F" w:rsidP="000E3C5F">
      <w:pPr>
        <w:rPr>
          <w:rFonts w:ascii="Times New Roman" w:hAnsi="Times New Roman" w:cs="Times New Roman"/>
          <w:sz w:val="24"/>
          <w:szCs w:val="24"/>
        </w:rPr>
      </w:pPr>
    </w:p>
    <w:p w14:paraId="6D194F54" w14:textId="1FF904E7" w:rsidR="000E3C5F" w:rsidRDefault="000E3C5F" w:rsidP="000E3C5F">
      <w:pPr>
        <w:jc w:val="both"/>
        <w:rPr>
          <w:rFonts w:ascii="Times New Roman" w:hAnsi="Times New Roman" w:cs="Times New Roman"/>
          <w:i/>
          <w:iCs/>
          <w:sz w:val="24"/>
          <w:szCs w:val="24"/>
        </w:rPr>
      </w:pPr>
      <w:r>
        <w:rPr>
          <w:rFonts w:ascii="Times New Roman" w:hAnsi="Times New Roman" w:cs="Times New Roman"/>
          <w:i/>
          <w:iCs/>
          <w:sz w:val="24"/>
          <w:szCs w:val="24"/>
        </w:rPr>
        <w:t>Financial performance and position for Chocco plc</w:t>
      </w:r>
    </w:p>
    <w:p w14:paraId="2F3DDEDF" w14:textId="77777777" w:rsidR="000E3C5F" w:rsidRPr="000E3C5F" w:rsidRDefault="000E3C5F" w:rsidP="000E3C5F">
      <w:pPr>
        <w:jc w:val="both"/>
        <w:rPr>
          <w:rFonts w:ascii="Times New Roman" w:hAnsi="Times New Roman" w:cs="Times New Roman"/>
          <w:i/>
          <w:iCs/>
          <w:sz w:val="24"/>
          <w:szCs w:val="24"/>
        </w:rPr>
      </w:pPr>
    </w:p>
    <w:p w14:paraId="3D75209F" w14:textId="77777777" w:rsidR="000E3C5F" w:rsidRDefault="000E3C5F" w:rsidP="000E3C5F">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Based on the financial ratios above, several comments can be made about the firm's financial position. On profitability, the firm generated 9.93% of its Profit from the capital in 2019, a figure that increased to 11.14% in 2020. Equally, the net profit margin increased from 5.68% in 2019 to 6.39% in 2020. This means that, in general, Chocco PLC was more profitable in 2020 than in 2019. A higher profit in 2020 could be linked to a high asset turnover and reduced debt collection period, which means that the firm was able to collect its debts sooner (Sagala, 2019). However, the firm still has a large collection period of over two months compared to 30 days which is the average period taken by many companies (</w:t>
      </w:r>
      <w:r>
        <w:rPr>
          <w:rFonts w:ascii="Times New Roman" w:hAnsi="Times New Roman" w:cs="Times New Roman"/>
          <w:color w:val="222222"/>
          <w:sz w:val="24"/>
          <w:szCs w:val="24"/>
          <w:shd w:val="clear" w:color="auto" w:fill="FFFFFF"/>
        </w:rPr>
        <w:t>Han &amp; Jang, 2013)</w:t>
      </w:r>
      <w:r>
        <w:rPr>
          <w:rFonts w:ascii="Times New Roman" w:hAnsi="Times New Roman" w:cs="Times New Roman"/>
          <w:sz w:val="24"/>
          <w:szCs w:val="24"/>
        </w:rPr>
        <w:t xml:space="preserve">. The next point is that the current ratio for both 2019 and 2020 is below 1. According to </w:t>
      </w:r>
      <w:r>
        <w:rPr>
          <w:rFonts w:ascii="Times New Roman" w:hAnsi="Times New Roman" w:cs="Times New Roman"/>
          <w:color w:val="222222"/>
          <w:sz w:val="24"/>
          <w:szCs w:val="24"/>
          <w:shd w:val="clear" w:color="auto" w:fill="FFFFFF"/>
        </w:rPr>
        <w:t>Nuryani and Sunarsi</w:t>
      </w:r>
      <w:r>
        <w:rPr>
          <w:rFonts w:ascii="Times New Roman" w:hAnsi="Times New Roman" w:cs="Times New Roman"/>
          <w:sz w:val="24"/>
          <w:szCs w:val="24"/>
        </w:rPr>
        <w:t xml:space="preserve"> (2020), the recommended ratio is that of 1.5. Under the current situation, Chocco PLC might not be able to satisfy its current debt obligations within the next year. </w:t>
      </w:r>
    </w:p>
    <w:p w14:paraId="51713878" w14:textId="77777777" w:rsidR="000E3C5F" w:rsidRDefault="000E3C5F" w:rsidP="000E3C5F">
      <w:pPr>
        <w:spacing w:line="480" w:lineRule="auto"/>
        <w:ind w:firstLine="720"/>
        <w:rPr>
          <w:rFonts w:ascii="Times New Roman" w:hAnsi="Times New Roman" w:cs="Times New Roman"/>
          <w:sz w:val="24"/>
          <w:szCs w:val="24"/>
        </w:rPr>
      </w:pPr>
    </w:p>
    <w:p w14:paraId="7F904315" w14:textId="77777777" w:rsidR="000E3C5F" w:rsidRDefault="000E3C5F" w:rsidP="000E3C5F">
      <w:pPr>
        <w:spacing w:line="480" w:lineRule="auto"/>
        <w:ind w:firstLine="720"/>
        <w:rPr>
          <w:rFonts w:ascii="Times New Roman" w:hAnsi="Times New Roman" w:cs="Times New Roman"/>
          <w:sz w:val="24"/>
          <w:szCs w:val="24"/>
        </w:rPr>
      </w:pPr>
    </w:p>
    <w:p w14:paraId="5C6A879F" w14:textId="77777777" w:rsidR="000E3C5F" w:rsidRDefault="000E3C5F" w:rsidP="000E3C5F">
      <w:pPr>
        <w:spacing w:line="480" w:lineRule="auto"/>
        <w:ind w:firstLine="720"/>
        <w:rPr>
          <w:rFonts w:ascii="Times New Roman" w:hAnsi="Times New Roman" w:cs="Times New Roman"/>
          <w:sz w:val="24"/>
          <w:szCs w:val="24"/>
        </w:rPr>
      </w:pPr>
    </w:p>
    <w:p w14:paraId="398DD9FC" w14:textId="5C3F2596" w:rsidR="000E3C5F" w:rsidRDefault="000E3C5F" w:rsidP="000E3C5F">
      <w:pPr>
        <w:spacing w:line="480" w:lineRule="auto"/>
        <w:rPr>
          <w:rFonts w:ascii="Times New Roman" w:hAnsi="Times New Roman" w:cs="Times New Roman"/>
          <w:sz w:val="24"/>
          <w:szCs w:val="24"/>
        </w:rPr>
      </w:pPr>
    </w:p>
    <w:p w14:paraId="7D91E3D3" w14:textId="77777777" w:rsidR="000E3C5F" w:rsidRDefault="000E3C5F" w:rsidP="000E3C5F">
      <w:pPr>
        <w:spacing w:line="480" w:lineRule="auto"/>
        <w:rPr>
          <w:rFonts w:ascii="Times New Roman" w:hAnsi="Times New Roman" w:cs="Times New Roman"/>
          <w:sz w:val="24"/>
          <w:szCs w:val="24"/>
        </w:rPr>
      </w:pPr>
    </w:p>
    <w:p w14:paraId="11F06A39" w14:textId="77777777" w:rsidR="000E3C5F" w:rsidRDefault="000E3C5F" w:rsidP="000E3C5F">
      <w:pPr>
        <w:spacing w:line="480" w:lineRule="auto"/>
        <w:ind w:firstLine="720"/>
        <w:rPr>
          <w:rFonts w:ascii="Times New Roman" w:hAnsi="Times New Roman" w:cs="Times New Roman"/>
          <w:sz w:val="24"/>
          <w:szCs w:val="24"/>
        </w:rPr>
      </w:pPr>
    </w:p>
    <w:p w14:paraId="4F27BFBC" w14:textId="77777777" w:rsidR="000E3C5F" w:rsidRDefault="000E3C5F" w:rsidP="000E3C5F">
      <w:pPr>
        <w:spacing w:line="480" w:lineRule="auto"/>
        <w:rPr>
          <w:rFonts w:ascii="Times New Roman" w:hAnsi="Times New Roman" w:cs="Times New Roman"/>
          <w:sz w:val="24"/>
          <w:szCs w:val="24"/>
        </w:rPr>
      </w:pPr>
    </w:p>
    <w:p w14:paraId="42F35D86" w14:textId="60DE0AEA" w:rsidR="000E3C5F" w:rsidRDefault="000E3C5F" w:rsidP="000E3C5F">
      <w:pPr>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References</w:t>
      </w:r>
      <w:r>
        <w:rPr>
          <w:rFonts w:ascii="Times New Roman" w:hAnsi="Times New Roman" w:cs="Times New Roman"/>
          <w:b/>
          <w:sz w:val="24"/>
          <w:szCs w:val="24"/>
        </w:rPr>
        <w:t>:</w:t>
      </w:r>
    </w:p>
    <w:p w14:paraId="0D57A970"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Bucci, R.V., 2014. Balance Sheet. In </w:t>
      </w:r>
      <w:r>
        <w:rPr>
          <w:rFonts w:ascii="Times New Roman" w:hAnsi="Times New Roman" w:cs="Times New Roman"/>
          <w:i/>
          <w:iCs/>
          <w:color w:val="222222"/>
          <w:sz w:val="24"/>
          <w:szCs w:val="24"/>
          <w:shd w:val="clear" w:color="auto" w:fill="FFFFFF"/>
        </w:rPr>
        <w:t>Medicine and Business</w:t>
      </w:r>
      <w:r>
        <w:rPr>
          <w:rFonts w:ascii="Times New Roman" w:hAnsi="Times New Roman" w:cs="Times New Roman"/>
          <w:color w:val="222222"/>
          <w:sz w:val="24"/>
          <w:szCs w:val="24"/>
          <w:shd w:val="clear" w:color="auto" w:fill="FFFFFF"/>
        </w:rPr>
        <w:t> (pp. 49-57). Springer, Cham.</w:t>
      </w:r>
    </w:p>
    <w:p w14:paraId="770BD34C" w14:textId="77777777" w:rsidR="000E3C5F" w:rsidRDefault="000E3C5F" w:rsidP="000E3C5F">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Griffin, P.A., and Mahajan, S., 2019. Financial Statement Analysis. </w:t>
      </w:r>
      <w:r>
        <w:rPr>
          <w:rFonts w:ascii="Times New Roman" w:hAnsi="Times New Roman" w:cs="Times New Roman"/>
          <w:i/>
          <w:iCs/>
          <w:color w:val="222222"/>
          <w:sz w:val="24"/>
          <w:szCs w:val="24"/>
          <w:shd w:val="clear" w:color="auto" w:fill="FFFFFF"/>
        </w:rPr>
        <w:t>Finding Alphas: A Quantitative Approach to Building Trading Strategies</w:t>
      </w:r>
      <w:r>
        <w:rPr>
          <w:rFonts w:ascii="Times New Roman" w:hAnsi="Times New Roman" w:cs="Times New Roman"/>
          <w:color w:val="222222"/>
          <w:sz w:val="24"/>
          <w:szCs w:val="24"/>
          <w:shd w:val="clear" w:color="auto" w:fill="FFFFFF"/>
        </w:rPr>
        <w:t>, pp.141-148</w:t>
      </w:r>
    </w:p>
    <w:p w14:paraId="1BB611DC"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Han, C. and Jang, Y., 2013. Effects of debt collection practices on loss given default. </w:t>
      </w:r>
      <w:r>
        <w:rPr>
          <w:rFonts w:ascii="Times New Roman" w:hAnsi="Times New Roman" w:cs="Times New Roman"/>
          <w:i/>
          <w:iCs/>
          <w:color w:val="222222"/>
          <w:sz w:val="24"/>
          <w:szCs w:val="24"/>
          <w:shd w:val="clear" w:color="auto" w:fill="FFFFFF"/>
        </w:rPr>
        <w:t>Journal of Banking &amp; Finance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37</w:t>
      </w:r>
      <w:r>
        <w:rPr>
          <w:rFonts w:ascii="Times New Roman" w:hAnsi="Times New Roman" w:cs="Times New Roman"/>
          <w:color w:val="222222"/>
          <w:sz w:val="24"/>
          <w:szCs w:val="24"/>
          <w:shd w:val="clear" w:color="auto" w:fill="FFFFFF"/>
        </w:rPr>
        <w:t>(1), pp.21-31.</w:t>
      </w:r>
    </w:p>
    <w:p w14:paraId="32D7D327"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Ives, M., 2020. Financial Statement Analysis. In </w:t>
      </w:r>
      <w:r>
        <w:rPr>
          <w:rFonts w:ascii="Times New Roman" w:hAnsi="Times New Roman" w:cs="Times New Roman"/>
          <w:i/>
          <w:iCs/>
          <w:color w:val="222222"/>
          <w:sz w:val="24"/>
          <w:szCs w:val="24"/>
          <w:shd w:val="clear" w:color="auto" w:fill="FFFFFF"/>
        </w:rPr>
        <w:t>Encyclopedia of Public Administration and Public Policy</w:t>
      </w:r>
      <w:r>
        <w:rPr>
          <w:rFonts w:ascii="Times New Roman" w:hAnsi="Times New Roman" w:cs="Times New Roman"/>
          <w:color w:val="222222"/>
          <w:sz w:val="24"/>
          <w:szCs w:val="24"/>
          <w:shd w:val="clear" w:color="auto" w:fill="FFFFFF"/>
        </w:rPr>
        <w:t> (pp. 1472-1478). Routledge.</w:t>
      </w:r>
    </w:p>
    <w:p w14:paraId="1CCC5BC8"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Nuryani, Y. and Sunarsi, D., 2020. The Effect of Current Ratio and Debt to Equity Ratio on Deviding Growth. </w:t>
      </w:r>
      <w:r>
        <w:rPr>
          <w:rFonts w:ascii="Times New Roman" w:hAnsi="Times New Roman" w:cs="Times New Roman"/>
          <w:i/>
          <w:iCs/>
          <w:color w:val="222222"/>
          <w:sz w:val="24"/>
          <w:szCs w:val="24"/>
          <w:shd w:val="clear" w:color="auto" w:fill="FFFFFF"/>
        </w:rPr>
        <w:t>JASa (Jurnal Akuntansi, Audit dan Sistem Informasi Akuntansi)</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4</w:t>
      </w:r>
      <w:r>
        <w:rPr>
          <w:rFonts w:ascii="Times New Roman" w:hAnsi="Times New Roman" w:cs="Times New Roman"/>
          <w:color w:val="222222"/>
          <w:sz w:val="24"/>
          <w:szCs w:val="24"/>
          <w:shd w:val="clear" w:color="auto" w:fill="FFFFFF"/>
        </w:rPr>
        <w:t>(2), pp.304-312.</w:t>
      </w:r>
    </w:p>
    <w:p w14:paraId="66E9CE9C"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Oliver, K., 2014. Balance sheet Presentation under IAS 1 and US GAAP.</w:t>
      </w:r>
    </w:p>
    <w:p w14:paraId="32A83766"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Robinson, T.R., 2020. </w:t>
      </w:r>
      <w:r>
        <w:rPr>
          <w:rFonts w:ascii="Times New Roman" w:hAnsi="Times New Roman" w:cs="Times New Roman"/>
          <w:i/>
          <w:iCs/>
          <w:color w:val="222222"/>
          <w:sz w:val="24"/>
          <w:szCs w:val="24"/>
          <w:shd w:val="clear" w:color="auto" w:fill="FFFFFF"/>
        </w:rPr>
        <w:t>International financial statement analysis</w:t>
      </w:r>
      <w:r>
        <w:rPr>
          <w:rFonts w:ascii="Times New Roman" w:hAnsi="Times New Roman" w:cs="Times New Roman"/>
          <w:color w:val="222222"/>
          <w:sz w:val="24"/>
          <w:szCs w:val="24"/>
          <w:shd w:val="clear" w:color="auto" w:fill="FFFFFF"/>
        </w:rPr>
        <w:t>. John Wiley &amp; Sons.</w:t>
      </w:r>
    </w:p>
    <w:p w14:paraId="7A622023"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Sagala, D.A.P.H., 2019, October. Effect of Current Ratio, Debt To Equity Ratio, Net Profit Margin, and Total Asset Turnover on Earning Per Share. In </w:t>
      </w:r>
      <w:r>
        <w:rPr>
          <w:rFonts w:ascii="Times New Roman" w:hAnsi="Times New Roman" w:cs="Times New Roman"/>
          <w:i/>
          <w:iCs/>
          <w:color w:val="222222"/>
          <w:sz w:val="24"/>
          <w:szCs w:val="24"/>
          <w:shd w:val="clear" w:color="auto" w:fill="FFFFFF"/>
        </w:rPr>
        <w:t>International Conference on Global Education</w:t>
      </w:r>
      <w:r>
        <w:rPr>
          <w:rFonts w:ascii="Times New Roman" w:hAnsi="Times New Roman" w:cs="Times New Roman"/>
          <w:color w:val="222222"/>
          <w:sz w:val="24"/>
          <w:szCs w:val="24"/>
          <w:shd w:val="clear" w:color="auto" w:fill="FFFFFF"/>
        </w:rPr>
        <w:t> (pp. 1507-1521).</w:t>
      </w:r>
    </w:p>
    <w:p w14:paraId="2177E7FC"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Wahlen, J.M., Baginski, S.P. and Bradshaw, M., 2014. </w:t>
      </w:r>
      <w:r>
        <w:rPr>
          <w:rFonts w:ascii="Times New Roman" w:hAnsi="Times New Roman" w:cs="Times New Roman"/>
          <w:i/>
          <w:iCs/>
          <w:color w:val="222222"/>
          <w:sz w:val="24"/>
          <w:szCs w:val="24"/>
          <w:shd w:val="clear" w:color="auto" w:fill="FFFFFF"/>
        </w:rPr>
        <w:t>Financial reporting, financial statement analysis, and valuation</w:t>
      </w:r>
      <w:r>
        <w:rPr>
          <w:rFonts w:ascii="Times New Roman" w:hAnsi="Times New Roman" w:cs="Times New Roman"/>
          <w:color w:val="222222"/>
          <w:sz w:val="24"/>
          <w:szCs w:val="24"/>
          <w:shd w:val="clear" w:color="auto" w:fill="FFFFFF"/>
        </w:rPr>
        <w:t>. Cengage learning.</w:t>
      </w:r>
    </w:p>
    <w:p w14:paraId="100B7F66" w14:textId="77777777" w:rsidR="000E3C5F" w:rsidRDefault="000E3C5F" w:rsidP="000E3C5F">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Williams, E.E. and Dobelman, J.A., 2017. Financial statement analysis. </w:t>
      </w:r>
      <w:r>
        <w:rPr>
          <w:rFonts w:ascii="Times New Roman" w:hAnsi="Times New Roman" w:cs="Times New Roman"/>
          <w:i/>
          <w:iCs/>
          <w:color w:val="222222"/>
          <w:sz w:val="24"/>
          <w:szCs w:val="24"/>
          <w:shd w:val="clear" w:color="auto" w:fill="FFFFFF"/>
        </w:rPr>
        <w:t>World Scientific Book Chapters</w:t>
      </w:r>
      <w:r>
        <w:rPr>
          <w:rFonts w:ascii="Times New Roman" w:hAnsi="Times New Roman" w:cs="Times New Roman"/>
          <w:color w:val="222222"/>
          <w:sz w:val="24"/>
          <w:szCs w:val="24"/>
          <w:shd w:val="clear" w:color="auto" w:fill="FFFFFF"/>
        </w:rPr>
        <w:t>, pp.109-169.</w:t>
      </w:r>
    </w:p>
    <w:p w14:paraId="24231F28" w14:textId="77777777" w:rsidR="000E3C5F" w:rsidRDefault="000E3C5F" w:rsidP="000E3C5F">
      <w:pPr>
        <w:spacing w:line="480" w:lineRule="auto"/>
        <w:rPr>
          <w:rFonts w:ascii="Times New Roman" w:hAnsi="Times New Roman" w:cs="Times New Roman"/>
          <w:sz w:val="24"/>
          <w:szCs w:val="24"/>
        </w:rPr>
      </w:pPr>
    </w:p>
    <w:p w14:paraId="726F16B9" w14:textId="77777777" w:rsidR="000E3C5F" w:rsidRDefault="000E3C5F" w:rsidP="000E3C5F">
      <w:pPr>
        <w:spacing w:line="480" w:lineRule="auto"/>
        <w:rPr>
          <w:rFonts w:ascii="Times New Roman" w:hAnsi="Times New Roman" w:cs="Times New Roman"/>
          <w:color w:val="222222"/>
          <w:sz w:val="24"/>
          <w:szCs w:val="24"/>
          <w:shd w:val="clear" w:color="auto" w:fill="FFFFFF"/>
        </w:rPr>
      </w:pPr>
    </w:p>
    <w:p w14:paraId="2D212D65" w14:textId="77777777" w:rsidR="000E3C5F" w:rsidRPr="00F47A03" w:rsidRDefault="000E3C5F" w:rsidP="00F47A03">
      <w:pPr>
        <w:spacing w:line="360" w:lineRule="auto"/>
        <w:jc w:val="both"/>
        <w:rPr>
          <w:rFonts w:ascii="Times New Roman" w:hAnsi="Times New Roman" w:cs="Times New Roman"/>
          <w:sz w:val="24"/>
          <w:szCs w:val="24"/>
        </w:rPr>
      </w:pPr>
    </w:p>
    <w:p w14:paraId="1285A5FD" w14:textId="77777777" w:rsidR="00496043" w:rsidRDefault="00496043"/>
    <w:sectPr w:rsidR="00496043">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994E8" w14:textId="77777777" w:rsidR="0011001E" w:rsidRDefault="0011001E" w:rsidP="00F47A03">
      <w:pPr>
        <w:spacing w:after="0" w:line="240" w:lineRule="auto"/>
      </w:pPr>
      <w:r>
        <w:separator/>
      </w:r>
    </w:p>
  </w:endnote>
  <w:endnote w:type="continuationSeparator" w:id="0">
    <w:p w14:paraId="451D8961" w14:textId="77777777" w:rsidR="0011001E" w:rsidRDefault="0011001E" w:rsidP="00F47A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3671984"/>
      <w:docPartObj>
        <w:docPartGallery w:val="Page Numbers (Bottom of Page)"/>
        <w:docPartUnique/>
      </w:docPartObj>
    </w:sdtPr>
    <w:sdtEndPr>
      <w:rPr>
        <w:noProof/>
      </w:rPr>
    </w:sdtEndPr>
    <w:sdtContent>
      <w:p w14:paraId="1E87149C" w14:textId="70D2F1A5" w:rsidR="00F47A03" w:rsidRDefault="00F47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FE47BA" w14:textId="77777777" w:rsidR="00F47A03" w:rsidRDefault="00F47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CB1EE" w14:textId="77777777" w:rsidR="0011001E" w:rsidRDefault="0011001E" w:rsidP="00F47A03">
      <w:pPr>
        <w:spacing w:after="0" w:line="240" w:lineRule="auto"/>
      </w:pPr>
      <w:r>
        <w:separator/>
      </w:r>
    </w:p>
  </w:footnote>
  <w:footnote w:type="continuationSeparator" w:id="0">
    <w:p w14:paraId="75017728" w14:textId="77777777" w:rsidR="0011001E" w:rsidRDefault="0011001E" w:rsidP="00F47A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391D77"/>
    <w:multiLevelType w:val="hybridMultilevel"/>
    <w:tmpl w:val="73EC91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03"/>
    <w:rsid w:val="000E3C5F"/>
    <w:rsid w:val="0011001E"/>
    <w:rsid w:val="00496043"/>
    <w:rsid w:val="00F47A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E5042"/>
  <w15:chartTrackingRefBased/>
  <w15:docId w15:val="{507F75C2-056E-46ED-B5D0-79EFFFCE1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7A03"/>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A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7A03"/>
  </w:style>
  <w:style w:type="paragraph" w:styleId="Footer">
    <w:name w:val="footer"/>
    <w:basedOn w:val="Normal"/>
    <w:link w:val="FooterChar"/>
    <w:uiPriority w:val="99"/>
    <w:unhideWhenUsed/>
    <w:rsid w:val="00F47A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7A03"/>
  </w:style>
  <w:style w:type="table" w:styleId="TableGrid">
    <w:name w:val="Table Grid"/>
    <w:basedOn w:val="TableNormal"/>
    <w:uiPriority w:val="39"/>
    <w:rsid w:val="000E3C5F"/>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3C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228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1172</Words>
  <Characters>6687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Cristina Antonescu (1817787)</dc:creator>
  <cp:keywords/>
  <dc:description/>
  <cp:lastModifiedBy>Izabela Cristina Antonescu (1817787)</cp:lastModifiedBy>
  <cp:revision>1</cp:revision>
  <dcterms:created xsi:type="dcterms:W3CDTF">2021-07-17T09:48:00Z</dcterms:created>
  <dcterms:modified xsi:type="dcterms:W3CDTF">2021-07-17T10:08:00Z</dcterms:modified>
</cp:coreProperties>
</file>