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66A71F6" w14:textId="77777777" w:rsidR="00C20AC3" w:rsidRPr="002129C8" w:rsidRDefault="00C20AC3" w:rsidP="00C20AC3">
      <w:pPr>
        <w:rPr>
          <w:rFonts w:ascii="Calibri" w:eastAsiaTheme="majorEastAsia" w:hAnsi="Calibri" w:cs="Calibri"/>
          <w:b/>
          <w:bCs/>
          <w:lang w:val="en-GB"/>
        </w:rPr>
      </w:pPr>
      <w:r w:rsidRPr="002129C8">
        <w:rPr>
          <w:rFonts w:ascii="Calibri" w:eastAsiaTheme="majorEastAsia" w:hAnsi="Calibri" w:cs="Calibri"/>
          <w:b/>
          <w:bCs/>
          <w:lang w:val="en-GB"/>
        </w:rPr>
        <w:t>2.0 Literature Review</w:t>
      </w:r>
    </w:p>
    <w:p w14:paraId="1CA2E387" w14:textId="77777777" w:rsidR="00C20AC3" w:rsidRPr="002129C8" w:rsidRDefault="00C20AC3" w:rsidP="00C20AC3">
      <w:pPr>
        <w:rPr>
          <w:rFonts w:ascii="Calibri" w:eastAsiaTheme="majorEastAsia" w:hAnsi="Calibri" w:cs="Calibri"/>
          <w:b/>
          <w:bCs/>
          <w:lang w:val="en-GB"/>
        </w:rPr>
      </w:pPr>
      <w:r w:rsidRPr="002129C8">
        <w:rPr>
          <w:rFonts w:ascii="Calibri" w:eastAsiaTheme="majorEastAsia" w:hAnsi="Calibri" w:cs="Calibri"/>
          <w:b/>
          <w:bCs/>
          <w:lang w:val="en-GB"/>
        </w:rPr>
        <w:t>2.1 Introduction</w:t>
      </w:r>
    </w:p>
    <w:p w14:paraId="2FFF80DE" w14:textId="77777777" w:rsidR="00C20AC3" w:rsidRPr="002129C8" w:rsidRDefault="00C20AC3" w:rsidP="00C20AC3">
      <w:pPr>
        <w:rPr>
          <w:rFonts w:ascii="Calibri" w:eastAsiaTheme="majorEastAsia" w:hAnsi="Calibri" w:cs="Calibri"/>
          <w:lang w:val="en-GB"/>
        </w:rPr>
      </w:pPr>
      <w:r w:rsidRPr="002129C8">
        <w:rPr>
          <w:rFonts w:ascii="Calibri" w:eastAsiaTheme="majorEastAsia" w:hAnsi="Calibri" w:cs="Calibri"/>
        </w:rPr>
        <w:t xml:space="preserve">Police forces across England and Wales operate under rigorous oversight, including supervision from internal management, elected Police and Crime Commissioners, parliamentary review, and independent regulators such as His Majesty’s Inspectorate of Constabulary and Fire &amp; Rescue Services (HMICFRS) and the </w:t>
      </w:r>
      <w:r w:rsidRPr="002129C8">
        <w:rPr>
          <w:rFonts w:ascii="Calibri" w:eastAsiaTheme="majorEastAsia" w:hAnsi="Calibri" w:cs="Calibri"/>
          <w:lang w:val="en-GB"/>
        </w:rPr>
        <w:t>Independent Office for Police Conduct</w:t>
      </w:r>
      <w:r w:rsidRPr="002129C8">
        <w:rPr>
          <w:rFonts w:ascii="Calibri" w:eastAsiaTheme="majorEastAsia" w:hAnsi="Calibri" w:cs="Calibri"/>
        </w:rPr>
        <w:t xml:space="preserve"> (IOPC) (HMICFRS, 2024).</w:t>
      </w:r>
      <w:r w:rsidRPr="002129C8">
        <w:rPr>
          <w:rFonts w:ascii="Calibri" w:eastAsiaTheme="majorEastAsia" w:hAnsi="Calibri" w:cs="Calibri"/>
          <w:lang w:val="en-GB"/>
        </w:rPr>
        <w:t>These organisations scrutinise the effectiveness of police forces, the appropriateness and proportionality of use of force, adherence to human rights obligations, and the broader implications of police tactics and resource deployment. Within this framework of accountability, the introduction and continued use of Conducted Energy Devices (CEDs), commonly referred to as Tasers, has generated significant debate and attention.</w:t>
      </w:r>
    </w:p>
    <w:p w14:paraId="77FFA1C8" w14:textId="77777777" w:rsidR="00C20AC3" w:rsidRPr="002129C8" w:rsidRDefault="00C20AC3" w:rsidP="00C20AC3">
      <w:pPr>
        <w:rPr>
          <w:rFonts w:ascii="Calibri" w:eastAsiaTheme="majorEastAsia" w:hAnsi="Calibri" w:cs="Calibri"/>
          <w:lang w:val="en-GB"/>
        </w:rPr>
      </w:pPr>
      <w:r w:rsidRPr="002129C8">
        <w:rPr>
          <w:rFonts w:ascii="Calibri" w:eastAsiaTheme="majorEastAsia" w:hAnsi="Calibri" w:cs="Calibri"/>
        </w:rPr>
        <w:t xml:space="preserve">Introduced in 2003, CEDs were intended to give officers an intermediate tool for safely controlling threatening individuals, reducing the need to resort immediately to lethal measures or physically harmful interventions (College of Policing, 2022). Supporters claim that CEDs enhance officer protection and public safety by allowing control from a distance and offering a less injurious method of restraint, especially in violent or armed scenarios (Terrill and </w:t>
      </w:r>
      <w:proofErr w:type="spellStart"/>
      <w:r w:rsidRPr="002129C8">
        <w:rPr>
          <w:rFonts w:ascii="Calibri" w:eastAsiaTheme="majorEastAsia" w:hAnsi="Calibri" w:cs="Calibri"/>
        </w:rPr>
        <w:t>Paoline</w:t>
      </w:r>
      <w:proofErr w:type="spellEnd"/>
      <w:r w:rsidRPr="002129C8">
        <w:rPr>
          <w:rFonts w:ascii="Calibri" w:eastAsiaTheme="majorEastAsia" w:hAnsi="Calibri" w:cs="Calibri"/>
        </w:rPr>
        <w:t xml:space="preserve">, 2017). Critics caution that these devices may foster over-dependence on technological solutions, potentially raising overall force usage and undermining public trust, particularly when applied to vulnerable or </w:t>
      </w:r>
      <w:proofErr w:type="spellStart"/>
      <w:r w:rsidRPr="002129C8">
        <w:rPr>
          <w:rFonts w:ascii="Calibri" w:eastAsiaTheme="majorEastAsia" w:hAnsi="Calibri" w:cs="Calibri"/>
        </w:rPr>
        <w:t>marginalised</w:t>
      </w:r>
      <w:proofErr w:type="spellEnd"/>
      <w:r w:rsidRPr="002129C8">
        <w:rPr>
          <w:rFonts w:ascii="Calibri" w:eastAsiaTheme="majorEastAsia" w:hAnsi="Calibri" w:cs="Calibri"/>
        </w:rPr>
        <w:t xml:space="preserve"> groups (Bradford et al., 2017)</w:t>
      </w:r>
    </w:p>
    <w:p w14:paraId="24EE6D65" w14:textId="77777777" w:rsidR="00C20AC3" w:rsidRPr="002129C8" w:rsidRDefault="00C20AC3" w:rsidP="00C20AC3">
      <w:pPr>
        <w:rPr>
          <w:rFonts w:ascii="Calibri" w:eastAsiaTheme="majorEastAsia" w:hAnsi="Calibri" w:cs="Calibri"/>
          <w:lang w:val="en-GB"/>
        </w:rPr>
      </w:pPr>
      <w:r w:rsidRPr="002129C8">
        <w:rPr>
          <w:rFonts w:ascii="Calibri" w:eastAsiaTheme="majorEastAsia" w:hAnsi="Calibri" w:cs="Calibri"/>
          <w:lang w:val="en-GB"/>
        </w:rPr>
        <w:t>This literature review critically examines the evidence surrounding CEDs to determine whether they are effective instruments for safeguarding both officers and the public, with a particular focus on South Wales Police. Drawing on academic research, official data, UK case studies, medical literature, and policy guidance, the review is organised thematically to cover police equipment, legal and procedural frameworks, technological and physiological considerations, operational deployment, human rights issues, public confidence, and a final synthesis of the findings.</w:t>
      </w:r>
    </w:p>
    <w:p w14:paraId="69E7795B" w14:textId="77777777" w:rsidR="00C20AC3" w:rsidRPr="002129C8" w:rsidRDefault="00C20AC3" w:rsidP="00C20AC3">
      <w:pPr>
        <w:rPr>
          <w:rFonts w:ascii="Calibri" w:eastAsiaTheme="majorEastAsia" w:hAnsi="Calibri" w:cs="Calibri"/>
          <w:lang w:val="en-GB"/>
        </w:rPr>
      </w:pPr>
    </w:p>
    <w:p w14:paraId="702784B4" w14:textId="77777777" w:rsidR="00C20AC3" w:rsidRPr="002129C8" w:rsidRDefault="00C20AC3" w:rsidP="00C20AC3">
      <w:pPr>
        <w:rPr>
          <w:rFonts w:ascii="Calibri" w:eastAsiaTheme="majorEastAsia" w:hAnsi="Calibri" w:cs="Calibri"/>
          <w:lang w:val="en-GB"/>
        </w:rPr>
      </w:pPr>
      <w:r w:rsidRPr="002129C8">
        <w:rPr>
          <w:rFonts w:ascii="Calibri" w:eastAsiaTheme="majorEastAsia" w:hAnsi="Calibri" w:cs="Calibri"/>
          <w:lang w:val="en-GB"/>
        </w:rPr>
        <w:pict w14:anchorId="197762AC">
          <v:rect id="_x0000_i1025" style="width:0;height:1.5pt" o:hralign="center" o:hrstd="t" o:hr="t" fillcolor="#a0a0a0" stroked="f"/>
        </w:pict>
      </w:r>
    </w:p>
    <w:p w14:paraId="371AD5C4" w14:textId="77777777" w:rsidR="00C20AC3" w:rsidRPr="002129C8" w:rsidRDefault="00C20AC3" w:rsidP="00C20AC3">
      <w:pPr>
        <w:rPr>
          <w:rFonts w:ascii="Calibri" w:eastAsiaTheme="majorEastAsia" w:hAnsi="Calibri" w:cs="Calibri"/>
          <w:b/>
          <w:bCs/>
          <w:lang w:val="en-GB"/>
        </w:rPr>
      </w:pPr>
      <w:r w:rsidRPr="002129C8">
        <w:rPr>
          <w:rFonts w:ascii="Calibri" w:eastAsiaTheme="majorEastAsia" w:hAnsi="Calibri" w:cs="Calibri"/>
          <w:b/>
          <w:bCs/>
          <w:lang w:val="en-GB"/>
        </w:rPr>
        <w:t>2.2 Conducted Energy Devices as Police Equipment</w:t>
      </w:r>
    </w:p>
    <w:p w14:paraId="1B879B18" w14:textId="77777777" w:rsidR="00C20AC3" w:rsidRPr="002129C8" w:rsidRDefault="00C20AC3" w:rsidP="00C20AC3">
      <w:pPr>
        <w:rPr>
          <w:rFonts w:ascii="Calibri" w:eastAsiaTheme="majorEastAsia" w:hAnsi="Calibri" w:cs="Calibri"/>
          <w:b/>
          <w:bCs/>
          <w:lang w:val="en-GB"/>
        </w:rPr>
      </w:pPr>
      <w:r w:rsidRPr="002129C8">
        <w:rPr>
          <w:rFonts w:ascii="Calibri" w:eastAsiaTheme="majorEastAsia" w:hAnsi="Calibri" w:cs="Calibri"/>
          <w:b/>
          <w:bCs/>
          <w:lang w:val="en-GB"/>
        </w:rPr>
        <w:t>2.2.1 PPE Framework Within Policing</w:t>
      </w:r>
    </w:p>
    <w:p w14:paraId="3C55A7DC" w14:textId="77777777" w:rsidR="00C20AC3" w:rsidRPr="002129C8" w:rsidRDefault="00C20AC3" w:rsidP="00C20AC3">
      <w:pPr>
        <w:rPr>
          <w:rFonts w:ascii="Calibri" w:eastAsiaTheme="majorEastAsia" w:hAnsi="Calibri" w:cs="Calibri"/>
          <w:lang w:val="en-GB"/>
        </w:rPr>
      </w:pPr>
      <w:r w:rsidRPr="002129C8">
        <w:rPr>
          <w:rFonts w:ascii="Calibri" w:eastAsiaTheme="majorEastAsia" w:hAnsi="Calibri" w:cs="Calibri"/>
        </w:rPr>
        <w:t xml:space="preserve">The Health and Safety Executive define personal protective equipment (PPE) as gear designed to </w:t>
      </w:r>
      <w:proofErr w:type="spellStart"/>
      <w:r w:rsidRPr="002129C8">
        <w:rPr>
          <w:rFonts w:ascii="Calibri" w:eastAsiaTheme="majorEastAsia" w:hAnsi="Calibri" w:cs="Calibri"/>
        </w:rPr>
        <w:t>minimise</w:t>
      </w:r>
      <w:proofErr w:type="spellEnd"/>
      <w:r w:rsidRPr="002129C8">
        <w:rPr>
          <w:rFonts w:ascii="Calibri" w:eastAsiaTheme="majorEastAsia" w:hAnsi="Calibri" w:cs="Calibri"/>
        </w:rPr>
        <w:t xml:space="preserve"> exposure to workplace hazards that could lead to serious injury (Health and Safety Executive, 2022). </w:t>
      </w:r>
      <w:r w:rsidRPr="002129C8">
        <w:rPr>
          <w:rFonts w:ascii="Calibri" w:eastAsiaTheme="majorEastAsia" w:hAnsi="Calibri" w:cs="Calibri"/>
          <w:lang w:val="en-GB"/>
        </w:rPr>
        <w:t>In policing, PPE has traditionally included body armour, helmets, batons and incapacitant sprays. CEDs were introduced as part of a broader modernisation of police PPE and tactics designed to manage increasingly complex and violent incidents (Police Federation of England and Wales, 2019).</w:t>
      </w:r>
    </w:p>
    <w:p w14:paraId="3D1568FB" w14:textId="77777777" w:rsidR="00C20AC3" w:rsidRPr="002129C8" w:rsidRDefault="00C20AC3" w:rsidP="00C20AC3">
      <w:pPr>
        <w:rPr>
          <w:rFonts w:ascii="Calibri" w:eastAsiaTheme="majorEastAsia" w:hAnsi="Calibri" w:cs="Calibri"/>
        </w:rPr>
      </w:pPr>
      <w:r w:rsidRPr="002129C8">
        <w:rPr>
          <w:rFonts w:ascii="Calibri" w:eastAsiaTheme="majorEastAsia" w:hAnsi="Calibri" w:cs="Calibri"/>
        </w:rPr>
        <w:t xml:space="preserve">The justification for expanding PPE, including CEDs, is clear given the increase in assaults on officers across England and Wales over the past ten years. In 2022, over 33,000 assaults were reported, with around 40 per cent resulting in injuries that required medical intervention (Home Office, 2023). This </w:t>
      </w:r>
      <w:r w:rsidRPr="002129C8">
        <w:rPr>
          <w:rFonts w:ascii="Calibri" w:eastAsiaTheme="majorEastAsia" w:hAnsi="Calibri" w:cs="Calibri"/>
        </w:rPr>
        <w:lastRenderedPageBreak/>
        <w:t>increase coincides with broader trends in violent crime, including incidents involving knives, which increased by 4 per cent compared to the previous year (Office for National Statistics, 2025a). The integration of CEDs into officer PPE is therefore intended to provide a more effective and safer means of managing violent confrontations while mitigating the risks posed to both officers and the public.</w:t>
      </w:r>
    </w:p>
    <w:p w14:paraId="796938A7" w14:textId="77777777" w:rsidR="00C20AC3" w:rsidRPr="002129C8" w:rsidRDefault="00C20AC3" w:rsidP="00C20AC3">
      <w:pPr>
        <w:rPr>
          <w:rFonts w:ascii="Calibri" w:eastAsiaTheme="majorEastAsia" w:hAnsi="Calibri" w:cs="Calibri"/>
          <w:b/>
          <w:bCs/>
          <w:lang w:val="en-GB"/>
        </w:rPr>
      </w:pPr>
      <w:r w:rsidRPr="002129C8">
        <w:rPr>
          <w:rFonts w:ascii="Calibri" w:eastAsiaTheme="majorEastAsia" w:hAnsi="Calibri" w:cs="Calibri"/>
          <w:b/>
          <w:bCs/>
          <w:lang w:val="en-GB"/>
        </w:rPr>
        <w:t>2.2.2 Debates on Classification of CEDs as PPE</w:t>
      </w:r>
    </w:p>
    <w:p w14:paraId="54AF45D8" w14:textId="77777777" w:rsidR="00C20AC3" w:rsidRPr="002129C8" w:rsidRDefault="00C20AC3" w:rsidP="00C20AC3">
      <w:pPr>
        <w:rPr>
          <w:rFonts w:ascii="Calibri" w:eastAsiaTheme="majorEastAsia" w:hAnsi="Calibri" w:cs="Calibri"/>
          <w:lang w:val="en-GB"/>
        </w:rPr>
      </w:pPr>
      <w:r w:rsidRPr="002129C8">
        <w:rPr>
          <w:rFonts w:ascii="Calibri" w:eastAsiaTheme="majorEastAsia" w:hAnsi="Calibri" w:cs="Calibri"/>
        </w:rPr>
        <w:t xml:space="preserve">Although certain officers and leadership groups advocate for classifying conducted energy devices alongside traditional personal protective equipment such as body </w:t>
      </w:r>
      <w:proofErr w:type="spellStart"/>
      <w:r w:rsidRPr="002129C8">
        <w:rPr>
          <w:rFonts w:ascii="Calibri" w:eastAsiaTheme="majorEastAsia" w:hAnsi="Calibri" w:cs="Calibri"/>
        </w:rPr>
        <w:t>armour</w:t>
      </w:r>
      <w:proofErr w:type="spellEnd"/>
      <w:r w:rsidRPr="002129C8">
        <w:rPr>
          <w:rFonts w:ascii="Calibri" w:eastAsiaTheme="majorEastAsia" w:hAnsi="Calibri" w:cs="Calibri"/>
        </w:rPr>
        <w:t xml:space="preserve"> or batons, critical policing literature highlights a fundamental distinction between passive protective gear and force-enabling technologies (Rappert, 2007., College of Policing, 2022). Body </w:t>
      </w:r>
      <w:proofErr w:type="spellStart"/>
      <w:r w:rsidRPr="002129C8">
        <w:rPr>
          <w:rFonts w:ascii="Calibri" w:eastAsiaTheme="majorEastAsia" w:hAnsi="Calibri" w:cs="Calibri"/>
        </w:rPr>
        <w:t>armour</w:t>
      </w:r>
      <w:proofErr w:type="spellEnd"/>
      <w:r w:rsidRPr="002129C8">
        <w:rPr>
          <w:rFonts w:ascii="Calibri" w:eastAsiaTheme="majorEastAsia" w:hAnsi="Calibri" w:cs="Calibri"/>
        </w:rPr>
        <w:t xml:space="preserve"> passively protects officers, whereas CEDs actively alter the physiology and </w:t>
      </w:r>
      <w:proofErr w:type="spellStart"/>
      <w:r w:rsidRPr="002129C8">
        <w:rPr>
          <w:rFonts w:ascii="Calibri" w:eastAsiaTheme="majorEastAsia" w:hAnsi="Calibri" w:cs="Calibri"/>
        </w:rPr>
        <w:t>behaviour</w:t>
      </w:r>
      <w:proofErr w:type="spellEnd"/>
      <w:r w:rsidRPr="002129C8">
        <w:rPr>
          <w:rFonts w:ascii="Calibri" w:eastAsiaTheme="majorEastAsia" w:hAnsi="Calibri" w:cs="Calibri"/>
        </w:rPr>
        <w:t xml:space="preserve"> of individuals subjected to them, which raises ethical questions about whether such framing might </w:t>
      </w:r>
      <w:proofErr w:type="spellStart"/>
      <w:r w:rsidRPr="002129C8">
        <w:rPr>
          <w:rFonts w:ascii="Calibri" w:eastAsiaTheme="majorEastAsia" w:hAnsi="Calibri" w:cs="Calibri"/>
        </w:rPr>
        <w:t>normalise</w:t>
      </w:r>
      <w:proofErr w:type="spellEnd"/>
      <w:r w:rsidRPr="002129C8">
        <w:rPr>
          <w:rFonts w:ascii="Calibri" w:eastAsiaTheme="majorEastAsia" w:hAnsi="Calibri" w:cs="Calibri"/>
        </w:rPr>
        <w:t xml:space="preserve"> their use rather than reserve them as options of last resort. Research on less-lethal weapons also </w:t>
      </w:r>
      <w:proofErr w:type="spellStart"/>
      <w:r w:rsidRPr="002129C8">
        <w:rPr>
          <w:rFonts w:ascii="Calibri" w:eastAsiaTheme="majorEastAsia" w:hAnsi="Calibri" w:cs="Calibri"/>
        </w:rPr>
        <w:t>emphasises</w:t>
      </w:r>
      <w:proofErr w:type="spellEnd"/>
      <w:r w:rsidRPr="002129C8">
        <w:rPr>
          <w:rFonts w:ascii="Calibri" w:eastAsiaTheme="majorEastAsia" w:hAnsi="Calibri" w:cs="Calibri"/>
        </w:rPr>
        <w:t xml:space="preserve"> the complexity of harm reduction and cautions against simplistic assumptions that visibility or availability of force technologies inherently improves safety outcomes (Sheppard and Welsh, 2022).</w:t>
      </w:r>
    </w:p>
    <w:p w14:paraId="63174DF4" w14:textId="77777777" w:rsidR="00C20AC3" w:rsidRPr="002129C8" w:rsidRDefault="00C20AC3" w:rsidP="00C20AC3">
      <w:pPr>
        <w:rPr>
          <w:rFonts w:ascii="Calibri" w:eastAsiaTheme="majorEastAsia" w:hAnsi="Calibri" w:cs="Calibri"/>
          <w:lang w:val="en-GB"/>
        </w:rPr>
      </w:pPr>
      <w:r w:rsidRPr="002129C8">
        <w:rPr>
          <w:rFonts w:ascii="Calibri" w:eastAsiaTheme="majorEastAsia" w:hAnsi="Calibri" w:cs="Calibri"/>
          <w:lang w:val="en-GB"/>
        </w:rPr>
        <w:t>Furthermore, while body armour is typically worn at all times, CEDs are carried by specially authorised officers following intensive training and re</w:t>
      </w:r>
      <w:r w:rsidRPr="002129C8">
        <w:rPr>
          <w:rFonts w:ascii="Calibri" w:eastAsiaTheme="majorEastAsia" w:hAnsi="Calibri" w:cs="Calibri"/>
          <w:lang w:val="en-GB"/>
        </w:rPr>
        <w:noBreakHyphen/>
        <w:t>accreditation. In South Wales Police, only officers who have completed additional training deliver authorised CED capability, and all deployments must be documented and reviewed (College of Policing, 2022).</w:t>
      </w:r>
    </w:p>
    <w:p w14:paraId="1016655B" w14:textId="77777777" w:rsidR="00C20AC3" w:rsidRPr="002129C8" w:rsidRDefault="00C20AC3" w:rsidP="00C20AC3">
      <w:pPr>
        <w:rPr>
          <w:rFonts w:ascii="Calibri" w:eastAsiaTheme="majorEastAsia" w:hAnsi="Calibri" w:cs="Calibri"/>
          <w:b/>
          <w:bCs/>
          <w:lang w:val="en-GB"/>
        </w:rPr>
      </w:pPr>
      <w:r w:rsidRPr="002129C8">
        <w:rPr>
          <w:rFonts w:ascii="Calibri" w:eastAsiaTheme="majorEastAsia" w:hAnsi="Calibri" w:cs="Calibri"/>
          <w:b/>
          <w:bCs/>
          <w:lang w:val="en-GB"/>
        </w:rPr>
        <w:t>2.2.3 Gaps in PPE Literature</w:t>
      </w:r>
    </w:p>
    <w:p w14:paraId="463B141F" w14:textId="77777777" w:rsidR="00C20AC3" w:rsidRPr="002129C8" w:rsidRDefault="00C20AC3" w:rsidP="00C20AC3">
      <w:pPr>
        <w:rPr>
          <w:rFonts w:ascii="Calibri" w:eastAsiaTheme="majorEastAsia" w:hAnsi="Calibri" w:cs="Calibri"/>
          <w:lang w:val="en-GB"/>
        </w:rPr>
      </w:pPr>
      <w:r w:rsidRPr="002129C8">
        <w:rPr>
          <w:rFonts w:ascii="Calibri" w:eastAsiaTheme="majorEastAsia" w:hAnsi="Calibri" w:cs="Calibri"/>
        </w:rPr>
        <w:t>Existing literature on CEDs in policing reflects a persistent emphasis on their capacity to reduce immediate physical harm to officers during confrontational encounters, often comparing injury rates with those associated with unarmed control techniques or other force options. While numerous studies demonstrate that CEDs can decrease the likelihood and severity of officer injury relative to “hands-on” tactics, there remains far less robust evidence concerning their wider effects on public safety, subject health outcomes, and long-term operational dynamics. As a result, discussions of CED effectiveness have tended to prioritise measurable reductions in officer harm, even as research continues to evolve in exploring the broader implications of CED deployment for civilian well-being and community safety (Smith et al, 2007).</w:t>
      </w:r>
    </w:p>
    <w:p w14:paraId="637FCEB6" w14:textId="77777777" w:rsidR="00C20AC3" w:rsidRPr="002129C8" w:rsidRDefault="00C20AC3" w:rsidP="00C20AC3">
      <w:pPr>
        <w:rPr>
          <w:rFonts w:ascii="Calibri" w:eastAsiaTheme="majorEastAsia" w:hAnsi="Calibri" w:cs="Calibri"/>
          <w:lang w:val="en-GB"/>
        </w:rPr>
      </w:pPr>
      <w:r w:rsidRPr="002129C8">
        <w:rPr>
          <w:rFonts w:ascii="Calibri" w:eastAsiaTheme="majorEastAsia" w:hAnsi="Calibri" w:cs="Calibri"/>
          <w:lang w:val="en-GB"/>
        </w:rPr>
        <w:pict w14:anchorId="14112F3D">
          <v:rect id="_x0000_i1026" style="width:0;height:1.5pt" o:hralign="center" o:hrstd="t" o:hr="t" fillcolor="#a0a0a0" stroked="f"/>
        </w:pict>
      </w:r>
    </w:p>
    <w:p w14:paraId="392A1A13" w14:textId="77777777" w:rsidR="00C20AC3" w:rsidRPr="002129C8" w:rsidRDefault="00C20AC3" w:rsidP="00C20AC3">
      <w:pPr>
        <w:rPr>
          <w:rFonts w:ascii="Calibri" w:eastAsiaTheme="majorEastAsia" w:hAnsi="Calibri" w:cs="Calibri"/>
          <w:b/>
          <w:bCs/>
          <w:lang w:val="en-GB"/>
        </w:rPr>
      </w:pPr>
      <w:r w:rsidRPr="002129C8">
        <w:rPr>
          <w:rFonts w:ascii="Calibri" w:eastAsiaTheme="majorEastAsia" w:hAnsi="Calibri" w:cs="Calibri"/>
          <w:b/>
          <w:bCs/>
          <w:lang w:val="en-GB"/>
        </w:rPr>
        <w:t>2.3 Use of Force and Legal Framework in England and Wales</w:t>
      </w:r>
    </w:p>
    <w:p w14:paraId="1F370B58" w14:textId="77777777" w:rsidR="00C20AC3" w:rsidRPr="002129C8" w:rsidRDefault="00C20AC3" w:rsidP="00C20AC3">
      <w:pPr>
        <w:rPr>
          <w:rFonts w:ascii="Calibri" w:eastAsiaTheme="majorEastAsia" w:hAnsi="Calibri" w:cs="Calibri"/>
          <w:b/>
          <w:bCs/>
          <w:lang w:val="en-GB"/>
        </w:rPr>
      </w:pPr>
      <w:r w:rsidRPr="002129C8">
        <w:rPr>
          <w:rFonts w:ascii="Calibri" w:eastAsiaTheme="majorEastAsia" w:hAnsi="Calibri" w:cs="Calibri"/>
          <w:b/>
          <w:bCs/>
          <w:lang w:val="en-GB"/>
        </w:rPr>
        <w:t>2.3.1 Legal Authority for Use of Force</w:t>
      </w:r>
    </w:p>
    <w:p w14:paraId="1DBAEA8A" w14:textId="77777777" w:rsidR="00C20AC3" w:rsidRPr="002129C8" w:rsidRDefault="00C20AC3" w:rsidP="00C20AC3">
      <w:pPr>
        <w:rPr>
          <w:rFonts w:ascii="Calibri" w:eastAsiaTheme="majorEastAsia" w:hAnsi="Calibri" w:cs="Calibri"/>
        </w:rPr>
      </w:pPr>
      <w:r w:rsidRPr="002129C8">
        <w:rPr>
          <w:rFonts w:ascii="Calibri" w:eastAsiaTheme="majorEastAsia" w:hAnsi="Calibri" w:cs="Calibri"/>
        </w:rPr>
        <w:t>In England and Wales, police officers are legally empowered to apply force that is necessary, reasonable, and proportionate to the circumstances. Key statutory provisions underpinning this authority include Section 3 of the Criminal Law Act 1967 and Section 117 of the Police and Criminal Evidence Act 1984 (PACE), which permit the use of reasonable force in preventing crime and executing lawful duties (College of Policing, 2023b).</w:t>
      </w:r>
    </w:p>
    <w:p w14:paraId="26C4731F" w14:textId="77777777" w:rsidR="00C20AC3" w:rsidRPr="002129C8" w:rsidRDefault="00C20AC3" w:rsidP="00C20AC3">
      <w:pPr>
        <w:rPr>
          <w:rFonts w:ascii="Calibri" w:eastAsiaTheme="majorEastAsia" w:hAnsi="Calibri" w:cs="Calibri"/>
        </w:rPr>
      </w:pPr>
      <w:r w:rsidRPr="002129C8">
        <w:rPr>
          <w:rFonts w:ascii="Calibri" w:eastAsiaTheme="majorEastAsia" w:hAnsi="Calibri" w:cs="Calibri"/>
        </w:rPr>
        <w:lastRenderedPageBreak/>
        <w:t xml:space="preserve">PACE (1984) </w:t>
      </w:r>
      <w:proofErr w:type="spellStart"/>
      <w:r w:rsidRPr="002129C8">
        <w:rPr>
          <w:rFonts w:ascii="Calibri" w:eastAsiaTheme="majorEastAsia" w:hAnsi="Calibri" w:cs="Calibri"/>
        </w:rPr>
        <w:t>emphasises</w:t>
      </w:r>
      <w:proofErr w:type="spellEnd"/>
      <w:r w:rsidRPr="002129C8">
        <w:rPr>
          <w:rFonts w:ascii="Calibri" w:eastAsiaTheme="majorEastAsia" w:hAnsi="Calibri" w:cs="Calibri"/>
        </w:rPr>
        <w:t xml:space="preserve"> accountability, requiring officers to justify any application of force. This principle is reinforced by case law, such as McCann v United Kingdom (1995), which confirmed that state agents must ensure the use of force is strictly necessary and proportionate to the threat encountered (European Court of Human Rights, 1995).</w:t>
      </w:r>
    </w:p>
    <w:p w14:paraId="59812E92" w14:textId="77777777" w:rsidR="00C20AC3" w:rsidRPr="002129C8" w:rsidRDefault="00C20AC3" w:rsidP="00C20AC3">
      <w:pPr>
        <w:rPr>
          <w:rFonts w:ascii="Calibri" w:eastAsiaTheme="majorEastAsia" w:hAnsi="Calibri" w:cs="Calibri"/>
        </w:rPr>
      </w:pPr>
    </w:p>
    <w:p w14:paraId="4BE48DBA" w14:textId="77777777" w:rsidR="00C20AC3" w:rsidRPr="002129C8" w:rsidRDefault="00C20AC3" w:rsidP="00C20AC3">
      <w:pPr>
        <w:rPr>
          <w:rFonts w:ascii="Calibri" w:eastAsiaTheme="majorEastAsia" w:hAnsi="Calibri" w:cs="Calibri"/>
          <w:b/>
          <w:bCs/>
          <w:lang w:val="en-GB"/>
        </w:rPr>
      </w:pPr>
      <w:r w:rsidRPr="002129C8">
        <w:rPr>
          <w:rFonts w:ascii="Calibri" w:eastAsiaTheme="majorEastAsia" w:hAnsi="Calibri" w:cs="Calibri"/>
          <w:b/>
          <w:bCs/>
          <w:lang w:val="en-GB"/>
        </w:rPr>
        <w:t>2.3.2 Policing Use of Force Spectrum</w:t>
      </w:r>
    </w:p>
    <w:p w14:paraId="1A1DE79F" w14:textId="77777777" w:rsidR="00C20AC3" w:rsidRPr="002129C8" w:rsidRDefault="00C20AC3" w:rsidP="00C20AC3">
      <w:pPr>
        <w:rPr>
          <w:rFonts w:ascii="Calibri" w:eastAsiaTheme="majorEastAsia" w:hAnsi="Calibri" w:cs="Calibri"/>
          <w:lang w:val="en-GB"/>
        </w:rPr>
      </w:pPr>
      <w:r w:rsidRPr="002129C8">
        <w:rPr>
          <w:rFonts w:ascii="Calibri" w:eastAsiaTheme="majorEastAsia" w:hAnsi="Calibri" w:cs="Calibri"/>
        </w:rPr>
        <w:t>Police use-of-force frameworks present operational tools along a graduated spectrum, from mere presence and verbal engagement through to lethal force. CEDs are positioned between non-physical techniques, such as negotiation or verbal de-escalation, and more aggressive interventions, including batons and firearms. In theory, offering officers additional intermediate tools can reduce the need for more extreme measures; nevertheless, empirical support for this assumption remains limited</w:t>
      </w:r>
      <w:r w:rsidRPr="002129C8">
        <w:rPr>
          <w:rFonts w:ascii="Calibri" w:eastAsiaTheme="majorEastAsia" w:hAnsi="Calibri" w:cs="Calibri"/>
          <w:lang w:val="en-GB"/>
        </w:rPr>
        <w:t>.</w:t>
      </w:r>
    </w:p>
    <w:p w14:paraId="084B8A71" w14:textId="77777777" w:rsidR="00C20AC3" w:rsidRPr="002129C8" w:rsidRDefault="00C20AC3" w:rsidP="00C20AC3">
      <w:pPr>
        <w:rPr>
          <w:rFonts w:ascii="Calibri" w:eastAsiaTheme="majorEastAsia" w:hAnsi="Calibri" w:cs="Calibri"/>
          <w:lang w:val="en-GB"/>
        </w:rPr>
      </w:pPr>
      <w:r w:rsidRPr="002129C8">
        <w:rPr>
          <w:rFonts w:ascii="Calibri" w:eastAsiaTheme="majorEastAsia" w:hAnsi="Calibri" w:cs="Calibri"/>
        </w:rPr>
        <w:t xml:space="preserve">Evidence suggests that while CEDs offer a safer option during violent or armed encounters, their availability does not automatically reduce overall force incidents. Rather, they may influence the type of force officers choose, with some using CEDs in circumstances where verbal negotiation or containment may have been sufficient (College of Policing, 2023b; Bradford et al., 2017). These observations underline the complex interaction between available force options and officer decision-making, </w:t>
      </w:r>
      <w:proofErr w:type="spellStart"/>
      <w:r w:rsidRPr="002129C8">
        <w:rPr>
          <w:rFonts w:ascii="Calibri" w:eastAsiaTheme="majorEastAsia" w:hAnsi="Calibri" w:cs="Calibri"/>
        </w:rPr>
        <w:t>emphasising</w:t>
      </w:r>
      <w:proofErr w:type="spellEnd"/>
      <w:r w:rsidRPr="002129C8">
        <w:rPr>
          <w:rFonts w:ascii="Calibri" w:eastAsiaTheme="majorEastAsia" w:hAnsi="Calibri" w:cs="Calibri"/>
        </w:rPr>
        <w:t xml:space="preserve"> the critical role of training, operational guidance, and independent oversight in promoting responsible use.</w:t>
      </w:r>
    </w:p>
    <w:p w14:paraId="550AD60F" w14:textId="77777777" w:rsidR="00C20AC3" w:rsidRPr="002129C8" w:rsidRDefault="00C20AC3" w:rsidP="00C20AC3">
      <w:pPr>
        <w:rPr>
          <w:rFonts w:ascii="Calibri" w:eastAsiaTheme="majorEastAsia" w:hAnsi="Calibri" w:cs="Calibri"/>
          <w:lang w:val="en-GB"/>
        </w:rPr>
      </w:pPr>
    </w:p>
    <w:p w14:paraId="1BC2E275" w14:textId="77777777" w:rsidR="00C20AC3" w:rsidRPr="002129C8" w:rsidRDefault="00C20AC3" w:rsidP="00C20AC3">
      <w:pPr>
        <w:rPr>
          <w:rFonts w:ascii="Calibri" w:eastAsiaTheme="majorEastAsia" w:hAnsi="Calibri" w:cs="Calibri"/>
          <w:b/>
          <w:bCs/>
          <w:lang w:val="en-GB"/>
        </w:rPr>
      </w:pPr>
      <w:r w:rsidRPr="002129C8">
        <w:rPr>
          <w:rFonts w:ascii="Calibri" w:eastAsiaTheme="majorEastAsia" w:hAnsi="Calibri" w:cs="Calibri"/>
          <w:b/>
          <w:bCs/>
          <w:lang w:val="en-GB"/>
        </w:rPr>
        <w:t>2.3.3 Accountability and Governance</w:t>
      </w:r>
    </w:p>
    <w:p w14:paraId="1E76504A" w14:textId="77777777" w:rsidR="00C20AC3" w:rsidRPr="002129C8" w:rsidRDefault="00C20AC3" w:rsidP="00C20AC3">
      <w:pPr>
        <w:rPr>
          <w:rFonts w:ascii="Calibri" w:eastAsiaTheme="majorEastAsia" w:hAnsi="Calibri" w:cs="Calibri"/>
          <w:lang w:val="en-GB"/>
        </w:rPr>
      </w:pPr>
      <w:r w:rsidRPr="002129C8">
        <w:rPr>
          <w:rFonts w:ascii="Calibri" w:eastAsiaTheme="majorEastAsia" w:hAnsi="Calibri" w:cs="Calibri"/>
        </w:rPr>
        <w:t>Maintaining accountability for use of force is essential for both legality and public trust. Forces across England and Wales, including South Wales Police, are required to document each instance of force, noting draw/aim actions, discharges, and any resultant injuries or medical intervention (College of Policing, 2023b). These records undergo internal scrutiny, independent review by the IOPC, and external audits by HMICFRS, ensuring compliance with law and identifying patterns suggestive of misuse or bias</w:t>
      </w:r>
      <w:r w:rsidRPr="002129C8">
        <w:rPr>
          <w:rFonts w:ascii="Calibri" w:eastAsiaTheme="majorEastAsia" w:hAnsi="Calibri" w:cs="Calibri"/>
          <w:lang w:val="en-GB"/>
        </w:rPr>
        <w:t>.</w:t>
      </w:r>
    </w:p>
    <w:p w14:paraId="3BF2D9AF" w14:textId="77777777" w:rsidR="00C20AC3" w:rsidRPr="002129C8" w:rsidRDefault="00C20AC3" w:rsidP="00C20AC3">
      <w:pPr>
        <w:rPr>
          <w:rFonts w:ascii="Calibri" w:eastAsiaTheme="majorEastAsia" w:hAnsi="Calibri" w:cs="Calibri"/>
          <w:lang w:val="en-GB"/>
        </w:rPr>
      </w:pPr>
      <w:r w:rsidRPr="002129C8">
        <w:rPr>
          <w:rFonts w:ascii="Calibri" w:eastAsiaTheme="majorEastAsia" w:hAnsi="Calibri" w:cs="Calibri"/>
        </w:rPr>
        <w:t xml:space="preserve">However, research highlights that reliance on force reporting systems can be weakened by inconsistencies in documentation, subjective judgments about proportionality, and pressure to justify decisions after the fact (Terrill and </w:t>
      </w:r>
      <w:proofErr w:type="spellStart"/>
      <w:r w:rsidRPr="002129C8">
        <w:rPr>
          <w:rFonts w:ascii="Calibri" w:eastAsiaTheme="majorEastAsia" w:hAnsi="Calibri" w:cs="Calibri"/>
        </w:rPr>
        <w:t>Paoline</w:t>
      </w:r>
      <w:proofErr w:type="spellEnd"/>
      <w:r w:rsidRPr="002129C8">
        <w:rPr>
          <w:rFonts w:ascii="Calibri" w:eastAsiaTheme="majorEastAsia" w:hAnsi="Calibri" w:cs="Calibri"/>
        </w:rPr>
        <w:t>, 2017). Such factors complicate assessments of whether CEDs genuinely reduce harm or merely modify the way force is applied</w:t>
      </w:r>
      <w:r w:rsidRPr="002129C8">
        <w:rPr>
          <w:rFonts w:ascii="Calibri" w:eastAsiaTheme="majorEastAsia" w:hAnsi="Calibri" w:cs="Calibri"/>
          <w:lang w:val="en-GB"/>
        </w:rPr>
        <w:t>.</w:t>
      </w:r>
    </w:p>
    <w:p w14:paraId="6E95EE41" w14:textId="77777777" w:rsidR="00C20AC3" w:rsidRPr="002129C8" w:rsidRDefault="00C20AC3" w:rsidP="00C20AC3">
      <w:pPr>
        <w:rPr>
          <w:rFonts w:ascii="Calibri" w:eastAsiaTheme="majorEastAsia" w:hAnsi="Calibri" w:cs="Calibri"/>
          <w:lang w:val="en-GB"/>
        </w:rPr>
      </w:pPr>
      <w:r w:rsidRPr="002129C8">
        <w:rPr>
          <w:rFonts w:ascii="Calibri" w:eastAsiaTheme="majorEastAsia" w:hAnsi="Calibri" w:cs="Calibri"/>
          <w:lang w:val="en-GB"/>
        </w:rPr>
        <w:pict w14:anchorId="724DE6F6">
          <v:rect id="_x0000_i1027" style="width:0;height:1.5pt" o:hralign="center" o:hrstd="t" o:hr="t" fillcolor="#a0a0a0" stroked="f"/>
        </w:pict>
      </w:r>
    </w:p>
    <w:p w14:paraId="08E23219" w14:textId="77777777" w:rsidR="00C20AC3" w:rsidRPr="002129C8" w:rsidRDefault="00C20AC3" w:rsidP="00C20AC3">
      <w:pPr>
        <w:rPr>
          <w:rFonts w:ascii="Calibri" w:eastAsiaTheme="majorEastAsia" w:hAnsi="Calibri" w:cs="Calibri"/>
          <w:b/>
          <w:bCs/>
          <w:lang w:val="en-GB"/>
        </w:rPr>
      </w:pPr>
      <w:r w:rsidRPr="002129C8">
        <w:rPr>
          <w:rFonts w:ascii="Calibri" w:eastAsiaTheme="majorEastAsia" w:hAnsi="Calibri" w:cs="Calibri"/>
          <w:b/>
          <w:bCs/>
          <w:lang w:val="en-GB"/>
        </w:rPr>
        <w:t>2.4 Technology and Physiological Effects of CEDs</w:t>
      </w:r>
    </w:p>
    <w:p w14:paraId="68A88D92" w14:textId="77777777" w:rsidR="00C20AC3" w:rsidRPr="002129C8" w:rsidRDefault="00C20AC3" w:rsidP="00C20AC3">
      <w:pPr>
        <w:rPr>
          <w:rFonts w:ascii="Calibri" w:eastAsiaTheme="majorEastAsia" w:hAnsi="Calibri" w:cs="Calibri"/>
          <w:b/>
          <w:bCs/>
          <w:lang w:val="en-GB"/>
        </w:rPr>
      </w:pPr>
      <w:r w:rsidRPr="002129C8">
        <w:rPr>
          <w:rFonts w:ascii="Calibri" w:eastAsiaTheme="majorEastAsia" w:hAnsi="Calibri" w:cs="Calibri"/>
          <w:b/>
          <w:bCs/>
          <w:lang w:val="en-GB"/>
        </w:rPr>
        <w:t>2.4.1 How CEDs Work</w:t>
      </w:r>
    </w:p>
    <w:p w14:paraId="254C057D" w14:textId="77777777" w:rsidR="00C20AC3" w:rsidRPr="002129C8" w:rsidRDefault="00C20AC3" w:rsidP="00C20AC3">
      <w:pPr>
        <w:rPr>
          <w:rFonts w:ascii="Calibri" w:eastAsiaTheme="majorEastAsia" w:hAnsi="Calibri" w:cs="Calibri"/>
        </w:rPr>
      </w:pPr>
      <w:r w:rsidRPr="002129C8">
        <w:rPr>
          <w:rFonts w:ascii="Calibri" w:eastAsiaTheme="majorEastAsia" w:hAnsi="Calibri" w:cs="Calibri"/>
        </w:rPr>
        <w:t xml:space="preserve">CEDs temporarily incapacitate individuals by disrupting voluntary muscle control through neuromuscular incapacitation. The device fires two barbed darts connected to the unit by wires, which can reach </w:t>
      </w:r>
      <w:proofErr w:type="gramStart"/>
      <w:r w:rsidRPr="002129C8">
        <w:rPr>
          <w:rFonts w:ascii="Calibri" w:eastAsiaTheme="majorEastAsia" w:hAnsi="Calibri" w:cs="Calibri"/>
        </w:rPr>
        <w:t>a distance of 25</w:t>
      </w:r>
      <w:proofErr w:type="gramEnd"/>
      <w:r w:rsidRPr="002129C8">
        <w:rPr>
          <w:rFonts w:ascii="Calibri" w:eastAsiaTheme="majorEastAsia" w:hAnsi="Calibri" w:cs="Calibri"/>
        </w:rPr>
        <w:t xml:space="preserve"> feet or 7.6 meters. Once embedded in clothing or skin, the electrical charge interferes with the nervous system, creating a window for officers to control the </w:t>
      </w:r>
      <w:r w:rsidRPr="002129C8">
        <w:rPr>
          <w:rFonts w:ascii="Calibri" w:eastAsiaTheme="majorEastAsia" w:hAnsi="Calibri" w:cs="Calibri"/>
        </w:rPr>
        <w:lastRenderedPageBreak/>
        <w:t>subject safely (College of Policing, 2022). South Wales Police currently deploy the Taser X2 model, which features dual cartridges allowing a rapid second discharge, improved accuracy, fewer accidental activations, and built-in data recording for accountability (Axon Enterprise, 2024; College of Policing, 2022). While the X2 enhances operational safety and effectiveness, successful incapacitation is influenced by dart placement, clothing thickness, environmental conditions, and the individual’s physiology. Overall, Taser X2 serves as a critical intermediate option within the police use-of-force spectrum, balancing operational efficiency with safety considerations.</w:t>
      </w:r>
    </w:p>
    <w:p w14:paraId="707B5204" w14:textId="77777777" w:rsidR="00C20AC3" w:rsidRPr="002129C8" w:rsidRDefault="00C20AC3" w:rsidP="00C20AC3">
      <w:pPr>
        <w:rPr>
          <w:rFonts w:ascii="Calibri" w:eastAsiaTheme="majorEastAsia" w:hAnsi="Calibri" w:cs="Calibri"/>
        </w:rPr>
      </w:pPr>
    </w:p>
    <w:p w14:paraId="460659D7" w14:textId="77777777" w:rsidR="00C20AC3" w:rsidRPr="002129C8" w:rsidRDefault="00C20AC3" w:rsidP="00C20AC3">
      <w:pPr>
        <w:rPr>
          <w:rFonts w:ascii="Calibri" w:eastAsiaTheme="majorEastAsia" w:hAnsi="Calibri" w:cs="Calibri"/>
          <w:b/>
          <w:bCs/>
          <w:lang w:val="en-GB"/>
        </w:rPr>
      </w:pPr>
      <w:r w:rsidRPr="002129C8">
        <w:rPr>
          <w:rFonts w:ascii="Calibri" w:eastAsiaTheme="majorEastAsia" w:hAnsi="Calibri" w:cs="Calibri"/>
          <w:b/>
          <w:bCs/>
          <w:lang w:val="en-GB"/>
        </w:rPr>
        <w:t>2.4.2 Potential Harm and Risk</w:t>
      </w:r>
    </w:p>
    <w:p w14:paraId="7CB166A4" w14:textId="77777777" w:rsidR="00C20AC3" w:rsidRPr="002129C8" w:rsidRDefault="00C20AC3" w:rsidP="00C20AC3">
      <w:pPr>
        <w:rPr>
          <w:rFonts w:ascii="Calibri" w:eastAsiaTheme="majorEastAsia" w:hAnsi="Calibri" w:cs="Calibri"/>
          <w:lang w:val="en-GB"/>
        </w:rPr>
      </w:pPr>
      <w:r w:rsidRPr="002129C8">
        <w:rPr>
          <w:rFonts w:ascii="Calibri" w:eastAsiaTheme="majorEastAsia" w:hAnsi="Calibri" w:cs="Calibri"/>
          <w:lang w:val="en-GB"/>
        </w:rPr>
        <w:t>Although CEDs are promoted as less lethal alternatives, medical and forensic studies demonstrate inherent risks. Serious injuries and fatalities, though uncommon, have been documented, particularly when subjects suffer from pre-existing medical conditions, stimulant use, or states of excited delirium (Bozeman et al., 2018). Secondary injuries, including fractures, lacerations, and head trauma, often result from falls during incapacitation. College of Policing (2022) advises heightened caution for individuals with cardiovascular issues or implanted devices such as pacemakers, and mandates immediate medical assessment post-deployment. Despite these precautions, gaps in medical response or incomplete reporting may compromise these safeguards, as highlighted in IOPC reviews of serious incidents.</w:t>
      </w:r>
    </w:p>
    <w:p w14:paraId="3CBBA41B" w14:textId="77777777" w:rsidR="00C20AC3" w:rsidRPr="002129C8" w:rsidRDefault="00C20AC3" w:rsidP="00C20AC3">
      <w:pPr>
        <w:rPr>
          <w:rFonts w:ascii="Calibri" w:eastAsiaTheme="majorEastAsia" w:hAnsi="Calibri" w:cs="Calibri"/>
          <w:b/>
          <w:bCs/>
          <w:lang w:val="en-GB"/>
        </w:rPr>
      </w:pPr>
      <w:r w:rsidRPr="002129C8">
        <w:rPr>
          <w:rFonts w:ascii="Calibri" w:eastAsiaTheme="majorEastAsia" w:hAnsi="Calibri" w:cs="Calibri"/>
          <w:b/>
          <w:bCs/>
          <w:lang w:val="en-GB"/>
        </w:rPr>
        <w:t>2.4.3 Comparative Safety Evidence</w:t>
      </w:r>
    </w:p>
    <w:p w14:paraId="05936379" w14:textId="77777777" w:rsidR="00C20AC3" w:rsidRPr="002129C8" w:rsidRDefault="00C20AC3" w:rsidP="00C20AC3">
      <w:pPr>
        <w:rPr>
          <w:rFonts w:ascii="Calibri" w:eastAsiaTheme="majorEastAsia" w:hAnsi="Calibri" w:cs="Calibri"/>
        </w:rPr>
      </w:pPr>
      <w:r w:rsidRPr="002129C8">
        <w:rPr>
          <w:rFonts w:ascii="Calibri" w:eastAsiaTheme="majorEastAsia" w:hAnsi="Calibri" w:cs="Calibri"/>
        </w:rPr>
        <w:t>Research comparing injury outcomes indicates that CED deployment generally results in fewer serious injuries than firearms or prolonged physical restraint (White and Ready, 2010). Home Office statistics for 2022 revealed that fewer than 10 per cent of subjects required hospital treatment following CED discharge, compared to higher injury rates from baton use (Home Office, 2023). Nevertheless, the literature cautions that risk is not negligible and can increase when CEDs are applied for pain compliance rather than neuromuscular incapacitation, or when used on highly vulnerable populations.</w:t>
      </w:r>
    </w:p>
    <w:p w14:paraId="025BCD43" w14:textId="77777777" w:rsidR="00C20AC3" w:rsidRPr="002129C8" w:rsidRDefault="00C20AC3" w:rsidP="00C20AC3">
      <w:pPr>
        <w:rPr>
          <w:rFonts w:ascii="Calibri" w:eastAsiaTheme="majorEastAsia" w:hAnsi="Calibri" w:cs="Calibri"/>
          <w:b/>
          <w:bCs/>
          <w:lang w:val="en-GB"/>
        </w:rPr>
      </w:pPr>
      <w:r w:rsidRPr="002129C8">
        <w:rPr>
          <w:rFonts w:ascii="Calibri" w:eastAsiaTheme="majorEastAsia" w:hAnsi="Calibri" w:cs="Calibri"/>
          <w:b/>
          <w:bCs/>
          <w:lang w:val="en-GB"/>
        </w:rPr>
        <w:t>2.4.4 Physiological Uncertainties and Research Gaps</w:t>
      </w:r>
    </w:p>
    <w:p w14:paraId="16DE2E94" w14:textId="77777777" w:rsidR="00C20AC3" w:rsidRPr="002129C8" w:rsidRDefault="00C20AC3" w:rsidP="00C20AC3">
      <w:pPr>
        <w:rPr>
          <w:rFonts w:ascii="Calibri" w:eastAsiaTheme="majorEastAsia" w:hAnsi="Calibri" w:cs="Calibri"/>
          <w:lang w:val="en-GB"/>
        </w:rPr>
      </w:pPr>
      <w:r w:rsidRPr="002129C8">
        <w:rPr>
          <w:rFonts w:ascii="Calibri" w:eastAsiaTheme="majorEastAsia" w:hAnsi="Calibri" w:cs="Calibri"/>
          <w:lang w:val="en-GB"/>
        </w:rPr>
        <w:t>Despite extensive research, the precise physiological mechanisms behind rare but serious outcomes remain debated. Some studies suggest that secondary trauma from falls accounts for most serious injuries, rather than the electrical discharge itself (White and Ready, 2010).</w:t>
      </w:r>
      <w:r w:rsidRPr="002129C8">
        <w:rPr>
          <w:rFonts w:ascii="Calibri" w:hAnsi="Calibri" w:cs="Calibri"/>
        </w:rPr>
        <w:t xml:space="preserve"> </w:t>
      </w:r>
      <w:r w:rsidRPr="002129C8">
        <w:rPr>
          <w:rFonts w:ascii="Calibri" w:eastAsiaTheme="majorEastAsia" w:hAnsi="Calibri" w:cs="Calibri"/>
        </w:rPr>
        <w:t>Evidence indicates that while conducted energy weapons may theoretically impact cardiac and muscular function, serious cardiac events in humans are rare, with most exposures producing only brief, minor muscle effects (Kunz et al., 2018).</w:t>
      </w:r>
      <w:r w:rsidRPr="002129C8">
        <w:rPr>
          <w:rFonts w:ascii="Calibri" w:eastAsiaTheme="majorEastAsia" w:hAnsi="Calibri" w:cs="Calibri"/>
          <w:lang w:val="en-GB"/>
        </w:rPr>
        <w:t xml:space="preserve"> These uncertainties underscore the need for further medical research to fully understand the effects of CEDs on diverse populations.</w:t>
      </w:r>
    </w:p>
    <w:p w14:paraId="64AD8FD3" w14:textId="77777777" w:rsidR="00C20AC3" w:rsidRPr="002129C8" w:rsidRDefault="00C20AC3" w:rsidP="00C20AC3">
      <w:pPr>
        <w:rPr>
          <w:rFonts w:ascii="Calibri" w:eastAsiaTheme="majorEastAsia" w:hAnsi="Calibri" w:cs="Calibri"/>
          <w:lang w:val="en-GB"/>
        </w:rPr>
      </w:pPr>
      <w:r w:rsidRPr="002129C8">
        <w:rPr>
          <w:rFonts w:ascii="Calibri" w:eastAsiaTheme="majorEastAsia" w:hAnsi="Calibri" w:cs="Calibri"/>
          <w:lang w:val="en-GB"/>
        </w:rPr>
        <w:pict w14:anchorId="31A2673A">
          <v:rect id="_x0000_i1028" style="width:0;height:1.5pt" o:hralign="center" o:hrstd="t" o:hr="t" fillcolor="#a0a0a0" stroked="f"/>
        </w:pict>
      </w:r>
    </w:p>
    <w:p w14:paraId="71737B00" w14:textId="77777777" w:rsidR="00C20AC3" w:rsidRDefault="00C20AC3" w:rsidP="00C20AC3">
      <w:pPr>
        <w:rPr>
          <w:rFonts w:ascii="Calibri" w:eastAsiaTheme="majorEastAsia" w:hAnsi="Calibri" w:cs="Calibri"/>
          <w:b/>
          <w:bCs/>
          <w:lang w:val="en-GB"/>
        </w:rPr>
      </w:pPr>
    </w:p>
    <w:p w14:paraId="764297AC" w14:textId="77777777" w:rsidR="00C20AC3" w:rsidRDefault="00C20AC3" w:rsidP="00C20AC3">
      <w:pPr>
        <w:rPr>
          <w:rFonts w:ascii="Calibri" w:eastAsiaTheme="majorEastAsia" w:hAnsi="Calibri" w:cs="Calibri"/>
          <w:b/>
          <w:bCs/>
          <w:lang w:val="en-GB"/>
        </w:rPr>
      </w:pPr>
    </w:p>
    <w:p w14:paraId="73C1983E" w14:textId="77777777" w:rsidR="00C20AC3" w:rsidRDefault="00C20AC3" w:rsidP="00C20AC3">
      <w:pPr>
        <w:rPr>
          <w:rFonts w:ascii="Calibri" w:eastAsiaTheme="majorEastAsia" w:hAnsi="Calibri" w:cs="Calibri"/>
          <w:b/>
          <w:bCs/>
          <w:lang w:val="en-GB"/>
        </w:rPr>
      </w:pPr>
    </w:p>
    <w:p w14:paraId="64FA7EFA" w14:textId="77777777" w:rsidR="00C20AC3" w:rsidRPr="002129C8" w:rsidRDefault="00C20AC3" w:rsidP="00C20AC3">
      <w:pPr>
        <w:rPr>
          <w:rFonts w:ascii="Calibri" w:eastAsiaTheme="majorEastAsia" w:hAnsi="Calibri" w:cs="Calibri"/>
          <w:b/>
          <w:bCs/>
          <w:lang w:val="en-GB"/>
        </w:rPr>
      </w:pPr>
      <w:r w:rsidRPr="002129C8">
        <w:rPr>
          <w:rFonts w:ascii="Calibri" w:eastAsiaTheme="majorEastAsia" w:hAnsi="Calibri" w:cs="Calibri"/>
          <w:b/>
          <w:bCs/>
          <w:lang w:val="en-GB"/>
        </w:rPr>
        <w:lastRenderedPageBreak/>
        <w:t>2.5 Operational Use of CED by Police Officers</w:t>
      </w:r>
    </w:p>
    <w:p w14:paraId="78E631C8" w14:textId="77777777" w:rsidR="00C20AC3" w:rsidRPr="002129C8" w:rsidRDefault="00C20AC3" w:rsidP="00C20AC3">
      <w:pPr>
        <w:rPr>
          <w:rFonts w:ascii="Calibri" w:eastAsiaTheme="majorEastAsia" w:hAnsi="Calibri" w:cs="Calibri"/>
          <w:b/>
          <w:bCs/>
          <w:lang w:val="en-GB"/>
        </w:rPr>
      </w:pPr>
      <w:r w:rsidRPr="002129C8">
        <w:rPr>
          <w:rFonts w:ascii="Calibri" w:eastAsiaTheme="majorEastAsia" w:hAnsi="Calibri" w:cs="Calibri"/>
          <w:b/>
          <w:bCs/>
          <w:lang w:val="en-GB"/>
        </w:rPr>
        <w:t>2.5.1 Deterrence and Deployment</w:t>
      </w:r>
    </w:p>
    <w:p w14:paraId="3210B440" w14:textId="77777777" w:rsidR="00C20AC3" w:rsidRPr="002129C8" w:rsidRDefault="00C20AC3" w:rsidP="00C20AC3">
      <w:pPr>
        <w:rPr>
          <w:rFonts w:ascii="Calibri" w:eastAsiaTheme="majorEastAsia" w:hAnsi="Calibri" w:cs="Calibri"/>
        </w:rPr>
      </w:pPr>
      <w:r w:rsidRPr="002129C8">
        <w:rPr>
          <w:rFonts w:ascii="Calibri" w:eastAsiaTheme="majorEastAsia" w:hAnsi="Calibri" w:cs="Calibri"/>
        </w:rPr>
        <w:t>CEDs are frequently drawn or aimed at more often than they are discharged, indicating a deterrent effect. In England and Wales, police officers drew or aimed CEDs over 33,500 times in 2022, however, discharged them in fewer than 3,000 cases — approximately one in ten incidents (Home Office, 2023). Research suggests that the availability or visibility of CEDs may be associated with increased overall use of force, even when the device itself is rarely discharged. A controlled field experiment with City of London police found that officers carrying CEDs used force more frequently than those on shifts without them (Ariel et al., 2017). This pattern indicates that the mere presence of CEDs may lower officers’ thresholds for resorting to force, raising important questions about proportionality and the actual safety benefits achieved through their deployment.</w:t>
      </w:r>
    </w:p>
    <w:p w14:paraId="45DFD8FC" w14:textId="77777777" w:rsidR="00C20AC3" w:rsidRPr="002129C8" w:rsidRDefault="00C20AC3" w:rsidP="00C20AC3">
      <w:pPr>
        <w:rPr>
          <w:rFonts w:ascii="Calibri" w:eastAsiaTheme="majorEastAsia" w:hAnsi="Calibri" w:cs="Calibri"/>
        </w:rPr>
      </w:pPr>
    </w:p>
    <w:p w14:paraId="37941E4E" w14:textId="77777777" w:rsidR="00C20AC3" w:rsidRPr="002129C8" w:rsidRDefault="00C20AC3" w:rsidP="00C20AC3">
      <w:pPr>
        <w:rPr>
          <w:rFonts w:ascii="Calibri" w:eastAsiaTheme="majorEastAsia" w:hAnsi="Calibri" w:cs="Calibri"/>
          <w:b/>
          <w:bCs/>
          <w:lang w:val="en-GB"/>
        </w:rPr>
      </w:pPr>
      <w:r w:rsidRPr="002129C8">
        <w:rPr>
          <w:rFonts w:ascii="Calibri" w:eastAsiaTheme="majorEastAsia" w:hAnsi="Calibri" w:cs="Calibri"/>
          <w:b/>
          <w:bCs/>
          <w:lang w:val="en-GB"/>
        </w:rPr>
        <w:t>2.5.2 Knife Crime and CED Use</w:t>
      </w:r>
    </w:p>
    <w:p w14:paraId="485B593F" w14:textId="77777777" w:rsidR="00C20AC3" w:rsidRPr="002129C8" w:rsidRDefault="00C20AC3" w:rsidP="00C20AC3">
      <w:pPr>
        <w:rPr>
          <w:rFonts w:ascii="Calibri" w:eastAsiaTheme="majorEastAsia" w:hAnsi="Calibri" w:cs="Calibri"/>
        </w:rPr>
      </w:pPr>
      <w:r w:rsidRPr="002129C8">
        <w:rPr>
          <w:rFonts w:ascii="Calibri" w:eastAsiaTheme="majorEastAsia" w:hAnsi="Calibri" w:cs="Calibri"/>
        </w:rPr>
        <w:t xml:space="preserve">Knife crime remains a significant challenge. ONS data reports over 55,000 knife-related offences in England and Wales in 2022 (Office National Statistics, 2025). The National Police Chiefs’ Council (NPCC) acknowledges that in some knife incidents, CED deployment may be appropriate in preference to firearms, depending on the perceived threat and operational risk (NPCC, 2019). South Wales Police </w:t>
      </w:r>
      <w:proofErr w:type="gramStart"/>
      <w:r w:rsidRPr="002129C8">
        <w:rPr>
          <w:rFonts w:ascii="Calibri" w:eastAsiaTheme="majorEastAsia" w:hAnsi="Calibri" w:cs="Calibri"/>
        </w:rPr>
        <w:t>has</w:t>
      </w:r>
      <w:proofErr w:type="gramEnd"/>
      <w:r w:rsidRPr="002129C8">
        <w:rPr>
          <w:rFonts w:ascii="Calibri" w:eastAsiaTheme="majorEastAsia" w:hAnsi="Calibri" w:cs="Calibri"/>
        </w:rPr>
        <w:t xml:space="preserve"> documented incidents demonstrating successful CED use. For example, in a 2021 Swansea incident, officers deployed a CED to safely subdue an individual wielding a large kitchen knife, preventing injury to both the public and officers (Wales Online, 2022).</w:t>
      </w:r>
    </w:p>
    <w:p w14:paraId="737BA797" w14:textId="77777777" w:rsidR="00C20AC3" w:rsidRPr="002129C8" w:rsidRDefault="00C20AC3" w:rsidP="00C20AC3">
      <w:pPr>
        <w:rPr>
          <w:rFonts w:ascii="Calibri" w:eastAsiaTheme="majorEastAsia" w:hAnsi="Calibri" w:cs="Calibri"/>
        </w:rPr>
      </w:pPr>
    </w:p>
    <w:p w14:paraId="69D946A9" w14:textId="77777777" w:rsidR="00C20AC3" w:rsidRPr="002129C8" w:rsidRDefault="00C20AC3" w:rsidP="00C20AC3">
      <w:pPr>
        <w:rPr>
          <w:rFonts w:ascii="Calibri" w:eastAsiaTheme="majorEastAsia" w:hAnsi="Calibri" w:cs="Calibri"/>
          <w:b/>
          <w:bCs/>
          <w:lang w:val="en-GB"/>
        </w:rPr>
      </w:pPr>
      <w:r w:rsidRPr="002129C8">
        <w:rPr>
          <w:rFonts w:ascii="Calibri" w:eastAsiaTheme="majorEastAsia" w:hAnsi="Calibri" w:cs="Calibri"/>
          <w:b/>
          <w:bCs/>
          <w:lang w:val="en-GB"/>
        </w:rPr>
        <w:t>2.5.3 Mental Health Crisis Incidents</w:t>
      </w:r>
    </w:p>
    <w:p w14:paraId="4F78B682" w14:textId="77777777" w:rsidR="00C20AC3" w:rsidRPr="002129C8" w:rsidRDefault="00C20AC3" w:rsidP="00C20AC3">
      <w:pPr>
        <w:rPr>
          <w:rFonts w:ascii="Calibri" w:eastAsiaTheme="majorEastAsia" w:hAnsi="Calibri" w:cs="Calibri"/>
          <w:lang w:val="en-GB"/>
        </w:rPr>
      </w:pPr>
      <w:r w:rsidRPr="002129C8">
        <w:rPr>
          <w:rFonts w:ascii="Calibri" w:eastAsiaTheme="majorEastAsia" w:hAnsi="Calibri" w:cs="Calibri"/>
        </w:rPr>
        <w:t xml:space="preserve">Cummins (2012) highlights how police involvement with individuals experiencing mental health problems has increased in recent years and that officers often manage these contacts with limited specialist support or training, conditions that can influence force decisions and outcomes. </w:t>
      </w:r>
      <w:r w:rsidRPr="002129C8">
        <w:rPr>
          <w:rFonts w:ascii="Calibri" w:eastAsiaTheme="majorEastAsia" w:hAnsi="Calibri" w:cs="Calibri"/>
          <w:lang w:val="en-GB"/>
        </w:rPr>
        <w:t>While some incidents require decisive intervention due to imminent risk, others might have been resolved through specialised crisis intervention teams or negotiated containment. Officers often make these decisions under pressure, but the literature highlights that training in mental health response remains inconsistent across UK forces.</w:t>
      </w:r>
    </w:p>
    <w:p w14:paraId="64FE6F64" w14:textId="77777777" w:rsidR="00C20AC3" w:rsidRPr="002129C8" w:rsidRDefault="00C20AC3" w:rsidP="00C20AC3">
      <w:pPr>
        <w:rPr>
          <w:rFonts w:ascii="Calibri" w:eastAsiaTheme="majorEastAsia" w:hAnsi="Calibri" w:cs="Calibri"/>
          <w:lang w:val="en-GB"/>
        </w:rPr>
      </w:pPr>
      <w:r w:rsidRPr="002129C8">
        <w:rPr>
          <w:rFonts w:ascii="Calibri" w:eastAsiaTheme="majorEastAsia" w:hAnsi="Calibri" w:cs="Calibri"/>
          <w:lang w:val="en-GB"/>
        </w:rPr>
        <w:pict w14:anchorId="3E5ED94A">
          <v:rect id="_x0000_i1031" style="width:0;height:1.5pt" o:hralign="center" o:hrstd="t" o:hr="t" fillcolor="#a0a0a0" stroked="f"/>
        </w:pict>
      </w:r>
    </w:p>
    <w:p w14:paraId="10044B30" w14:textId="77777777" w:rsidR="00C20AC3" w:rsidRPr="002129C8" w:rsidRDefault="00C20AC3" w:rsidP="00C20AC3">
      <w:pPr>
        <w:rPr>
          <w:rFonts w:ascii="Calibri" w:eastAsiaTheme="majorEastAsia" w:hAnsi="Calibri" w:cs="Calibri"/>
          <w:b/>
          <w:bCs/>
          <w:lang w:val="en-GB"/>
        </w:rPr>
      </w:pPr>
      <w:r w:rsidRPr="002129C8">
        <w:rPr>
          <w:rFonts w:ascii="Calibri" w:eastAsiaTheme="majorEastAsia" w:hAnsi="Calibri" w:cs="Calibri"/>
          <w:b/>
          <w:bCs/>
          <w:lang w:val="en-GB"/>
        </w:rPr>
        <w:t>2.6 Human Rights and Ethical Considerations</w:t>
      </w:r>
    </w:p>
    <w:p w14:paraId="0FC52D95" w14:textId="77777777" w:rsidR="00C20AC3" w:rsidRPr="002129C8" w:rsidRDefault="00C20AC3" w:rsidP="00C20AC3">
      <w:pPr>
        <w:rPr>
          <w:rFonts w:ascii="Calibri" w:eastAsiaTheme="majorEastAsia" w:hAnsi="Calibri" w:cs="Calibri"/>
          <w:b/>
          <w:bCs/>
          <w:lang w:val="en-GB"/>
        </w:rPr>
      </w:pPr>
      <w:r w:rsidRPr="002129C8">
        <w:rPr>
          <w:rFonts w:ascii="Calibri" w:eastAsiaTheme="majorEastAsia" w:hAnsi="Calibri" w:cs="Calibri"/>
          <w:b/>
          <w:bCs/>
          <w:lang w:val="en-GB"/>
        </w:rPr>
        <w:t>2.6.1 ECHR Framework</w:t>
      </w:r>
    </w:p>
    <w:p w14:paraId="1A726900" w14:textId="77777777" w:rsidR="00C20AC3" w:rsidRPr="002129C8" w:rsidRDefault="00C20AC3" w:rsidP="00C20AC3">
      <w:pPr>
        <w:rPr>
          <w:rFonts w:ascii="Calibri" w:eastAsiaTheme="majorEastAsia" w:hAnsi="Calibri" w:cs="Calibri"/>
          <w:lang w:val="en-GB"/>
        </w:rPr>
      </w:pPr>
      <w:r w:rsidRPr="002129C8">
        <w:rPr>
          <w:rFonts w:ascii="Calibri" w:eastAsiaTheme="majorEastAsia" w:hAnsi="Calibri" w:cs="Calibri"/>
          <w:lang w:val="en-GB"/>
        </w:rPr>
        <w:t>The European Convention on Human Rights (ECHR) imposes strict standards on use of force. Articles 2 and 3 guarantee the right to life and prohibit inhuman or degrading treatment, respectively. The EHCR has made clear that any use of force must be necessary, proportionate, and accountable (</w:t>
      </w:r>
      <w:r w:rsidRPr="002129C8">
        <w:rPr>
          <w:rFonts w:ascii="Calibri" w:eastAsiaTheme="majorEastAsia" w:hAnsi="Calibri" w:cs="Calibri"/>
        </w:rPr>
        <w:t>European Court of Human Rights, 1995</w:t>
      </w:r>
      <w:r w:rsidRPr="002129C8">
        <w:rPr>
          <w:rFonts w:ascii="Calibri" w:eastAsiaTheme="majorEastAsia" w:hAnsi="Calibri" w:cs="Calibri"/>
          <w:lang w:val="en-GB"/>
        </w:rPr>
        <w:t>). Police forces are required to justify force decisions in light of these standards and are subject to oversight by the IOPC and judicial review.</w:t>
      </w:r>
    </w:p>
    <w:p w14:paraId="3232DD7F" w14:textId="77777777" w:rsidR="00C20AC3" w:rsidRPr="002129C8" w:rsidRDefault="00C20AC3" w:rsidP="00C20AC3">
      <w:pPr>
        <w:rPr>
          <w:rFonts w:ascii="Calibri" w:eastAsiaTheme="majorEastAsia" w:hAnsi="Calibri" w:cs="Calibri"/>
          <w:b/>
          <w:bCs/>
          <w:lang w:val="en-GB"/>
        </w:rPr>
      </w:pPr>
      <w:r w:rsidRPr="002129C8">
        <w:rPr>
          <w:rFonts w:ascii="Calibri" w:eastAsiaTheme="majorEastAsia" w:hAnsi="Calibri" w:cs="Calibri"/>
          <w:b/>
          <w:bCs/>
          <w:lang w:val="en-GB"/>
        </w:rPr>
        <w:lastRenderedPageBreak/>
        <w:t>2.6.2 Vulnerable Groups and Disproportionate Impact</w:t>
      </w:r>
    </w:p>
    <w:p w14:paraId="64682953" w14:textId="77777777" w:rsidR="00C20AC3" w:rsidRPr="002129C8" w:rsidRDefault="00C20AC3" w:rsidP="00C20AC3">
      <w:pPr>
        <w:rPr>
          <w:rFonts w:ascii="Calibri" w:eastAsiaTheme="majorEastAsia" w:hAnsi="Calibri" w:cs="Calibri"/>
          <w:lang w:val="en-GB"/>
        </w:rPr>
      </w:pPr>
      <w:r w:rsidRPr="002129C8">
        <w:rPr>
          <w:rFonts w:ascii="Calibri" w:eastAsiaTheme="majorEastAsia" w:hAnsi="Calibri" w:cs="Calibri"/>
          <w:lang w:val="en-GB"/>
        </w:rPr>
        <w:t>Human rights organisations have documented cases where vulnerable individuals, such as those with mental health conditions, the elderly, or those under substance influence, experienced CED deployment with serious consequences (Amnesty International, 2025). The intersection of vulnerability, force application, and health risk raises ethical concerns about proportionality and necessity. The use of CEDs in these contexts may contravene Article 3 if alternative, less intrusive methods could have been effective.</w:t>
      </w:r>
    </w:p>
    <w:p w14:paraId="0B064D57" w14:textId="77777777" w:rsidR="00C20AC3" w:rsidRPr="002129C8" w:rsidRDefault="00C20AC3" w:rsidP="00C20AC3">
      <w:pPr>
        <w:rPr>
          <w:rFonts w:ascii="Calibri" w:eastAsiaTheme="majorEastAsia" w:hAnsi="Calibri" w:cs="Calibri"/>
          <w:b/>
          <w:bCs/>
          <w:lang w:val="en-GB"/>
        </w:rPr>
      </w:pPr>
      <w:r w:rsidRPr="002129C8">
        <w:rPr>
          <w:rFonts w:ascii="Calibri" w:eastAsiaTheme="majorEastAsia" w:hAnsi="Calibri" w:cs="Calibri"/>
          <w:b/>
          <w:bCs/>
          <w:lang w:val="en-GB"/>
        </w:rPr>
        <w:t>2.6.3 Professional Ethics and De</w:t>
      </w:r>
      <w:r w:rsidRPr="002129C8">
        <w:rPr>
          <w:rFonts w:ascii="Calibri" w:eastAsiaTheme="majorEastAsia" w:hAnsi="Calibri" w:cs="Calibri"/>
          <w:b/>
          <w:bCs/>
          <w:lang w:val="en-GB"/>
        </w:rPr>
        <w:noBreakHyphen/>
        <w:t>Escalation</w:t>
      </w:r>
    </w:p>
    <w:p w14:paraId="0BD1C392" w14:textId="77777777" w:rsidR="00C20AC3" w:rsidRPr="002129C8" w:rsidRDefault="00C20AC3" w:rsidP="00C20AC3">
      <w:pPr>
        <w:rPr>
          <w:rFonts w:ascii="Calibri" w:eastAsiaTheme="majorEastAsia" w:hAnsi="Calibri" w:cs="Calibri"/>
          <w:lang w:val="en-GB"/>
        </w:rPr>
      </w:pPr>
      <w:r w:rsidRPr="002129C8">
        <w:rPr>
          <w:rFonts w:ascii="Calibri" w:eastAsiaTheme="majorEastAsia" w:hAnsi="Calibri" w:cs="Calibri"/>
          <w:lang w:val="en-GB"/>
        </w:rPr>
        <w:t>Ethical policing frameworks emphasise proportionality and minimisation of harm. CEDs, by design, reduce certain categories of injury (e.g., blunt trauma) but introduce electrical force into human bodies, raising moral questions about pain infliction and dignity. Police professional ethics guidance, including the College of Policing’s Code of Ethics, mandates de</w:t>
      </w:r>
      <w:r w:rsidRPr="002129C8">
        <w:rPr>
          <w:rFonts w:ascii="Calibri" w:eastAsiaTheme="majorEastAsia" w:hAnsi="Calibri" w:cs="Calibri"/>
          <w:lang w:val="en-GB"/>
        </w:rPr>
        <w:noBreakHyphen/>
        <w:t>escalation and the least intrusive response possible compatible with public safety (College of Policing, 2024).</w:t>
      </w:r>
    </w:p>
    <w:p w14:paraId="09487E07" w14:textId="77777777" w:rsidR="00C20AC3" w:rsidRPr="002129C8" w:rsidRDefault="00C20AC3" w:rsidP="00C20AC3">
      <w:pPr>
        <w:rPr>
          <w:rFonts w:ascii="Calibri" w:eastAsiaTheme="majorEastAsia" w:hAnsi="Calibri" w:cs="Calibri"/>
          <w:lang w:val="en-GB"/>
        </w:rPr>
      </w:pPr>
      <w:r w:rsidRPr="002129C8">
        <w:rPr>
          <w:rFonts w:ascii="Calibri" w:eastAsiaTheme="majorEastAsia" w:hAnsi="Calibri" w:cs="Calibri"/>
          <w:lang w:val="en-GB"/>
        </w:rPr>
        <w:pict w14:anchorId="57C2AEB8">
          <v:rect id="_x0000_i1032" style="width:0;height:1.5pt" o:hralign="center" o:hrstd="t" o:hr="t" fillcolor="#a0a0a0" stroked="f"/>
        </w:pict>
      </w:r>
    </w:p>
    <w:p w14:paraId="3D1778AF" w14:textId="77777777" w:rsidR="00C20AC3" w:rsidRPr="002129C8" w:rsidRDefault="00C20AC3" w:rsidP="00C20AC3">
      <w:pPr>
        <w:rPr>
          <w:rFonts w:ascii="Calibri" w:eastAsiaTheme="majorEastAsia" w:hAnsi="Calibri" w:cs="Calibri"/>
          <w:b/>
          <w:bCs/>
          <w:lang w:val="en-GB"/>
        </w:rPr>
      </w:pPr>
      <w:r w:rsidRPr="002129C8">
        <w:rPr>
          <w:rFonts w:ascii="Calibri" w:eastAsiaTheme="majorEastAsia" w:hAnsi="Calibri" w:cs="Calibri"/>
          <w:b/>
          <w:bCs/>
          <w:lang w:val="en-GB"/>
        </w:rPr>
        <w:t>2.7 Public Confidence and Police Legitimacy</w:t>
      </w:r>
    </w:p>
    <w:p w14:paraId="487D9682" w14:textId="77777777" w:rsidR="00C20AC3" w:rsidRPr="002129C8" w:rsidRDefault="00C20AC3" w:rsidP="00C20AC3">
      <w:pPr>
        <w:rPr>
          <w:rFonts w:ascii="Calibri" w:eastAsiaTheme="majorEastAsia" w:hAnsi="Calibri" w:cs="Calibri"/>
          <w:b/>
          <w:bCs/>
          <w:lang w:val="en-GB"/>
        </w:rPr>
      </w:pPr>
      <w:r w:rsidRPr="002129C8">
        <w:rPr>
          <w:rFonts w:ascii="Calibri" w:eastAsiaTheme="majorEastAsia" w:hAnsi="Calibri" w:cs="Calibri"/>
          <w:b/>
          <w:bCs/>
          <w:lang w:val="en-GB"/>
        </w:rPr>
        <w:t>2.7.1 Policing by Consent</w:t>
      </w:r>
    </w:p>
    <w:p w14:paraId="1503D744" w14:textId="77777777" w:rsidR="00C20AC3" w:rsidRPr="002129C8" w:rsidRDefault="00C20AC3" w:rsidP="00C20AC3">
      <w:pPr>
        <w:rPr>
          <w:rFonts w:ascii="Calibri" w:eastAsiaTheme="majorEastAsia" w:hAnsi="Calibri" w:cs="Calibri"/>
          <w:lang w:val="en-GB"/>
        </w:rPr>
      </w:pPr>
      <w:r w:rsidRPr="002129C8">
        <w:rPr>
          <w:rFonts w:ascii="Calibri" w:eastAsiaTheme="majorEastAsia" w:hAnsi="Calibri" w:cs="Calibri"/>
          <w:lang w:val="en-GB"/>
        </w:rPr>
        <w:t>Public confidence is central to the legitimacy of policing in the UK. Policing by consent — an enduring principle — posits that police authority is derived from public approval and willingness to cooperate (Tyler, 2006). Studies demonstrate that perceived fairness, transparency, and procedural justice contribute significantly to public trust (Jackson et al., 2012).</w:t>
      </w:r>
    </w:p>
    <w:p w14:paraId="4F65FD9B" w14:textId="77777777" w:rsidR="00C20AC3" w:rsidRPr="002129C8" w:rsidRDefault="00C20AC3" w:rsidP="00C20AC3">
      <w:pPr>
        <w:rPr>
          <w:rFonts w:ascii="Calibri" w:eastAsiaTheme="majorEastAsia" w:hAnsi="Calibri" w:cs="Calibri"/>
          <w:b/>
          <w:bCs/>
          <w:lang w:val="en-GB"/>
        </w:rPr>
      </w:pPr>
      <w:r w:rsidRPr="002129C8">
        <w:rPr>
          <w:rFonts w:ascii="Calibri" w:eastAsiaTheme="majorEastAsia" w:hAnsi="Calibri" w:cs="Calibri"/>
          <w:b/>
          <w:bCs/>
          <w:lang w:val="en-GB"/>
        </w:rPr>
        <w:t>2.7.2 Public Perception on CED Use</w:t>
      </w:r>
    </w:p>
    <w:p w14:paraId="16BEFC1A" w14:textId="77777777" w:rsidR="00C20AC3" w:rsidRPr="002129C8" w:rsidRDefault="00C20AC3" w:rsidP="00C20AC3">
      <w:pPr>
        <w:rPr>
          <w:rFonts w:ascii="Calibri" w:eastAsiaTheme="majorEastAsia" w:hAnsi="Calibri" w:cs="Calibri"/>
          <w:lang w:val="en-GB"/>
        </w:rPr>
      </w:pPr>
      <w:r w:rsidRPr="002129C8">
        <w:rPr>
          <w:rFonts w:ascii="Calibri" w:eastAsiaTheme="majorEastAsia" w:hAnsi="Calibri" w:cs="Calibri"/>
        </w:rPr>
        <w:t xml:space="preserve">Public attitudes towards CEDs are mixed. Some view CEDs as necessary for officer safety, particularly in violent or knife-related incidents, with surveys indicating broad public support for their use in England and Wales (Government Business, 2016). Others, however, see them as coercive and risky, especially when deployment appears unnecessary or affects vulnerable groups. Oversight bodies note that such concerns can undermine public confidence and the legitimacy of policing (Independent Office for Police Conduct, 2021). </w:t>
      </w:r>
      <w:r w:rsidRPr="002129C8">
        <w:rPr>
          <w:rFonts w:ascii="Calibri" w:eastAsiaTheme="majorEastAsia" w:hAnsi="Calibri" w:cs="Calibri"/>
          <w:lang w:val="en-GB"/>
        </w:rPr>
        <w:t xml:space="preserve">ONS survey data shows that overall public confidence in policing declined from 62 per cent in 2015 to 49 per cent in 2025 (Office for National Statistics, 2025b). </w:t>
      </w:r>
      <w:r w:rsidRPr="002129C8">
        <w:rPr>
          <w:rFonts w:ascii="Calibri" w:eastAsiaTheme="majorEastAsia" w:hAnsi="Calibri" w:cs="Calibri"/>
        </w:rPr>
        <w:t xml:space="preserve">Surveys show that public trust in the police to use reasonable force remains high overall, but confidence is lower among younger people, highlighting generational differences in perceptions of police use of force (Independent Office for Police Conduct, 2015). </w:t>
      </w:r>
    </w:p>
    <w:p w14:paraId="37DA2E4A" w14:textId="77777777" w:rsidR="00C20AC3" w:rsidRPr="002129C8" w:rsidRDefault="00C20AC3" w:rsidP="00C20AC3">
      <w:pPr>
        <w:rPr>
          <w:rFonts w:ascii="Calibri" w:eastAsiaTheme="majorEastAsia" w:hAnsi="Calibri" w:cs="Calibri"/>
          <w:b/>
          <w:bCs/>
          <w:lang w:val="en-GB"/>
        </w:rPr>
      </w:pPr>
      <w:r w:rsidRPr="002129C8">
        <w:rPr>
          <w:rFonts w:ascii="Calibri" w:eastAsiaTheme="majorEastAsia" w:hAnsi="Calibri" w:cs="Calibri"/>
          <w:b/>
          <w:bCs/>
          <w:lang w:val="en-GB"/>
        </w:rPr>
        <w:t>2.7.3 Race, Inequality, and Trust</w:t>
      </w:r>
    </w:p>
    <w:p w14:paraId="482E933E" w14:textId="77777777" w:rsidR="00C20AC3" w:rsidRPr="002129C8" w:rsidRDefault="00C20AC3" w:rsidP="00C20AC3">
      <w:pPr>
        <w:rPr>
          <w:rFonts w:ascii="Calibri" w:eastAsiaTheme="majorEastAsia" w:hAnsi="Calibri" w:cs="Calibri"/>
          <w:lang w:val="en-GB"/>
        </w:rPr>
      </w:pPr>
      <w:r w:rsidRPr="002129C8">
        <w:rPr>
          <w:rFonts w:ascii="Calibri" w:eastAsiaTheme="majorEastAsia" w:hAnsi="Calibri" w:cs="Calibri"/>
          <w:lang w:val="en-GB"/>
        </w:rPr>
        <w:t>Disproportionate impact is a persistent concern. Home Office data shows that Black individuals are more likely to be subject to CED deployment than white individuals, even when controlling for incident type (Home Office, 2023). Such disparities can exacerbate feelings of injustice, damaging police legitimacy and increasing community tensions.</w:t>
      </w:r>
    </w:p>
    <w:p w14:paraId="3DD37A81" w14:textId="77777777" w:rsidR="00C20AC3" w:rsidRPr="002129C8" w:rsidRDefault="00C20AC3" w:rsidP="00C20AC3">
      <w:pPr>
        <w:rPr>
          <w:rFonts w:ascii="Calibri" w:eastAsiaTheme="majorEastAsia" w:hAnsi="Calibri" w:cs="Calibri"/>
          <w:lang w:val="en-GB"/>
        </w:rPr>
      </w:pPr>
      <w:r w:rsidRPr="002129C8">
        <w:rPr>
          <w:rFonts w:ascii="Calibri" w:eastAsiaTheme="majorEastAsia" w:hAnsi="Calibri" w:cs="Calibri"/>
          <w:lang w:val="en-GB"/>
        </w:rPr>
        <w:pict w14:anchorId="62B5A395">
          <v:rect id="_x0000_i1029" style="width:0;height:1.5pt" o:hralign="center" o:hrstd="t" o:hr="t" fillcolor="#a0a0a0" stroked="f"/>
        </w:pict>
      </w:r>
    </w:p>
    <w:p w14:paraId="750F7D8D" w14:textId="77777777" w:rsidR="00C20AC3" w:rsidRDefault="00C20AC3" w:rsidP="00C20AC3">
      <w:pPr>
        <w:rPr>
          <w:rFonts w:ascii="Calibri" w:eastAsiaTheme="majorEastAsia" w:hAnsi="Calibri" w:cs="Calibri"/>
          <w:b/>
          <w:bCs/>
          <w:lang w:val="en-GB"/>
        </w:rPr>
      </w:pPr>
    </w:p>
    <w:p w14:paraId="6E50907E" w14:textId="77777777" w:rsidR="00C20AC3" w:rsidRPr="002129C8" w:rsidRDefault="00C20AC3" w:rsidP="00C20AC3">
      <w:pPr>
        <w:rPr>
          <w:rFonts w:ascii="Calibri" w:eastAsiaTheme="majorEastAsia" w:hAnsi="Calibri" w:cs="Calibri"/>
          <w:b/>
          <w:bCs/>
          <w:lang w:val="en-GB"/>
        </w:rPr>
      </w:pPr>
      <w:r w:rsidRPr="002129C8">
        <w:rPr>
          <w:rFonts w:ascii="Calibri" w:eastAsiaTheme="majorEastAsia" w:hAnsi="Calibri" w:cs="Calibri"/>
          <w:b/>
          <w:bCs/>
          <w:lang w:val="en-GB"/>
        </w:rPr>
        <w:t>2.8 Review Synopsis</w:t>
      </w:r>
    </w:p>
    <w:p w14:paraId="23C41ECC" w14:textId="77777777" w:rsidR="00C20AC3" w:rsidRPr="002129C8" w:rsidRDefault="00C20AC3" w:rsidP="00C20AC3">
      <w:pPr>
        <w:rPr>
          <w:rFonts w:ascii="Calibri" w:eastAsiaTheme="majorEastAsia" w:hAnsi="Calibri" w:cs="Calibri"/>
          <w:lang w:val="en-GB"/>
        </w:rPr>
      </w:pPr>
      <w:r w:rsidRPr="002129C8">
        <w:rPr>
          <w:rFonts w:ascii="Calibri" w:eastAsiaTheme="majorEastAsia" w:hAnsi="Calibri" w:cs="Calibri"/>
          <w:lang w:val="en-GB"/>
        </w:rPr>
        <w:t>The literature demonstrates that CEDs have clear operational benefits, including distance control, rapid incapacitation, and the potential to reduce physical injury and reliance on lethal force. However, benefits are conditional on context, training, governance, and alignment with legal and ethical obligations.</w:t>
      </w:r>
    </w:p>
    <w:p w14:paraId="35DE36AD" w14:textId="77777777" w:rsidR="00C20AC3" w:rsidRPr="002129C8" w:rsidRDefault="00C20AC3" w:rsidP="00C20AC3">
      <w:pPr>
        <w:rPr>
          <w:rFonts w:ascii="Calibri" w:eastAsiaTheme="majorEastAsia" w:hAnsi="Calibri" w:cs="Calibri"/>
          <w:lang w:val="en-GB"/>
        </w:rPr>
      </w:pPr>
      <w:r w:rsidRPr="002129C8">
        <w:rPr>
          <w:rFonts w:ascii="Calibri" w:eastAsiaTheme="majorEastAsia" w:hAnsi="Calibri" w:cs="Calibri"/>
          <w:lang w:val="en-GB"/>
        </w:rPr>
        <w:t>CEDs are not risk</w:t>
      </w:r>
      <w:r w:rsidRPr="002129C8">
        <w:rPr>
          <w:rFonts w:ascii="Calibri" w:eastAsiaTheme="majorEastAsia" w:hAnsi="Calibri" w:cs="Calibri"/>
          <w:lang w:val="en-GB"/>
        </w:rPr>
        <w:noBreakHyphen/>
        <w:t>free. Physiological risks, potential for disproportionate impact, and challenges in public perception require structured oversight, robust training, transparent accountability, and community engagement. The evidence suggests that while CEDs can contribute to improved safety outcomes, their effectiveness within South Wales Police is contingent on continual evaluation, ethical deployment, and responsive governance frameworks that prioritise human rights and procedural justice.</w:t>
      </w:r>
    </w:p>
    <w:p w14:paraId="0DD79A83" w14:textId="28E45807" w:rsidR="001433CD" w:rsidRDefault="00C20AC3" w:rsidP="00C20AC3">
      <w:pPr>
        <w:rPr>
          <w:rFonts w:ascii="Calibri" w:eastAsiaTheme="majorEastAsia" w:hAnsi="Calibri" w:cs="Calibri"/>
          <w:b/>
          <w:bCs/>
          <w:lang w:val="en-GB"/>
        </w:rPr>
      </w:pPr>
      <w:r w:rsidRPr="002129C8">
        <w:rPr>
          <w:rFonts w:ascii="Calibri" w:eastAsiaTheme="majorEastAsia" w:hAnsi="Calibri" w:cs="Calibri"/>
          <w:b/>
          <w:bCs/>
          <w:lang w:val="en-GB"/>
        </w:rPr>
        <w:pict w14:anchorId="6D5163B1">
          <v:rect id="_x0000_i1030" style="width:0;height:1.5pt" o:hralign="center" o:hrstd="t" o:hr="t" fillcolor="#a0a0a0" stroked="f"/>
        </w:pict>
      </w:r>
    </w:p>
    <w:p w14:paraId="322CC514" w14:textId="77777777" w:rsidR="00C20AC3" w:rsidRDefault="00C20AC3" w:rsidP="00C20AC3">
      <w:pPr>
        <w:rPr>
          <w:rFonts w:ascii="Calibri" w:eastAsiaTheme="majorEastAsia" w:hAnsi="Calibri" w:cs="Calibri"/>
          <w:b/>
          <w:bCs/>
          <w:lang w:val="en-GB"/>
        </w:rPr>
      </w:pPr>
    </w:p>
    <w:p w14:paraId="34E2FF09" w14:textId="77777777" w:rsidR="00C20AC3" w:rsidRDefault="00C20AC3" w:rsidP="00C20AC3">
      <w:pPr>
        <w:rPr>
          <w:rFonts w:ascii="Calibri" w:eastAsiaTheme="majorEastAsia" w:hAnsi="Calibri" w:cs="Calibri"/>
          <w:b/>
          <w:bCs/>
          <w:lang w:val="en-GB"/>
        </w:rPr>
      </w:pPr>
    </w:p>
    <w:p w14:paraId="6973B464" w14:textId="77777777" w:rsidR="00C20AC3" w:rsidRDefault="00C20AC3" w:rsidP="00C20AC3">
      <w:pPr>
        <w:rPr>
          <w:rFonts w:ascii="Calibri" w:eastAsiaTheme="majorEastAsia" w:hAnsi="Calibri" w:cs="Calibri"/>
          <w:b/>
          <w:bCs/>
          <w:lang w:val="en-GB"/>
        </w:rPr>
      </w:pPr>
    </w:p>
    <w:p w14:paraId="1E61DF3D" w14:textId="77777777" w:rsidR="00C20AC3" w:rsidRDefault="00C20AC3" w:rsidP="00C20AC3">
      <w:pPr>
        <w:rPr>
          <w:rFonts w:ascii="Calibri" w:eastAsiaTheme="majorEastAsia" w:hAnsi="Calibri" w:cs="Calibri"/>
          <w:b/>
          <w:bCs/>
          <w:lang w:val="en-GB"/>
        </w:rPr>
      </w:pPr>
    </w:p>
    <w:p w14:paraId="2DF7EB33" w14:textId="77777777" w:rsidR="00C20AC3" w:rsidRDefault="00C20AC3" w:rsidP="00C20AC3">
      <w:pPr>
        <w:rPr>
          <w:rFonts w:ascii="Calibri" w:eastAsiaTheme="majorEastAsia" w:hAnsi="Calibri" w:cs="Calibri"/>
          <w:b/>
          <w:bCs/>
          <w:lang w:val="en-GB"/>
        </w:rPr>
      </w:pPr>
    </w:p>
    <w:p w14:paraId="6D28A1B4" w14:textId="77777777" w:rsidR="00C20AC3" w:rsidRDefault="00C20AC3" w:rsidP="00C20AC3">
      <w:pPr>
        <w:rPr>
          <w:rFonts w:ascii="Calibri" w:eastAsiaTheme="majorEastAsia" w:hAnsi="Calibri" w:cs="Calibri"/>
          <w:b/>
          <w:bCs/>
          <w:lang w:val="en-GB"/>
        </w:rPr>
      </w:pPr>
    </w:p>
    <w:p w14:paraId="380C91DE" w14:textId="77777777" w:rsidR="00C20AC3" w:rsidRDefault="00C20AC3" w:rsidP="00C20AC3">
      <w:pPr>
        <w:rPr>
          <w:rFonts w:ascii="Calibri" w:eastAsiaTheme="majorEastAsia" w:hAnsi="Calibri" w:cs="Calibri"/>
          <w:b/>
          <w:bCs/>
          <w:lang w:val="en-GB"/>
        </w:rPr>
      </w:pPr>
    </w:p>
    <w:p w14:paraId="48738C49" w14:textId="77777777" w:rsidR="00C20AC3" w:rsidRDefault="00C20AC3" w:rsidP="00C20AC3">
      <w:pPr>
        <w:rPr>
          <w:rFonts w:ascii="Calibri" w:eastAsiaTheme="majorEastAsia" w:hAnsi="Calibri" w:cs="Calibri"/>
          <w:b/>
          <w:bCs/>
          <w:lang w:val="en-GB"/>
        </w:rPr>
      </w:pPr>
    </w:p>
    <w:p w14:paraId="1E4BDA8E" w14:textId="77777777" w:rsidR="00C20AC3" w:rsidRDefault="00C20AC3" w:rsidP="00C20AC3">
      <w:pPr>
        <w:rPr>
          <w:rFonts w:ascii="Calibri" w:eastAsiaTheme="majorEastAsia" w:hAnsi="Calibri" w:cs="Calibri"/>
          <w:b/>
          <w:bCs/>
          <w:lang w:val="en-GB"/>
        </w:rPr>
      </w:pPr>
    </w:p>
    <w:p w14:paraId="73FB1005" w14:textId="77777777" w:rsidR="00C20AC3" w:rsidRDefault="00C20AC3" w:rsidP="00C20AC3">
      <w:pPr>
        <w:rPr>
          <w:rFonts w:ascii="Calibri" w:eastAsiaTheme="majorEastAsia" w:hAnsi="Calibri" w:cs="Calibri"/>
          <w:b/>
          <w:bCs/>
          <w:lang w:val="en-GB"/>
        </w:rPr>
      </w:pPr>
    </w:p>
    <w:p w14:paraId="54A13FCE" w14:textId="77777777" w:rsidR="00C20AC3" w:rsidRDefault="00C20AC3" w:rsidP="00C20AC3">
      <w:pPr>
        <w:rPr>
          <w:rFonts w:ascii="Calibri" w:eastAsiaTheme="majorEastAsia" w:hAnsi="Calibri" w:cs="Calibri"/>
          <w:b/>
          <w:bCs/>
          <w:lang w:val="en-GB"/>
        </w:rPr>
      </w:pPr>
    </w:p>
    <w:p w14:paraId="79DD11CB" w14:textId="77777777" w:rsidR="00C20AC3" w:rsidRDefault="00C20AC3" w:rsidP="00C20AC3">
      <w:pPr>
        <w:rPr>
          <w:rFonts w:ascii="Calibri" w:eastAsiaTheme="majorEastAsia" w:hAnsi="Calibri" w:cs="Calibri"/>
          <w:b/>
          <w:bCs/>
          <w:lang w:val="en-GB"/>
        </w:rPr>
      </w:pPr>
    </w:p>
    <w:p w14:paraId="004BA4C5" w14:textId="77777777" w:rsidR="00C20AC3" w:rsidRDefault="00C20AC3" w:rsidP="00C20AC3">
      <w:pPr>
        <w:rPr>
          <w:rFonts w:ascii="Calibri" w:eastAsiaTheme="majorEastAsia" w:hAnsi="Calibri" w:cs="Calibri"/>
          <w:b/>
          <w:bCs/>
          <w:lang w:val="en-GB"/>
        </w:rPr>
      </w:pPr>
    </w:p>
    <w:p w14:paraId="2A6A722B" w14:textId="77777777" w:rsidR="00C20AC3" w:rsidRDefault="00C20AC3" w:rsidP="00C20AC3">
      <w:pPr>
        <w:rPr>
          <w:rFonts w:ascii="Calibri" w:eastAsiaTheme="majorEastAsia" w:hAnsi="Calibri" w:cs="Calibri"/>
          <w:b/>
          <w:bCs/>
          <w:lang w:val="en-GB"/>
        </w:rPr>
      </w:pPr>
    </w:p>
    <w:p w14:paraId="3B547757" w14:textId="77777777" w:rsidR="00C20AC3" w:rsidRDefault="00C20AC3" w:rsidP="00C20AC3">
      <w:pPr>
        <w:rPr>
          <w:rFonts w:ascii="Calibri" w:eastAsiaTheme="majorEastAsia" w:hAnsi="Calibri" w:cs="Calibri"/>
          <w:b/>
          <w:bCs/>
          <w:lang w:val="en-GB"/>
        </w:rPr>
      </w:pPr>
    </w:p>
    <w:p w14:paraId="0386A28F" w14:textId="77777777" w:rsidR="00C20AC3" w:rsidRDefault="00C20AC3" w:rsidP="00C20AC3">
      <w:pPr>
        <w:rPr>
          <w:rFonts w:ascii="Calibri" w:eastAsiaTheme="majorEastAsia" w:hAnsi="Calibri" w:cs="Calibri"/>
          <w:b/>
          <w:bCs/>
          <w:lang w:val="en-GB"/>
        </w:rPr>
      </w:pPr>
    </w:p>
    <w:p w14:paraId="0EAFE22C" w14:textId="77777777" w:rsidR="00C20AC3" w:rsidRDefault="00C20AC3" w:rsidP="00C20AC3">
      <w:pPr>
        <w:rPr>
          <w:rFonts w:ascii="Calibri" w:eastAsiaTheme="majorEastAsia" w:hAnsi="Calibri" w:cs="Calibri"/>
          <w:b/>
          <w:bCs/>
          <w:lang w:val="en-GB"/>
        </w:rPr>
      </w:pPr>
    </w:p>
    <w:p w14:paraId="4D777A13" w14:textId="77777777" w:rsidR="00C20AC3" w:rsidRDefault="00C20AC3" w:rsidP="00C20AC3">
      <w:pPr>
        <w:rPr>
          <w:rFonts w:ascii="Calibri" w:eastAsiaTheme="majorEastAsia" w:hAnsi="Calibri" w:cs="Calibri"/>
          <w:b/>
          <w:bCs/>
          <w:lang w:val="en-GB"/>
        </w:rPr>
      </w:pPr>
    </w:p>
    <w:p w14:paraId="618617D4" w14:textId="77777777" w:rsidR="00C20AC3" w:rsidRPr="002129C8" w:rsidRDefault="00C20AC3" w:rsidP="00C20AC3">
      <w:pPr>
        <w:rPr>
          <w:rFonts w:ascii="Calibri" w:eastAsiaTheme="majorEastAsia" w:hAnsi="Calibri" w:cs="Calibri"/>
          <w:b/>
          <w:bCs/>
          <w:lang w:val="en-GB"/>
        </w:rPr>
      </w:pPr>
      <w:r w:rsidRPr="002129C8">
        <w:rPr>
          <w:rFonts w:ascii="Calibri" w:eastAsiaTheme="majorEastAsia" w:hAnsi="Calibri" w:cs="Calibri"/>
          <w:b/>
          <w:bCs/>
          <w:lang w:val="en-GB"/>
        </w:rPr>
        <w:lastRenderedPageBreak/>
        <w:t>Bibliography</w:t>
      </w:r>
    </w:p>
    <w:p w14:paraId="5D56E920" w14:textId="77777777" w:rsidR="00C20AC3" w:rsidRDefault="00C20AC3" w:rsidP="00C20AC3">
      <w:pPr>
        <w:rPr>
          <w:rFonts w:ascii="Calibri" w:eastAsiaTheme="majorEastAsia" w:hAnsi="Calibri" w:cs="Calibri"/>
          <w:color w:val="00CC00"/>
          <w:lang w:val="en-GB"/>
        </w:rPr>
      </w:pPr>
      <w:r w:rsidRPr="002129C8">
        <w:rPr>
          <w:rFonts w:ascii="Calibri" w:eastAsiaTheme="majorEastAsia" w:hAnsi="Calibri" w:cs="Calibri"/>
        </w:rPr>
        <w:t xml:space="preserve">Ariel, B., Lawes, D., Sutherland, A., et al. (2017). </w:t>
      </w:r>
      <w:r w:rsidRPr="002129C8">
        <w:rPr>
          <w:rFonts w:ascii="Calibri" w:eastAsiaTheme="majorEastAsia" w:hAnsi="Calibri" w:cs="Calibri"/>
          <w:i/>
          <w:iCs/>
        </w:rPr>
        <w:t>Carrying Tasers increases police use of force: Evidence from a field experiment</w:t>
      </w:r>
      <w:r w:rsidRPr="002129C8">
        <w:rPr>
          <w:rFonts w:ascii="Calibri" w:eastAsiaTheme="majorEastAsia" w:hAnsi="Calibri" w:cs="Calibri"/>
        </w:rPr>
        <w:t xml:space="preserve">. Criminal Justice and </w:t>
      </w:r>
      <w:proofErr w:type="spellStart"/>
      <w:r w:rsidRPr="002129C8">
        <w:rPr>
          <w:rFonts w:ascii="Calibri" w:eastAsiaTheme="majorEastAsia" w:hAnsi="Calibri" w:cs="Calibri"/>
        </w:rPr>
        <w:t>Behaviour</w:t>
      </w:r>
      <w:proofErr w:type="spellEnd"/>
      <w:r w:rsidRPr="002129C8">
        <w:rPr>
          <w:rFonts w:ascii="Calibri" w:eastAsiaTheme="majorEastAsia" w:hAnsi="Calibri" w:cs="Calibri"/>
        </w:rPr>
        <w:t xml:space="preserve">, (published online). Available at: </w:t>
      </w:r>
      <w:hyperlink r:id="rId4" w:history="1">
        <w:r w:rsidRPr="002129C8">
          <w:rPr>
            <w:rStyle w:val="Hyperlink"/>
            <w:rFonts w:ascii="Calibri" w:eastAsiaTheme="majorEastAsia" w:hAnsi="Calibri" w:cs="Calibri"/>
          </w:rPr>
          <w:t>https://www.cam.ac.uk/research/news/carrying-tasers-increases-police-use-of-force-study-finds</w:t>
        </w:r>
      </w:hyperlink>
      <w:r w:rsidRPr="002129C8">
        <w:rPr>
          <w:rFonts w:ascii="Calibri" w:eastAsiaTheme="majorEastAsia" w:hAnsi="Calibri" w:cs="Calibri"/>
        </w:rPr>
        <w:t xml:space="preserve"> </w:t>
      </w:r>
      <w:r w:rsidRPr="002129C8">
        <w:rPr>
          <w:rFonts w:ascii="Calibri" w:eastAsiaTheme="majorEastAsia" w:hAnsi="Calibri" w:cs="Calibri"/>
        </w:rPr>
        <w:br/>
        <w:t>(Accessed: 24 January 2026).</w:t>
      </w:r>
      <w:r w:rsidRPr="002129C8">
        <w:rPr>
          <w:rFonts w:ascii="Calibri" w:eastAsiaTheme="majorEastAsia" w:hAnsi="Calibri" w:cs="Calibri"/>
          <w:color w:val="00CC00"/>
          <w:lang w:val="en-GB"/>
        </w:rPr>
        <w:t xml:space="preserve"> </w:t>
      </w:r>
      <w:r w:rsidRPr="002129C8">
        <w:rPr>
          <w:rFonts w:ascii="Calibri" w:eastAsiaTheme="majorEastAsia" w:hAnsi="Calibri" w:cs="Calibri"/>
          <w:color w:val="00CC00"/>
          <w:lang w:val="en-GB"/>
        </w:rPr>
        <w:br/>
      </w:r>
      <w:r w:rsidRPr="002129C8">
        <w:rPr>
          <w:rFonts w:ascii="Calibri" w:eastAsiaTheme="majorEastAsia" w:hAnsi="Calibri" w:cs="Calibri"/>
          <w:color w:val="00CC00"/>
          <w:lang w:val="en-GB"/>
        </w:rPr>
        <w:br/>
      </w:r>
      <w:r w:rsidRPr="002129C8">
        <w:rPr>
          <w:rFonts w:ascii="Calibri" w:eastAsiaTheme="majorEastAsia" w:hAnsi="Calibri" w:cs="Calibri"/>
        </w:rPr>
        <w:t>Amnesty International (2025).</w:t>
      </w:r>
      <w:r w:rsidRPr="002129C8">
        <w:rPr>
          <w:rFonts w:ascii="Calibri" w:eastAsiaTheme="majorEastAsia" w:hAnsi="Calibri" w:cs="Calibri"/>
          <w:i/>
          <w:iCs/>
        </w:rPr>
        <w:t xml:space="preserve"> Electric shock equipment </w:t>
      </w:r>
      <w:proofErr w:type="gramStart"/>
      <w:r w:rsidRPr="002129C8">
        <w:rPr>
          <w:rFonts w:ascii="Calibri" w:eastAsiaTheme="majorEastAsia" w:hAnsi="Calibri" w:cs="Calibri"/>
          <w:i/>
          <w:iCs/>
        </w:rPr>
        <w:t>widely</w:t>
      </w:r>
      <w:proofErr w:type="gramEnd"/>
      <w:r w:rsidRPr="002129C8">
        <w:rPr>
          <w:rFonts w:ascii="Calibri" w:eastAsiaTheme="majorEastAsia" w:hAnsi="Calibri" w:cs="Calibri"/>
          <w:i/>
          <w:iCs/>
        </w:rPr>
        <w:t xml:space="preserve"> abused by law enforcement agencies due to alarming lack of regulation</w:t>
      </w:r>
      <w:r w:rsidRPr="002129C8">
        <w:rPr>
          <w:rFonts w:ascii="Calibri" w:eastAsiaTheme="majorEastAsia" w:hAnsi="Calibri" w:cs="Calibri"/>
        </w:rPr>
        <w:t xml:space="preserve">. Available at: </w:t>
      </w:r>
      <w:hyperlink r:id="rId5" w:history="1">
        <w:r w:rsidRPr="002129C8">
          <w:rPr>
            <w:rStyle w:val="Hyperlink"/>
            <w:rFonts w:ascii="Calibri" w:eastAsiaTheme="majorEastAsia" w:hAnsi="Calibri" w:cs="Calibri"/>
          </w:rPr>
          <w:t>https://www.amnesty.org/en/latest/news/2025/03/global-electric-shock-equipment-widely-abused-by-law-enforcement-agencies-due-to-alar</w:t>
        </w:r>
        <w:r w:rsidRPr="002129C8">
          <w:rPr>
            <w:rStyle w:val="Hyperlink"/>
            <w:rFonts w:ascii="Calibri" w:eastAsiaTheme="majorEastAsia" w:hAnsi="Calibri" w:cs="Calibri"/>
          </w:rPr>
          <w:t>m</w:t>
        </w:r>
        <w:r w:rsidRPr="002129C8">
          <w:rPr>
            <w:rStyle w:val="Hyperlink"/>
            <w:rFonts w:ascii="Calibri" w:eastAsiaTheme="majorEastAsia" w:hAnsi="Calibri" w:cs="Calibri"/>
          </w:rPr>
          <w:t>ing-lack-of-regulation/</w:t>
        </w:r>
      </w:hyperlink>
      <w:r w:rsidRPr="002129C8">
        <w:rPr>
          <w:rFonts w:ascii="Calibri" w:eastAsiaTheme="majorEastAsia" w:hAnsi="Calibri" w:cs="Calibri"/>
        </w:rPr>
        <w:t xml:space="preserve"> (Accessed: 24 January 2026).</w:t>
      </w:r>
      <w:r w:rsidRPr="002129C8">
        <w:rPr>
          <w:rFonts w:ascii="Calibri" w:eastAsiaTheme="majorEastAsia" w:hAnsi="Calibri" w:cs="Calibri"/>
          <w:color w:val="00CC00"/>
          <w:lang w:val="en-GB"/>
        </w:rPr>
        <w:br/>
      </w:r>
      <w:r w:rsidRPr="002129C8">
        <w:rPr>
          <w:rFonts w:ascii="Calibri" w:eastAsiaTheme="majorEastAsia" w:hAnsi="Calibri" w:cs="Calibri"/>
          <w:color w:val="00CC00"/>
          <w:lang w:val="en-GB"/>
        </w:rPr>
        <w:br/>
      </w:r>
      <w:r w:rsidRPr="002129C8">
        <w:rPr>
          <w:rFonts w:ascii="Calibri" w:eastAsiaTheme="majorEastAsia" w:hAnsi="Calibri" w:cs="Calibri"/>
          <w:lang w:val="en-GB"/>
        </w:rPr>
        <w:t xml:space="preserve">Axon Enterprise, (2024). </w:t>
      </w:r>
      <w:r w:rsidRPr="002129C8">
        <w:rPr>
          <w:rFonts w:ascii="Calibri" w:eastAsiaTheme="majorEastAsia" w:hAnsi="Calibri" w:cs="Calibri"/>
          <w:i/>
          <w:iCs/>
          <w:lang w:val="en-GB"/>
        </w:rPr>
        <w:t>Taser X2 model: features, safety guidance &amp; operating specifications</w:t>
      </w:r>
      <w:r w:rsidRPr="002129C8">
        <w:rPr>
          <w:rFonts w:ascii="Calibri" w:eastAsiaTheme="majorEastAsia" w:hAnsi="Calibri" w:cs="Calibri"/>
          <w:lang w:val="en-GB"/>
        </w:rPr>
        <w:t xml:space="preserve">. Available at: </w:t>
      </w:r>
      <w:hyperlink r:id="rId6" w:history="1">
        <w:r w:rsidRPr="002129C8">
          <w:rPr>
            <w:rStyle w:val="Hyperlink"/>
            <w:rFonts w:ascii="Calibri" w:eastAsiaTheme="majorEastAsia" w:hAnsi="Calibri" w:cs="Calibri"/>
            <w:lang w:val="en-GB"/>
          </w:rPr>
          <w:t>https://www.axon.com/products/taser-x2</w:t>
        </w:r>
      </w:hyperlink>
      <w:r w:rsidRPr="002129C8">
        <w:rPr>
          <w:rFonts w:ascii="Calibri" w:eastAsiaTheme="majorEastAsia" w:hAnsi="Calibri" w:cs="Calibri"/>
          <w:lang w:val="en-GB"/>
        </w:rPr>
        <w:t xml:space="preserve"> </w:t>
      </w:r>
      <w:r w:rsidRPr="002129C8">
        <w:rPr>
          <w:rFonts w:ascii="Calibri" w:eastAsiaTheme="majorEastAsia" w:hAnsi="Calibri" w:cs="Calibri"/>
          <w:lang w:val="en-GB"/>
        </w:rPr>
        <w:br/>
        <w:t xml:space="preserve">(Accessed: 24 January 2026). </w:t>
      </w:r>
      <w:r w:rsidRPr="002129C8">
        <w:rPr>
          <w:rFonts w:ascii="Calibri" w:eastAsiaTheme="majorEastAsia" w:hAnsi="Calibri" w:cs="Calibri"/>
          <w:color w:val="00CC00"/>
          <w:lang w:val="en-GB"/>
        </w:rPr>
        <w:br/>
      </w:r>
      <w:r w:rsidRPr="002129C8">
        <w:rPr>
          <w:rFonts w:ascii="Calibri" w:eastAsiaTheme="majorEastAsia" w:hAnsi="Calibri" w:cs="Calibri"/>
          <w:color w:val="00CC00"/>
          <w:lang w:val="en-GB"/>
        </w:rPr>
        <w:br/>
      </w:r>
      <w:r w:rsidRPr="002129C8">
        <w:rPr>
          <w:rFonts w:ascii="Calibri" w:eastAsiaTheme="majorEastAsia" w:hAnsi="Calibri" w:cs="Calibri"/>
          <w:lang w:val="en-GB"/>
        </w:rPr>
        <w:t xml:space="preserve">Bozeman, W.P., </w:t>
      </w:r>
      <w:proofErr w:type="spellStart"/>
      <w:r w:rsidRPr="002129C8">
        <w:rPr>
          <w:rFonts w:ascii="Calibri" w:eastAsiaTheme="majorEastAsia" w:hAnsi="Calibri" w:cs="Calibri"/>
          <w:lang w:val="en-GB"/>
        </w:rPr>
        <w:t>Hauda</w:t>
      </w:r>
      <w:proofErr w:type="spellEnd"/>
      <w:r w:rsidRPr="002129C8">
        <w:rPr>
          <w:rFonts w:ascii="Calibri" w:eastAsiaTheme="majorEastAsia" w:hAnsi="Calibri" w:cs="Calibri"/>
          <w:lang w:val="en-GB"/>
        </w:rPr>
        <w:t xml:space="preserve">, W.E., Heck, J.J., Graham, D.D., Martin, B.P. and Winslow, J.E. (2009). </w:t>
      </w:r>
      <w:r w:rsidRPr="002129C8">
        <w:rPr>
          <w:rFonts w:ascii="Calibri" w:eastAsiaTheme="majorEastAsia" w:hAnsi="Calibri" w:cs="Calibri"/>
          <w:i/>
          <w:iCs/>
          <w:lang w:val="en-GB"/>
        </w:rPr>
        <w:t>Safety and injury profile of conducted electrical weapons used by law enforcement officers</w:t>
      </w:r>
      <w:r w:rsidRPr="002129C8">
        <w:rPr>
          <w:rFonts w:ascii="Calibri" w:eastAsiaTheme="majorEastAsia" w:hAnsi="Calibri" w:cs="Calibri"/>
          <w:lang w:val="en-GB"/>
        </w:rPr>
        <w:t xml:space="preserve">. Annals of Emergency Medicine, 53(4), pp.480–489. doi:10.1016/j.annemergmed.2008.11.021 </w:t>
      </w:r>
      <w:r w:rsidRPr="002129C8">
        <w:rPr>
          <w:rFonts w:ascii="Calibri" w:eastAsiaTheme="majorEastAsia" w:hAnsi="Calibri" w:cs="Calibri"/>
          <w:lang w:val="en-GB"/>
        </w:rPr>
        <w:br/>
        <w:t xml:space="preserve">Available at: </w:t>
      </w:r>
      <w:hyperlink r:id="rId7" w:history="1">
        <w:r w:rsidRPr="002129C8">
          <w:rPr>
            <w:rStyle w:val="Hyperlink"/>
            <w:rFonts w:ascii="Calibri" w:eastAsiaTheme="majorEastAsia" w:hAnsi="Calibri" w:cs="Calibri"/>
          </w:rPr>
          <w:t>https://doi.org/10.1016/j.annemergmed.2008.11.021</w:t>
        </w:r>
      </w:hyperlink>
      <w:r w:rsidRPr="002129C8">
        <w:rPr>
          <w:rFonts w:ascii="Calibri" w:eastAsiaTheme="majorEastAsia" w:hAnsi="Calibri" w:cs="Calibri"/>
        </w:rPr>
        <w:t xml:space="preserve"> </w:t>
      </w:r>
      <w:r w:rsidRPr="002129C8">
        <w:rPr>
          <w:rFonts w:ascii="Calibri" w:eastAsiaTheme="majorEastAsia" w:hAnsi="Calibri" w:cs="Calibri"/>
        </w:rPr>
        <w:br/>
      </w:r>
      <w:r w:rsidRPr="002129C8">
        <w:rPr>
          <w:rFonts w:ascii="Calibri" w:eastAsiaTheme="majorEastAsia" w:hAnsi="Calibri" w:cs="Calibri"/>
          <w:lang w:val="en-GB"/>
        </w:rPr>
        <w:t>(Accessed: 24 January 2026).</w:t>
      </w:r>
      <w:r w:rsidRPr="002129C8">
        <w:rPr>
          <w:rFonts w:ascii="Calibri" w:eastAsiaTheme="majorEastAsia" w:hAnsi="Calibri" w:cs="Calibri"/>
          <w:color w:val="00CC00"/>
          <w:lang w:val="en-GB"/>
        </w:rPr>
        <w:br/>
      </w:r>
      <w:r w:rsidRPr="002129C8">
        <w:rPr>
          <w:rFonts w:ascii="Calibri" w:eastAsiaTheme="majorEastAsia" w:hAnsi="Calibri" w:cs="Calibri"/>
          <w:color w:val="00CC00"/>
          <w:lang w:val="en-GB"/>
        </w:rPr>
        <w:br/>
      </w:r>
      <w:r w:rsidRPr="002129C8">
        <w:rPr>
          <w:rFonts w:ascii="Calibri" w:eastAsiaTheme="majorEastAsia" w:hAnsi="Calibri" w:cs="Calibri"/>
          <w:lang w:val="en-GB"/>
        </w:rPr>
        <w:t xml:space="preserve">Bradford, B., Milani, J. and Jackson, J. (2017). </w:t>
      </w:r>
      <w:r w:rsidRPr="002129C8">
        <w:rPr>
          <w:rFonts w:ascii="Calibri" w:eastAsiaTheme="majorEastAsia" w:hAnsi="Calibri" w:cs="Calibri"/>
          <w:i/>
          <w:iCs/>
          <w:lang w:val="en-GB"/>
        </w:rPr>
        <w:t>Identity, legitimacy and policing use of force in England and Wales</w:t>
      </w:r>
      <w:r w:rsidRPr="002129C8">
        <w:rPr>
          <w:rFonts w:ascii="Calibri" w:eastAsiaTheme="majorEastAsia" w:hAnsi="Calibri" w:cs="Calibri"/>
          <w:lang w:val="en-GB"/>
        </w:rPr>
        <w:t>. Policing: An International Journal, 40(3), pp.614–627. doi:10.1108/PIJPSM</w:t>
      </w:r>
      <w:r w:rsidRPr="002129C8">
        <w:rPr>
          <w:rFonts w:ascii="Calibri" w:eastAsiaTheme="majorEastAsia" w:hAnsi="Calibri" w:cs="Calibri"/>
          <w:lang w:val="en-GB"/>
        </w:rPr>
        <w:noBreakHyphen/>
        <w:t>06</w:t>
      </w:r>
      <w:r w:rsidRPr="002129C8">
        <w:rPr>
          <w:rFonts w:ascii="Calibri" w:eastAsiaTheme="majorEastAsia" w:hAnsi="Calibri" w:cs="Calibri"/>
          <w:lang w:val="en-GB"/>
        </w:rPr>
        <w:noBreakHyphen/>
        <w:t>2016</w:t>
      </w:r>
      <w:r w:rsidRPr="002129C8">
        <w:rPr>
          <w:rFonts w:ascii="Calibri" w:eastAsiaTheme="majorEastAsia" w:hAnsi="Calibri" w:cs="Calibri"/>
          <w:lang w:val="en-GB"/>
        </w:rPr>
        <w:noBreakHyphen/>
        <w:t xml:space="preserve">0085 Available at: </w:t>
      </w:r>
      <w:hyperlink r:id="rId8" w:tgtFrame="_blank" w:history="1">
        <w:r w:rsidRPr="002129C8">
          <w:rPr>
            <w:rStyle w:val="Hyperlink"/>
            <w:rFonts w:ascii="Calibri" w:eastAsiaTheme="majorEastAsia" w:hAnsi="Calibri" w:cs="Calibri"/>
          </w:rPr>
          <w:t>https://doi.org/10.1108/PIJPS</w:t>
        </w:r>
        <w:r w:rsidRPr="002129C8">
          <w:rPr>
            <w:rStyle w:val="Hyperlink"/>
            <w:rFonts w:ascii="Calibri" w:eastAsiaTheme="majorEastAsia" w:hAnsi="Calibri" w:cs="Calibri"/>
          </w:rPr>
          <w:t>M</w:t>
        </w:r>
        <w:r w:rsidRPr="002129C8">
          <w:rPr>
            <w:rStyle w:val="Hyperlink"/>
            <w:rFonts w:ascii="Calibri" w:eastAsiaTheme="majorEastAsia" w:hAnsi="Calibri" w:cs="Calibri"/>
          </w:rPr>
          <w:t>-06-2016-0085</w:t>
        </w:r>
      </w:hyperlink>
      <w:r w:rsidRPr="002129C8">
        <w:rPr>
          <w:rFonts w:ascii="Calibri" w:eastAsiaTheme="majorEastAsia" w:hAnsi="Calibri" w:cs="Calibri"/>
          <w:lang w:val="en-GB"/>
        </w:rPr>
        <w:t xml:space="preserve"> </w:t>
      </w:r>
      <w:r w:rsidRPr="002129C8">
        <w:rPr>
          <w:rFonts w:ascii="Calibri" w:eastAsiaTheme="majorEastAsia" w:hAnsi="Calibri" w:cs="Calibri"/>
          <w:lang w:val="en-GB"/>
        </w:rPr>
        <w:br/>
        <w:t>(Accessed: 24 January 2026).</w:t>
      </w:r>
      <w:r>
        <w:rPr>
          <w:rFonts w:ascii="Calibri" w:eastAsiaTheme="majorEastAsia" w:hAnsi="Calibri" w:cs="Calibri"/>
          <w:lang w:val="en-GB"/>
        </w:rPr>
        <w:br/>
      </w:r>
      <w:r>
        <w:rPr>
          <w:rFonts w:ascii="Calibri" w:eastAsiaTheme="majorEastAsia" w:hAnsi="Calibri" w:cs="Calibri"/>
          <w:lang w:val="en-GB"/>
        </w:rPr>
        <w:br/>
      </w:r>
      <w:r w:rsidRPr="002129C8">
        <w:rPr>
          <w:rFonts w:ascii="Calibri" w:eastAsiaTheme="majorEastAsia" w:hAnsi="Calibri" w:cs="Calibri"/>
        </w:rPr>
        <w:t>College of Policing (2022). </w:t>
      </w:r>
      <w:r w:rsidRPr="002129C8">
        <w:rPr>
          <w:rFonts w:ascii="Calibri" w:eastAsiaTheme="majorEastAsia" w:hAnsi="Calibri" w:cs="Calibri"/>
          <w:i/>
          <w:iCs/>
        </w:rPr>
        <w:t>Conducted energy devices (Taser)</w:t>
      </w:r>
      <w:r w:rsidRPr="002129C8">
        <w:rPr>
          <w:rFonts w:ascii="Calibri" w:eastAsiaTheme="majorEastAsia" w:hAnsi="Calibri" w:cs="Calibri"/>
        </w:rPr>
        <w:t>, </w:t>
      </w:r>
      <w:r w:rsidRPr="002129C8">
        <w:rPr>
          <w:rFonts w:ascii="Calibri" w:eastAsiaTheme="majorEastAsia" w:hAnsi="Calibri" w:cs="Calibri"/>
          <w:i/>
          <w:iCs/>
        </w:rPr>
        <w:t>College of Policing</w:t>
      </w:r>
      <w:r w:rsidRPr="002129C8">
        <w:rPr>
          <w:rFonts w:ascii="Calibri" w:eastAsiaTheme="majorEastAsia" w:hAnsi="Calibri" w:cs="Calibri"/>
        </w:rPr>
        <w:t xml:space="preserve">. College of Policing. Available at: </w:t>
      </w:r>
      <w:hyperlink r:id="rId9" w:history="1">
        <w:r w:rsidRPr="002129C8">
          <w:rPr>
            <w:rStyle w:val="Hyperlink"/>
            <w:rFonts w:ascii="Calibri" w:eastAsiaTheme="majorEastAsia" w:hAnsi="Calibri" w:cs="Calibri"/>
          </w:rPr>
          <w:t>https://www.college.police.uk/app/armed-policing/conducted-energy-devices-taser</w:t>
        </w:r>
      </w:hyperlink>
      <w:r w:rsidRPr="002129C8">
        <w:rPr>
          <w:rFonts w:ascii="Calibri" w:eastAsiaTheme="majorEastAsia" w:hAnsi="Calibri" w:cs="Calibri"/>
        </w:rPr>
        <w:t xml:space="preserve"> </w:t>
      </w:r>
      <w:r w:rsidRPr="002129C8">
        <w:rPr>
          <w:rFonts w:ascii="Calibri" w:eastAsiaTheme="majorEastAsia" w:hAnsi="Calibri" w:cs="Calibri"/>
          <w:lang w:val="en-GB"/>
        </w:rPr>
        <w:t xml:space="preserve"> </w:t>
      </w:r>
      <w:r w:rsidRPr="002129C8">
        <w:rPr>
          <w:rFonts w:ascii="Calibri" w:eastAsiaTheme="majorEastAsia" w:hAnsi="Calibri" w:cs="Calibri"/>
          <w:lang w:val="en-GB"/>
        </w:rPr>
        <w:br/>
        <w:t xml:space="preserve">(Accessed: 24 January 2026). </w:t>
      </w:r>
      <w:r w:rsidRPr="002129C8">
        <w:rPr>
          <w:rFonts w:ascii="Calibri" w:eastAsiaTheme="majorEastAsia" w:hAnsi="Calibri" w:cs="Calibri"/>
          <w:color w:val="00CC00"/>
          <w:lang w:val="en-GB"/>
        </w:rPr>
        <w:br/>
      </w:r>
      <w:r w:rsidRPr="002129C8">
        <w:rPr>
          <w:rFonts w:ascii="Calibri" w:eastAsiaTheme="majorEastAsia" w:hAnsi="Calibri" w:cs="Calibri"/>
          <w:color w:val="00CC00"/>
          <w:lang w:val="en-GB"/>
        </w:rPr>
        <w:br/>
      </w:r>
      <w:r w:rsidRPr="002129C8">
        <w:rPr>
          <w:rFonts w:ascii="Calibri" w:eastAsiaTheme="majorEastAsia" w:hAnsi="Calibri" w:cs="Calibri"/>
          <w:lang w:val="en-GB"/>
        </w:rPr>
        <w:t xml:space="preserve">College of Policing (2023). </w:t>
      </w:r>
      <w:r w:rsidRPr="002129C8">
        <w:rPr>
          <w:rFonts w:ascii="Calibri" w:eastAsiaTheme="majorEastAsia" w:hAnsi="Calibri" w:cs="Calibri"/>
        </w:rPr>
        <w:t xml:space="preserve">College of Policing (2023) Use of force, firearms and less lethal weapons, College of Policing. Available at: </w:t>
      </w:r>
      <w:hyperlink r:id="rId10" w:history="1">
        <w:r w:rsidRPr="002129C8">
          <w:rPr>
            <w:rStyle w:val="Hyperlink"/>
            <w:rFonts w:ascii="Calibri" w:eastAsiaTheme="majorEastAsia" w:hAnsi="Calibri" w:cs="Calibri"/>
          </w:rPr>
          <w:t>https://www.college.police.uk/app/armed-policing/use-force-firearms-and-less-lethal-weapons</w:t>
        </w:r>
      </w:hyperlink>
      <w:r w:rsidRPr="002129C8">
        <w:rPr>
          <w:rFonts w:ascii="Calibri" w:eastAsiaTheme="majorEastAsia" w:hAnsi="Calibri" w:cs="Calibri"/>
          <w:i/>
          <w:iCs/>
        </w:rPr>
        <w:t xml:space="preserve"> </w:t>
      </w:r>
      <w:r w:rsidRPr="002129C8">
        <w:rPr>
          <w:rFonts w:ascii="Calibri" w:eastAsiaTheme="majorEastAsia" w:hAnsi="Calibri" w:cs="Calibri"/>
          <w:lang w:val="en-GB"/>
        </w:rPr>
        <w:t xml:space="preserve"> </w:t>
      </w:r>
      <w:r w:rsidRPr="002129C8">
        <w:rPr>
          <w:rFonts w:ascii="Calibri" w:eastAsiaTheme="majorEastAsia" w:hAnsi="Calibri" w:cs="Calibri"/>
          <w:lang w:val="en-GB"/>
        </w:rPr>
        <w:br/>
        <w:t>(Accessed: 24 January 2026).</w:t>
      </w:r>
      <w:r w:rsidRPr="002129C8">
        <w:rPr>
          <w:rFonts w:ascii="Calibri" w:eastAsiaTheme="majorEastAsia" w:hAnsi="Calibri" w:cs="Calibri"/>
          <w:color w:val="00CC00"/>
          <w:lang w:val="en-GB"/>
        </w:rPr>
        <w:br/>
      </w:r>
      <w:r w:rsidRPr="002129C8">
        <w:rPr>
          <w:rFonts w:ascii="Calibri" w:eastAsiaTheme="majorEastAsia" w:hAnsi="Calibri" w:cs="Calibri"/>
          <w:color w:val="00CC00"/>
          <w:lang w:val="en-GB"/>
        </w:rPr>
        <w:br/>
      </w:r>
      <w:r w:rsidRPr="002129C8">
        <w:rPr>
          <w:rFonts w:ascii="Calibri" w:eastAsiaTheme="majorEastAsia" w:hAnsi="Calibri" w:cs="Calibri"/>
        </w:rPr>
        <w:t xml:space="preserve">College Of Policing (2024). </w:t>
      </w:r>
      <w:r w:rsidRPr="002129C8">
        <w:rPr>
          <w:rFonts w:ascii="Calibri" w:eastAsiaTheme="majorEastAsia" w:hAnsi="Calibri" w:cs="Calibri"/>
          <w:i/>
          <w:iCs/>
        </w:rPr>
        <w:t xml:space="preserve">Guidance for ethical and professional </w:t>
      </w:r>
      <w:proofErr w:type="spellStart"/>
      <w:r w:rsidRPr="002129C8">
        <w:rPr>
          <w:rFonts w:ascii="Calibri" w:eastAsiaTheme="majorEastAsia" w:hAnsi="Calibri" w:cs="Calibri"/>
          <w:i/>
          <w:iCs/>
        </w:rPr>
        <w:t>behaviour</w:t>
      </w:r>
      <w:proofErr w:type="spellEnd"/>
      <w:r w:rsidRPr="002129C8">
        <w:rPr>
          <w:rFonts w:ascii="Calibri" w:eastAsiaTheme="majorEastAsia" w:hAnsi="Calibri" w:cs="Calibri"/>
          <w:i/>
          <w:iCs/>
        </w:rPr>
        <w:t xml:space="preserve"> in policing</w:t>
      </w:r>
      <w:r w:rsidRPr="002129C8">
        <w:rPr>
          <w:rFonts w:ascii="Calibri" w:eastAsiaTheme="majorEastAsia" w:hAnsi="Calibri" w:cs="Calibri"/>
        </w:rPr>
        <w:t>, </w:t>
      </w:r>
      <w:r w:rsidRPr="002129C8">
        <w:rPr>
          <w:rFonts w:ascii="Calibri" w:eastAsiaTheme="majorEastAsia" w:hAnsi="Calibri" w:cs="Calibri"/>
          <w:i/>
          <w:iCs/>
        </w:rPr>
        <w:t>College of Policing</w:t>
      </w:r>
      <w:r w:rsidRPr="002129C8">
        <w:rPr>
          <w:rFonts w:ascii="Calibri" w:eastAsiaTheme="majorEastAsia" w:hAnsi="Calibri" w:cs="Calibri"/>
        </w:rPr>
        <w:t xml:space="preserve">. College of </w:t>
      </w:r>
      <w:proofErr w:type="gramStart"/>
      <w:r w:rsidRPr="002129C8">
        <w:rPr>
          <w:rFonts w:ascii="Calibri" w:eastAsiaTheme="majorEastAsia" w:hAnsi="Calibri" w:cs="Calibri"/>
        </w:rPr>
        <w:t>policing</w:t>
      </w:r>
      <w:proofErr w:type="gramEnd"/>
      <w:r w:rsidRPr="002129C8">
        <w:rPr>
          <w:rFonts w:ascii="Calibri" w:eastAsiaTheme="majorEastAsia" w:hAnsi="Calibri" w:cs="Calibri"/>
        </w:rPr>
        <w:t xml:space="preserve">. Available at: </w:t>
      </w:r>
      <w:hyperlink r:id="rId11" w:history="1">
        <w:r w:rsidRPr="002129C8">
          <w:rPr>
            <w:rStyle w:val="Hyperlink"/>
            <w:rFonts w:ascii="Calibri" w:eastAsiaTheme="majorEastAsia" w:hAnsi="Calibri" w:cs="Calibri"/>
          </w:rPr>
          <w:t>https://www.college.police.uk/ethics/code-of-ethics/guidance</w:t>
        </w:r>
      </w:hyperlink>
      <w:r w:rsidRPr="002129C8">
        <w:rPr>
          <w:rFonts w:ascii="Calibri" w:eastAsiaTheme="majorEastAsia" w:hAnsi="Calibri" w:cs="Calibri"/>
        </w:rPr>
        <w:t xml:space="preserve"> </w:t>
      </w:r>
      <w:r w:rsidRPr="002129C8">
        <w:rPr>
          <w:rFonts w:ascii="Calibri" w:eastAsiaTheme="majorEastAsia" w:hAnsi="Calibri" w:cs="Calibri"/>
        </w:rPr>
        <w:br/>
      </w:r>
      <w:r w:rsidRPr="002129C8">
        <w:rPr>
          <w:rFonts w:ascii="Calibri" w:eastAsiaTheme="majorEastAsia" w:hAnsi="Calibri" w:cs="Calibri"/>
          <w:lang w:val="en-GB"/>
        </w:rPr>
        <w:t xml:space="preserve">(Accessed: 24 January 2026). </w:t>
      </w:r>
      <w:r>
        <w:rPr>
          <w:rFonts w:ascii="Calibri" w:eastAsiaTheme="majorEastAsia" w:hAnsi="Calibri" w:cs="Calibri"/>
          <w:color w:val="00CC00"/>
          <w:lang w:val="en-GB"/>
        </w:rPr>
        <w:br/>
      </w:r>
      <w:r>
        <w:rPr>
          <w:rFonts w:ascii="Calibri" w:eastAsiaTheme="majorEastAsia" w:hAnsi="Calibri" w:cs="Calibri"/>
          <w:color w:val="00CC00"/>
          <w:lang w:val="en-GB"/>
        </w:rPr>
        <w:br/>
      </w:r>
    </w:p>
    <w:p w14:paraId="59A664A2" w14:textId="77777777" w:rsidR="00C20AC3" w:rsidRDefault="00C20AC3" w:rsidP="00C20AC3">
      <w:pPr>
        <w:rPr>
          <w:rFonts w:ascii="Calibri" w:eastAsiaTheme="majorEastAsia" w:hAnsi="Calibri" w:cs="Calibri"/>
          <w:color w:val="00CC00"/>
          <w:lang w:val="en-GB"/>
        </w:rPr>
      </w:pPr>
    </w:p>
    <w:p w14:paraId="4984C2F7" w14:textId="77777777" w:rsidR="00C20AC3" w:rsidRDefault="00C20AC3" w:rsidP="00C20AC3">
      <w:pPr>
        <w:rPr>
          <w:rFonts w:ascii="Calibri" w:eastAsiaTheme="majorEastAsia" w:hAnsi="Calibri" w:cs="Calibri"/>
          <w:color w:val="00CC00"/>
          <w:lang w:val="en-GB"/>
        </w:rPr>
      </w:pPr>
      <w:r w:rsidRPr="002129C8">
        <w:rPr>
          <w:rFonts w:ascii="Calibri" w:eastAsiaTheme="majorEastAsia" w:hAnsi="Calibri" w:cs="Calibri"/>
        </w:rPr>
        <w:lastRenderedPageBreak/>
        <w:t xml:space="preserve">Cummins, I. (2012). </w:t>
      </w:r>
      <w:r w:rsidRPr="002129C8">
        <w:rPr>
          <w:rFonts w:ascii="Calibri" w:eastAsiaTheme="majorEastAsia" w:hAnsi="Calibri" w:cs="Calibri"/>
          <w:i/>
          <w:iCs/>
        </w:rPr>
        <w:t>Policing and mental illness in England and Wales post Bradley</w:t>
      </w:r>
      <w:r w:rsidRPr="002129C8">
        <w:rPr>
          <w:rFonts w:ascii="Calibri" w:eastAsiaTheme="majorEastAsia" w:hAnsi="Calibri" w:cs="Calibri"/>
        </w:rPr>
        <w:t>. Policing: A Journal of Policy and Practice, 6(4), pp.365–376. doi:10.1093/police/pas024</w:t>
      </w:r>
      <w:r w:rsidRPr="002129C8">
        <w:rPr>
          <w:rFonts w:ascii="Calibri" w:eastAsiaTheme="majorEastAsia" w:hAnsi="Calibri" w:cs="Calibri"/>
          <w:lang w:val="en-GB"/>
        </w:rPr>
        <w:t xml:space="preserve"> Available at: </w:t>
      </w:r>
      <w:hyperlink r:id="rId12" w:history="1">
        <w:r w:rsidRPr="002129C8">
          <w:rPr>
            <w:rStyle w:val="Hyperlink"/>
            <w:rFonts w:ascii="Calibri" w:eastAsiaTheme="majorEastAsia" w:hAnsi="Calibri" w:cs="Calibri"/>
          </w:rPr>
          <w:t>https://doi.org/10.1093/police/pas024</w:t>
        </w:r>
      </w:hyperlink>
      <w:r w:rsidRPr="002129C8">
        <w:rPr>
          <w:rFonts w:ascii="Calibri" w:eastAsiaTheme="majorEastAsia" w:hAnsi="Calibri" w:cs="Calibri"/>
        </w:rPr>
        <w:t xml:space="preserve"> </w:t>
      </w:r>
      <w:r w:rsidRPr="002129C8">
        <w:rPr>
          <w:rFonts w:ascii="Calibri" w:eastAsiaTheme="majorEastAsia" w:hAnsi="Calibri" w:cs="Calibri"/>
        </w:rPr>
        <w:br/>
      </w:r>
      <w:r w:rsidRPr="002129C8">
        <w:rPr>
          <w:rFonts w:ascii="Calibri" w:eastAsiaTheme="majorEastAsia" w:hAnsi="Calibri" w:cs="Calibri"/>
          <w:lang w:val="en-GB"/>
        </w:rPr>
        <w:t xml:space="preserve">(Accessed: 24 January 2026). </w:t>
      </w:r>
      <w:r w:rsidRPr="002129C8">
        <w:rPr>
          <w:rFonts w:ascii="Calibri" w:eastAsiaTheme="majorEastAsia" w:hAnsi="Calibri" w:cs="Calibri"/>
          <w:color w:val="00CC00"/>
          <w:lang w:val="en-GB"/>
        </w:rPr>
        <w:br/>
      </w:r>
      <w:r w:rsidRPr="002129C8">
        <w:rPr>
          <w:rFonts w:ascii="Calibri" w:eastAsiaTheme="majorEastAsia" w:hAnsi="Calibri" w:cs="Calibri"/>
          <w:color w:val="00CC00"/>
          <w:lang w:val="en-GB"/>
        </w:rPr>
        <w:br/>
      </w:r>
      <w:r w:rsidRPr="002129C8">
        <w:rPr>
          <w:rFonts w:ascii="Calibri" w:eastAsiaTheme="majorEastAsia" w:hAnsi="Calibri" w:cs="Calibri"/>
          <w:lang w:val="en-GB"/>
        </w:rPr>
        <w:t xml:space="preserve">European Court of Human Rights (1995). </w:t>
      </w:r>
      <w:r w:rsidRPr="002129C8">
        <w:rPr>
          <w:rFonts w:ascii="Calibri" w:eastAsiaTheme="majorEastAsia" w:hAnsi="Calibri" w:cs="Calibri"/>
          <w:i/>
          <w:iCs/>
          <w:lang w:val="en-GB"/>
        </w:rPr>
        <w:t>McCann v United Kingdom</w:t>
      </w:r>
      <w:r w:rsidRPr="002129C8">
        <w:rPr>
          <w:rFonts w:ascii="Calibri" w:eastAsiaTheme="majorEastAsia" w:hAnsi="Calibri" w:cs="Calibri"/>
          <w:lang w:val="en-GB"/>
        </w:rPr>
        <w:t xml:space="preserve">. Strasbourg: ECHR. Available at: </w:t>
      </w:r>
      <w:hyperlink r:id="rId13" w:history="1">
        <w:r w:rsidRPr="002129C8">
          <w:rPr>
            <w:rStyle w:val="Hyperlink"/>
            <w:rFonts w:ascii="Calibri" w:eastAsiaTheme="majorEastAsia" w:hAnsi="Calibri" w:cs="Calibri"/>
            <w:lang w:val="en-GB"/>
          </w:rPr>
          <w:t>https://hudoc.echr.coe.int/eng#{%22itemid%22:[%22002-10101%22]}</w:t>
        </w:r>
      </w:hyperlink>
      <w:r w:rsidRPr="002129C8">
        <w:rPr>
          <w:rFonts w:ascii="Calibri" w:eastAsiaTheme="majorEastAsia" w:hAnsi="Calibri" w:cs="Calibri"/>
          <w:lang w:val="en-GB"/>
        </w:rPr>
        <w:t xml:space="preserve">   (Accessed: 24 January 2026). </w:t>
      </w:r>
      <w:r w:rsidRPr="002129C8">
        <w:rPr>
          <w:rFonts w:ascii="Calibri" w:eastAsiaTheme="majorEastAsia" w:hAnsi="Calibri" w:cs="Calibri"/>
          <w:color w:val="00CC00"/>
          <w:lang w:val="en-GB"/>
        </w:rPr>
        <w:br/>
      </w:r>
      <w:r w:rsidRPr="002129C8">
        <w:rPr>
          <w:rFonts w:ascii="Calibri" w:eastAsiaTheme="majorEastAsia" w:hAnsi="Calibri" w:cs="Calibri"/>
          <w:color w:val="00CC00"/>
          <w:lang w:val="en-GB"/>
        </w:rPr>
        <w:br/>
      </w:r>
      <w:r w:rsidRPr="002129C8">
        <w:rPr>
          <w:rFonts w:ascii="Calibri" w:eastAsiaTheme="majorEastAsia" w:hAnsi="Calibri" w:cs="Calibri"/>
          <w:lang w:val="en-GB"/>
        </w:rPr>
        <w:t xml:space="preserve">Government Business (2016). </w:t>
      </w:r>
      <w:r w:rsidRPr="002129C8">
        <w:rPr>
          <w:rFonts w:ascii="Calibri" w:eastAsiaTheme="majorEastAsia" w:hAnsi="Calibri" w:cs="Calibri"/>
          <w:i/>
          <w:iCs/>
        </w:rPr>
        <w:t xml:space="preserve">Tasers for police </w:t>
      </w:r>
      <w:proofErr w:type="gramStart"/>
      <w:r w:rsidRPr="002129C8">
        <w:rPr>
          <w:rFonts w:ascii="Calibri" w:eastAsiaTheme="majorEastAsia" w:hAnsi="Calibri" w:cs="Calibri"/>
          <w:i/>
          <w:iCs/>
        </w:rPr>
        <w:t>gets</w:t>
      </w:r>
      <w:proofErr w:type="gramEnd"/>
      <w:r w:rsidRPr="002129C8">
        <w:rPr>
          <w:rFonts w:ascii="Calibri" w:eastAsiaTheme="majorEastAsia" w:hAnsi="Calibri" w:cs="Calibri"/>
          <w:i/>
          <w:iCs/>
        </w:rPr>
        <w:t xml:space="preserve"> public support</w:t>
      </w:r>
      <w:r w:rsidRPr="002129C8">
        <w:rPr>
          <w:rFonts w:ascii="Calibri" w:eastAsiaTheme="majorEastAsia" w:hAnsi="Calibri" w:cs="Calibri"/>
          <w:lang w:val="en-GB"/>
        </w:rPr>
        <w:t xml:space="preserve">. Available at: </w:t>
      </w:r>
      <w:hyperlink r:id="rId14" w:history="1">
        <w:r w:rsidRPr="002129C8">
          <w:rPr>
            <w:rStyle w:val="Hyperlink"/>
            <w:rFonts w:ascii="Calibri" w:hAnsi="Calibri" w:cs="Calibri"/>
          </w:rPr>
          <w:t>https://www.governmentbusiness.co.uk/news/09122016/tasers-police-gets-public-support</w:t>
        </w:r>
      </w:hyperlink>
      <w:r w:rsidRPr="002129C8">
        <w:rPr>
          <w:rFonts w:ascii="Calibri" w:hAnsi="Calibri" w:cs="Calibri"/>
        </w:rPr>
        <w:t xml:space="preserve"> </w:t>
      </w:r>
      <w:r w:rsidRPr="002129C8">
        <w:rPr>
          <w:rFonts w:ascii="Calibri" w:eastAsiaTheme="majorEastAsia" w:hAnsi="Calibri" w:cs="Calibri"/>
          <w:lang w:val="en-GB"/>
        </w:rPr>
        <w:t xml:space="preserve">(Accessed: 24 January 2026). </w:t>
      </w:r>
      <w:r w:rsidRPr="002129C8">
        <w:rPr>
          <w:rFonts w:ascii="Calibri" w:eastAsiaTheme="majorEastAsia" w:hAnsi="Calibri" w:cs="Calibri"/>
          <w:color w:val="00CC00"/>
          <w:lang w:val="en-GB"/>
        </w:rPr>
        <w:br/>
      </w:r>
      <w:r w:rsidRPr="002129C8">
        <w:rPr>
          <w:rFonts w:ascii="Calibri" w:eastAsiaTheme="majorEastAsia" w:hAnsi="Calibri" w:cs="Calibri"/>
          <w:color w:val="00CC00"/>
          <w:lang w:val="en-GB"/>
        </w:rPr>
        <w:br/>
      </w:r>
      <w:r w:rsidRPr="002129C8">
        <w:rPr>
          <w:rFonts w:ascii="Calibri" w:eastAsiaTheme="majorEastAsia" w:hAnsi="Calibri" w:cs="Calibri"/>
          <w:lang w:val="en-GB"/>
        </w:rPr>
        <w:t xml:space="preserve">Health and Safety Executive (2022). </w:t>
      </w:r>
      <w:r w:rsidRPr="002129C8">
        <w:rPr>
          <w:rFonts w:ascii="Calibri" w:eastAsiaTheme="majorEastAsia" w:hAnsi="Calibri" w:cs="Calibri"/>
          <w:i/>
          <w:iCs/>
          <w:lang w:val="en-GB"/>
        </w:rPr>
        <w:t>Personal Protective Equipment at Work</w:t>
      </w:r>
      <w:r w:rsidRPr="002129C8">
        <w:rPr>
          <w:rFonts w:ascii="Calibri" w:eastAsiaTheme="majorEastAsia" w:hAnsi="Calibri" w:cs="Calibri"/>
          <w:lang w:val="en-GB"/>
        </w:rPr>
        <w:t xml:space="preserve">: HSE. Available at: </w:t>
      </w:r>
      <w:hyperlink r:id="rId15" w:history="1">
        <w:r w:rsidRPr="002129C8">
          <w:rPr>
            <w:rStyle w:val="Hyperlink"/>
            <w:rFonts w:ascii="Calibri" w:eastAsiaTheme="majorEastAsia" w:hAnsi="Calibri" w:cs="Calibri"/>
            <w:lang w:val="en-GB"/>
          </w:rPr>
          <w:t>https://www.hse.</w:t>
        </w:r>
        <w:r w:rsidRPr="002129C8">
          <w:rPr>
            <w:rStyle w:val="Hyperlink"/>
            <w:rFonts w:ascii="Calibri" w:eastAsiaTheme="majorEastAsia" w:hAnsi="Calibri" w:cs="Calibri"/>
            <w:lang w:val="en-GB"/>
          </w:rPr>
          <w:t>g</w:t>
        </w:r>
        <w:r w:rsidRPr="002129C8">
          <w:rPr>
            <w:rStyle w:val="Hyperlink"/>
            <w:rFonts w:ascii="Calibri" w:eastAsiaTheme="majorEastAsia" w:hAnsi="Calibri" w:cs="Calibri"/>
            <w:lang w:val="en-GB"/>
          </w:rPr>
          <w:t>ov.uk/pubns/priced/l25.pdf</w:t>
        </w:r>
      </w:hyperlink>
      <w:r w:rsidRPr="002129C8">
        <w:rPr>
          <w:rFonts w:ascii="Calibri" w:eastAsiaTheme="majorEastAsia" w:hAnsi="Calibri" w:cs="Calibri"/>
          <w:lang w:val="en-GB"/>
        </w:rPr>
        <w:t xml:space="preserve">  </w:t>
      </w:r>
      <w:r w:rsidRPr="002129C8">
        <w:rPr>
          <w:rFonts w:ascii="Calibri" w:eastAsiaTheme="majorEastAsia" w:hAnsi="Calibri" w:cs="Calibri"/>
          <w:lang w:val="en-GB"/>
        </w:rPr>
        <w:br/>
        <w:t xml:space="preserve">(Accessed: 24 January 2026). </w:t>
      </w:r>
      <w:r w:rsidRPr="002129C8">
        <w:rPr>
          <w:rFonts w:ascii="Calibri" w:eastAsiaTheme="majorEastAsia" w:hAnsi="Calibri" w:cs="Calibri"/>
          <w:color w:val="00CC00"/>
          <w:lang w:val="en-GB"/>
        </w:rPr>
        <w:br/>
      </w:r>
      <w:r w:rsidRPr="002129C8">
        <w:rPr>
          <w:rFonts w:ascii="Calibri" w:eastAsiaTheme="majorEastAsia" w:hAnsi="Calibri" w:cs="Calibri"/>
          <w:color w:val="00CC00"/>
          <w:lang w:val="en-GB"/>
        </w:rPr>
        <w:br/>
      </w:r>
      <w:r w:rsidRPr="002129C8">
        <w:rPr>
          <w:rFonts w:ascii="Calibri" w:eastAsiaTheme="majorEastAsia" w:hAnsi="Calibri" w:cs="Calibri"/>
        </w:rPr>
        <w:t>HMICFRS (2024). </w:t>
      </w:r>
      <w:r w:rsidRPr="002129C8">
        <w:rPr>
          <w:rFonts w:ascii="Calibri" w:eastAsiaTheme="majorEastAsia" w:hAnsi="Calibri" w:cs="Calibri"/>
          <w:i/>
          <w:iCs/>
        </w:rPr>
        <w:t>State of Policing: The Annual Assessment of Policing in England and Wales 2023</w:t>
      </w:r>
      <w:r w:rsidRPr="002129C8">
        <w:rPr>
          <w:rFonts w:ascii="Calibri" w:eastAsiaTheme="majorEastAsia" w:hAnsi="Calibri" w:cs="Calibri"/>
        </w:rPr>
        <w:t>, </w:t>
      </w:r>
      <w:r w:rsidRPr="002129C8">
        <w:rPr>
          <w:rFonts w:ascii="Calibri" w:eastAsiaTheme="majorEastAsia" w:hAnsi="Calibri" w:cs="Calibri"/>
          <w:i/>
          <w:iCs/>
        </w:rPr>
        <w:t>His Majesty’s Inspectorate of Constabulary and Fire &amp; Rescue Services</w:t>
      </w:r>
      <w:r w:rsidRPr="002129C8">
        <w:rPr>
          <w:rFonts w:ascii="Calibri" w:eastAsiaTheme="majorEastAsia" w:hAnsi="Calibri" w:cs="Calibri"/>
        </w:rPr>
        <w:t xml:space="preserve">. Available at: </w:t>
      </w:r>
      <w:hyperlink r:id="rId16" w:history="1">
        <w:r w:rsidRPr="002129C8">
          <w:rPr>
            <w:rStyle w:val="Hyperlink"/>
            <w:rFonts w:ascii="Calibri" w:eastAsiaTheme="majorEastAsia" w:hAnsi="Calibri" w:cs="Calibri"/>
          </w:rPr>
          <w:t>https://hmicfrs.justiceinspectorates.gov.uk/publication-html/state-of-policing-the-annual-assessment-of-policing-in-england-and-wales-2023/</w:t>
        </w:r>
      </w:hyperlink>
      <w:r w:rsidRPr="002129C8">
        <w:rPr>
          <w:rFonts w:ascii="Calibri" w:eastAsiaTheme="majorEastAsia" w:hAnsi="Calibri" w:cs="Calibri"/>
        </w:rPr>
        <w:t xml:space="preserve"> </w:t>
      </w:r>
      <w:r w:rsidRPr="002129C8">
        <w:rPr>
          <w:rFonts w:ascii="Calibri" w:eastAsiaTheme="majorEastAsia" w:hAnsi="Calibri" w:cs="Calibri"/>
          <w:lang w:val="en-GB"/>
        </w:rPr>
        <w:t xml:space="preserve"> </w:t>
      </w:r>
      <w:r w:rsidRPr="002129C8">
        <w:rPr>
          <w:rFonts w:ascii="Calibri" w:eastAsiaTheme="majorEastAsia" w:hAnsi="Calibri" w:cs="Calibri"/>
          <w:lang w:val="en-GB"/>
        </w:rPr>
        <w:br/>
        <w:t xml:space="preserve">(Accessed: 24 January 2026). </w:t>
      </w:r>
      <w:r w:rsidRPr="002129C8">
        <w:rPr>
          <w:rFonts w:ascii="Calibri" w:eastAsiaTheme="majorEastAsia" w:hAnsi="Calibri" w:cs="Calibri"/>
          <w:color w:val="00CC00"/>
          <w:lang w:val="en-GB"/>
        </w:rPr>
        <w:br/>
      </w:r>
      <w:r w:rsidRPr="002129C8">
        <w:rPr>
          <w:rFonts w:ascii="Calibri" w:eastAsiaTheme="majorEastAsia" w:hAnsi="Calibri" w:cs="Calibri"/>
          <w:color w:val="00CC00"/>
          <w:lang w:val="en-GB"/>
        </w:rPr>
        <w:br/>
      </w:r>
      <w:r w:rsidRPr="002129C8">
        <w:rPr>
          <w:rFonts w:ascii="Calibri" w:eastAsiaTheme="majorEastAsia" w:hAnsi="Calibri" w:cs="Calibri"/>
          <w:lang w:val="en-GB"/>
        </w:rPr>
        <w:t xml:space="preserve">Home Office (2023). </w:t>
      </w:r>
      <w:r w:rsidRPr="002129C8">
        <w:rPr>
          <w:rFonts w:ascii="Calibri" w:eastAsiaTheme="majorEastAsia" w:hAnsi="Calibri" w:cs="Calibri"/>
          <w:i/>
          <w:iCs/>
          <w:lang w:val="en-GB"/>
        </w:rPr>
        <w:t>Police Use of Force Statistics, April 2022 to March 2023</w:t>
      </w:r>
      <w:r w:rsidRPr="002129C8">
        <w:rPr>
          <w:rFonts w:ascii="Calibri" w:eastAsiaTheme="majorEastAsia" w:hAnsi="Calibri" w:cs="Calibri"/>
          <w:lang w:val="en-GB"/>
        </w:rPr>
        <w:t xml:space="preserve">. Available at: </w:t>
      </w:r>
      <w:hyperlink r:id="rId17" w:tgtFrame="_new" w:history="1">
        <w:r w:rsidRPr="002129C8">
          <w:rPr>
            <w:rStyle w:val="Hyperlink"/>
            <w:rFonts w:ascii="Calibri" w:eastAsiaTheme="majorEastAsia" w:hAnsi="Calibri" w:cs="Calibri"/>
            <w:lang w:val="en-GB"/>
          </w:rPr>
          <w:t>https://ww</w:t>
        </w:r>
        <w:r w:rsidRPr="002129C8">
          <w:rPr>
            <w:rStyle w:val="Hyperlink"/>
            <w:rFonts w:ascii="Calibri" w:eastAsiaTheme="majorEastAsia" w:hAnsi="Calibri" w:cs="Calibri"/>
            <w:lang w:val="en-GB"/>
          </w:rPr>
          <w:t>w</w:t>
        </w:r>
        <w:r w:rsidRPr="002129C8">
          <w:rPr>
            <w:rStyle w:val="Hyperlink"/>
            <w:rFonts w:ascii="Calibri" w:eastAsiaTheme="majorEastAsia" w:hAnsi="Calibri" w:cs="Calibri"/>
            <w:lang w:val="en-GB"/>
          </w:rPr>
          <w:t>.gov.uk/government/statistics/police-use-of-force-statistics-april-2022-to-march-2023</w:t>
        </w:r>
      </w:hyperlink>
      <w:r w:rsidRPr="002129C8">
        <w:rPr>
          <w:rFonts w:ascii="Calibri" w:eastAsiaTheme="majorEastAsia" w:hAnsi="Calibri" w:cs="Calibri"/>
          <w:lang w:val="en-GB"/>
        </w:rPr>
        <w:t xml:space="preserve"> </w:t>
      </w:r>
      <w:r w:rsidRPr="002129C8">
        <w:rPr>
          <w:rFonts w:ascii="Calibri" w:eastAsiaTheme="majorEastAsia" w:hAnsi="Calibri" w:cs="Calibri"/>
          <w:lang w:val="en-GB"/>
        </w:rPr>
        <w:br/>
        <w:t>(Accessed: 24 January 2026).</w:t>
      </w:r>
      <w:r w:rsidRPr="002129C8">
        <w:rPr>
          <w:rFonts w:ascii="Calibri" w:eastAsiaTheme="majorEastAsia" w:hAnsi="Calibri" w:cs="Calibri"/>
          <w:color w:val="00CC00"/>
          <w:lang w:val="en-GB"/>
        </w:rPr>
        <w:br/>
      </w:r>
      <w:r w:rsidRPr="002129C8">
        <w:rPr>
          <w:rFonts w:ascii="Calibri" w:eastAsiaTheme="majorEastAsia" w:hAnsi="Calibri" w:cs="Calibri"/>
          <w:color w:val="00CC00"/>
          <w:lang w:val="en-GB"/>
        </w:rPr>
        <w:br/>
      </w:r>
      <w:r w:rsidRPr="002129C8">
        <w:rPr>
          <w:rFonts w:ascii="Calibri" w:eastAsiaTheme="majorEastAsia" w:hAnsi="Calibri" w:cs="Calibri"/>
        </w:rPr>
        <w:t xml:space="preserve">Independent Office for Police Conduct (2015) </w:t>
      </w:r>
      <w:r w:rsidRPr="002129C8">
        <w:rPr>
          <w:rFonts w:ascii="Calibri" w:eastAsiaTheme="majorEastAsia" w:hAnsi="Calibri" w:cs="Calibri"/>
          <w:i/>
          <w:iCs/>
        </w:rPr>
        <w:t>Use of Force: Public attitudes and experiences</w:t>
      </w:r>
      <w:r w:rsidRPr="002129C8">
        <w:rPr>
          <w:rFonts w:ascii="Calibri" w:eastAsiaTheme="majorEastAsia" w:hAnsi="Calibri" w:cs="Calibri"/>
        </w:rPr>
        <w:t xml:space="preserve">. London: IOPC. Available at: </w:t>
      </w:r>
      <w:hyperlink r:id="rId18" w:history="1">
        <w:r w:rsidRPr="002129C8">
          <w:rPr>
            <w:rStyle w:val="Hyperlink"/>
            <w:rFonts w:ascii="Calibri" w:eastAsiaTheme="majorEastAsia" w:hAnsi="Calibri" w:cs="Calibri"/>
          </w:rPr>
          <w:t>https://www.policeconduct.gov.uk/sites/default/files/documents/BMRB_use_of_force_report.pdf</w:t>
        </w:r>
      </w:hyperlink>
      <w:r w:rsidRPr="002129C8">
        <w:rPr>
          <w:rFonts w:ascii="Calibri" w:eastAsiaTheme="majorEastAsia" w:hAnsi="Calibri" w:cs="Calibri"/>
        </w:rPr>
        <w:t xml:space="preserve"> </w:t>
      </w:r>
      <w:r w:rsidRPr="002129C8">
        <w:rPr>
          <w:rFonts w:ascii="Calibri" w:eastAsiaTheme="majorEastAsia" w:hAnsi="Calibri" w:cs="Calibri"/>
        </w:rPr>
        <w:br/>
      </w:r>
      <w:r w:rsidRPr="002129C8">
        <w:rPr>
          <w:rFonts w:ascii="Calibri" w:eastAsiaTheme="majorEastAsia" w:hAnsi="Calibri" w:cs="Calibri"/>
          <w:lang w:val="en-GB"/>
        </w:rPr>
        <w:t xml:space="preserve">(Accessed: 24 January 2026). </w:t>
      </w:r>
      <w:r w:rsidRPr="002129C8">
        <w:rPr>
          <w:rFonts w:ascii="Calibri" w:eastAsiaTheme="majorEastAsia" w:hAnsi="Calibri" w:cs="Calibri"/>
          <w:color w:val="00CC00"/>
          <w:lang w:val="en-GB"/>
        </w:rPr>
        <w:br/>
      </w:r>
      <w:r w:rsidRPr="002129C8">
        <w:rPr>
          <w:rFonts w:ascii="Calibri" w:eastAsiaTheme="majorEastAsia" w:hAnsi="Calibri" w:cs="Calibri"/>
          <w:color w:val="00CC00"/>
          <w:lang w:val="en-GB"/>
        </w:rPr>
        <w:br/>
      </w:r>
      <w:r w:rsidRPr="002129C8">
        <w:rPr>
          <w:rFonts w:ascii="Calibri" w:eastAsiaTheme="majorEastAsia" w:hAnsi="Calibri" w:cs="Calibri"/>
          <w:lang w:val="en-GB"/>
        </w:rPr>
        <w:t xml:space="preserve">Independent Office for Police Conduct (2021). </w:t>
      </w:r>
      <w:r w:rsidRPr="002129C8">
        <w:rPr>
          <w:rFonts w:ascii="Calibri" w:eastAsiaTheme="majorEastAsia" w:hAnsi="Calibri" w:cs="Calibri"/>
          <w:i/>
          <w:iCs/>
          <w:lang w:val="en-GB"/>
        </w:rPr>
        <w:t xml:space="preserve">IOPC Impact Report. </w:t>
      </w:r>
      <w:r w:rsidRPr="002129C8">
        <w:rPr>
          <w:rFonts w:ascii="Calibri" w:eastAsiaTheme="majorEastAsia" w:hAnsi="Calibri" w:cs="Calibri"/>
          <w:lang w:val="en-GB"/>
        </w:rPr>
        <w:t xml:space="preserve">IOPC. Available at: </w:t>
      </w:r>
      <w:hyperlink r:id="rId19" w:history="1">
        <w:r w:rsidRPr="002129C8">
          <w:rPr>
            <w:rStyle w:val="Hyperlink"/>
            <w:rFonts w:ascii="Calibri" w:hAnsi="Calibri" w:cs="Calibri"/>
          </w:rPr>
          <w:t>https://www.policeconduct.gov.uk/sites/default/files/documents/IOPC_Impact_Report_202021.pdf</w:t>
        </w:r>
      </w:hyperlink>
      <w:r w:rsidRPr="002129C8">
        <w:rPr>
          <w:rFonts w:ascii="Calibri" w:hAnsi="Calibri" w:cs="Calibri"/>
        </w:rPr>
        <w:t xml:space="preserve"> </w:t>
      </w:r>
      <w:r w:rsidRPr="002129C8">
        <w:rPr>
          <w:rFonts w:ascii="Calibri" w:hAnsi="Calibri" w:cs="Calibri"/>
        </w:rPr>
        <w:br/>
      </w:r>
      <w:r w:rsidRPr="002129C8">
        <w:rPr>
          <w:rFonts w:ascii="Calibri" w:eastAsiaTheme="majorEastAsia" w:hAnsi="Calibri" w:cs="Calibri"/>
          <w:lang w:val="en-GB"/>
        </w:rPr>
        <w:t xml:space="preserve">(Accessed: 24 January 2026). </w:t>
      </w:r>
      <w:r w:rsidRPr="002129C8">
        <w:rPr>
          <w:rFonts w:ascii="Calibri" w:eastAsiaTheme="majorEastAsia" w:hAnsi="Calibri" w:cs="Calibri"/>
          <w:color w:val="00CC00"/>
          <w:lang w:val="en-GB"/>
        </w:rPr>
        <w:br/>
      </w:r>
      <w:r w:rsidRPr="002129C8">
        <w:rPr>
          <w:rFonts w:ascii="Calibri" w:eastAsiaTheme="majorEastAsia" w:hAnsi="Calibri" w:cs="Calibri"/>
          <w:color w:val="00CC00"/>
          <w:lang w:val="en-GB"/>
        </w:rPr>
        <w:br/>
      </w:r>
      <w:r w:rsidRPr="002129C8">
        <w:rPr>
          <w:rFonts w:ascii="Calibri" w:eastAsiaTheme="majorEastAsia" w:hAnsi="Calibri" w:cs="Calibri"/>
        </w:rPr>
        <w:t xml:space="preserve">Jackson, J., Bradford, B., Hough, M., Myhill, A., Quinton, P. and Tyler, T.R. (2012). Why do people comply with the law? Legitimacy and the influence of legal institutions. </w:t>
      </w:r>
      <w:r w:rsidRPr="002129C8">
        <w:rPr>
          <w:rFonts w:ascii="Calibri" w:eastAsiaTheme="majorEastAsia" w:hAnsi="Calibri" w:cs="Calibri"/>
          <w:i/>
          <w:iCs/>
        </w:rPr>
        <w:t>British Journal of Criminology</w:t>
      </w:r>
      <w:r w:rsidRPr="002129C8">
        <w:rPr>
          <w:rFonts w:ascii="Calibri" w:eastAsiaTheme="majorEastAsia" w:hAnsi="Calibri" w:cs="Calibri"/>
        </w:rPr>
        <w:t>, 52(6), pp.1051–1071. doi:10.1093/</w:t>
      </w:r>
      <w:proofErr w:type="spellStart"/>
      <w:r w:rsidRPr="002129C8">
        <w:rPr>
          <w:rFonts w:ascii="Calibri" w:eastAsiaTheme="majorEastAsia" w:hAnsi="Calibri" w:cs="Calibri"/>
        </w:rPr>
        <w:t>bjc</w:t>
      </w:r>
      <w:proofErr w:type="spellEnd"/>
      <w:r w:rsidRPr="002129C8">
        <w:rPr>
          <w:rFonts w:ascii="Calibri" w:eastAsiaTheme="majorEastAsia" w:hAnsi="Calibri" w:cs="Calibri"/>
        </w:rPr>
        <w:t xml:space="preserve">/azs032 </w:t>
      </w:r>
      <w:r w:rsidRPr="002129C8">
        <w:rPr>
          <w:rFonts w:ascii="Calibri" w:eastAsiaTheme="majorEastAsia" w:hAnsi="Calibri" w:cs="Calibri"/>
        </w:rPr>
        <w:br/>
        <w:t>Available at:  </w:t>
      </w:r>
      <w:hyperlink r:id="rId20" w:history="1">
        <w:r w:rsidRPr="002129C8">
          <w:rPr>
            <w:rStyle w:val="Hyperlink"/>
            <w:rFonts w:ascii="Calibri" w:eastAsiaTheme="majorEastAsia" w:hAnsi="Calibri" w:cs="Calibri"/>
          </w:rPr>
          <w:t>https://doi.org/10.1093/bjc/azs032</w:t>
        </w:r>
      </w:hyperlink>
      <w:r w:rsidRPr="002129C8">
        <w:rPr>
          <w:rFonts w:ascii="Calibri" w:eastAsiaTheme="majorEastAsia" w:hAnsi="Calibri" w:cs="Calibri"/>
        </w:rPr>
        <w:t xml:space="preserve"> </w:t>
      </w:r>
      <w:r w:rsidRPr="002129C8">
        <w:rPr>
          <w:rFonts w:ascii="Calibri" w:eastAsiaTheme="majorEastAsia" w:hAnsi="Calibri" w:cs="Calibri"/>
        </w:rPr>
        <w:br/>
        <w:t xml:space="preserve">(Accessed: 24 January 2026). </w:t>
      </w:r>
      <w:r w:rsidRPr="002129C8">
        <w:rPr>
          <w:rFonts w:ascii="Calibri" w:eastAsiaTheme="majorEastAsia" w:hAnsi="Calibri" w:cs="Calibri"/>
          <w:color w:val="00CC00"/>
          <w:lang w:val="en-GB"/>
        </w:rPr>
        <w:br/>
      </w:r>
      <w:r w:rsidRPr="002129C8">
        <w:rPr>
          <w:rFonts w:ascii="Calibri" w:eastAsiaTheme="majorEastAsia" w:hAnsi="Calibri" w:cs="Calibri"/>
          <w:color w:val="00CC00"/>
          <w:lang w:val="en-GB"/>
        </w:rPr>
        <w:br/>
      </w:r>
      <w:r w:rsidRPr="002129C8">
        <w:rPr>
          <w:rFonts w:ascii="Calibri" w:eastAsiaTheme="majorEastAsia" w:hAnsi="Calibri" w:cs="Calibri"/>
          <w:lang w:val="en-GB"/>
        </w:rPr>
        <w:t xml:space="preserve">NPCC (2019). </w:t>
      </w:r>
      <w:r w:rsidRPr="002129C8">
        <w:rPr>
          <w:rFonts w:ascii="Calibri" w:eastAsiaTheme="majorEastAsia" w:hAnsi="Calibri" w:cs="Calibri"/>
          <w:i/>
          <w:iCs/>
          <w:lang w:val="en-GB"/>
        </w:rPr>
        <w:t>Working Group on Less Lethal Weapons, An Analysis of Taser Use in British Policing.</w:t>
      </w:r>
      <w:r w:rsidRPr="002129C8">
        <w:rPr>
          <w:rFonts w:ascii="Calibri" w:eastAsiaTheme="majorEastAsia" w:hAnsi="Calibri" w:cs="Calibri"/>
          <w:lang w:val="en-GB"/>
        </w:rPr>
        <w:t xml:space="preserve"> Available at: </w:t>
      </w:r>
      <w:hyperlink r:id="rId21" w:history="1">
        <w:r w:rsidRPr="002129C8">
          <w:rPr>
            <w:rStyle w:val="Hyperlink"/>
            <w:rFonts w:ascii="Calibri" w:eastAsiaTheme="majorEastAsia" w:hAnsi="Calibri" w:cs="Calibri"/>
          </w:rPr>
          <w:t>an-analysis-of-taser-use-in-british-policing.pdf</w:t>
        </w:r>
      </w:hyperlink>
      <w:r w:rsidRPr="002129C8">
        <w:rPr>
          <w:rFonts w:ascii="Calibri" w:eastAsiaTheme="majorEastAsia" w:hAnsi="Calibri" w:cs="Calibri"/>
          <w:lang w:val="en-GB"/>
        </w:rPr>
        <w:t xml:space="preserve"> </w:t>
      </w:r>
      <w:r w:rsidRPr="002129C8">
        <w:rPr>
          <w:rFonts w:ascii="Calibri" w:eastAsiaTheme="majorEastAsia" w:hAnsi="Calibri" w:cs="Calibri"/>
          <w:lang w:val="en-GB"/>
        </w:rPr>
        <w:br/>
        <w:t>(Accessed: 24 January 2026).</w:t>
      </w:r>
      <w:r w:rsidRPr="002129C8">
        <w:rPr>
          <w:rFonts w:ascii="Calibri" w:eastAsiaTheme="majorEastAsia" w:hAnsi="Calibri" w:cs="Calibri"/>
          <w:color w:val="00CC00"/>
          <w:lang w:val="en-GB"/>
        </w:rPr>
        <w:t xml:space="preserve"> </w:t>
      </w:r>
      <w:r w:rsidRPr="002129C8">
        <w:rPr>
          <w:rFonts w:ascii="Calibri" w:eastAsiaTheme="majorEastAsia" w:hAnsi="Calibri" w:cs="Calibri"/>
          <w:color w:val="00CC00"/>
          <w:lang w:val="en-GB"/>
        </w:rPr>
        <w:br/>
      </w:r>
    </w:p>
    <w:p w14:paraId="188143DA" w14:textId="77777777" w:rsidR="00C20AC3" w:rsidRDefault="00C20AC3" w:rsidP="00C20AC3">
      <w:pPr>
        <w:rPr>
          <w:rFonts w:ascii="Calibri" w:eastAsiaTheme="majorEastAsia" w:hAnsi="Calibri" w:cs="Calibri"/>
          <w:color w:val="00CC00"/>
          <w:lang w:val="en-GB"/>
        </w:rPr>
      </w:pPr>
      <w:r w:rsidRPr="002129C8">
        <w:rPr>
          <w:rFonts w:ascii="Calibri" w:eastAsiaTheme="majorEastAsia" w:hAnsi="Calibri" w:cs="Calibri"/>
          <w:lang w:val="en-GB"/>
        </w:rPr>
        <w:lastRenderedPageBreak/>
        <w:t xml:space="preserve">Office for National Statistics (2025a). </w:t>
      </w:r>
      <w:r w:rsidRPr="002129C8">
        <w:rPr>
          <w:rFonts w:ascii="Calibri" w:eastAsiaTheme="majorEastAsia" w:hAnsi="Calibri" w:cs="Calibri"/>
          <w:i/>
          <w:iCs/>
          <w:lang w:val="en-GB"/>
        </w:rPr>
        <w:t xml:space="preserve">Crime in England and Wales </w:t>
      </w:r>
      <w:r w:rsidRPr="002129C8">
        <w:rPr>
          <w:rFonts w:ascii="Calibri" w:eastAsiaTheme="majorEastAsia" w:hAnsi="Calibri" w:cs="Calibri"/>
          <w:lang w:val="en-GB"/>
        </w:rPr>
        <w:t xml:space="preserve">ONS. Available at: </w:t>
      </w:r>
      <w:hyperlink r:id="rId22" w:history="1">
        <w:r w:rsidRPr="002129C8">
          <w:rPr>
            <w:rStyle w:val="Hyperlink"/>
            <w:rFonts w:ascii="Calibri" w:eastAsiaTheme="majorEastAsia" w:hAnsi="Calibri" w:cs="Calibri"/>
            <w:lang w:val="en-GB"/>
          </w:rPr>
          <w:t>https://www.ons.gov.uk/peoplepopulationandcommunity/crimeandjustice/bulletins/crimeinenglandandwales/yearendingjune2025</w:t>
        </w:r>
      </w:hyperlink>
      <w:r w:rsidRPr="002129C8">
        <w:rPr>
          <w:rFonts w:ascii="Calibri" w:eastAsiaTheme="majorEastAsia" w:hAnsi="Calibri" w:cs="Calibri"/>
          <w:lang w:val="en-GB"/>
        </w:rPr>
        <w:t xml:space="preserve"> </w:t>
      </w:r>
      <w:r w:rsidRPr="002129C8">
        <w:rPr>
          <w:rFonts w:ascii="Calibri" w:eastAsiaTheme="majorEastAsia" w:hAnsi="Calibri" w:cs="Calibri"/>
          <w:lang w:val="en-GB"/>
        </w:rPr>
        <w:br/>
        <w:t xml:space="preserve">(Accessed: 24 January 2026). </w:t>
      </w:r>
      <w:r w:rsidRPr="002129C8">
        <w:rPr>
          <w:rFonts w:ascii="Calibri" w:eastAsiaTheme="majorEastAsia" w:hAnsi="Calibri" w:cs="Calibri"/>
          <w:color w:val="00CC00"/>
          <w:lang w:val="en-GB"/>
        </w:rPr>
        <w:br/>
      </w:r>
      <w:r w:rsidRPr="002129C8">
        <w:rPr>
          <w:rFonts w:ascii="Calibri" w:eastAsiaTheme="majorEastAsia" w:hAnsi="Calibri" w:cs="Calibri"/>
          <w:color w:val="00CC00"/>
          <w:lang w:val="en-GB"/>
        </w:rPr>
        <w:br/>
      </w:r>
      <w:r w:rsidRPr="002129C8">
        <w:rPr>
          <w:rFonts w:ascii="Calibri" w:eastAsiaTheme="majorEastAsia" w:hAnsi="Calibri" w:cs="Calibri"/>
          <w:lang w:val="en-GB"/>
        </w:rPr>
        <w:t xml:space="preserve">Office for National Statistics (2025b). </w:t>
      </w:r>
      <w:r w:rsidRPr="002129C8">
        <w:rPr>
          <w:rFonts w:ascii="Calibri" w:eastAsiaTheme="majorEastAsia" w:hAnsi="Calibri" w:cs="Calibri"/>
          <w:i/>
          <w:iCs/>
        </w:rPr>
        <w:t xml:space="preserve">Perception and experience of police and criminal justice </w:t>
      </w:r>
      <w:proofErr w:type="gramStart"/>
      <w:r w:rsidRPr="002129C8">
        <w:rPr>
          <w:rFonts w:ascii="Calibri" w:eastAsiaTheme="majorEastAsia" w:hAnsi="Calibri" w:cs="Calibri"/>
          <w:i/>
          <w:iCs/>
        </w:rPr>
        <w:t>system</w:t>
      </w:r>
      <w:proofErr w:type="gramEnd"/>
      <w:r w:rsidRPr="002129C8">
        <w:rPr>
          <w:rFonts w:ascii="Calibri" w:eastAsiaTheme="majorEastAsia" w:hAnsi="Calibri" w:cs="Calibri"/>
          <w:i/>
          <w:iCs/>
        </w:rPr>
        <w:t>, England and Wales</w:t>
      </w:r>
      <w:r w:rsidRPr="002129C8">
        <w:rPr>
          <w:rFonts w:ascii="Calibri" w:eastAsiaTheme="majorEastAsia" w:hAnsi="Calibri" w:cs="Calibri"/>
          <w:lang w:val="en-GB"/>
        </w:rPr>
        <w:t xml:space="preserve">. Available at: </w:t>
      </w:r>
      <w:hyperlink r:id="rId23" w:history="1">
        <w:r w:rsidRPr="002129C8">
          <w:rPr>
            <w:rStyle w:val="Hyperlink"/>
            <w:rFonts w:ascii="Calibri" w:eastAsiaTheme="majorEastAsia" w:hAnsi="Calibri" w:cs="Calibri"/>
            <w:lang w:val="en-GB"/>
          </w:rPr>
          <w:t>https://www.ons.gov.uk/peoplepopulationandcommunity/crimeandjustice/articles/perceptionandexperienceofpoliceandcriminaljusticesysteme</w:t>
        </w:r>
        <w:r w:rsidRPr="002129C8">
          <w:rPr>
            <w:rStyle w:val="Hyperlink"/>
            <w:rFonts w:ascii="Calibri" w:eastAsiaTheme="majorEastAsia" w:hAnsi="Calibri" w:cs="Calibri"/>
            <w:lang w:val="en-GB"/>
          </w:rPr>
          <w:t>n</w:t>
        </w:r>
        <w:r w:rsidRPr="002129C8">
          <w:rPr>
            <w:rStyle w:val="Hyperlink"/>
            <w:rFonts w:ascii="Calibri" w:eastAsiaTheme="majorEastAsia" w:hAnsi="Calibri" w:cs="Calibri"/>
            <w:lang w:val="en-GB"/>
          </w:rPr>
          <w:t>glandandwales/yearendingmarch2025#:~:text=1.,the%20YE%20March%202015%20survey</w:t>
        </w:r>
      </w:hyperlink>
      <w:r w:rsidRPr="002129C8">
        <w:rPr>
          <w:rFonts w:ascii="Calibri" w:eastAsiaTheme="majorEastAsia" w:hAnsi="Calibri" w:cs="Calibri"/>
          <w:lang w:val="en-GB"/>
        </w:rPr>
        <w:t xml:space="preserve">)  </w:t>
      </w:r>
      <w:r w:rsidRPr="002129C8">
        <w:rPr>
          <w:rFonts w:ascii="Calibri" w:eastAsiaTheme="majorEastAsia" w:hAnsi="Calibri" w:cs="Calibri"/>
          <w:lang w:val="en-GB"/>
        </w:rPr>
        <w:br/>
        <w:t xml:space="preserve">(Accessed: 24 January 2026). </w:t>
      </w:r>
      <w:r>
        <w:rPr>
          <w:rFonts w:ascii="Calibri" w:eastAsiaTheme="majorEastAsia" w:hAnsi="Calibri" w:cs="Calibri"/>
          <w:color w:val="00CC00"/>
          <w:lang w:val="en-GB"/>
        </w:rPr>
        <w:br/>
      </w:r>
      <w:r>
        <w:rPr>
          <w:rFonts w:ascii="Calibri" w:eastAsiaTheme="majorEastAsia" w:hAnsi="Calibri" w:cs="Calibri"/>
          <w:color w:val="00CC00"/>
          <w:lang w:val="en-GB"/>
        </w:rPr>
        <w:br/>
      </w:r>
      <w:r w:rsidRPr="002129C8">
        <w:rPr>
          <w:rFonts w:ascii="Calibri" w:eastAsiaTheme="majorEastAsia" w:hAnsi="Calibri" w:cs="Calibri"/>
          <w:lang w:val="en-GB"/>
        </w:rPr>
        <w:t xml:space="preserve">Police Federation of England and Wales (2019). </w:t>
      </w:r>
      <w:r w:rsidRPr="002129C8">
        <w:rPr>
          <w:rFonts w:ascii="Calibri" w:eastAsiaTheme="majorEastAsia" w:hAnsi="Calibri" w:cs="Calibri"/>
          <w:i/>
          <w:iCs/>
        </w:rPr>
        <w:t xml:space="preserve">Police Officers and the Public Support Taser Roll Out. </w:t>
      </w:r>
      <w:r w:rsidRPr="002129C8">
        <w:rPr>
          <w:rFonts w:ascii="Calibri" w:eastAsiaTheme="majorEastAsia" w:hAnsi="Calibri" w:cs="Calibri"/>
          <w:lang w:val="en-GB"/>
        </w:rPr>
        <w:t xml:space="preserve">Available at: </w:t>
      </w:r>
      <w:hyperlink r:id="rId24" w:history="1">
        <w:r w:rsidRPr="002129C8">
          <w:rPr>
            <w:rStyle w:val="Hyperlink"/>
            <w:rFonts w:ascii="Calibri" w:eastAsiaTheme="majorEastAsia" w:hAnsi="Calibri" w:cs="Calibri"/>
            <w:lang w:val="en-GB"/>
          </w:rPr>
          <w:t>https://polfed.org/news/latest-news/2019/police-officers-and-the-public-support-taser-roll-out/</w:t>
        </w:r>
      </w:hyperlink>
      <w:r w:rsidRPr="002129C8">
        <w:rPr>
          <w:rFonts w:ascii="Calibri" w:eastAsiaTheme="majorEastAsia" w:hAnsi="Calibri" w:cs="Calibri"/>
          <w:lang w:val="en-GB"/>
        </w:rPr>
        <w:t xml:space="preserve"> </w:t>
      </w:r>
      <w:r w:rsidRPr="002129C8">
        <w:rPr>
          <w:rFonts w:ascii="Calibri" w:eastAsiaTheme="majorEastAsia" w:hAnsi="Calibri" w:cs="Calibri"/>
          <w:lang w:val="en-GB"/>
        </w:rPr>
        <w:br/>
        <w:t xml:space="preserve">(Accessed: 24 January 2026). </w:t>
      </w:r>
      <w:r w:rsidRPr="002129C8">
        <w:rPr>
          <w:rFonts w:ascii="Calibri" w:eastAsiaTheme="majorEastAsia" w:hAnsi="Calibri" w:cs="Calibri"/>
          <w:color w:val="00CC00"/>
          <w:lang w:val="en-GB"/>
        </w:rPr>
        <w:br/>
      </w:r>
      <w:r w:rsidRPr="002129C8">
        <w:rPr>
          <w:rFonts w:ascii="Calibri" w:eastAsiaTheme="majorEastAsia" w:hAnsi="Calibri" w:cs="Calibri"/>
          <w:color w:val="00CC00"/>
          <w:lang w:val="en-GB"/>
        </w:rPr>
        <w:br/>
      </w:r>
      <w:r w:rsidRPr="002129C8">
        <w:rPr>
          <w:rFonts w:ascii="Calibri" w:eastAsiaTheme="majorEastAsia" w:hAnsi="Calibri" w:cs="Calibri"/>
        </w:rPr>
        <w:t xml:space="preserve">Rappert, B. (2007). </w:t>
      </w:r>
      <w:r w:rsidRPr="002129C8">
        <w:rPr>
          <w:rFonts w:ascii="Calibri" w:eastAsiaTheme="majorEastAsia" w:hAnsi="Calibri" w:cs="Calibri"/>
          <w:i/>
          <w:iCs/>
        </w:rPr>
        <w:t>Policing and the use of force: Less-lethal weapons.</w:t>
      </w:r>
      <w:r w:rsidRPr="002129C8">
        <w:rPr>
          <w:rFonts w:ascii="Calibri" w:eastAsiaTheme="majorEastAsia" w:hAnsi="Calibri" w:cs="Calibri"/>
        </w:rPr>
        <w:t xml:space="preserve"> Policing: A Journal of Policy and Practice, 1(4), pp.472–484. Available at: </w:t>
      </w:r>
      <w:hyperlink r:id="rId25" w:history="1">
        <w:r w:rsidRPr="002129C8">
          <w:rPr>
            <w:rStyle w:val="Hyperlink"/>
            <w:rFonts w:ascii="Calibri" w:eastAsiaTheme="majorEastAsia" w:hAnsi="Calibri" w:cs="Calibri"/>
          </w:rPr>
          <w:t>https://doi.org/10.1093/police/pam066</w:t>
        </w:r>
      </w:hyperlink>
      <w:r w:rsidRPr="002129C8">
        <w:rPr>
          <w:rFonts w:ascii="Calibri" w:eastAsiaTheme="majorEastAsia" w:hAnsi="Calibri" w:cs="Calibri"/>
        </w:rPr>
        <w:t xml:space="preserve"> </w:t>
      </w:r>
      <w:r w:rsidRPr="002129C8">
        <w:rPr>
          <w:rFonts w:ascii="Calibri" w:eastAsiaTheme="majorEastAsia" w:hAnsi="Calibri" w:cs="Calibri"/>
        </w:rPr>
        <w:br/>
        <w:t xml:space="preserve">(Accessed: 24 January 2026). </w:t>
      </w:r>
      <w:r w:rsidRPr="002129C8">
        <w:rPr>
          <w:rFonts w:ascii="Calibri" w:eastAsiaTheme="majorEastAsia" w:hAnsi="Calibri" w:cs="Calibri"/>
          <w:color w:val="00CC00"/>
          <w:lang w:val="en-GB"/>
        </w:rPr>
        <w:br/>
      </w:r>
      <w:r w:rsidRPr="002129C8">
        <w:rPr>
          <w:rFonts w:ascii="Calibri" w:eastAsiaTheme="majorEastAsia" w:hAnsi="Calibri" w:cs="Calibri"/>
          <w:color w:val="00CC00"/>
          <w:lang w:val="en-GB"/>
        </w:rPr>
        <w:br/>
      </w:r>
      <w:r w:rsidRPr="002129C8">
        <w:rPr>
          <w:rFonts w:ascii="Calibri" w:eastAsiaTheme="majorEastAsia" w:hAnsi="Calibri" w:cs="Calibri"/>
        </w:rPr>
        <w:t xml:space="preserve">Sheppard, K.G. and Welsh, B.C. (2022). </w:t>
      </w:r>
      <w:r w:rsidRPr="002129C8">
        <w:rPr>
          <w:rFonts w:ascii="Calibri" w:eastAsiaTheme="majorEastAsia" w:hAnsi="Calibri" w:cs="Calibri"/>
          <w:i/>
          <w:iCs/>
        </w:rPr>
        <w:t>Can police use of less-than-lethal weapons reduce harm during violent police-citizen encounters?</w:t>
      </w:r>
      <w:r w:rsidRPr="002129C8">
        <w:rPr>
          <w:rFonts w:ascii="Calibri" w:eastAsiaTheme="majorEastAsia" w:hAnsi="Calibri" w:cs="Calibri"/>
        </w:rPr>
        <w:t xml:space="preserve"> Aggression and Violent Behavior, 64, p.101748. </w:t>
      </w:r>
      <w:proofErr w:type="gramStart"/>
      <w:r w:rsidRPr="002129C8">
        <w:rPr>
          <w:rFonts w:ascii="Calibri" w:eastAsiaTheme="majorEastAsia" w:hAnsi="Calibri" w:cs="Calibri"/>
        </w:rPr>
        <w:t>doi:10.1016/j.avb</w:t>
      </w:r>
      <w:proofErr w:type="gramEnd"/>
      <w:r w:rsidRPr="002129C8">
        <w:rPr>
          <w:rFonts w:ascii="Calibri" w:eastAsiaTheme="majorEastAsia" w:hAnsi="Calibri" w:cs="Calibri"/>
        </w:rPr>
        <w:t xml:space="preserve">.2022.101748.  Available at: </w:t>
      </w:r>
      <w:hyperlink r:id="rId26" w:history="1">
        <w:r w:rsidRPr="002129C8">
          <w:rPr>
            <w:rStyle w:val="Hyperlink"/>
            <w:rFonts w:ascii="Calibri" w:eastAsiaTheme="majorEastAsia" w:hAnsi="Calibri" w:cs="Calibri"/>
          </w:rPr>
          <w:t>https://doi.org/10.1016/j.avb.2022.101748</w:t>
        </w:r>
      </w:hyperlink>
      <w:r w:rsidRPr="002129C8">
        <w:rPr>
          <w:rFonts w:ascii="Calibri" w:eastAsiaTheme="majorEastAsia" w:hAnsi="Calibri" w:cs="Calibri"/>
        </w:rPr>
        <w:t xml:space="preserve"> </w:t>
      </w:r>
      <w:r w:rsidRPr="002129C8">
        <w:rPr>
          <w:rFonts w:ascii="Calibri" w:eastAsiaTheme="majorEastAsia" w:hAnsi="Calibri" w:cs="Calibri"/>
        </w:rPr>
        <w:br/>
        <w:t xml:space="preserve">(Accessed: 24 January 2026). </w:t>
      </w:r>
      <w:r w:rsidRPr="002129C8">
        <w:rPr>
          <w:rFonts w:ascii="Calibri" w:eastAsiaTheme="majorEastAsia" w:hAnsi="Calibri" w:cs="Calibri"/>
          <w:color w:val="00CC00"/>
          <w:lang w:val="en-GB"/>
        </w:rPr>
        <w:br/>
      </w:r>
      <w:r w:rsidRPr="002129C8">
        <w:rPr>
          <w:rFonts w:ascii="Calibri" w:eastAsiaTheme="majorEastAsia" w:hAnsi="Calibri" w:cs="Calibri"/>
          <w:color w:val="00CC00"/>
          <w:lang w:val="en-GB"/>
        </w:rPr>
        <w:br/>
      </w:r>
      <w:r w:rsidRPr="002129C8">
        <w:rPr>
          <w:rFonts w:ascii="Calibri" w:eastAsiaTheme="majorEastAsia" w:hAnsi="Calibri" w:cs="Calibri"/>
        </w:rPr>
        <w:t>Smith, M.R. </w:t>
      </w:r>
      <w:r w:rsidRPr="002129C8">
        <w:rPr>
          <w:rFonts w:ascii="Calibri" w:eastAsiaTheme="majorEastAsia" w:hAnsi="Calibri" w:cs="Calibri"/>
          <w:i/>
          <w:iCs/>
        </w:rPr>
        <w:t>et al.</w:t>
      </w:r>
      <w:r w:rsidRPr="002129C8">
        <w:rPr>
          <w:rFonts w:ascii="Calibri" w:eastAsiaTheme="majorEastAsia" w:hAnsi="Calibri" w:cs="Calibri"/>
        </w:rPr>
        <w:t> (2007). ‘The impact of conducted energy devices and other types of force and resistance on officer and suspect injuries’, </w:t>
      </w:r>
      <w:r w:rsidRPr="002129C8">
        <w:rPr>
          <w:rFonts w:ascii="Calibri" w:eastAsiaTheme="majorEastAsia" w:hAnsi="Calibri" w:cs="Calibri"/>
          <w:i/>
          <w:iCs/>
        </w:rPr>
        <w:t>Policing: An International Journal of Police Strategies &amp; Management</w:t>
      </w:r>
      <w:r w:rsidRPr="002129C8">
        <w:rPr>
          <w:rFonts w:ascii="Calibri" w:eastAsiaTheme="majorEastAsia" w:hAnsi="Calibri" w:cs="Calibri"/>
        </w:rPr>
        <w:t xml:space="preserve">. Edited by R. Kaminski, 30(3), pp. 423–446. </w:t>
      </w:r>
      <w:r w:rsidRPr="002129C8">
        <w:rPr>
          <w:rFonts w:ascii="Calibri" w:eastAsiaTheme="majorEastAsia" w:hAnsi="Calibri" w:cs="Calibri"/>
        </w:rPr>
        <w:br/>
        <w:t xml:space="preserve">Available at: </w:t>
      </w:r>
      <w:hyperlink r:id="rId27" w:history="1">
        <w:r w:rsidRPr="002129C8">
          <w:rPr>
            <w:rStyle w:val="Hyperlink"/>
            <w:rFonts w:ascii="Calibri" w:eastAsiaTheme="majorEastAsia" w:hAnsi="Calibri" w:cs="Calibri"/>
          </w:rPr>
          <w:t>https://doi.org/10.1108/13639510710778822</w:t>
        </w:r>
      </w:hyperlink>
      <w:r w:rsidRPr="002129C8">
        <w:rPr>
          <w:rFonts w:ascii="Calibri" w:eastAsiaTheme="majorEastAsia" w:hAnsi="Calibri" w:cs="Calibri"/>
        </w:rPr>
        <w:t xml:space="preserve"> </w:t>
      </w:r>
      <w:r w:rsidRPr="002129C8">
        <w:rPr>
          <w:rFonts w:ascii="Calibri" w:eastAsiaTheme="majorEastAsia" w:hAnsi="Calibri" w:cs="Calibri"/>
        </w:rPr>
        <w:br/>
      </w:r>
      <w:r w:rsidRPr="002129C8">
        <w:rPr>
          <w:rFonts w:ascii="Calibri" w:eastAsiaTheme="majorEastAsia" w:hAnsi="Calibri" w:cs="Calibri"/>
          <w:lang w:val="en-GB"/>
        </w:rPr>
        <w:t>(Accessed: 24 January 2026).</w:t>
      </w:r>
      <w:r w:rsidRPr="002129C8">
        <w:rPr>
          <w:rFonts w:ascii="Calibri" w:eastAsiaTheme="majorEastAsia" w:hAnsi="Calibri" w:cs="Calibri"/>
          <w:color w:val="00CC00"/>
          <w:lang w:val="en-GB"/>
        </w:rPr>
        <w:br/>
      </w:r>
      <w:r w:rsidRPr="002129C8">
        <w:rPr>
          <w:rFonts w:ascii="Calibri" w:eastAsiaTheme="majorEastAsia" w:hAnsi="Calibri" w:cs="Calibri"/>
          <w:color w:val="00CC00"/>
          <w:lang w:val="en-GB"/>
        </w:rPr>
        <w:br/>
      </w:r>
      <w:r w:rsidRPr="002129C8">
        <w:rPr>
          <w:rFonts w:ascii="Calibri" w:eastAsiaTheme="majorEastAsia" w:hAnsi="Calibri" w:cs="Calibri"/>
        </w:rPr>
        <w:t xml:space="preserve">Terrill, W. and </w:t>
      </w:r>
      <w:proofErr w:type="spellStart"/>
      <w:r w:rsidRPr="002129C8">
        <w:rPr>
          <w:rFonts w:ascii="Calibri" w:eastAsiaTheme="majorEastAsia" w:hAnsi="Calibri" w:cs="Calibri"/>
        </w:rPr>
        <w:t>Paoline</w:t>
      </w:r>
      <w:proofErr w:type="spellEnd"/>
      <w:r w:rsidRPr="002129C8">
        <w:rPr>
          <w:rFonts w:ascii="Calibri" w:eastAsiaTheme="majorEastAsia" w:hAnsi="Calibri" w:cs="Calibri"/>
        </w:rPr>
        <w:t>, E. A. (2017) ‘Police Use of Less Lethal Force: Does Administrative Policy Matter?’, </w:t>
      </w:r>
      <w:r w:rsidRPr="002129C8">
        <w:rPr>
          <w:rFonts w:ascii="Calibri" w:eastAsiaTheme="majorEastAsia" w:hAnsi="Calibri" w:cs="Calibri"/>
          <w:i/>
          <w:iCs/>
        </w:rPr>
        <w:t>Justice Quarterly</w:t>
      </w:r>
      <w:r w:rsidRPr="002129C8">
        <w:rPr>
          <w:rFonts w:ascii="Calibri" w:eastAsiaTheme="majorEastAsia" w:hAnsi="Calibri" w:cs="Calibri"/>
        </w:rPr>
        <w:t xml:space="preserve">, 34(2), pp. 193–216. doi:10.1080/07418825.2016.1147593.  </w:t>
      </w:r>
      <w:r w:rsidRPr="002129C8">
        <w:rPr>
          <w:rFonts w:ascii="Calibri" w:eastAsiaTheme="majorEastAsia" w:hAnsi="Calibri" w:cs="Calibri"/>
          <w:lang w:val="en-GB"/>
        </w:rPr>
        <w:t>Available at:</w:t>
      </w:r>
      <w:r w:rsidRPr="002129C8">
        <w:rPr>
          <w:rFonts w:ascii="Calibri" w:hAnsi="Calibri" w:cs="Calibri"/>
        </w:rPr>
        <w:t xml:space="preserve"> </w:t>
      </w:r>
      <w:hyperlink r:id="rId28" w:history="1">
        <w:r w:rsidRPr="002129C8">
          <w:rPr>
            <w:rStyle w:val="Hyperlink"/>
            <w:rFonts w:ascii="Calibri" w:hAnsi="Calibri" w:cs="Calibri"/>
          </w:rPr>
          <w:t>https://doi.org/10.1080/07418825.2016.1147593</w:t>
        </w:r>
      </w:hyperlink>
      <w:r w:rsidRPr="002129C8">
        <w:rPr>
          <w:rFonts w:ascii="Calibri" w:hAnsi="Calibri" w:cs="Calibri"/>
        </w:rPr>
        <w:t xml:space="preserve"> </w:t>
      </w:r>
      <w:r w:rsidRPr="002129C8">
        <w:rPr>
          <w:rFonts w:ascii="Calibri" w:eastAsiaTheme="majorEastAsia" w:hAnsi="Calibri" w:cs="Calibri"/>
          <w:lang w:val="en-GB"/>
        </w:rPr>
        <w:t xml:space="preserve">  </w:t>
      </w:r>
      <w:r w:rsidRPr="002129C8">
        <w:rPr>
          <w:rFonts w:ascii="Calibri" w:eastAsiaTheme="majorEastAsia" w:hAnsi="Calibri" w:cs="Calibri"/>
          <w:lang w:val="en-GB"/>
        </w:rPr>
        <w:br/>
        <w:t xml:space="preserve">(Accessed: 24 January 2026). </w:t>
      </w:r>
      <w:r w:rsidRPr="002129C8">
        <w:rPr>
          <w:rFonts w:ascii="Calibri" w:eastAsiaTheme="majorEastAsia" w:hAnsi="Calibri" w:cs="Calibri"/>
          <w:color w:val="00CC00"/>
          <w:lang w:val="en-GB"/>
        </w:rPr>
        <w:br/>
      </w:r>
      <w:r w:rsidRPr="002129C8">
        <w:rPr>
          <w:rFonts w:ascii="Calibri" w:eastAsiaTheme="majorEastAsia" w:hAnsi="Calibri" w:cs="Calibri"/>
          <w:color w:val="00CC00"/>
          <w:lang w:val="en-GB"/>
        </w:rPr>
        <w:br/>
      </w:r>
      <w:r w:rsidRPr="002129C8">
        <w:rPr>
          <w:rFonts w:ascii="Calibri" w:eastAsiaTheme="majorEastAsia" w:hAnsi="Calibri" w:cs="Calibri"/>
          <w:lang w:val="en-GB"/>
        </w:rPr>
        <w:t xml:space="preserve">Tyler, T.R. (2006). </w:t>
      </w:r>
      <w:r w:rsidRPr="002129C8">
        <w:rPr>
          <w:rFonts w:ascii="Calibri" w:eastAsiaTheme="majorEastAsia" w:hAnsi="Calibri" w:cs="Calibri"/>
          <w:i/>
          <w:iCs/>
          <w:lang w:val="en-GB"/>
        </w:rPr>
        <w:t xml:space="preserve">Why people obey the law. Available at: </w:t>
      </w:r>
      <w:hyperlink r:id="rId29" w:history="1">
        <w:r w:rsidRPr="002129C8">
          <w:rPr>
            <w:rStyle w:val="Hyperlink"/>
            <w:rFonts w:ascii="Calibri" w:eastAsiaTheme="majorEastAsia" w:hAnsi="Calibri" w:cs="Calibri"/>
            <w:i/>
            <w:iCs/>
            <w:lang w:val="en-GB"/>
          </w:rPr>
          <w:t>https://www.researchgate.net/publication/220011500_Why_do_People_Obey_the_Law</w:t>
        </w:r>
      </w:hyperlink>
      <w:r w:rsidRPr="002129C8">
        <w:rPr>
          <w:rFonts w:ascii="Calibri" w:eastAsiaTheme="majorEastAsia" w:hAnsi="Calibri" w:cs="Calibri"/>
          <w:i/>
          <w:iCs/>
          <w:lang w:val="en-GB"/>
        </w:rPr>
        <w:t xml:space="preserve"> </w:t>
      </w:r>
      <w:r w:rsidRPr="002129C8">
        <w:rPr>
          <w:rFonts w:ascii="Calibri" w:eastAsiaTheme="majorEastAsia" w:hAnsi="Calibri" w:cs="Calibri"/>
        </w:rPr>
        <w:t xml:space="preserve">Accessed: 24 January 2026). </w:t>
      </w:r>
      <w:r w:rsidRPr="002129C8">
        <w:rPr>
          <w:rFonts w:ascii="Calibri" w:eastAsiaTheme="majorEastAsia" w:hAnsi="Calibri" w:cs="Calibri"/>
          <w:color w:val="00CC00"/>
          <w:lang w:val="en-GB"/>
        </w:rPr>
        <w:br/>
      </w:r>
      <w:r w:rsidRPr="002129C8">
        <w:rPr>
          <w:rFonts w:ascii="Calibri" w:eastAsiaTheme="majorEastAsia" w:hAnsi="Calibri" w:cs="Calibri"/>
          <w:color w:val="00CC00"/>
          <w:lang w:val="en-GB"/>
        </w:rPr>
        <w:br/>
      </w:r>
      <w:r w:rsidRPr="002129C8">
        <w:rPr>
          <w:rFonts w:ascii="Calibri" w:eastAsiaTheme="majorEastAsia" w:hAnsi="Calibri" w:cs="Calibri"/>
        </w:rPr>
        <w:t>Kunz, S.N. </w:t>
      </w:r>
      <w:r w:rsidRPr="002129C8">
        <w:rPr>
          <w:rFonts w:ascii="Calibri" w:eastAsiaTheme="majorEastAsia" w:hAnsi="Calibri" w:cs="Calibri"/>
          <w:i/>
          <w:iCs/>
        </w:rPr>
        <w:t>et al.</w:t>
      </w:r>
      <w:r w:rsidRPr="002129C8">
        <w:rPr>
          <w:rFonts w:ascii="Calibri" w:eastAsiaTheme="majorEastAsia" w:hAnsi="Calibri" w:cs="Calibri"/>
        </w:rPr>
        <w:t> (2018) ‘Cardiac and skeletal muscle effects of electrical weapons’, </w:t>
      </w:r>
      <w:r w:rsidRPr="002129C8">
        <w:rPr>
          <w:rFonts w:ascii="Calibri" w:eastAsiaTheme="majorEastAsia" w:hAnsi="Calibri" w:cs="Calibri"/>
          <w:i/>
          <w:iCs/>
        </w:rPr>
        <w:t>Forensic Science, Medicine and Pathology</w:t>
      </w:r>
      <w:r w:rsidRPr="002129C8">
        <w:rPr>
          <w:rFonts w:ascii="Calibri" w:eastAsiaTheme="majorEastAsia" w:hAnsi="Calibri" w:cs="Calibri"/>
        </w:rPr>
        <w:t xml:space="preserve">, 14(3), pp. 358–366. Available at: </w:t>
      </w:r>
      <w:hyperlink r:id="rId30" w:history="1">
        <w:r w:rsidRPr="002129C8">
          <w:rPr>
            <w:rStyle w:val="Hyperlink"/>
            <w:rFonts w:ascii="Calibri" w:eastAsiaTheme="majorEastAsia" w:hAnsi="Calibri" w:cs="Calibri"/>
          </w:rPr>
          <w:t>https://doi.org/10.1007/s12024-018-9997-3</w:t>
        </w:r>
      </w:hyperlink>
      <w:r w:rsidRPr="002129C8">
        <w:rPr>
          <w:rFonts w:ascii="Calibri" w:eastAsiaTheme="majorEastAsia" w:hAnsi="Calibri" w:cs="Calibri"/>
          <w:lang w:val="en-GB"/>
        </w:rPr>
        <w:t xml:space="preserve"> </w:t>
      </w:r>
      <w:r w:rsidRPr="002129C8">
        <w:rPr>
          <w:rFonts w:ascii="Calibri" w:eastAsiaTheme="majorEastAsia" w:hAnsi="Calibri" w:cs="Calibri"/>
          <w:color w:val="00CC00"/>
          <w:lang w:val="en-GB"/>
        </w:rPr>
        <w:br/>
      </w:r>
      <w:r w:rsidRPr="002129C8">
        <w:rPr>
          <w:rFonts w:ascii="Calibri" w:eastAsiaTheme="majorEastAsia" w:hAnsi="Calibri" w:cs="Calibri"/>
          <w:lang w:val="en-GB"/>
        </w:rPr>
        <w:t>(Accessed: 24 January 2026).</w:t>
      </w:r>
    </w:p>
    <w:p w14:paraId="529CB985" w14:textId="537DB478" w:rsidR="00C20AC3" w:rsidRPr="00C20AC3" w:rsidRDefault="00C20AC3" w:rsidP="00C20AC3">
      <w:pPr>
        <w:rPr>
          <w:rFonts w:ascii="Calibri" w:eastAsiaTheme="majorEastAsia" w:hAnsi="Calibri" w:cs="Calibri"/>
        </w:rPr>
      </w:pPr>
      <w:r w:rsidRPr="002129C8">
        <w:rPr>
          <w:rFonts w:ascii="Calibri" w:eastAsiaTheme="majorEastAsia" w:hAnsi="Calibri" w:cs="Calibri"/>
        </w:rPr>
        <w:lastRenderedPageBreak/>
        <w:t>Wales Online (2022). </w:t>
      </w:r>
      <w:r w:rsidRPr="002129C8">
        <w:rPr>
          <w:rFonts w:ascii="Calibri" w:eastAsiaTheme="majorEastAsia" w:hAnsi="Calibri" w:cs="Calibri"/>
          <w:i/>
          <w:iCs/>
        </w:rPr>
        <w:t>Terrifying moment man lunges at police officer with large kitchen knife</w:t>
      </w:r>
      <w:r w:rsidRPr="002129C8">
        <w:rPr>
          <w:rFonts w:ascii="Calibri" w:eastAsiaTheme="majorEastAsia" w:hAnsi="Calibri" w:cs="Calibri"/>
        </w:rPr>
        <w:t xml:space="preserve">. Available at: </w:t>
      </w:r>
      <w:hyperlink r:id="rId31" w:history="1">
        <w:r w:rsidRPr="002129C8">
          <w:rPr>
            <w:rStyle w:val="Hyperlink"/>
            <w:rFonts w:ascii="Calibri" w:eastAsiaTheme="majorEastAsia" w:hAnsi="Calibri" w:cs="Calibri"/>
          </w:rPr>
          <w:t>https://www.walesonline.co.uk/news/wales-news/police-threatened-knife-taser-assault-25512917</w:t>
        </w:r>
      </w:hyperlink>
      <w:r w:rsidRPr="002129C8">
        <w:rPr>
          <w:rFonts w:ascii="Calibri" w:eastAsiaTheme="majorEastAsia" w:hAnsi="Calibri" w:cs="Calibri"/>
        </w:rPr>
        <w:t xml:space="preserve">  </w:t>
      </w:r>
      <w:r w:rsidRPr="002129C8">
        <w:rPr>
          <w:rFonts w:ascii="Calibri" w:eastAsiaTheme="majorEastAsia" w:hAnsi="Calibri" w:cs="Calibri"/>
        </w:rPr>
        <w:br/>
        <w:t>(Accessed: 25 January 2026)</w:t>
      </w:r>
      <w:r w:rsidRPr="002129C8">
        <w:rPr>
          <w:rFonts w:ascii="Calibri" w:eastAsiaTheme="majorEastAsia" w:hAnsi="Calibri" w:cs="Calibri"/>
        </w:rPr>
        <w:br/>
      </w:r>
      <w:r w:rsidRPr="002129C8">
        <w:rPr>
          <w:rFonts w:ascii="Calibri" w:eastAsiaTheme="majorEastAsia" w:hAnsi="Calibri" w:cs="Calibri"/>
        </w:rPr>
        <w:br/>
      </w:r>
      <w:r w:rsidRPr="002129C8">
        <w:rPr>
          <w:rFonts w:ascii="Calibri" w:eastAsiaTheme="majorEastAsia" w:hAnsi="Calibri" w:cs="Calibri"/>
          <w:lang w:val="en-GB"/>
        </w:rPr>
        <w:t xml:space="preserve">White, M.D. and Ready, J., 2007. </w:t>
      </w:r>
      <w:r w:rsidRPr="002129C8">
        <w:rPr>
          <w:rFonts w:ascii="Calibri" w:eastAsiaTheme="majorEastAsia" w:hAnsi="Calibri" w:cs="Calibri"/>
          <w:i/>
          <w:iCs/>
          <w:lang w:val="en-GB"/>
        </w:rPr>
        <w:t>The Taser as a less lethal force option: A review of outcomes</w:t>
      </w:r>
      <w:r w:rsidRPr="002129C8">
        <w:rPr>
          <w:rFonts w:ascii="Calibri" w:eastAsiaTheme="majorEastAsia" w:hAnsi="Calibri" w:cs="Calibri"/>
          <w:lang w:val="en-GB"/>
        </w:rPr>
        <w:t xml:space="preserve">. 10(2), pp.170–191. doi:10.1177/1098611106288915 </w:t>
      </w:r>
      <w:r w:rsidRPr="002129C8">
        <w:rPr>
          <w:rFonts w:ascii="Calibri" w:eastAsiaTheme="majorEastAsia" w:hAnsi="Calibri" w:cs="Calibri"/>
          <w:lang w:val="en-GB"/>
        </w:rPr>
        <w:br/>
        <w:t xml:space="preserve">Available at: </w:t>
      </w:r>
      <w:hyperlink r:id="rId32" w:history="1">
        <w:r w:rsidRPr="002129C8">
          <w:rPr>
            <w:rStyle w:val="Hyperlink"/>
            <w:rFonts w:ascii="Calibri" w:eastAsiaTheme="majorEastAsia" w:hAnsi="Calibri" w:cs="Calibri"/>
          </w:rPr>
          <w:t>https://doi.org/10.1177/1098611106288915</w:t>
        </w:r>
      </w:hyperlink>
      <w:r w:rsidRPr="002129C8">
        <w:rPr>
          <w:rFonts w:ascii="Calibri" w:eastAsiaTheme="majorEastAsia" w:hAnsi="Calibri" w:cs="Calibri"/>
        </w:rPr>
        <w:t xml:space="preserve"> </w:t>
      </w:r>
      <w:r w:rsidRPr="002129C8">
        <w:rPr>
          <w:rFonts w:ascii="Calibri" w:eastAsiaTheme="majorEastAsia" w:hAnsi="Calibri" w:cs="Calibri"/>
        </w:rPr>
        <w:br/>
      </w:r>
      <w:r w:rsidRPr="002129C8">
        <w:rPr>
          <w:rFonts w:ascii="Calibri" w:eastAsiaTheme="majorEastAsia" w:hAnsi="Calibri" w:cs="Calibri"/>
          <w:lang w:val="en-GB"/>
        </w:rPr>
        <w:t>(Accessed: 24 January 2026).</w:t>
      </w:r>
    </w:p>
    <w:sectPr w:rsidR="00C20AC3" w:rsidRPr="00C20AC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0AC3"/>
    <w:rsid w:val="001433CD"/>
    <w:rsid w:val="004502CD"/>
    <w:rsid w:val="00534E89"/>
    <w:rsid w:val="00935A68"/>
    <w:rsid w:val="00C1415E"/>
    <w:rsid w:val="00C20A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2D44DE"/>
  <w15:chartTrackingRefBased/>
  <w15:docId w15:val="{617430AA-B0CC-4582-B20F-B83F7FE5CF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20AC3"/>
    <w:pPr>
      <w:spacing w:after="200" w:line="276" w:lineRule="auto"/>
    </w:pPr>
    <w:rPr>
      <w:rFonts w:eastAsiaTheme="minorEastAsia"/>
      <w:kern w:val="0"/>
      <w:sz w:val="22"/>
      <w:szCs w:val="22"/>
      <w:lang w:val="en-US"/>
      <w14:ligatures w14:val="none"/>
    </w:rPr>
  </w:style>
  <w:style w:type="paragraph" w:styleId="Heading1">
    <w:name w:val="heading 1"/>
    <w:basedOn w:val="Normal"/>
    <w:next w:val="Normal"/>
    <w:link w:val="Heading1Char"/>
    <w:uiPriority w:val="9"/>
    <w:qFormat/>
    <w:rsid w:val="00C20AC3"/>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val="en-GB"/>
      <w14:ligatures w14:val="standardContextual"/>
    </w:rPr>
  </w:style>
  <w:style w:type="paragraph" w:styleId="Heading2">
    <w:name w:val="heading 2"/>
    <w:basedOn w:val="Normal"/>
    <w:next w:val="Normal"/>
    <w:link w:val="Heading2Char"/>
    <w:uiPriority w:val="9"/>
    <w:semiHidden/>
    <w:unhideWhenUsed/>
    <w:qFormat/>
    <w:rsid w:val="00C20AC3"/>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val="en-GB"/>
      <w14:ligatures w14:val="standardContextual"/>
    </w:rPr>
  </w:style>
  <w:style w:type="paragraph" w:styleId="Heading3">
    <w:name w:val="heading 3"/>
    <w:basedOn w:val="Normal"/>
    <w:next w:val="Normal"/>
    <w:link w:val="Heading3Char"/>
    <w:uiPriority w:val="9"/>
    <w:semiHidden/>
    <w:unhideWhenUsed/>
    <w:qFormat/>
    <w:rsid w:val="00C20AC3"/>
    <w:pPr>
      <w:keepNext/>
      <w:keepLines/>
      <w:spacing w:before="160" w:after="80" w:line="278" w:lineRule="auto"/>
      <w:outlineLvl w:val="2"/>
    </w:pPr>
    <w:rPr>
      <w:rFonts w:eastAsiaTheme="majorEastAsia" w:cstheme="majorBidi"/>
      <w:color w:val="0F4761" w:themeColor="accent1" w:themeShade="BF"/>
      <w:kern w:val="2"/>
      <w:sz w:val="28"/>
      <w:szCs w:val="28"/>
      <w:lang w:val="en-GB"/>
      <w14:ligatures w14:val="standardContextual"/>
    </w:rPr>
  </w:style>
  <w:style w:type="paragraph" w:styleId="Heading4">
    <w:name w:val="heading 4"/>
    <w:basedOn w:val="Normal"/>
    <w:next w:val="Normal"/>
    <w:link w:val="Heading4Char"/>
    <w:uiPriority w:val="9"/>
    <w:semiHidden/>
    <w:unhideWhenUsed/>
    <w:qFormat/>
    <w:rsid w:val="00C20AC3"/>
    <w:pPr>
      <w:keepNext/>
      <w:keepLines/>
      <w:spacing w:before="80" w:after="40" w:line="278" w:lineRule="auto"/>
      <w:outlineLvl w:val="3"/>
    </w:pPr>
    <w:rPr>
      <w:rFonts w:eastAsiaTheme="majorEastAsia" w:cstheme="majorBidi"/>
      <w:i/>
      <w:iCs/>
      <w:color w:val="0F4761" w:themeColor="accent1" w:themeShade="BF"/>
      <w:kern w:val="2"/>
      <w:sz w:val="24"/>
      <w:szCs w:val="24"/>
      <w:lang w:val="en-GB"/>
      <w14:ligatures w14:val="standardContextual"/>
    </w:rPr>
  </w:style>
  <w:style w:type="paragraph" w:styleId="Heading5">
    <w:name w:val="heading 5"/>
    <w:basedOn w:val="Normal"/>
    <w:next w:val="Normal"/>
    <w:link w:val="Heading5Char"/>
    <w:uiPriority w:val="9"/>
    <w:semiHidden/>
    <w:unhideWhenUsed/>
    <w:qFormat/>
    <w:rsid w:val="00C20AC3"/>
    <w:pPr>
      <w:keepNext/>
      <w:keepLines/>
      <w:spacing w:before="80" w:after="40" w:line="278" w:lineRule="auto"/>
      <w:outlineLvl w:val="4"/>
    </w:pPr>
    <w:rPr>
      <w:rFonts w:eastAsiaTheme="majorEastAsia" w:cstheme="majorBidi"/>
      <w:color w:val="0F4761" w:themeColor="accent1" w:themeShade="BF"/>
      <w:kern w:val="2"/>
      <w:sz w:val="24"/>
      <w:szCs w:val="24"/>
      <w:lang w:val="en-GB"/>
      <w14:ligatures w14:val="standardContextual"/>
    </w:rPr>
  </w:style>
  <w:style w:type="paragraph" w:styleId="Heading6">
    <w:name w:val="heading 6"/>
    <w:basedOn w:val="Normal"/>
    <w:next w:val="Normal"/>
    <w:link w:val="Heading6Char"/>
    <w:uiPriority w:val="9"/>
    <w:semiHidden/>
    <w:unhideWhenUsed/>
    <w:qFormat/>
    <w:rsid w:val="00C20AC3"/>
    <w:pPr>
      <w:keepNext/>
      <w:keepLines/>
      <w:spacing w:before="40" w:after="0" w:line="278" w:lineRule="auto"/>
      <w:outlineLvl w:val="5"/>
    </w:pPr>
    <w:rPr>
      <w:rFonts w:eastAsiaTheme="majorEastAsia" w:cstheme="majorBidi"/>
      <w:i/>
      <w:iCs/>
      <w:color w:val="595959" w:themeColor="text1" w:themeTint="A6"/>
      <w:kern w:val="2"/>
      <w:sz w:val="24"/>
      <w:szCs w:val="24"/>
      <w:lang w:val="en-GB"/>
      <w14:ligatures w14:val="standardContextual"/>
    </w:rPr>
  </w:style>
  <w:style w:type="paragraph" w:styleId="Heading7">
    <w:name w:val="heading 7"/>
    <w:basedOn w:val="Normal"/>
    <w:next w:val="Normal"/>
    <w:link w:val="Heading7Char"/>
    <w:uiPriority w:val="9"/>
    <w:semiHidden/>
    <w:unhideWhenUsed/>
    <w:qFormat/>
    <w:rsid w:val="00C20AC3"/>
    <w:pPr>
      <w:keepNext/>
      <w:keepLines/>
      <w:spacing w:before="40" w:after="0" w:line="278" w:lineRule="auto"/>
      <w:outlineLvl w:val="6"/>
    </w:pPr>
    <w:rPr>
      <w:rFonts w:eastAsiaTheme="majorEastAsia" w:cstheme="majorBidi"/>
      <w:color w:val="595959" w:themeColor="text1" w:themeTint="A6"/>
      <w:kern w:val="2"/>
      <w:sz w:val="24"/>
      <w:szCs w:val="24"/>
      <w:lang w:val="en-GB"/>
      <w14:ligatures w14:val="standardContextual"/>
    </w:rPr>
  </w:style>
  <w:style w:type="paragraph" w:styleId="Heading8">
    <w:name w:val="heading 8"/>
    <w:basedOn w:val="Normal"/>
    <w:next w:val="Normal"/>
    <w:link w:val="Heading8Char"/>
    <w:uiPriority w:val="9"/>
    <w:semiHidden/>
    <w:unhideWhenUsed/>
    <w:qFormat/>
    <w:rsid w:val="00C20AC3"/>
    <w:pPr>
      <w:keepNext/>
      <w:keepLines/>
      <w:spacing w:after="0" w:line="278" w:lineRule="auto"/>
      <w:outlineLvl w:val="7"/>
    </w:pPr>
    <w:rPr>
      <w:rFonts w:eastAsiaTheme="majorEastAsia" w:cstheme="majorBidi"/>
      <w:i/>
      <w:iCs/>
      <w:color w:val="272727" w:themeColor="text1" w:themeTint="D8"/>
      <w:kern w:val="2"/>
      <w:sz w:val="24"/>
      <w:szCs w:val="24"/>
      <w:lang w:val="en-GB"/>
      <w14:ligatures w14:val="standardContextual"/>
    </w:rPr>
  </w:style>
  <w:style w:type="paragraph" w:styleId="Heading9">
    <w:name w:val="heading 9"/>
    <w:basedOn w:val="Normal"/>
    <w:next w:val="Normal"/>
    <w:link w:val="Heading9Char"/>
    <w:uiPriority w:val="9"/>
    <w:semiHidden/>
    <w:unhideWhenUsed/>
    <w:qFormat/>
    <w:rsid w:val="00C20AC3"/>
    <w:pPr>
      <w:keepNext/>
      <w:keepLines/>
      <w:spacing w:after="0" w:line="278" w:lineRule="auto"/>
      <w:outlineLvl w:val="8"/>
    </w:pPr>
    <w:rPr>
      <w:rFonts w:eastAsiaTheme="majorEastAsia" w:cstheme="majorBidi"/>
      <w:color w:val="272727" w:themeColor="text1" w:themeTint="D8"/>
      <w:kern w:val="2"/>
      <w:sz w:val="24"/>
      <w:szCs w:val="24"/>
      <w:lang w:val="en-GB"/>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20AC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20AC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20AC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20AC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20AC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20AC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20AC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20AC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20AC3"/>
    <w:rPr>
      <w:rFonts w:eastAsiaTheme="majorEastAsia" w:cstheme="majorBidi"/>
      <w:color w:val="272727" w:themeColor="text1" w:themeTint="D8"/>
    </w:rPr>
  </w:style>
  <w:style w:type="paragraph" w:styleId="Title">
    <w:name w:val="Title"/>
    <w:basedOn w:val="Normal"/>
    <w:next w:val="Normal"/>
    <w:link w:val="TitleChar"/>
    <w:uiPriority w:val="10"/>
    <w:qFormat/>
    <w:rsid w:val="00C20AC3"/>
    <w:pPr>
      <w:spacing w:after="80" w:line="240" w:lineRule="auto"/>
      <w:contextualSpacing/>
    </w:pPr>
    <w:rPr>
      <w:rFonts w:asciiTheme="majorHAnsi" w:eastAsiaTheme="majorEastAsia" w:hAnsiTheme="majorHAnsi" w:cstheme="majorBidi"/>
      <w:spacing w:val="-10"/>
      <w:kern w:val="28"/>
      <w:sz w:val="56"/>
      <w:szCs w:val="56"/>
      <w:lang w:val="en-GB"/>
      <w14:ligatures w14:val="standardContextual"/>
    </w:rPr>
  </w:style>
  <w:style w:type="character" w:customStyle="1" w:styleId="TitleChar">
    <w:name w:val="Title Char"/>
    <w:basedOn w:val="DefaultParagraphFont"/>
    <w:link w:val="Title"/>
    <w:uiPriority w:val="10"/>
    <w:rsid w:val="00C20AC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20AC3"/>
    <w:pPr>
      <w:numPr>
        <w:ilvl w:val="1"/>
      </w:numPr>
      <w:spacing w:after="160" w:line="278" w:lineRule="auto"/>
    </w:pPr>
    <w:rPr>
      <w:rFonts w:eastAsiaTheme="majorEastAsia" w:cstheme="majorBidi"/>
      <w:color w:val="595959" w:themeColor="text1" w:themeTint="A6"/>
      <w:spacing w:val="15"/>
      <w:kern w:val="2"/>
      <w:sz w:val="28"/>
      <w:szCs w:val="28"/>
      <w:lang w:val="en-GB"/>
      <w14:ligatures w14:val="standardContextual"/>
    </w:rPr>
  </w:style>
  <w:style w:type="character" w:customStyle="1" w:styleId="SubtitleChar">
    <w:name w:val="Subtitle Char"/>
    <w:basedOn w:val="DefaultParagraphFont"/>
    <w:link w:val="Subtitle"/>
    <w:uiPriority w:val="11"/>
    <w:rsid w:val="00C20AC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20AC3"/>
    <w:pPr>
      <w:spacing w:before="160" w:after="160" w:line="278" w:lineRule="auto"/>
      <w:jc w:val="center"/>
    </w:pPr>
    <w:rPr>
      <w:rFonts w:eastAsiaTheme="minorHAnsi"/>
      <w:i/>
      <w:iCs/>
      <w:color w:val="404040" w:themeColor="text1" w:themeTint="BF"/>
      <w:kern w:val="2"/>
      <w:sz w:val="24"/>
      <w:szCs w:val="24"/>
      <w:lang w:val="en-GB"/>
      <w14:ligatures w14:val="standardContextual"/>
    </w:rPr>
  </w:style>
  <w:style w:type="character" w:customStyle="1" w:styleId="QuoteChar">
    <w:name w:val="Quote Char"/>
    <w:basedOn w:val="DefaultParagraphFont"/>
    <w:link w:val="Quote"/>
    <w:uiPriority w:val="29"/>
    <w:rsid w:val="00C20AC3"/>
    <w:rPr>
      <w:i/>
      <w:iCs/>
      <w:color w:val="404040" w:themeColor="text1" w:themeTint="BF"/>
    </w:rPr>
  </w:style>
  <w:style w:type="paragraph" w:styleId="ListParagraph">
    <w:name w:val="List Paragraph"/>
    <w:basedOn w:val="Normal"/>
    <w:uiPriority w:val="34"/>
    <w:qFormat/>
    <w:rsid w:val="00C20AC3"/>
    <w:pPr>
      <w:spacing w:after="160" w:line="278" w:lineRule="auto"/>
      <w:ind w:left="720"/>
      <w:contextualSpacing/>
    </w:pPr>
    <w:rPr>
      <w:rFonts w:eastAsiaTheme="minorHAnsi"/>
      <w:kern w:val="2"/>
      <w:sz w:val="24"/>
      <w:szCs w:val="24"/>
      <w:lang w:val="en-GB"/>
      <w14:ligatures w14:val="standardContextual"/>
    </w:rPr>
  </w:style>
  <w:style w:type="character" w:styleId="IntenseEmphasis">
    <w:name w:val="Intense Emphasis"/>
    <w:basedOn w:val="DefaultParagraphFont"/>
    <w:uiPriority w:val="21"/>
    <w:qFormat/>
    <w:rsid w:val="00C20AC3"/>
    <w:rPr>
      <w:i/>
      <w:iCs/>
      <w:color w:val="0F4761" w:themeColor="accent1" w:themeShade="BF"/>
    </w:rPr>
  </w:style>
  <w:style w:type="paragraph" w:styleId="IntenseQuote">
    <w:name w:val="Intense Quote"/>
    <w:basedOn w:val="Normal"/>
    <w:next w:val="Normal"/>
    <w:link w:val="IntenseQuoteChar"/>
    <w:uiPriority w:val="30"/>
    <w:qFormat/>
    <w:rsid w:val="00C20AC3"/>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eastAsiaTheme="minorHAnsi"/>
      <w:i/>
      <w:iCs/>
      <w:color w:val="0F4761" w:themeColor="accent1" w:themeShade="BF"/>
      <w:kern w:val="2"/>
      <w:sz w:val="24"/>
      <w:szCs w:val="24"/>
      <w:lang w:val="en-GB"/>
      <w14:ligatures w14:val="standardContextual"/>
    </w:rPr>
  </w:style>
  <w:style w:type="character" w:customStyle="1" w:styleId="IntenseQuoteChar">
    <w:name w:val="Intense Quote Char"/>
    <w:basedOn w:val="DefaultParagraphFont"/>
    <w:link w:val="IntenseQuote"/>
    <w:uiPriority w:val="30"/>
    <w:rsid w:val="00C20AC3"/>
    <w:rPr>
      <w:i/>
      <w:iCs/>
      <w:color w:val="0F4761" w:themeColor="accent1" w:themeShade="BF"/>
    </w:rPr>
  </w:style>
  <w:style w:type="character" w:styleId="IntenseReference">
    <w:name w:val="Intense Reference"/>
    <w:basedOn w:val="DefaultParagraphFont"/>
    <w:uiPriority w:val="32"/>
    <w:qFormat/>
    <w:rsid w:val="00C20AC3"/>
    <w:rPr>
      <w:b/>
      <w:bCs/>
      <w:smallCaps/>
      <w:color w:val="0F4761" w:themeColor="accent1" w:themeShade="BF"/>
      <w:spacing w:val="5"/>
    </w:rPr>
  </w:style>
  <w:style w:type="character" w:styleId="Hyperlink">
    <w:name w:val="Hyperlink"/>
    <w:basedOn w:val="DefaultParagraphFont"/>
    <w:uiPriority w:val="99"/>
    <w:unhideWhenUsed/>
    <w:rsid w:val="00C20AC3"/>
    <w:rPr>
      <w:color w:val="467886" w:themeColor="hyperlink"/>
      <w:u w:val="single"/>
    </w:rPr>
  </w:style>
  <w:style w:type="character" w:styleId="FollowedHyperlink">
    <w:name w:val="FollowedHyperlink"/>
    <w:basedOn w:val="DefaultParagraphFont"/>
    <w:uiPriority w:val="99"/>
    <w:semiHidden/>
    <w:unhideWhenUsed/>
    <w:rsid w:val="00C20AC3"/>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hudoc.echr.coe.int/eng#{%22itemid%22:[%22002-10101%22]}" TargetMode="External"/><Relationship Id="rId18" Type="http://schemas.openxmlformats.org/officeDocument/2006/relationships/hyperlink" Target="https://www.policeconduct.gov.uk/sites/default/files/documents/BMRB_use_of_force_report.pdf" TargetMode="External"/><Relationship Id="rId26" Type="http://schemas.openxmlformats.org/officeDocument/2006/relationships/hyperlink" Target="https://doi.org/10.1016/j.avb.2022.101748" TargetMode="External"/><Relationship Id="rId3" Type="http://schemas.openxmlformats.org/officeDocument/2006/relationships/webSettings" Target="webSettings.xml"/><Relationship Id="rId21" Type="http://schemas.openxmlformats.org/officeDocument/2006/relationships/hyperlink" Target="https://www.npcc.police.uk/SysSiteAssets/media/downloads/publications/publications-log/2020/an-analysis-of-taser-use-in-british-policing.pdf" TargetMode="External"/><Relationship Id="rId34" Type="http://schemas.openxmlformats.org/officeDocument/2006/relationships/theme" Target="theme/theme1.xml"/><Relationship Id="rId7" Type="http://schemas.openxmlformats.org/officeDocument/2006/relationships/hyperlink" Target="https://doi.org/10.1016/j.annemergmed.2008.11.021" TargetMode="External"/><Relationship Id="rId12" Type="http://schemas.openxmlformats.org/officeDocument/2006/relationships/hyperlink" Target="https://doi.org/10.1093/police/pas024" TargetMode="External"/><Relationship Id="rId17" Type="http://schemas.openxmlformats.org/officeDocument/2006/relationships/hyperlink" Target="https://www.gov.uk/government/statistics/police-use-of-force-statistics-april-2022-to-march-2023" TargetMode="External"/><Relationship Id="rId25" Type="http://schemas.openxmlformats.org/officeDocument/2006/relationships/hyperlink" Target="https://doi.org/10.1093/police/pam066" TargetMode="External"/><Relationship Id="rId33"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hmicfrs.justiceinspectorates.gov.uk/publication-html/state-of-policing-the-annual-assessment-of-policing-in-england-and-wales-2023/" TargetMode="External"/><Relationship Id="rId20" Type="http://schemas.openxmlformats.org/officeDocument/2006/relationships/hyperlink" Target="https://doi.org/10.1093/bjc/azs032" TargetMode="External"/><Relationship Id="rId29" Type="http://schemas.openxmlformats.org/officeDocument/2006/relationships/hyperlink" Target="https://www.researchgate.net/publication/220011500_Why_do_People_Obey_the_Law" TargetMode="External"/><Relationship Id="rId1" Type="http://schemas.openxmlformats.org/officeDocument/2006/relationships/styles" Target="styles.xml"/><Relationship Id="rId6" Type="http://schemas.openxmlformats.org/officeDocument/2006/relationships/hyperlink" Target="https://www.axon.com/products/taser-x2" TargetMode="External"/><Relationship Id="rId11" Type="http://schemas.openxmlformats.org/officeDocument/2006/relationships/hyperlink" Target="https://www.college.police.uk/ethics/code-of-ethics/guidance" TargetMode="External"/><Relationship Id="rId24" Type="http://schemas.openxmlformats.org/officeDocument/2006/relationships/hyperlink" Target="https://polfed.org/news/latest-news/2019/police-officers-and-the-public-support-taser-roll-out/" TargetMode="External"/><Relationship Id="rId32" Type="http://schemas.openxmlformats.org/officeDocument/2006/relationships/hyperlink" Target="https://doi.org/10.1177/1098611106288915" TargetMode="External"/><Relationship Id="rId5" Type="http://schemas.openxmlformats.org/officeDocument/2006/relationships/hyperlink" Target="https://www.amnesty.org/en/latest/news/2025/03/global-electric-shock-equipment-widely-abused-by-law-enforcement-agencies-due-to-alarming-lack-of-regulation/" TargetMode="External"/><Relationship Id="rId15" Type="http://schemas.openxmlformats.org/officeDocument/2006/relationships/hyperlink" Target="https://www.hse.gov.uk/pubns/priced/l25.pdf" TargetMode="External"/><Relationship Id="rId23" Type="http://schemas.openxmlformats.org/officeDocument/2006/relationships/hyperlink" Target="https://www.ons.gov.uk/peoplepopulationandcommunity/crimeandjustice/articles/perceptionandexperienceofpoliceandcriminaljusticesystemenglandandwales/yearendingmarch2025#:~:text=1.,the%20YE%20March%202015%20survey" TargetMode="External"/><Relationship Id="rId28" Type="http://schemas.openxmlformats.org/officeDocument/2006/relationships/hyperlink" Target="https://doi.org/10.1080/07418825.2016.1147593" TargetMode="External"/><Relationship Id="rId10" Type="http://schemas.openxmlformats.org/officeDocument/2006/relationships/hyperlink" Target="https://www.college.police.uk/app/armed-policing/use-force-firearms-and-less-lethal-weapons" TargetMode="External"/><Relationship Id="rId19" Type="http://schemas.openxmlformats.org/officeDocument/2006/relationships/hyperlink" Target="https://www.policeconduct.gov.uk/sites/default/files/documents/IOPC_Impact_Report_202021.pdf" TargetMode="External"/><Relationship Id="rId31" Type="http://schemas.openxmlformats.org/officeDocument/2006/relationships/hyperlink" Target="https://www.walesonline.co.uk/news/wales-news/police-threatened-knife-taser-assault-25512917" TargetMode="External"/><Relationship Id="rId4" Type="http://schemas.openxmlformats.org/officeDocument/2006/relationships/hyperlink" Target="https://www.cam.ac.uk/research/news/carrying-tasers-increases-police-use-of-force-study-finds" TargetMode="External"/><Relationship Id="rId9" Type="http://schemas.openxmlformats.org/officeDocument/2006/relationships/hyperlink" Target="https://www.college.police.uk/app/armed-policing/conducted-energy-devices-taser" TargetMode="External"/><Relationship Id="rId14" Type="http://schemas.openxmlformats.org/officeDocument/2006/relationships/hyperlink" Target="https://www.governmentbusiness.co.uk/news/09122016/tasers-police-gets-public-support" TargetMode="External"/><Relationship Id="rId22" Type="http://schemas.openxmlformats.org/officeDocument/2006/relationships/hyperlink" Target="https://www.ons.gov.uk/peoplepopulationandcommunity/crimeandjustice/bulletins/crimeinenglandandwales/yearendingjune2025" TargetMode="External"/><Relationship Id="rId27" Type="http://schemas.openxmlformats.org/officeDocument/2006/relationships/hyperlink" Target="https://doi.org/10.1108/13639510710778822" TargetMode="External"/><Relationship Id="rId30" Type="http://schemas.openxmlformats.org/officeDocument/2006/relationships/hyperlink" Target="https://doi.org/10.1007/s12024-018-9997-3" TargetMode="External"/><Relationship Id="rId8" Type="http://schemas.openxmlformats.org/officeDocument/2006/relationships/hyperlink" Target="https://doi.org/10.1108/PIJPSM-06-2016-008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4264</Words>
  <Characters>24308</Characters>
  <Application>Microsoft Office Word</Application>
  <DocSecurity>0</DocSecurity>
  <Lines>202</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28515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Jodi June Harris</dc:creator>
  <cp:keywords/>
  <dc:description/>
  <cp:lastModifiedBy>Jodi June Harris</cp:lastModifiedBy>
  <cp:revision>2</cp:revision>
  <dcterms:created xsi:type="dcterms:W3CDTF">2026-01-25T20:17:00Z</dcterms:created>
  <dcterms:modified xsi:type="dcterms:W3CDTF">2026-01-25T20:17:00Z</dcterms:modified>
</cp:coreProperties>
</file>